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578" w:rsidRPr="00AF1E57" w:rsidRDefault="00F96CE0">
      <w:pPr>
        <w:spacing w:line="360" w:lineRule="auto"/>
        <w:jc w:val="both"/>
        <w:rPr>
          <w:rFonts w:ascii="Palatino Linotype" w:eastAsia="Palatino Linotype" w:hAnsi="Palatino Linotype" w:cs="Palatino Linotype"/>
        </w:rPr>
      </w:pPr>
      <w:bookmarkStart w:id="0" w:name="_GoBack"/>
      <w:bookmarkEnd w:id="0"/>
      <w:r w:rsidRPr="00AF1E5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veintitrés de noviembre de dos mil veintitrés. </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b/>
        </w:rPr>
      </w:pPr>
      <w:r w:rsidRPr="00AF1E57">
        <w:rPr>
          <w:rFonts w:ascii="Palatino Linotype" w:eastAsia="Palatino Linotype" w:hAnsi="Palatino Linotype" w:cs="Palatino Linotype"/>
          <w:b/>
        </w:rPr>
        <w:t>Visto</w:t>
      </w:r>
      <w:r w:rsidRPr="00AF1E57">
        <w:rPr>
          <w:rFonts w:ascii="Palatino Linotype" w:eastAsia="Palatino Linotype" w:hAnsi="Palatino Linotype" w:cs="Palatino Linotype"/>
        </w:rPr>
        <w:t xml:space="preserve"> el expediente relativo al recurso de revisión </w:t>
      </w:r>
      <w:r w:rsidRPr="00AF1E57">
        <w:rPr>
          <w:rFonts w:ascii="Palatino Linotype" w:eastAsia="Palatino Linotype" w:hAnsi="Palatino Linotype" w:cs="Palatino Linotype"/>
          <w:b/>
        </w:rPr>
        <w:t>01559/INFOEM/IP/RR/2023</w:t>
      </w:r>
      <w:r w:rsidRPr="00AF1E57">
        <w:rPr>
          <w:rFonts w:ascii="Palatino Linotype" w:eastAsia="Palatino Linotype" w:hAnsi="Palatino Linotype" w:cs="Palatino Linotype"/>
        </w:rPr>
        <w:t xml:space="preserve">, interpuesto por </w:t>
      </w:r>
      <w:r w:rsidRPr="00AF1E57">
        <w:rPr>
          <w:rFonts w:ascii="Palatino Linotype" w:eastAsia="Palatino Linotype" w:hAnsi="Palatino Linotype" w:cs="Palatino Linotype"/>
          <w:b/>
        </w:rPr>
        <w:t>una persona usuaria del Sistema de Acceso a la Información Mexiquense</w:t>
      </w:r>
      <w:r w:rsidRPr="00AF1E57">
        <w:rPr>
          <w:rFonts w:ascii="Palatino Linotype" w:eastAsia="Palatino Linotype" w:hAnsi="Palatino Linotype" w:cs="Palatino Linotype"/>
        </w:rPr>
        <w:t>, en lo sucesivo se le denominará la parte</w:t>
      </w:r>
      <w:r w:rsidRPr="00AF1E57">
        <w:rPr>
          <w:rFonts w:ascii="Palatino Linotype" w:eastAsia="Palatino Linotype" w:hAnsi="Palatino Linotype" w:cs="Palatino Linotype"/>
          <w:b/>
        </w:rPr>
        <w:t xml:space="preserve"> RECURRENTE</w:t>
      </w:r>
      <w:r w:rsidRPr="00AF1E57">
        <w:rPr>
          <w:rFonts w:ascii="Palatino Linotype" w:eastAsia="Palatino Linotype" w:hAnsi="Palatino Linotype" w:cs="Palatino Linotype"/>
        </w:rPr>
        <w:t>, en contra de la respuesta a su solicitud de información con número de folio</w:t>
      </w:r>
      <w:r w:rsidRPr="00AF1E57">
        <w:rPr>
          <w:rFonts w:ascii="Palatino Linotype" w:eastAsia="Palatino Linotype" w:hAnsi="Palatino Linotype" w:cs="Palatino Linotype"/>
          <w:b/>
        </w:rPr>
        <w:t xml:space="preserve"> 00013/OASLAPAZ/IP/2022</w:t>
      </w:r>
      <w:r w:rsidRPr="00AF1E57">
        <w:rPr>
          <w:rFonts w:ascii="Palatino Linotype" w:eastAsia="Palatino Linotype" w:hAnsi="Palatino Linotype" w:cs="Palatino Linotype"/>
        </w:rPr>
        <w:t xml:space="preserve">, por parte del </w:t>
      </w:r>
      <w:r w:rsidRPr="00AF1E57">
        <w:rPr>
          <w:rFonts w:ascii="Palatino Linotype" w:eastAsia="Palatino Linotype" w:hAnsi="Palatino Linotype" w:cs="Palatino Linotype"/>
          <w:b/>
        </w:rPr>
        <w:t>Organismo Público Descent</w:t>
      </w:r>
      <w:r w:rsidR="005F4787">
        <w:rPr>
          <w:rFonts w:ascii="Palatino Linotype" w:eastAsia="Palatino Linotype" w:hAnsi="Palatino Linotype" w:cs="Palatino Linotype"/>
          <w:b/>
        </w:rPr>
        <w:t>ralizado para la Prestación de l</w:t>
      </w:r>
      <w:r w:rsidRPr="00AF1E57">
        <w:rPr>
          <w:rFonts w:ascii="Palatino Linotype" w:eastAsia="Palatino Linotype" w:hAnsi="Palatino Linotype" w:cs="Palatino Linotype"/>
          <w:b/>
        </w:rPr>
        <w:t xml:space="preserve">os Servicios de Agua Potable Alcantarillado y Saneamiento del Municipio de la Paz México, OPDAPAS </w:t>
      </w:r>
      <w:r w:rsidRPr="00AF1E57">
        <w:rPr>
          <w:rFonts w:ascii="Palatino Linotype" w:eastAsia="Palatino Linotype" w:hAnsi="Palatino Linotype" w:cs="Palatino Linotype"/>
        </w:rPr>
        <w:t xml:space="preserve">en lo sucesivo el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w:t>
      </w:r>
      <w:r w:rsidRPr="00AF1E57">
        <w:rPr>
          <w:rFonts w:ascii="Palatino Linotype" w:eastAsia="Palatino Linotype" w:hAnsi="Palatino Linotype" w:cs="Palatino Linotype"/>
          <w:b/>
        </w:rPr>
        <w:t xml:space="preserve"> </w:t>
      </w:r>
      <w:r w:rsidRPr="00AF1E57">
        <w:rPr>
          <w:rFonts w:ascii="Palatino Linotype" w:eastAsia="Palatino Linotype" w:hAnsi="Palatino Linotype" w:cs="Palatino Linotype"/>
        </w:rPr>
        <w:t>se procede a dictar la presente resolución, con base en los siguientes:</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numPr>
          <w:ilvl w:val="0"/>
          <w:numId w:val="7"/>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AF1E57">
        <w:rPr>
          <w:rFonts w:ascii="Palatino Linotype" w:eastAsia="Palatino Linotype" w:hAnsi="Palatino Linotype" w:cs="Palatino Linotype"/>
          <w:b/>
          <w:sz w:val="22"/>
          <w:szCs w:val="22"/>
        </w:rPr>
        <w:t>A N T E C E D E N T E S:</w:t>
      </w:r>
    </w:p>
    <w:p w:rsidR="00106578" w:rsidRPr="00AF1E57" w:rsidRDefault="00106578">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rsidR="00106578" w:rsidRPr="00AF1E57" w:rsidRDefault="00F96CE0">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AF1E57">
        <w:rPr>
          <w:rFonts w:ascii="Palatino Linotype" w:eastAsia="Palatino Linotype" w:hAnsi="Palatino Linotype" w:cs="Palatino Linotype"/>
          <w:b/>
        </w:rPr>
        <w:t xml:space="preserve">Solicitud de acceso a la información. </w:t>
      </w:r>
      <w:r w:rsidRPr="00AF1E57">
        <w:rPr>
          <w:rFonts w:ascii="Palatino Linotype" w:eastAsia="Palatino Linotype" w:hAnsi="Palatino Linotype" w:cs="Palatino Linotype"/>
        </w:rPr>
        <w:t xml:space="preserve">Con fecha </w:t>
      </w:r>
      <w:r w:rsidRPr="00AF1E57">
        <w:rPr>
          <w:rFonts w:ascii="Palatino Linotype" w:eastAsia="Palatino Linotype" w:hAnsi="Palatino Linotype" w:cs="Palatino Linotype"/>
          <w:b/>
        </w:rPr>
        <w:t>diecisiete de febrero de dos mil veintitrés</w:t>
      </w:r>
      <w:r w:rsidRPr="00AF1E57">
        <w:rPr>
          <w:rFonts w:ascii="Palatino Linotype" w:eastAsia="Palatino Linotype" w:hAnsi="Palatino Linotype" w:cs="Palatino Linotype"/>
        </w:rPr>
        <w:t xml:space="preserve">, la parte </w:t>
      </w:r>
      <w:r w:rsidRPr="00AF1E57">
        <w:rPr>
          <w:rFonts w:ascii="Palatino Linotype" w:eastAsia="Palatino Linotype" w:hAnsi="Palatino Linotype" w:cs="Palatino Linotype"/>
          <w:b/>
        </w:rPr>
        <w:t>RECURRENTE</w:t>
      </w:r>
      <w:r w:rsidRPr="00AF1E57">
        <w:rPr>
          <w:rFonts w:ascii="Palatino Linotype" w:eastAsia="Palatino Linotype" w:hAnsi="Palatino Linotype" w:cs="Palatino Linotype"/>
        </w:rPr>
        <w:t xml:space="preserve"> formuló solicitud de acceso a información pública al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 xml:space="preserve"> a través del Sistema de Acceso a la Información Mexiquense, en adelante </w:t>
      </w:r>
      <w:r w:rsidRPr="00AF1E57">
        <w:rPr>
          <w:rFonts w:ascii="Palatino Linotype" w:eastAsia="Palatino Linotype" w:hAnsi="Palatino Linotype" w:cs="Palatino Linotype"/>
          <w:b/>
        </w:rPr>
        <w:t>SAIMEX</w:t>
      </w:r>
      <w:r w:rsidRPr="00AF1E57">
        <w:rPr>
          <w:rFonts w:ascii="Palatino Linotype" w:eastAsia="Palatino Linotype" w:hAnsi="Palatino Linotype" w:cs="Palatino Linotype"/>
        </w:rPr>
        <w:t>, requiriéndole lo siguiente:</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lastRenderedPageBreak/>
        <w:t xml:space="preserve">“SOLICITO EL SOPORTE DOCUMENTAL EN DONDE SE ACREDITE CUANTAS JORNADAS DE limpieza y sondeo de coladeras pluviales y de la línea general de drenaje se han realizado durante el año 2022 y 2023, si no fue jornada y solo se </w:t>
      </w:r>
      <w:proofErr w:type="spellStart"/>
      <w:r w:rsidRPr="00AF1E57">
        <w:rPr>
          <w:rFonts w:ascii="Palatino Linotype" w:eastAsia="Palatino Linotype" w:hAnsi="Palatino Linotype" w:cs="Palatino Linotype"/>
          <w:i/>
          <w:sz w:val="22"/>
          <w:szCs w:val="22"/>
        </w:rPr>
        <w:t>realizo</w:t>
      </w:r>
      <w:proofErr w:type="spellEnd"/>
      <w:r w:rsidRPr="00AF1E57">
        <w:rPr>
          <w:rFonts w:ascii="Palatino Linotype" w:eastAsia="Palatino Linotype" w:hAnsi="Palatino Linotype" w:cs="Palatino Linotype"/>
          <w:i/>
          <w:sz w:val="22"/>
          <w:szCs w:val="22"/>
        </w:rPr>
        <w:t xml:space="preserve"> en alguna colonia, calle o localidad en </w:t>
      </w:r>
      <w:proofErr w:type="spellStart"/>
      <w:r w:rsidRPr="00AF1E57">
        <w:rPr>
          <w:rFonts w:ascii="Palatino Linotype" w:eastAsia="Palatino Linotype" w:hAnsi="Palatino Linotype" w:cs="Palatino Linotype"/>
          <w:i/>
          <w:sz w:val="22"/>
          <w:szCs w:val="22"/>
        </w:rPr>
        <w:t>especifico</w:t>
      </w:r>
      <w:proofErr w:type="spellEnd"/>
      <w:r w:rsidRPr="00AF1E57">
        <w:rPr>
          <w:rFonts w:ascii="Palatino Linotype" w:eastAsia="Palatino Linotype" w:hAnsi="Palatino Linotype" w:cs="Palatino Linotype"/>
          <w:i/>
          <w:sz w:val="22"/>
          <w:szCs w:val="22"/>
        </w:rPr>
        <w:t xml:space="preserve"> de igual manera requiero la información, requiero saber en </w:t>
      </w:r>
      <w:proofErr w:type="spellStart"/>
      <w:r w:rsidRPr="00AF1E57">
        <w:rPr>
          <w:rFonts w:ascii="Palatino Linotype" w:eastAsia="Palatino Linotype" w:hAnsi="Palatino Linotype" w:cs="Palatino Linotype"/>
          <w:i/>
          <w:sz w:val="22"/>
          <w:szCs w:val="22"/>
        </w:rPr>
        <w:t>que</w:t>
      </w:r>
      <w:proofErr w:type="spellEnd"/>
      <w:r w:rsidRPr="00AF1E57">
        <w:rPr>
          <w:rFonts w:ascii="Palatino Linotype" w:eastAsia="Palatino Linotype" w:hAnsi="Palatino Linotype" w:cs="Palatino Linotype"/>
          <w:i/>
          <w:sz w:val="22"/>
          <w:szCs w:val="22"/>
        </w:rPr>
        <w:t xml:space="preserve"> fecha, horarios y cuanto personal participo en dichas actividades. </w:t>
      </w:r>
      <w:proofErr w:type="gramStart"/>
      <w:r w:rsidRPr="00AF1E57">
        <w:rPr>
          <w:rFonts w:ascii="Palatino Linotype" w:eastAsia="Palatino Linotype" w:hAnsi="Palatino Linotype" w:cs="Palatino Linotype"/>
          <w:i/>
          <w:sz w:val="22"/>
          <w:szCs w:val="22"/>
        </w:rPr>
        <w:t>requiero</w:t>
      </w:r>
      <w:proofErr w:type="gramEnd"/>
      <w:r w:rsidRPr="00AF1E57">
        <w:rPr>
          <w:rFonts w:ascii="Palatino Linotype" w:eastAsia="Palatino Linotype" w:hAnsi="Palatino Linotype" w:cs="Palatino Linotype"/>
          <w:i/>
          <w:sz w:val="22"/>
          <w:szCs w:val="22"/>
        </w:rPr>
        <w:t xml:space="preserve"> saber a cuanto ascendió el gasto por dichas actividades solicitando el soporte documental de la información que solicito, tales como facturas, cheques, contratos o recibos de pago. SOLICITO QUE SE INCLUYA EN LA INFORMACIÓN ATES SOLICITADA "la limpieza y sondeo de coladeras pluviales y la línea general de drenaje QUE SE REALIZO con el camión hidroneumático, esto en calle Chichimecas entre Moctezuma y Tenochtitlán, Colonia Ancón, ESTO EN DIAS PASADOS. YA QUE DICHA INFORMACIÓN SE COMPARTIÓ Y SE DIO A CONOCER EN LA PAGINA OFICIAL DE FACEBOOK "OPDAPAS LA PAZ 2022-2024.”</w:t>
      </w:r>
    </w:p>
    <w:p w:rsidR="00106578" w:rsidRPr="00AF1E57" w:rsidRDefault="00106578">
      <w:pPr>
        <w:spacing w:line="360" w:lineRule="auto"/>
        <w:ind w:left="709" w:right="900"/>
        <w:jc w:val="both"/>
        <w:rPr>
          <w:rFonts w:ascii="Palatino Linotype" w:eastAsia="Palatino Linotype" w:hAnsi="Palatino Linotype" w:cs="Palatino Linotype"/>
          <w:b/>
          <w:i/>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b/>
        </w:rPr>
        <w:t xml:space="preserve">Modalidad elegida para la entrega de la información: </w:t>
      </w:r>
      <w:r w:rsidRPr="00AF1E57">
        <w:rPr>
          <w:rFonts w:ascii="Palatino Linotype" w:eastAsia="Palatino Linotype" w:hAnsi="Palatino Linotype" w:cs="Palatino Linotype"/>
        </w:rPr>
        <w:t xml:space="preserve">a través del Sistema de Acceso a la Información Mexiquense.  </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AF1E57">
        <w:rPr>
          <w:rFonts w:ascii="Palatino Linotype" w:eastAsia="Palatino Linotype" w:hAnsi="Palatino Linotype" w:cs="Palatino Linotype"/>
          <w:b/>
        </w:rPr>
        <w:t xml:space="preserve">Respuesta. </w:t>
      </w:r>
      <w:r w:rsidRPr="00AF1E57">
        <w:rPr>
          <w:rFonts w:ascii="Palatino Linotype" w:eastAsia="Palatino Linotype" w:hAnsi="Palatino Linotype" w:cs="Palatino Linotype"/>
        </w:rPr>
        <w:t xml:space="preserve">De las constancias que obran en Sistema de Acceso a la Información Mexiquense, se observa que el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 xml:space="preserve"> no emitió respuesta a la solicitud de información formulada por la persona solicitante.</w:t>
      </w:r>
    </w:p>
    <w:p w:rsidR="00106578" w:rsidRPr="00AF1E57" w:rsidRDefault="00106578">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rsidR="00106578" w:rsidRPr="00AF1E57" w:rsidRDefault="00F96CE0">
      <w:pPr>
        <w:numPr>
          <w:ilvl w:val="0"/>
          <w:numId w:val="6"/>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rPr>
      </w:pPr>
      <w:r w:rsidRPr="00AF1E57">
        <w:rPr>
          <w:rFonts w:ascii="Palatino Linotype" w:eastAsia="Palatino Linotype" w:hAnsi="Palatino Linotype" w:cs="Palatino Linotype"/>
          <w:b/>
        </w:rPr>
        <w:t xml:space="preserve">Interposición del recurso de revisión. </w:t>
      </w:r>
      <w:r w:rsidRPr="00AF1E57">
        <w:rPr>
          <w:rFonts w:ascii="Palatino Linotype" w:eastAsia="Palatino Linotype" w:hAnsi="Palatino Linotype" w:cs="Palatino Linotype"/>
        </w:rPr>
        <w:t xml:space="preserve">Inconforme con la falta de respuesta del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 xml:space="preserve">, la parte </w:t>
      </w:r>
      <w:r w:rsidRPr="00AF1E57">
        <w:rPr>
          <w:rFonts w:ascii="Palatino Linotype" w:eastAsia="Palatino Linotype" w:hAnsi="Palatino Linotype" w:cs="Palatino Linotype"/>
          <w:b/>
        </w:rPr>
        <w:t>RECURRENTE</w:t>
      </w:r>
      <w:r w:rsidRPr="00AF1E57">
        <w:rPr>
          <w:rFonts w:ascii="Palatino Linotype" w:eastAsia="Palatino Linotype" w:hAnsi="Palatino Linotype" w:cs="Palatino Linotype"/>
        </w:rPr>
        <w:t xml:space="preserve"> interpuso recurso de revisión a </w:t>
      </w:r>
      <w:r w:rsidRPr="00AF1E57">
        <w:rPr>
          <w:rFonts w:ascii="Palatino Linotype" w:eastAsia="Palatino Linotype" w:hAnsi="Palatino Linotype" w:cs="Palatino Linotype"/>
        </w:rPr>
        <w:lastRenderedPageBreak/>
        <w:t xml:space="preserve">través del SAIMEX en fecha </w:t>
      </w:r>
      <w:r w:rsidRPr="00AF1E57">
        <w:rPr>
          <w:rFonts w:ascii="Palatino Linotype" w:eastAsia="Palatino Linotype" w:hAnsi="Palatino Linotype" w:cs="Palatino Linotype"/>
          <w:b/>
        </w:rPr>
        <w:t>veintidós de marzo de dos mil veintitrés</w:t>
      </w:r>
      <w:r w:rsidRPr="00AF1E57">
        <w:rPr>
          <w:rFonts w:ascii="Palatino Linotype" w:eastAsia="Palatino Linotype" w:hAnsi="Palatino Linotype" w:cs="Palatino Linotype"/>
        </w:rPr>
        <w:t>, a través del cual expresó lo siguiente:</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276" w:lineRule="auto"/>
        <w:ind w:left="567" w:right="900"/>
        <w:jc w:val="both"/>
        <w:rPr>
          <w:rFonts w:ascii="Palatino Linotype" w:eastAsia="Palatino Linotype" w:hAnsi="Palatino Linotype" w:cs="Palatino Linotype"/>
          <w:b/>
          <w:sz w:val="22"/>
          <w:szCs w:val="22"/>
        </w:rPr>
      </w:pPr>
      <w:r w:rsidRPr="00AF1E57">
        <w:rPr>
          <w:rFonts w:ascii="Palatino Linotype" w:eastAsia="Palatino Linotype" w:hAnsi="Palatino Linotype" w:cs="Palatino Linotype"/>
          <w:b/>
          <w:sz w:val="22"/>
          <w:szCs w:val="22"/>
        </w:rPr>
        <w:t xml:space="preserve">Acto impugnado. </w:t>
      </w:r>
      <w:r w:rsidRPr="00AF1E57">
        <w:rPr>
          <w:rFonts w:ascii="Palatino Linotype" w:eastAsia="Palatino Linotype" w:hAnsi="Palatino Linotype" w:cs="Palatino Linotype"/>
          <w:i/>
          <w:sz w:val="22"/>
          <w:szCs w:val="22"/>
        </w:rPr>
        <w:t xml:space="preserve">“EL ORGANISMO DE AGUA IGNORO POR COMPLETO MI SOLICITUD DE INFORMACIÓN, Y SE ESTA NEGANDO A ENTREGAR INFORMACION”. </w:t>
      </w:r>
    </w:p>
    <w:p w:rsidR="00106578" w:rsidRPr="00AF1E57" w:rsidRDefault="00F96CE0">
      <w:pPr>
        <w:spacing w:line="276" w:lineRule="auto"/>
        <w:ind w:left="567" w:right="900"/>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sz w:val="22"/>
          <w:szCs w:val="22"/>
        </w:rPr>
        <w:t xml:space="preserve">Motivos de inconformidad. </w:t>
      </w:r>
      <w:r w:rsidRPr="00AF1E57">
        <w:rPr>
          <w:rFonts w:ascii="Palatino Linotype" w:eastAsia="Palatino Linotype" w:hAnsi="Palatino Linotype" w:cs="Palatino Linotype"/>
          <w:i/>
          <w:sz w:val="22"/>
          <w:szCs w:val="22"/>
        </w:rPr>
        <w:t>“EL ORGANISMO DE AGUA IGNORO POR COMPLETO MI SOLICITUD DE INFORMACIÓN, Y SE ESTA NEGANDO A ENTREGAR INFORMACION”.</w:t>
      </w:r>
    </w:p>
    <w:p w:rsidR="00106578" w:rsidRPr="00AF1E57" w:rsidRDefault="00106578">
      <w:pPr>
        <w:pBdr>
          <w:top w:val="nil"/>
          <w:left w:val="nil"/>
          <w:bottom w:val="nil"/>
          <w:right w:val="nil"/>
          <w:between w:val="nil"/>
        </w:pBdr>
        <w:spacing w:line="360" w:lineRule="auto"/>
        <w:jc w:val="both"/>
        <w:rPr>
          <w:rFonts w:ascii="Palatino Linotype" w:eastAsia="Palatino Linotype" w:hAnsi="Palatino Linotype" w:cs="Palatino Linotype"/>
        </w:rPr>
      </w:pPr>
    </w:p>
    <w:p w:rsidR="00106578" w:rsidRPr="00AF1E57" w:rsidRDefault="00F96CE0">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AF1E57">
        <w:rPr>
          <w:rFonts w:ascii="Palatino Linotype" w:eastAsia="Palatino Linotype" w:hAnsi="Palatino Linotype" w:cs="Palatino Linotype"/>
          <w:b/>
        </w:rPr>
        <w:t xml:space="preserve">Turno. </w:t>
      </w:r>
      <w:r w:rsidRPr="00AF1E5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AF1E57">
        <w:rPr>
          <w:rFonts w:ascii="Palatino Linotype" w:eastAsia="Palatino Linotype" w:hAnsi="Palatino Linotype" w:cs="Palatino Linotype"/>
          <w:b/>
        </w:rPr>
        <w:t>01559/INFOEM/IP/RR/2023</w:t>
      </w:r>
      <w:r w:rsidRPr="00AF1E57">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w:t>
      </w:r>
      <w:r w:rsidRPr="00AF1E57">
        <w:rPr>
          <w:rFonts w:ascii="Palatino Linotype" w:eastAsia="Palatino Linotype" w:hAnsi="Palatino Linotype" w:cs="Palatino Linotype"/>
          <w:b/>
        </w:rPr>
        <w:t>Guadalupe Ramírez Peña</w:t>
      </w:r>
      <w:r w:rsidRPr="00AF1E57">
        <w:rPr>
          <w:rFonts w:ascii="Palatino Linotype" w:eastAsia="Palatino Linotype" w:hAnsi="Palatino Linotype" w:cs="Palatino Linotype"/>
        </w:rPr>
        <w:t>, para su análisis, estudio, elaboración del proyecto y presentación ante el Pleno de este Instituto.</w:t>
      </w:r>
    </w:p>
    <w:p w:rsidR="00106578" w:rsidRPr="00AF1E57" w:rsidRDefault="0010657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106578" w:rsidRPr="00AF1E57" w:rsidRDefault="00F96CE0">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bookmarkStart w:id="1" w:name="_heading=h.gjdgxs" w:colFirst="0" w:colLast="0"/>
      <w:bookmarkEnd w:id="1"/>
      <w:r w:rsidRPr="00AF1E57">
        <w:rPr>
          <w:rFonts w:ascii="Palatino Linotype" w:eastAsia="Palatino Linotype" w:hAnsi="Palatino Linotype" w:cs="Palatino Linotype"/>
          <w:b/>
        </w:rPr>
        <w:t xml:space="preserve">Admisión del recurso de revisión: </w:t>
      </w:r>
      <w:r w:rsidRPr="00AF1E57">
        <w:rPr>
          <w:rFonts w:ascii="Palatino Linotype" w:eastAsia="Palatino Linotype" w:hAnsi="Palatino Linotype" w:cs="Palatino Linotype"/>
        </w:rPr>
        <w:t xml:space="preserve">En fecha </w:t>
      </w:r>
      <w:r w:rsidRPr="00AF1E57">
        <w:rPr>
          <w:rFonts w:ascii="Palatino Linotype" w:eastAsia="Palatino Linotype" w:hAnsi="Palatino Linotype" w:cs="Palatino Linotype"/>
          <w:b/>
        </w:rPr>
        <w:t>veintisiete de marzo de dos mil veintitrés</w:t>
      </w:r>
      <w:r w:rsidRPr="00AF1E57">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w:t>
      </w:r>
      <w:r w:rsidRPr="00AF1E57">
        <w:rPr>
          <w:rFonts w:ascii="Palatino Linotype" w:eastAsia="Palatino Linotype" w:hAnsi="Palatino Linotype" w:cs="Palatino Linotype"/>
        </w:rPr>
        <w:lastRenderedPageBreak/>
        <w:t xml:space="preserve">manifestaran lo que a su derecho resultara conveniente, ofrecieran pruebas, formularan alegatos y el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 xml:space="preserve"> presentara su informe justificado.</w:t>
      </w:r>
    </w:p>
    <w:p w:rsidR="00106578" w:rsidRPr="00AF1E57" w:rsidRDefault="0010657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106578" w:rsidRPr="00AF1E57" w:rsidRDefault="00F96CE0">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AF1E57">
        <w:rPr>
          <w:rFonts w:ascii="Palatino Linotype" w:eastAsia="Palatino Linotype" w:hAnsi="Palatino Linotype" w:cs="Palatino Linotype"/>
          <w:b/>
        </w:rPr>
        <w:t>Manifestaciones</w:t>
      </w:r>
      <w:r w:rsidRPr="00AF1E57">
        <w:rPr>
          <w:rFonts w:ascii="Palatino Linotype" w:eastAsia="Palatino Linotype" w:hAnsi="Palatino Linotype" w:cs="Palatino Linotype"/>
        </w:rPr>
        <w:t xml:space="preserve">: En fecha </w:t>
      </w:r>
      <w:r w:rsidRPr="00AF1E57">
        <w:rPr>
          <w:rFonts w:ascii="Palatino Linotype" w:eastAsia="Palatino Linotype" w:hAnsi="Palatino Linotype" w:cs="Palatino Linotype"/>
          <w:b/>
        </w:rPr>
        <w:t>catorce de abril de dos mil veintitrés</w:t>
      </w:r>
      <w:r w:rsidRPr="00AF1E57">
        <w:rPr>
          <w:rFonts w:ascii="Palatino Linotype" w:eastAsia="Palatino Linotype" w:hAnsi="Palatino Linotype" w:cs="Palatino Linotype"/>
        </w:rPr>
        <w:t xml:space="preserve">, el </w:t>
      </w:r>
      <w:r w:rsidRPr="00AF1E57">
        <w:rPr>
          <w:rFonts w:ascii="Palatino Linotype" w:eastAsia="Palatino Linotype" w:hAnsi="Palatino Linotype" w:cs="Palatino Linotype"/>
          <w:b/>
        </w:rPr>
        <w:t xml:space="preserve">SUJETO OBLIGADO </w:t>
      </w:r>
      <w:r w:rsidRPr="00AF1E57">
        <w:rPr>
          <w:rFonts w:ascii="Palatino Linotype" w:eastAsia="Palatino Linotype" w:hAnsi="Palatino Linotype" w:cs="Palatino Linotype"/>
        </w:rPr>
        <w:t xml:space="preserve">rindió su informe justificado al tenor de lo siguiente: </w:t>
      </w:r>
    </w:p>
    <w:p w:rsidR="00106578" w:rsidRPr="00AF1E57" w:rsidRDefault="0010657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106578" w:rsidRPr="00AF1E57" w:rsidRDefault="00F96CE0">
      <w:pPr>
        <w:numPr>
          <w:ilvl w:val="0"/>
          <w:numId w:val="1"/>
        </w:numPr>
        <w:pBdr>
          <w:top w:val="nil"/>
          <w:left w:val="nil"/>
          <w:bottom w:val="nil"/>
          <w:right w:val="nil"/>
          <w:between w:val="nil"/>
        </w:pBdr>
        <w:tabs>
          <w:tab w:val="left" w:pos="284"/>
        </w:tabs>
        <w:spacing w:line="360" w:lineRule="auto"/>
        <w:jc w:val="both"/>
      </w:pPr>
      <w:r w:rsidRPr="00AF1E57">
        <w:rPr>
          <w:rFonts w:ascii="Palatino Linotype" w:eastAsia="Palatino Linotype" w:hAnsi="Palatino Linotype" w:cs="Palatino Linotype"/>
          <w:sz w:val="22"/>
          <w:szCs w:val="22"/>
        </w:rPr>
        <w:t xml:space="preserve">Oficio signado por la Gerente de Transparencia, mediante el cual informa que, la información se proporcionara de conformidad con el artículo 12 de la Ley de Transparencia y Acceso a la Información Pública del Estado de México y Municipios. </w:t>
      </w:r>
    </w:p>
    <w:p w:rsidR="00106578" w:rsidRPr="00AF1E57" w:rsidRDefault="00F96CE0">
      <w:pPr>
        <w:numPr>
          <w:ilvl w:val="0"/>
          <w:numId w:val="1"/>
        </w:numPr>
        <w:pBdr>
          <w:top w:val="nil"/>
          <w:left w:val="nil"/>
          <w:bottom w:val="nil"/>
          <w:right w:val="nil"/>
          <w:between w:val="nil"/>
        </w:pBdr>
        <w:tabs>
          <w:tab w:val="left" w:pos="284"/>
        </w:tabs>
        <w:spacing w:line="360" w:lineRule="auto"/>
        <w:jc w:val="both"/>
      </w:pPr>
      <w:r w:rsidRPr="00AF1E57">
        <w:rPr>
          <w:rFonts w:ascii="Palatino Linotype" w:eastAsia="Palatino Linotype" w:hAnsi="Palatino Linotype" w:cs="Palatino Linotype"/>
          <w:sz w:val="22"/>
          <w:szCs w:val="22"/>
        </w:rPr>
        <w:t xml:space="preserve">Oficio de fecha seis de marzo de dos mil veintitrés, signado por el Director de Construcción e Infraestructura, mediante el cual informa lo siguiente: </w:t>
      </w:r>
    </w:p>
    <w:p w:rsidR="00106578" w:rsidRPr="00AF1E57" w:rsidRDefault="00F96CE0">
      <w:pPr>
        <w:pBdr>
          <w:top w:val="nil"/>
          <w:left w:val="nil"/>
          <w:bottom w:val="nil"/>
          <w:right w:val="nil"/>
          <w:between w:val="nil"/>
        </w:pBdr>
        <w:tabs>
          <w:tab w:val="left" w:pos="284"/>
        </w:tabs>
        <w:spacing w:line="360" w:lineRule="auto"/>
        <w:ind w:left="720"/>
        <w:jc w:val="center"/>
        <w:rPr>
          <w:sz w:val="22"/>
          <w:szCs w:val="22"/>
        </w:rPr>
      </w:pPr>
      <w:r w:rsidRPr="00AF1E57">
        <w:rPr>
          <w:noProof/>
          <w:sz w:val="22"/>
          <w:szCs w:val="22"/>
          <w:lang w:val="es-MX" w:eastAsia="es-MX"/>
        </w:rPr>
        <w:drawing>
          <wp:inline distT="0" distB="0" distL="0" distR="0">
            <wp:extent cx="4263167" cy="265736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263167" cy="2657365"/>
                    </a:xfrm>
                    <a:prstGeom prst="rect">
                      <a:avLst/>
                    </a:prstGeom>
                    <a:ln/>
                  </pic:spPr>
                </pic:pic>
              </a:graphicData>
            </a:graphic>
          </wp:inline>
        </w:drawing>
      </w:r>
    </w:p>
    <w:p w:rsidR="00106578" w:rsidRPr="00AF1E57" w:rsidRDefault="00106578">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sz w:val="22"/>
          <w:szCs w:val="22"/>
        </w:rPr>
      </w:pPr>
    </w:p>
    <w:p w:rsidR="00106578" w:rsidRPr="00AF1E57" w:rsidRDefault="00F96CE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r w:rsidRPr="00AF1E57">
        <w:rPr>
          <w:rFonts w:ascii="Palatino Linotype" w:eastAsia="Palatino Linotype" w:hAnsi="Palatino Linotype" w:cs="Palatino Linotype"/>
          <w:sz w:val="22"/>
          <w:szCs w:val="22"/>
        </w:rPr>
        <w:lastRenderedPageBreak/>
        <w:t xml:space="preserve">Documento que se hizo del conocimiento de la parte Recurrente en fecha </w:t>
      </w:r>
      <w:r w:rsidRPr="00AF1E57">
        <w:rPr>
          <w:rFonts w:ascii="Palatino Linotype" w:eastAsia="Palatino Linotype" w:hAnsi="Palatino Linotype" w:cs="Palatino Linotype"/>
          <w:b/>
          <w:sz w:val="22"/>
          <w:szCs w:val="22"/>
        </w:rPr>
        <w:t>catorce de noviembre de dos mil veintitrés.</w:t>
      </w:r>
    </w:p>
    <w:p w:rsidR="00106578" w:rsidRPr="00AF1E57" w:rsidRDefault="0010657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p>
    <w:p w:rsidR="00106578" w:rsidRPr="00AF1E57" w:rsidRDefault="00F96CE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sz w:val="22"/>
          <w:szCs w:val="22"/>
        </w:rPr>
        <w:t xml:space="preserve">La parte Recurrente no realizó manifestaciones. </w:t>
      </w:r>
    </w:p>
    <w:p w:rsidR="00106578" w:rsidRPr="00AF1E57" w:rsidRDefault="00F96CE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sz w:val="22"/>
          <w:szCs w:val="22"/>
        </w:rPr>
        <w:t xml:space="preserve"> </w:t>
      </w:r>
    </w:p>
    <w:p w:rsidR="00106578" w:rsidRPr="00AF1E57" w:rsidRDefault="00F96CE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b/>
        </w:rPr>
        <w:t>7. Ampliación de plazo:</w:t>
      </w:r>
      <w:r w:rsidRPr="00AF1E57">
        <w:rPr>
          <w:rFonts w:ascii="Palatino Linotype" w:eastAsia="Palatino Linotype" w:hAnsi="Palatino Linotype" w:cs="Palatino Linotype"/>
        </w:rPr>
        <w:t xml:space="preserve"> El</w:t>
      </w:r>
      <w:r w:rsidRPr="00AF1E57">
        <w:rPr>
          <w:rFonts w:ascii="Palatino Linotype" w:eastAsia="Palatino Linotype" w:hAnsi="Palatino Linotype" w:cs="Palatino Linotype"/>
          <w:b/>
        </w:rPr>
        <w:t xml:space="preserve"> catorce de noviembre de dos mil veintitrés</w:t>
      </w:r>
      <w:r w:rsidRPr="00AF1E57">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106578" w:rsidRPr="00AF1E57" w:rsidRDefault="0010657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 </w:t>
      </w: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 </w:t>
      </w: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tabs>
          <w:tab w:val="left" w:pos="709"/>
        </w:tabs>
        <w:spacing w:line="360" w:lineRule="auto"/>
        <w:ind w:left="567" w:right="56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b/>
          <w:sz w:val="22"/>
          <w:szCs w:val="22"/>
        </w:rPr>
        <w:lastRenderedPageBreak/>
        <w:t>a)    Complejidad del asunto:</w:t>
      </w:r>
      <w:r w:rsidRPr="00AF1E57">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rsidR="00106578" w:rsidRPr="00AF1E57" w:rsidRDefault="00F96CE0">
      <w:pPr>
        <w:tabs>
          <w:tab w:val="left" w:pos="709"/>
        </w:tabs>
        <w:spacing w:line="360" w:lineRule="auto"/>
        <w:ind w:left="567" w:right="56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b/>
          <w:sz w:val="22"/>
          <w:szCs w:val="22"/>
        </w:rPr>
        <w:t>b)   Actividad Procesal del interesado</w:t>
      </w:r>
      <w:r w:rsidRPr="00AF1E57">
        <w:rPr>
          <w:rFonts w:ascii="Palatino Linotype" w:eastAsia="Palatino Linotype" w:hAnsi="Palatino Linotype" w:cs="Palatino Linotype"/>
          <w:sz w:val="22"/>
          <w:szCs w:val="22"/>
        </w:rPr>
        <w:t>: Acciones u omisiones del interesado.</w:t>
      </w:r>
    </w:p>
    <w:p w:rsidR="00106578" w:rsidRPr="00AF1E57" w:rsidRDefault="00F96CE0">
      <w:pPr>
        <w:tabs>
          <w:tab w:val="left" w:pos="851"/>
        </w:tabs>
        <w:spacing w:line="360" w:lineRule="auto"/>
        <w:ind w:left="567" w:right="56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b/>
          <w:sz w:val="22"/>
          <w:szCs w:val="22"/>
        </w:rPr>
        <w:t>c)  Conducta de la Autoridad:</w:t>
      </w:r>
      <w:r w:rsidRPr="00AF1E57">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106578" w:rsidRPr="00AF1E57" w:rsidRDefault="00F96CE0">
      <w:pPr>
        <w:tabs>
          <w:tab w:val="left" w:pos="851"/>
        </w:tabs>
        <w:spacing w:line="360" w:lineRule="auto"/>
        <w:ind w:left="567" w:right="56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b/>
          <w:sz w:val="22"/>
          <w:szCs w:val="22"/>
        </w:rPr>
        <w:t>d) La afectación generada en la situación jurídica de la persona involucrada en el proceso:</w:t>
      </w:r>
      <w:r w:rsidRPr="00AF1E57">
        <w:rPr>
          <w:rFonts w:ascii="Palatino Linotype" w:eastAsia="Palatino Linotype" w:hAnsi="Palatino Linotype" w:cs="Palatino Linotype"/>
          <w:sz w:val="22"/>
          <w:szCs w:val="22"/>
        </w:rPr>
        <w:t xml:space="preserve"> Violación a sus derechos humanos.</w:t>
      </w:r>
    </w:p>
    <w:p w:rsidR="00106578" w:rsidRPr="00AF1E57" w:rsidRDefault="00106578">
      <w:pPr>
        <w:tabs>
          <w:tab w:val="left" w:pos="851"/>
        </w:tabs>
        <w:spacing w:line="360" w:lineRule="auto"/>
        <w:ind w:left="567" w:right="560"/>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 </w:t>
      </w: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Argumento que encuentra sustento en la jurisprudencia P</w:t>
      </w:r>
      <w:proofErr w:type="gramStart"/>
      <w:r w:rsidRPr="00AF1E57">
        <w:rPr>
          <w:rFonts w:ascii="Palatino Linotype" w:eastAsia="Palatino Linotype" w:hAnsi="Palatino Linotype" w:cs="Palatino Linotype"/>
        </w:rPr>
        <w:t>./</w:t>
      </w:r>
      <w:proofErr w:type="gramEnd"/>
      <w:r w:rsidRPr="00AF1E57">
        <w:rPr>
          <w:rFonts w:ascii="Palatino Linotype" w:eastAsia="Palatino Linotype" w:hAnsi="Palatino Linotype" w:cs="Palatino Linotype"/>
        </w:rPr>
        <w:t>J. 32/92 emitida por el Pleno de la Suprema Corte de Justicia de la Nación de rubro “</w:t>
      </w:r>
      <w:r w:rsidRPr="00AF1E57">
        <w:rPr>
          <w:rFonts w:ascii="Palatino Linotype" w:eastAsia="Palatino Linotype" w:hAnsi="Palatino Linotype" w:cs="Palatino Linotype"/>
          <w:b/>
        </w:rPr>
        <w:t xml:space="preserve">TÉRMINOS PROCESALES. PARA DETERMINAR SI UN FUNCIONARIO JUDICIAL ACTUÓ INDEBIDAMENTE POR NO RESPETARLOS SE DEBE ATENDER AL PRESUPUESTO QUE CONSIDERÓ EL LEGISLADOR AL FIJARLOS Y LAS </w:t>
      </w:r>
      <w:r w:rsidRPr="00AF1E57">
        <w:rPr>
          <w:rFonts w:ascii="Palatino Linotype" w:eastAsia="Palatino Linotype" w:hAnsi="Palatino Linotype" w:cs="Palatino Linotype"/>
          <w:b/>
        </w:rPr>
        <w:lastRenderedPageBreak/>
        <w:t>CARACTERÍSTICAS DEL CASO.”</w:t>
      </w:r>
      <w:r w:rsidRPr="00AF1E57">
        <w:rPr>
          <w:rFonts w:ascii="Palatino Linotype" w:eastAsia="Palatino Linotype" w:hAnsi="Palatino Linotype" w:cs="Palatino Linotype"/>
        </w:rPr>
        <w:t>, visible en la Gaceta del Seminario Judicial de la Federación con el registro digital 205635.</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 </w:t>
      </w:r>
    </w:p>
    <w:p w:rsidR="00106578" w:rsidRPr="00AF1E57" w:rsidRDefault="00F96CE0">
      <w:pPr>
        <w:spacing w:line="360" w:lineRule="auto"/>
        <w:ind w:left="567" w:right="56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b/>
          <w:sz w:val="22"/>
          <w:szCs w:val="22"/>
        </w:rPr>
        <w:t xml:space="preserve"> “PLAZO RAZONABLE PARA RESOLVER. DIMENSIÓN Y EFECTOS DE ESTE CONCEPTO CUANDO SE ADUCE EXCESIVA CARGA DE </w:t>
      </w:r>
      <w:r w:rsidRPr="00AF1E57">
        <w:rPr>
          <w:rFonts w:ascii="Palatino Linotype" w:eastAsia="Palatino Linotype" w:hAnsi="Palatino Linotype" w:cs="Palatino Linotype"/>
          <w:b/>
          <w:sz w:val="22"/>
          <w:szCs w:val="22"/>
        </w:rPr>
        <w:lastRenderedPageBreak/>
        <w:t>TRABAJO.”</w:t>
      </w:r>
      <w:r w:rsidRPr="00AF1E57">
        <w:rPr>
          <w:rFonts w:ascii="Palatino Linotype" w:eastAsia="Palatino Linotype" w:hAnsi="Palatino Linotype" w:cs="Palatino Linotype"/>
          <w:sz w:val="22"/>
          <w:szCs w:val="22"/>
        </w:rPr>
        <w:t xml:space="preserve"> consultable en el Seminario Judicial de la Federación y su gaceta, con el registro digital 2002351.</w:t>
      </w:r>
    </w:p>
    <w:p w:rsidR="00106578" w:rsidRPr="00AF1E57" w:rsidRDefault="00F96CE0">
      <w:pPr>
        <w:spacing w:line="360" w:lineRule="auto"/>
        <w:ind w:left="567" w:right="56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sz w:val="22"/>
          <w:szCs w:val="22"/>
        </w:rPr>
        <w:t xml:space="preserve"> </w:t>
      </w:r>
    </w:p>
    <w:p w:rsidR="00106578" w:rsidRPr="00AF1E57" w:rsidRDefault="00F96CE0">
      <w:pPr>
        <w:spacing w:line="360" w:lineRule="auto"/>
        <w:ind w:left="567" w:right="56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AF1E57">
        <w:rPr>
          <w:rFonts w:ascii="Palatino Linotype" w:eastAsia="Palatino Linotype" w:hAnsi="Palatino Linotype" w:cs="Palatino Linotype"/>
          <w:sz w:val="22"/>
          <w:szCs w:val="22"/>
        </w:rPr>
        <w:t xml:space="preserve"> visible en el Seminario Judicial de la Federación y su gaceta, con el registro digital 2002350.</w:t>
      </w:r>
    </w:p>
    <w:p w:rsidR="00106578" w:rsidRPr="00AF1E57" w:rsidRDefault="00106578">
      <w:pPr>
        <w:spacing w:line="360" w:lineRule="auto"/>
        <w:ind w:left="567" w:right="560"/>
        <w:jc w:val="both"/>
        <w:rPr>
          <w:rFonts w:ascii="Palatino Linotype" w:eastAsia="Palatino Linotype" w:hAnsi="Palatino Linotype" w:cs="Palatino Linotype"/>
          <w:sz w:val="22"/>
          <w:szCs w:val="22"/>
        </w:rPr>
      </w:pPr>
    </w:p>
    <w:p w:rsidR="00106578" w:rsidRPr="00AF1E57" w:rsidRDefault="00F96CE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106578" w:rsidRPr="00AF1E57" w:rsidRDefault="0010657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rsidR="00106578" w:rsidRPr="00AF1E57" w:rsidRDefault="00F96CE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b/>
        </w:rPr>
        <w:t xml:space="preserve">8. Cierre de instrucción. </w:t>
      </w:r>
      <w:r w:rsidRPr="00AF1E57">
        <w:rPr>
          <w:rFonts w:ascii="Palatino Linotype" w:eastAsia="Palatino Linotype" w:hAnsi="Palatino Linotype" w:cs="Palatino Linotype"/>
        </w:rPr>
        <w:t xml:space="preserve">El </w:t>
      </w:r>
      <w:r w:rsidRPr="00AF1E57">
        <w:rPr>
          <w:rFonts w:ascii="Palatino Linotype" w:eastAsia="Palatino Linotype" w:hAnsi="Palatino Linotype" w:cs="Palatino Linotype"/>
          <w:b/>
        </w:rPr>
        <w:t>veintiuno</w:t>
      </w:r>
      <w:r w:rsidRPr="00AF1E57">
        <w:rPr>
          <w:rFonts w:ascii="Palatino Linotype" w:eastAsia="Palatino Linotype" w:hAnsi="Palatino Linotype" w:cs="Palatino Linotype"/>
        </w:rPr>
        <w:t xml:space="preserve"> </w:t>
      </w:r>
      <w:r w:rsidRPr="00AF1E57">
        <w:rPr>
          <w:rFonts w:ascii="Palatino Linotype" w:eastAsia="Palatino Linotype" w:hAnsi="Palatino Linotype" w:cs="Palatino Linotype"/>
          <w:b/>
        </w:rPr>
        <w:t>de noviembre de dos mil veintitrés</w:t>
      </w:r>
      <w:r w:rsidRPr="00AF1E5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106578" w:rsidRPr="00AF1E57" w:rsidRDefault="0010657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8"/>
          <w:szCs w:val="28"/>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numPr>
          <w:ilvl w:val="0"/>
          <w:numId w:val="7"/>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AF1E57">
        <w:rPr>
          <w:rFonts w:ascii="Palatino Linotype" w:eastAsia="Palatino Linotype" w:hAnsi="Palatino Linotype" w:cs="Palatino Linotype"/>
          <w:b/>
          <w:sz w:val="22"/>
          <w:szCs w:val="22"/>
        </w:rPr>
        <w:lastRenderedPageBreak/>
        <w:t>C O N S I D E R A N D O:</w:t>
      </w:r>
    </w:p>
    <w:p w:rsidR="00106578" w:rsidRPr="00AF1E57" w:rsidRDefault="00106578">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rsidR="00106578" w:rsidRPr="00AF1E57" w:rsidRDefault="00F96CE0">
      <w:pPr>
        <w:spacing w:line="360" w:lineRule="auto"/>
        <w:jc w:val="both"/>
        <w:rPr>
          <w:rFonts w:ascii="Palatino Linotype" w:eastAsia="Palatino Linotype" w:hAnsi="Palatino Linotype" w:cs="Palatino Linotype"/>
          <w:b/>
        </w:rPr>
      </w:pPr>
      <w:r w:rsidRPr="00AF1E57">
        <w:rPr>
          <w:rFonts w:ascii="Palatino Linotype" w:eastAsia="Palatino Linotype" w:hAnsi="Palatino Linotype" w:cs="Palatino Linotype"/>
          <w:b/>
        </w:rPr>
        <w:t xml:space="preserve">Primero. Competencia. </w:t>
      </w:r>
      <w:r w:rsidRPr="00AF1E57">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106578" w:rsidRPr="00AF1E57" w:rsidRDefault="00106578">
      <w:pPr>
        <w:spacing w:line="360" w:lineRule="auto"/>
        <w:jc w:val="both"/>
        <w:rPr>
          <w:rFonts w:ascii="Palatino Linotype" w:eastAsia="Palatino Linotype" w:hAnsi="Palatino Linotype" w:cs="Palatino Linotype"/>
          <w:b/>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b/>
        </w:rPr>
        <w:t xml:space="preserve">Segundo. Oportunidad y </w:t>
      </w:r>
      <w:proofErr w:type="spellStart"/>
      <w:r w:rsidRPr="00AF1E57">
        <w:rPr>
          <w:rFonts w:ascii="Palatino Linotype" w:eastAsia="Palatino Linotype" w:hAnsi="Palatino Linotype" w:cs="Palatino Linotype"/>
          <w:b/>
        </w:rPr>
        <w:t>Procedibilidad</w:t>
      </w:r>
      <w:proofErr w:type="spellEnd"/>
      <w:r w:rsidRPr="00AF1E57">
        <w:rPr>
          <w:rFonts w:ascii="Palatino Linotype" w:eastAsia="Palatino Linotype" w:hAnsi="Palatino Linotype" w:cs="Palatino Linotype"/>
          <w:b/>
        </w:rPr>
        <w:t xml:space="preserve"> del Recurso de Revisión</w:t>
      </w:r>
      <w:r w:rsidRPr="00AF1E57">
        <w:rPr>
          <w:rFonts w:ascii="Palatino Linotype" w:eastAsia="Palatino Linotype" w:hAnsi="Palatino Linotype" w:cs="Palatino Linotype"/>
        </w:rPr>
        <w:t>. Es de precisar que la</w:t>
      </w:r>
      <w:r w:rsidRPr="00AF1E57">
        <w:rPr>
          <w:rFonts w:ascii="Palatino Linotype" w:eastAsia="Palatino Linotype" w:hAnsi="Palatino Linotype" w:cs="Palatino Linotype"/>
          <w:b/>
        </w:rPr>
        <w:t xml:space="preserve"> </w:t>
      </w:r>
      <w:r w:rsidRPr="00AF1E57">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276" w:lineRule="auto"/>
        <w:ind w:left="851" w:right="851"/>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lastRenderedPageBreak/>
        <w:t>“</w:t>
      </w:r>
      <w:r w:rsidRPr="00AF1E57">
        <w:rPr>
          <w:rFonts w:ascii="Palatino Linotype" w:eastAsia="Palatino Linotype" w:hAnsi="Palatino Linotype" w:cs="Palatino Linotype"/>
          <w:b/>
          <w:i/>
          <w:sz w:val="22"/>
          <w:szCs w:val="22"/>
        </w:rPr>
        <w:t xml:space="preserve">Artículo 163. </w:t>
      </w:r>
      <w:r w:rsidRPr="00AF1E57">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rsidR="00106578" w:rsidRPr="00AF1E57" w:rsidRDefault="00F96CE0">
      <w:pPr>
        <w:spacing w:line="276" w:lineRule="auto"/>
        <w:ind w:left="851" w:right="851"/>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spacing w:line="276" w:lineRule="auto"/>
        <w:ind w:left="851" w:right="851"/>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166.</w:t>
      </w:r>
      <w:r w:rsidRPr="00AF1E57">
        <w:rPr>
          <w:rFonts w:ascii="Palatino Linotype" w:eastAsia="Palatino Linotype" w:hAnsi="Palatino Linotype" w:cs="Palatino Linotype"/>
          <w:i/>
          <w:sz w:val="22"/>
          <w:szCs w:val="22"/>
        </w:rPr>
        <w:t xml:space="preserve"> […]</w:t>
      </w:r>
    </w:p>
    <w:p w:rsidR="00106578" w:rsidRPr="00AF1E57" w:rsidRDefault="00F96CE0">
      <w:pPr>
        <w:spacing w:line="276" w:lineRule="auto"/>
        <w:ind w:left="851" w:right="851"/>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rsidR="00106578" w:rsidRPr="00AF1E57" w:rsidRDefault="00106578">
      <w:pPr>
        <w:spacing w:line="360" w:lineRule="auto"/>
        <w:ind w:left="851" w:right="851"/>
        <w:jc w:val="both"/>
        <w:rPr>
          <w:rFonts w:ascii="Palatino Linotype" w:eastAsia="Palatino Linotype" w:hAnsi="Palatino Linotype" w:cs="Palatino Linotype"/>
          <w:i/>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lastRenderedPageBreak/>
        <w:t>Por su parte, el artículo 178 del citado ordenamiento, establece:</w:t>
      </w:r>
    </w:p>
    <w:p w:rsidR="00106578" w:rsidRPr="00AF1E57" w:rsidRDefault="00106578">
      <w:pPr>
        <w:spacing w:line="360" w:lineRule="auto"/>
        <w:jc w:val="both"/>
        <w:rPr>
          <w:rFonts w:ascii="Palatino Linotype" w:eastAsia="Palatino Linotype" w:hAnsi="Palatino Linotype" w:cs="Palatino Linotype"/>
          <w:i/>
        </w:rPr>
      </w:pPr>
    </w:p>
    <w:p w:rsidR="00106578" w:rsidRPr="00AF1E57" w:rsidRDefault="00F96CE0">
      <w:pPr>
        <w:tabs>
          <w:tab w:val="left" w:pos="1134"/>
        </w:tabs>
        <w:spacing w:line="276" w:lineRule="auto"/>
        <w:ind w:left="567" w:right="616"/>
        <w:jc w:val="both"/>
        <w:rPr>
          <w:rFonts w:ascii="Palatino Linotype" w:eastAsia="Palatino Linotype" w:hAnsi="Palatino Linotype" w:cs="Palatino Linotype"/>
          <w:b/>
          <w:i/>
          <w:sz w:val="22"/>
          <w:szCs w:val="22"/>
        </w:rPr>
      </w:pPr>
      <w:r w:rsidRPr="00AF1E57">
        <w:rPr>
          <w:rFonts w:ascii="Palatino Linotype" w:eastAsia="Palatino Linotype" w:hAnsi="Palatino Linotype" w:cs="Palatino Linotype"/>
          <w:i/>
          <w:sz w:val="22"/>
          <w:szCs w:val="22"/>
        </w:rPr>
        <w:t>“</w:t>
      </w:r>
      <w:r w:rsidRPr="00AF1E57">
        <w:rPr>
          <w:rFonts w:ascii="Palatino Linotype" w:eastAsia="Palatino Linotype" w:hAnsi="Palatino Linotype" w:cs="Palatino Linotype"/>
          <w:b/>
          <w:i/>
          <w:sz w:val="22"/>
          <w:szCs w:val="22"/>
        </w:rPr>
        <w:t xml:space="preserve">Artículo 178. </w:t>
      </w:r>
      <w:r w:rsidRPr="00AF1E5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AF1E57">
        <w:rPr>
          <w:rFonts w:ascii="Palatino Linotype" w:eastAsia="Palatino Linotype" w:hAnsi="Palatino Linotype" w:cs="Palatino Linotype"/>
          <w:b/>
          <w:i/>
          <w:sz w:val="22"/>
          <w:szCs w:val="22"/>
        </w:rPr>
        <w:t>.”</w:t>
      </w:r>
    </w:p>
    <w:p w:rsidR="00106578" w:rsidRPr="00AF1E57" w:rsidRDefault="00106578">
      <w:pPr>
        <w:spacing w:line="360" w:lineRule="auto"/>
        <w:ind w:left="851" w:right="851"/>
        <w:jc w:val="both"/>
        <w:rPr>
          <w:rFonts w:ascii="Palatino Linotype" w:eastAsia="Palatino Linotype" w:hAnsi="Palatino Linotype" w:cs="Palatino Linotype"/>
          <w:i/>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De lo anterior, se advierte que el recurso de revisión no se ha de interponer dentro del plazo de quince días hábiles, a partir de la fecha en que el </w:t>
      </w:r>
      <w:r w:rsidRPr="00AF1E57">
        <w:rPr>
          <w:rFonts w:ascii="Palatino Linotype" w:eastAsia="Palatino Linotype" w:hAnsi="Palatino Linotype" w:cs="Palatino Linotype"/>
          <w:b/>
        </w:rPr>
        <w:t xml:space="preserve">Sujeto Obligado </w:t>
      </w:r>
      <w:r w:rsidRPr="00AF1E57">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AF1E57">
        <w:rPr>
          <w:rFonts w:ascii="Palatino Linotype" w:eastAsia="Palatino Linotype" w:hAnsi="Palatino Linotype" w:cs="Palatino Linotype"/>
          <w:b/>
          <w:u w:val="single"/>
        </w:rPr>
        <w:t>la interposición del recurso de revisión puede ser en cualquier momento.</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La negativa ficta constituye una presunción legal, en el entendido de que donde no hubo respuesta por parte del </w:t>
      </w:r>
      <w:r w:rsidRPr="00AF1E57">
        <w:rPr>
          <w:rFonts w:ascii="Palatino Linotype" w:eastAsia="Palatino Linotype" w:hAnsi="Palatino Linotype" w:cs="Palatino Linotype"/>
          <w:b/>
        </w:rPr>
        <w:t xml:space="preserve">Sujeto Obligado </w:t>
      </w:r>
      <w:r w:rsidRPr="00AF1E57">
        <w:rPr>
          <w:rFonts w:ascii="Palatino Linotype" w:eastAsia="Palatino Linotype" w:hAnsi="Palatino Linotype" w:cs="Palatino Linotype"/>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w:t>
      </w:r>
      <w:r w:rsidRPr="00AF1E57">
        <w:rPr>
          <w:rFonts w:ascii="Palatino Linotype" w:eastAsia="Palatino Linotype" w:hAnsi="Palatino Linotype" w:cs="Palatino Linotype"/>
        </w:rPr>
        <w:lastRenderedPageBreak/>
        <w:t>realizar ese Estado de Derecho en el que, el particular, tiene siempre una vía de defensa en contra de los actos autoritarios que le perjudican.</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AF1E57">
        <w:rPr>
          <w:rFonts w:ascii="Palatino Linotype" w:eastAsia="Palatino Linotype" w:hAnsi="Palatino Linotype" w:cs="Palatino Linotype"/>
        </w:rPr>
        <w:t>desechamiento</w:t>
      </w:r>
      <w:proofErr w:type="spellEnd"/>
      <w:r w:rsidRPr="00AF1E57">
        <w:rPr>
          <w:rFonts w:ascii="Palatino Linotype" w:eastAsia="Palatino Linotype" w:hAnsi="Palatino Linotype" w:cs="Palatino Linotype"/>
        </w:rPr>
        <w:t xml:space="preserve"> del mismo.</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w:t>
      </w:r>
      <w:r w:rsidRPr="00AF1E57">
        <w:rPr>
          <w:rFonts w:ascii="Palatino Linotype" w:eastAsia="Palatino Linotype" w:hAnsi="Palatino Linotype" w:cs="Palatino Linotype"/>
        </w:rPr>
        <w:lastRenderedPageBreak/>
        <w:t>publicado en el Periódico Oficial del Estado de México “Gaceta del Gobierno”, el veintitrés de abril de dos mil quince, que establece:</w:t>
      </w:r>
    </w:p>
    <w:p w:rsidR="00106578" w:rsidRPr="00AF1E57" w:rsidRDefault="00106578">
      <w:pPr>
        <w:spacing w:line="360" w:lineRule="auto"/>
        <w:jc w:val="both"/>
        <w:rPr>
          <w:rFonts w:ascii="Palatino Linotype" w:eastAsia="Palatino Linotype" w:hAnsi="Palatino Linotype" w:cs="Palatino Linotype"/>
          <w:i/>
        </w:rPr>
      </w:pPr>
    </w:p>
    <w:p w:rsidR="00106578" w:rsidRPr="00AF1E57" w:rsidRDefault="00F96CE0">
      <w:pPr>
        <w:tabs>
          <w:tab w:val="left" w:pos="1276"/>
        </w:tabs>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“CRITERIO 0001-15. NEGATIVA FICTA. PLAZO PARA INTERPONER EL RECURSO DE REVISIÓN TRATÁNDOSE DE</w:t>
      </w:r>
      <w:r w:rsidRPr="00AF1E57">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rsidR="00106578" w:rsidRPr="00AF1E57" w:rsidRDefault="00106578">
      <w:pPr>
        <w:spacing w:line="360" w:lineRule="auto"/>
        <w:ind w:left="851" w:right="851"/>
        <w:jc w:val="both"/>
        <w:rPr>
          <w:rFonts w:ascii="Palatino Linotype" w:eastAsia="Palatino Linotype" w:hAnsi="Palatino Linotype" w:cs="Palatino Linotype"/>
          <w:i/>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Al mismo tiempo, por cuanto hace a la </w:t>
      </w:r>
      <w:proofErr w:type="spellStart"/>
      <w:r w:rsidRPr="00AF1E57">
        <w:rPr>
          <w:rFonts w:ascii="Palatino Linotype" w:eastAsia="Palatino Linotype" w:hAnsi="Palatino Linotype" w:cs="Palatino Linotype"/>
        </w:rPr>
        <w:t>procedibilidad</w:t>
      </w:r>
      <w:proofErr w:type="spellEnd"/>
      <w:r w:rsidRPr="00AF1E57">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lastRenderedPageBreak/>
        <w:t>Es de suma importancia mencionar que si bien, la parte no proporcionó un nombre o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276" w:lineRule="auto"/>
        <w:ind w:left="567" w:right="843"/>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"Las solicitudes</w:t>
      </w:r>
      <w:r w:rsidRPr="00AF1E57">
        <w:rPr>
          <w:rFonts w:ascii="Palatino Linotype" w:eastAsia="Palatino Linotype" w:hAnsi="Palatino Linotype" w:cs="Palatino Linotype"/>
          <w:b/>
          <w:i/>
          <w:sz w:val="22"/>
          <w:szCs w:val="22"/>
        </w:rPr>
        <w:t xml:space="preserve"> </w:t>
      </w:r>
      <w:r w:rsidRPr="00AF1E57">
        <w:rPr>
          <w:rFonts w:ascii="Palatino Linotype" w:eastAsia="Palatino Linotype" w:hAnsi="Palatino Linotype" w:cs="Palatino Linotype"/>
          <w:b/>
          <w:i/>
          <w:sz w:val="22"/>
          <w:szCs w:val="22"/>
          <w:u w:val="single"/>
        </w:rPr>
        <w:t>anónimas</w:t>
      </w:r>
      <w:r w:rsidRPr="00AF1E57">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276" w:lineRule="auto"/>
        <w:ind w:left="851" w:right="851"/>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r w:rsidRPr="00AF1E57">
        <w:rPr>
          <w:rFonts w:ascii="Palatino Linotype" w:eastAsia="Palatino Linotype" w:hAnsi="Palatino Linotype" w:cs="Palatino Linotype"/>
          <w:b/>
          <w:i/>
          <w:sz w:val="22"/>
          <w:szCs w:val="22"/>
        </w:rPr>
        <w:t xml:space="preserve">Artículo 179. </w:t>
      </w:r>
      <w:r w:rsidRPr="00AF1E5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106578" w:rsidRPr="00AF1E57" w:rsidRDefault="00F96CE0">
      <w:pPr>
        <w:spacing w:line="276" w:lineRule="auto"/>
        <w:ind w:left="851" w:right="851"/>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spacing w:line="276" w:lineRule="auto"/>
        <w:ind w:left="851" w:right="851"/>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 xml:space="preserve">VII. </w:t>
      </w:r>
      <w:r w:rsidRPr="00AF1E57">
        <w:rPr>
          <w:rFonts w:ascii="Palatino Linotype" w:eastAsia="Palatino Linotype" w:hAnsi="Palatino Linotype" w:cs="Palatino Linotype"/>
          <w:i/>
          <w:sz w:val="22"/>
          <w:szCs w:val="22"/>
        </w:rPr>
        <w:t>La falta de respuesta a una solicitud de acceso a la información;”</w:t>
      </w:r>
    </w:p>
    <w:p w:rsidR="00106578" w:rsidRPr="00AF1E57" w:rsidRDefault="00106578">
      <w:pPr>
        <w:spacing w:line="276" w:lineRule="auto"/>
        <w:ind w:left="851" w:right="851"/>
        <w:jc w:val="both"/>
        <w:rPr>
          <w:rFonts w:ascii="Palatino Linotype" w:eastAsia="Palatino Linotype" w:hAnsi="Palatino Linotype" w:cs="Palatino Linotype"/>
          <w:i/>
          <w:sz w:val="22"/>
          <w:szCs w:val="22"/>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lastRenderedPageBreak/>
        <w:t xml:space="preserve">El precepto legal citado, establece como supuesto de procedencia del recurso de revisión, en aquellos casos en que la parte </w:t>
      </w:r>
      <w:r w:rsidRPr="00AF1E57">
        <w:rPr>
          <w:rFonts w:ascii="Palatino Linotype" w:eastAsia="Palatino Linotype" w:hAnsi="Palatino Linotype" w:cs="Palatino Linotype"/>
          <w:b/>
        </w:rPr>
        <w:t xml:space="preserve">Recurrente </w:t>
      </w:r>
      <w:r w:rsidRPr="00AF1E57">
        <w:rPr>
          <w:rFonts w:ascii="Palatino Linotype" w:eastAsia="Palatino Linotype" w:hAnsi="Palatino Linotype" w:cs="Palatino Linotype"/>
        </w:rPr>
        <w:t xml:space="preserve">estime negado el acceso a la información por la falta de respuesta por el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 xml:space="preserve">, en este asunto se actualiza la hipótesis jurídica citada, en atención a que la parte </w:t>
      </w:r>
      <w:r w:rsidRPr="00AF1E57">
        <w:rPr>
          <w:rFonts w:ascii="Palatino Linotype" w:eastAsia="Palatino Linotype" w:hAnsi="Palatino Linotype" w:cs="Palatino Linotype"/>
          <w:b/>
        </w:rPr>
        <w:t>Recurrente</w:t>
      </w:r>
      <w:r w:rsidRPr="00AF1E57">
        <w:rPr>
          <w:rFonts w:ascii="Palatino Linotype" w:eastAsia="Palatino Linotype" w:hAnsi="Palatino Linotype" w:cs="Palatino Linotype"/>
        </w:rPr>
        <w:t xml:space="preserve"> combate falta de respuesta por el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 xml:space="preserve"> y expresa motivos de inconformidad en contra de dicha circunstancia.</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b/>
        </w:rPr>
        <w:t xml:space="preserve">Tercero. Materia de la revisión. </w:t>
      </w:r>
      <w:r w:rsidRPr="00AF1E57">
        <w:rPr>
          <w:rFonts w:ascii="Palatino Linotype" w:eastAsia="Palatino Linotype" w:hAnsi="Palatino Linotype" w:cs="Palatino Linotype"/>
        </w:rPr>
        <w:t>Este Organismo Garante procede del análisis de los agravios hechos valer por la parte Recurrente, a fin de determinar si se violenta en perjuicio de este, el derecho de acceso a la información previsto en la Constitución Política de los Estados Unidos Mexicanos y en la Constitución Política del Estado Libre y Soberano de México.</w:t>
      </w:r>
    </w:p>
    <w:p w:rsidR="00106578" w:rsidRPr="00AF1E57" w:rsidRDefault="00106578">
      <w:pPr>
        <w:spacing w:line="360" w:lineRule="auto"/>
        <w:jc w:val="both"/>
        <w:rPr>
          <w:rFonts w:ascii="Palatino Linotype" w:eastAsia="Palatino Linotype" w:hAnsi="Palatino Linotype" w:cs="Palatino Linotype"/>
          <w:b/>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b/>
        </w:rPr>
        <w:t xml:space="preserve">Cuarto. Estudio del asunto. </w:t>
      </w:r>
      <w:r w:rsidRPr="00AF1E57">
        <w:rPr>
          <w:rFonts w:ascii="Palatino Linotype" w:eastAsia="Palatino Linotype" w:hAnsi="Palatino Linotype" w:cs="Palatino Linotype"/>
        </w:rPr>
        <w:t xml:space="preserve">En principio, es conveniente analizar si el informe justificado del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w:t>
      </w:r>
      <w:r w:rsidRPr="00AF1E57">
        <w:rPr>
          <w:rFonts w:ascii="Palatino Linotype" w:eastAsia="Palatino Linotype" w:hAnsi="Palatino Linotype" w:cs="Palatino Linotype"/>
        </w:rPr>
        <w:lastRenderedPageBreak/>
        <w:t>máxima publicidad, como así lo establece dicha determinación, que a continuación se trascribe para un mejor entendimiento:</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r w:rsidRPr="00AF1E57">
        <w:rPr>
          <w:rFonts w:ascii="Palatino Linotype" w:eastAsia="Palatino Linotype" w:hAnsi="Palatino Linotype" w:cs="Palatino Linotype"/>
          <w:b/>
          <w:i/>
          <w:sz w:val="22"/>
          <w:szCs w:val="22"/>
        </w:rPr>
        <w:t>Artículo 4</w:t>
      </w:r>
      <w:r w:rsidRPr="00AF1E5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F1E5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F1E57">
        <w:rPr>
          <w:rFonts w:ascii="Palatino Linotype" w:eastAsia="Palatino Linotype" w:hAnsi="Palatino Linotype" w:cs="Palatino Linotype"/>
          <w:i/>
          <w:sz w:val="22"/>
          <w:szCs w:val="22"/>
        </w:rPr>
        <w:t>.”</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sidRPr="00AF1E57">
        <w:rPr>
          <w:rFonts w:ascii="Palatino Linotype" w:eastAsia="Palatino Linotype" w:hAnsi="Palatino Linotype" w:cs="Palatino Linotype"/>
        </w:rPr>
        <w:lastRenderedPageBreak/>
        <w:t>Transparencia y Acceso a la Información Pública del Estado de México y Municipios, que a la letra dice:</w:t>
      </w:r>
    </w:p>
    <w:p w:rsidR="00106578" w:rsidRPr="00AF1E57" w:rsidRDefault="00106578">
      <w:pPr>
        <w:spacing w:line="360" w:lineRule="auto"/>
        <w:jc w:val="both"/>
        <w:rPr>
          <w:rFonts w:ascii="Palatino Linotype" w:eastAsia="Palatino Linotype" w:hAnsi="Palatino Linotype" w:cs="Palatino Linotype"/>
          <w:sz w:val="22"/>
          <w:szCs w:val="22"/>
        </w:rPr>
      </w:pPr>
    </w:p>
    <w:p w:rsidR="00106578" w:rsidRPr="00AF1E57" w:rsidRDefault="00F96CE0">
      <w:pPr>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12.-</w:t>
      </w:r>
      <w:r w:rsidRPr="00AF1E5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06578" w:rsidRPr="00AF1E57" w:rsidRDefault="00106578">
      <w:pPr>
        <w:ind w:left="567" w:right="616"/>
        <w:jc w:val="both"/>
        <w:rPr>
          <w:rFonts w:ascii="Palatino Linotype" w:eastAsia="Palatino Linotype" w:hAnsi="Palatino Linotype" w:cs="Palatino Linotype"/>
          <w:i/>
          <w:sz w:val="22"/>
          <w:szCs w:val="22"/>
        </w:rPr>
      </w:pPr>
    </w:p>
    <w:p w:rsidR="00106578" w:rsidRPr="00AF1E57" w:rsidRDefault="00F96CE0">
      <w:pPr>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F1E57">
        <w:rPr>
          <w:rFonts w:ascii="Palatino Linotype" w:eastAsia="Palatino Linotype" w:hAnsi="Palatino Linotype" w:cs="Palatino Linotype"/>
          <w:i/>
          <w:sz w:val="22"/>
          <w:szCs w:val="22"/>
        </w:rPr>
        <w:t xml:space="preserve">. </w:t>
      </w:r>
      <w:r w:rsidRPr="00AF1E5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106578" w:rsidRPr="00AF1E57" w:rsidRDefault="00106578">
      <w:pPr>
        <w:spacing w:line="360" w:lineRule="auto"/>
        <w:ind w:right="-93"/>
        <w:jc w:val="both"/>
        <w:rPr>
          <w:rFonts w:ascii="Palatino Linotype" w:eastAsia="Palatino Linotype" w:hAnsi="Palatino Linotype" w:cs="Palatino Linotype"/>
        </w:rPr>
      </w:pPr>
    </w:p>
    <w:p w:rsidR="00106578" w:rsidRPr="00AF1E57" w:rsidRDefault="00F96CE0">
      <w:pPr>
        <w:spacing w:line="360" w:lineRule="auto"/>
        <w:ind w:right="-93"/>
        <w:jc w:val="both"/>
        <w:rPr>
          <w:rFonts w:ascii="Palatino Linotype" w:eastAsia="Palatino Linotype" w:hAnsi="Palatino Linotype" w:cs="Palatino Linotype"/>
        </w:rPr>
      </w:pPr>
      <w:r w:rsidRPr="00AF1E5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106578" w:rsidRPr="00AF1E57" w:rsidRDefault="00106578">
      <w:pPr>
        <w:spacing w:line="360" w:lineRule="auto"/>
        <w:ind w:right="-93"/>
        <w:jc w:val="both"/>
        <w:rPr>
          <w:rFonts w:ascii="Palatino Linotype" w:eastAsia="Palatino Linotype" w:hAnsi="Palatino Linotype" w:cs="Palatino Linotype"/>
        </w:rPr>
      </w:pPr>
    </w:p>
    <w:p w:rsidR="00106578" w:rsidRPr="00AF1E57" w:rsidRDefault="00F96CE0">
      <w:pPr>
        <w:spacing w:line="360" w:lineRule="auto"/>
        <w:ind w:right="-93"/>
        <w:jc w:val="both"/>
        <w:rPr>
          <w:rFonts w:ascii="Palatino Linotype" w:eastAsia="Palatino Linotype" w:hAnsi="Palatino Linotype" w:cs="Palatino Linotype"/>
        </w:rPr>
      </w:pPr>
      <w:r w:rsidRPr="00AF1E57">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AF1E57">
        <w:rPr>
          <w:rFonts w:ascii="Palatino Linotype" w:eastAsia="Palatino Linotype" w:hAnsi="Palatino Linotype" w:cs="Palatino Linotype"/>
          <w:b/>
        </w:rPr>
        <w:t xml:space="preserve"> </w:t>
      </w:r>
    </w:p>
    <w:p w:rsidR="00106578" w:rsidRPr="00AF1E57" w:rsidRDefault="00F96CE0">
      <w:pPr>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lastRenderedPageBreak/>
        <w:t>“</w:t>
      </w:r>
      <w:r w:rsidRPr="00AF1E57">
        <w:rPr>
          <w:rFonts w:ascii="Palatino Linotype" w:eastAsia="Palatino Linotype" w:hAnsi="Palatino Linotype" w:cs="Palatino Linotype"/>
          <w:b/>
          <w:i/>
          <w:sz w:val="22"/>
          <w:szCs w:val="22"/>
        </w:rPr>
        <w:t>No existe obligación de elaborar documentos ad hoc para atender las solicitudes de acceso a la información.</w:t>
      </w:r>
      <w:r w:rsidRPr="00AF1E5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106578" w:rsidRPr="00AF1E57" w:rsidRDefault="00106578">
      <w:pPr>
        <w:spacing w:line="360" w:lineRule="auto"/>
        <w:ind w:right="-93"/>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AF1E57">
        <w:rPr>
          <w:rFonts w:ascii="Palatino Linotype" w:eastAsia="Palatino Linotype" w:hAnsi="Palatino Linotype" w:cs="Palatino Linotype"/>
        </w:rPr>
        <w:lastRenderedPageBreak/>
        <w:t>Ley de Transparencia y Acceso a la Información Pública del Estado de México y Municipios.</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06578" w:rsidRPr="00AF1E57" w:rsidRDefault="00106578">
      <w:pPr>
        <w:ind w:left="567" w:right="616"/>
        <w:jc w:val="both"/>
        <w:rPr>
          <w:rFonts w:ascii="Palatino Linotype" w:eastAsia="Palatino Linotype" w:hAnsi="Palatino Linotype" w:cs="Palatino Linotype"/>
          <w:i/>
        </w:rPr>
      </w:pPr>
    </w:p>
    <w:p w:rsidR="00106578" w:rsidRPr="00AF1E57" w:rsidRDefault="00F96CE0">
      <w:pPr>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rPr>
        <w:t>“</w:t>
      </w:r>
      <w:r w:rsidRPr="00AF1E57">
        <w:rPr>
          <w:rFonts w:ascii="Palatino Linotype" w:eastAsia="Palatino Linotype" w:hAnsi="Palatino Linotype" w:cs="Palatino Linotype"/>
          <w:b/>
          <w:i/>
          <w:sz w:val="22"/>
          <w:szCs w:val="22"/>
        </w:rPr>
        <w:t xml:space="preserve">Artículo 3. </w:t>
      </w:r>
      <w:r w:rsidRPr="00AF1E57">
        <w:rPr>
          <w:rFonts w:ascii="Palatino Linotype" w:eastAsia="Palatino Linotype" w:hAnsi="Palatino Linotype" w:cs="Palatino Linotype"/>
          <w:i/>
          <w:sz w:val="22"/>
          <w:szCs w:val="22"/>
        </w:rPr>
        <w:t>Para los efectos de la presente Ley se entenderá por:</w:t>
      </w:r>
    </w:p>
    <w:p w:rsidR="00106578" w:rsidRPr="00AF1E57" w:rsidRDefault="00F96CE0">
      <w:pPr>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XI. Documento:</w:t>
      </w:r>
      <w:r w:rsidRPr="00AF1E57">
        <w:rPr>
          <w:rFonts w:ascii="Palatino Linotype" w:eastAsia="Palatino Linotype" w:hAnsi="Palatino Linotype" w:cs="Palatino Linotype"/>
          <w:i/>
          <w:sz w:val="22"/>
          <w:szCs w:val="22"/>
        </w:rPr>
        <w:t xml:space="preserve"> Los expedientes, reportes, estudios, actas</w:t>
      </w:r>
      <w:r w:rsidRPr="00AF1E57">
        <w:rPr>
          <w:rFonts w:ascii="Palatino Linotype" w:eastAsia="Palatino Linotype" w:hAnsi="Palatino Linotype" w:cs="Palatino Linotype"/>
          <w:b/>
          <w:i/>
          <w:sz w:val="22"/>
          <w:szCs w:val="22"/>
        </w:rPr>
        <w:t>,</w:t>
      </w:r>
      <w:r w:rsidRPr="00AF1E5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106578" w:rsidRPr="00AF1E57" w:rsidRDefault="00106578">
      <w:pPr>
        <w:spacing w:line="360" w:lineRule="auto"/>
        <w:ind w:left="851" w:right="899"/>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ind w:left="567" w:right="616"/>
        <w:jc w:val="both"/>
        <w:rPr>
          <w:rFonts w:ascii="Palatino Linotype" w:eastAsia="Palatino Linotype" w:hAnsi="Palatino Linotype" w:cs="Palatino Linotype"/>
          <w:b/>
          <w:i/>
          <w:sz w:val="22"/>
          <w:szCs w:val="22"/>
        </w:rPr>
      </w:pPr>
      <w:r w:rsidRPr="00AF1E57">
        <w:rPr>
          <w:rFonts w:ascii="Palatino Linotype" w:eastAsia="Palatino Linotype" w:hAnsi="Palatino Linotype" w:cs="Palatino Linotype"/>
          <w:b/>
          <w:sz w:val="22"/>
          <w:szCs w:val="22"/>
        </w:rPr>
        <w:t>“</w:t>
      </w:r>
      <w:r w:rsidRPr="00AF1E57">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F1E5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06578" w:rsidRPr="00AF1E57" w:rsidRDefault="00F96CE0">
      <w:pPr>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06578" w:rsidRPr="00AF1E57" w:rsidRDefault="00F96CE0">
      <w:pPr>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06578" w:rsidRPr="00AF1E57" w:rsidRDefault="00F96CE0">
      <w:pPr>
        <w:ind w:left="567" w:right="616"/>
        <w:jc w:val="both"/>
        <w:rPr>
          <w:rFonts w:ascii="Palatino Linotype" w:eastAsia="Palatino Linotype" w:hAnsi="Palatino Linotype" w:cs="Palatino Linotype"/>
          <w:b/>
          <w:i/>
          <w:sz w:val="22"/>
          <w:szCs w:val="22"/>
        </w:rPr>
      </w:pPr>
      <w:r w:rsidRPr="00AF1E5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06578" w:rsidRPr="00AF1E57" w:rsidRDefault="00F96CE0">
      <w:pPr>
        <w:ind w:left="567" w:right="616"/>
        <w:jc w:val="both"/>
        <w:rPr>
          <w:rFonts w:ascii="Palatino Linotype" w:eastAsia="Palatino Linotype" w:hAnsi="Palatino Linotype" w:cs="Palatino Linotype"/>
          <w:b/>
          <w:i/>
          <w:sz w:val="22"/>
          <w:szCs w:val="22"/>
        </w:rPr>
      </w:pPr>
      <w:r w:rsidRPr="00AF1E57">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106578" w:rsidRPr="00AF1E57" w:rsidRDefault="00106578">
      <w:pPr>
        <w:spacing w:line="360" w:lineRule="auto"/>
        <w:ind w:right="-93"/>
        <w:jc w:val="both"/>
        <w:rPr>
          <w:rFonts w:ascii="Palatino Linotype" w:eastAsia="Palatino Linotype" w:hAnsi="Palatino Linotype" w:cs="Palatino Linotype"/>
        </w:rPr>
      </w:pPr>
    </w:p>
    <w:p w:rsidR="00106578" w:rsidRPr="00AF1E57" w:rsidRDefault="00F96CE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Dicho lo anterior, se procede al análisis de los agravios hechos valer por la parte Recurrente que actualizan la causal de procedencia prevista en la fracción VII del </w:t>
      </w:r>
      <w:r w:rsidRPr="00AF1E57">
        <w:rPr>
          <w:rFonts w:ascii="Palatino Linotype" w:eastAsia="Palatino Linotype" w:hAnsi="Palatino Linotype" w:cs="Palatino Linotype"/>
        </w:rPr>
        <w:lastRenderedPageBreak/>
        <w:t xml:space="preserve">artículo 179 de la Ley de Transparencia y Acceso a la Información del Estado de México y Municipios, relativa a falta de respuesta a una solicitud de información. </w:t>
      </w:r>
    </w:p>
    <w:p w:rsidR="00106578" w:rsidRPr="00AF1E57" w:rsidRDefault="00106578">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106578" w:rsidRPr="00AF1E57" w:rsidRDefault="00F96CE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principio, resulta conveniente recordar que la pretensión de la parte Recurrente es obtener la siguiente información: </w:t>
      </w:r>
    </w:p>
    <w:p w:rsidR="00106578" w:rsidRPr="00AF1E57" w:rsidRDefault="00106578">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106578" w:rsidRPr="00AF1E57" w:rsidRDefault="00F96CE0">
      <w:pPr>
        <w:numPr>
          <w:ilvl w:val="0"/>
          <w:numId w:val="3"/>
        </w:numPr>
        <w:pBdr>
          <w:top w:val="nil"/>
          <w:left w:val="nil"/>
          <w:bottom w:val="nil"/>
          <w:right w:val="nil"/>
          <w:between w:val="nil"/>
        </w:pBdr>
        <w:spacing w:line="360" w:lineRule="auto"/>
        <w:ind w:left="567" w:right="-15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b/>
          <w:sz w:val="22"/>
          <w:szCs w:val="22"/>
        </w:rPr>
        <w:t xml:space="preserve">Soporte documental que acredite el número de jornadas de limpieza y sondeo de coladeras pluviales y de la línea general de drenaje se han realizado durante el año 2022 y 2023, si no fue jornada y solo se realizó en alguna colonia, calle o localidad en específico de igual manera requiero la información. </w:t>
      </w:r>
    </w:p>
    <w:p w:rsidR="00106578" w:rsidRPr="00AF1E57" w:rsidRDefault="00F96CE0">
      <w:pPr>
        <w:numPr>
          <w:ilvl w:val="0"/>
          <w:numId w:val="3"/>
        </w:numPr>
        <w:pBdr>
          <w:top w:val="nil"/>
          <w:left w:val="nil"/>
          <w:bottom w:val="nil"/>
          <w:right w:val="nil"/>
          <w:between w:val="nil"/>
        </w:pBdr>
        <w:spacing w:line="360" w:lineRule="auto"/>
        <w:ind w:left="567" w:right="-15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b/>
          <w:sz w:val="22"/>
          <w:szCs w:val="22"/>
        </w:rPr>
        <w:t xml:space="preserve">Requiero saber la fecha, horarios y número de personal que participó en dichas actividades. </w:t>
      </w:r>
    </w:p>
    <w:p w:rsidR="00106578" w:rsidRPr="00AF1E57" w:rsidRDefault="00F96CE0">
      <w:pPr>
        <w:numPr>
          <w:ilvl w:val="0"/>
          <w:numId w:val="3"/>
        </w:numPr>
        <w:pBdr>
          <w:top w:val="nil"/>
          <w:left w:val="nil"/>
          <w:bottom w:val="nil"/>
          <w:right w:val="nil"/>
          <w:between w:val="nil"/>
        </w:pBdr>
        <w:spacing w:line="360" w:lineRule="auto"/>
        <w:ind w:left="567" w:right="-15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b/>
          <w:sz w:val="22"/>
          <w:szCs w:val="22"/>
        </w:rPr>
        <w:t xml:space="preserve">El gasto por dichas actividades y el soporte documental, tales como facturas, cheques, contratos o recibos de pago. </w:t>
      </w:r>
    </w:p>
    <w:p w:rsidR="00106578" w:rsidRPr="00AF1E57" w:rsidRDefault="00F96CE0">
      <w:pPr>
        <w:numPr>
          <w:ilvl w:val="0"/>
          <w:numId w:val="3"/>
        </w:numPr>
        <w:pBdr>
          <w:top w:val="nil"/>
          <w:left w:val="nil"/>
          <w:bottom w:val="nil"/>
          <w:right w:val="nil"/>
          <w:between w:val="nil"/>
        </w:pBdr>
        <w:spacing w:line="360" w:lineRule="auto"/>
        <w:ind w:left="567" w:right="-150"/>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b/>
          <w:sz w:val="22"/>
          <w:szCs w:val="22"/>
        </w:rPr>
        <w:t>Solicito que se incluya en la información antes solicitada la limpieza y sondeo de coladeras pluviales y la línea general de drenaje que se realizó con el camión hidroneumático, en calle Chichimecas entre Moctezuma y Tenochtitlán, Colonia Ancón, esto en días pasados, ya que dicha información se compartió y se dio a conocer en la página oficial de Facebook "OPDAPAS La Paz 2022-2024".</w:t>
      </w:r>
    </w:p>
    <w:p w:rsidR="00106578" w:rsidRPr="00AF1E57" w:rsidRDefault="00106578">
      <w:pPr>
        <w:pBdr>
          <w:top w:val="nil"/>
          <w:left w:val="nil"/>
          <w:bottom w:val="nil"/>
          <w:right w:val="nil"/>
          <w:between w:val="nil"/>
        </w:pBdr>
        <w:spacing w:line="360" w:lineRule="auto"/>
        <w:ind w:left="567" w:right="-150"/>
        <w:jc w:val="both"/>
        <w:rPr>
          <w:rFonts w:ascii="Palatino Linotype" w:eastAsia="Palatino Linotype" w:hAnsi="Palatino Linotype" w:cs="Palatino Linotype"/>
          <w:sz w:val="22"/>
          <w:szCs w:val="22"/>
        </w:rPr>
      </w:pPr>
    </w:p>
    <w:p w:rsidR="00106578" w:rsidRPr="00AF1E57" w:rsidRDefault="00F96CE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El Sujeto Obligado fue omiso en proporcionar respuesta. </w:t>
      </w:r>
    </w:p>
    <w:p w:rsidR="00106578" w:rsidRPr="00AF1E57" w:rsidRDefault="00F96CE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1E57">
        <w:rPr>
          <w:rFonts w:ascii="Palatino Linotype" w:eastAsia="Palatino Linotype" w:hAnsi="Palatino Linotype" w:cs="Palatino Linotype"/>
        </w:rPr>
        <w:lastRenderedPageBreak/>
        <w:t xml:space="preserve">Derivado de ello, la parte Recurrente interpuso su Recurso de Revisión arguyendo la falta de respuesta a la solicitud de información. </w:t>
      </w:r>
    </w:p>
    <w:p w:rsidR="00106578" w:rsidRPr="00AF1E57" w:rsidRDefault="00106578">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106578" w:rsidRPr="00AF1E57" w:rsidRDefault="00F96CE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1E57">
        <w:rPr>
          <w:rFonts w:ascii="Palatino Linotype" w:eastAsia="Palatino Linotype" w:hAnsi="Palatino Linotype" w:cs="Palatino Linotype"/>
        </w:rPr>
        <w:t>En atención a esto, el Sujeto Obligado mediante informe justificado, remitió a través del Director de Construcción e Infraestructura la siguiente información:</w:t>
      </w:r>
    </w:p>
    <w:p w:rsidR="00106578" w:rsidRPr="00AF1E57" w:rsidRDefault="00F96CE0">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AF1E57">
        <w:rPr>
          <w:rFonts w:ascii="Palatino Linotype" w:eastAsia="Palatino Linotype" w:hAnsi="Palatino Linotype" w:cs="Palatino Linotype"/>
          <w:noProof/>
          <w:lang w:val="es-MX" w:eastAsia="es-MX"/>
        </w:rPr>
        <w:drawing>
          <wp:inline distT="0" distB="0" distL="0" distR="0">
            <wp:extent cx="3882852" cy="1900128"/>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882852" cy="1900128"/>
                    </a:xfrm>
                    <a:prstGeom prst="rect">
                      <a:avLst/>
                    </a:prstGeom>
                    <a:ln/>
                  </pic:spPr>
                </pic:pic>
              </a:graphicData>
            </a:graphic>
          </wp:inline>
        </w:drawing>
      </w:r>
    </w:p>
    <w:p w:rsidR="00106578" w:rsidRPr="00AF1E57" w:rsidRDefault="00F96CE0">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AF1E57">
        <w:rPr>
          <w:rFonts w:ascii="Palatino Linotype" w:eastAsia="Palatino Linotype" w:hAnsi="Palatino Linotype" w:cs="Palatino Linotype"/>
        </w:rPr>
        <w:t>…</w:t>
      </w:r>
    </w:p>
    <w:p w:rsidR="00106578" w:rsidRPr="00AF1E57" w:rsidRDefault="00F96CE0">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AF1E57">
        <w:rPr>
          <w:rFonts w:ascii="Palatino Linotype" w:eastAsia="Palatino Linotype" w:hAnsi="Palatino Linotype" w:cs="Palatino Linotype"/>
          <w:noProof/>
          <w:lang w:val="es-MX" w:eastAsia="es-MX"/>
        </w:rPr>
        <w:drawing>
          <wp:inline distT="0" distB="0" distL="0" distR="0">
            <wp:extent cx="3281076" cy="2374387"/>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281076" cy="2374387"/>
                    </a:xfrm>
                    <a:prstGeom prst="rect">
                      <a:avLst/>
                    </a:prstGeom>
                    <a:ln/>
                  </pic:spPr>
                </pic:pic>
              </a:graphicData>
            </a:graphic>
          </wp:inline>
        </w:drawing>
      </w:r>
    </w:p>
    <w:p w:rsidR="00106578" w:rsidRPr="00AF1E57" w:rsidRDefault="00F96CE0">
      <w:pPr>
        <w:pBdr>
          <w:top w:val="nil"/>
          <w:left w:val="nil"/>
          <w:bottom w:val="nil"/>
          <w:right w:val="nil"/>
          <w:between w:val="nil"/>
        </w:pBd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lastRenderedPageBreak/>
        <w:t>Dicho lo anterior, se procede a contextualizar la información solicitada, por lo que, de conformidad con la Ley del Agua para el Estado de México y Municipios, se tiene que, los municipios podrán prestar los servicios de agua, alcantarillado, drenaje y saneamiento, promoviendo las acciones necesarias para lograr su autosuficiencia técnica y financiera en la materia.</w:t>
      </w:r>
    </w:p>
    <w:p w:rsidR="00106578" w:rsidRPr="00AF1E57" w:rsidRDefault="00106578">
      <w:pPr>
        <w:pBdr>
          <w:top w:val="nil"/>
          <w:left w:val="nil"/>
          <w:bottom w:val="nil"/>
          <w:right w:val="nil"/>
          <w:between w:val="nil"/>
        </w:pBdr>
        <w:spacing w:line="360" w:lineRule="auto"/>
        <w:jc w:val="both"/>
        <w:rPr>
          <w:rFonts w:ascii="Palatino Linotype" w:eastAsia="Palatino Linotype" w:hAnsi="Palatino Linotype" w:cs="Palatino Linotype"/>
        </w:rPr>
      </w:pPr>
    </w:p>
    <w:p w:rsidR="00106578" w:rsidRPr="00AF1E57" w:rsidRDefault="00F96CE0">
      <w:pPr>
        <w:pBdr>
          <w:top w:val="nil"/>
          <w:left w:val="nil"/>
          <w:bottom w:val="nil"/>
          <w:right w:val="nil"/>
          <w:between w:val="nil"/>
        </w:pBd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Asimismo, la citada Ley establece en su cuerpo normativo lo siguiente: </w:t>
      </w:r>
    </w:p>
    <w:p w:rsidR="00106578" w:rsidRPr="00AF1E57" w:rsidRDefault="00106578">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50.-</w:t>
      </w:r>
      <w:r w:rsidRPr="00AF1E57">
        <w:rPr>
          <w:rFonts w:ascii="Palatino Linotype" w:eastAsia="Palatino Linotype" w:hAnsi="Palatino Linotype" w:cs="Palatino Linotype"/>
          <w:i/>
          <w:sz w:val="22"/>
          <w:szCs w:val="22"/>
        </w:rPr>
        <w:t xml:space="preserve"> La infraestructura hidráulica para el servicio de agua potable comprende las fuentes de abastecimiento de agua; las plantas de bombeo; las plantas potabilizadoras de agua; las líneas de conducción de agua en bloque y líneas de alimentación; los tanques de regulación y almacenamiento de agua, misma que será de jurisdicción del Estado cuando abastezca a más de un municipio; así como las redes de distribución, que son de estricta jurisdicción municipal.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51.-</w:t>
      </w:r>
      <w:r w:rsidRPr="00AF1E57">
        <w:rPr>
          <w:rFonts w:ascii="Palatino Linotype" w:eastAsia="Palatino Linotype" w:hAnsi="Palatino Linotype" w:cs="Palatino Linotype"/>
          <w:i/>
          <w:sz w:val="22"/>
          <w:szCs w:val="22"/>
        </w:rPr>
        <w:t xml:space="preserve"> La infraestructura hidráulica para los servicios de drenaje, alcantarillado, saneamiento y tratamiento de aguas residuales para su reúso, comprende los colectores, subcolectores, cárcamos de bombeo, emisores, las plantas de tratamiento de aguas residuales, lagunas de oxidación, humedales, líneas moradas y las obras hidráulicas para la prevención de inundaciones, misma que será de jurisdicción Estatal cuando reciba descargas de aguas residuales o pluviales de más de un municipio. Así mismo la infraestructura hidráulica que conforma el drenaje, el alcantarillado y su red de atarjeas y toda aquella infraestructura necesaria para prestar dichos servicios </w:t>
      </w:r>
      <w:proofErr w:type="gramStart"/>
      <w:r w:rsidRPr="00AF1E57">
        <w:rPr>
          <w:rFonts w:ascii="Palatino Linotype" w:eastAsia="Palatino Linotype" w:hAnsi="Palatino Linotype" w:cs="Palatino Linotype"/>
          <w:i/>
          <w:sz w:val="22"/>
          <w:szCs w:val="22"/>
        </w:rPr>
        <w:t>será</w:t>
      </w:r>
      <w:proofErr w:type="gramEnd"/>
      <w:r w:rsidRPr="00AF1E57">
        <w:rPr>
          <w:rFonts w:ascii="Palatino Linotype" w:eastAsia="Palatino Linotype" w:hAnsi="Palatino Linotype" w:cs="Palatino Linotype"/>
          <w:i/>
          <w:sz w:val="22"/>
          <w:szCs w:val="22"/>
        </w:rPr>
        <w:t xml:space="preserve"> de jurisdicción municipal.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52.-</w:t>
      </w:r>
      <w:r w:rsidRPr="00AF1E57">
        <w:rPr>
          <w:rFonts w:ascii="Palatino Linotype" w:eastAsia="Palatino Linotype" w:hAnsi="Palatino Linotype" w:cs="Palatino Linotype"/>
          <w:i/>
          <w:sz w:val="22"/>
          <w:szCs w:val="22"/>
        </w:rPr>
        <w:t xml:space="preserve"> Los prestadores de los servicios contarán, en cada caso, con manuales para la operación de los sistemas de suministro de agua potable, drenaje, alcantarillado, </w:t>
      </w:r>
      <w:r w:rsidRPr="00AF1E57">
        <w:rPr>
          <w:rFonts w:ascii="Palatino Linotype" w:eastAsia="Palatino Linotype" w:hAnsi="Palatino Linotype" w:cs="Palatino Linotype"/>
          <w:i/>
          <w:sz w:val="22"/>
          <w:szCs w:val="22"/>
        </w:rPr>
        <w:lastRenderedPageBreak/>
        <w:t xml:space="preserve">líneas moradas y plantas de tratamiento de aguas residuales debidamente actualizados. Asimismo, tendrán un catastro de redes y un inventario de la infraestructura hidráulica de los sistemas. </w:t>
      </w:r>
    </w:p>
    <w:p w:rsidR="00106578" w:rsidRPr="00AF1E57" w:rsidRDefault="00106578">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rsidR="00106578" w:rsidRPr="00AF1E57" w:rsidRDefault="00106578">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rsidR="00106578" w:rsidRPr="00AF1E57" w:rsidRDefault="00F96CE0">
      <w:pPr>
        <w:pBdr>
          <w:top w:val="nil"/>
          <w:left w:val="nil"/>
          <w:bottom w:val="nil"/>
          <w:right w:val="nil"/>
          <w:between w:val="nil"/>
        </w:pBd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Por otro lado, de conformidad con el Manual de Organización y Operación del Organismo de Agua, se precisa que este cuenta con las siguientes facultades y atribuciones:</w:t>
      </w:r>
    </w:p>
    <w:p w:rsidR="00106578" w:rsidRPr="00AF1E57" w:rsidRDefault="00106578">
      <w:pPr>
        <w:pBdr>
          <w:top w:val="nil"/>
          <w:left w:val="nil"/>
          <w:bottom w:val="nil"/>
          <w:right w:val="nil"/>
          <w:between w:val="nil"/>
        </w:pBdr>
        <w:spacing w:line="276" w:lineRule="auto"/>
        <w:jc w:val="both"/>
        <w:rPr>
          <w:rFonts w:ascii="Palatino Linotype" w:eastAsia="Palatino Linotype" w:hAnsi="Palatino Linotype" w:cs="Palatino Linotype"/>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1</w:t>
      </w:r>
      <w:r w:rsidRPr="00AF1E57">
        <w:rPr>
          <w:rFonts w:ascii="Palatino Linotype" w:eastAsia="Palatino Linotype" w:hAnsi="Palatino Linotype" w:cs="Palatino Linotype"/>
          <w:i/>
          <w:sz w:val="22"/>
          <w:szCs w:val="22"/>
        </w:rPr>
        <w:t xml:space="preserve">. Aspectos Generales de las Atribuciones y Facultades: </w:t>
      </w:r>
    </w:p>
    <w:p w:rsidR="00106578" w:rsidRPr="00AF1E57" w:rsidRDefault="00106578">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 Prestar los servicios de suministro de agua potable, drenaje, alcantarillado, tratamiento rehúso de agua residuales tratadas y la disposición final de sus productos resultantes.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II. Planear, construir, operar y mantener los sistemas de agua potable, alcantarillado y saneamiento de acuerdo con la normatividad aplicable y con un enfoque ecológico.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106578">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11.</w:t>
      </w:r>
      <w:r w:rsidRPr="00AF1E57">
        <w:rPr>
          <w:rFonts w:ascii="Palatino Linotype" w:eastAsia="Palatino Linotype" w:hAnsi="Palatino Linotype" w:cs="Palatino Linotype"/>
          <w:i/>
          <w:sz w:val="22"/>
          <w:szCs w:val="22"/>
        </w:rPr>
        <w:t xml:space="preserve"> La </w:t>
      </w:r>
      <w:r w:rsidRPr="00AF1E57">
        <w:rPr>
          <w:rFonts w:ascii="Palatino Linotype" w:eastAsia="Palatino Linotype" w:hAnsi="Palatino Linotype" w:cs="Palatino Linotype"/>
          <w:b/>
          <w:i/>
          <w:sz w:val="22"/>
          <w:szCs w:val="22"/>
        </w:rPr>
        <w:t>Dirección de Administración y Finanzas</w:t>
      </w:r>
      <w:r w:rsidRPr="00AF1E57">
        <w:rPr>
          <w:rFonts w:ascii="Palatino Linotype" w:eastAsia="Palatino Linotype" w:hAnsi="Palatino Linotype" w:cs="Palatino Linotype"/>
          <w:i/>
          <w:sz w:val="22"/>
          <w:szCs w:val="22"/>
        </w:rPr>
        <w:t xml:space="preserve"> tendrá a su cargo las siguientes funciones financieras: </w:t>
      </w:r>
    </w:p>
    <w:p w:rsidR="00106578" w:rsidRPr="00AF1E57" w:rsidRDefault="00106578">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IV. Registro y Control de las operaciones contables y financieras que se realizan en el Organismo, mediante los sistemas de contabilidad y control presupuestario.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lastRenderedPageBreak/>
        <w:t xml:space="preserve">XV. Vigilar que los egresos del Organismo se ejerzan en apego a la normatividad vigente y se encuentren dentro del presupuesto autorizado.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u w:val="single"/>
        </w:rPr>
      </w:pPr>
      <w:r w:rsidRPr="00AF1E57">
        <w:rPr>
          <w:rFonts w:ascii="Palatino Linotype" w:eastAsia="Palatino Linotype" w:hAnsi="Palatino Linotype" w:cs="Palatino Linotype"/>
          <w:b/>
          <w:i/>
          <w:sz w:val="22"/>
          <w:szCs w:val="22"/>
          <w:u w:val="single"/>
        </w:rPr>
        <w:t xml:space="preserve">Artículo 17. La Jefatura  de Operación Hidráulica tendrá a su cargo las siguientes funciones. </w:t>
      </w:r>
    </w:p>
    <w:p w:rsidR="00106578" w:rsidRPr="00AF1E57" w:rsidRDefault="00106578">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IV. Efectuar el lavado y desinfección periódica de tanques de almacenamiento y distribución </w:t>
      </w:r>
      <w:proofErr w:type="gramStart"/>
      <w:r w:rsidRPr="00AF1E57">
        <w:rPr>
          <w:rFonts w:ascii="Palatino Linotype" w:eastAsia="Palatino Linotype" w:hAnsi="Palatino Linotype" w:cs="Palatino Linotype"/>
          <w:i/>
          <w:sz w:val="22"/>
          <w:szCs w:val="22"/>
        </w:rPr>
        <w:t>reto lavados</w:t>
      </w:r>
      <w:proofErr w:type="gramEnd"/>
      <w:r w:rsidRPr="00AF1E57">
        <w:rPr>
          <w:rFonts w:ascii="Palatino Linotype" w:eastAsia="Palatino Linotype" w:hAnsi="Palatino Linotype" w:cs="Palatino Linotype"/>
          <w:i/>
          <w:sz w:val="22"/>
          <w:szCs w:val="22"/>
        </w:rPr>
        <w:t xml:space="preserve"> en la planta potabilizadora y la limpieza del canal en general.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VII. Coordinar el programa de mantenimiento correctivo y preventivo de las instalaciones e infraestructura hidráulica a cargo del organismo.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u w:val="single"/>
        </w:rPr>
      </w:pPr>
      <w:r w:rsidRPr="00AF1E57">
        <w:rPr>
          <w:rFonts w:ascii="Palatino Linotype" w:eastAsia="Palatino Linotype" w:hAnsi="Palatino Linotype" w:cs="Palatino Linotype"/>
          <w:b/>
          <w:i/>
          <w:sz w:val="22"/>
          <w:szCs w:val="22"/>
          <w:u w:val="single"/>
        </w:rPr>
        <w:t>…</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u w:val="single"/>
        </w:rPr>
      </w:pPr>
      <w:r w:rsidRPr="00AF1E57">
        <w:rPr>
          <w:rFonts w:ascii="Palatino Linotype" w:eastAsia="Palatino Linotype" w:hAnsi="Palatino Linotype" w:cs="Palatino Linotype"/>
          <w:b/>
          <w:i/>
          <w:sz w:val="22"/>
          <w:szCs w:val="22"/>
          <w:u w:val="single"/>
        </w:rPr>
        <w:t xml:space="preserve">XIV. Realizar limpieza y desazolve en alcantarillas en vialidades, fosas, sépticas, cárcamos de </w:t>
      </w:r>
      <w:proofErr w:type="spellStart"/>
      <w:r w:rsidRPr="00AF1E57">
        <w:rPr>
          <w:rFonts w:ascii="Palatino Linotype" w:eastAsia="Palatino Linotype" w:hAnsi="Palatino Linotype" w:cs="Palatino Linotype"/>
          <w:b/>
          <w:i/>
          <w:sz w:val="22"/>
          <w:szCs w:val="22"/>
          <w:u w:val="single"/>
        </w:rPr>
        <w:t>rebombeo</w:t>
      </w:r>
      <w:proofErr w:type="spellEnd"/>
      <w:r w:rsidRPr="00AF1E57">
        <w:rPr>
          <w:rFonts w:ascii="Palatino Linotype" w:eastAsia="Palatino Linotype" w:hAnsi="Palatino Linotype" w:cs="Palatino Linotype"/>
          <w:b/>
          <w:i/>
          <w:sz w:val="22"/>
          <w:szCs w:val="22"/>
          <w:u w:val="single"/>
        </w:rPr>
        <w:t xml:space="preserve">, tanques </w:t>
      </w:r>
      <w:proofErr w:type="spellStart"/>
      <w:r w:rsidRPr="00AF1E57">
        <w:rPr>
          <w:rFonts w:ascii="Palatino Linotype" w:eastAsia="Palatino Linotype" w:hAnsi="Palatino Linotype" w:cs="Palatino Linotype"/>
          <w:b/>
          <w:i/>
          <w:sz w:val="22"/>
          <w:szCs w:val="22"/>
          <w:u w:val="single"/>
        </w:rPr>
        <w:t>sedimentadores</w:t>
      </w:r>
      <w:proofErr w:type="spellEnd"/>
      <w:r w:rsidRPr="00AF1E57">
        <w:rPr>
          <w:rFonts w:ascii="Palatino Linotype" w:eastAsia="Palatino Linotype" w:hAnsi="Palatino Linotype" w:cs="Palatino Linotype"/>
          <w:b/>
          <w:i/>
          <w:sz w:val="22"/>
          <w:szCs w:val="22"/>
          <w:u w:val="single"/>
        </w:rPr>
        <w:t xml:space="preserve">, drenajes sanitarios y colectores generales. </w:t>
      </w:r>
    </w:p>
    <w:p w:rsidR="00106578" w:rsidRPr="00AF1E57" w:rsidRDefault="00106578">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18.</w:t>
      </w:r>
      <w:r w:rsidRPr="00AF1E57">
        <w:rPr>
          <w:rFonts w:ascii="Palatino Linotype" w:eastAsia="Palatino Linotype" w:hAnsi="Palatino Linotype" w:cs="Palatino Linotype"/>
          <w:i/>
          <w:sz w:val="22"/>
          <w:szCs w:val="22"/>
        </w:rPr>
        <w:t xml:space="preserve"> La Jefatura de </w:t>
      </w:r>
      <w:proofErr w:type="spellStart"/>
      <w:r w:rsidRPr="00AF1E57">
        <w:rPr>
          <w:rFonts w:ascii="Palatino Linotype" w:eastAsia="Palatino Linotype" w:hAnsi="Palatino Linotype" w:cs="Palatino Linotype"/>
          <w:i/>
          <w:sz w:val="22"/>
          <w:szCs w:val="22"/>
        </w:rPr>
        <w:t>Contrucción</w:t>
      </w:r>
      <w:proofErr w:type="spellEnd"/>
      <w:r w:rsidRPr="00AF1E57">
        <w:rPr>
          <w:rFonts w:ascii="Palatino Linotype" w:eastAsia="Palatino Linotype" w:hAnsi="Palatino Linotype" w:cs="Palatino Linotype"/>
          <w:i/>
          <w:sz w:val="22"/>
          <w:szCs w:val="22"/>
        </w:rPr>
        <w:t xml:space="preserve"> tendrá a su cargo las siguientes funciones. </w:t>
      </w:r>
    </w:p>
    <w:p w:rsidR="00106578" w:rsidRPr="00AF1E57" w:rsidRDefault="00106578">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I.</w:t>
      </w:r>
      <w:r w:rsidRPr="00AF1E57">
        <w:rPr>
          <w:rFonts w:ascii="Palatino Linotype" w:eastAsia="Palatino Linotype" w:hAnsi="Palatino Linotype" w:cs="Palatino Linotype"/>
          <w:i/>
          <w:sz w:val="22"/>
          <w:szCs w:val="22"/>
        </w:rPr>
        <w:t xml:space="preserve"> Dirigir y supervisar la planeación, construcción, operación y mantenimiento de los servicios de agua potable, alcantarillado y saneamiento del municipio;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III. Proponer la construcción, reconstrucción y colocación de descargas pluviales, así como la ampliación de la red de drenaje. </w:t>
      </w:r>
    </w:p>
    <w:p w:rsidR="00106578" w:rsidRPr="00AF1E57" w:rsidRDefault="00106578">
      <w:pPr>
        <w:pBdr>
          <w:top w:val="nil"/>
          <w:left w:val="nil"/>
          <w:bottom w:val="nil"/>
          <w:right w:val="nil"/>
          <w:between w:val="nil"/>
        </w:pBdr>
        <w:spacing w:line="360" w:lineRule="auto"/>
        <w:ind w:left="567" w:right="616"/>
        <w:jc w:val="both"/>
        <w:rPr>
          <w:rFonts w:ascii="Palatino Linotype" w:eastAsia="Palatino Linotype" w:hAnsi="Palatino Linotype" w:cs="Palatino Linotype"/>
          <w:i/>
        </w:rPr>
      </w:pPr>
    </w:p>
    <w:p w:rsidR="00106578" w:rsidRPr="00AF1E57" w:rsidRDefault="00F96CE0">
      <w:pPr>
        <w:pBdr>
          <w:top w:val="nil"/>
          <w:left w:val="nil"/>
          <w:bottom w:val="nil"/>
          <w:right w:val="nil"/>
          <w:between w:val="nil"/>
        </w:pBd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De lo anterior, se colige que el Sujeto Obligado cuenta con atribuciones, facultades y competencia para generar, administrar y poseer la información solicitada por la parte Recurrente, pues cuenta con unidades administrativas cuyas atribuciones se </w:t>
      </w:r>
      <w:r w:rsidRPr="00AF1E57">
        <w:rPr>
          <w:rFonts w:ascii="Palatino Linotype" w:eastAsia="Palatino Linotype" w:hAnsi="Palatino Linotype" w:cs="Palatino Linotype"/>
        </w:rPr>
        <w:lastRenderedPageBreak/>
        <w:t xml:space="preserve">relacionan con la limpieza, la construcción de descargas pluviales, líneas de drenaje y los documentos comprobantes de pago. </w:t>
      </w:r>
    </w:p>
    <w:p w:rsidR="00106578" w:rsidRPr="00AF1E57" w:rsidRDefault="00106578">
      <w:pPr>
        <w:pBdr>
          <w:top w:val="nil"/>
          <w:left w:val="nil"/>
          <w:bottom w:val="nil"/>
          <w:right w:val="nil"/>
          <w:between w:val="nil"/>
        </w:pBdr>
        <w:spacing w:line="360" w:lineRule="auto"/>
        <w:jc w:val="both"/>
        <w:rPr>
          <w:rFonts w:ascii="Palatino Linotype" w:eastAsia="Palatino Linotype" w:hAnsi="Palatino Linotype" w:cs="Palatino Linotype"/>
        </w:rPr>
      </w:pPr>
    </w:p>
    <w:p w:rsidR="00106578" w:rsidRPr="00AF1E57" w:rsidRDefault="00F96CE0">
      <w:pPr>
        <w:pBdr>
          <w:top w:val="nil"/>
          <w:left w:val="nil"/>
          <w:bottom w:val="nil"/>
          <w:right w:val="nil"/>
          <w:between w:val="nil"/>
        </w:pBd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Ahora bien, en atención a los agravios hechos valer por la parte Recurrente, el Sujeto Obligado en calidad de informe justificado dio respuesta a la solicitud de información, por lo que, por cuestiones de técnica jurídica, se realizará un cuadro de análisis en el que se advertirá la información entregada por el Organismo Descentralizado, el cual es del tenor siguiente:</w:t>
      </w:r>
    </w:p>
    <w:p w:rsidR="00106578" w:rsidRPr="00AF1E57" w:rsidRDefault="00106578">
      <w:pPr>
        <w:pBdr>
          <w:top w:val="nil"/>
          <w:left w:val="nil"/>
          <w:bottom w:val="nil"/>
          <w:right w:val="nil"/>
          <w:between w:val="nil"/>
        </w:pBdr>
        <w:spacing w:line="360" w:lineRule="auto"/>
        <w:jc w:val="both"/>
        <w:rPr>
          <w:rFonts w:ascii="Palatino Linotype" w:eastAsia="Palatino Linotype" w:hAnsi="Palatino Linotype" w:cs="Palatino Linotype"/>
        </w:rPr>
      </w:pPr>
    </w:p>
    <w:tbl>
      <w:tblPr>
        <w:tblStyle w:val="a"/>
        <w:tblW w:w="87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
        <w:gridCol w:w="2930"/>
        <w:gridCol w:w="3260"/>
        <w:gridCol w:w="2268"/>
      </w:tblGrid>
      <w:tr w:rsidR="00AF1E57" w:rsidRPr="00AF1E57">
        <w:tc>
          <w:tcPr>
            <w:tcW w:w="326" w:type="dxa"/>
            <w:tcBorders>
              <w:top w:val="nil"/>
              <w:left w:val="nil"/>
            </w:tcBorders>
          </w:tcPr>
          <w:p w:rsidR="00106578" w:rsidRPr="00AF1E57" w:rsidRDefault="00106578">
            <w:pPr>
              <w:pBdr>
                <w:top w:val="nil"/>
                <w:left w:val="nil"/>
                <w:bottom w:val="nil"/>
                <w:right w:val="nil"/>
                <w:between w:val="nil"/>
              </w:pBdr>
              <w:spacing w:line="360" w:lineRule="auto"/>
              <w:jc w:val="both"/>
              <w:rPr>
                <w:rFonts w:ascii="Palatino Linotype" w:eastAsia="Palatino Linotype" w:hAnsi="Palatino Linotype" w:cs="Palatino Linotype"/>
                <w:b/>
                <w:sz w:val="20"/>
                <w:szCs w:val="20"/>
              </w:rPr>
            </w:pPr>
          </w:p>
        </w:tc>
        <w:tc>
          <w:tcPr>
            <w:tcW w:w="2930" w:type="dxa"/>
            <w:shd w:val="clear" w:color="auto" w:fill="E7E6E6"/>
          </w:tcPr>
          <w:p w:rsidR="00106578" w:rsidRPr="00AF1E57" w:rsidRDefault="00F96CE0">
            <w:pPr>
              <w:pBdr>
                <w:top w:val="nil"/>
                <w:left w:val="nil"/>
                <w:bottom w:val="nil"/>
                <w:right w:val="nil"/>
                <w:between w:val="nil"/>
              </w:pBdr>
              <w:spacing w:line="360" w:lineRule="auto"/>
              <w:jc w:val="center"/>
              <w:rPr>
                <w:rFonts w:ascii="Palatino Linotype" w:eastAsia="Palatino Linotype" w:hAnsi="Palatino Linotype" w:cs="Palatino Linotype"/>
                <w:b/>
                <w:sz w:val="20"/>
                <w:szCs w:val="20"/>
              </w:rPr>
            </w:pPr>
            <w:r w:rsidRPr="00AF1E57">
              <w:rPr>
                <w:rFonts w:ascii="Palatino Linotype" w:eastAsia="Palatino Linotype" w:hAnsi="Palatino Linotype" w:cs="Palatino Linotype"/>
                <w:b/>
                <w:sz w:val="20"/>
                <w:szCs w:val="20"/>
              </w:rPr>
              <w:t>Requerimiento</w:t>
            </w:r>
          </w:p>
        </w:tc>
        <w:tc>
          <w:tcPr>
            <w:tcW w:w="3260" w:type="dxa"/>
            <w:shd w:val="clear" w:color="auto" w:fill="E7E6E6"/>
          </w:tcPr>
          <w:p w:rsidR="00106578" w:rsidRPr="00AF1E57" w:rsidRDefault="00F96CE0">
            <w:pPr>
              <w:pBdr>
                <w:top w:val="nil"/>
                <w:left w:val="nil"/>
                <w:bottom w:val="nil"/>
                <w:right w:val="nil"/>
                <w:between w:val="nil"/>
              </w:pBdr>
              <w:spacing w:line="360" w:lineRule="auto"/>
              <w:jc w:val="center"/>
              <w:rPr>
                <w:rFonts w:ascii="Palatino Linotype" w:eastAsia="Palatino Linotype" w:hAnsi="Palatino Linotype" w:cs="Palatino Linotype"/>
                <w:b/>
                <w:sz w:val="20"/>
                <w:szCs w:val="20"/>
              </w:rPr>
            </w:pPr>
            <w:r w:rsidRPr="00AF1E57">
              <w:rPr>
                <w:rFonts w:ascii="Palatino Linotype" w:eastAsia="Palatino Linotype" w:hAnsi="Palatino Linotype" w:cs="Palatino Linotype"/>
                <w:b/>
                <w:sz w:val="20"/>
                <w:szCs w:val="20"/>
              </w:rPr>
              <w:t>Respuesta</w:t>
            </w:r>
          </w:p>
        </w:tc>
        <w:tc>
          <w:tcPr>
            <w:tcW w:w="2268" w:type="dxa"/>
            <w:shd w:val="clear" w:color="auto" w:fill="E7E6E6"/>
          </w:tcPr>
          <w:p w:rsidR="00106578" w:rsidRPr="00AF1E57" w:rsidRDefault="00F96CE0">
            <w:pPr>
              <w:pBdr>
                <w:top w:val="nil"/>
                <w:left w:val="nil"/>
                <w:bottom w:val="nil"/>
                <w:right w:val="nil"/>
                <w:between w:val="nil"/>
              </w:pBdr>
              <w:spacing w:line="360" w:lineRule="auto"/>
              <w:jc w:val="center"/>
              <w:rPr>
                <w:rFonts w:ascii="Palatino Linotype" w:eastAsia="Palatino Linotype" w:hAnsi="Palatino Linotype" w:cs="Palatino Linotype"/>
                <w:b/>
                <w:sz w:val="20"/>
                <w:szCs w:val="20"/>
              </w:rPr>
            </w:pPr>
            <w:r w:rsidRPr="00AF1E57">
              <w:rPr>
                <w:rFonts w:ascii="Palatino Linotype" w:eastAsia="Palatino Linotype" w:hAnsi="Palatino Linotype" w:cs="Palatino Linotype"/>
                <w:b/>
                <w:sz w:val="20"/>
                <w:szCs w:val="20"/>
              </w:rPr>
              <w:t>Observaciones</w:t>
            </w:r>
          </w:p>
        </w:tc>
      </w:tr>
      <w:tr w:rsidR="00AF1E57" w:rsidRPr="00AF1E57">
        <w:tc>
          <w:tcPr>
            <w:tcW w:w="326" w:type="dxa"/>
            <w:shd w:val="clear" w:color="auto" w:fill="E7E6E6"/>
          </w:tcPr>
          <w:p w:rsidR="00106578" w:rsidRPr="00AF1E57" w:rsidRDefault="00F96CE0">
            <w:pPr>
              <w:pBdr>
                <w:top w:val="nil"/>
                <w:left w:val="nil"/>
                <w:bottom w:val="nil"/>
                <w:right w:val="nil"/>
                <w:between w:val="nil"/>
              </w:pBdr>
              <w:spacing w:line="360" w:lineRule="auto"/>
              <w:jc w:val="center"/>
              <w:rPr>
                <w:rFonts w:ascii="Palatino Linotype" w:eastAsia="Palatino Linotype" w:hAnsi="Palatino Linotype" w:cs="Palatino Linotype"/>
                <w:b/>
                <w:sz w:val="20"/>
                <w:szCs w:val="20"/>
              </w:rPr>
            </w:pPr>
            <w:r w:rsidRPr="00AF1E57">
              <w:rPr>
                <w:rFonts w:ascii="Palatino Linotype" w:eastAsia="Palatino Linotype" w:hAnsi="Palatino Linotype" w:cs="Palatino Linotype"/>
                <w:b/>
                <w:sz w:val="20"/>
                <w:szCs w:val="20"/>
              </w:rPr>
              <w:t>1</w:t>
            </w:r>
          </w:p>
        </w:tc>
        <w:tc>
          <w:tcPr>
            <w:tcW w:w="2930" w:type="dxa"/>
          </w:tcPr>
          <w:p w:rsidR="00106578" w:rsidRPr="00AF1E57" w:rsidRDefault="00F96CE0">
            <w:pPr>
              <w:pBdr>
                <w:top w:val="nil"/>
                <w:left w:val="nil"/>
                <w:bottom w:val="nil"/>
                <w:right w:val="nil"/>
                <w:between w:val="nil"/>
              </w:pBd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Soporte documental que </w:t>
            </w:r>
            <w:r w:rsidRPr="00AF1E57">
              <w:rPr>
                <w:rFonts w:ascii="Palatino Linotype" w:eastAsia="Palatino Linotype" w:hAnsi="Palatino Linotype" w:cs="Palatino Linotype"/>
                <w:b/>
                <w:sz w:val="20"/>
                <w:szCs w:val="20"/>
              </w:rPr>
              <w:t>acredite el número de jornadas de limpieza, sondeo de coladeras pluviales y de la línea general de drenaje que se han realizado durante el año 2022 y 2023</w:t>
            </w:r>
            <w:r w:rsidRPr="00AF1E57">
              <w:rPr>
                <w:rFonts w:ascii="Palatino Linotype" w:eastAsia="Palatino Linotype" w:hAnsi="Palatino Linotype" w:cs="Palatino Linotype"/>
                <w:sz w:val="20"/>
                <w:szCs w:val="20"/>
              </w:rPr>
              <w:t xml:space="preserve">, si no fue jornada y solo se realizó en alguna colonia, calle o localidad en específico de igual manera requiero la información. </w:t>
            </w:r>
          </w:p>
        </w:tc>
        <w:tc>
          <w:tcPr>
            <w:tcW w:w="3260" w:type="dxa"/>
          </w:tcPr>
          <w:p w:rsidR="00106578" w:rsidRPr="00AF1E57" w:rsidRDefault="00F96CE0">
            <w:pPr>
              <w:pBdr>
                <w:top w:val="nil"/>
                <w:left w:val="nil"/>
                <w:bottom w:val="nil"/>
                <w:right w:val="nil"/>
                <w:between w:val="nil"/>
              </w:pBd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El Director de Construcción e Infraestructura </w:t>
            </w:r>
            <w:proofErr w:type="gramStart"/>
            <w:r w:rsidRPr="00AF1E57">
              <w:rPr>
                <w:rFonts w:ascii="Palatino Linotype" w:eastAsia="Palatino Linotype" w:hAnsi="Palatino Linotype" w:cs="Palatino Linotype"/>
                <w:sz w:val="20"/>
                <w:szCs w:val="20"/>
              </w:rPr>
              <w:t>refirió</w:t>
            </w:r>
            <w:proofErr w:type="gramEnd"/>
            <w:r w:rsidRPr="00AF1E57">
              <w:rPr>
                <w:rFonts w:ascii="Palatino Linotype" w:eastAsia="Palatino Linotype" w:hAnsi="Palatino Linotype" w:cs="Palatino Linotype"/>
                <w:sz w:val="20"/>
                <w:szCs w:val="20"/>
              </w:rPr>
              <w:t xml:space="preserve"> que los trabajos se realizan en las diferentes colonias del Municipio y anexó los trabajos realizados de octubre a diciembre del año dos mil veintidós. </w:t>
            </w:r>
          </w:p>
        </w:tc>
        <w:tc>
          <w:tcPr>
            <w:tcW w:w="2268" w:type="dxa"/>
          </w:tcPr>
          <w:p w:rsidR="00106578" w:rsidRPr="00AF1E57" w:rsidRDefault="00F96CE0">
            <w:pPr>
              <w:pBdr>
                <w:top w:val="nil"/>
                <w:left w:val="nil"/>
                <w:bottom w:val="nil"/>
                <w:right w:val="nil"/>
                <w:between w:val="nil"/>
              </w:pBdr>
              <w:jc w:val="cente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Parcialmente</w:t>
            </w:r>
          </w:p>
          <w:p w:rsidR="00106578" w:rsidRPr="00AF1E57" w:rsidRDefault="00106578">
            <w:pPr>
              <w:pBdr>
                <w:top w:val="nil"/>
                <w:left w:val="nil"/>
                <w:bottom w:val="nil"/>
                <w:right w:val="nil"/>
                <w:between w:val="nil"/>
              </w:pBdr>
              <w:jc w:val="center"/>
              <w:rPr>
                <w:rFonts w:ascii="Palatino Linotype" w:eastAsia="Palatino Linotype" w:hAnsi="Palatino Linotype" w:cs="Palatino Linotype"/>
                <w:sz w:val="20"/>
                <w:szCs w:val="20"/>
              </w:rPr>
            </w:pPr>
          </w:p>
          <w:p w:rsidR="00106578" w:rsidRPr="00AF1E57" w:rsidRDefault="00F96CE0">
            <w:pPr>
              <w:pBdr>
                <w:top w:val="nil"/>
                <w:left w:val="nil"/>
                <w:bottom w:val="nil"/>
                <w:right w:val="nil"/>
                <w:between w:val="nil"/>
              </w:pBd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El Sujeto Obligado únicamente entregó información de octubre a diciembre del año dos mil veintidós.  </w:t>
            </w:r>
          </w:p>
        </w:tc>
      </w:tr>
      <w:tr w:rsidR="00AF1E57" w:rsidRPr="00AF1E57">
        <w:tc>
          <w:tcPr>
            <w:tcW w:w="326" w:type="dxa"/>
            <w:shd w:val="clear" w:color="auto" w:fill="E7E6E6"/>
          </w:tcPr>
          <w:p w:rsidR="00106578" w:rsidRPr="00AF1E57" w:rsidRDefault="00F96CE0">
            <w:pPr>
              <w:pBdr>
                <w:top w:val="nil"/>
                <w:left w:val="nil"/>
                <w:bottom w:val="nil"/>
                <w:right w:val="nil"/>
                <w:between w:val="nil"/>
              </w:pBdr>
              <w:spacing w:line="360" w:lineRule="auto"/>
              <w:jc w:val="center"/>
              <w:rPr>
                <w:rFonts w:ascii="Palatino Linotype" w:eastAsia="Palatino Linotype" w:hAnsi="Palatino Linotype" w:cs="Palatino Linotype"/>
                <w:b/>
                <w:sz w:val="20"/>
                <w:szCs w:val="20"/>
              </w:rPr>
            </w:pPr>
            <w:r w:rsidRPr="00AF1E57">
              <w:rPr>
                <w:rFonts w:ascii="Palatino Linotype" w:eastAsia="Palatino Linotype" w:hAnsi="Palatino Linotype" w:cs="Palatino Linotype"/>
                <w:b/>
                <w:sz w:val="20"/>
                <w:szCs w:val="20"/>
              </w:rPr>
              <w:t>2</w:t>
            </w:r>
          </w:p>
        </w:tc>
        <w:tc>
          <w:tcPr>
            <w:tcW w:w="2930" w:type="dxa"/>
          </w:tcPr>
          <w:p w:rsidR="00106578" w:rsidRPr="00AF1E57" w:rsidRDefault="00F96CE0">
            <w:pPr>
              <w:pBdr>
                <w:top w:val="nil"/>
                <w:left w:val="nil"/>
                <w:bottom w:val="nil"/>
                <w:right w:val="nil"/>
                <w:between w:val="nil"/>
              </w:pBd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Fecha, horarios y número de personal que participó en dichas actividades.</w:t>
            </w:r>
          </w:p>
        </w:tc>
        <w:tc>
          <w:tcPr>
            <w:tcW w:w="3260" w:type="dxa"/>
          </w:tcPr>
          <w:p w:rsidR="00106578" w:rsidRPr="00AF1E57" w:rsidRDefault="00F96CE0">
            <w:pPr>
              <w:pBdr>
                <w:top w:val="nil"/>
                <w:left w:val="nil"/>
                <w:bottom w:val="nil"/>
                <w:right w:val="nil"/>
                <w:between w:val="nil"/>
              </w:pBd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El Director de Construcción e Infraestructura refirió que los trabajos se realizan diario, en un horario de 7:00 a 16:00 horas y, el personal de campo que participó fueron 40 personas.</w:t>
            </w:r>
          </w:p>
        </w:tc>
        <w:tc>
          <w:tcPr>
            <w:tcW w:w="2268" w:type="dxa"/>
          </w:tcPr>
          <w:p w:rsidR="00106578" w:rsidRPr="00AF1E57" w:rsidRDefault="00F96CE0">
            <w:pPr>
              <w:pBdr>
                <w:top w:val="nil"/>
                <w:left w:val="nil"/>
                <w:bottom w:val="nil"/>
                <w:right w:val="nil"/>
                <w:between w:val="nil"/>
              </w:pBdr>
              <w:jc w:val="cente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Colmó.</w:t>
            </w:r>
          </w:p>
          <w:p w:rsidR="00106578" w:rsidRPr="00AF1E57" w:rsidRDefault="00106578">
            <w:pPr>
              <w:pBdr>
                <w:top w:val="nil"/>
                <w:left w:val="nil"/>
                <w:bottom w:val="nil"/>
                <w:right w:val="nil"/>
                <w:between w:val="nil"/>
              </w:pBdr>
              <w:jc w:val="center"/>
              <w:rPr>
                <w:rFonts w:ascii="Palatino Linotype" w:eastAsia="Palatino Linotype" w:hAnsi="Palatino Linotype" w:cs="Palatino Linotype"/>
                <w:sz w:val="20"/>
                <w:szCs w:val="20"/>
              </w:rPr>
            </w:pPr>
          </w:p>
          <w:p w:rsidR="00106578" w:rsidRPr="00AF1E57" w:rsidRDefault="00106578">
            <w:pPr>
              <w:pBdr>
                <w:top w:val="nil"/>
                <w:left w:val="nil"/>
                <w:bottom w:val="nil"/>
                <w:right w:val="nil"/>
                <w:between w:val="nil"/>
              </w:pBdr>
              <w:jc w:val="center"/>
              <w:rPr>
                <w:rFonts w:ascii="Palatino Linotype" w:eastAsia="Palatino Linotype" w:hAnsi="Palatino Linotype" w:cs="Palatino Linotype"/>
                <w:sz w:val="20"/>
                <w:szCs w:val="20"/>
              </w:rPr>
            </w:pPr>
          </w:p>
        </w:tc>
      </w:tr>
      <w:tr w:rsidR="00AF1E57" w:rsidRPr="00AF1E57">
        <w:tc>
          <w:tcPr>
            <w:tcW w:w="326" w:type="dxa"/>
            <w:shd w:val="clear" w:color="auto" w:fill="E7E6E6"/>
          </w:tcPr>
          <w:p w:rsidR="00106578" w:rsidRPr="00AF1E57" w:rsidRDefault="00F96CE0">
            <w:pPr>
              <w:pBdr>
                <w:top w:val="nil"/>
                <w:left w:val="nil"/>
                <w:bottom w:val="nil"/>
                <w:right w:val="nil"/>
                <w:between w:val="nil"/>
              </w:pBdr>
              <w:spacing w:line="360" w:lineRule="auto"/>
              <w:jc w:val="center"/>
              <w:rPr>
                <w:rFonts w:ascii="Palatino Linotype" w:eastAsia="Palatino Linotype" w:hAnsi="Palatino Linotype" w:cs="Palatino Linotype"/>
                <w:b/>
                <w:sz w:val="20"/>
                <w:szCs w:val="20"/>
              </w:rPr>
            </w:pPr>
            <w:r w:rsidRPr="00AF1E57">
              <w:rPr>
                <w:rFonts w:ascii="Palatino Linotype" w:eastAsia="Palatino Linotype" w:hAnsi="Palatino Linotype" w:cs="Palatino Linotype"/>
                <w:b/>
                <w:sz w:val="20"/>
                <w:szCs w:val="20"/>
              </w:rPr>
              <w:lastRenderedPageBreak/>
              <w:t>3</w:t>
            </w:r>
          </w:p>
        </w:tc>
        <w:tc>
          <w:tcPr>
            <w:tcW w:w="2930" w:type="dxa"/>
          </w:tcPr>
          <w:p w:rsidR="00106578" w:rsidRPr="00AF1E57" w:rsidRDefault="00F96CE0">
            <w:pPr>
              <w:pBdr>
                <w:top w:val="nil"/>
                <w:left w:val="nil"/>
                <w:bottom w:val="nil"/>
                <w:right w:val="nil"/>
                <w:between w:val="nil"/>
              </w:pBdr>
              <w:ind w:right="34"/>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Gasto por dichas actividades y su soporte documental, tales como facturas, cheques, contratos o recibos de pago.</w:t>
            </w:r>
          </w:p>
        </w:tc>
        <w:tc>
          <w:tcPr>
            <w:tcW w:w="3260" w:type="dxa"/>
          </w:tcPr>
          <w:p w:rsidR="00106578" w:rsidRPr="00AF1E57" w:rsidRDefault="00F96CE0">
            <w:pPr>
              <w:pBdr>
                <w:top w:val="nil"/>
                <w:left w:val="nil"/>
                <w:bottom w:val="nil"/>
                <w:right w:val="nil"/>
                <w:between w:val="nil"/>
              </w:pBdr>
              <w:spacing w:line="360" w:lineRule="auto"/>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No se pronunció. </w:t>
            </w:r>
          </w:p>
        </w:tc>
        <w:tc>
          <w:tcPr>
            <w:tcW w:w="2268" w:type="dxa"/>
          </w:tcPr>
          <w:p w:rsidR="00106578" w:rsidRPr="00AF1E57" w:rsidRDefault="00F96CE0">
            <w:pPr>
              <w:pBdr>
                <w:top w:val="nil"/>
                <w:left w:val="nil"/>
                <w:bottom w:val="nil"/>
                <w:right w:val="nil"/>
                <w:between w:val="nil"/>
              </w:pBdr>
              <w:spacing w:line="276" w:lineRule="auto"/>
              <w:jc w:val="cente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No colmó.</w:t>
            </w:r>
          </w:p>
          <w:p w:rsidR="00106578" w:rsidRPr="00AF1E57" w:rsidRDefault="00106578">
            <w:pPr>
              <w:pBdr>
                <w:top w:val="nil"/>
                <w:left w:val="nil"/>
                <w:bottom w:val="nil"/>
                <w:right w:val="nil"/>
                <w:between w:val="nil"/>
              </w:pBdr>
              <w:spacing w:line="276" w:lineRule="auto"/>
              <w:jc w:val="center"/>
              <w:rPr>
                <w:rFonts w:ascii="Palatino Linotype" w:eastAsia="Palatino Linotype" w:hAnsi="Palatino Linotype" w:cs="Palatino Linotype"/>
                <w:sz w:val="20"/>
                <w:szCs w:val="20"/>
              </w:rPr>
            </w:pPr>
          </w:p>
          <w:p w:rsidR="00106578" w:rsidRPr="00AF1E57" w:rsidRDefault="00F96CE0">
            <w:pPr>
              <w:pBdr>
                <w:top w:val="nil"/>
                <w:left w:val="nil"/>
                <w:bottom w:val="nil"/>
                <w:right w:val="nil"/>
                <w:between w:val="nil"/>
              </w:pBdr>
              <w:spacing w:line="276" w:lineRule="auto"/>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No hubo pronunciamiento por parte del SO. </w:t>
            </w:r>
          </w:p>
        </w:tc>
      </w:tr>
      <w:tr w:rsidR="00AF1E57" w:rsidRPr="00AF1E57">
        <w:tc>
          <w:tcPr>
            <w:tcW w:w="326" w:type="dxa"/>
            <w:shd w:val="clear" w:color="auto" w:fill="E7E6E6"/>
          </w:tcPr>
          <w:p w:rsidR="00106578" w:rsidRPr="00AF1E57" w:rsidRDefault="00F96CE0">
            <w:pPr>
              <w:pBdr>
                <w:top w:val="nil"/>
                <w:left w:val="nil"/>
                <w:bottom w:val="nil"/>
                <w:right w:val="nil"/>
                <w:between w:val="nil"/>
              </w:pBdr>
              <w:spacing w:line="360" w:lineRule="auto"/>
              <w:jc w:val="center"/>
              <w:rPr>
                <w:rFonts w:ascii="Palatino Linotype" w:eastAsia="Palatino Linotype" w:hAnsi="Palatino Linotype" w:cs="Palatino Linotype"/>
                <w:b/>
                <w:sz w:val="20"/>
                <w:szCs w:val="20"/>
              </w:rPr>
            </w:pPr>
            <w:r w:rsidRPr="00AF1E57">
              <w:rPr>
                <w:rFonts w:ascii="Palatino Linotype" w:eastAsia="Palatino Linotype" w:hAnsi="Palatino Linotype" w:cs="Palatino Linotype"/>
                <w:b/>
                <w:sz w:val="20"/>
                <w:szCs w:val="20"/>
              </w:rPr>
              <w:t>4</w:t>
            </w:r>
          </w:p>
        </w:tc>
        <w:tc>
          <w:tcPr>
            <w:tcW w:w="2930" w:type="dxa"/>
          </w:tcPr>
          <w:p w:rsidR="00106578" w:rsidRPr="00AF1E57" w:rsidRDefault="00F96CE0">
            <w:pPr>
              <w:pBdr>
                <w:top w:val="nil"/>
                <w:left w:val="nil"/>
                <w:bottom w:val="nil"/>
                <w:right w:val="nil"/>
                <w:between w:val="nil"/>
              </w:pBd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Soporte documental que acredite el número de jornadas de limpieza, sondeo de coladeras pluviales y de la línea general de drenaje, fechas, horarios y número de personal, así como el gasto por dichas actividades con soporte documental, que se realizó con el camión hidroneumático en calle Chichimecas entre Moctezuma y Tenochtitlán, Colonia Ancón en la administración 2022-2024 y que, se dio a conocer en la página oficial de Facebook del Ayuntamiento. </w:t>
            </w:r>
          </w:p>
        </w:tc>
        <w:tc>
          <w:tcPr>
            <w:tcW w:w="3260" w:type="dxa"/>
          </w:tcPr>
          <w:p w:rsidR="00106578" w:rsidRPr="00AF1E57" w:rsidRDefault="00F96CE0">
            <w:pPr>
              <w:pBdr>
                <w:top w:val="nil"/>
                <w:left w:val="nil"/>
                <w:bottom w:val="nil"/>
                <w:right w:val="nil"/>
                <w:between w:val="nil"/>
              </w:pBdr>
              <w:spacing w:line="276" w:lineRule="auto"/>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El Director de Construcción e Infraestructura </w:t>
            </w:r>
            <w:proofErr w:type="gramStart"/>
            <w:r w:rsidRPr="00AF1E57">
              <w:rPr>
                <w:rFonts w:ascii="Palatino Linotype" w:eastAsia="Palatino Linotype" w:hAnsi="Palatino Linotype" w:cs="Palatino Linotype"/>
                <w:sz w:val="20"/>
                <w:szCs w:val="20"/>
              </w:rPr>
              <w:t>refirió</w:t>
            </w:r>
            <w:proofErr w:type="gramEnd"/>
            <w:r w:rsidRPr="00AF1E57">
              <w:rPr>
                <w:rFonts w:ascii="Palatino Linotype" w:eastAsia="Palatino Linotype" w:hAnsi="Palatino Linotype" w:cs="Palatino Linotype"/>
                <w:sz w:val="20"/>
                <w:szCs w:val="20"/>
              </w:rPr>
              <w:t xml:space="preserve"> que no se cuenta con la información, por lo que tendrá que ser solicitada al área de comunicación social, para que indique el día en que se realizaron los trabajos con el equipo hidroneumático. </w:t>
            </w:r>
          </w:p>
        </w:tc>
        <w:tc>
          <w:tcPr>
            <w:tcW w:w="2268" w:type="dxa"/>
          </w:tcPr>
          <w:p w:rsidR="00106578" w:rsidRPr="00AF1E57" w:rsidRDefault="00F96CE0">
            <w:pPr>
              <w:pBdr>
                <w:top w:val="nil"/>
                <w:left w:val="nil"/>
                <w:bottom w:val="nil"/>
                <w:right w:val="nil"/>
                <w:between w:val="nil"/>
              </w:pBdr>
              <w:spacing w:line="276" w:lineRule="auto"/>
              <w:jc w:val="cente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No colmó.</w:t>
            </w:r>
          </w:p>
          <w:p w:rsidR="00106578" w:rsidRPr="00AF1E57" w:rsidRDefault="00106578">
            <w:pPr>
              <w:pBdr>
                <w:top w:val="nil"/>
                <w:left w:val="nil"/>
                <w:bottom w:val="nil"/>
                <w:right w:val="nil"/>
                <w:between w:val="nil"/>
              </w:pBdr>
              <w:spacing w:line="276" w:lineRule="auto"/>
              <w:jc w:val="center"/>
              <w:rPr>
                <w:rFonts w:ascii="Palatino Linotype" w:eastAsia="Palatino Linotype" w:hAnsi="Palatino Linotype" w:cs="Palatino Linotype"/>
                <w:sz w:val="20"/>
                <w:szCs w:val="20"/>
              </w:rPr>
            </w:pPr>
          </w:p>
          <w:p w:rsidR="00106578" w:rsidRPr="00AF1E57" w:rsidRDefault="00F96CE0">
            <w:pPr>
              <w:pBdr>
                <w:top w:val="nil"/>
                <w:left w:val="nil"/>
                <w:bottom w:val="nil"/>
                <w:right w:val="nil"/>
                <w:between w:val="nil"/>
              </w:pBdr>
              <w:spacing w:line="276" w:lineRule="auto"/>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No se hizo la búsqueda exhaustiva de la información. </w:t>
            </w:r>
          </w:p>
        </w:tc>
      </w:tr>
    </w:tbl>
    <w:p w:rsidR="00106578" w:rsidRPr="00AF1E57" w:rsidRDefault="00106578">
      <w:pPr>
        <w:spacing w:line="360" w:lineRule="auto"/>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Dicho lo anterior, en lo que respecta al numeral 1) relacionado con el soporte documental que </w:t>
      </w:r>
      <w:r w:rsidRPr="00AF1E57">
        <w:rPr>
          <w:rFonts w:ascii="Palatino Linotype" w:eastAsia="Palatino Linotype" w:hAnsi="Palatino Linotype" w:cs="Palatino Linotype"/>
          <w:b/>
        </w:rPr>
        <w:t>acredite el número de jornadas de limpieza, sondeo de coladeras pluviales y de la línea general de drenaje que se han realizado durante el año 2022 y 2023</w:t>
      </w:r>
      <w:r w:rsidRPr="00AF1E57">
        <w:rPr>
          <w:rFonts w:ascii="Palatino Linotype" w:eastAsia="Palatino Linotype" w:hAnsi="Palatino Linotype" w:cs="Palatino Linotype"/>
        </w:rPr>
        <w:t xml:space="preserve">, es de mencionar que en respuesta, el Sujeto Obligado, a través del Director de Construcción e Infraestructura señaló que los trabajos se realizan en las diferentes colonias del Municipio y, asimismo, remitió una tabla de informe de los trabajos </w:t>
      </w:r>
      <w:r w:rsidRPr="00AF1E57">
        <w:rPr>
          <w:rFonts w:ascii="Palatino Linotype" w:eastAsia="Palatino Linotype" w:hAnsi="Palatino Linotype" w:cs="Palatino Linotype"/>
        </w:rPr>
        <w:lastRenderedPageBreak/>
        <w:t xml:space="preserve">realizados del trimestre de octubre a diciembre de dos mil veintidós, como se puede observar a continuación: </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center"/>
        <w:rPr>
          <w:rFonts w:ascii="Palatino Linotype" w:eastAsia="Palatino Linotype" w:hAnsi="Palatino Linotype" w:cs="Palatino Linotype"/>
        </w:rPr>
      </w:pPr>
      <w:r w:rsidRPr="00AF1E57">
        <w:rPr>
          <w:rFonts w:ascii="Palatino Linotype" w:eastAsia="Palatino Linotype" w:hAnsi="Palatino Linotype" w:cs="Palatino Linotype"/>
          <w:noProof/>
          <w:lang w:val="es-MX" w:eastAsia="es-MX"/>
        </w:rPr>
        <w:drawing>
          <wp:inline distT="0" distB="0" distL="0" distR="0">
            <wp:extent cx="4433592" cy="1225173"/>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433592" cy="1225173"/>
                    </a:xfrm>
                    <a:prstGeom prst="rect">
                      <a:avLst/>
                    </a:prstGeom>
                    <a:ln/>
                  </pic:spPr>
                </pic:pic>
              </a:graphicData>
            </a:graphic>
          </wp:inline>
        </w:drawing>
      </w:r>
    </w:p>
    <w:p w:rsidR="00106578" w:rsidRPr="00AF1E57" w:rsidRDefault="00106578">
      <w:pPr>
        <w:spacing w:line="360" w:lineRule="auto"/>
        <w:jc w:val="center"/>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De lo anterior, se pueden advertir lo siguiente: </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E57">
        <w:rPr>
          <w:rFonts w:ascii="Palatino Linotype" w:eastAsia="Palatino Linotype" w:hAnsi="Palatino Linotype" w:cs="Palatino Linotype"/>
          <w:sz w:val="22"/>
          <w:szCs w:val="22"/>
        </w:rPr>
        <w:t xml:space="preserve">El Sujeto Obligado </w:t>
      </w:r>
      <w:r w:rsidRPr="00AF1E57">
        <w:rPr>
          <w:rFonts w:ascii="Palatino Linotype" w:eastAsia="Palatino Linotype" w:hAnsi="Palatino Linotype" w:cs="Palatino Linotype"/>
          <w:b/>
          <w:sz w:val="22"/>
          <w:szCs w:val="22"/>
        </w:rPr>
        <w:t xml:space="preserve">llevó a cabo trabajos de limpieza, construcción de obras pluviales y de redes de drenaje. </w:t>
      </w:r>
    </w:p>
    <w:p w:rsidR="00106578" w:rsidRPr="00AF1E57" w:rsidRDefault="00F96CE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AF1E57">
        <w:rPr>
          <w:rFonts w:ascii="Palatino Linotype" w:eastAsia="Palatino Linotype" w:hAnsi="Palatino Linotype" w:cs="Palatino Linotype"/>
          <w:b/>
          <w:sz w:val="22"/>
          <w:szCs w:val="22"/>
          <w:u w:val="single"/>
        </w:rPr>
        <w:t xml:space="preserve">El Sujeto Obligado no se pronunció de la realización de los trabajos realizados del uno de enero al treinta y uno de septiembre de dos mil veintidós y tampoco del uno de enero al diecisiete de febrero de dos mil veintitrés.  </w:t>
      </w:r>
    </w:p>
    <w:p w:rsidR="00106578" w:rsidRPr="00AF1E57" w:rsidRDefault="0010657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rsidR="00106578" w:rsidRPr="00AF1E57" w:rsidRDefault="00F96CE0">
      <w:pPr>
        <w:spacing w:line="360" w:lineRule="auto"/>
        <w:jc w:val="both"/>
        <w:rPr>
          <w:rFonts w:ascii="Palatino Linotype" w:eastAsia="Palatino Linotype" w:hAnsi="Palatino Linotype" w:cs="Palatino Linotype"/>
          <w:b/>
        </w:rPr>
      </w:pPr>
      <w:r w:rsidRPr="00AF1E57">
        <w:rPr>
          <w:rFonts w:ascii="Palatino Linotype" w:eastAsia="Palatino Linotype" w:hAnsi="Palatino Linotype" w:cs="Palatino Linotype"/>
        </w:rPr>
        <w:t xml:space="preserve">En ese sentido, se advierte que el Sujeto Obligado no atendió cabalmente el requerimiento de la parte Solicitante, por lo que, este punto </w:t>
      </w:r>
      <w:r w:rsidRPr="00AF1E57">
        <w:rPr>
          <w:rFonts w:ascii="Palatino Linotype" w:eastAsia="Palatino Linotype" w:hAnsi="Palatino Linotype" w:cs="Palatino Linotype"/>
          <w:b/>
        </w:rPr>
        <w:t xml:space="preserve">no se tiene por colmado, </w:t>
      </w:r>
      <w:r w:rsidRPr="00AF1E57">
        <w:rPr>
          <w:rFonts w:ascii="Palatino Linotype" w:eastAsia="Palatino Linotype" w:hAnsi="Palatino Linotype" w:cs="Palatino Linotype"/>
        </w:rPr>
        <w:t>debido a que,</w:t>
      </w:r>
      <w:r w:rsidRPr="00AF1E57">
        <w:rPr>
          <w:rFonts w:ascii="Palatino Linotype" w:eastAsia="Palatino Linotype" w:hAnsi="Palatino Linotype" w:cs="Palatino Linotype"/>
          <w:b/>
        </w:rPr>
        <w:t xml:space="preserve"> la información entregada es incompleta</w:t>
      </w:r>
      <w:r w:rsidRPr="00AF1E57">
        <w:rPr>
          <w:rFonts w:ascii="Palatino Linotype" w:eastAsia="Palatino Linotype" w:hAnsi="Palatino Linotype" w:cs="Palatino Linotype"/>
        </w:rPr>
        <w:t>, toda vez que</w:t>
      </w:r>
      <w:r w:rsidRPr="00AF1E57">
        <w:rPr>
          <w:rFonts w:ascii="Palatino Linotype" w:eastAsia="Palatino Linotype" w:hAnsi="Palatino Linotype" w:cs="Palatino Linotype"/>
          <w:b/>
        </w:rPr>
        <w:t xml:space="preserve"> faltó remitir </w:t>
      </w:r>
      <w:r w:rsidRPr="00AF1E57">
        <w:rPr>
          <w:rFonts w:ascii="Palatino Linotype" w:eastAsia="Palatino Linotype" w:hAnsi="Palatino Linotype" w:cs="Palatino Linotype"/>
          <w:b/>
        </w:rPr>
        <w:lastRenderedPageBreak/>
        <w:t xml:space="preserve">información del uno de enero al treinta y uno de septiembre de dos mil veintidós y del uno de enero al diecisiete de febrero de dos mil veintitrés. </w:t>
      </w:r>
    </w:p>
    <w:p w:rsidR="00106578" w:rsidRPr="00AF1E57" w:rsidRDefault="00106578">
      <w:pPr>
        <w:spacing w:line="360" w:lineRule="auto"/>
        <w:jc w:val="both"/>
        <w:rPr>
          <w:rFonts w:ascii="Palatino Linotype" w:eastAsia="Palatino Linotype" w:hAnsi="Palatino Linotype" w:cs="Palatino Linotype"/>
          <w:b/>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lo que respecta al numeral 2) relativo a la </w:t>
      </w:r>
      <w:r w:rsidRPr="00AF1E57">
        <w:rPr>
          <w:rFonts w:ascii="Palatino Linotype" w:eastAsia="Palatino Linotype" w:hAnsi="Palatino Linotype" w:cs="Palatino Linotype"/>
          <w:b/>
        </w:rPr>
        <w:t>fecha, horarios y número de personal que partió en dichas actividades</w:t>
      </w:r>
      <w:r w:rsidRPr="00AF1E57">
        <w:rPr>
          <w:rFonts w:ascii="Palatino Linotype" w:eastAsia="Palatino Linotype" w:hAnsi="Palatino Linotype" w:cs="Palatino Linotype"/>
        </w:rPr>
        <w:t>, el Sujeto Obligado, a través de Director de Construcción e Infraestructura, refirió que, los trabajos se realizan diario, en un horario de 7:00 a 16:00 horas y, el personal de campo que participó fueron 40 personas.</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ese sentido, se considera que el Organismo Descentralizado atendió el requerimiento de la parte solicitante, ya que proporcionó la información solicitada, a través del servidor público habilitado competente, en ese sentido, de acuerdo con el Criterio 31/10 de aplicación análoga para este Organismo Garante, emitido por el Instituto Nacional de Transparencia, Acceso a la Información y Protección de Datos Personales, que establece lo siguiente: </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AF1E57">
        <w:rPr>
          <w:rFonts w:ascii="Palatino Linotype" w:eastAsia="Palatino Linotype" w:hAnsi="Palatino Linotype" w:cs="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w:t>
      </w:r>
      <w:r w:rsidRPr="00AF1E57">
        <w:rPr>
          <w:rFonts w:ascii="Palatino Linotype" w:eastAsia="Palatino Linotype" w:hAnsi="Palatino Linotype" w:cs="Palatino Linotype"/>
          <w:i/>
          <w:sz w:val="22"/>
          <w:szCs w:val="22"/>
        </w:rPr>
        <w:lastRenderedPageBreak/>
        <w:t>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b/>
        </w:rPr>
      </w:pPr>
      <w:r w:rsidRPr="00AF1E57">
        <w:rPr>
          <w:rFonts w:ascii="Palatino Linotype" w:eastAsia="Palatino Linotype" w:hAnsi="Palatino Linotype" w:cs="Palatino Linotype"/>
        </w:rPr>
        <w:t xml:space="preserve">Es entonces que, se colige que este Instituto, no está facultado para dudar de la veracidad de la información que los sujetos obligados ponen a disposición de los solicitantes, situación que nos lleva a determinar que el requerimiento se encuentra </w:t>
      </w:r>
      <w:r w:rsidRPr="00AF1E57">
        <w:rPr>
          <w:rFonts w:ascii="Palatino Linotype" w:eastAsia="Palatino Linotype" w:hAnsi="Palatino Linotype" w:cs="Palatino Linotype"/>
          <w:b/>
        </w:rPr>
        <w:t xml:space="preserve">colmado. </w:t>
      </w:r>
    </w:p>
    <w:p w:rsidR="00106578" w:rsidRPr="00AF1E57" w:rsidRDefault="00106578">
      <w:pPr>
        <w:spacing w:line="360" w:lineRule="auto"/>
        <w:ind w:right="49"/>
        <w:jc w:val="both"/>
        <w:rPr>
          <w:rFonts w:ascii="Palatino Linotype" w:eastAsia="Palatino Linotype" w:hAnsi="Palatino Linotype" w:cs="Palatino Linotype"/>
          <w:b/>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lo que respecta al punto referido con el numeral 3) relativo al </w:t>
      </w:r>
      <w:r w:rsidRPr="00AF1E57">
        <w:rPr>
          <w:rFonts w:ascii="Palatino Linotype" w:eastAsia="Palatino Linotype" w:hAnsi="Palatino Linotype" w:cs="Palatino Linotype"/>
          <w:b/>
        </w:rPr>
        <w:t>gasto por los trabajos realizados y su soporte documental</w:t>
      </w:r>
      <w:r w:rsidRPr="00AF1E57">
        <w:rPr>
          <w:rFonts w:ascii="Palatino Linotype" w:eastAsia="Palatino Linotype" w:hAnsi="Palatino Linotype" w:cs="Palatino Linotype"/>
        </w:rPr>
        <w:t xml:space="preserve">, es necesario precisar que no existió pronunciamiento por parte del Sujeto Obligado, por lo que, es importante traer a colación, lo que establece el Código Financiero del Estado de México, en su artículo 344, que precisa lo siguiente: </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344.-</w:t>
      </w:r>
      <w:r w:rsidRPr="00AF1E57">
        <w:rPr>
          <w:rFonts w:ascii="Palatino Linotype" w:eastAsia="Palatino Linotype" w:hAnsi="Palatino Linotype" w:cs="Palatino Linotype"/>
          <w:i/>
          <w:sz w:val="22"/>
          <w:szCs w:val="22"/>
        </w:rPr>
        <w:t xml:space="preserve"> </w:t>
      </w:r>
      <w:r w:rsidRPr="00AF1E57">
        <w:rPr>
          <w:rFonts w:ascii="Palatino Linotype" w:eastAsia="Palatino Linotype" w:hAnsi="Palatino Linotype" w:cs="Palatino Linotype"/>
          <w:b/>
          <w:i/>
          <w:sz w:val="22"/>
          <w:szCs w:val="22"/>
          <w:u w:val="single"/>
        </w:rPr>
        <w:t>Los Entes Públicos, a través de cualquiera de sus unidades administrativas</w:t>
      </w:r>
      <w:r w:rsidRPr="00AF1E57">
        <w:rPr>
          <w:rFonts w:ascii="Palatino Linotype" w:eastAsia="Palatino Linotype" w:hAnsi="Palatino Linotype" w:cs="Palatino Linotype"/>
          <w:i/>
          <w:sz w:val="22"/>
          <w:szCs w:val="22"/>
        </w:rPr>
        <w:t xml:space="preserve">, de acuerdo con su naturaleza jurídica y según corresponda, </w:t>
      </w:r>
      <w:r w:rsidRPr="00AF1E57">
        <w:rPr>
          <w:rFonts w:ascii="Palatino Linotype" w:eastAsia="Palatino Linotype" w:hAnsi="Palatino Linotype" w:cs="Palatino Linotype"/>
          <w:b/>
          <w:i/>
          <w:sz w:val="22"/>
          <w:szCs w:val="22"/>
          <w:u w:val="single"/>
        </w:rPr>
        <w:t xml:space="preserve">registrarán contablemente el efecto patrimonial y presupuestal de las operaciones financieras que realicen, en el momento en que ocurran, con base en </w:t>
      </w:r>
      <w:r w:rsidRPr="00AF1E57">
        <w:rPr>
          <w:rFonts w:ascii="Palatino Linotype" w:eastAsia="Palatino Linotype" w:hAnsi="Palatino Linotype" w:cs="Palatino Linotype"/>
          <w:b/>
          <w:i/>
          <w:sz w:val="22"/>
          <w:szCs w:val="22"/>
          <w:u w:val="single"/>
        </w:rPr>
        <w:lastRenderedPageBreak/>
        <w:t>el sistema y políticas de registro establecidas</w:t>
      </w:r>
      <w:r w:rsidRPr="00AF1E57">
        <w:rPr>
          <w:rFonts w:ascii="Palatino Linotype" w:eastAsia="Palatino Linotype" w:hAnsi="Palatino Linotype" w:cs="Palatino Linotype"/>
          <w:i/>
          <w:sz w:val="22"/>
          <w:szCs w:val="22"/>
        </w:rPr>
        <w:t xml:space="preserve">, en el caso de los Municipios, se hará por la Tesorería. </w:t>
      </w:r>
    </w:p>
    <w:p w:rsidR="00106578" w:rsidRPr="00AF1E57" w:rsidRDefault="00106578">
      <w:pPr>
        <w:spacing w:line="276" w:lineRule="auto"/>
        <w:ind w:left="567" w:right="843"/>
        <w:jc w:val="both"/>
        <w:rPr>
          <w:rFonts w:ascii="Palatino Linotype" w:eastAsia="Palatino Linotype" w:hAnsi="Palatino Linotype" w:cs="Palatino Linotype"/>
          <w:i/>
          <w:sz w:val="22"/>
          <w:szCs w:val="22"/>
        </w:rPr>
      </w:pPr>
    </w:p>
    <w:p w:rsidR="00106578" w:rsidRPr="00AF1E57" w:rsidRDefault="00F96CE0">
      <w:pPr>
        <w:spacing w:line="276" w:lineRule="auto"/>
        <w:ind w:left="567" w:right="843"/>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u w:val="single"/>
        </w:rPr>
        <w:t>Todo registro contable y presupuestal deberá estar soportado con los documentos comprobatorios originales o en medios electrónicos, los que deberán permanecer en custodia y conservación</w:t>
      </w:r>
      <w:r w:rsidRPr="00AF1E57">
        <w:rPr>
          <w:rFonts w:ascii="Palatino Linotype" w:eastAsia="Palatino Linotype" w:hAnsi="Palatino Linotype" w:cs="Palatino Linotype"/>
          <w:i/>
          <w:sz w:val="22"/>
          <w:szCs w:val="22"/>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rsidR="00106578" w:rsidRPr="00AF1E57" w:rsidRDefault="00106578">
      <w:pPr>
        <w:spacing w:line="276" w:lineRule="auto"/>
        <w:ind w:left="567" w:right="843"/>
        <w:jc w:val="both"/>
        <w:rPr>
          <w:rFonts w:ascii="Palatino Linotype" w:eastAsia="Palatino Linotype" w:hAnsi="Palatino Linotype" w:cs="Palatino Linotype"/>
          <w:i/>
          <w:sz w:val="22"/>
          <w:szCs w:val="22"/>
        </w:rPr>
      </w:pPr>
    </w:p>
    <w:p w:rsidR="00106578" w:rsidRPr="00AF1E57" w:rsidRDefault="00F96CE0">
      <w:pPr>
        <w:spacing w:line="276" w:lineRule="auto"/>
        <w:ind w:left="567" w:right="843"/>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Tratándose de documentos de carácter histórico, se estará a lo dispuesto por la legislación de la materia.</w:t>
      </w:r>
    </w:p>
    <w:p w:rsidR="00106578" w:rsidRPr="00AF1E57" w:rsidRDefault="00106578">
      <w:pPr>
        <w:spacing w:line="360" w:lineRule="auto"/>
        <w:ind w:right="49"/>
        <w:jc w:val="both"/>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AF1E57">
        <w:rPr>
          <w:rFonts w:ascii="Palatino Linotype" w:eastAsia="Palatino Linotype" w:hAnsi="Palatino Linotype" w:cs="Palatino Linotype"/>
          <w:i/>
        </w:rPr>
        <w:t>Glosario de Términos Administrativos</w:t>
      </w:r>
      <w:r w:rsidRPr="00AF1E57">
        <w:rPr>
          <w:rFonts w:ascii="Palatino Linotype" w:eastAsia="Palatino Linotype" w:hAnsi="Palatino Linotype" w:cs="Palatino Linotype"/>
        </w:rPr>
        <w:t xml:space="preserve"> y el </w:t>
      </w:r>
      <w:r w:rsidRPr="00AF1E57">
        <w:rPr>
          <w:rFonts w:ascii="Palatino Linotype" w:eastAsia="Palatino Linotype" w:hAnsi="Palatino Linotype" w:cs="Palatino Linotype"/>
          <w:i/>
        </w:rPr>
        <w:t xml:space="preserve">Glosario de Términos para el Proceso de Planeación, Programación, </w:t>
      </w:r>
      <w:proofErr w:type="spellStart"/>
      <w:r w:rsidRPr="00AF1E57">
        <w:rPr>
          <w:rFonts w:ascii="Palatino Linotype" w:eastAsia="Palatino Linotype" w:hAnsi="Palatino Linotype" w:cs="Palatino Linotype"/>
          <w:i/>
        </w:rPr>
        <w:t>Presupuestación</w:t>
      </w:r>
      <w:proofErr w:type="spellEnd"/>
      <w:r w:rsidRPr="00AF1E57">
        <w:rPr>
          <w:rFonts w:ascii="Palatino Linotype" w:eastAsia="Palatino Linotype" w:hAnsi="Palatino Linotype" w:cs="Palatino Linotype"/>
          <w:i/>
        </w:rPr>
        <w:t xml:space="preserve"> y Evaluación en la Administración Pública</w:t>
      </w:r>
      <w:r w:rsidRPr="00AF1E57">
        <w:rPr>
          <w:rFonts w:ascii="Palatino Linotype" w:eastAsia="Palatino Linotype" w:hAnsi="Palatino Linotype" w:cs="Palatino Linotype"/>
        </w:rPr>
        <w:t xml:space="preserve">, definen los registros como: </w:t>
      </w:r>
    </w:p>
    <w:p w:rsidR="00106578" w:rsidRPr="00AF1E57" w:rsidRDefault="00106578">
      <w:pPr>
        <w:spacing w:line="360" w:lineRule="auto"/>
        <w:ind w:left="567" w:right="560"/>
        <w:jc w:val="both"/>
        <w:rPr>
          <w:rFonts w:ascii="Palatino Linotype" w:eastAsia="Palatino Linotype" w:hAnsi="Palatino Linotype" w:cs="Palatino Linotype"/>
          <w:i/>
        </w:rPr>
      </w:pP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lastRenderedPageBreak/>
        <w:t xml:space="preserve">Registro contable. </w:t>
      </w:r>
      <w:r w:rsidRPr="00AF1E57">
        <w:rPr>
          <w:rFonts w:ascii="Palatino Linotype" w:eastAsia="Palatino Linotype" w:hAnsi="Palatino Linotype" w:cs="Palatino Linotype"/>
          <w:i/>
          <w:sz w:val="22"/>
          <w:szCs w:val="22"/>
        </w:rPr>
        <w:t xml:space="preserve">Asiento que se realiza en los libros de contabilidad de las actividades relacionadas con el ingreso y egreso de un ente económico. </w:t>
      </w:r>
    </w:p>
    <w:p w:rsidR="00106578" w:rsidRPr="00AF1E57" w:rsidRDefault="00106578">
      <w:pPr>
        <w:spacing w:line="276" w:lineRule="auto"/>
        <w:ind w:left="567" w:right="560"/>
        <w:jc w:val="both"/>
        <w:rPr>
          <w:rFonts w:ascii="Palatino Linotype" w:eastAsia="Palatino Linotype" w:hAnsi="Palatino Linotype" w:cs="Palatino Linotype"/>
          <w:i/>
          <w:sz w:val="22"/>
          <w:szCs w:val="22"/>
        </w:rPr>
      </w:pP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 xml:space="preserve">Registro Presupuestario. </w:t>
      </w:r>
      <w:r w:rsidRPr="00AF1E57">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De los preceptos citados, se colige que los entes fiscalizables</w:t>
      </w:r>
      <w:r w:rsidRPr="00AF1E57">
        <w:rPr>
          <w:rFonts w:ascii="Palatino Linotype" w:eastAsia="Palatino Linotype" w:hAnsi="Palatino Linotype" w:cs="Palatino Linotype"/>
          <w:b/>
          <w:u w:val="single"/>
        </w:rPr>
        <w:t xml:space="preserve"> deben contar con una unidad administrativa que registra contablemente el efecto patrimonial y presupuestal de las operaciones financieras</w:t>
      </w:r>
      <w:r w:rsidRPr="00AF1E57">
        <w:rPr>
          <w:rFonts w:ascii="Palatino Linotype" w:eastAsia="Palatino Linotype" w:hAnsi="Palatino Linotype" w:cs="Palatino Linotype"/>
        </w:rPr>
        <w:t xml:space="preserve"> que realizan y por lo general, se encuentran en las denominadas </w:t>
      </w:r>
      <w:r w:rsidRPr="00AF1E57">
        <w:rPr>
          <w:rFonts w:ascii="Palatino Linotype" w:eastAsia="Palatino Linotype" w:hAnsi="Palatino Linotype" w:cs="Palatino Linotype"/>
          <w:b/>
          <w:i/>
        </w:rPr>
        <w:t>pólizas contables</w:t>
      </w:r>
      <w:r w:rsidRPr="00AF1E57">
        <w:rPr>
          <w:rFonts w:ascii="Palatino Linotype" w:eastAsia="Palatino Linotype" w:hAnsi="Palatino Linotype" w:cs="Palatino Linotype"/>
          <w:i/>
        </w:rPr>
        <w:t xml:space="preserve"> </w:t>
      </w:r>
      <w:r w:rsidRPr="00AF1E57">
        <w:rPr>
          <w:rFonts w:ascii="Palatino Linotype" w:eastAsia="Palatino Linotype" w:hAnsi="Palatino Linotype" w:cs="Palatino Linotype"/>
        </w:rPr>
        <w:t xml:space="preserve">las cuales son aquellos documentos en los que se asientan en forma individual todas y cada una de las operaciones desarrolladas por una institución, así como la información necesaria para la identificación de estas. </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el presente asunto, se encontró que el Sujeto Obligado cuenta con una unidad administrativa denominada Dirección de Administración y Finanzas, la cual, de conformidad con el Manual de Organización y Operación del Organismo Descentralizado, tendrá las siguientes funciones: </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11.</w:t>
      </w:r>
      <w:r w:rsidRPr="00AF1E57">
        <w:rPr>
          <w:rFonts w:ascii="Palatino Linotype" w:eastAsia="Palatino Linotype" w:hAnsi="Palatino Linotype" w:cs="Palatino Linotype"/>
          <w:i/>
          <w:sz w:val="22"/>
          <w:szCs w:val="22"/>
        </w:rPr>
        <w:t xml:space="preserve"> La </w:t>
      </w:r>
      <w:r w:rsidRPr="00AF1E57">
        <w:rPr>
          <w:rFonts w:ascii="Palatino Linotype" w:eastAsia="Palatino Linotype" w:hAnsi="Palatino Linotype" w:cs="Palatino Linotype"/>
          <w:b/>
          <w:i/>
          <w:sz w:val="22"/>
          <w:szCs w:val="22"/>
        </w:rPr>
        <w:t>Dirección de Administración y Finanzas</w:t>
      </w:r>
      <w:r w:rsidRPr="00AF1E57">
        <w:rPr>
          <w:rFonts w:ascii="Palatino Linotype" w:eastAsia="Palatino Linotype" w:hAnsi="Palatino Linotype" w:cs="Palatino Linotype"/>
          <w:i/>
          <w:sz w:val="22"/>
          <w:szCs w:val="22"/>
        </w:rPr>
        <w:t xml:space="preserve"> tendrá a su cargo las siguientes funciones financieras: </w:t>
      </w:r>
    </w:p>
    <w:p w:rsidR="00106578" w:rsidRPr="00AF1E57" w:rsidRDefault="00106578">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lastRenderedPageBreak/>
        <w:t>…</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F1E57">
        <w:rPr>
          <w:rFonts w:ascii="Palatino Linotype" w:eastAsia="Palatino Linotype" w:hAnsi="Palatino Linotype" w:cs="Palatino Linotype"/>
          <w:b/>
          <w:i/>
          <w:sz w:val="22"/>
          <w:szCs w:val="22"/>
        </w:rPr>
        <w:t xml:space="preserve">IV. Registro y Control de las operaciones contables y financieras que se realizan en el Organismo, mediante los sistemas de contabilidad y control presupuestario.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ese sentido, resulta relevante que de los registros que obran en el expediente electrónico, no se advierte que, el Sujeto Obligado haya turnado la solicitud de información a esta unidad administrativa, por lo que se colige que, el Organismo Descentralizado no siguió el procedimiento establecido en el artículo 162 de la Ley de Transparencia y Acceso a la Información Pública del Estado de México y Municipios, el cual señala lo siguiente: </w:t>
      </w:r>
    </w:p>
    <w:p w:rsidR="00106578" w:rsidRPr="00AF1E57" w:rsidRDefault="00106578">
      <w:pPr>
        <w:spacing w:line="360" w:lineRule="auto"/>
        <w:ind w:right="49"/>
        <w:jc w:val="both"/>
        <w:rPr>
          <w:rFonts w:ascii="Palatino Linotype" w:eastAsia="Palatino Linotype" w:hAnsi="Palatino Linotype" w:cs="Palatino Linotype"/>
          <w:b/>
        </w:rPr>
      </w:pP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162.</w:t>
      </w:r>
      <w:r w:rsidRPr="00AF1E57">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Aunado a lo anterior, es importante traer a colación el Criterio 02/2017 emitido por el Instituto Nacional de Transparencia, Acceso a la Información y Protección de Datos Personales se establece que: </w:t>
      </w:r>
    </w:p>
    <w:p w:rsidR="00106578" w:rsidRPr="00AF1E57" w:rsidRDefault="00106578">
      <w:pPr>
        <w:pBdr>
          <w:top w:val="nil"/>
          <w:left w:val="nil"/>
          <w:bottom w:val="nil"/>
          <w:right w:val="nil"/>
          <w:between w:val="nil"/>
        </w:pBdr>
        <w:spacing w:line="360" w:lineRule="auto"/>
        <w:jc w:val="both"/>
        <w:rPr>
          <w:rFonts w:ascii="Palatino Linotype" w:eastAsia="Palatino Linotype" w:hAnsi="Palatino Linotype" w:cs="Palatino Linotype"/>
        </w:rPr>
      </w:pPr>
    </w:p>
    <w:p w:rsidR="00106578" w:rsidRPr="00AF1E57" w:rsidRDefault="00F96CE0">
      <w:pPr>
        <w:ind w:left="567" w:right="567"/>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lastRenderedPageBreak/>
        <w:t xml:space="preserve">Congruencia y exhaustividad. Sus alcances para garantizar el derecho de acceso a la información. </w:t>
      </w:r>
      <w:r w:rsidRPr="00AF1E57">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106578" w:rsidRPr="00AF1E57" w:rsidRDefault="00F96CE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 </w:t>
      </w:r>
    </w:p>
    <w:p w:rsidR="00106578" w:rsidRPr="00AF1E57" w:rsidRDefault="00F96CE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la exhaustividad establece que el sujeto obligado </w:t>
      </w:r>
      <w:r w:rsidRPr="00AF1E57">
        <w:rPr>
          <w:rFonts w:ascii="Palatino Linotype" w:eastAsia="Palatino Linotype" w:hAnsi="Palatino Linotype" w:cs="Palatino Linotype"/>
          <w:b/>
          <w:u w:val="single"/>
        </w:rPr>
        <w:t>deberá atender de manera expresa cada uno de los puntos solicitados</w:t>
      </w:r>
      <w:r w:rsidRPr="00AF1E57">
        <w:rPr>
          <w:rFonts w:ascii="Palatino Linotype" w:eastAsia="Palatino Linotype" w:hAnsi="Palatino Linotype" w:cs="Palatino Linotype"/>
        </w:rPr>
        <w:t xml:space="preserve">, situación que en el presente caso </w:t>
      </w:r>
      <w:r w:rsidRPr="00AF1E57">
        <w:rPr>
          <w:rFonts w:ascii="Palatino Linotype" w:eastAsia="Palatino Linotype" w:hAnsi="Palatino Linotype" w:cs="Palatino Linotype"/>
          <w:b/>
          <w:u w:val="single"/>
        </w:rPr>
        <w:t>no aconteció</w:t>
      </w:r>
      <w:r w:rsidRPr="00AF1E57">
        <w:rPr>
          <w:rFonts w:ascii="Palatino Linotype" w:eastAsia="Palatino Linotype" w:hAnsi="Palatino Linotype" w:cs="Palatino Linotype"/>
        </w:rPr>
        <w:t xml:space="preserve">, pues el Sujeto Obligado no se pronunció respecto a este requerimiento, por tal situación, se considera que, este requerimiento </w:t>
      </w:r>
      <w:r w:rsidRPr="00AF1E57">
        <w:rPr>
          <w:rFonts w:ascii="Palatino Linotype" w:eastAsia="Palatino Linotype" w:hAnsi="Palatino Linotype" w:cs="Palatino Linotype"/>
          <w:b/>
        </w:rPr>
        <w:t xml:space="preserve">no se tiene por colmado. </w:t>
      </w:r>
      <w:r w:rsidRPr="00AF1E57">
        <w:rPr>
          <w:rFonts w:ascii="Palatino Linotype" w:eastAsia="Palatino Linotype" w:hAnsi="Palatino Linotype" w:cs="Palatino Linotype"/>
        </w:rPr>
        <w:t xml:space="preserve"> </w:t>
      </w:r>
    </w:p>
    <w:p w:rsidR="00106578" w:rsidRPr="00AF1E57" w:rsidRDefault="00106578">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lo que respecta al requerimiento referido con el numeral 4) relativo al </w:t>
      </w:r>
      <w:r w:rsidRPr="00AF1E57">
        <w:rPr>
          <w:rFonts w:ascii="Palatino Linotype" w:eastAsia="Palatino Linotype" w:hAnsi="Palatino Linotype" w:cs="Palatino Linotype"/>
          <w:b/>
        </w:rPr>
        <w:t xml:space="preserve">soporte documental que acredite el número de jornadas de limpieza, sondeo de coladeras pluviales y de la línea general de drenaje, fechas, horarios y número de personal, </w:t>
      </w:r>
      <w:r w:rsidRPr="00AF1E57">
        <w:rPr>
          <w:rFonts w:ascii="Palatino Linotype" w:eastAsia="Palatino Linotype" w:hAnsi="Palatino Linotype" w:cs="Palatino Linotype"/>
          <w:b/>
        </w:rPr>
        <w:lastRenderedPageBreak/>
        <w:t>así como el gasto por dichas actividades con soporte documental, que se realizó con el camión hidroneumático en calle Chichimecas entre Moctezuma y Tenochtitlán, Colonia Ancón en la administración 2022-2024 y que, se dio a conocer en la página oficial de Facebook del Ayuntamiento</w:t>
      </w:r>
      <w:r w:rsidRPr="00AF1E57">
        <w:rPr>
          <w:rFonts w:ascii="Palatino Linotype" w:eastAsia="Palatino Linotype" w:hAnsi="Palatino Linotype" w:cs="Palatino Linotype"/>
        </w:rPr>
        <w:t>.</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En respuesta, el Sujeto Obligado, a través del Director de Construcción e Infraestructura refirió que no se contaba con la información, por lo que, se tendría que solicitar al área de comunicación social, para que indique el día en que se realizaron los trabajos con el equipo hidroneumático.</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En ese sentido, este Organismo Garante procedió a consultar en la página oficial del Sujeto Obligado y encontró que, en fecha diecisiete de febrero de dos mil veintitrés, la Presidenta Municipal entregó al Organismo Descentralizado equipo hidroneumático, tal como se puede apreciar: </w:t>
      </w:r>
    </w:p>
    <w:p w:rsidR="00106578" w:rsidRPr="00AF1E57" w:rsidRDefault="00F96CE0">
      <w:pPr>
        <w:spacing w:line="360" w:lineRule="auto"/>
        <w:jc w:val="center"/>
        <w:rPr>
          <w:rFonts w:ascii="Palatino Linotype" w:eastAsia="Palatino Linotype" w:hAnsi="Palatino Linotype" w:cs="Palatino Linotype"/>
        </w:rPr>
      </w:pPr>
      <w:r w:rsidRPr="00AF1E57">
        <w:rPr>
          <w:rFonts w:ascii="Palatino Linotype" w:eastAsia="Palatino Linotype" w:hAnsi="Palatino Linotype" w:cs="Palatino Linotype"/>
          <w:noProof/>
          <w:lang w:val="es-MX" w:eastAsia="es-MX"/>
        </w:rPr>
        <w:drawing>
          <wp:inline distT="0" distB="0" distL="0" distR="0">
            <wp:extent cx="2404018" cy="1906636"/>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404018" cy="1906636"/>
                    </a:xfrm>
                    <a:prstGeom prst="rect">
                      <a:avLst/>
                    </a:prstGeom>
                    <a:ln/>
                  </pic:spPr>
                </pic:pic>
              </a:graphicData>
            </a:graphic>
          </wp:inline>
        </w:drawing>
      </w: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lastRenderedPageBreak/>
        <w:t xml:space="preserve">Asimismo, se localizó una publicación en fecha veintiuno de febrero de dos mil veintitrés, en la que se precisa que el Organismo Descentralizado realizó actividades de prevención y limpieza en la Calle </w:t>
      </w:r>
      <w:proofErr w:type="spellStart"/>
      <w:r w:rsidRPr="00AF1E57">
        <w:rPr>
          <w:rFonts w:ascii="Palatino Linotype" w:eastAsia="Palatino Linotype" w:hAnsi="Palatino Linotype" w:cs="Palatino Linotype"/>
        </w:rPr>
        <w:t>Quinatzin</w:t>
      </w:r>
      <w:proofErr w:type="spellEnd"/>
      <w:r w:rsidRPr="00AF1E57">
        <w:rPr>
          <w:rFonts w:ascii="Palatino Linotype" w:eastAsia="Palatino Linotype" w:hAnsi="Palatino Linotype" w:cs="Palatino Linotype"/>
        </w:rPr>
        <w:t xml:space="preserve"> esquina Tenochtitlán en la Colonia Ancón, como se aprecia a continuación: </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center"/>
        <w:rPr>
          <w:rFonts w:ascii="Palatino Linotype" w:eastAsia="Palatino Linotype" w:hAnsi="Palatino Linotype" w:cs="Palatino Linotype"/>
        </w:rPr>
      </w:pPr>
      <w:r w:rsidRPr="00AF1E57">
        <w:rPr>
          <w:rFonts w:ascii="Palatino Linotype" w:eastAsia="Palatino Linotype" w:hAnsi="Palatino Linotype" w:cs="Palatino Linotype"/>
          <w:noProof/>
          <w:lang w:val="es-MX" w:eastAsia="es-MX"/>
        </w:rPr>
        <w:drawing>
          <wp:inline distT="0" distB="0" distL="0" distR="0">
            <wp:extent cx="3095682" cy="4263563"/>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095682" cy="4263563"/>
                    </a:xfrm>
                    <a:prstGeom prst="rect">
                      <a:avLst/>
                    </a:prstGeom>
                    <a:ln/>
                  </pic:spPr>
                </pic:pic>
              </a:graphicData>
            </a:graphic>
          </wp:inline>
        </w:drawing>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lastRenderedPageBreak/>
        <w:t xml:space="preserve">Cabe destacar que no se localizó alguna publicación respecto a trabajos realizados en la calle Chichimecas, no obstante, pese a que, no se encontró un indicio de que se haya realizado alguna labor en la calle que refirió la parte Solicitante, también lo es que, se advierte que la unidad administrativa no realizó una búsqueda de la información solicitada, sino que, únicamente se limitó a señalar que la información debía ser requerida al área de comunicación social. </w:t>
      </w:r>
    </w:p>
    <w:p w:rsidR="00106578" w:rsidRPr="00AF1E57" w:rsidRDefault="00106578">
      <w:pPr>
        <w:spacing w:line="360" w:lineRule="auto"/>
        <w:rPr>
          <w:rFonts w:ascii="Palatino Linotype" w:eastAsia="Palatino Linotype" w:hAnsi="Palatino Linotype" w:cs="Palatino Linotype"/>
          <w:b/>
        </w:rPr>
      </w:pPr>
    </w:p>
    <w:p w:rsidR="00106578" w:rsidRPr="00AF1E57" w:rsidRDefault="00F96CE0">
      <w:pPr>
        <w:spacing w:line="360" w:lineRule="auto"/>
        <w:rPr>
          <w:rFonts w:ascii="Palatino Linotype" w:eastAsia="Palatino Linotype" w:hAnsi="Palatino Linotype" w:cs="Palatino Linotype"/>
          <w:b/>
        </w:rPr>
      </w:pPr>
      <w:r w:rsidRPr="00AF1E57">
        <w:rPr>
          <w:rFonts w:ascii="Palatino Linotype" w:eastAsia="Palatino Linotype" w:hAnsi="Palatino Linotype" w:cs="Palatino Linotype"/>
        </w:rPr>
        <w:t xml:space="preserve">Por lo que, al no haberse realizado una búsqueda exhaustiva de la información y al no haberse atendido de manera expresa el punto solicitado, este requerimiento, </w:t>
      </w:r>
      <w:r w:rsidRPr="00AF1E57">
        <w:rPr>
          <w:rFonts w:ascii="Palatino Linotype" w:eastAsia="Palatino Linotype" w:hAnsi="Palatino Linotype" w:cs="Palatino Linotype"/>
          <w:b/>
        </w:rPr>
        <w:t xml:space="preserve">no se tiene por colmado. </w:t>
      </w:r>
    </w:p>
    <w:p w:rsidR="00106578" w:rsidRPr="00AF1E57" w:rsidRDefault="00106578">
      <w:pPr>
        <w:spacing w:line="360" w:lineRule="auto"/>
        <w:ind w:right="49"/>
        <w:jc w:val="both"/>
        <w:rPr>
          <w:rFonts w:ascii="Palatino Linotype" w:eastAsia="Palatino Linotype" w:hAnsi="Palatino Linotype" w:cs="Palatino Linotype"/>
          <w:b/>
          <w:u w:val="singl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Por todo lo anterior, los agravios hechos valer por el ahora Recurrente devienen </w:t>
      </w:r>
      <w:r w:rsidRPr="00AF1E57">
        <w:rPr>
          <w:rFonts w:ascii="Palatino Linotype" w:eastAsia="Palatino Linotype" w:hAnsi="Palatino Linotype" w:cs="Palatino Linotype"/>
          <w:b/>
        </w:rPr>
        <w:t>PARCIALMENTE FUNDADOS</w:t>
      </w:r>
      <w:r w:rsidRPr="00AF1E57">
        <w:rPr>
          <w:rFonts w:ascii="Palatino Linotype" w:eastAsia="Palatino Linotype" w:hAnsi="Palatino Linotype" w:cs="Palatino Linotype"/>
        </w:rPr>
        <w:t xml:space="preserve">, por ende, se </w:t>
      </w:r>
      <w:r w:rsidRPr="00AF1E57">
        <w:rPr>
          <w:rFonts w:ascii="Palatino Linotype" w:eastAsia="Palatino Linotype" w:hAnsi="Palatino Linotype" w:cs="Palatino Linotype"/>
          <w:b/>
        </w:rPr>
        <w:t xml:space="preserve">ORDENA </w:t>
      </w:r>
      <w:r w:rsidRPr="00AF1E57">
        <w:rPr>
          <w:rFonts w:ascii="Palatino Linotype" w:eastAsia="Palatino Linotype" w:hAnsi="Palatino Linotype" w:cs="Palatino Linotype"/>
        </w:rPr>
        <w:t xml:space="preserve">al Sujeto Obligado, haga entrega, vía Sistema de Acceso a la Información Pública Mexiquense, de ser procedente, en versión pública, de lo siguiente:  </w:t>
      </w:r>
    </w:p>
    <w:p w:rsidR="00106578" w:rsidRPr="00AF1E57" w:rsidRDefault="00106578">
      <w:pPr>
        <w:spacing w:line="360" w:lineRule="auto"/>
        <w:ind w:right="49"/>
        <w:jc w:val="both"/>
        <w:rPr>
          <w:rFonts w:ascii="Palatino Linotype" w:eastAsia="Palatino Linotype" w:hAnsi="Palatino Linotype" w:cs="Palatino Linotype"/>
          <w:b/>
        </w:rPr>
      </w:pPr>
    </w:p>
    <w:p w:rsidR="00106578" w:rsidRPr="00AF1E57" w:rsidRDefault="00F96CE0">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AF1E57">
        <w:rPr>
          <w:rFonts w:ascii="Palatino Linotype" w:eastAsia="Palatino Linotype" w:hAnsi="Palatino Linotype" w:cs="Palatino Linotype"/>
          <w:b/>
          <w:sz w:val="22"/>
          <w:szCs w:val="22"/>
        </w:rPr>
        <w:t xml:space="preserve">Documentos que acrediten los trabajos de limpieza, sondeo de coladeras pluviales y de las líneas de drenaje que se han realizado del uno de enero al treinta de septiembre de dos mil veintidós y del uno de enero al diecisiete de febrero de dos mil veintitrés.   </w:t>
      </w:r>
    </w:p>
    <w:p w:rsidR="00106578" w:rsidRPr="00AF1E57" w:rsidRDefault="00F96CE0">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AF1E57">
        <w:rPr>
          <w:rFonts w:ascii="Palatino Linotype" w:eastAsia="Palatino Linotype" w:hAnsi="Palatino Linotype" w:cs="Palatino Linotype"/>
          <w:b/>
          <w:sz w:val="22"/>
          <w:szCs w:val="22"/>
        </w:rPr>
        <w:lastRenderedPageBreak/>
        <w:t>Documentos donde consten los gastos realizados por los trabajos de limpieza, sondeo de coladeras pluviales y de las líneas de drenaje del uno de enero de dos mil veintidós al diecisiete de febrero de dos mil veintitrés, y;</w:t>
      </w:r>
    </w:p>
    <w:p w:rsidR="00106578" w:rsidRPr="00AF1E57" w:rsidRDefault="00F96CE0">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AF1E57">
        <w:rPr>
          <w:rFonts w:ascii="Palatino Linotype" w:eastAsia="Palatino Linotype" w:hAnsi="Palatino Linotype" w:cs="Palatino Linotype"/>
          <w:b/>
          <w:sz w:val="22"/>
          <w:szCs w:val="22"/>
        </w:rPr>
        <w:t xml:space="preserve">Documentos que acrediten las jornadas de limpieza, sondeo de coladeras pluviales y de las líneas de drenaje que se realizaron con camión hidroneumático en la Calle Chichimecas entre Moctezuma y Tenochtitlán, Colona Ancón dentro de la administración pública municipal 2022-2024. </w:t>
      </w:r>
    </w:p>
    <w:p w:rsidR="00106578" w:rsidRPr="00AF1E57" w:rsidRDefault="00106578">
      <w:pPr>
        <w:spacing w:line="360" w:lineRule="auto"/>
        <w:rPr>
          <w:rFonts w:ascii="Palatino Linotype" w:eastAsia="Palatino Linotype" w:hAnsi="Palatino Linotype" w:cs="Palatino Linotype"/>
          <w:b/>
        </w:rPr>
      </w:pPr>
    </w:p>
    <w:p w:rsidR="00106578" w:rsidRPr="00AF1E57" w:rsidRDefault="00F96CE0">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106578" w:rsidRPr="00AF1E57" w:rsidRDefault="00106578">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i/>
          <w:sz w:val="22"/>
          <w:szCs w:val="22"/>
        </w:rPr>
      </w:pPr>
    </w:p>
    <w:p w:rsidR="00106578" w:rsidRPr="00AF1E57" w:rsidRDefault="00F96CE0">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b/>
          <w:i/>
        </w:rPr>
      </w:pPr>
      <w:r w:rsidRPr="00AF1E57">
        <w:rPr>
          <w:rFonts w:ascii="Palatino Linotype" w:eastAsia="Palatino Linotype" w:hAnsi="Palatino Linotype" w:cs="Palatino Linotype"/>
          <w:i/>
        </w:rPr>
        <w:t xml:space="preserve">Para el caso de que la información que se ordena entregar en el punto 3) no obre en los archivos del Sujeto Obligado, por no haberse generado, este deberá hacerlo del conocimiento del Particular en términos del artículo 19, párrafo segundo, de la Ley de Transparencia y Acceso a la Información Pública del Estado de México y Municipios, para tenerse por colmado dicho requerimiento. </w:t>
      </w:r>
    </w:p>
    <w:p w:rsidR="00106578" w:rsidRPr="00AF1E57" w:rsidRDefault="00106578">
      <w:pPr>
        <w:spacing w:line="360" w:lineRule="auto"/>
        <w:rPr>
          <w:rFonts w:ascii="Palatino Linotype" w:eastAsia="Palatino Linotype" w:hAnsi="Palatino Linotype" w:cs="Palatino Linotype"/>
          <w:b/>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Finalmente, es de señalar que, como ya se mencionó el Sujeto Obligado omitió proporcionar respuestas a las solicitudes de acceso a la información pública en el término contemplado en el ya citado artículo 163 de la Ley de la materia, razón por </w:t>
      </w:r>
      <w:r w:rsidRPr="00AF1E57">
        <w:rPr>
          <w:rFonts w:ascii="Palatino Linotype" w:eastAsia="Palatino Linotype" w:hAnsi="Palatino Linotype" w:cs="Palatino Linotype"/>
        </w:rPr>
        <w:lastRenderedPageBreak/>
        <w:t xml:space="preserve">la que, en términos de lo previsto en el artículo 190 de la Ley de Transparencia y Acceso a la Información Pública del Estado de México y Municipios, se ordena dar vista a la Secretaría Técnica del Pleno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 </w:t>
      </w:r>
    </w:p>
    <w:p w:rsidR="00106578" w:rsidRPr="00AF1E57" w:rsidRDefault="00106578">
      <w:pPr>
        <w:spacing w:line="360" w:lineRule="auto"/>
        <w:jc w:val="both"/>
        <w:rPr>
          <w:rFonts w:ascii="Palatino Linotype" w:eastAsia="Palatino Linotype" w:hAnsi="Palatino Linotype" w:cs="Palatino Linotype"/>
          <w:b/>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b/>
        </w:rPr>
        <w:t>Quinto. Versión Pública</w:t>
      </w:r>
      <w:r w:rsidRPr="00AF1E57">
        <w:rPr>
          <w:rFonts w:ascii="Palatino Linotype" w:eastAsia="Palatino Linotype" w:hAnsi="Palatino Linotype" w:cs="Palatino Linotype"/>
        </w:rPr>
        <w:t>.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ind w:right="50"/>
        <w:jc w:val="both"/>
        <w:rPr>
          <w:rFonts w:ascii="Palatino Linotype" w:eastAsia="Palatino Linotype" w:hAnsi="Palatino Linotype" w:cs="Palatino Linotype"/>
        </w:rPr>
      </w:pPr>
      <w:r w:rsidRPr="00AF1E57">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lastRenderedPageBreak/>
        <w:t>“</w:t>
      </w:r>
      <w:r w:rsidRPr="00AF1E57">
        <w:rPr>
          <w:rFonts w:ascii="Palatino Linotype" w:eastAsia="Palatino Linotype" w:hAnsi="Palatino Linotype" w:cs="Palatino Linotype"/>
          <w:b/>
          <w:i/>
          <w:sz w:val="22"/>
          <w:szCs w:val="22"/>
        </w:rPr>
        <w:t>Artículo 3.</w:t>
      </w:r>
      <w:r w:rsidRPr="00AF1E57">
        <w:rPr>
          <w:rFonts w:ascii="Palatino Linotype" w:eastAsia="Palatino Linotype" w:hAnsi="Palatino Linotype" w:cs="Palatino Linotype"/>
          <w:i/>
          <w:sz w:val="22"/>
          <w:szCs w:val="22"/>
        </w:rPr>
        <w:t xml:space="preserve"> Para los efectos de la presente Ley se entenderá por:</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XX. Información clasificada: Aquella considerada por la presente Ley como reservada o confidencial;</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91.</w:t>
      </w:r>
      <w:r w:rsidRPr="00AF1E5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132.</w:t>
      </w:r>
      <w:r w:rsidRPr="00AF1E57">
        <w:rPr>
          <w:rFonts w:ascii="Palatino Linotype" w:eastAsia="Palatino Linotype" w:hAnsi="Palatino Linotype" w:cs="Palatino Linotype"/>
          <w:i/>
          <w:sz w:val="22"/>
          <w:szCs w:val="22"/>
        </w:rPr>
        <w:t xml:space="preserve"> La clasificación de la información se llevará a cabo en el momento en que:</w:t>
      </w:r>
    </w:p>
    <w:p w:rsidR="00106578" w:rsidRPr="00AF1E57" w:rsidRDefault="00F96CE0">
      <w:pPr>
        <w:tabs>
          <w:tab w:val="left" w:pos="1134"/>
        </w:tabs>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I. Se reciba una solicitud de acceso a la información;</w:t>
      </w:r>
    </w:p>
    <w:p w:rsidR="00106578" w:rsidRPr="00AF1E57" w:rsidRDefault="00F96CE0">
      <w:pPr>
        <w:tabs>
          <w:tab w:val="left" w:pos="1134"/>
        </w:tabs>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II. Se determine mediante resolución de autoridad competente; o</w:t>
      </w:r>
    </w:p>
    <w:p w:rsidR="00106578" w:rsidRPr="00AF1E57" w:rsidRDefault="00F96CE0">
      <w:pPr>
        <w:tabs>
          <w:tab w:val="left" w:pos="1134"/>
        </w:tabs>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III. Se generen versiones públicas para dar cumplimiento a las obligaciones de transparencia previstas en esta Ley.</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Artículo 143</w:t>
      </w:r>
      <w:r w:rsidRPr="00AF1E5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 Se refiera a la información privada y los datos personales concernientes a una persona física o </w:t>
      </w:r>
      <w:proofErr w:type="gramStart"/>
      <w:r w:rsidRPr="00AF1E57">
        <w:rPr>
          <w:rFonts w:ascii="Palatino Linotype" w:eastAsia="Palatino Linotype" w:hAnsi="Palatino Linotype" w:cs="Palatino Linotype"/>
          <w:i/>
          <w:sz w:val="22"/>
          <w:szCs w:val="22"/>
        </w:rPr>
        <w:t>jurídico</w:t>
      </w:r>
      <w:proofErr w:type="gramEnd"/>
      <w:r w:rsidRPr="00AF1E57">
        <w:rPr>
          <w:rFonts w:ascii="Palatino Linotype" w:eastAsia="Palatino Linotype" w:hAnsi="Palatino Linotype" w:cs="Palatino Linotype"/>
          <w:i/>
          <w:sz w:val="22"/>
          <w:szCs w:val="22"/>
        </w:rPr>
        <w:t xml:space="preserve"> colectiva identificada o identificable;</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106578" w:rsidRPr="00AF1E57" w:rsidRDefault="00106578">
      <w:pPr>
        <w:spacing w:line="276" w:lineRule="auto"/>
        <w:ind w:left="567" w:right="616"/>
        <w:jc w:val="both"/>
        <w:rPr>
          <w:rFonts w:ascii="Palatino Linotype" w:eastAsia="Palatino Linotype" w:hAnsi="Palatino Linotype" w:cs="Palatino Linotype"/>
          <w:i/>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06578" w:rsidRPr="00AF1E57" w:rsidRDefault="00106578">
      <w:pPr>
        <w:spacing w:line="276"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Por otro lado, es de destacar que los artículos Quincuagésimo, Quincuagésimo primero, Quincuagésimo segundo, de los Lineamientos Generales en Materia de Clasificación y Desclasificación de la Información, así como para la Elaboración de </w:t>
      </w:r>
      <w:r w:rsidRPr="00AF1E57">
        <w:rPr>
          <w:rFonts w:ascii="Palatino Linotype" w:eastAsia="Palatino Linotype" w:hAnsi="Palatino Linotype" w:cs="Palatino Linotype"/>
        </w:rPr>
        <w:lastRenderedPageBreak/>
        <w:t>Versiones Públicas señalan las formalidades que deberá llevar el acuerdo de clasificación que deberá emitir el Sujeto Obligado, siendo estas las siguientes:</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 “</w:t>
      </w:r>
      <w:r w:rsidRPr="00AF1E57">
        <w:rPr>
          <w:rFonts w:ascii="Palatino Linotype" w:eastAsia="Palatino Linotype" w:hAnsi="Palatino Linotype" w:cs="Palatino Linotype"/>
          <w:b/>
          <w:i/>
          <w:sz w:val="22"/>
          <w:szCs w:val="22"/>
        </w:rPr>
        <w:t>Quincuagésimo</w:t>
      </w:r>
      <w:r w:rsidRPr="00AF1E57">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Quincuagésimo primero.</w:t>
      </w:r>
      <w:r w:rsidRPr="00AF1E57">
        <w:rPr>
          <w:rFonts w:ascii="Palatino Linotype" w:eastAsia="Palatino Linotype" w:hAnsi="Palatino Linotype" w:cs="Palatino Linotype"/>
          <w:i/>
          <w:sz w:val="22"/>
          <w:szCs w:val="22"/>
        </w:rPr>
        <w:t xml:space="preserve"> Toda acta del Comité de Transparencia deberá contener: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 El número de sesión y fecha;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II. El nombre del área que solicitó la clasificación de información;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III. La fundamentación legal y motivación correspondiente;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IV. La resolución o resoluciones aprobadas; y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V. La rúbrica o firma digital de cada integrante del Comité de Transparencia.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I. Los motivos y razonamientos que sustenten la confirmación o modificación de la prueba de daño;</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II. Descripción de las partes o secciones reservadas, en caso de clasificación parcial;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III. El periodo por el que mantendrá su clasificación y fecha de expiración; y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IV. El nombre del titular y área encargada de realizar la versión pública del documento, en su caso.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lastRenderedPageBreak/>
        <w:t>Quincuagésimo segundo.</w:t>
      </w:r>
      <w:r w:rsidRPr="00AF1E57">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F1E57">
        <w:rPr>
          <w:rFonts w:ascii="Palatino Linotype" w:eastAsia="Palatino Linotype" w:hAnsi="Palatino Linotype" w:cs="Palatino Linotype"/>
          <w:i/>
          <w:sz w:val="22"/>
          <w:szCs w:val="22"/>
        </w:rPr>
        <w:t>sobreposición</w:t>
      </w:r>
      <w:proofErr w:type="spellEnd"/>
      <w:r w:rsidRPr="00AF1E57">
        <w:rPr>
          <w:rFonts w:ascii="Palatino Linotype" w:eastAsia="Palatino Linotype" w:hAnsi="Palatino Linotype" w:cs="Palatino Linotype"/>
          <w:i/>
          <w:sz w:val="22"/>
          <w:szCs w:val="22"/>
        </w:rPr>
        <w:t xml:space="preserve"> de contenido distinto al autorizado por el Comité.</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III. Señalar las personas o instancias autorizadas a acceder a la información clasificada.</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106578" w:rsidRPr="00AF1E57" w:rsidRDefault="00106578">
      <w:pPr>
        <w:spacing w:line="276" w:lineRule="auto"/>
        <w:ind w:left="567" w:right="616"/>
        <w:jc w:val="both"/>
        <w:rPr>
          <w:rFonts w:ascii="Palatino Linotype" w:eastAsia="Palatino Linotype" w:hAnsi="Palatino Linotype" w:cs="Palatino Linotype"/>
          <w:i/>
        </w:rPr>
      </w:pPr>
    </w:p>
    <w:p w:rsidR="00106578" w:rsidRPr="00AF1E57" w:rsidRDefault="00F96CE0">
      <w:pPr>
        <w:spacing w:line="360" w:lineRule="auto"/>
        <w:ind w:right="50"/>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Asimismo, se deberá observar el Lineamiento Quincuagésimo tercero de los Lineamientos Generales en Materia de Clasificación y Desclasificación de la Información </w:t>
      </w:r>
      <w:proofErr w:type="spellStart"/>
      <w:r w:rsidRPr="00AF1E57">
        <w:rPr>
          <w:rFonts w:ascii="Palatino Linotype" w:eastAsia="Palatino Linotype" w:hAnsi="Palatino Linotype" w:cs="Palatino Linotype"/>
        </w:rPr>
        <w:t>supraindicados</w:t>
      </w:r>
      <w:proofErr w:type="spellEnd"/>
      <w:r w:rsidRPr="00AF1E57">
        <w:rPr>
          <w:rFonts w:ascii="Palatino Linotype" w:eastAsia="Palatino Linotype" w:hAnsi="Palatino Linotype" w:cs="Palatino Linotype"/>
        </w:rPr>
        <w:t xml:space="preserve"> el cual establece los formatos para la clasificación de los documentos, conforme a lo siguiente: </w:t>
      </w:r>
    </w:p>
    <w:p w:rsidR="00106578" w:rsidRPr="00AF1E57" w:rsidRDefault="00F96CE0">
      <w:pPr>
        <w:ind w:left="851" w:right="900"/>
        <w:jc w:val="center"/>
        <w:rPr>
          <w:rFonts w:ascii="Palatino Linotype" w:eastAsia="Palatino Linotype" w:hAnsi="Palatino Linotype" w:cs="Palatino Linotype"/>
          <w:b/>
          <w:i/>
        </w:rPr>
      </w:pPr>
      <w:r w:rsidRPr="00AF1E57">
        <w:rPr>
          <w:rFonts w:ascii="Palatino Linotype" w:eastAsia="Palatino Linotype" w:hAnsi="Palatino Linotype" w:cs="Palatino Linotype"/>
          <w:b/>
          <w:i/>
        </w:rPr>
        <w:t>CAPÍTULO VIII</w:t>
      </w:r>
    </w:p>
    <w:p w:rsidR="00106578" w:rsidRPr="00AF1E57" w:rsidRDefault="00F96CE0">
      <w:pPr>
        <w:ind w:left="851" w:right="900"/>
        <w:jc w:val="center"/>
        <w:rPr>
          <w:rFonts w:ascii="Palatino Linotype" w:eastAsia="Palatino Linotype" w:hAnsi="Palatino Linotype" w:cs="Palatino Linotype"/>
          <w:b/>
          <w:i/>
          <w:sz w:val="22"/>
          <w:szCs w:val="22"/>
        </w:rPr>
      </w:pPr>
      <w:r w:rsidRPr="00AF1E57">
        <w:rPr>
          <w:rFonts w:ascii="Palatino Linotype" w:eastAsia="Palatino Linotype" w:hAnsi="Palatino Linotype" w:cs="Palatino Linotype"/>
          <w:b/>
          <w:i/>
          <w:sz w:val="22"/>
          <w:szCs w:val="22"/>
        </w:rPr>
        <w:t xml:space="preserve">DE LOS ELEMENTOS PARA LA CLASIFICACIÓN </w:t>
      </w:r>
    </w:p>
    <w:p w:rsidR="00106578" w:rsidRPr="00AF1E57" w:rsidRDefault="00F96CE0">
      <w:pPr>
        <w:ind w:left="851" w:right="902"/>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Quincuagésimo tercero. </w:t>
      </w:r>
      <w:r w:rsidRPr="00AF1E57">
        <w:rPr>
          <w:rFonts w:ascii="Palatino Linotype" w:eastAsia="Palatino Linotype" w:hAnsi="Palatino Linotype" w:cs="Palatino Linotype"/>
          <w:i/>
          <w:sz w:val="22"/>
          <w:szCs w:val="22"/>
          <w:u w:val="single"/>
        </w:rPr>
        <w:t>El formato para señalar la clasificación de un documento o expediente que contenga información reservada</w:t>
      </w:r>
      <w:r w:rsidRPr="00AF1E57">
        <w:rPr>
          <w:rFonts w:ascii="Palatino Linotype" w:eastAsia="Palatino Linotype" w:hAnsi="Palatino Linotype" w:cs="Palatino Linotype"/>
          <w:i/>
          <w:sz w:val="22"/>
          <w:szCs w:val="22"/>
        </w:rPr>
        <w:t xml:space="preserve">, es el siguiente: </w:t>
      </w:r>
    </w:p>
    <w:p w:rsidR="00106578" w:rsidRPr="00AF1E57" w:rsidRDefault="00106578">
      <w:pPr>
        <w:ind w:left="851" w:right="902"/>
        <w:jc w:val="both"/>
        <w:rPr>
          <w:rFonts w:ascii="Palatino Linotype" w:eastAsia="Palatino Linotype" w:hAnsi="Palatino Linotype" w:cs="Palatino Linotype"/>
          <w:i/>
        </w:rPr>
      </w:pPr>
    </w:p>
    <w:p w:rsidR="00106578" w:rsidRPr="00AF1E57" w:rsidRDefault="00106578">
      <w:pPr>
        <w:ind w:left="851" w:right="902"/>
        <w:jc w:val="both"/>
        <w:rPr>
          <w:rFonts w:ascii="Palatino Linotype" w:eastAsia="Palatino Linotype" w:hAnsi="Palatino Linotype" w:cs="Palatino Linotype"/>
          <w:i/>
        </w:rPr>
      </w:pPr>
    </w:p>
    <w:tbl>
      <w:tblPr>
        <w:tblStyle w:val="a0"/>
        <w:tblW w:w="7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3691"/>
      </w:tblGrid>
      <w:tr w:rsidR="00AF1E57" w:rsidRPr="00AF1E57">
        <w:trPr>
          <w:trHeight w:val="262"/>
          <w:jc w:val="center"/>
        </w:trPr>
        <w:tc>
          <w:tcPr>
            <w:tcW w:w="1271" w:type="dxa"/>
            <w:tcBorders>
              <w:top w:val="nil"/>
              <w:left w:val="nil"/>
            </w:tcBorders>
          </w:tcPr>
          <w:p w:rsidR="00106578" w:rsidRPr="00AF1E57" w:rsidRDefault="00106578">
            <w:pPr>
              <w:rPr>
                <w:rFonts w:ascii="Palatino Linotype" w:eastAsia="Palatino Linotype" w:hAnsi="Palatino Linotype" w:cs="Palatino Linotype"/>
                <w:sz w:val="20"/>
                <w:szCs w:val="20"/>
              </w:rPr>
            </w:pPr>
          </w:p>
        </w:tc>
        <w:tc>
          <w:tcPr>
            <w:tcW w:w="2693" w:type="dxa"/>
            <w:shd w:val="clear" w:color="auto" w:fill="D9D9D9"/>
          </w:tcPr>
          <w:p w:rsidR="00106578" w:rsidRPr="00AF1E57" w:rsidRDefault="00F96CE0">
            <w:pPr>
              <w:tabs>
                <w:tab w:val="center" w:pos="1238"/>
                <w:tab w:val="right" w:pos="2477"/>
              </w:tabs>
              <w:rPr>
                <w:rFonts w:ascii="Palatino Linotype" w:eastAsia="Palatino Linotype" w:hAnsi="Palatino Linotype" w:cs="Palatino Linotype"/>
                <w:b/>
                <w:sz w:val="20"/>
                <w:szCs w:val="20"/>
              </w:rPr>
            </w:pPr>
            <w:r w:rsidRPr="00AF1E57">
              <w:rPr>
                <w:rFonts w:ascii="Palatino Linotype" w:eastAsia="Palatino Linotype" w:hAnsi="Palatino Linotype" w:cs="Palatino Linotype"/>
                <w:b/>
                <w:sz w:val="20"/>
                <w:szCs w:val="20"/>
              </w:rPr>
              <w:tab/>
              <w:t>Concepto</w:t>
            </w:r>
            <w:r w:rsidRPr="00AF1E57">
              <w:rPr>
                <w:rFonts w:ascii="Palatino Linotype" w:eastAsia="Palatino Linotype" w:hAnsi="Palatino Linotype" w:cs="Palatino Linotype"/>
                <w:b/>
                <w:sz w:val="20"/>
                <w:szCs w:val="20"/>
              </w:rPr>
              <w:tab/>
            </w:r>
          </w:p>
        </w:tc>
        <w:tc>
          <w:tcPr>
            <w:tcW w:w="3691" w:type="dxa"/>
            <w:shd w:val="clear" w:color="auto" w:fill="D9D9D9"/>
          </w:tcPr>
          <w:p w:rsidR="00106578" w:rsidRPr="00AF1E57" w:rsidRDefault="00F96CE0">
            <w:pPr>
              <w:jc w:val="center"/>
              <w:rPr>
                <w:rFonts w:ascii="Palatino Linotype" w:eastAsia="Palatino Linotype" w:hAnsi="Palatino Linotype" w:cs="Palatino Linotype"/>
                <w:b/>
                <w:sz w:val="20"/>
                <w:szCs w:val="20"/>
              </w:rPr>
            </w:pPr>
            <w:r w:rsidRPr="00AF1E57">
              <w:rPr>
                <w:rFonts w:ascii="Palatino Linotype" w:eastAsia="Palatino Linotype" w:hAnsi="Palatino Linotype" w:cs="Palatino Linotype"/>
                <w:b/>
                <w:sz w:val="20"/>
                <w:szCs w:val="20"/>
              </w:rPr>
              <w:t>Dónde</w:t>
            </w:r>
          </w:p>
        </w:tc>
      </w:tr>
      <w:tr w:rsidR="00AF1E57" w:rsidRPr="00AF1E57">
        <w:trPr>
          <w:jc w:val="center"/>
        </w:trPr>
        <w:tc>
          <w:tcPr>
            <w:tcW w:w="1271" w:type="dxa"/>
            <w:vMerge w:val="restart"/>
            <w:shd w:val="clear" w:color="auto" w:fill="D9D9D9"/>
          </w:tcPr>
          <w:p w:rsidR="00106578" w:rsidRPr="00AF1E57" w:rsidRDefault="00106578">
            <w:pPr>
              <w:jc w:val="both"/>
              <w:rPr>
                <w:rFonts w:ascii="Palatino Linotype" w:eastAsia="Palatino Linotype" w:hAnsi="Palatino Linotype" w:cs="Palatino Linotype"/>
                <w:b/>
                <w:sz w:val="20"/>
                <w:szCs w:val="20"/>
              </w:rPr>
            </w:pPr>
          </w:p>
          <w:p w:rsidR="00106578" w:rsidRPr="00AF1E57" w:rsidRDefault="00106578">
            <w:pPr>
              <w:jc w:val="both"/>
              <w:rPr>
                <w:rFonts w:ascii="Palatino Linotype" w:eastAsia="Palatino Linotype" w:hAnsi="Palatino Linotype" w:cs="Palatino Linotype"/>
                <w:b/>
                <w:sz w:val="20"/>
                <w:szCs w:val="20"/>
              </w:rPr>
            </w:pPr>
          </w:p>
          <w:p w:rsidR="00106578" w:rsidRPr="00AF1E57" w:rsidRDefault="00106578">
            <w:pPr>
              <w:jc w:val="both"/>
              <w:rPr>
                <w:rFonts w:ascii="Palatino Linotype" w:eastAsia="Palatino Linotype" w:hAnsi="Palatino Linotype" w:cs="Palatino Linotype"/>
                <w:b/>
                <w:sz w:val="20"/>
                <w:szCs w:val="20"/>
              </w:rPr>
            </w:pPr>
          </w:p>
          <w:p w:rsidR="00106578" w:rsidRPr="00AF1E57" w:rsidRDefault="00106578">
            <w:pPr>
              <w:jc w:val="both"/>
              <w:rPr>
                <w:rFonts w:ascii="Palatino Linotype" w:eastAsia="Palatino Linotype" w:hAnsi="Palatino Linotype" w:cs="Palatino Linotype"/>
                <w:b/>
                <w:sz w:val="20"/>
                <w:szCs w:val="20"/>
              </w:rPr>
            </w:pPr>
          </w:p>
          <w:p w:rsidR="00106578" w:rsidRPr="00AF1E57" w:rsidRDefault="00106578">
            <w:pPr>
              <w:jc w:val="both"/>
              <w:rPr>
                <w:rFonts w:ascii="Palatino Linotype" w:eastAsia="Palatino Linotype" w:hAnsi="Palatino Linotype" w:cs="Palatino Linotype"/>
                <w:b/>
                <w:sz w:val="20"/>
                <w:szCs w:val="20"/>
              </w:rPr>
            </w:pPr>
          </w:p>
          <w:p w:rsidR="00106578" w:rsidRPr="00AF1E57" w:rsidRDefault="00106578">
            <w:pPr>
              <w:jc w:val="both"/>
              <w:rPr>
                <w:rFonts w:ascii="Palatino Linotype" w:eastAsia="Palatino Linotype" w:hAnsi="Palatino Linotype" w:cs="Palatino Linotype"/>
                <w:b/>
                <w:sz w:val="20"/>
                <w:szCs w:val="20"/>
              </w:rPr>
            </w:pPr>
          </w:p>
          <w:p w:rsidR="00106578" w:rsidRPr="00AF1E57" w:rsidRDefault="00F96CE0">
            <w:pPr>
              <w:jc w:val="both"/>
              <w:rPr>
                <w:rFonts w:ascii="Palatino Linotype" w:eastAsia="Palatino Linotype" w:hAnsi="Palatino Linotype" w:cs="Palatino Linotype"/>
                <w:b/>
                <w:sz w:val="20"/>
                <w:szCs w:val="20"/>
              </w:rPr>
            </w:pPr>
            <w:r w:rsidRPr="00AF1E57">
              <w:rPr>
                <w:rFonts w:ascii="Palatino Linotype" w:eastAsia="Palatino Linotype" w:hAnsi="Palatino Linotype" w:cs="Palatino Linotype"/>
                <w:b/>
                <w:sz w:val="20"/>
                <w:szCs w:val="20"/>
              </w:rPr>
              <w:t xml:space="preserve">Sello oficial o logotipo del sujeto obligado </w:t>
            </w:r>
          </w:p>
        </w:tc>
        <w:tc>
          <w:tcPr>
            <w:tcW w:w="2693" w:type="dxa"/>
          </w:tcPr>
          <w:p w:rsidR="00106578" w:rsidRPr="00AF1E57" w:rsidRDefault="00F96CE0">
            <w:pP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Fecha de clasificación</w:t>
            </w:r>
          </w:p>
        </w:tc>
        <w:tc>
          <w:tcPr>
            <w:tcW w:w="3691" w:type="dxa"/>
          </w:tcPr>
          <w:p w:rsidR="00106578" w:rsidRPr="00AF1E57" w:rsidRDefault="00F96CE0">
            <w:pP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Se anotará la fecha en la que el Comité de Transparencia confirmó la clasificación del documento o expediente, en su caso. </w:t>
            </w:r>
          </w:p>
        </w:tc>
      </w:tr>
      <w:tr w:rsidR="00AF1E57" w:rsidRPr="00AF1E57">
        <w:trPr>
          <w:jc w:val="center"/>
        </w:trPr>
        <w:tc>
          <w:tcPr>
            <w:tcW w:w="1271" w:type="dxa"/>
            <w:vMerge/>
            <w:shd w:val="clear" w:color="auto" w:fill="D9D9D9"/>
          </w:tcPr>
          <w:p w:rsidR="00106578" w:rsidRPr="00AF1E57" w:rsidRDefault="00106578">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rsidR="00106578" w:rsidRPr="00AF1E57" w:rsidRDefault="00F96CE0">
            <w:pP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Área </w:t>
            </w:r>
          </w:p>
        </w:tc>
        <w:tc>
          <w:tcPr>
            <w:tcW w:w="3691" w:type="dxa"/>
          </w:tcPr>
          <w:p w:rsidR="00106578" w:rsidRPr="00AF1E57" w:rsidRDefault="00F96CE0">
            <w:pP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Se señalará el nombre del área del cual es titular quien clasifica. </w:t>
            </w:r>
          </w:p>
        </w:tc>
      </w:tr>
      <w:tr w:rsidR="00AF1E57" w:rsidRPr="00AF1E57">
        <w:trPr>
          <w:jc w:val="center"/>
        </w:trPr>
        <w:tc>
          <w:tcPr>
            <w:tcW w:w="1271" w:type="dxa"/>
            <w:vMerge/>
            <w:shd w:val="clear" w:color="auto" w:fill="D9D9D9"/>
          </w:tcPr>
          <w:p w:rsidR="00106578" w:rsidRPr="00AF1E57" w:rsidRDefault="00106578">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rsidR="00106578" w:rsidRPr="00AF1E57" w:rsidRDefault="00F96CE0">
            <w:pP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Información Reservada</w:t>
            </w:r>
          </w:p>
        </w:tc>
        <w:tc>
          <w:tcPr>
            <w:tcW w:w="3691" w:type="dxa"/>
          </w:tcPr>
          <w:p w:rsidR="00106578" w:rsidRPr="00AF1E57" w:rsidRDefault="00F96CE0">
            <w:pP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Se indicarán las partes o páginas del documento que se clasifican como reservadas, o, en su caso, se precisará que se ha reservado el documento o expediente en su totalidad.</w:t>
            </w:r>
          </w:p>
        </w:tc>
      </w:tr>
      <w:tr w:rsidR="00AF1E57" w:rsidRPr="00AF1E57">
        <w:trPr>
          <w:jc w:val="center"/>
        </w:trPr>
        <w:tc>
          <w:tcPr>
            <w:tcW w:w="1271" w:type="dxa"/>
            <w:vMerge/>
            <w:shd w:val="clear" w:color="auto" w:fill="D9D9D9"/>
          </w:tcPr>
          <w:p w:rsidR="00106578" w:rsidRPr="00AF1E57" w:rsidRDefault="00106578">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rsidR="00106578" w:rsidRPr="00AF1E57" w:rsidRDefault="00F96CE0">
            <w:pP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Periodo de Reserva </w:t>
            </w:r>
          </w:p>
        </w:tc>
        <w:tc>
          <w:tcPr>
            <w:tcW w:w="3691" w:type="dxa"/>
          </w:tcPr>
          <w:p w:rsidR="00106578" w:rsidRPr="00AF1E57" w:rsidRDefault="00F96CE0">
            <w:pP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Se anotará el número de años o meses por los que se mantendrá reservado el documento, el expediente o, en su caso, las partes o secciones reservadas. </w:t>
            </w:r>
          </w:p>
        </w:tc>
      </w:tr>
      <w:tr w:rsidR="00AF1E57" w:rsidRPr="00AF1E57">
        <w:trPr>
          <w:jc w:val="center"/>
        </w:trPr>
        <w:tc>
          <w:tcPr>
            <w:tcW w:w="1271" w:type="dxa"/>
            <w:vMerge/>
            <w:shd w:val="clear" w:color="auto" w:fill="D9D9D9"/>
          </w:tcPr>
          <w:p w:rsidR="00106578" w:rsidRPr="00AF1E57" w:rsidRDefault="00106578">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rsidR="00106578" w:rsidRPr="00AF1E57" w:rsidRDefault="00F96CE0">
            <w:pP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Fundamento legal</w:t>
            </w:r>
          </w:p>
        </w:tc>
        <w:tc>
          <w:tcPr>
            <w:tcW w:w="3691" w:type="dxa"/>
          </w:tcPr>
          <w:p w:rsidR="00106578" w:rsidRPr="00AF1E57" w:rsidRDefault="00F96CE0">
            <w:pP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Se señalará el nombre del ordenamiento el o los artículos, fracciones, párrafos con base en los cuales se sustente la reserva. </w:t>
            </w:r>
          </w:p>
        </w:tc>
      </w:tr>
      <w:tr w:rsidR="00AF1E57" w:rsidRPr="00AF1E57">
        <w:trPr>
          <w:jc w:val="center"/>
        </w:trPr>
        <w:tc>
          <w:tcPr>
            <w:tcW w:w="1271" w:type="dxa"/>
            <w:vMerge/>
            <w:shd w:val="clear" w:color="auto" w:fill="D9D9D9"/>
          </w:tcPr>
          <w:p w:rsidR="00106578" w:rsidRPr="00AF1E57" w:rsidRDefault="00106578">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rsidR="00106578" w:rsidRPr="00AF1E57" w:rsidRDefault="00F96CE0">
            <w:pP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Ampliación del periodo de reserva</w:t>
            </w:r>
          </w:p>
        </w:tc>
        <w:tc>
          <w:tcPr>
            <w:tcW w:w="3691" w:type="dxa"/>
          </w:tcPr>
          <w:p w:rsidR="00106578" w:rsidRPr="00AF1E57" w:rsidRDefault="00F96CE0">
            <w:pP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En caso de haber solicitado la ampliación del periodo de reserva originalmente establecido, se deberá anotar el número de años o meses por los que se amplía la reserva. </w:t>
            </w:r>
          </w:p>
        </w:tc>
      </w:tr>
      <w:tr w:rsidR="00AF1E57" w:rsidRPr="00AF1E57">
        <w:trPr>
          <w:jc w:val="center"/>
        </w:trPr>
        <w:tc>
          <w:tcPr>
            <w:tcW w:w="3964" w:type="dxa"/>
            <w:gridSpan w:val="2"/>
            <w:shd w:val="clear" w:color="auto" w:fill="D9D9D9"/>
          </w:tcPr>
          <w:p w:rsidR="00106578" w:rsidRPr="00AF1E57" w:rsidRDefault="00F96CE0">
            <w:pP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Rúbrica del titular del área</w:t>
            </w:r>
          </w:p>
        </w:tc>
        <w:tc>
          <w:tcPr>
            <w:tcW w:w="3691" w:type="dxa"/>
            <w:shd w:val="clear" w:color="auto" w:fill="D9D9D9"/>
          </w:tcPr>
          <w:p w:rsidR="00106578" w:rsidRPr="00AF1E57" w:rsidRDefault="00F96CE0">
            <w:pP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Rúbrica autógrafa o firma digital de quien clasifica. </w:t>
            </w:r>
          </w:p>
        </w:tc>
      </w:tr>
      <w:tr w:rsidR="00AF1E57" w:rsidRPr="00AF1E57">
        <w:trPr>
          <w:jc w:val="center"/>
        </w:trPr>
        <w:tc>
          <w:tcPr>
            <w:tcW w:w="3964" w:type="dxa"/>
            <w:gridSpan w:val="2"/>
            <w:shd w:val="clear" w:color="auto" w:fill="D9D9D9"/>
          </w:tcPr>
          <w:p w:rsidR="00106578" w:rsidRPr="00AF1E57" w:rsidRDefault="00F96CE0">
            <w:pP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Fecha de desclasificación </w:t>
            </w:r>
          </w:p>
        </w:tc>
        <w:tc>
          <w:tcPr>
            <w:tcW w:w="3691" w:type="dxa"/>
            <w:shd w:val="clear" w:color="auto" w:fill="D9D9D9"/>
          </w:tcPr>
          <w:p w:rsidR="00106578" w:rsidRPr="00AF1E57" w:rsidRDefault="00F96CE0">
            <w:pP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Se anotará la fecha en que se desclasifica el documento. </w:t>
            </w:r>
          </w:p>
        </w:tc>
      </w:tr>
      <w:tr w:rsidR="00AF1E57" w:rsidRPr="00AF1E57">
        <w:trPr>
          <w:jc w:val="center"/>
        </w:trPr>
        <w:tc>
          <w:tcPr>
            <w:tcW w:w="3964" w:type="dxa"/>
            <w:gridSpan w:val="2"/>
            <w:shd w:val="clear" w:color="auto" w:fill="D9D9D9"/>
          </w:tcPr>
          <w:p w:rsidR="00106578" w:rsidRPr="00AF1E57" w:rsidRDefault="00F96CE0">
            <w:pPr>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Rúbrica y cargo del servidor público </w:t>
            </w:r>
          </w:p>
        </w:tc>
        <w:tc>
          <w:tcPr>
            <w:tcW w:w="3691" w:type="dxa"/>
            <w:shd w:val="clear" w:color="auto" w:fill="D9D9D9"/>
          </w:tcPr>
          <w:p w:rsidR="00106578" w:rsidRPr="00AF1E57" w:rsidRDefault="00F96CE0">
            <w:pPr>
              <w:jc w:val="both"/>
              <w:rPr>
                <w:rFonts w:ascii="Palatino Linotype" w:eastAsia="Palatino Linotype" w:hAnsi="Palatino Linotype" w:cs="Palatino Linotype"/>
                <w:sz w:val="20"/>
                <w:szCs w:val="20"/>
              </w:rPr>
            </w:pPr>
            <w:r w:rsidRPr="00AF1E57">
              <w:rPr>
                <w:rFonts w:ascii="Palatino Linotype" w:eastAsia="Palatino Linotype" w:hAnsi="Palatino Linotype" w:cs="Palatino Linotype"/>
                <w:sz w:val="20"/>
                <w:szCs w:val="20"/>
              </w:rPr>
              <w:t xml:space="preserve">Rúbrica autógrafa o firma digital de quien desclasifica. </w:t>
            </w:r>
          </w:p>
        </w:tc>
      </w:tr>
    </w:tbl>
    <w:p w:rsidR="00106578" w:rsidRPr="00AF1E57" w:rsidRDefault="00106578">
      <w:pPr>
        <w:spacing w:line="360" w:lineRule="auto"/>
        <w:ind w:right="902"/>
        <w:rPr>
          <w:rFonts w:ascii="Palatino Linotype" w:eastAsia="Palatino Linotype" w:hAnsi="Palatino Linotype" w:cs="Palatino Linotype"/>
          <w:i/>
        </w:rPr>
      </w:pPr>
    </w:p>
    <w:p w:rsidR="00106578" w:rsidRPr="00AF1E57" w:rsidRDefault="00F96CE0">
      <w:pPr>
        <w:spacing w:line="276" w:lineRule="auto"/>
        <w:ind w:left="567" w:right="902"/>
        <w:jc w:val="both"/>
        <w:rPr>
          <w:rFonts w:ascii="Palatino Linotype" w:eastAsia="Palatino Linotype" w:hAnsi="Palatino Linotype" w:cs="Palatino Linotype"/>
          <w:i/>
        </w:rPr>
      </w:pPr>
      <w:r w:rsidRPr="00AF1E57">
        <w:rPr>
          <w:rFonts w:ascii="Palatino Linotype" w:eastAsia="Palatino Linotype" w:hAnsi="Palatino Linotype" w:cs="Palatino Linotype"/>
          <w:i/>
        </w:rPr>
        <w:t>Los documentos que integren un expediente reservado en su totalidad no deberán marcarse en lo individual.</w:t>
      </w:r>
    </w:p>
    <w:p w:rsidR="00106578" w:rsidRPr="00AF1E57" w:rsidRDefault="00F96CE0">
      <w:pPr>
        <w:spacing w:line="276" w:lineRule="auto"/>
        <w:ind w:left="567" w:right="902"/>
        <w:jc w:val="both"/>
        <w:rPr>
          <w:rFonts w:ascii="Palatino Linotype" w:eastAsia="Palatino Linotype" w:hAnsi="Palatino Linotype" w:cs="Palatino Linotype"/>
          <w:i/>
        </w:rPr>
      </w:pPr>
      <w:r w:rsidRPr="00AF1E57">
        <w:rPr>
          <w:rFonts w:ascii="Palatino Linotype" w:eastAsia="Palatino Linotype" w:hAnsi="Palatino Linotype" w:cs="Palatino Linotype"/>
          <w:i/>
        </w:rPr>
        <w:lastRenderedPageBreak/>
        <w:t>Una vez desclasificados los expedientes, si existieren documentos que tuvieran el carácter de reservados deberán permanecer o ser marcados.”</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rsidR="00106578" w:rsidRPr="00AF1E57" w:rsidRDefault="00106578">
      <w:pPr>
        <w:spacing w:line="360" w:lineRule="auto"/>
        <w:jc w:val="both"/>
        <w:rPr>
          <w:rFonts w:ascii="Palatino Linotype" w:eastAsia="Palatino Linotype" w:hAnsi="Palatino Linotype" w:cs="Palatino Linotype"/>
          <w:sz w:val="22"/>
          <w:szCs w:val="22"/>
        </w:rPr>
      </w:pPr>
    </w:p>
    <w:p w:rsidR="00106578" w:rsidRPr="00AF1E57" w:rsidRDefault="00F96CE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r w:rsidRPr="00AF1E57">
        <w:rPr>
          <w:rFonts w:ascii="Palatino Linotype" w:eastAsia="Palatino Linotype" w:hAnsi="Palatino Linotype" w:cs="Palatino Linotype"/>
          <w:b/>
          <w:i/>
          <w:sz w:val="22"/>
          <w:szCs w:val="22"/>
        </w:rPr>
        <w:t>Quincuagésimo cuarto.</w:t>
      </w:r>
      <w:r w:rsidRPr="00AF1E57">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Quincuagésimo quinto.</w:t>
      </w:r>
      <w:r w:rsidRPr="00AF1E57">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AF1E57">
        <w:rPr>
          <w:rFonts w:ascii="Palatino Linotype" w:eastAsia="Palatino Linotype" w:hAnsi="Palatino Linotype" w:cs="Palatino Linotype"/>
          <w:i/>
          <w:sz w:val="22"/>
          <w:szCs w:val="22"/>
        </w:rPr>
        <w:t>testado</w:t>
      </w:r>
      <w:proofErr w:type="spellEnd"/>
      <w:r w:rsidRPr="00AF1E57">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b/>
          <w:i/>
          <w:sz w:val="22"/>
          <w:szCs w:val="22"/>
        </w:rPr>
        <w:t>Quincuagésimo séptimo.</w:t>
      </w:r>
      <w:r w:rsidRPr="00AF1E5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rsidR="00106578" w:rsidRPr="00AF1E57" w:rsidRDefault="00F96CE0">
      <w:pPr>
        <w:spacing w:line="276" w:lineRule="auto"/>
        <w:ind w:left="567" w:right="616"/>
        <w:jc w:val="both"/>
        <w:rPr>
          <w:rFonts w:ascii="Palatino Linotype" w:eastAsia="Palatino Linotype" w:hAnsi="Palatino Linotype" w:cs="Palatino Linotype"/>
          <w:i/>
          <w:sz w:val="22"/>
          <w:szCs w:val="22"/>
        </w:rPr>
      </w:pPr>
      <w:r w:rsidRPr="00AF1E57">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rsidR="00106578" w:rsidRPr="00AF1E57" w:rsidRDefault="00106578">
      <w:pPr>
        <w:spacing w:line="276" w:lineRule="auto"/>
        <w:ind w:left="567" w:right="616"/>
        <w:jc w:val="both"/>
        <w:rPr>
          <w:rFonts w:ascii="Palatino Linotype" w:eastAsia="Palatino Linotype" w:hAnsi="Palatino Linotype" w:cs="Palatino Linotype"/>
          <w:i/>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 xml:space="preserve">Es así como, en mérito de lo expuesto en líneas anteriores, resultan fundadas las razones o motivos de inconformidad hechos valer por el </w:t>
      </w:r>
      <w:r w:rsidRPr="00AF1E57">
        <w:rPr>
          <w:rFonts w:ascii="Palatino Linotype" w:eastAsia="Palatino Linotype" w:hAnsi="Palatino Linotype" w:cs="Palatino Linotype"/>
          <w:b/>
        </w:rPr>
        <w:t>RECURRENTE</w:t>
      </w:r>
      <w:r w:rsidRPr="00AF1E57">
        <w:rPr>
          <w:rFonts w:ascii="Palatino Linotype" w:eastAsia="Palatino Linotype" w:hAnsi="Palatino Linotype" w:cs="Palatino Linotype"/>
        </w:rPr>
        <w:t xml:space="preserve"> dentro del recurso de revisión </w:t>
      </w:r>
      <w:r w:rsidRPr="00AF1E57">
        <w:rPr>
          <w:rFonts w:ascii="Palatino Linotype" w:eastAsia="Palatino Linotype" w:hAnsi="Palatino Linotype" w:cs="Palatino Linotype"/>
          <w:b/>
        </w:rPr>
        <w:t>01559/INFOEM/IP/RR/2023</w:t>
      </w:r>
      <w:r w:rsidRPr="00AF1E57">
        <w:rPr>
          <w:rFonts w:ascii="Palatino Linotype" w:eastAsia="Palatino Linotype" w:hAnsi="Palatino Linotype" w:cs="Palatino Linotype"/>
        </w:rPr>
        <w:t xml:space="preserve">; por ello, y con fundamento en la </w:t>
      </w:r>
      <w:r w:rsidRPr="00AF1E57">
        <w:rPr>
          <w:rFonts w:ascii="Palatino Linotype" w:eastAsia="Palatino Linotype" w:hAnsi="Palatino Linotype" w:cs="Palatino Linotype"/>
        </w:rPr>
        <w:lastRenderedPageBreak/>
        <w:t xml:space="preserve">fracción IV del numeral 186 de la Ley de Transparencia y Acceso a la Información Pública del Estado de México y Municipios, se </w:t>
      </w:r>
      <w:r w:rsidRPr="00AF1E57">
        <w:rPr>
          <w:rFonts w:ascii="Palatino Linotype" w:eastAsia="Palatino Linotype" w:hAnsi="Palatino Linotype" w:cs="Palatino Linotype"/>
          <w:b/>
        </w:rPr>
        <w:t xml:space="preserve">ORDENA </w:t>
      </w:r>
      <w:r w:rsidRPr="00AF1E57">
        <w:rPr>
          <w:rFonts w:ascii="Palatino Linotype" w:eastAsia="Palatino Linotype" w:hAnsi="Palatino Linotype" w:cs="Palatino Linotype"/>
        </w:rPr>
        <w:t xml:space="preserve">proporcionar la información solicitada en el folio </w:t>
      </w:r>
      <w:r w:rsidRPr="00AF1E57">
        <w:rPr>
          <w:rFonts w:ascii="Palatino Linotype" w:eastAsia="Palatino Linotype" w:hAnsi="Palatino Linotype" w:cs="Palatino Linotype"/>
          <w:b/>
        </w:rPr>
        <w:t>00013/OASLAPAZ/IP/2023.</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106578" w:rsidRPr="00AF1E57" w:rsidRDefault="00106578">
      <w:pPr>
        <w:spacing w:line="360" w:lineRule="auto"/>
        <w:rPr>
          <w:rFonts w:ascii="Palatino Linotype" w:eastAsia="Palatino Linotype" w:hAnsi="Palatino Linotype" w:cs="Palatino Linotype"/>
          <w:b/>
        </w:rPr>
      </w:pPr>
    </w:p>
    <w:p w:rsidR="00106578" w:rsidRPr="00AF1E57" w:rsidRDefault="00F96CE0">
      <w:pPr>
        <w:spacing w:line="360" w:lineRule="auto"/>
        <w:jc w:val="center"/>
        <w:rPr>
          <w:rFonts w:ascii="Palatino Linotype" w:eastAsia="Palatino Linotype" w:hAnsi="Palatino Linotype" w:cs="Palatino Linotype"/>
          <w:b/>
        </w:rPr>
      </w:pPr>
      <w:r w:rsidRPr="00AF1E57">
        <w:rPr>
          <w:rFonts w:ascii="Palatino Linotype" w:eastAsia="Palatino Linotype" w:hAnsi="Palatino Linotype" w:cs="Palatino Linotype"/>
          <w:b/>
        </w:rPr>
        <w:t>R E S U E L V E:</w:t>
      </w:r>
    </w:p>
    <w:p w:rsidR="00106578" w:rsidRPr="00AF1E57" w:rsidRDefault="00106578">
      <w:pPr>
        <w:spacing w:line="360" w:lineRule="auto"/>
        <w:rPr>
          <w:rFonts w:ascii="Palatino Linotype" w:eastAsia="Palatino Linotype" w:hAnsi="Palatino Linotype" w:cs="Palatino Linotype"/>
          <w:b/>
        </w:rPr>
      </w:pPr>
    </w:p>
    <w:p w:rsidR="00106578" w:rsidRPr="00AF1E57" w:rsidRDefault="00F96CE0">
      <w:pPr>
        <w:spacing w:line="360" w:lineRule="auto"/>
        <w:ind w:right="49"/>
        <w:jc w:val="both"/>
        <w:rPr>
          <w:rFonts w:ascii="Palatino Linotype" w:eastAsia="Palatino Linotype" w:hAnsi="Palatino Linotype" w:cs="Palatino Linotype"/>
        </w:rPr>
      </w:pPr>
      <w:r w:rsidRPr="00AF1E57">
        <w:rPr>
          <w:rFonts w:ascii="Palatino Linotype" w:eastAsia="Palatino Linotype" w:hAnsi="Palatino Linotype" w:cs="Palatino Linotype"/>
          <w:b/>
        </w:rPr>
        <w:t xml:space="preserve">Primero. </w:t>
      </w:r>
      <w:r w:rsidRPr="00AF1E57">
        <w:rPr>
          <w:rFonts w:ascii="Palatino Linotype" w:eastAsia="Palatino Linotype" w:hAnsi="Palatino Linotype" w:cs="Palatino Linotype"/>
        </w:rPr>
        <w:t xml:space="preserve">Resultan </w:t>
      </w:r>
      <w:r w:rsidRPr="00AF1E57">
        <w:rPr>
          <w:rFonts w:ascii="Palatino Linotype" w:eastAsia="Palatino Linotype" w:hAnsi="Palatino Linotype" w:cs="Palatino Linotype"/>
          <w:b/>
        </w:rPr>
        <w:t xml:space="preserve">PARCIALMENTE FUNDADOS </w:t>
      </w:r>
      <w:r w:rsidRPr="00AF1E57">
        <w:rPr>
          <w:rFonts w:ascii="Palatino Linotype" w:eastAsia="Palatino Linotype" w:hAnsi="Palatino Linotype" w:cs="Palatino Linotype"/>
        </w:rPr>
        <w:t xml:space="preserve">los motivos de inconformidad de la parte </w:t>
      </w:r>
      <w:r w:rsidRPr="00AF1E57">
        <w:rPr>
          <w:rFonts w:ascii="Palatino Linotype" w:eastAsia="Palatino Linotype" w:hAnsi="Palatino Linotype" w:cs="Palatino Linotype"/>
          <w:b/>
        </w:rPr>
        <w:t>Recurrente</w:t>
      </w:r>
      <w:r w:rsidRPr="00AF1E57">
        <w:rPr>
          <w:rFonts w:ascii="Palatino Linotype" w:eastAsia="Palatino Linotype" w:hAnsi="Palatino Linotype" w:cs="Palatino Linotype"/>
        </w:rPr>
        <w:t>, en términos del</w:t>
      </w:r>
      <w:r w:rsidRPr="00AF1E57">
        <w:rPr>
          <w:rFonts w:ascii="Palatino Linotype" w:eastAsia="Palatino Linotype" w:hAnsi="Palatino Linotype" w:cs="Palatino Linotype"/>
          <w:b/>
        </w:rPr>
        <w:t xml:space="preserve"> Considerando</w:t>
      </w:r>
      <w:r w:rsidRPr="00AF1E57">
        <w:rPr>
          <w:rFonts w:ascii="Palatino Linotype" w:eastAsia="Palatino Linotype" w:hAnsi="Palatino Linotype" w:cs="Palatino Linotype"/>
        </w:rPr>
        <w:t xml:space="preserve"> </w:t>
      </w:r>
      <w:r w:rsidRPr="00AF1E57">
        <w:rPr>
          <w:rFonts w:ascii="Palatino Linotype" w:eastAsia="Palatino Linotype" w:hAnsi="Palatino Linotype" w:cs="Palatino Linotype"/>
          <w:b/>
        </w:rPr>
        <w:t>Cuarto</w:t>
      </w:r>
      <w:r w:rsidRPr="00AF1E57">
        <w:rPr>
          <w:rFonts w:ascii="Palatino Linotype" w:eastAsia="Palatino Linotype" w:hAnsi="Palatino Linotype" w:cs="Palatino Linotype"/>
        </w:rPr>
        <w:t xml:space="preserve"> de la presente resolución.</w:t>
      </w:r>
    </w:p>
    <w:p w:rsidR="00106578" w:rsidRPr="00AF1E57" w:rsidRDefault="00106578">
      <w:pPr>
        <w:spacing w:line="360" w:lineRule="auto"/>
        <w:ind w:right="49"/>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bookmarkStart w:id="3" w:name="_heading=h.qr93j92x5q6k" w:colFirst="0" w:colLast="0"/>
      <w:bookmarkEnd w:id="3"/>
      <w:r w:rsidRPr="00AF1E57">
        <w:rPr>
          <w:rFonts w:ascii="Palatino Linotype" w:eastAsia="Palatino Linotype" w:hAnsi="Palatino Linotype" w:cs="Palatino Linotype"/>
          <w:b/>
        </w:rPr>
        <w:t>Segundo.</w:t>
      </w:r>
      <w:r w:rsidRPr="00AF1E57">
        <w:rPr>
          <w:rFonts w:ascii="Palatino Linotype" w:eastAsia="Palatino Linotype" w:hAnsi="Palatino Linotype" w:cs="Palatino Linotype"/>
        </w:rPr>
        <w:t xml:space="preserve"> Se</w:t>
      </w:r>
      <w:r w:rsidRPr="00AF1E57">
        <w:rPr>
          <w:rFonts w:ascii="Palatino Linotype" w:eastAsia="Palatino Linotype" w:hAnsi="Palatino Linotype" w:cs="Palatino Linotype"/>
          <w:b/>
        </w:rPr>
        <w:t xml:space="preserve"> Ordena </w:t>
      </w:r>
      <w:r w:rsidRPr="00AF1E57">
        <w:rPr>
          <w:rFonts w:ascii="Palatino Linotype" w:eastAsia="Palatino Linotype" w:hAnsi="Palatino Linotype" w:cs="Palatino Linotype"/>
        </w:rPr>
        <w:t xml:space="preserve">al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 xml:space="preserve">, haga entrega a la parte </w:t>
      </w:r>
      <w:r w:rsidRPr="00AF1E57">
        <w:rPr>
          <w:rFonts w:ascii="Palatino Linotype" w:eastAsia="Palatino Linotype" w:hAnsi="Palatino Linotype" w:cs="Palatino Linotype"/>
          <w:b/>
        </w:rPr>
        <w:t xml:space="preserve">Recurrente </w:t>
      </w:r>
      <w:r w:rsidRPr="00AF1E57">
        <w:rPr>
          <w:rFonts w:ascii="Palatino Linotype" w:eastAsia="Palatino Linotype" w:hAnsi="Palatino Linotype" w:cs="Palatino Linotype"/>
        </w:rPr>
        <w:t xml:space="preserve">en términos de los </w:t>
      </w:r>
      <w:r w:rsidRPr="00AF1E57">
        <w:rPr>
          <w:rFonts w:ascii="Palatino Linotype" w:eastAsia="Palatino Linotype" w:hAnsi="Palatino Linotype" w:cs="Palatino Linotype"/>
          <w:b/>
        </w:rPr>
        <w:t>Considerandos Cuarto y Quinto</w:t>
      </w:r>
      <w:r w:rsidRPr="00AF1E57">
        <w:rPr>
          <w:rFonts w:ascii="Palatino Linotype" w:eastAsia="Palatino Linotype" w:hAnsi="Palatino Linotype" w:cs="Palatino Linotype"/>
        </w:rPr>
        <w:t xml:space="preserve">, mediante el Sistema de Acceso a la Información Mexiquense (SAIMEX), de ser procedente, en versión pública, de la siguiente información: </w:t>
      </w:r>
    </w:p>
    <w:p w:rsidR="00106578" w:rsidRPr="00AF1E57" w:rsidRDefault="00F96CE0">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4" w:name="_heading=h.1fob9te" w:colFirst="0" w:colLast="0"/>
      <w:bookmarkEnd w:id="4"/>
      <w:r w:rsidRPr="00AF1E57">
        <w:rPr>
          <w:rFonts w:ascii="Palatino Linotype" w:eastAsia="Palatino Linotype" w:hAnsi="Palatino Linotype" w:cs="Palatino Linotype"/>
          <w:b/>
          <w:sz w:val="22"/>
          <w:szCs w:val="22"/>
        </w:rPr>
        <w:lastRenderedPageBreak/>
        <w:t xml:space="preserve">Documentos que acrediten los trabajos de limpieza, sondeo de coladeras pluviales y de las líneas de drenaje que se han realizado del uno de enero al treinta de septiembre de dos mil veintidós y del uno de enero al diecisiete de febrero de dos mil veintitrés.   </w:t>
      </w:r>
    </w:p>
    <w:p w:rsidR="00106578" w:rsidRPr="00AF1E57" w:rsidRDefault="00F96CE0">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AF1E57">
        <w:rPr>
          <w:rFonts w:ascii="Palatino Linotype" w:eastAsia="Palatino Linotype" w:hAnsi="Palatino Linotype" w:cs="Palatino Linotype"/>
          <w:b/>
          <w:sz w:val="22"/>
          <w:szCs w:val="22"/>
        </w:rPr>
        <w:t>Documentos donde consten los gastos realizados por los trabajos de limpieza, sondeo de coladeras pluviales y de las líneas de drenaje del uno de enero de dos mil veintidós al diecisiete de febrero de dos mil veintitrés, y;</w:t>
      </w:r>
    </w:p>
    <w:p w:rsidR="00106578" w:rsidRPr="00AF1E57" w:rsidRDefault="00F96CE0">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AF1E57">
        <w:rPr>
          <w:rFonts w:ascii="Palatino Linotype" w:eastAsia="Palatino Linotype" w:hAnsi="Palatino Linotype" w:cs="Palatino Linotype"/>
          <w:b/>
          <w:sz w:val="22"/>
          <w:szCs w:val="22"/>
        </w:rPr>
        <w:t xml:space="preserve">Documentos que acrediten las jornadas de limpieza, sondeo de coladeras pluviales y de las líneas de drenaje que se realizaron con camión hidroneumático en la Calle Chichimecas entre Moctezuma y Tenochtitlán, Colona Ancón dentro de la administración pública municipal 2022-2024. </w:t>
      </w:r>
    </w:p>
    <w:p w:rsidR="00106578" w:rsidRPr="00AF1E57" w:rsidRDefault="00106578">
      <w:p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rsidR="00106578" w:rsidRPr="00AF1E57" w:rsidRDefault="00F96CE0">
      <w:pPr>
        <w:pBdr>
          <w:top w:val="nil"/>
          <w:left w:val="nil"/>
          <w:bottom w:val="nil"/>
          <w:right w:val="nil"/>
          <w:between w:val="nil"/>
        </w:pBdr>
        <w:spacing w:line="276" w:lineRule="auto"/>
        <w:ind w:left="567" w:right="49"/>
        <w:jc w:val="both"/>
        <w:rPr>
          <w:rFonts w:ascii="Palatino Linotype" w:eastAsia="Palatino Linotype" w:hAnsi="Palatino Linotype" w:cs="Palatino Linotype"/>
          <w:b/>
          <w:sz w:val="22"/>
          <w:szCs w:val="22"/>
        </w:rPr>
      </w:pPr>
      <w:r w:rsidRPr="00AF1E57">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106578" w:rsidRPr="00AF1E57" w:rsidRDefault="00106578">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i/>
          <w:sz w:val="22"/>
          <w:szCs w:val="22"/>
        </w:rPr>
      </w:pPr>
    </w:p>
    <w:p w:rsidR="00106578" w:rsidRPr="00AF1E57" w:rsidRDefault="00F96CE0">
      <w:pPr>
        <w:pBdr>
          <w:top w:val="nil"/>
          <w:left w:val="nil"/>
          <w:bottom w:val="nil"/>
          <w:right w:val="nil"/>
          <w:between w:val="nil"/>
        </w:pBdr>
        <w:tabs>
          <w:tab w:val="left" w:pos="567"/>
          <w:tab w:val="left" w:pos="993"/>
        </w:tabs>
        <w:spacing w:line="276" w:lineRule="auto"/>
        <w:ind w:left="567" w:right="62"/>
        <w:jc w:val="both"/>
        <w:rPr>
          <w:rFonts w:ascii="Palatino Linotype" w:eastAsia="Palatino Linotype" w:hAnsi="Palatino Linotype" w:cs="Palatino Linotype"/>
          <w:b/>
          <w:i/>
          <w:sz w:val="22"/>
          <w:szCs w:val="22"/>
        </w:rPr>
      </w:pPr>
      <w:r w:rsidRPr="00AF1E57">
        <w:rPr>
          <w:rFonts w:ascii="Palatino Linotype" w:eastAsia="Palatino Linotype" w:hAnsi="Palatino Linotype" w:cs="Palatino Linotype"/>
          <w:i/>
          <w:sz w:val="22"/>
          <w:szCs w:val="22"/>
        </w:rPr>
        <w:t xml:space="preserve">Para el caso de que la información que se ordena entregar en el punto 3) no obre en los archivos del Sujeto Obligado, por no haberse generado, este deberá hacerlo del conocimiento del Particular en términos del artículo 19, párrafo segundo, de la Ley de Transparencia y Acceso a la Información Pública del Estado de México y Municipios, para tenerse por colmado dicho requerimiento. </w:t>
      </w:r>
    </w:p>
    <w:p w:rsidR="00106578" w:rsidRPr="00AF1E57" w:rsidRDefault="00F96CE0">
      <w:pPr>
        <w:spacing w:line="360" w:lineRule="auto"/>
        <w:jc w:val="both"/>
        <w:rPr>
          <w:rFonts w:ascii="Palatino Linotype" w:eastAsia="Palatino Linotype" w:hAnsi="Palatino Linotype" w:cs="Palatino Linotype"/>
        </w:rPr>
      </w:pPr>
      <w:bookmarkStart w:id="5" w:name="_heading=h.3znysh7" w:colFirst="0" w:colLast="0"/>
      <w:bookmarkEnd w:id="5"/>
      <w:r w:rsidRPr="00AF1E57">
        <w:rPr>
          <w:rFonts w:ascii="Palatino Linotype" w:eastAsia="Palatino Linotype" w:hAnsi="Palatino Linotype" w:cs="Palatino Linotype"/>
          <w:b/>
        </w:rPr>
        <w:lastRenderedPageBreak/>
        <w:t xml:space="preserve">Tercero.  Notifíquese vía SAIMEX, </w:t>
      </w:r>
      <w:r w:rsidRPr="00AF1E57">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b/>
        </w:rPr>
        <w:t>Cuarto. Notifíquese</w:t>
      </w:r>
      <w:r w:rsidRPr="00AF1E57">
        <w:rPr>
          <w:rFonts w:ascii="Palatino Linotype" w:eastAsia="Palatino Linotype" w:hAnsi="Palatino Linotype" w:cs="Palatino Linotype"/>
        </w:rPr>
        <w:t>,</w:t>
      </w:r>
      <w:r w:rsidRPr="00AF1E57">
        <w:rPr>
          <w:rFonts w:ascii="Palatino Linotype" w:eastAsia="Palatino Linotype" w:hAnsi="Palatino Linotype" w:cs="Palatino Linotype"/>
          <w:b/>
        </w:rPr>
        <w:t xml:space="preserve"> </w:t>
      </w:r>
      <w:r w:rsidRPr="00AF1E57">
        <w:rPr>
          <w:rFonts w:ascii="Palatino Linotype" w:eastAsia="Palatino Linotype" w:hAnsi="Palatino Linotype" w:cs="Palatino Linotype"/>
        </w:rPr>
        <w:t xml:space="preserve">vía </w:t>
      </w:r>
      <w:r w:rsidRPr="00AF1E57">
        <w:rPr>
          <w:rFonts w:ascii="Palatino Linotype" w:eastAsia="Palatino Linotype" w:hAnsi="Palatino Linotype" w:cs="Palatino Linotype"/>
          <w:b/>
        </w:rPr>
        <w:t>SAIMEX</w:t>
      </w:r>
      <w:r w:rsidRPr="00AF1E57">
        <w:rPr>
          <w:rFonts w:ascii="Palatino Linotype" w:eastAsia="Palatino Linotype" w:hAnsi="Palatino Linotype" w:cs="Palatino Linotype"/>
        </w:rPr>
        <w:t xml:space="preserve"> a la parte </w:t>
      </w:r>
      <w:r w:rsidRPr="00AF1E57">
        <w:rPr>
          <w:rFonts w:ascii="Palatino Linotype" w:eastAsia="Palatino Linotype" w:hAnsi="Palatino Linotype" w:cs="Palatino Linotype"/>
          <w:b/>
        </w:rPr>
        <w:t xml:space="preserve">Recurrente </w:t>
      </w:r>
      <w:r w:rsidRPr="00AF1E57">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pPr>
      <w:r w:rsidRPr="00AF1E57">
        <w:rPr>
          <w:rFonts w:ascii="Palatino Linotype" w:eastAsia="Palatino Linotype" w:hAnsi="Palatino Linotype" w:cs="Palatino Linotype"/>
          <w:b/>
        </w:rPr>
        <w:t>Quinto. Notifíquese</w:t>
      </w:r>
      <w:r w:rsidRPr="00AF1E57">
        <w:rPr>
          <w:rFonts w:ascii="Palatino Linotype" w:eastAsia="Palatino Linotype" w:hAnsi="Palatino Linotype" w:cs="Palatino Linotype"/>
        </w:rPr>
        <w:t>,</w:t>
      </w:r>
      <w:r w:rsidRPr="00AF1E57">
        <w:rPr>
          <w:rFonts w:ascii="Palatino Linotype" w:eastAsia="Palatino Linotype" w:hAnsi="Palatino Linotype" w:cs="Palatino Linotype"/>
          <w:b/>
        </w:rPr>
        <w:t xml:space="preserve"> </w:t>
      </w:r>
      <w:r w:rsidRPr="00AF1E57">
        <w:rPr>
          <w:rFonts w:ascii="Palatino Linotype" w:eastAsia="Palatino Linotype" w:hAnsi="Palatino Linotype" w:cs="Palatino Linotype"/>
        </w:rPr>
        <w:t xml:space="preserve">a la parte </w:t>
      </w:r>
      <w:r w:rsidRPr="00AF1E57">
        <w:rPr>
          <w:rFonts w:ascii="Palatino Linotype" w:eastAsia="Palatino Linotype" w:hAnsi="Palatino Linotype" w:cs="Palatino Linotype"/>
          <w:b/>
        </w:rPr>
        <w:t xml:space="preserve">Recurrente </w:t>
      </w:r>
      <w:r w:rsidRPr="00AF1E57">
        <w:rPr>
          <w:rFonts w:ascii="Palatino Linotype" w:eastAsia="Palatino Linotype" w:hAnsi="Palatino Linotype" w:cs="Palatino Linotype"/>
        </w:rPr>
        <w:t xml:space="preserve">que la respuesta que dé el </w:t>
      </w:r>
      <w:r w:rsidRPr="00AF1E57">
        <w:rPr>
          <w:rFonts w:ascii="Palatino Linotype" w:eastAsia="Palatino Linotype" w:hAnsi="Palatino Linotype" w:cs="Palatino Linotype"/>
          <w:b/>
        </w:rPr>
        <w:t>Sujeto Obligado</w:t>
      </w:r>
      <w:r w:rsidRPr="00AF1E57">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w:t>
      </w:r>
      <w:r w:rsidRPr="00AF1E57">
        <w:rPr>
          <w:rFonts w:ascii="Palatino Linotype" w:eastAsia="Palatino Linotype" w:hAnsi="Palatino Linotype" w:cs="Palatino Linotype"/>
        </w:rPr>
        <w:lastRenderedPageBreak/>
        <w:t>179, último párrafo de la Ley de Transparencia y Acceso a la Información Pública del Estado de México y Municipios.</w:t>
      </w:r>
    </w:p>
    <w:p w:rsidR="00106578" w:rsidRPr="00AF1E57" w:rsidRDefault="00106578">
      <w:pPr>
        <w:spacing w:line="360" w:lineRule="auto"/>
        <w:jc w:val="both"/>
        <w:rPr>
          <w:rFonts w:ascii="Palatino Linotype" w:eastAsia="Palatino Linotype" w:hAnsi="Palatino Linotype" w:cs="Palatino Linotype"/>
          <w:b/>
        </w:rPr>
      </w:pPr>
    </w:p>
    <w:p w:rsidR="00106578" w:rsidRPr="00AF1E57" w:rsidRDefault="00F96CE0">
      <w:pPr>
        <w:spacing w:line="360" w:lineRule="auto"/>
        <w:ind w:right="49"/>
        <w:jc w:val="both"/>
        <w:rPr>
          <w:rFonts w:ascii="Palatino Linotype" w:eastAsia="Palatino Linotype" w:hAnsi="Palatino Linotype" w:cs="Palatino Linotype"/>
        </w:rPr>
      </w:pPr>
      <w:bookmarkStart w:id="6" w:name="_heading=h.17dp8vu" w:colFirst="0" w:colLast="0"/>
      <w:bookmarkEnd w:id="6"/>
      <w:r w:rsidRPr="00AF1E57">
        <w:rPr>
          <w:rFonts w:ascii="Palatino Linotype" w:eastAsia="Palatino Linotype" w:hAnsi="Palatino Linotype" w:cs="Palatino Linotype"/>
          <w:b/>
        </w:rPr>
        <w:t xml:space="preserve">Sexto. Gírese </w:t>
      </w:r>
      <w:r w:rsidRPr="00AF1E57">
        <w:rPr>
          <w:rFonts w:ascii="Palatino Linotype" w:eastAsia="Palatino Linotype" w:hAnsi="Palatino Linotype" w:cs="Palatino Linotype"/>
        </w:rPr>
        <w:t>oficio a la</w:t>
      </w:r>
      <w:r w:rsidRPr="00AF1E57">
        <w:rPr>
          <w:rFonts w:ascii="Palatino Linotype" w:eastAsia="Palatino Linotype" w:hAnsi="Palatino Linotype" w:cs="Palatino Linotype"/>
          <w:b/>
        </w:rPr>
        <w:t xml:space="preserve"> Secretaría Técnica del Pleno de este Instituto </w:t>
      </w:r>
      <w:r w:rsidRPr="00AF1E57">
        <w:rPr>
          <w:rFonts w:ascii="Palatino Linotype" w:eastAsia="Palatino Linotype" w:hAnsi="Palatino Linotype" w:cs="Palatino Linotype"/>
        </w:rPr>
        <w:t>para hacer del conocimiento del</w:t>
      </w:r>
      <w:r w:rsidRPr="00AF1E57">
        <w:rPr>
          <w:rFonts w:ascii="Palatino Linotype" w:eastAsia="Palatino Linotype" w:hAnsi="Palatino Linotype" w:cs="Palatino Linotype"/>
          <w:b/>
        </w:rPr>
        <w:t xml:space="preserve"> Órgano Interno de Control </w:t>
      </w:r>
      <w:r w:rsidRPr="00AF1E57">
        <w:rPr>
          <w:rFonts w:ascii="Palatino Linotype" w:eastAsia="Palatino Linotype" w:hAnsi="Palatino Linotype" w:cs="Palatino Linotype"/>
        </w:rPr>
        <w:t xml:space="preserve">competente la presente resolución, a fin de que de conformidad con el artículo 190, de la Ley de Transparencia y Acceso a la Información Pública del Estado de México y Municipios, determine lo conducente, en términos de lo señalado en el </w:t>
      </w:r>
      <w:r w:rsidRPr="00AF1E57">
        <w:rPr>
          <w:rFonts w:ascii="Palatino Linotype" w:eastAsia="Palatino Linotype" w:hAnsi="Palatino Linotype" w:cs="Palatino Linotype"/>
          <w:b/>
        </w:rPr>
        <w:t xml:space="preserve">Considerando Cuarto </w:t>
      </w:r>
      <w:r w:rsidRPr="00AF1E57">
        <w:rPr>
          <w:rFonts w:ascii="Palatino Linotype" w:eastAsia="Palatino Linotype" w:hAnsi="Palatino Linotype" w:cs="Palatino Linotype"/>
        </w:rPr>
        <w:t>de la presente Resolución.</w:t>
      </w:r>
    </w:p>
    <w:p w:rsidR="00106578" w:rsidRPr="00AF1E57" w:rsidRDefault="00106578">
      <w:pPr>
        <w:spacing w:line="360" w:lineRule="auto"/>
        <w:jc w:val="both"/>
        <w:rPr>
          <w:rFonts w:ascii="Palatino Linotype" w:eastAsia="Palatino Linotype" w:hAnsi="Palatino Linotype" w:cs="Palatino Linotype"/>
        </w:rPr>
      </w:pPr>
    </w:p>
    <w:p w:rsidR="00106578" w:rsidRPr="00AF1E57" w:rsidRDefault="00F96CE0">
      <w:pPr>
        <w:spacing w:line="360" w:lineRule="auto"/>
        <w:jc w:val="both"/>
        <w:rPr>
          <w:rFonts w:ascii="Palatino Linotype" w:eastAsia="Palatino Linotype" w:hAnsi="Palatino Linotype" w:cs="Palatino Linotype"/>
        </w:rPr>
        <w:sectPr w:rsidR="00106578" w:rsidRPr="00AF1E57">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r w:rsidRPr="00AF1E5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VEINTITRÉS DE NOVIEMBRE DE DOS MIL VEINTITRÉS, ANTE EL SECRETARIO TÉCNICO DEL PLENO ALEXIS TAPIA RAMÍREZ.                             </w:t>
      </w:r>
    </w:p>
    <w:p w:rsidR="00106578" w:rsidRPr="00AF1E57" w:rsidRDefault="00106578">
      <w:pPr>
        <w:spacing w:line="360" w:lineRule="auto"/>
        <w:jc w:val="both"/>
        <w:rPr>
          <w:rFonts w:ascii="Palatino Linotype" w:eastAsia="Palatino Linotype" w:hAnsi="Palatino Linotype" w:cs="Palatino Linotype"/>
        </w:rPr>
      </w:pPr>
    </w:p>
    <w:sectPr w:rsidR="00106578" w:rsidRPr="00AF1E57">
      <w:headerReference w:type="first" r:id="rId1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250" w:rsidRDefault="00764250">
      <w:r>
        <w:separator/>
      </w:r>
    </w:p>
  </w:endnote>
  <w:endnote w:type="continuationSeparator" w:id="0">
    <w:p w:rsidR="00764250" w:rsidRDefault="00764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578" w:rsidRDefault="00F96C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C5338">
      <w:rPr>
        <w:rFonts w:ascii="Arial" w:eastAsia="Arial" w:hAnsi="Arial" w:cs="Arial"/>
        <w:b/>
        <w:noProof/>
        <w:color w:val="000000"/>
        <w:sz w:val="20"/>
        <w:szCs w:val="20"/>
      </w:rPr>
      <w:t>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C5338">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rsidR="00106578" w:rsidRDefault="00106578">
    <w:pPr>
      <w:pBdr>
        <w:top w:val="nil"/>
        <w:left w:val="nil"/>
        <w:bottom w:val="nil"/>
        <w:right w:val="nil"/>
        <w:between w:val="nil"/>
      </w:pBdr>
      <w:tabs>
        <w:tab w:val="center" w:pos="4252"/>
        <w:tab w:val="right" w:pos="8504"/>
      </w:tabs>
      <w:rPr>
        <w:color w:val="000000"/>
      </w:rPr>
    </w:pPr>
  </w:p>
  <w:p w:rsidR="00106578" w:rsidRDefault="00106578">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578" w:rsidRDefault="00F96C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C533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C5338">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rsidR="00106578" w:rsidRDefault="0010657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250" w:rsidRDefault="00764250">
      <w:r>
        <w:separator/>
      </w:r>
    </w:p>
  </w:footnote>
  <w:footnote w:type="continuationSeparator" w:id="0">
    <w:p w:rsidR="00764250" w:rsidRDefault="00764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578" w:rsidRDefault="00F96CE0">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-781049</wp:posOffset>
          </wp:positionH>
          <wp:positionV relativeFrom="paragraph">
            <wp:posOffset>-316864</wp:posOffset>
          </wp:positionV>
          <wp:extent cx="7809876" cy="10165823"/>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528" w:type="dxa"/>
      <w:tblInd w:w="3261" w:type="dxa"/>
      <w:tblLayout w:type="fixed"/>
      <w:tblLook w:val="0400" w:firstRow="0" w:lastRow="0" w:firstColumn="0" w:lastColumn="0" w:noHBand="0" w:noVBand="1"/>
    </w:tblPr>
    <w:tblGrid>
      <w:gridCol w:w="2551"/>
      <w:gridCol w:w="2977"/>
    </w:tblGrid>
    <w:tr w:rsidR="00106578">
      <w:tc>
        <w:tcPr>
          <w:tcW w:w="2551" w:type="dxa"/>
          <w:vAlign w:val="center"/>
        </w:tcPr>
        <w:p w:rsidR="00106578" w:rsidRDefault="00F96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106578" w:rsidRDefault="00F96CE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01559/INFOEM/IP/RR/2023</w:t>
          </w:r>
        </w:p>
      </w:tc>
    </w:tr>
    <w:tr w:rsidR="00106578">
      <w:trPr>
        <w:trHeight w:val="228"/>
      </w:trPr>
      <w:tc>
        <w:tcPr>
          <w:tcW w:w="2551" w:type="dxa"/>
          <w:vAlign w:val="center"/>
        </w:tcPr>
        <w:p w:rsidR="00106578" w:rsidRDefault="00F96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tc>
      <w:tc>
        <w:tcPr>
          <w:tcW w:w="2977" w:type="dxa"/>
          <w:vAlign w:val="center"/>
        </w:tcPr>
        <w:p w:rsidR="00106578" w:rsidRDefault="00F96CE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w:t>
          </w:r>
          <w:r w:rsidR="005F4787">
            <w:rPr>
              <w:rFonts w:ascii="Palatino Linotype" w:eastAsia="Palatino Linotype" w:hAnsi="Palatino Linotype" w:cs="Palatino Linotype"/>
              <w:b/>
              <w:sz w:val="22"/>
              <w:szCs w:val="22"/>
            </w:rPr>
            <w:t>ralizado para la Prestación de l</w:t>
          </w:r>
          <w:r>
            <w:rPr>
              <w:rFonts w:ascii="Palatino Linotype" w:eastAsia="Palatino Linotype" w:hAnsi="Palatino Linotype" w:cs="Palatino Linotype"/>
              <w:b/>
              <w:sz w:val="22"/>
              <w:szCs w:val="22"/>
            </w:rPr>
            <w:t>os Servicios de Agua Potable Alcantarillado y Saneamiento del Municipio de la Paz México, OPDAPAS</w:t>
          </w:r>
        </w:p>
      </w:tc>
    </w:tr>
    <w:tr w:rsidR="00106578">
      <w:tc>
        <w:tcPr>
          <w:tcW w:w="2551" w:type="dxa"/>
          <w:vAlign w:val="center"/>
        </w:tcPr>
        <w:p w:rsidR="00106578" w:rsidRDefault="00F96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106578" w:rsidRDefault="00F96CE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06578" w:rsidRDefault="00F96CE0">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578" w:rsidRDefault="00F96CE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-798193</wp:posOffset>
          </wp:positionH>
          <wp:positionV relativeFrom="paragraph">
            <wp:posOffset>-399413</wp:posOffset>
          </wp:positionV>
          <wp:extent cx="7809876" cy="10165823"/>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106578">
      <w:tc>
        <w:tcPr>
          <w:tcW w:w="2551" w:type="dxa"/>
          <w:vAlign w:val="center"/>
        </w:tcPr>
        <w:p w:rsidR="00106578" w:rsidRDefault="00F96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106578" w:rsidRDefault="00F96CE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01559/INFOEM/IP/RR/2023 </w:t>
          </w:r>
        </w:p>
      </w:tc>
    </w:tr>
    <w:tr w:rsidR="00106578">
      <w:tc>
        <w:tcPr>
          <w:tcW w:w="2551" w:type="dxa"/>
          <w:vAlign w:val="center"/>
        </w:tcPr>
        <w:p w:rsidR="00106578" w:rsidRDefault="00F96CE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106578" w:rsidRDefault="00106578">
          <w:pPr>
            <w:ind w:right="27"/>
            <w:jc w:val="both"/>
            <w:rPr>
              <w:rFonts w:ascii="Palatino Linotype" w:eastAsia="Palatino Linotype" w:hAnsi="Palatino Linotype" w:cs="Palatino Linotype"/>
              <w:b/>
              <w:sz w:val="22"/>
              <w:szCs w:val="22"/>
            </w:rPr>
          </w:pPr>
        </w:p>
      </w:tc>
    </w:tr>
    <w:tr w:rsidR="00106578">
      <w:trPr>
        <w:trHeight w:val="228"/>
      </w:trPr>
      <w:tc>
        <w:tcPr>
          <w:tcW w:w="2551" w:type="dxa"/>
          <w:vAlign w:val="center"/>
        </w:tcPr>
        <w:p w:rsidR="00106578" w:rsidRDefault="00F96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p w:rsidR="00106578" w:rsidRDefault="00106578">
          <w:pPr>
            <w:rPr>
              <w:rFonts w:ascii="Palatino Linotype" w:eastAsia="Palatino Linotype" w:hAnsi="Palatino Linotype" w:cs="Palatino Linotype"/>
              <w:b/>
              <w:sz w:val="22"/>
              <w:szCs w:val="22"/>
            </w:rPr>
          </w:pPr>
        </w:p>
      </w:tc>
      <w:tc>
        <w:tcPr>
          <w:tcW w:w="3119" w:type="dxa"/>
          <w:vAlign w:val="center"/>
        </w:tcPr>
        <w:p w:rsidR="00106578" w:rsidRDefault="00F96CE0">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w:t>
          </w:r>
          <w:r w:rsidR="005F4787">
            <w:rPr>
              <w:rFonts w:ascii="Palatino Linotype" w:eastAsia="Palatino Linotype" w:hAnsi="Palatino Linotype" w:cs="Palatino Linotype"/>
              <w:b/>
              <w:sz w:val="22"/>
              <w:szCs w:val="22"/>
            </w:rPr>
            <w:t>ralizado para la Prestación de l</w:t>
          </w:r>
          <w:r>
            <w:rPr>
              <w:rFonts w:ascii="Palatino Linotype" w:eastAsia="Palatino Linotype" w:hAnsi="Palatino Linotype" w:cs="Palatino Linotype"/>
              <w:b/>
              <w:sz w:val="22"/>
              <w:szCs w:val="22"/>
            </w:rPr>
            <w:t>os Servicios de Agua Potable Alcantarillado y Saneamiento del Municipio de la Paz México, OPDAPAS</w:t>
          </w:r>
        </w:p>
      </w:tc>
    </w:tr>
    <w:tr w:rsidR="00106578">
      <w:tc>
        <w:tcPr>
          <w:tcW w:w="2551" w:type="dxa"/>
          <w:vAlign w:val="center"/>
        </w:tcPr>
        <w:p w:rsidR="00106578" w:rsidRDefault="00F96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106578" w:rsidRDefault="00F96CE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06578" w:rsidRDefault="0010657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578" w:rsidRDefault="00106578">
    <w:pPr>
      <w:pBdr>
        <w:top w:val="nil"/>
        <w:left w:val="nil"/>
        <w:bottom w:val="nil"/>
        <w:right w:val="nil"/>
        <w:between w:val="nil"/>
      </w:pBdr>
      <w:tabs>
        <w:tab w:val="center" w:pos="4252"/>
        <w:tab w:val="right" w:pos="8504"/>
      </w:tabs>
      <w:jc w:val="both"/>
      <w:rPr>
        <w:rFonts w:ascii="Calibri" w:eastAsia="Calibri" w:hAnsi="Calibri" w:cs="Calibri"/>
        <w:color w:val="000000"/>
      </w:rPr>
    </w:pPr>
  </w:p>
  <w:p w:rsidR="00106578" w:rsidRDefault="0010657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81BDB"/>
    <w:multiLevelType w:val="multilevel"/>
    <w:tmpl w:val="B0C02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C8D7CDC"/>
    <w:multiLevelType w:val="multilevel"/>
    <w:tmpl w:val="8F84669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7C7471E"/>
    <w:multiLevelType w:val="multilevel"/>
    <w:tmpl w:val="3372F2C6"/>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nsid w:val="4AD17844"/>
    <w:multiLevelType w:val="multilevel"/>
    <w:tmpl w:val="1C52F39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5740033"/>
    <w:multiLevelType w:val="multilevel"/>
    <w:tmpl w:val="A6F6DA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DE55B90"/>
    <w:multiLevelType w:val="multilevel"/>
    <w:tmpl w:val="F072C7E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F470EE2"/>
    <w:multiLevelType w:val="multilevel"/>
    <w:tmpl w:val="54C68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5"/>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578"/>
    <w:rsid w:val="000C5338"/>
    <w:rsid w:val="00106578"/>
    <w:rsid w:val="005F4787"/>
    <w:rsid w:val="00665102"/>
    <w:rsid w:val="00764250"/>
    <w:rsid w:val="00A74388"/>
    <w:rsid w:val="00AF1E57"/>
    <w:rsid w:val="00F96C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CAEAA-BE1D-4711-9274-B554E4241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8">
    <w:name w:val="18"/>
    <w:basedOn w:val="TableNormal1"/>
    <w:tblPr>
      <w:tblStyleRowBandSize w:val="1"/>
      <w:tblStyleColBandSize w:val="1"/>
      <w:tblCellMar>
        <w:top w:w="0" w:type="dxa"/>
        <w:left w:w="108" w:type="dxa"/>
        <w:bottom w:w="0" w:type="dxa"/>
        <w:right w:w="108" w:type="dxa"/>
      </w:tblCellMar>
    </w:tblPr>
  </w:style>
  <w:style w:type="table" w:customStyle="1" w:styleId="17">
    <w:name w:val="17"/>
    <w:basedOn w:val="TableNormal1"/>
    <w:tblPr>
      <w:tblStyleRowBandSize w:val="1"/>
      <w:tblStyleColBandSize w:val="1"/>
      <w:tblCellMar>
        <w:top w:w="0" w:type="dxa"/>
        <w:left w:w="115" w:type="dxa"/>
        <w:bottom w:w="0" w:type="dxa"/>
        <w:right w:w="115" w:type="dxa"/>
      </w:tblCellMar>
    </w:tblPr>
  </w:style>
  <w:style w:type="table" w:customStyle="1" w:styleId="16">
    <w:name w:val="16"/>
    <w:basedOn w:val="TableNormal1"/>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5">
    <w:name w:val="15"/>
    <w:basedOn w:val="TableNormal1"/>
    <w:tblPr>
      <w:tblStyleRowBandSize w:val="1"/>
      <w:tblStyleColBandSize w:val="1"/>
      <w:tblCellMar>
        <w:top w:w="0" w:type="dxa"/>
        <w:left w:w="108" w:type="dxa"/>
        <w:bottom w:w="0" w:type="dxa"/>
        <w:right w:w="108" w:type="dxa"/>
      </w:tblCellMar>
    </w:tblPr>
  </w:style>
  <w:style w:type="table" w:customStyle="1" w:styleId="14">
    <w:name w:val="14"/>
    <w:basedOn w:val="TableNormal1"/>
    <w:tblPr>
      <w:tblStyleRowBandSize w:val="1"/>
      <w:tblStyleColBandSize w:val="1"/>
      <w:tblCellMar>
        <w:top w:w="0" w:type="dxa"/>
        <w:left w:w="108" w:type="dxa"/>
        <w:bottom w:w="0" w:type="dxa"/>
        <w:right w:w="108" w:type="dxa"/>
      </w:tblCellMar>
    </w:tblPr>
  </w:style>
  <w:style w:type="table" w:customStyle="1" w:styleId="13">
    <w:name w:val="13"/>
    <w:basedOn w:val="TableNormal1"/>
    <w:tblPr>
      <w:tblStyleRowBandSize w:val="1"/>
      <w:tblStyleColBandSize w:val="1"/>
      <w:tblCellMar>
        <w:top w:w="0" w:type="dxa"/>
        <w:left w:w="108" w:type="dxa"/>
        <w:bottom w:w="0" w:type="dxa"/>
        <w:right w:w="108" w:type="dxa"/>
      </w:tblCellMar>
    </w:tblPr>
  </w:style>
  <w:style w:type="table" w:customStyle="1" w:styleId="12">
    <w:name w:val="12"/>
    <w:basedOn w:val="TableNormal1"/>
    <w:tblPr>
      <w:tblStyleRowBandSize w:val="1"/>
      <w:tblStyleColBandSize w:val="1"/>
      <w:tblCellMar>
        <w:top w:w="0" w:type="dxa"/>
        <w:left w:w="108" w:type="dxa"/>
        <w:bottom w:w="0" w:type="dxa"/>
        <w:right w:w="108" w:type="dxa"/>
      </w:tblCellMar>
    </w:tblPr>
  </w:style>
  <w:style w:type="table" w:customStyle="1" w:styleId="11">
    <w:name w:val="11"/>
    <w:basedOn w:val="TableNormal1"/>
    <w:tblPr>
      <w:tblStyleRowBandSize w:val="1"/>
      <w:tblStyleColBandSize w:val="1"/>
      <w:tblCellMar>
        <w:top w:w="0" w:type="dxa"/>
        <w:left w:w="108" w:type="dxa"/>
        <w:bottom w:w="0" w:type="dxa"/>
        <w:right w:w="108" w:type="dxa"/>
      </w:tblCellMar>
    </w:tblPr>
  </w:style>
  <w:style w:type="table" w:customStyle="1" w:styleId="10">
    <w:name w:val="10"/>
    <w:basedOn w:val="TableNormal1"/>
    <w:tblPr>
      <w:tblStyleRowBandSize w:val="1"/>
      <w:tblStyleColBandSize w:val="1"/>
      <w:tblCellMar>
        <w:top w:w="0" w:type="dxa"/>
        <w:left w:w="108" w:type="dxa"/>
        <w:bottom w:w="0" w:type="dxa"/>
        <w:right w:w="108" w:type="dxa"/>
      </w:tblCellMar>
    </w:tblPr>
  </w:style>
  <w:style w:type="table" w:customStyle="1" w:styleId="9">
    <w:name w:val="9"/>
    <w:basedOn w:val="TableNormal1"/>
    <w:tblPr>
      <w:tblStyleRowBandSize w:val="1"/>
      <w:tblStyleColBandSize w:val="1"/>
      <w:tblCellMar>
        <w:top w:w="0" w:type="dxa"/>
        <w:left w:w="108" w:type="dxa"/>
        <w:bottom w:w="0" w:type="dxa"/>
        <w:right w:w="108" w:type="dxa"/>
      </w:tblCellMar>
    </w:tblPr>
  </w:style>
  <w:style w:type="table" w:customStyle="1" w:styleId="8">
    <w:name w:val="8"/>
    <w:basedOn w:val="TableNormal1"/>
    <w:tblPr>
      <w:tblStyleRowBandSize w:val="1"/>
      <w:tblStyleColBandSize w:val="1"/>
      <w:tblCellMar>
        <w:top w:w="0" w:type="dxa"/>
        <w:left w:w="115" w:type="dxa"/>
        <w:bottom w:w="0" w:type="dxa"/>
        <w:right w:w="115" w:type="dxa"/>
      </w:tblCellMar>
    </w:tbl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2"/>
    <w:tblPr>
      <w:tblStyleRowBandSize w:val="1"/>
      <w:tblStyleColBandSize w:val="1"/>
      <w:tblCellMar>
        <w:top w:w="0" w:type="dxa"/>
        <w:left w:w="115" w:type="dxa"/>
        <w:bottom w:w="0" w:type="dxa"/>
        <w:right w:w="115" w:type="dxa"/>
      </w:tblCellMar>
    </w:tblPr>
  </w:style>
  <w:style w:type="table" w:customStyle="1" w:styleId="4">
    <w:name w:val="4"/>
    <w:basedOn w:val="TableNormal2"/>
    <w:tblPr>
      <w:tblStyleRowBandSize w:val="1"/>
      <w:tblStyleColBandSize w:val="1"/>
      <w:tblCellMar>
        <w:top w:w="0" w:type="dxa"/>
        <w:left w:w="115" w:type="dxa"/>
        <w:bottom w:w="0" w:type="dxa"/>
        <w:right w:w="115" w:type="dxa"/>
      </w:tblCellMar>
    </w:tblPr>
  </w:style>
  <w:style w:type="table" w:customStyle="1" w:styleId="3">
    <w:name w:val="3"/>
    <w:basedOn w:val="TableNormal2"/>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2">
    <w:name w:val="2"/>
    <w:basedOn w:val="TableNormal3"/>
    <w:tblPr>
      <w:tblStyleRowBandSize w:val="1"/>
      <w:tblStyleColBandSize w:val="1"/>
      <w:tblCellMar>
        <w:top w:w="0" w:type="dxa"/>
        <w:left w:w="115" w:type="dxa"/>
        <w:bottom w:w="0" w:type="dxa"/>
        <w:right w:w="115" w:type="dxa"/>
      </w:tblCellMar>
    </w:tblPr>
  </w:style>
  <w:style w:type="table" w:customStyle="1" w:styleId="1">
    <w:name w:val="1"/>
    <w:basedOn w:val="TableNormal3"/>
    <w:tblPr>
      <w:tblStyleRowBandSize w:val="1"/>
      <w:tblStyleColBandSize w:val="1"/>
      <w:tblCellMar>
        <w:top w:w="0" w:type="dxa"/>
        <w:left w:w="115" w:type="dxa"/>
        <w:bottom w:w="0"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21E62"/>
    <w:rPr>
      <w:color w:val="605E5C"/>
      <w:shd w:val="clear" w:color="auto" w:fill="E1DFDD"/>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axOg1z2jQM7pNe+X2ZPGHxva0g==">CgMxLjAyCGguZ2pkZ3hzMgloLjMwajB6bGwyDmgucXI5M2o5Mng1cTZrMgloLjFmb2I5dGUyCWguM3pueXNoNzIJaC4xN2RwOHZ1OAByITFmMGZ6NkFsSTd6WlVmcEdHaUlITlEwUEh5RTl1cHRhUA==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10453</Words>
  <Characters>57492</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INFOEM563</cp:lastModifiedBy>
  <cp:revision>2</cp:revision>
  <cp:lastPrinted>2023-11-27T16:19:00Z</cp:lastPrinted>
  <dcterms:created xsi:type="dcterms:W3CDTF">2023-12-05T19:43:00Z</dcterms:created>
  <dcterms:modified xsi:type="dcterms:W3CDTF">2023-12-05T19:43:00Z</dcterms:modified>
</cp:coreProperties>
</file>