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veintiuno de junio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17429/INFOEM/IP/RR/2022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XXXXXX XXXXXXXX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Huixquilucan,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catorce de noviembre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 la Plataforma Nacional de Transparencia, vinculada al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00683/HUIXQUIL/IP/2022,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 “Solicito de manera digital la carpeta, expediente, documentos, anexos, que formen parte del entregable que el proveedor entrego a el municipio, dentro de la licitación número AHU/LPN/24/2019, para el servicio de reparación y mantenimiento de vehículos con motores disel, solicito el costo total anual 2019 que se erogo por este contrato, relación de cada reparación que realizaron, describiendo el servicio prestado por vehículo con fecha, tipo de vehículo, marca, modelo, número de serie y numero de inventario, que forman parte del objeto del contrato en mención.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Electrónico a través del sistema de solicitudes de acceso,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por lo que, para efectos del presente asunto, se entenderá a través del Sistema de Acceso a la Información Mexiquense (SAIMEX), como se advierte a continuación:</w:t>
      </w:r>
    </w:p>
    <w:p w:rsidR="00000000" w:rsidDel="00000000" w:rsidP="00000000" w:rsidRDefault="00000000" w:rsidRPr="00000000" w14:paraId="00000007">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Pr>
        <w:drawing>
          <wp:inline distB="0" distT="0" distL="0" distR="0">
            <wp:extent cx="4860000" cy="519822"/>
            <wp:effectExtent b="0" l="0" r="0" t="0"/>
            <wp:docPr id="11322239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860000" cy="51982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Prórroga.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cinco de diciembre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solicitó prórroga mediante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argumentando lo siguiente:</w:t>
      </w:r>
      <w:r w:rsidDel="00000000" w:rsidR="00000000" w:rsidRPr="00000000">
        <w:rPr>
          <w:rtl w:val="0"/>
        </w:rPr>
      </w:r>
    </w:p>
    <w:p w:rsidR="00000000" w:rsidDel="00000000" w:rsidP="00000000" w:rsidRDefault="00000000" w:rsidRPr="00000000" w14:paraId="00000009">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A">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PETICIÒN DE DIRECCIÒN GENERAL DE ADMINISTRACIÓN MISMA QUE A LA LETRA DICE: " SE ADJUNTA OFICIO." (sic) EL COMITÈ DE TRANSPARENCIA MUNICIPAL RESOLVIO OTOTGAR UNA PRÒRROGA POR SIETE DIAS MAS PARA DAR CUNPLIMIENTO CON LO SOLICITADO...”</w:t>
      </w:r>
    </w:p>
    <w:p w:rsidR="00000000" w:rsidDel="00000000" w:rsidP="00000000" w:rsidRDefault="00000000" w:rsidRPr="00000000" w14:paraId="0000000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w:t>
      </w:r>
    </w:p>
    <w:p w:rsidR="00000000" w:rsidDel="00000000" w:rsidP="00000000" w:rsidRDefault="00000000" w:rsidRPr="00000000" w14:paraId="0000000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DGA/SPAI/3126/11/2022 de fecha treinta de noviembre de dos mil veintidós, sin rúbrica, mediante el cual se solicita al Titular de la Unidad de Transparencia someta a consideración del Comité, la ampliación del término concedido a efecto de poder dar respuesta a la solicitud de mérito en términos de lo solicitado, argumentando que del contenido de la solicitud se desprenden diversas peticiones hechas por el solicitante, mismas que recaen en la obligación de colaboración de diversas áreas administrativas que conforman al sujeto habilitado, haciendo con ello una labor ardua y extenuante, aunado a que de las actividades conferidas por la normatividad aplicable, se le suman actividades administrativas y operativas que hacen un proceso tardío, consumando con ello el término de ley para dar respuesta a las solicitudes en tiempo y forma.</w:t>
      </w:r>
    </w:p>
    <w:p w:rsidR="00000000" w:rsidDel="00000000" w:rsidP="00000000" w:rsidRDefault="00000000" w:rsidRPr="00000000" w14:paraId="0000000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Acuerdo número COMIT/47/EXT/12/2022 mediante el cual se aprueba el proyecto de ampliación de plazo por siete días para responder las solicitudes de información, registradas en el Sistema de Acceso a la Información Mexiquense (SAIMEX); presentado por el Servidor Público Habilitado de la Dirección General de Administración y Oficina de Presidencia, con fundamento en el artículo 6 fracción I de la Constitución Política de los Estados Unidos Mexicanos; artículo 5 fracción I de la Constitución Política del Estado Libre y Soberano de México; artículos 3 fracción IV, 4 primer párrafo, 49 fracción II, 163 segundo párrafo y demás relativos y aplicables de la ley de transparencia y acceso a la información pública del Estado de México y Municipios.</w:t>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quince de diciembre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F">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“…SOBRE EL PARTICULAR, ESTA UNIDAD DE TRANSPARENCIA EN EJERCICIO DE LAS ATRIBUCIONES QUE LA LEY LE CONFIERE, TURNO SU SOLICITUD DE INFORMACIÓN A LA SIGUIENTE AREA ADMINISTRATIVA: DIRECCIÓN GENERAL DE ADMINISTRACIÓN QUE DE CONFORMIDAD CON LO ESTABLECIDO EN EL REGRLAMENTO ORGANICO MUNICIPAL ES COMPETENTE PARA CONTESTAR SU SOLICITUD DE INFORMACIÓN, MISMA QUE MANIFESTO LO SIGUIENTE: DIRECCIÓN GENERAL DE ADMINISTRACIÓN: “SE ADJUNTA RESPUESTA” (SIC)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(sic)</w:t>
      </w:r>
      <w:r w:rsidDel="00000000" w:rsidR="00000000" w:rsidRPr="00000000">
        <w:rPr>
          <w:rtl w:val="0"/>
        </w:rPr>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 siguiente:</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DGA/SPAI/3224/11/2022, de fecha trece de septiembre de dos mil veintidós, signado por la Directora General de Administración, mediante el cual, en atención a la solicitud de información, por cuanto hace a las facultades conferidas en el artículo 117 y 124 establecidos en el Reglamento Orgánico Municipal, con relación al 12 de la Ley en la materia, se pone a disposición de la manera adjunta, el entregable de la licitación pública AHU/LPN/24/2019, que evidencia el servicio de reparación de vehículos con motor diésel. </w:t>
      </w:r>
    </w:p>
    <w:p w:rsidR="00000000" w:rsidDel="00000000" w:rsidP="00000000" w:rsidRDefault="00000000" w:rsidRPr="00000000" w14:paraId="0000001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Relación de 33 vehículos de la Dirección General de Servicios Públicos y Urbanos, que contiene número progresivo, número de factura, proveedor, unidad, orden de servicio, monto.</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- 33 órdenes de servicio y mantenimiento de unidades, que contienen entre otros datos, la referencia a la unidad, número económico, marca, número de inventario, placas, modelo, el nombre del taller, fecha de ingreso, y descripción del trabajo realizado.</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diecinueve de diciembre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5">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6">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es incompleta, </w:t>
      </w:r>
      <w:r w:rsidDel="00000000" w:rsidR="00000000" w:rsidRPr="00000000">
        <w:rPr>
          <w:rFonts w:ascii="Palatino Linotype" w:cs="Palatino Linotype" w:eastAsia="Palatino Linotype" w:hAnsi="Palatino Linotype"/>
          <w:b w:val="1"/>
          <w:i w:val="1"/>
          <w:sz w:val="22"/>
          <w:szCs w:val="22"/>
          <w:u w:val="single"/>
          <w:rtl w:val="0"/>
        </w:rPr>
        <w:t xml:space="preserve">solicite la relación completa de cada servicio que se presento con fecha y que vehículo</w:t>
      </w:r>
      <w:r w:rsidDel="00000000" w:rsidR="00000000" w:rsidRPr="00000000">
        <w:rPr>
          <w:rFonts w:ascii="Palatino Linotype" w:cs="Palatino Linotype" w:eastAsia="Palatino Linotype" w:hAnsi="Palatino Linotype"/>
          <w:i w:val="1"/>
          <w:sz w:val="22"/>
          <w:szCs w:val="22"/>
          <w:rtl w:val="0"/>
        </w:rPr>
        <w:t xml:space="preserve">, lo cual se encuentra en su informe correspondiente para evitar simulaciones, es documentos que deben de ser públicos” (sic)</w:t>
      </w:r>
    </w:p>
    <w:p w:rsidR="00000000" w:rsidDel="00000000" w:rsidP="00000000" w:rsidRDefault="00000000" w:rsidRPr="00000000" w14:paraId="00000017">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8">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No se advierten manifestaciones de la parte </w:t>
      </w:r>
      <w:r w:rsidDel="00000000" w:rsidR="00000000" w:rsidRPr="00000000">
        <w:rPr>
          <w:rFonts w:ascii="Palatino Linotype" w:cs="Palatino Linotype" w:eastAsia="Palatino Linotype" w:hAnsi="Palatino Linotype"/>
          <w:b w:val="1"/>
          <w:rtl w:val="0"/>
        </w:rPr>
        <w:t xml:space="preserve">Recurrente.</w:t>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el archivo “</w:t>
      </w:r>
      <w:r w:rsidDel="00000000" w:rsidR="00000000" w:rsidRPr="00000000">
        <w:rPr>
          <w:rFonts w:ascii="Palatino Linotype" w:cs="Palatino Linotype" w:eastAsia="Palatino Linotype" w:hAnsi="Palatino Linotype"/>
          <w:i w:val="1"/>
          <w:rtl w:val="0"/>
        </w:rPr>
        <w:t xml:space="preserve">Archivo1671408283379null</w:t>
      </w:r>
      <w:r w:rsidDel="00000000" w:rsidR="00000000" w:rsidRPr="00000000">
        <w:rPr>
          <w:rFonts w:ascii="Palatino Linotype" w:cs="Palatino Linotype" w:eastAsia="Palatino Linotype" w:hAnsi="Palatino Linotype"/>
          <w:rtl w:val="0"/>
        </w:rPr>
        <w:t xml:space="preserve">” documento al que no es posible acceder.</w:t>
      </w:r>
    </w:p>
    <w:p w:rsidR="00000000" w:rsidDel="00000000" w:rsidP="00000000" w:rsidRDefault="00000000" w:rsidRPr="00000000" w14:paraId="0000001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veintiuno de diciembre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7.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diecinueve de enero de dos mil veintitrés,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su informe justificado, mediante el cual, en atención a los motivos de inconformidad aducidos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el Titular de la Unidad de Transparencia remitió el oficio número DGA/SPAI/0125/01/2023, emitido por la Dirección General de Administración.</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DGA/SPAI/0125/01/2023, de fecha dieciséis de enero de dos mil veintitrés, signado por la Directora General de Administración, mediante el cual reitera que en cumplimiento a sus funciones y atribuciones, tuvo a bien poner a disposición el entregable que evidencia la realización de los trabajos pactados en la licitación pública AHU/LPN/24/2019, entregables que contienen toda y cada una de la información exigida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como se puede apreciar en el documento que se adjuntó en la respuesta primigenia.</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los mismos se hicieron del conocimiento de la persona solicitante con la finalidad de que manifestara lo que a su derecho estimara conveniente, siendo omisa en ejercer dicha prerrogativa.</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veintinueve de mayo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6">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7">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8">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9">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E">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F">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quince de junio de dos mil veintitrés,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quince de diciembre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diecinueve de diciembre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esto es al segundo día hábil en que tuvo conocimiento de la respuesta impugnada.</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completo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3D">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E">
      <w:pPr>
        <w:tabs>
          <w:tab w:val="left" w:leader="none" w:pos="7936"/>
        </w:tabs>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3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La entrega de información incompleta;”</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en respuesta y en informe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041">
      <w:pPr>
        <w:spacing w:after="240" w:before="240" w:line="360" w:lineRule="auto"/>
        <w:ind w:right="51"/>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42">
      <w:pPr>
        <w:spacing w:after="240" w:before="240"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De manera digital la carpeta, expediente, documentos, anexos, que formen parte del entregable que el proveedor entregó a el municipio, dentro de la licitación número AHU/LPN/24/2019, para el servicio de reparación y mantenimiento de vehículos con motores diésel.</w:t>
      </w:r>
    </w:p>
    <w:p w:rsidR="00000000" w:rsidDel="00000000" w:rsidP="00000000" w:rsidRDefault="00000000" w:rsidRPr="00000000" w14:paraId="00000043">
      <w:pPr>
        <w:spacing w:after="240" w:before="240"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Costo total anual 2019 que se erogó por este contrato. </w:t>
      </w:r>
    </w:p>
    <w:p w:rsidR="00000000" w:rsidDel="00000000" w:rsidP="00000000" w:rsidRDefault="00000000" w:rsidRPr="00000000" w14:paraId="00000044">
      <w:pPr>
        <w:spacing w:after="240" w:before="240"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Relación de cada reparación que realizaron, describiendo el servicio prestado por vehículo con fecha, tipo de vehículo, marca, modelo, número de serie y número de inventario, que forman parte del objeto del contrato en mención.</w:t>
      </w:r>
    </w:p>
    <w:p w:rsidR="00000000" w:rsidDel="00000000" w:rsidP="00000000" w:rsidRDefault="00000000" w:rsidRPr="00000000" w14:paraId="0000004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remitió el pronunciamiento emitido por la Directora General de Administración, quien en atención a la solicitud de información, remitió el entregable de la licitación pública AHU/LPN/24/2019, que evidencia el servicio de reparación de vehículos con motor diésel, consistente en lo siguiente:</w:t>
      </w:r>
    </w:p>
    <w:p w:rsidR="00000000" w:rsidDel="00000000" w:rsidP="00000000" w:rsidRDefault="00000000" w:rsidRPr="00000000" w14:paraId="0000004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Relación de 33 vehículos de la Dirección General de Servicios Públicos y Urbanos, que contiene número progresivo, número de factura, proveedor, unidad, orden de servicio, monto.</w:t>
      </w:r>
    </w:p>
    <w:p w:rsidR="00000000" w:rsidDel="00000000" w:rsidP="00000000" w:rsidRDefault="00000000" w:rsidRPr="00000000" w14:paraId="0000004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- 33 órdenes de servicio y mantenimiento de unidades, que contienen entre otros datos, la referencia a la unidad, número económico, marca, número de inventario, placas, modelo, el nombre del taller, fecha de ingreso, y descripción del trabajo realizado, como se observa a continuación:</w:t>
      </w:r>
    </w:p>
    <w:p w:rsidR="00000000" w:rsidDel="00000000" w:rsidP="00000000" w:rsidRDefault="00000000" w:rsidRPr="00000000" w14:paraId="00000048">
      <w:pPr>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449600" cy="7416000"/>
            <wp:effectExtent b="0" l="0" r="0" t="0"/>
            <wp:docPr id="11322239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449600" cy="7416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otorgada a su solicitud, la persona solicitante interpuso el recurso de revisión que ahora nos ocupa, en el que señaló como acto impugnado que la respuesta se proporcionó incompleta, al haberse solicitado la relación completa de cada servicio que se presentó con fecha y qué vehículo, señalando que dicha información se encuentra en el informe correspondiente.  </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no pasa inadvertido para este Organismo Garante que los motivos de inconformidad aducidos, no versan sobre la totalidad de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pues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manifestó, de manera expresa, que no se le proporcionó la relación de los servicios prestados, que contenga la fecha y el vehículo.</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satisface la solicitud presentada.</w:t>
      </w:r>
    </w:p>
    <w:p w:rsidR="00000000" w:rsidDel="00000000" w:rsidP="00000000" w:rsidRDefault="00000000" w:rsidRPr="00000000" w14:paraId="0000004C">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Recurrente impugna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4D">
      <w:pPr>
        <w:spacing w:after="36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bookmarkStart w:colFirst="0" w:colLast="0" w:name="_heading=h.44sinio" w:id="7"/>
      <w:bookmarkEnd w:id="7"/>
      <w:r w:rsidDel="00000000" w:rsidR="00000000" w:rsidRPr="00000000">
        <w:rPr>
          <w:rFonts w:ascii="Palatino Linotype" w:cs="Palatino Linotype" w:eastAsia="Palatino Linotype" w:hAnsi="Palatino Linotype"/>
          <w:rtl w:val="0"/>
        </w:rPr>
        <w:t xml:space="preserve">Consecuentemente, se insiste, ante la falta de impugnación eficaz, la respuesta entregada debe declararse consentida por persona solicitante.</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52">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5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 el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5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Directora General de Administración reiteró que en cumplimiento a sus funciones y atribuciones, tuvo a bien poner a disposición el entregable que evidencia la realización de los trabajos pactados en la licitación pública AHU/LPN/24/2019, entregables que contienen toda y cada una de la información exigida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como se puede apreciar en el documento que se adjuntó en la respuesta primigenia.</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5C">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5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9">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A">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6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en observancia de lo previsto en los artículos 53</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fracciones II y IV y  162</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 la Ley de la Materia, la Unidad de Transparencia turnó la solicitud de información a la Dirección General de Administración, al ser la unidad administrativa encargada de administrar, comprobar y controlar los recursos humanos, materiales y técnicos que sean necesarios para el desarrollo del funcionamiento de las distintas Unidades Administrativas y Unidades Administrativas Responsables que conforman la administración, considerando la capacidad financiera, así como el Plan de Desarrollo Municipal, de conformidad con el artículo 110 del Reglamento Orgánico de la Administración Pública Municipal de Huixquilucan, cuya servidora pública omitió pronunciarse de manera concreta sobre la existencia o inexistencia de una relación que contenga la información solicitada, sin embargo, en la etapa de manifestaciones refirió que había puesto a disposición el entregable que evidenciaba la realización de los trabajos pactados en la licitación AHU/LPN/24/2019, mismos que contienen toda la información requerida por la persona solicitante.</w:t>
      </w:r>
    </w:p>
    <w:p w:rsidR="00000000" w:rsidDel="00000000" w:rsidP="00000000" w:rsidRDefault="00000000" w:rsidRPr="00000000" w14:paraId="0000006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mencionar, que, del análisis efectuado en las órdenes de servicio y mantenimiento de unidades, remitidas por el Sujeto </w:t>
      </w:r>
      <w:r w:rsidDel="00000000" w:rsidR="00000000" w:rsidRPr="00000000">
        <w:rPr>
          <w:rFonts w:ascii="Palatino Linotype" w:cs="Palatino Linotype" w:eastAsia="Palatino Linotype" w:hAnsi="Palatino Linotype"/>
          <w:b w:val="1"/>
          <w:rtl w:val="0"/>
        </w:rPr>
        <w:t xml:space="preserve">Obligado</w:t>
      </w:r>
      <w:r w:rsidDel="00000000" w:rsidR="00000000" w:rsidRPr="00000000">
        <w:rPr>
          <w:rFonts w:ascii="Palatino Linotype" w:cs="Palatino Linotype" w:eastAsia="Palatino Linotype" w:hAnsi="Palatino Linotype"/>
          <w:rtl w:val="0"/>
        </w:rPr>
        <w:t xml:space="preserve">, se advirtió que estas contienen los datos de los vehículos que fueron reparados, tales como la referencia a la unidad, número económico, marca, número de inventario y modelo, así como la fecha de ingreso al taller y la descripción del trabajo, información que resulta coincidente con lo solicitado en el punto combatido.</w:t>
      </w:r>
    </w:p>
    <w:p w:rsidR="00000000" w:rsidDel="00000000" w:rsidP="00000000" w:rsidRDefault="00000000" w:rsidRPr="00000000" w14:paraId="0000006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es de recordar la obligación de transparencia implica únicamente que los Sujetos Obligados hagan entrega de aquella información que se les requiera y que obre en sus archivos, en el estado en el que esta se encuentre, tal y como se desprende de los preceptos normativos en líneas anteriores, es decir, la normativa no les obliga a generar información, practicar investigaciones, hacer cálculos y/o resumirla, para entregarla conforme al interés de las personas solicitantes, por lo que en el presente caso, en estricto sentido, puede entenderse que con el soporte documental remitido el Sujeto Obligado atendió el requerimiento de información al no tener la obligación de generar documentos ad hoc, y haber proporcionado los documentos que obran en sus archivos en los que obra a información que es del interés de la persona solicitante, tal y como los administra.</w:t>
      </w:r>
    </w:p>
    <w:p w:rsidR="00000000" w:rsidDel="00000000" w:rsidP="00000000" w:rsidRDefault="00000000" w:rsidRPr="00000000" w14:paraId="0000006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estima así en virtud de si bien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entregó una relación de 33 vehículos, que no contiene la totalidad de los datos señalados por la persona solicitante, también proporcionó 33 órdenes de servicio que complementan la relación proporcionada, al contener los datos del vehículo reparado, la fecha de la reparación, y la descripción de la reparación, siendo posible hacer el cruce de información entre ambos documentos a través del número de orden, el número de factura, o el número económico de la unidad, como se muestra en seguida a manera de ejemplo:</w:t>
      </w:r>
    </w:p>
    <w:p w:rsidR="00000000" w:rsidDel="00000000" w:rsidP="00000000" w:rsidRDefault="00000000" w:rsidRPr="00000000" w14:paraId="0000006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514350"/>
            <wp:effectExtent b="0" l="0" r="0" t="0"/>
            <wp:docPr id="113222391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10225" cy="5143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127000</wp:posOffset>
                </wp:positionV>
                <wp:extent cx="320675" cy="168275"/>
                <wp:effectExtent b="0" l="0" r="0" t="0"/>
                <wp:wrapNone/>
                <wp:docPr id="1132223908" name=""/>
                <a:graphic>
                  <a:graphicData uri="http://schemas.microsoft.com/office/word/2010/wordprocessingShape">
                    <wps:wsp>
                      <wps:cNvCnPr/>
                      <wps:spPr>
                        <a:xfrm flipH="1">
                          <a:off x="5198363" y="3708563"/>
                          <a:ext cx="295275" cy="142875"/>
                        </a:xfrm>
                        <a:prstGeom prst="straightConnector1">
                          <a:avLst/>
                        </a:prstGeom>
                        <a:noFill/>
                        <a:ln cap="flat" cmpd="sng" w="254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127000</wp:posOffset>
                </wp:positionV>
                <wp:extent cx="320675" cy="168275"/>
                <wp:effectExtent b="0" l="0" r="0" t="0"/>
                <wp:wrapNone/>
                <wp:docPr id="1132223908"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32067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127000</wp:posOffset>
                </wp:positionV>
                <wp:extent cx="254000" cy="168275"/>
                <wp:effectExtent b="0" l="0" r="0" t="0"/>
                <wp:wrapNone/>
                <wp:docPr id="1132223900" name=""/>
                <a:graphic>
                  <a:graphicData uri="http://schemas.microsoft.com/office/word/2010/wordprocessingShape">
                    <wps:wsp>
                      <wps:cNvCnPr/>
                      <wps:spPr>
                        <a:xfrm flipH="1">
                          <a:off x="5231700" y="3708563"/>
                          <a:ext cx="228600" cy="142875"/>
                        </a:xfrm>
                        <a:prstGeom prst="straightConnector1">
                          <a:avLst/>
                        </a:prstGeom>
                        <a:noFill/>
                        <a:ln cap="flat" cmpd="sng" w="254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127000</wp:posOffset>
                </wp:positionV>
                <wp:extent cx="254000" cy="168275"/>
                <wp:effectExtent b="0" l="0" r="0" t="0"/>
                <wp:wrapNone/>
                <wp:docPr id="1132223900"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54000"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44475" cy="187325"/>
                <wp:effectExtent b="0" l="0" r="0" t="0"/>
                <wp:wrapNone/>
                <wp:docPr id="1132223906" name=""/>
                <a:graphic>
                  <a:graphicData uri="http://schemas.microsoft.com/office/word/2010/wordprocessingShape">
                    <wps:wsp>
                      <wps:cNvCnPr/>
                      <wps:spPr>
                        <a:xfrm>
                          <a:off x="5236463" y="3699038"/>
                          <a:ext cx="219075" cy="161925"/>
                        </a:xfrm>
                        <a:prstGeom prst="straightConnector1">
                          <a:avLst/>
                        </a:prstGeom>
                        <a:noFill/>
                        <a:ln cap="flat" cmpd="sng" w="254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44475" cy="187325"/>
                <wp:effectExtent b="0" l="0" r="0" t="0"/>
                <wp:wrapNone/>
                <wp:docPr id="1132223906"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244475" cy="187325"/>
                        </a:xfrm>
                        <a:prstGeom prst="rect"/>
                        <a:ln/>
                      </pic:spPr>
                    </pic:pic>
                  </a:graphicData>
                </a:graphic>
              </wp:anchor>
            </w:drawing>
          </mc:Fallback>
        </mc:AlternateContent>
      </w:r>
    </w:p>
    <w:p w:rsidR="00000000" w:rsidDel="00000000" w:rsidP="00000000" w:rsidRDefault="00000000" w:rsidRPr="00000000" w14:paraId="00000070">
      <w:pPr>
        <w:spacing w:after="240"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72075" cy="4886325"/>
            <wp:effectExtent b="0" l="0" r="0" t="0"/>
            <wp:docPr id="113222391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172075" cy="4886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723900</wp:posOffset>
                </wp:positionV>
                <wp:extent cx="254000" cy="168275"/>
                <wp:effectExtent b="0" l="0" r="0" t="0"/>
                <wp:wrapNone/>
                <wp:docPr id="1132223898" name=""/>
                <a:graphic>
                  <a:graphicData uri="http://schemas.microsoft.com/office/word/2010/wordprocessingShape">
                    <wps:wsp>
                      <wps:cNvCnPr/>
                      <wps:spPr>
                        <a:xfrm flipH="1">
                          <a:off x="5231700" y="3708563"/>
                          <a:ext cx="228600" cy="142875"/>
                        </a:xfrm>
                        <a:prstGeom prst="straightConnector1">
                          <a:avLst/>
                        </a:prstGeom>
                        <a:noFill/>
                        <a:ln cap="flat" cmpd="sng" w="254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723900</wp:posOffset>
                </wp:positionV>
                <wp:extent cx="254000" cy="168275"/>
                <wp:effectExtent b="0" l="0" r="0" t="0"/>
                <wp:wrapNone/>
                <wp:docPr id="1132223898"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54000"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1511300</wp:posOffset>
                </wp:positionV>
                <wp:extent cx="187325" cy="71119"/>
                <wp:effectExtent b="0" l="0" r="0" t="0"/>
                <wp:wrapNone/>
                <wp:docPr id="1132223905" name=""/>
                <a:graphic>
                  <a:graphicData uri="http://schemas.microsoft.com/office/word/2010/wordprocessingShape">
                    <wps:wsp>
                      <wps:cNvCnPr/>
                      <wps:spPr>
                        <a:xfrm flipH="1">
                          <a:off x="5265038" y="3757141"/>
                          <a:ext cx="161925" cy="45719"/>
                        </a:xfrm>
                        <a:prstGeom prst="straightConnector1">
                          <a:avLst/>
                        </a:prstGeom>
                        <a:noFill/>
                        <a:ln cap="flat" cmpd="sng" w="254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1511300</wp:posOffset>
                </wp:positionV>
                <wp:extent cx="187325" cy="71119"/>
                <wp:effectExtent b="0" l="0" r="0" t="0"/>
                <wp:wrapNone/>
                <wp:docPr id="1132223905"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87325" cy="711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5334000</wp:posOffset>
                </wp:positionH>
                <wp:positionV relativeFrom="paragraph">
                  <wp:posOffset>2108200</wp:posOffset>
                </wp:positionV>
                <wp:extent cx="139700" cy="892175"/>
                <wp:effectExtent b="0" l="0" r="0" t="0"/>
                <wp:wrapNone/>
                <wp:docPr id="1132223899" name=""/>
                <a:graphic>
                  <a:graphicData uri="http://schemas.microsoft.com/office/word/2010/wordprocessingShape">
                    <wps:wsp>
                      <wps:cNvSpPr/>
                      <wps:cNvPr id="4" name="Shape 4"/>
                      <wps:spPr>
                        <a:xfrm>
                          <a:off x="5288850" y="3346613"/>
                          <a:ext cx="114300" cy="866775"/>
                        </a:xfrm>
                        <a:prstGeom prst="rightBrace">
                          <a:avLst>
                            <a:gd fmla="val 8333" name="adj1"/>
                            <a:gd fmla="val 50000" name="adj2"/>
                          </a:avLst>
                        </a:prstGeom>
                        <a:no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5334000</wp:posOffset>
                </wp:positionH>
                <wp:positionV relativeFrom="paragraph">
                  <wp:posOffset>2108200</wp:posOffset>
                </wp:positionV>
                <wp:extent cx="139700" cy="892175"/>
                <wp:effectExtent b="0" l="0" r="0" t="0"/>
                <wp:wrapNone/>
                <wp:docPr id="1132223899"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139700" cy="892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990600</wp:posOffset>
                </wp:positionV>
                <wp:extent cx="158750" cy="892175"/>
                <wp:effectExtent b="0" l="0" r="0" t="0"/>
                <wp:wrapNone/>
                <wp:docPr id="1132223897" name=""/>
                <a:graphic>
                  <a:graphicData uri="http://schemas.microsoft.com/office/word/2010/wordprocessingShape">
                    <wps:wsp>
                      <wps:cNvSpPr/>
                      <wps:cNvPr id="2" name="Shape 2"/>
                      <wps:spPr>
                        <a:xfrm flipH="1">
                          <a:off x="5279325" y="3346613"/>
                          <a:ext cx="133350" cy="866775"/>
                        </a:xfrm>
                        <a:prstGeom prst="rightBrace">
                          <a:avLst>
                            <a:gd fmla="val 8333" name="adj1"/>
                            <a:gd fmla="val 50000" name="adj2"/>
                          </a:avLst>
                        </a:prstGeom>
                        <a:no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990600</wp:posOffset>
                </wp:positionV>
                <wp:extent cx="158750" cy="892175"/>
                <wp:effectExtent b="0" l="0" r="0" t="0"/>
                <wp:wrapNone/>
                <wp:docPr id="1132223897"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158750" cy="892175"/>
                        </a:xfrm>
                        <a:prstGeom prst="rect"/>
                        <a:ln/>
                      </pic:spPr>
                    </pic:pic>
                  </a:graphicData>
                </a:graphic>
              </wp:anchor>
            </w:drawing>
          </mc:Fallback>
        </mc:AlternateContent>
      </w:r>
    </w:p>
    <w:p w:rsidR="00000000" w:rsidDel="00000000" w:rsidP="00000000" w:rsidRDefault="00000000" w:rsidRPr="00000000" w14:paraId="00000072">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2976413"/>
            <wp:effectExtent b="0" l="0" r="0" t="0"/>
            <wp:docPr id="1132223914"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860000" cy="29764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901700</wp:posOffset>
                </wp:positionV>
                <wp:extent cx="139700" cy="892175"/>
                <wp:effectExtent b="0" l="0" r="0" t="0"/>
                <wp:wrapNone/>
                <wp:docPr id="1132223901" name=""/>
                <a:graphic>
                  <a:graphicData uri="http://schemas.microsoft.com/office/word/2010/wordprocessingShape">
                    <wps:wsp>
                      <wps:cNvSpPr/>
                      <wps:cNvPr id="6" name="Shape 6"/>
                      <wps:spPr>
                        <a:xfrm>
                          <a:off x="5288850" y="3346613"/>
                          <a:ext cx="114300" cy="866775"/>
                        </a:xfrm>
                        <a:prstGeom prst="rightBrace">
                          <a:avLst>
                            <a:gd fmla="val 8333" name="adj1"/>
                            <a:gd fmla="val 50000" name="adj2"/>
                          </a:avLst>
                        </a:prstGeom>
                        <a:no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901700</wp:posOffset>
                </wp:positionV>
                <wp:extent cx="139700" cy="892175"/>
                <wp:effectExtent b="0" l="0" r="0" t="0"/>
                <wp:wrapNone/>
                <wp:docPr id="1132223901"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139700" cy="892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139700</wp:posOffset>
                </wp:positionV>
                <wp:extent cx="282575" cy="89535"/>
                <wp:effectExtent b="0" l="0" r="0" t="0"/>
                <wp:wrapNone/>
                <wp:docPr id="1132223903" name=""/>
                <a:graphic>
                  <a:graphicData uri="http://schemas.microsoft.com/office/word/2010/wordprocessingShape">
                    <wps:wsp>
                      <wps:cNvCnPr/>
                      <wps:spPr>
                        <a:xfrm flipH="1">
                          <a:off x="5217413" y="3747933"/>
                          <a:ext cx="257175" cy="64135"/>
                        </a:xfrm>
                        <a:prstGeom prst="straightConnector1">
                          <a:avLst/>
                        </a:prstGeom>
                        <a:noFill/>
                        <a:ln cap="flat" cmpd="sng" w="25400">
                          <a:solidFill>
                            <a:srgbClr val="00B05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139700</wp:posOffset>
                </wp:positionV>
                <wp:extent cx="282575" cy="89535"/>
                <wp:effectExtent b="0" l="0" r="0" t="0"/>
                <wp:wrapNone/>
                <wp:docPr id="1132223903"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282575" cy="895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2692400</wp:posOffset>
                </wp:positionV>
                <wp:extent cx="282575" cy="89535"/>
                <wp:effectExtent b="0" l="0" r="0" t="0"/>
                <wp:wrapNone/>
                <wp:docPr id="1132223907" name=""/>
                <a:graphic>
                  <a:graphicData uri="http://schemas.microsoft.com/office/word/2010/wordprocessingShape">
                    <wps:wsp>
                      <wps:cNvCnPr/>
                      <wps:spPr>
                        <a:xfrm flipH="1">
                          <a:off x="5217413" y="3747933"/>
                          <a:ext cx="257175" cy="64135"/>
                        </a:xfrm>
                        <a:prstGeom prst="straightConnector1">
                          <a:avLst/>
                        </a:prstGeom>
                        <a:noFill/>
                        <a:ln cap="flat" cmpd="sng" w="25400">
                          <a:solidFill>
                            <a:srgbClr val="00B05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2692400</wp:posOffset>
                </wp:positionV>
                <wp:extent cx="282575" cy="89535"/>
                <wp:effectExtent b="0" l="0" r="0" t="0"/>
                <wp:wrapNone/>
                <wp:docPr id="1132223907"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282575" cy="895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2019300</wp:posOffset>
                </wp:positionV>
                <wp:extent cx="187325" cy="71119"/>
                <wp:effectExtent b="0" l="0" r="0" t="0"/>
                <wp:wrapNone/>
                <wp:docPr id="1132223902" name=""/>
                <a:graphic>
                  <a:graphicData uri="http://schemas.microsoft.com/office/word/2010/wordprocessingShape">
                    <wps:wsp>
                      <wps:cNvCnPr/>
                      <wps:spPr>
                        <a:xfrm flipH="1">
                          <a:off x="5265038" y="3757141"/>
                          <a:ext cx="161925" cy="45719"/>
                        </a:xfrm>
                        <a:prstGeom prst="straightConnector1">
                          <a:avLst/>
                        </a:prstGeom>
                        <a:noFill/>
                        <a:ln cap="flat" cmpd="sng" w="254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2019300</wp:posOffset>
                </wp:positionV>
                <wp:extent cx="187325" cy="71119"/>
                <wp:effectExtent b="0" l="0" r="0" t="0"/>
                <wp:wrapNone/>
                <wp:docPr id="1132223902"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187325" cy="711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2501900</wp:posOffset>
                </wp:positionV>
                <wp:extent cx="282575" cy="89535"/>
                <wp:effectExtent b="0" l="0" r="0" t="0"/>
                <wp:wrapNone/>
                <wp:docPr id="1132223904" name=""/>
                <a:graphic>
                  <a:graphicData uri="http://schemas.microsoft.com/office/word/2010/wordprocessingShape">
                    <wps:wsp>
                      <wps:cNvCnPr/>
                      <wps:spPr>
                        <a:xfrm flipH="1">
                          <a:off x="5217413" y="3747933"/>
                          <a:ext cx="257175" cy="64135"/>
                        </a:xfrm>
                        <a:prstGeom prst="straightConnector1">
                          <a:avLst/>
                        </a:prstGeom>
                        <a:noFill/>
                        <a:ln cap="flat" cmpd="sng" w="25400">
                          <a:solidFill>
                            <a:srgbClr val="00B05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2501900</wp:posOffset>
                </wp:positionV>
                <wp:extent cx="282575" cy="89535"/>
                <wp:effectExtent b="0" l="0" r="0" t="0"/>
                <wp:wrapNone/>
                <wp:docPr id="1132223904"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282575" cy="89535"/>
                        </a:xfrm>
                        <a:prstGeom prst="rect"/>
                        <a:ln/>
                      </pic:spPr>
                    </pic:pic>
                  </a:graphicData>
                </a:graphic>
              </wp:anchor>
            </w:drawing>
          </mc:Fallback>
        </mc:AlternateConten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Dirección General de Administración, como área competente para generar, administrar o poseer la información de mérito, proporcionó los documentos que dan cuenta de lo solicitado, se estima que el derecho de acceso de la persona solicitante ha quedado satisfecho, este Organismo Garante no está facultado para manifestarse sobre la veracidad de lo expresado por parte de este, pues no existe precepto legal alguno en la Ley de la materia que lo faculte para ello.</w:t>
      </w:r>
    </w:p>
    <w:p w:rsidR="00000000" w:rsidDel="00000000" w:rsidP="00000000" w:rsidRDefault="00000000" w:rsidRPr="00000000" w14:paraId="00000074">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000000" w:rsidDel="00000000" w:rsidP="00000000" w:rsidRDefault="00000000" w:rsidRPr="00000000" w14:paraId="00000075">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7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infundados, siendo procedente </w:t>
      </w:r>
      <w:r w:rsidDel="00000000" w:rsidR="00000000" w:rsidRPr="00000000">
        <w:rPr>
          <w:rFonts w:ascii="Palatino Linotype" w:cs="Palatino Linotype" w:eastAsia="Palatino Linotype" w:hAnsi="Palatino Linotype"/>
          <w:i w:val="1"/>
          <w:rtl w:val="0"/>
        </w:rPr>
        <w:t xml:space="preserve">Confirmar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 de la Ley de Transparencia y Acceso a la Información Pública del Estado de México y Municipios.</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bookmarkStart w:colFirst="0" w:colLast="0" w:name="_heading=h.lnxbz9" w:id="8"/>
      <w:bookmarkEnd w:id="8"/>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17429/INFOEM/IP/RR/2022</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 la presente resolución.</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bookmarkStart w:colFirst="0" w:colLast="0" w:name="_heading=h.4d34og8" w:id="9"/>
      <w:bookmarkEnd w:id="9"/>
      <w:r w:rsidDel="00000000" w:rsidR="00000000" w:rsidRPr="00000000">
        <w:rPr>
          <w:rFonts w:ascii="Palatino Linotype" w:cs="Palatino Linotype" w:eastAsia="Palatino Linotype" w:hAnsi="Palatino Linotype"/>
          <w:b w:val="1"/>
          <w:rtl w:val="0"/>
        </w:rPr>
        <w:t xml:space="preserve"> Tercero.  Notifíquese,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7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w:t>
      </w:r>
    </w:p>
    <w:p w:rsidR="00000000" w:rsidDel="00000000" w:rsidP="00000000" w:rsidRDefault="00000000" w:rsidRPr="00000000" w14:paraId="0000007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line="360" w:lineRule="auto"/>
        <w:jc w:val="both"/>
        <w:rPr>
          <w:rFonts w:ascii="Palatino Linotype" w:cs="Palatino Linotype" w:eastAsia="Palatino Linotype" w:hAnsi="Palatino Linotype"/>
        </w:rPr>
      </w:pPr>
      <w:bookmarkStart w:colFirst="0" w:colLast="0" w:name="_heading=h.3rdcrjn" w:id="10"/>
      <w:bookmarkEnd w:id="10"/>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bookmarkStart w:colFirst="0" w:colLast="0" w:name="_heading=h.1t3h5sf" w:id="11"/>
      <w:bookmarkEnd w:id="11"/>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25" w:type="default"/>
      <w:headerReference r:id="rId26" w:type="first"/>
      <w:footerReference r:id="rId27" w:type="default"/>
      <w:footerReference r:id="rId2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Recibir, tramitar y dar respuesta a las solicitudes de acceso a la información;</w:t>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IV. Realizar, con efectividad, los trámites internos necesarios para la atención de las solicitudes de acceso a la información;</w:t>
      </w:r>
    </w:p>
  </w:footnote>
  <w:footnote w:id="2">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-1080121</wp:posOffset>
          </wp:positionH>
          <wp:positionV relativeFrom="paragraph">
            <wp:posOffset>-262864</wp:posOffset>
          </wp:positionV>
          <wp:extent cx="7809865" cy="10165715"/>
          <wp:effectExtent b="0" l="0" r="0" t="0"/>
          <wp:wrapNone/>
          <wp:docPr id="11322239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9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9F">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17429/INFOEM/IP/RR/2022</w:t>
          </w:r>
        </w:p>
      </w:tc>
    </w:tr>
    <w:tr>
      <w:trPr>
        <w:cantSplit w:val="0"/>
        <w:trHeight w:val="130" w:hRule="atLeast"/>
        <w:tblHeader w:val="0"/>
      </w:trPr>
      <w:tc>
        <w:tcPr>
          <w:shd w:fill="auto" w:val="clear"/>
          <w:vAlign w:val="center"/>
        </w:tcPr>
        <w:p w:rsidR="00000000" w:rsidDel="00000000" w:rsidP="00000000" w:rsidRDefault="00000000" w:rsidRPr="00000000" w14:paraId="000000A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A1">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XXXXXXXX</w:t>
          </w:r>
        </w:p>
      </w:tc>
    </w:tr>
    <w:tr>
      <w:trPr>
        <w:cantSplit w:val="0"/>
        <w:trHeight w:val="228" w:hRule="atLeast"/>
        <w:tblHeader w:val="0"/>
      </w:trPr>
      <w:tc>
        <w:tcPr>
          <w:shd w:fill="auto" w:val="clear"/>
          <w:vAlign w:val="center"/>
        </w:tcPr>
        <w:p w:rsidR="00000000" w:rsidDel="00000000" w:rsidP="00000000" w:rsidRDefault="00000000" w:rsidRPr="00000000" w14:paraId="000000A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A3">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Huixquilucan</w:t>
          </w:r>
        </w:p>
      </w:tc>
    </w:tr>
    <w:tr>
      <w:trPr>
        <w:cantSplit w:val="0"/>
        <w:tblHeader w:val="0"/>
      </w:trPr>
      <w:tc>
        <w:tcPr>
          <w:shd w:fill="auto" w:val="clear"/>
          <w:vAlign w:val="center"/>
        </w:tcPr>
        <w:p w:rsidR="00000000" w:rsidDel="00000000" w:rsidP="00000000" w:rsidRDefault="00000000" w:rsidRPr="00000000" w14:paraId="000000A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A5">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-1080115</wp:posOffset>
          </wp:positionH>
          <wp:positionV relativeFrom="paragraph">
            <wp:posOffset>-488292</wp:posOffset>
          </wp:positionV>
          <wp:extent cx="7809865" cy="10165715"/>
          <wp:effectExtent b="0" l="0" r="0" t="0"/>
          <wp:wrapNone/>
          <wp:docPr id="113222390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A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AA">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17429/INFOEM/IP/RR/2022</w:t>
          </w:r>
        </w:p>
      </w:tc>
    </w:tr>
    <w:tr>
      <w:trPr>
        <w:cantSplit w:val="0"/>
        <w:trHeight w:val="228" w:hRule="atLeast"/>
        <w:tblHeader w:val="0"/>
      </w:trPr>
      <w:tc>
        <w:tcPr>
          <w:shd w:fill="auto" w:val="clear"/>
          <w:vAlign w:val="center"/>
        </w:tcPr>
        <w:p w:rsidR="00000000" w:rsidDel="00000000" w:rsidP="00000000" w:rsidRDefault="00000000" w:rsidRPr="00000000" w14:paraId="000000A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AC">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Huixquilucan</w:t>
          </w:r>
        </w:p>
      </w:tc>
    </w:tr>
    <w:tr>
      <w:trPr>
        <w:cantSplit w:val="0"/>
        <w:tblHeader w:val="0"/>
      </w:trPr>
      <w:tc>
        <w:tcPr>
          <w:shd w:fill="auto" w:val="clear"/>
          <w:vAlign w:val="center"/>
        </w:tcPr>
        <w:p w:rsidR="00000000" w:rsidDel="00000000" w:rsidP="00000000" w:rsidRDefault="00000000" w:rsidRPr="00000000" w14:paraId="000000AD">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A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F">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0" w:customStyle="1">
    <w:name w:val="Table Normal8"/>
    <w:tblPr>
      <w:tblCellMar>
        <w:top w:w="0.0" w:type="dxa"/>
        <w:left w:w="0.0" w:type="dxa"/>
        <w:bottom w:w="0.0" w:type="dxa"/>
        <w:right w:w="0.0" w:type="dxa"/>
      </w:tblCellMar>
    </w:tblPr>
  </w:style>
  <w:style w:type="table" w:styleId="TableNormal70" w:customStyle="1">
    <w:name w:val="Table Normal7"/>
    <w:tblPr>
      <w:tblCellMar>
        <w:top w:w="0.0" w:type="dxa"/>
        <w:left w:w="0.0" w:type="dxa"/>
        <w:bottom w:w="0.0" w:type="dxa"/>
        <w:right w:w="0.0" w:type="dxa"/>
      </w:tblCellMar>
    </w:tblPr>
  </w:style>
  <w:style w:type="table" w:styleId="TableNormal60" w:customStyle="1">
    <w:name w:val="Table Normal6"/>
    <w:tblPr>
      <w:tblCellMar>
        <w:top w:w="0.0" w:type="dxa"/>
        <w:left w:w="0.0" w:type="dxa"/>
        <w:bottom w:w="0.0" w:type="dxa"/>
        <w:right w:w="0.0" w:type="dxa"/>
      </w:tblCellMar>
    </w:tblPr>
  </w:style>
  <w:style w:type="table" w:styleId="TableNormal50"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0"/>
    <w:tblPr>
      <w:tblStyleRowBandSize w:val="1"/>
      <w:tblStyleColBandSize w:val="1"/>
      <w:tblCellMar>
        <w:left w:w="115.0" w:type="dxa"/>
        <w:right w:w="115.0" w:type="dxa"/>
      </w:tblCellMar>
    </w:tblPr>
  </w:style>
  <w:style w:type="table" w:styleId="6" w:customStyle="1">
    <w:name w:val="6"/>
    <w:basedOn w:val="TableNormal30"/>
    <w:tblPr>
      <w:tblStyleRowBandSize w:val="1"/>
      <w:tblStyleColBandSize w:val="1"/>
      <w:tblCellMar>
        <w:left w:w="115.0" w:type="dxa"/>
        <w:right w:w="115.0" w:type="dxa"/>
      </w:tblCellMar>
    </w:tblPr>
  </w:style>
  <w:style w:type="table" w:styleId="20" w:customStyle="1">
    <w:name w:val="20"/>
    <w:basedOn w:val="TableNormal40"/>
    <w:tblPr>
      <w:tblStyleRowBandSize w:val="1"/>
      <w:tblStyleColBandSize w:val="1"/>
      <w:tblCellMar>
        <w:left w:w="115.0" w:type="dxa"/>
        <w:right w:w="115.0" w:type="dxa"/>
      </w:tblCellMar>
    </w:tblPr>
  </w:style>
  <w:style w:type="table" w:styleId="19" w:customStyle="1">
    <w:name w:val="19"/>
    <w:basedOn w:val="TableNormal40"/>
    <w:tblPr>
      <w:tblStyleRowBandSize w:val="1"/>
      <w:tblStyleColBandSize w:val="1"/>
      <w:tblCellMar>
        <w:left w:w="115.0" w:type="dxa"/>
        <w:right w:w="115.0" w:type="dxa"/>
      </w:tblCellMar>
    </w:tblPr>
  </w:style>
  <w:style w:type="table" w:styleId="18" w:customStyle="1">
    <w:name w:val="18"/>
    <w:basedOn w:val="TableNormal50"/>
    <w:tblPr>
      <w:tblStyleRowBandSize w:val="1"/>
      <w:tblStyleColBandSize w:val="1"/>
      <w:tblCellMar>
        <w:left w:w="115.0" w:type="dxa"/>
        <w:right w:w="115.0" w:type="dxa"/>
      </w:tblCellMar>
    </w:tblPr>
  </w:style>
  <w:style w:type="table" w:styleId="17" w:customStyle="1">
    <w:name w:val="17"/>
    <w:basedOn w:val="TableNormal50"/>
    <w:tblPr>
      <w:tblStyleRowBandSize w:val="1"/>
      <w:tblStyleColBandSize w:val="1"/>
      <w:tblCellMar>
        <w:left w:w="115.0" w:type="dxa"/>
        <w:right w:w="115.0" w:type="dxa"/>
      </w:tblCellMar>
    </w:tblPr>
  </w:style>
  <w:style w:type="table" w:styleId="16" w:customStyle="1">
    <w:name w:val="16"/>
    <w:basedOn w:val="TableNormal60"/>
    <w:tblPr>
      <w:tblStyleRowBandSize w:val="1"/>
      <w:tblStyleColBandSize w:val="1"/>
      <w:tblCellMar>
        <w:left w:w="115.0" w:type="dxa"/>
        <w:right w:w="115.0" w:type="dxa"/>
      </w:tblCellMar>
    </w:tblPr>
  </w:style>
  <w:style w:type="table" w:styleId="15" w:customStyle="1">
    <w:name w:val="15"/>
    <w:basedOn w:val="TableNormal60"/>
    <w:tblPr>
      <w:tblStyleRowBandSize w:val="1"/>
      <w:tblStyleColBandSize w:val="1"/>
      <w:tblCellMar>
        <w:left w:w="115.0" w:type="dxa"/>
        <w:right w:w="115.0" w:type="dxa"/>
      </w:tblCellMar>
    </w:tblPr>
  </w:style>
  <w:style w:type="table" w:styleId="14" w:customStyle="1">
    <w:name w:val="14"/>
    <w:basedOn w:val="TableNormal70"/>
    <w:tblPr>
      <w:tblStyleRowBandSize w:val="1"/>
      <w:tblStyleColBandSize w:val="1"/>
      <w:tblCellMar>
        <w:left w:w="115.0" w:type="dxa"/>
        <w:right w:w="115.0" w:type="dxa"/>
      </w:tblCellMar>
    </w:tblPr>
  </w:style>
  <w:style w:type="table" w:styleId="13" w:customStyle="1">
    <w:name w:val="13"/>
    <w:basedOn w:val="TableNormal70"/>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0"/>
    <w:tblPr>
      <w:tblStyleRowBandSize w:val="1"/>
      <w:tblStyleColBandSize w:val="1"/>
      <w:tblCellMar>
        <w:left w:w="115.0" w:type="dxa"/>
        <w:right w:w="115.0" w:type="dxa"/>
      </w:tblCellMar>
    </w:tblPr>
  </w:style>
  <w:style w:type="table" w:styleId="10" w:customStyle="1">
    <w:name w:val="10"/>
    <w:basedOn w:val="TableNormal80"/>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8"/>
    <w:tblPr>
      <w:tblStyleRowBandSize w:val="1"/>
      <w:tblStyleColBandSize w:val="1"/>
      <w:tblCellMar>
        <w:left w:w="115.0" w:type="dxa"/>
        <w:right w:w="115.0" w:type="dxa"/>
      </w:tblCellMar>
    </w:tblPr>
  </w:style>
  <w:style w:type="table" w:styleId="a2" w:customStyle="1">
    <w:basedOn w:val="TableNormal8"/>
    <w:tblPr>
      <w:tblStyleRowBandSize w:val="1"/>
      <w:tblStyleColBandSize w:val="1"/>
      <w:tblCellMar>
        <w:left w:w="115.0" w:type="dxa"/>
        <w:right w:w="115.0" w:type="dxa"/>
      </w:tblCellMar>
    </w:tblPr>
  </w:style>
  <w:style w:type="table" w:styleId="a3" w:customStyle="1">
    <w:basedOn w:val="TableNormal7"/>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7"/>
    <w:tblPr>
      <w:tblStyleRowBandSize w:val="1"/>
      <w:tblStyleColBandSize w:val="1"/>
      <w:tblCellMar>
        <w:left w:w="115.0" w:type="dxa"/>
        <w:right w:w="115.0" w:type="dxa"/>
      </w:tblCellMar>
    </w:tblPr>
  </w:style>
  <w:style w:type="table" w:styleId="a5" w:customStyle="1">
    <w:basedOn w:val="TableNormal7"/>
    <w:tblPr>
      <w:tblStyleRowBandSize w:val="1"/>
      <w:tblStyleColBandSize w:val="1"/>
      <w:tblCellMar>
        <w:left w:w="115.0" w:type="dxa"/>
        <w:right w:w="115.0" w:type="dxa"/>
      </w:tblCellMar>
    </w:tblPr>
  </w:style>
  <w:style w:type="table" w:styleId="a6" w:customStyle="1">
    <w:basedOn w:val="TableNormal6"/>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6"/>
    <w:tblPr>
      <w:tblStyleRowBandSize w:val="1"/>
      <w:tblStyleColBandSize w:val="1"/>
      <w:tblCellMar>
        <w:left w:w="115.0" w:type="dxa"/>
        <w:right w:w="115.0" w:type="dxa"/>
      </w:tblCellMar>
    </w:tblPr>
  </w:style>
  <w:style w:type="table" w:styleId="a8" w:customStyle="1">
    <w:basedOn w:val="TableNormal6"/>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table" w:styleId="a9" w:customStyle="1">
    <w:basedOn w:val="TableNormal5"/>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paragraph" w:styleId="Saludo">
    <w:name w:val="Salutation"/>
    <w:basedOn w:val="Normal"/>
    <w:next w:val="Normal"/>
    <w:link w:val="SaludoCar"/>
    <w:uiPriority w:val="99"/>
    <w:unhideWhenUsed w:val="1"/>
    <w:rsid w:val="00E47E56"/>
  </w:style>
  <w:style w:type="character" w:styleId="SaludoCar" w:customStyle="1">
    <w:name w:val="Saludo Car"/>
    <w:basedOn w:val="Fuentedeprrafopredeter"/>
    <w:link w:val="Saludo"/>
    <w:uiPriority w:val="99"/>
    <w:rsid w:val="00E47E56"/>
  </w:style>
  <w:style w:type="paragraph" w:styleId="Listaconvietas">
    <w:name w:val="List Bullet"/>
    <w:basedOn w:val="Normal"/>
    <w:uiPriority w:val="99"/>
    <w:unhideWhenUsed w:val="1"/>
    <w:rsid w:val="00E47E56"/>
    <w:pPr>
      <w:tabs>
        <w:tab w:val="num" w:pos="720"/>
      </w:tabs>
      <w:ind w:left="720" w:hanging="720"/>
      <w:contextualSpacing w:val="1"/>
    </w:pPr>
  </w:style>
  <w:style w:type="paragraph" w:styleId="Listaconvietas2">
    <w:name w:val="List Bullet 2"/>
    <w:basedOn w:val="Normal"/>
    <w:uiPriority w:val="99"/>
    <w:unhideWhenUsed w:val="1"/>
    <w:rsid w:val="00E47E56"/>
    <w:pPr>
      <w:tabs>
        <w:tab w:val="num" w:pos="720"/>
      </w:tabs>
      <w:ind w:left="720" w:hanging="720"/>
      <w:contextualSpacing w:val="1"/>
    </w:pPr>
  </w:style>
  <w:style w:type="paragraph" w:styleId="Descripcin">
    <w:name w:val="caption"/>
    <w:basedOn w:val="Normal"/>
    <w:next w:val="Normal"/>
    <w:uiPriority w:val="35"/>
    <w:unhideWhenUsed w:val="1"/>
    <w:qFormat w:val="1"/>
    <w:rsid w:val="00E47E56"/>
    <w:pPr>
      <w:spacing w:after="200"/>
    </w:pPr>
    <w:rPr>
      <w:i w:val="1"/>
      <w:iCs w:val="1"/>
      <w:color w:val="1f497d" w:themeColor="text2"/>
      <w:sz w:val="18"/>
      <w:szCs w:val="18"/>
    </w:rPr>
  </w:style>
  <w:style w:type="table" w:styleId="ac" w:customStyle="1">
    <w:basedOn w:val="TableNormal4"/>
    <w:tblPr>
      <w:tblStyleRowBandSize w:val="1"/>
      <w:tblStyleColBandSize w:val="1"/>
      <w:tblCellMar>
        <w:left w:w="108.0" w:type="dxa"/>
        <w:right w:w="108.0" w:type="dxa"/>
      </w:tblCellMar>
    </w:tblPr>
  </w:style>
  <w:style w:type="table" w:styleId="ad" w:customStyle="1">
    <w:basedOn w:val="TableNormal4"/>
    <w:tblPr>
      <w:tblStyleRowBandSize w:val="1"/>
      <w:tblStyleColBandSize w:val="1"/>
      <w:tblCellMar>
        <w:left w:w="108.0" w:type="dxa"/>
        <w:right w:w="108.0" w:type="dxa"/>
      </w:tblCellMar>
    </w:tblPr>
  </w:style>
  <w:style w:type="table" w:styleId="ae" w:customStyle="1">
    <w:basedOn w:val="TableNormal4"/>
    <w:tblPr>
      <w:tblStyleRowBandSize w:val="1"/>
      <w:tblStyleColBandSize w:val="1"/>
      <w:tblCellMar>
        <w:left w:w="108.0" w:type="dxa"/>
        <w:right w:w="108.0" w:type="dxa"/>
      </w:tblCellMar>
    </w:tblPr>
  </w:style>
  <w:style w:type="table" w:styleId="af" w:customStyle="1">
    <w:basedOn w:val="TableNormal4"/>
    <w:tblPr>
      <w:tblStyleRowBandSize w:val="1"/>
      <w:tblStyleColBandSize w:val="1"/>
      <w:tblCellMar>
        <w:left w:w="115.0" w:type="dxa"/>
        <w:right w:w="115.0" w:type="dxa"/>
      </w:tblCellMar>
    </w:tblPr>
  </w:style>
  <w:style w:type="table" w:styleId="af0" w:customStyle="1">
    <w:basedOn w:val="TableNormal4"/>
    <w:tblPr>
      <w:tblStyleRowBandSize w:val="1"/>
      <w:tblStyleColBandSize w:val="1"/>
      <w:tblCellMar>
        <w:left w:w="115.0" w:type="dxa"/>
        <w:right w:w="115.0" w:type="dxa"/>
      </w:tblCellMar>
    </w:tblPr>
  </w:style>
  <w:style w:type="table" w:styleId="af1" w:customStyle="1">
    <w:basedOn w:val="TableNormal3"/>
    <w:tblPr>
      <w:tblStyleRowBandSize w:val="1"/>
      <w:tblStyleColBandSize w:val="1"/>
      <w:tblCellMar>
        <w:left w:w="115.0" w:type="dxa"/>
        <w:right w:w="115.0" w:type="dxa"/>
      </w:tblCellMar>
    </w:tblPr>
  </w:style>
  <w:style w:type="table" w:styleId="af2" w:customStyle="1">
    <w:basedOn w:val="TableNormal3"/>
    <w:tblPr>
      <w:tblStyleRowBandSize w:val="1"/>
      <w:tblStyleColBandSize w:val="1"/>
      <w:tblCellMar>
        <w:left w:w="115.0" w:type="dxa"/>
        <w:right w:w="115.0" w:type="dxa"/>
      </w:tblCellMar>
    </w:tblPr>
  </w:style>
  <w:style w:type="table" w:styleId="af3" w:customStyle="1">
    <w:basedOn w:val="TableNormal2"/>
    <w:tblPr>
      <w:tblStyleRowBandSize w:val="1"/>
      <w:tblStyleColBandSize w:val="1"/>
      <w:tblCellMar>
        <w:left w:w="115.0" w:type="dxa"/>
        <w:right w:w="115.0" w:type="dxa"/>
      </w:tblCellMar>
    </w:tblPr>
  </w:style>
  <w:style w:type="table" w:styleId="af4" w:customStyle="1">
    <w:basedOn w:val="TableNormal2"/>
    <w:tblPr>
      <w:tblStyleRowBandSize w:val="1"/>
      <w:tblStyleColBandSize w:val="1"/>
      <w:tblCellMar>
        <w:left w:w="115.0" w:type="dxa"/>
        <w:right w:w="115.0" w:type="dxa"/>
      </w:tblCellMar>
    </w:tblPr>
  </w:style>
  <w:style w:type="character" w:styleId="Mencinsinresolver5" w:customStyle="1">
    <w:name w:val="Mención sin resolver5"/>
    <w:basedOn w:val="Fuentedeprrafopredeter"/>
    <w:uiPriority w:val="99"/>
    <w:semiHidden w:val="1"/>
    <w:unhideWhenUsed w:val="1"/>
    <w:rsid w:val="00C70AEE"/>
    <w:rPr>
      <w:color w:val="605e5c"/>
      <w:shd w:color="auto" w:fill="e1dfdd" w:val="clear"/>
    </w:r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1"/>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7.png"/><Relationship Id="rId21" Type="http://schemas.openxmlformats.org/officeDocument/2006/relationships/image" Target="media/image13.png"/><Relationship Id="rId24" Type="http://schemas.openxmlformats.org/officeDocument/2006/relationships/image" Target="media/image14.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11" Type="http://schemas.openxmlformats.org/officeDocument/2006/relationships/image" Target="media/image18.png"/><Relationship Id="rId10" Type="http://schemas.openxmlformats.org/officeDocument/2006/relationships/image" Target="media/image3.png"/><Relationship Id="rId13" Type="http://schemas.openxmlformats.org/officeDocument/2006/relationships/image" Target="media/image16.png"/><Relationship Id="rId12" Type="http://schemas.openxmlformats.org/officeDocument/2006/relationships/image" Target="media/image10.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image" Target="media/image15.png"/><Relationship Id="rId19" Type="http://schemas.openxmlformats.org/officeDocument/2006/relationships/image" Target="media/image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tkouAi7g/9xxZJX5axLN5KxSow==">CgMxLjAyCGguZ2pkZ3hzMgloLjNkeTZ2a20yCWguMzBqMHpsbDIJaC4yczhleW8xMghoLnR5amN3dDIJaC4zem55c2g3MgloLjJldDkycDAyCWguNDRzaW5pbzIIaC5sbnhiejkyCWguNGQzNG9nODIJaC4zcmRjcmpuMgloLjF0M2g1c2Y4AHIhMXVZYUJiX1R2VmpqVlZQLTFnMGc4VHNGZTFxMzJuZ0Vq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2023-06-30T17:01:00Z</dcterms:created>
  <dc:creator>iMac</dc:creator>
</cp:coreProperties>
</file>