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95756" w14:textId="77777777" w:rsidR="006D639A" w:rsidRDefault="006D639A" w:rsidP="00AD7BBE">
      <w:pPr>
        <w:spacing w:after="0" w:line="360" w:lineRule="auto"/>
        <w:contextualSpacing/>
        <w:rPr>
          <w:rFonts w:eastAsia="Calibri" w:cs="Tahoma"/>
          <w:bCs/>
          <w:color w:val="000000"/>
        </w:rPr>
      </w:pPr>
    </w:p>
    <w:p w14:paraId="245D015B" w14:textId="3774B7AD" w:rsidR="00BF6B4B" w:rsidRPr="00507F8A" w:rsidRDefault="00BF6B4B" w:rsidP="00AD7BBE">
      <w:pPr>
        <w:spacing w:after="0" w:line="360" w:lineRule="auto"/>
        <w:contextualSpacing/>
        <w:rPr>
          <w:rFonts w:eastAsia="Times New Roman" w:cs="Tahoma"/>
          <w:bCs/>
          <w:color w:val="auto"/>
          <w:lang w:eastAsia="es-ES"/>
        </w:rPr>
      </w:pPr>
      <w:r w:rsidRPr="00507F8A">
        <w:rPr>
          <w:rFonts w:eastAsia="Calibri" w:cs="Tahoma"/>
          <w:bCs/>
          <w:color w:val="000000"/>
        </w:rPr>
        <w:t xml:space="preserve">Resolución del Pleno del Instituto de Transparencia, Acceso a la Información Pública y </w:t>
      </w:r>
      <w:r w:rsidRPr="00507F8A">
        <w:rPr>
          <w:rFonts w:eastAsia="Times New Roman" w:cs="Tahoma"/>
          <w:bCs/>
          <w:color w:val="auto"/>
          <w:lang w:eastAsia="es-ES"/>
        </w:rPr>
        <w:t xml:space="preserve">Protección de Datos Personales del Estado de México y Municipios, con domicilio en Metepec, Estado de México, de fecha </w:t>
      </w:r>
      <w:r w:rsidR="004E1023" w:rsidRPr="00507F8A">
        <w:rPr>
          <w:rFonts w:eastAsia="Times New Roman" w:cs="Tahoma"/>
          <w:bCs/>
          <w:color w:val="auto"/>
          <w:lang w:eastAsia="es-ES"/>
        </w:rPr>
        <w:t>treinta y uno</w:t>
      </w:r>
      <w:r w:rsidRPr="00507F8A">
        <w:rPr>
          <w:rFonts w:eastAsia="Times New Roman" w:cs="Tahoma"/>
          <w:bCs/>
          <w:color w:val="auto"/>
          <w:lang w:eastAsia="es-ES"/>
        </w:rPr>
        <w:t xml:space="preserve"> de mayo de dos mil veintitrés.</w:t>
      </w:r>
    </w:p>
    <w:p w14:paraId="1F09D0E9" w14:textId="77777777" w:rsidR="00BF6B4B" w:rsidRPr="00507F8A" w:rsidRDefault="00BF6B4B" w:rsidP="00AD7BBE">
      <w:pPr>
        <w:spacing w:after="0" w:line="360" w:lineRule="auto"/>
        <w:contextualSpacing/>
        <w:rPr>
          <w:rFonts w:eastAsia="Times New Roman" w:cs="Tahoma"/>
          <w:b/>
          <w:bCs/>
          <w:color w:val="auto"/>
          <w:lang w:eastAsia="es-ES"/>
        </w:rPr>
      </w:pPr>
    </w:p>
    <w:p w14:paraId="56A02DBF" w14:textId="6A3991B5" w:rsidR="00BF6B4B" w:rsidRPr="00507F8A" w:rsidRDefault="00BF6B4B" w:rsidP="00AD7BBE">
      <w:pPr>
        <w:spacing w:after="0" w:line="360" w:lineRule="auto"/>
        <w:contextualSpacing/>
        <w:rPr>
          <w:rFonts w:eastAsia="Calibri" w:cs="Tahoma"/>
          <w:color w:val="0D0D0D"/>
        </w:rPr>
      </w:pPr>
      <w:r w:rsidRPr="00507F8A">
        <w:rPr>
          <w:rFonts w:eastAsia="Times New Roman" w:cs="Tahoma"/>
          <w:b/>
          <w:bCs/>
          <w:color w:val="auto"/>
          <w:lang w:eastAsia="es-ES"/>
        </w:rPr>
        <w:t>VISTO</w:t>
      </w:r>
      <w:r w:rsidRPr="00507F8A">
        <w:rPr>
          <w:rFonts w:eastAsia="Calibri" w:cs="Tahoma"/>
          <w:bCs/>
          <w:color w:val="0D0D0D"/>
        </w:rPr>
        <w:t xml:space="preserve"> el expediente conformado con motivo del Recurso de Revisión </w:t>
      </w:r>
      <w:r w:rsidRPr="00507F8A">
        <w:rPr>
          <w:rFonts w:eastAsia="Calibri" w:cs="Tahoma"/>
          <w:color w:val="000000"/>
        </w:rPr>
        <w:t>0</w:t>
      </w:r>
      <w:r w:rsidR="004E1023" w:rsidRPr="00507F8A">
        <w:rPr>
          <w:rFonts w:eastAsia="Calibri" w:cs="Tahoma"/>
          <w:color w:val="000000"/>
        </w:rPr>
        <w:t>2366</w:t>
      </w:r>
      <w:r w:rsidRPr="00507F8A">
        <w:rPr>
          <w:rFonts w:eastAsia="Calibri" w:cs="Tahoma"/>
          <w:color w:val="000000"/>
        </w:rPr>
        <w:t>/INFOEM/IP/RR/2023, interpuesto por el</w:t>
      </w:r>
      <w:r w:rsidRPr="00507F8A">
        <w:rPr>
          <w:rFonts w:eastAsia="Calibri" w:cs="Tahoma"/>
        </w:rPr>
        <w:t xml:space="preserve"> </w:t>
      </w:r>
      <w:r w:rsidRPr="00507F8A">
        <w:rPr>
          <w:rFonts w:eastAsia="Calibri" w:cs="Tahoma"/>
          <w:color w:val="0D0D0D"/>
        </w:rPr>
        <w:t>Recurrente o Particular, en contra de la respuesta del Sujeto Obligado,</w:t>
      </w:r>
      <w:r w:rsidRPr="00507F8A">
        <w:rPr>
          <w:rFonts w:eastAsia="Calibri" w:cs="Tahoma"/>
          <w:color w:val="000000"/>
        </w:rPr>
        <w:t xml:space="preserve"> Ayuntamiento de Teoloyucan, a la solicitud de acceso a la información </w:t>
      </w:r>
      <w:r w:rsidRPr="00507F8A">
        <w:t>000</w:t>
      </w:r>
      <w:r w:rsidR="004E1023" w:rsidRPr="00507F8A">
        <w:t>97</w:t>
      </w:r>
      <w:r w:rsidRPr="00507F8A">
        <w:t>/TEOLOYU/IP/2023</w:t>
      </w:r>
      <w:r w:rsidRPr="00507F8A">
        <w:rPr>
          <w:rFonts w:eastAsia="Calibri" w:cs="Tahoma"/>
          <w:color w:val="000000"/>
        </w:rPr>
        <w:t>, se emite la presente Resolución, con base en los Antecedentes y Considerandos que se exponen a continuación:</w:t>
      </w:r>
    </w:p>
    <w:p w14:paraId="5A07CD94" w14:textId="77777777" w:rsidR="00BF6B4B" w:rsidRPr="00507F8A" w:rsidRDefault="00BF6B4B" w:rsidP="00AD7BBE">
      <w:pPr>
        <w:tabs>
          <w:tab w:val="center" w:pos="4522"/>
          <w:tab w:val="left" w:pos="7245"/>
        </w:tabs>
        <w:spacing w:after="0" w:line="360" w:lineRule="auto"/>
        <w:contextualSpacing/>
        <w:jc w:val="center"/>
        <w:rPr>
          <w:rFonts w:eastAsia="Calibri" w:cs="Tahoma"/>
          <w:b/>
          <w:color w:val="000000"/>
        </w:rPr>
      </w:pPr>
    </w:p>
    <w:p w14:paraId="786694C2" w14:textId="77777777" w:rsidR="00BF6B4B" w:rsidRPr="00507F8A" w:rsidRDefault="00BF6B4B" w:rsidP="00AD7BBE">
      <w:pPr>
        <w:tabs>
          <w:tab w:val="center" w:pos="4522"/>
          <w:tab w:val="left" w:pos="7245"/>
        </w:tabs>
        <w:spacing w:after="0" w:line="360" w:lineRule="auto"/>
        <w:contextualSpacing/>
        <w:jc w:val="center"/>
        <w:rPr>
          <w:rFonts w:eastAsia="Calibri" w:cs="Tahoma"/>
          <w:b/>
          <w:color w:val="000000"/>
        </w:rPr>
      </w:pPr>
      <w:r w:rsidRPr="00507F8A">
        <w:rPr>
          <w:rFonts w:eastAsia="Calibri" w:cs="Tahoma"/>
          <w:b/>
          <w:color w:val="000000"/>
        </w:rPr>
        <w:t>A N T E C E D E N T E S:</w:t>
      </w:r>
    </w:p>
    <w:p w14:paraId="1265C932" w14:textId="77777777" w:rsidR="00BF6B4B" w:rsidRPr="00507F8A" w:rsidRDefault="00BF6B4B" w:rsidP="00AD7BBE">
      <w:pPr>
        <w:spacing w:after="0" w:line="360" w:lineRule="auto"/>
        <w:contextualSpacing/>
      </w:pPr>
    </w:p>
    <w:p w14:paraId="65E43A3C" w14:textId="77777777" w:rsidR="00BF6B4B" w:rsidRPr="00507F8A" w:rsidRDefault="00BF6B4B" w:rsidP="00AD7BBE">
      <w:pPr>
        <w:tabs>
          <w:tab w:val="left" w:pos="567"/>
        </w:tabs>
        <w:spacing w:after="0" w:line="360" w:lineRule="auto"/>
        <w:contextualSpacing/>
        <w:rPr>
          <w:rFonts w:eastAsia="Times New Roman" w:cs="Tahoma"/>
          <w:b/>
          <w:color w:val="auto"/>
          <w:lang w:eastAsia="es-ES"/>
        </w:rPr>
      </w:pPr>
      <w:r w:rsidRPr="00507F8A">
        <w:rPr>
          <w:rFonts w:eastAsia="Times New Roman" w:cs="Tahoma"/>
          <w:b/>
          <w:color w:val="auto"/>
          <w:lang w:eastAsia="es-ES"/>
        </w:rPr>
        <w:t>I. Presentación de la solicitud de información:</w:t>
      </w:r>
    </w:p>
    <w:p w14:paraId="7F9AFD0A" w14:textId="77777777" w:rsidR="00BF6B4B" w:rsidRPr="00507F8A" w:rsidRDefault="00BF6B4B" w:rsidP="00AD7BBE">
      <w:pPr>
        <w:tabs>
          <w:tab w:val="left" w:pos="567"/>
        </w:tabs>
        <w:spacing w:after="0" w:line="360" w:lineRule="auto"/>
        <w:contextualSpacing/>
        <w:rPr>
          <w:rFonts w:eastAsia="Times New Roman" w:cs="Tahoma"/>
          <w:color w:val="auto"/>
          <w:lang w:eastAsia="es-ES"/>
        </w:rPr>
      </w:pPr>
    </w:p>
    <w:p w14:paraId="77EA6263" w14:textId="43BD5241" w:rsidR="00BF6B4B" w:rsidRPr="00507F8A" w:rsidRDefault="00BF6B4B" w:rsidP="00AD7BBE">
      <w:pPr>
        <w:tabs>
          <w:tab w:val="left" w:pos="1050"/>
        </w:tabs>
        <w:spacing w:after="0" w:line="360" w:lineRule="auto"/>
        <w:ind w:right="-28"/>
        <w:contextualSpacing/>
        <w:rPr>
          <w:rFonts w:eastAsia="Times New Roman" w:cs="Tahoma"/>
          <w:b/>
          <w:bCs/>
          <w:lang w:eastAsia="es-ES"/>
        </w:rPr>
      </w:pPr>
      <w:r w:rsidRPr="00507F8A">
        <w:rPr>
          <w:rFonts w:eastAsia="Times New Roman" w:cs="Tahoma"/>
          <w:lang w:eastAsia="es-ES"/>
        </w:rPr>
        <w:t xml:space="preserve">Con </w:t>
      </w:r>
      <w:r w:rsidR="004E1023" w:rsidRPr="00507F8A">
        <w:rPr>
          <w:rFonts w:eastAsia="Times New Roman" w:cs="Tahoma"/>
          <w:lang w:eastAsia="es-ES"/>
        </w:rPr>
        <w:t xml:space="preserve">veintiuno </w:t>
      </w:r>
      <w:r w:rsidRPr="00507F8A">
        <w:rPr>
          <w:rFonts w:eastAsia="Times New Roman" w:cs="Tahoma"/>
          <w:lang w:eastAsia="es-ES"/>
        </w:rPr>
        <w:t>de marzo de dos mil veintitrés, el Particular presentó una solicitud de acceso a la información pública</w:t>
      </w:r>
      <w:r w:rsidR="004E1023" w:rsidRPr="00507F8A">
        <w:rPr>
          <w:rFonts w:eastAsia="Times New Roman" w:cs="Tahoma"/>
          <w:lang w:eastAsia="es-ES"/>
        </w:rPr>
        <w:t xml:space="preserve">, </w:t>
      </w:r>
      <w:r w:rsidR="004E1023" w:rsidRPr="00507F8A">
        <w:rPr>
          <w:b/>
        </w:rPr>
        <w:t xml:space="preserve">ya que, si bien se registró el </w:t>
      </w:r>
      <w:r w:rsidR="006D639A" w:rsidRPr="00507F8A">
        <w:rPr>
          <w:b/>
        </w:rPr>
        <w:t>veinte de dicho mes y año</w:t>
      </w:r>
      <w:r w:rsidR="004E1023" w:rsidRPr="00507F8A">
        <w:rPr>
          <w:b/>
        </w:rPr>
        <w:t>, lo cierto es que fue inhábil, por lo que se tuvo por presentado al día hábil siguiente</w:t>
      </w:r>
      <w:r w:rsidRPr="00507F8A">
        <w:rPr>
          <w:rFonts w:eastAsia="Times New Roman" w:cs="Tahoma"/>
          <w:lang w:eastAsia="es-ES"/>
        </w:rPr>
        <w:t xml:space="preserve">, a través del Sistema de Acceso a la Información Mexiquense (SAIMEX), ante el </w:t>
      </w:r>
      <w:r w:rsidRPr="00507F8A">
        <w:rPr>
          <w:rFonts w:eastAsia="Calibri" w:cs="Tahoma"/>
        </w:rPr>
        <w:t>Ayuntamiento de Teoloyucan</w:t>
      </w:r>
      <w:r w:rsidRPr="00507F8A">
        <w:rPr>
          <w:rFonts w:eastAsia="Times New Roman" w:cs="Tahoma"/>
          <w:lang w:eastAsia="es-ES"/>
        </w:rPr>
        <w:t>, en los siguientes términos:</w:t>
      </w:r>
    </w:p>
    <w:p w14:paraId="75CD769C" w14:textId="77777777" w:rsidR="00BF6B4B" w:rsidRPr="00507F8A" w:rsidRDefault="00BF6B4B" w:rsidP="00AD7BBE">
      <w:pPr>
        <w:spacing w:after="0" w:line="360" w:lineRule="auto"/>
        <w:contextualSpacing/>
        <w:rPr>
          <w:rFonts w:eastAsia="Calibri" w:cs="Tahoma"/>
        </w:rPr>
      </w:pPr>
    </w:p>
    <w:p w14:paraId="664C283E" w14:textId="77777777" w:rsidR="00BF6B4B" w:rsidRPr="00507F8A" w:rsidRDefault="00BF6B4B" w:rsidP="00AD7BBE">
      <w:pPr>
        <w:tabs>
          <w:tab w:val="left" w:pos="4667"/>
        </w:tabs>
        <w:spacing w:after="0" w:line="360" w:lineRule="auto"/>
        <w:ind w:left="567" w:right="567"/>
        <w:contextualSpacing/>
        <w:rPr>
          <w:rFonts w:eastAsia="Times New Roman" w:cs="Tahoma"/>
          <w:b/>
          <w:i/>
          <w:iCs/>
          <w:color w:val="auto"/>
          <w:sz w:val="20"/>
          <w:szCs w:val="20"/>
          <w:lang w:eastAsia="es-ES"/>
        </w:rPr>
      </w:pPr>
      <w:r w:rsidRPr="00507F8A">
        <w:rPr>
          <w:rFonts w:eastAsia="Times New Roman" w:cs="Tahoma"/>
          <w:b/>
          <w:i/>
          <w:iCs/>
          <w:color w:val="auto"/>
          <w:sz w:val="20"/>
          <w:szCs w:val="20"/>
          <w:lang w:eastAsia="es-ES"/>
        </w:rPr>
        <w:t>“DESCRIPCIÓN CLARA Y PRECISA DE LA INFORMACIÓN SOLICITADA.</w:t>
      </w:r>
    </w:p>
    <w:p w14:paraId="12B0D02E" w14:textId="3BD04A5B" w:rsidR="00BF6B4B" w:rsidRPr="00507F8A" w:rsidRDefault="004E1023" w:rsidP="00AD7BBE">
      <w:pPr>
        <w:spacing w:after="0" w:line="360" w:lineRule="auto"/>
        <w:ind w:left="567" w:right="567"/>
        <w:contextualSpacing/>
        <w:rPr>
          <w:rFonts w:eastAsia="Times New Roman" w:cs="Times New Roman"/>
          <w:i/>
          <w:iCs/>
          <w:color w:val="auto"/>
          <w:sz w:val="20"/>
          <w:szCs w:val="20"/>
          <w:lang w:eastAsia="es-MX"/>
        </w:rPr>
      </w:pPr>
      <w:r w:rsidRPr="00507F8A">
        <w:rPr>
          <w:rFonts w:eastAsia="Times New Roman" w:cs="Times New Roman"/>
          <w:i/>
          <w:iCs/>
          <w:color w:val="auto"/>
          <w:sz w:val="20"/>
          <w:szCs w:val="20"/>
          <w:lang w:eastAsia="es-MX"/>
        </w:rPr>
        <w:t>conforme a la constitución política de los estados unidos mexicanos y a la ley de transparencia del estado y municipio solicito en este acto la certificación de los directores de catastro, desarrollo económico, tesorería municipal, secretaria del ayuntamiento, obras publicas, avalado conforme a la ley .</w:t>
      </w:r>
      <w:r w:rsidR="00BF6B4B" w:rsidRPr="00507F8A">
        <w:rPr>
          <w:rFonts w:eastAsia="Times New Roman" w:cs="Tahoma"/>
          <w:bCs/>
          <w:i/>
          <w:iCs/>
          <w:color w:val="auto"/>
          <w:sz w:val="20"/>
          <w:szCs w:val="20"/>
          <w:lang w:eastAsia="es-ES"/>
        </w:rPr>
        <w:t xml:space="preserve">” (Sic) </w:t>
      </w:r>
    </w:p>
    <w:p w14:paraId="242F3FA4" w14:textId="77777777" w:rsidR="00BF6B4B" w:rsidRPr="00507F8A" w:rsidRDefault="00BF6B4B" w:rsidP="00AD7BBE">
      <w:pPr>
        <w:tabs>
          <w:tab w:val="left" w:pos="4667"/>
        </w:tabs>
        <w:spacing w:after="0" w:line="360" w:lineRule="auto"/>
        <w:ind w:left="567" w:right="567"/>
        <w:contextualSpacing/>
        <w:rPr>
          <w:rFonts w:eastAsia="Times New Roman" w:cs="Tahoma"/>
          <w:b/>
          <w:bCs/>
          <w:i/>
          <w:iCs/>
          <w:color w:val="auto"/>
          <w:sz w:val="20"/>
          <w:szCs w:val="20"/>
          <w:lang w:eastAsia="es-ES"/>
        </w:rPr>
      </w:pPr>
    </w:p>
    <w:p w14:paraId="6E686245" w14:textId="77777777" w:rsidR="006D639A" w:rsidRPr="00507F8A" w:rsidRDefault="006D639A" w:rsidP="00AD7BBE">
      <w:pPr>
        <w:tabs>
          <w:tab w:val="left" w:pos="4667"/>
        </w:tabs>
        <w:spacing w:after="0" w:line="360" w:lineRule="auto"/>
        <w:ind w:left="567" w:right="567"/>
        <w:contextualSpacing/>
        <w:rPr>
          <w:rFonts w:eastAsia="Times New Roman" w:cs="Tahoma"/>
          <w:b/>
          <w:bCs/>
          <w:i/>
          <w:iCs/>
          <w:color w:val="auto"/>
          <w:sz w:val="20"/>
          <w:szCs w:val="20"/>
          <w:lang w:eastAsia="es-ES"/>
        </w:rPr>
      </w:pPr>
    </w:p>
    <w:p w14:paraId="43A942A1" w14:textId="77777777" w:rsidR="00BF6B4B" w:rsidRPr="00507F8A" w:rsidRDefault="00BF6B4B" w:rsidP="00AD7BBE">
      <w:pPr>
        <w:tabs>
          <w:tab w:val="left" w:pos="4667"/>
        </w:tabs>
        <w:spacing w:after="0" w:line="360" w:lineRule="auto"/>
        <w:ind w:left="567" w:right="567"/>
        <w:contextualSpacing/>
        <w:rPr>
          <w:rFonts w:eastAsia="Times New Roman" w:cs="Tahoma"/>
          <w:b/>
          <w:bCs/>
          <w:i/>
          <w:iCs/>
          <w:color w:val="auto"/>
          <w:sz w:val="20"/>
          <w:lang w:eastAsia="es-ES"/>
        </w:rPr>
      </w:pPr>
      <w:r w:rsidRPr="00507F8A">
        <w:rPr>
          <w:rFonts w:eastAsia="Times New Roman" w:cs="Tahoma"/>
          <w:b/>
          <w:bCs/>
          <w:i/>
          <w:iCs/>
          <w:color w:val="auto"/>
          <w:sz w:val="20"/>
          <w:lang w:eastAsia="es-ES"/>
        </w:rPr>
        <w:t>“MODALIDAD DE ENTREGA</w:t>
      </w:r>
    </w:p>
    <w:p w14:paraId="4F6E0257" w14:textId="77777777" w:rsidR="00BF6B4B" w:rsidRPr="00507F8A" w:rsidRDefault="00BF6B4B" w:rsidP="00AD7BBE">
      <w:pPr>
        <w:spacing w:after="0" w:line="360" w:lineRule="auto"/>
        <w:ind w:left="567" w:right="567"/>
        <w:contextualSpacing/>
        <w:rPr>
          <w:rFonts w:eastAsia="Times New Roman" w:cs="Arial"/>
          <w:bCs/>
          <w:i/>
          <w:iCs/>
          <w:color w:val="auto"/>
          <w:sz w:val="20"/>
          <w:lang w:eastAsia="es-ES"/>
        </w:rPr>
      </w:pPr>
      <w:r w:rsidRPr="00507F8A">
        <w:rPr>
          <w:rFonts w:eastAsia="Times New Roman" w:cs="Arial"/>
          <w:bCs/>
          <w:i/>
          <w:iCs/>
          <w:color w:val="auto"/>
          <w:sz w:val="20"/>
          <w:lang w:eastAsia="es-ES"/>
        </w:rPr>
        <w:t>A través del SAIMEX”</w:t>
      </w:r>
    </w:p>
    <w:p w14:paraId="4A5C9401" w14:textId="77777777" w:rsidR="00BF6B4B" w:rsidRPr="00507F8A" w:rsidRDefault="00BF6B4B" w:rsidP="00AD7BBE">
      <w:pPr>
        <w:spacing w:after="0" w:line="360" w:lineRule="auto"/>
        <w:ind w:left="567" w:right="567"/>
        <w:contextualSpacing/>
        <w:rPr>
          <w:rFonts w:eastAsia="Times New Roman" w:cs="Arial"/>
          <w:bCs/>
          <w:i/>
          <w:iCs/>
          <w:color w:val="auto"/>
          <w:lang w:eastAsia="es-ES"/>
        </w:rPr>
      </w:pPr>
    </w:p>
    <w:p w14:paraId="5CA6C061" w14:textId="77777777" w:rsidR="00BF6B4B" w:rsidRPr="00507F8A" w:rsidRDefault="00BF6B4B" w:rsidP="00AD7BBE">
      <w:pPr>
        <w:autoSpaceDE w:val="0"/>
        <w:autoSpaceDN w:val="0"/>
        <w:adjustRightInd w:val="0"/>
        <w:spacing w:after="0" w:line="360" w:lineRule="auto"/>
        <w:contextualSpacing/>
        <w:rPr>
          <w:b/>
          <w:bCs/>
        </w:rPr>
      </w:pPr>
      <w:r w:rsidRPr="00507F8A">
        <w:rPr>
          <w:rFonts w:cs="Tahoma"/>
          <w:b/>
        </w:rPr>
        <w:t>II.</w:t>
      </w:r>
      <w:r w:rsidRPr="00507F8A">
        <w:rPr>
          <w:b/>
          <w:bCs/>
        </w:rPr>
        <w:t xml:space="preserve"> Respuesta del Sujeto Obligado. </w:t>
      </w:r>
    </w:p>
    <w:p w14:paraId="40C16A10" w14:textId="77777777" w:rsidR="004E1023" w:rsidRPr="00507F8A" w:rsidRDefault="004E1023" w:rsidP="00AD7BBE">
      <w:pPr>
        <w:autoSpaceDE w:val="0"/>
        <w:autoSpaceDN w:val="0"/>
        <w:adjustRightInd w:val="0"/>
        <w:spacing w:after="0" w:line="360" w:lineRule="auto"/>
        <w:contextualSpacing/>
        <w:rPr>
          <w:b/>
          <w:bCs/>
        </w:rPr>
      </w:pPr>
    </w:p>
    <w:p w14:paraId="042F3729" w14:textId="72CA5EDF" w:rsidR="00BF6B4B" w:rsidRPr="00507F8A" w:rsidRDefault="004E1023" w:rsidP="00AD7BBE">
      <w:pPr>
        <w:spacing w:after="0" w:line="360" w:lineRule="auto"/>
        <w:contextualSpacing/>
      </w:pPr>
      <w:r w:rsidRPr="00507F8A">
        <w:t>Con fecha veinticuatro</w:t>
      </w:r>
      <w:r w:rsidR="00BF6B4B" w:rsidRPr="00507F8A">
        <w:t xml:space="preserve"> de abril de dos mil veintitrés, el Sujeto Obligado notificó, a través del Sistema de Acceso a la Información Mexiquense (SAIMEX), la respuesta a la solicitud de acceso a la información pública, a través </w:t>
      </w:r>
      <w:r w:rsidRPr="00507F8A">
        <w:t>del oficio número DA/JEDTA/0363/2023, suscrito por la Dirección de Administración y dirigido a la Titular de la Unidad de Transparencia, por medio del cual precisa que remite la información solicitada.</w:t>
      </w:r>
    </w:p>
    <w:p w14:paraId="5BED88DD" w14:textId="77777777" w:rsidR="004E1023" w:rsidRPr="00507F8A" w:rsidRDefault="004E1023" w:rsidP="00AD7BBE">
      <w:pPr>
        <w:spacing w:after="0" w:line="360" w:lineRule="auto"/>
        <w:contextualSpacing/>
      </w:pPr>
    </w:p>
    <w:p w14:paraId="2263E548" w14:textId="7950F7A6" w:rsidR="00BF6B4B" w:rsidRPr="00507F8A" w:rsidRDefault="004E1023" w:rsidP="00AD7BBE">
      <w:pPr>
        <w:spacing w:after="0" w:line="360" w:lineRule="auto"/>
        <w:contextualSpacing/>
      </w:pPr>
      <w:r w:rsidRPr="00507F8A">
        <w:t>El Sujeto Obligado remitió la digitalización de los siguientes documentos:</w:t>
      </w:r>
    </w:p>
    <w:p w14:paraId="58A67F15" w14:textId="77777777" w:rsidR="004E1023" w:rsidRPr="00507F8A" w:rsidRDefault="004E1023" w:rsidP="00AD7BBE">
      <w:pPr>
        <w:spacing w:after="0" w:line="360" w:lineRule="auto"/>
        <w:contextualSpacing/>
      </w:pPr>
    </w:p>
    <w:p w14:paraId="6D5FB646" w14:textId="58422B6B" w:rsidR="00BF6B4B" w:rsidRPr="00507F8A" w:rsidRDefault="00BF6B4B" w:rsidP="00AD7BBE">
      <w:pPr>
        <w:spacing w:after="0" w:line="360" w:lineRule="auto"/>
        <w:contextualSpacing/>
      </w:pPr>
      <w:r w:rsidRPr="00507F8A">
        <w:t xml:space="preserve">i) </w:t>
      </w:r>
      <w:r w:rsidR="004E1023" w:rsidRPr="00507F8A">
        <w:t>Relación con el nombre, cargo y certificación de cinco servidores públicos, y</w:t>
      </w:r>
    </w:p>
    <w:p w14:paraId="0BE08156" w14:textId="77777777" w:rsidR="00BF6B4B" w:rsidRPr="00507F8A" w:rsidRDefault="00BF6B4B" w:rsidP="00AD7BBE">
      <w:pPr>
        <w:spacing w:after="0" w:line="360" w:lineRule="auto"/>
        <w:contextualSpacing/>
      </w:pPr>
    </w:p>
    <w:p w14:paraId="383D3A7D" w14:textId="7D0C649A" w:rsidR="00D560A4" w:rsidRPr="00507F8A" w:rsidRDefault="00BF6B4B" w:rsidP="00AD7BBE">
      <w:pPr>
        <w:spacing w:after="0" w:line="360" w:lineRule="auto"/>
        <w:contextualSpacing/>
        <w:rPr>
          <w:b/>
        </w:rPr>
      </w:pPr>
      <w:r w:rsidRPr="00507F8A">
        <w:t xml:space="preserve">ii) </w:t>
      </w:r>
      <w:r w:rsidR="004E1023" w:rsidRPr="00507F8A">
        <w:t>Certificado de Competencia Laboral emitidos por el Instituto Hacendario del Estado de México, del Secretario del Ayuntamiento, Tesorero Municipal, Director de Obras Públicas y Catastro.</w:t>
      </w:r>
    </w:p>
    <w:p w14:paraId="1FF9A2D5" w14:textId="77777777" w:rsidR="00D560A4" w:rsidRPr="00507F8A" w:rsidRDefault="00D560A4" w:rsidP="00AD7BBE">
      <w:pPr>
        <w:spacing w:after="0" w:line="360" w:lineRule="auto"/>
        <w:contextualSpacing/>
        <w:rPr>
          <w:b/>
        </w:rPr>
      </w:pPr>
    </w:p>
    <w:p w14:paraId="6CE53D45" w14:textId="77777777" w:rsidR="00BF6B4B" w:rsidRPr="00507F8A" w:rsidRDefault="00BF6B4B" w:rsidP="00AD7BBE">
      <w:pPr>
        <w:spacing w:after="0" w:line="360" w:lineRule="auto"/>
        <w:contextualSpacing/>
        <w:rPr>
          <w:b/>
        </w:rPr>
      </w:pPr>
      <w:r w:rsidRPr="00507F8A">
        <w:rPr>
          <w:b/>
        </w:rPr>
        <w:t xml:space="preserve">III. Interposición del Recurso de Revisión. </w:t>
      </w:r>
    </w:p>
    <w:p w14:paraId="316C7BED" w14:textId="77777777" w:rsidR="00BF6B4B" w:rsidRPr="00507F8A" w:rsidRDefault="00BF6B4B" w:rsidP="00AD7BBE">
      <w:pPr>
        <w:spacing w:after="0" w:line="360" w:lineRule="auto"/>
        <w:contextualSpacing/>
        <w:rPr>
          <w:bCs/>
        </w:rPr>
      </w:pPr>
    </w:p>
    <w:p w14:paraId="29DAF051" w14:textId="0068232A" w:rsidR="00BF6B4B" w:rsidRPr="00507F8A" w:rsidRDefault="00BF6B4B" w:rsidP="00AD7BBE">
      <w:pPr>
        <w:spacing w:after="0" w:line="360" w:lineRule="auto"/>
        <w:contextualSpacing/>
        <w:rPr>
          <w:bCs/>
        </w:rPr>
      </w:pPr>
      <w:r w:rsidRPr="00507F8A">
        <w:rPr>
          <w:bCs/>
        </w:rPr>
        <w:t xml:space="preserve">Con fecha </w:t>
      </w:r>
      <w:r w:rsidR="004E1023" w:rsidRPr="00507F8A">
        <w:rPr>
          <w:bCs/>
        </w:rPr>
        <w:t>dos de mayo</w:t>
      </w:r>
      <w:r w:rsidRPr="00507F8A">
        <w:rPr>
          <w:bCs/>
        </w:rPr>
        <w:t xml:space="preserve"> de dos mil veintitrés, se recibió en este Instituto, a través del </w:t>
      </w:r>
      <w:r w:rsidRPr="00507F8A">
        <w:rPr>
          <w:bCs/>
          <w:lang w:val="es-ES"/>
        </w:rPr>
        <w:t>Sistema de Acceso a la Información Mexiquense (SAIMEX)</w:t>
      </w:r>
      <w:r w:rsidRPr="00507F8A">
        <w:rPr>
          <w:bCs/>
        </w:rPr>
        <w:t>, Recurso de Revisión interpuesto por la parte Recurrente, en contra de la respuesta por el Sujeto Obligado,</w:t>
      </w:r>
      <w:r w:rsidR="004E1023" w:rsidRPr="00507F8A">
        <w:rPr>
          <w:bCs/>
        </w:rPr>
        <w:t xml:space="preserve"> a la solicitud de información</w:t>
      </w:r>
      <w:r w:rsidR="00E3287F" w:rsidRPr="00507F8A">
        <w:t>,</w:t>
      </w:r>
      <w:r w:rsidR="00E3287F" w:rsidRPr="00507F8A">
        <w:rPr>
          <w:b/>
        </w:rPr>
        <w:t xml:space="preserve"> </w:t>
      </w:r>
      <w:r w:rsidRPr="00507F8A">
        <w:rPr>
          <w:bCs/>
        </w:rPr>
        <w:t>en los siguientes términos:</w:t>
      </w:r>
    </w:p>
    <w:p w14:paraId="4F421643" w14:textId="77777777" w:rsidR="00BF6B4B" w:rsidRPr="00507F8A" w:rsidRDefault="00BF6B4B" w:rsidP="00AD7BBE">
      <w:pPr>
        <w:spacing w:after="0" w:line="360" w:lineRule="auto"/>
        <w:contextualSpacing/>
        <w:rPr>
          <w:bCs/>
        </w:rPr>
      </w:pPr>
    </w:p>
    <w:p w14:paraId="64D71820" w14:textId="77777777" w:rsidR="006D639A" w:rsidRPr="00507F8A" w:rsidRDefault="006D639A" w:rsidP="00AD7BBE">
      <w:pPr>
        <w:spacing w:after="0" w:line="360" w:lineRule="auto"/>
        <w:contextualSpacing/>
        <w:rPr>
          <w:bCs/>
        </w:rPr>
      </w:pPr>
    </w:p>
    <w:p w14:paraId="355CE314" w14:textId="77777777" w:rsidR="00BF6B4B" w:rsidRPr="00507F8A" w:rsidRDefault="00BF6B4B" w:rsidP="00AD7BBE">
      <w:pPr>
        <w:spacing w:after="0" w:line="360" w:lineRule="auto"/>
        <w:ind w:left="567" w:right="567"/>
        <w:contextualSpacing/>
        <w:jc w:val="left"/>
        <w:rPr>
          <w:bCs/>
          <w:i/>
          <w:sz w:val="20"/>
          <w:szCs w:val="20"/>
        </w:rPr>
      </w:pPr>
      <w:r w:rsidRPr="00507F8A">
        <w:rPr>
          <w:b/>
          <w:bCs/>
          <w:i/>
          <w:sz w:val="20"/>
          <w:szCs w:val="20"/>
        </w:rPr>
        <w:lastRenderedPageBreak/>
        <w:t>“ACTO IMPUGNADO</w:t>
      </w:r>
    </w:p>
    <w:p w14:paraId="47804ED5" w14:textId="2D94BE01" w:rsidR="00BF6B4B" w:rsidRPr="00507F8A" w:rsidRDefault="006D639A" w:rsidP="00AD7BBE">
      <w:pPr>
        <w:spacing w:after="0" w:line="360" w:lineRule="auto"/>
        <w:ind w:left="567" w:right="567"/>
        <w:contextualSpacing/>
        <w:jc w:val="left"/>
        <w:rPr>
          <w:rFonts w:eastAsia="Times New Roman" w:cs="Times New Roman"/>
          <w:i/>
          <w:color w:val="auto"/>
          <w:sz w:val="20"/>
          <w:szCs w:val="20"/>
          <w:lang w:eastAsia="es-MX"/>
        </w:rPr>
      </w:pPr>
      <w:r w:rsidRPr="00507F8A">
        <w:rPr>
          <w:rFonts w:eastAsia="Times New Roman" w:cs="Times New Roman"/>
          <w:i/>
          <w:color w:val="auto"/>
          <w:sz w:val="20"/>
          <w:szCs w:val="20"/>
          <w:lang w:eastAsia="es-MX"/>
        </w:rPr>
        <w:t>incompleta información</w:t>
      </w:r>
      <w:r w:rsidR="00BF6B4B" w:rsidRPr="00507F8A">
        <w:rPr>
          <w:i/>
          <w:sz w:val="20"/>
          <w:szCs w:val="20"/>
        </w:rPr>
        <w:t>” (Sic.)</w:t>
      </w:r>
    </w:p>
    <w:p w14:paraId="205D0FAE" w14:textId="77777777" w:rsidR="00BF6B4B" w:rsidRPr="00507F8A" w:rsidRDefault="00BF6B4B" w:rsidP="00AD7BBE">
      <w:pPr>
        <w:spacing w:after="0" w:line="360" w:lineRule="auto"/>
        <w:ind w:left="567" w:right="567"/>
        <w:contextualSpacing/>
        <w:rPr>
          <w:i/>
          <w:sz w:val="20"/>
          <w:szCs w:val="20"/>
        </w:rPr>
      </w:pPr>
    </w:p>
    <w:p w14:paraId="2D2F58EF" w14:textId="77777777" w:rsidR="00BF6B4B" w:rsidRPr="00507F8A" w:rsidRDefault="00BF6B4B" w:rsidP="00AD7BBE">
      <w:pPr>
        <w:spacing w:after="0" w:line="360" w:lineRule="auto"/>
        <w:ind w:left="567" w:right="567"/>
        <w:contextualSpacing/>
        <w:rPr>
          <w:b/>
          <w:i/>
          <w:sz w:val="20"/>
          <w:szCs w:val="20"/>
        </w:rPr>
      </w:pPr>
      <w:r w:rsidRPr="00507F8A">
        <w:rPr>
          <w:b/>
          <w:i/>
          <w:sz w:val="20"/>
          <w:szCs w:val="20"/>
        </w:rPr>
        <w:t>“RAZONES O MOTIVOS DE LA INCONFORMIDAD</w:t>
      </w:r>
    </w:p>
    <w:p w14:paraId="0C7390AF" w14:textId="6698E253" w:rsidR="00BF6B4B" w:rsidRPr="00507F8A" w:rsidRDefault="006D639A" w:rsidP="00AD7BBE">
      <w:pPr>
        <w:spacing w:after="0" w:line="360" w:lineRule="auto"/>
        <w:ind w:left="567" w:right="567"/>
        <w:contextualSpacing/>
        <w:rPr>
          <w:rFonts w:eastAsia="Times New Roman" w:cs="Times New Roman"/>
          <w:i/>
          <w:iCs/>
          <w:color w:val="auto"/>
          <w:sz w:val="20"/>
          <w:szCs w:val="20"/>
          <w:lang w:eastAsia="es-MX"/>
        </w:rPr>
      </w:pPr>
      <w:r w:rsidRPr="00507F8A">
        <w:rPr>
          <w:rFonts w:eastAsia="Times New Roman" w:cs="Times New Roman"/>
          <w:i/>
          <w:iCs/>
          <w:color w:val="auto"/>
          <w:sz w:val="20"/>
          <w:szCs w:val="20"/>
          <w:lang w:eastAsia="es-MX"/>
        </w:rPr>
        <w:t>incompleta información</w:t>
      </w:r>
      <w:r w:rsidR="00BF6B4B" w:rsidRPr="00507F8A">
        <w:rPr>
          <w:i/>
          <w:iCs/>
          <w:sz w:val="20"/>
          <w:szCs w:val="20"/>
        </w:rPr>
        <w:t>” (Sic.)</w:t>
      </w:r>
    </w:p>
    <w:p w14:paraId="48824478" w14:textId="77777777" w:rsidR="00BF6B4B" w:rsidRPr="00507F8A" w:rsidRDefault="00BF6B4B" w:rsidP="00AD7BBE">
      <w:pPr>
        <w:spacing w:after="0" w:line="360" w:lineRule="auto"/>
        <w:contextualSpacing/>
      </w:pPr>
    </w:p>
    <w:p w14:paraId="48898097" w14:textId="77777777" w:rsidR="00BF6B4B" w:rsidRPr="00507F8A" w:rsidRDefault="00BF6B4B" w:rsidP="00AD7BBE">
      <w:pPr>
        <w:spacing w:after="0" w:line="360" w:lineRule="auto"/>
        <w:contextualSpacing/>
        <w:rPr>
          <w:b/>
          <w:bCs/>
        </w:rPr>
      </w:pPr>
      <w:r w:rsidRPr="00507F8A">
        <w:rPr>
          <w:b/>
        </w:rPr>
        <w:t xml:space="preserve">IV. </w:t>
      </w:r>
      <w:r w:rsidRPr="00507F8A">
        <w:rPr>
          <w:b/>
          <w:bCs/>
        </w:rPr>
        <w:t xml:space="preserve">Trámite del </w:t>
      </w:r>
      <w:r w:rsidRPr="00507F8A">
        <w:rPr>
          <w:b/>
        </w:rPr>
        <w:t xml:space="preserve">Recurso de Revisión </w:t>
      </w:r>
      <w:r w:rsidRPr="00507F8A">
        <w:rPr>
          <w:b/>
          <w:bCs/>
        </w:rPr>
        <w:t>ante este Instituto.</w:t>
      </w:r>
    </w:p>
    <w:p w14:paraId="5E170841" w14:textId="77777777" w:rsidR="00BF6B4B" w:rsidRPr="00507F8A" w:rsidRDefault="00BF6B4B" w:rsidP="00AD7BBE">
      <w:pPr>
        <w:spacing w:after="0" w:line="360" w:lineRule="auto"/>
        <w:contextualSpacing/>
        <w:rPr>
          <w:b/>
          <w:bCs/>
        </w:rPr>
      </w:pPr>
    </w:p>
    <w:p w14:paraId="34A498EE" w14:textId="43182A22" w:rsidR="00BF6B4B" w:rsidRPr="00507F8A" w:rsidRDefault="00BF6B4B" w:rsidP="00AD7BBE">
      <w:pPr>
        <w:spacing w:after="0" w:line="360" w:lineRule="auto"/>
        <w:contextualSpacing/>
        <w:rPr>
          <w:b/>
          <w:bCs/>
        </w:rPr>
      </w:pPr>
      <w:r w:rsidRPr="00507F8A">
        <w:rPr>
          <w:b/>
          <w:bCs/>
        </w:rPr>
        <w:t xml:space="preserve">a) Turno del Medio de Impugnación. </w:t>
      </w:r>
      <w:r w:rsidRPr="00507F8A">
        <w:rPr>
          <w:bCs/>
        </w:rPr>
        <w:t xml:space="preserve">El </w:t>
      </w:r>
      <w:r w:rsidR="006D639A" w:rsidRPr="00507F8A">
        <w:rPr>
          <w:bCs/>
        </w:rPr>
        <w:t>dos de mayo</w:t>
      </w:r>
      <w:r w:rsidRPr="00507F8A">
        <w:rPr>
          <w:bCs/>
        </w:rPr>
        <w:t xml:space="preserve"> de dos mil veintitrés, el </w:t>
      </w:r>
      <w:r w:rsidRPr="00507F8A">
        <w:rPr>
          <w:lang w:val="es-ES"/>
        </w:rPr>
        <w:t>Sistema de Acceso a la Información Mexiquense (SAIMEX),</w:t>
      </w:r>
      <w:r w:rsidRPr="00507F8A">
        <w:rPr>
          <w:bCs/>
        </w:rPr>
        <w:t xml:space="preserve"> asignó el número de expediente </w:t>
      </w:r>
      <w:r w:rsidRPr="00507F8A">
        <w:rPr>
          <w:b/>
          <w:bCs/>
        </w:rPr>
        <w:t>0</w:t>
      </w:r>
      <w:r w:rsidR="004E1023" w:rsidRPr="00507F8A">
        <w:rPr>
          <w:b/>
          <w:bCs/>
        </w:rPr>
        <w:t>2366</w:t>
      </w:r>
      <w:r w:rsidRPr="00507F8A">
        <w:rPr>
          <w:b/>
          <w:bCs/>
        </w:rPr>
        <w:t>/INFOEM/IP/RR/2023</w:t>
      </w:r>
      <w:r w:rsidRPr="00507F8A">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E87B8D" w14:textId="77777777" w:rsidR="00D560A4" w:rsidRPr="00507F8A" w:rsidRDefault="00D560A4" w:rsidP="00AD7BBE">
      <w:pPr>
        <w:spacing w:after="0" w:line="360" w:lineRule="auto"/>
        <w:contextualSpacing/>
        <w:rPr>
          <w:bCs/>
        </w:rPr>
      </w:pPr>
    </w:p>
    <w:p w14:paraId="6E25E5C6" w14:textId="7709DBC0" w:rsidR="00BF6B4B" w:rsidRPr="00507F8A" w:rsidRDefault="00BF6B4B" w:rsidP="00AD7BBE">
      <w:pPr>
        <w:spacing w:after="0" w:line="360" w:lineRule="auto"/>
        <w:contextualSpacing/>
      </w:pPr>
      <w:r w:rsidRPr="00507F8A">
        <w:rPr>
          <w:b/>
          <w:bCs/>
        </w:rPr>
        <w:t>b) Admisión del Recurso de Revisión</w:t>
      </w:r>
      <w:r w:rsidRPr="00507F8A">
        <w:rPr>
          <w:b/>
          <w:bCs/>
          <w:lang w:val="es-ES_tradnl"/>
        </w:rPr>
        <w:t xml:space="preserve">. </w:t>
      </w:r>
      <w:r w:rsidRPr="00507F8A">
        <w:rPr>
          <w:bCs/>
          <w:lang w:val="es-ES_tradnl"/>
        </w:rPr>
        <w:t xml:space="preserve">El </w:t>
      </w:r>
      <w:r w:rsidR="006D639A" w:rsidRPr="00507F8A">
        <w:rPr>
          <w:bCs/>
          <w:lang w:val="es-ES_tradnl"/>
        </w:rPr>
        <w:t>ocho de mayo</w:t>
      </w:r>
      <w:r w:rsidR="00E3287F" w:rsidRPr="00507F8A">
        <w:rPr>
          <w:bCs/>
          <w:lang w:val="es-ES_tradnl"/>
        </w:rPr>
        <w:t xml:space="preserve"> </w:t>
      </w:r>
      <w:r w:rsidRPr="00507F8A">
        <w:rPr>
          <w:bCs/>
          <w:lang w:val="es-ES_tradnl"/>
        </w:rPr>
        <w:t>de dos mil veintitrés,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a través del Sistema de Acceso a la Información Mexiquense (SAIMEX), en el que se les otorgó un plazo de siete días hábiles posteriores a la misma, para que manifestaran lo que a su derecho conviniera y formularan alegatos.</w:t>
      </w:r>
    </w:p>
    <w:p w14:paraId="3EECDDCF" w14:textId="77777777" w:rsidR="00BF6B4B" w:rsidRPr="00507F8A" w:rsidRDefault="00BF6B4B" w:rsidP="00AD7BBE">
      <w:pPr>
        <w:spacing w:after="0" w:line="360" w:lineRule="auto"/>
        <w:contextualSpacing/>
      </w:pPr>
    </w:p>
    <w:p w14:paraId="200611DD" w14:textId="7CC6FEB7" w:rsidR="00BF6B4B" w:rsidRPr="00507F8A" w:rsidRDefault="00BF6B4B" w:rsidP="00AD7BBE">
      <w:pPr>
        <w:spacing w:after="0" w:line="360" w:lineRule="auto"/>
        <w:contextualSpacing/>
        <w:rPr>
          <w:bCs/>
        </w:rPr>
      </w:pPr>
      <w:r w:rsidRPr="00507F8A">
        <w:rPr>
          <w:b/>
        </w:rPr>
        <w:t xml:space="preserve">c) </w:t>
      </w:r>
      <w:r w:rsidR="00E3287F" w:rsidRPr="00507F8A">
        <w:rPr>
          <w:rFonts w:cs="Tahoma"/>
          <w:b/>
          <w:lang w:val="es-ES_tradnl"/>
        </w:rPr>
        <w:t xml:space="preserve">Informe Justificado o Manifestaciones. </w:t>
      </w:r>
      <w:r w:rsidR="00E3287F" w:rsidRPr="00507F8A">
        <w:rPr>
          <w:rFonts w:cs="Tahoma"/>
          <w:lang w:val="es-ES_tradnl"/>
        </w:rPr>
        <w:t>Las partes fueron omisas en emitir manifestaciones o alegatos.</w:t>
      </w:r>
    </w:p>
    <w:p w14:paraId="03503C36" w14:textId="77777777" w:rsidR="00BF6B4B" w:rsidRPr="00507F8A" w:rsidRDefault="00BF6B4B" w:rsidP="00AD7BBE">
      <w:pPr>
        <w:spacing w:after="0" w:line="360" w:lineRule="auto"/>
        <w:contextualSpacing/>
        <w:rPr>
          <w:rFonts w:eastAsia="Times New Roman" w:cs="Tahoma"/>
          <w:b/>
          <w:color w:val="auto"/>
          <w:szCs w:val="24"/>
          <w:lang w:eastAsia="es-ES"/>
        </w:rPr>
      </w:pPr>
    </w:p>
    <w:p w14:paraId="38228E07" w14:textId="5097747C" w:rsidR="00BF6B4B" w:rsidRPr="00507F8A" w:rsidRDefault="00BF6B4B" w:rsidP="00AD7BBE">
      <w:pPr>
        <w:spacing w:after="0" w:line="360" w:lineRule="auto"/>
        <w:contextualSpacing/>
        <w:rPr>
          <w:rFonts w:eastAsia="Palatino Linotype" w:cs="Palatino Linotype"/>
          <w:b/>
          <w:bCs/>
        </w:rPr>
      </w:pPr>
      <w:r w:rsidRPr="00507F8A">
        <w:rPr>
          <w:rFonts w:eastAsia="Times New Roman" w:cs="Tahoma"/>
          <w:b/>
          <w:color w:val="auto"/>
          <w:szCs w:val="24"/>
          <w:lang w:eastAsia="es-ES"/>
        </w:rPr>
        <w:t>d) Cierre de instrucción.</w:t>
      </w:r>
      <w:r w:rsidRPr="00507F8A">
        <w:rPr>
          <w:rFonts w:eastAsia="Times New Roman" w:cs="Tahoma"/>
          <w:color w:val="auto"/>
          <w:szCs w:val="24"/>
          <w:lang w:eastAsia="es-ES"/>
        </w:rPr>
        <w:t xml:space="preserve"> El </w:t>
      </w:r>
      <w:r w:rsidR="006D639A" w:rsidRPr="00507F8A">
        <w:rPr>
          <w:rFonts w:eastAsia="Times New Roman" w:cs="Tahoma"/>
          <w:color w:val="auto"/>
          <w:szCs w:val="24"/>
          <w:lang w:eastAsia="es-ES"/>
        </w:rPr>
        <w:t>veinticinco</w:t>
      </w:r>
      <w:r w:rsidR="00E3287F" w:rsidRPr="00507F8A">
        <w:rPr>
          <w:rFonts w:eastAsia="Times New Roman" w:cs="Tahoma"/>
          <w:color w:val="auto"/>
          <w:szCs w:val="24"/>
          <w:lang w:eastAsia="es-ES"/>
        </w:rPr>
        <w:t xml:space="preserve"> </w:t>
      </w:r>
      <w:r w:rsidRPr="00507F8A">
        <w:rPr>
          <w:rFonts w:eastAsia="Times New Roman" w:cs="Tahoma"/>
          <w:color w:val="auto"/>
          <w:szCs w:val="24"/>
          <w:lang w:eastAsia="es-ES"/>
        </w:rPr>
        <w:t xml:space="preserve">de mayo de dos mil veintitrés, al no existir diligencias pendientes por desahogar, se emitió el acuerdo por medio del cual se declaró cerrada la </w:t>
      </w:r>
      <w:r w:rsidRPr="00507F8A">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w:t>
      </w:r>
      <w:r w:rsidRPr="00507F8A">
        <w:rPr>
          <w:rFonts w:eastAsia="Palatino Linotype" w:cs="Palatino Linotype"/>
          <w:lang w:val="es-ES"/>
        </w:rPr>
        <w:t>acto que fue notificado a las p</w:t>
      </w:r>
      <w:r w:rsidR="001F62B7" w:rsidRPr="00507F8A">
        <w:rPr>
          <w:rFonts w:eastAsia="Palatino Linotype" w:cs="Palatino Linotype"/>
          <w:lang w:val="es-ES"/>
        </w:rPr>
        <w:t>artes</w:t>
      </w:r>
      <w:r w:rsidRPr="00507F8A">
        <w:rPr>
          <w:rFonts w:eastAsia="Palatino Linotype" w:cs="Palatino Linotype"/>
          <w:lang w:val="es-ES"/>
        </w:rPr>
        <w:t>, mediante el Sistema de Acceso a la Información Mexiquense (SAIMEX), el mismo día.</w:t>
      </w:r>
    </w:p>
    <w:p w14:paraId="20AF750B" w14:textId="77777777" w:rsidR="00BF6B4B" w:rsidRPr="00507F8A" w:rsidRDefault="00BF6B4B" w:rsidP="00AD7BBE">
      <w:pPr>
        <w:spacing w:after="0" w:line="360" w:lineRule="auto"/>
        <w:contextualSpacing/>
        <w:rPr>
          <w:rFonts w:eastAsia="Times New Roman" w:cs="Tahoma"/>
          <w:color w:val="auto"/>
          <w:szCs w:val="24"/>
          <w:lang w:eastAsia="es-ES"/>
        </w:rPr>
      </w:pPr>
    </w:p>
    <w:p w14:paraId="0629F0F4" w14:textId="77777777" w:rsidR="00BF6B4B" w:rsidRPr="00507F8A" w:rsidRDefault="00BF6B4B" w:rsidP="00AD7BBE">
      <w:pPr>
        <w:spacing w:after="0" w:line="360" w:lineRule="auto"/>
        <w:contextualSpacing/>
        <w:rPr>
          <w:rFonts w:eastAsia="Times New Roman" w:cs="Tahoma"/>
          <w:color w:val="auto"/>
          <w:szCs w:val="24"/>
          <w:lang w:eastAsia="es-ES"/>
        </w:rPr>
      </w:pPr>
      <w:r w:rsidRPr="00507F8A">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120D7ED6" w14:textId="77777777" w:rsidR="00BF6B4B" w:rsidRPr="00507F8A" w:rsidRDefault="00BF6B4B" w:rsidP="00AD7BBE">
      <w:pPr>
        <w:spacing w:after="0" w:line="360" w:lineRule="auto"/>
        <w:contextualSpacing/>
        <w:rPr>
          <w:rFonts w:eastAsia="Times New Roman" w:cs="Tahoma"/>
          <w:bCs/>
          <w:iCs/>
          <w:color w:val="auto"/>
          <w:lang w:val="es-ES" w:eastAsia="es-ES"/>
        </w:rPr>
      </w:pPr>
    </w:p>
    <w:p w14:paraId="2AC78214" w14:textId="77777777" w:rsidR="00BF6B4B" w:rsidRPr="00507F8A" w:rsidRDefault="00BF6B4B" w:rsidP="00AD7BBE">
      <w:pPr>
        <w:spacing w:after="0" w:line="360" w:lineRule="auto"/>
        <w:contextualSpacing/>
        <w:jc w:val="center"/>
        <w:rPr>
          <w:rFonts w:eastAsia="Times New Roman" w:cs="Tahoma"/>
          <w:b/>
          <w:color w:val="auto"/>
          <w:lang w:val="es-ES" w:eastAsia="es-ES"/>
        </w:rPr>
      </w:pPr>
      <w:r w:rsidRPr="00507F8A">
        <w:rPr>
          <w:rFonts w:eastAsia="Times New Roman" w:cs="Tahoma"/>
          <w:b/>
          <w:color w:val="auto"/>
          <w:lang w:val="es-ES" w:eastAsia="es-ES"/>
        </w:rPr>
        <w:t>C O N S I D E R A N D O S:</w:t>
      </w:r>
    </w:p>
    <w:p w14:paraId="42D604CB" w14:textId="77777777" w:rsidR="00BF6B4B" w:rsidRPr="00507F8A" w:rsidRDefault="00BF6B4B" w:rsidP="00AD7BBE">
      <w:pPr>
        <w:spacing w:after="0" w:line="360" w:lineRule="auto"/>
        <w:contextualSpacing/>
        <w:rPr>
          <w:b/>
        </w:rPr>
      </w:pPr>
    </w:p>
    <w:p w14:paraId="2782BD2F" w14:textId="77777777" w:rsidR="00BF6B4B" w:rsidRPr="00507F8A" w:rsidRDefault="00BF6B4B" w:rsidP="00AD7BBE">
      <w:pPr>
        <w:autoSpaceDE w:val="0"/>
        <w:autoSpaceDN w:val="0"/>
        <w:adjustRightInd w:val="0"/>
        <w:spacing w:after="0" w:line="360" w:lineRule="auto"/>
        <w:contextualSpacing/>
        <w:rPr>
          <w:rFonts w:eastAsia="Times New Roman" w:cs="Tahoma"/>
          <w:b/>
          <w:color w:val="auto"/>
          <w:szCs w:val="24"/>
          <w:lang w:val="es-ES" w:eastAsia="es-ES"/>
        </w:rPr>
      </w:pPr>
      <w:r w:rsidRPr="00507F8A">
        <w:rPr>
          <w:rFonts w:eastAsia="Calibri" w:cs="Tahoma"/>
          <w:b/>
          <w:color w:val="000000"/>
          <w:szCs w:val="24"/>
          <w:lang w:val="es-ES" w:eastAsia="es-MX"/>
        </w:rPr>
        <w:t>PRIMERO</w:t>
      </w:r>
      <w:r w:rsidRPr="00507F8A">
        <w:rPr>
          <w:rFonts w:eastAsia="Calibri" w:cs="Tahoma"/>
          <w:color w:val="000000"/>
          <w:szCs w:val="24"/>
          <w:lang w:val="es-ES" w:eastAsia="es-MX"/>
        </w:rPr>
        <w:t xml:space="preserve">. </w:t>
      </w:r>
      <w:r w:rsidRPr="00507F8A">
        <w:rPr>
          <w:rFonts w:eastAsia="Times New Roman" w:cs="Tahoma"/>
          <w:b/>
          <w:color w:val="auto"/>
          <w:szCs w:val="24"/>
          <w:lang w:val="es-ES" w:eastAsia="es-ES"/>
        </w:rPr>
        <w:t>Competencia.</w:t>
      </w:r>
    </w:p>
    <w:p w14:paraId="5DA07AF4" w14:textId="77777777" w:rsidR="00BF6B4B" w:rsidRPr="00507F8A" w:rsidRDefault="00BF6B4B" w:rsidP="00AD7BBE">
      <w:pPr>
        <w:autoSpaceDE w:val="0"/>
        <w:autoSpaceDN w:val="0"/>
        <w:adjustRightInd w:val="0"/>
        <w:spacing w:after="0" w:line="360" w:lineRule="auto"/>
        <w:contextualSpacing/>
        <w:rPr>
          <w:rFonts w:eastAsia="Times New Roman" w:cs="Tahoma"/>
          <w:b/>
          <w:color w:val="auto"/>
          <w:szCs w:val="24"/>
          <w:lang w:val="es-ES" w:eastAsia="es-ES"/>
        </w:rPr>
      </w:pPr>
    </w:p>
    <w:p w14:paraId="7099DC65" w14:textId="77777777" w:rsidR="00BF6B4B" w:rsidRPr="00507F8A" w:rsidRDefault="00BF6B4B" w:rsidP="00AD7BBE">
      <w:pPr>
        <w:spacing w:after="0" w:line="360" w:lineRule="auto"/>
        <w:contextualSpacing/>
        <w:rPr>
          <w:rFonts w:eastAsia="Times New Roman" w:cs="Tahoma"/>
          <w:bCs/>
          <w:color w:val="auto"/>
          <w:lang w:eastAsia="es-ES"/>
        </w:rPr>
      </w:pPr>
      <w:r w:rsidRPr="00507F8A">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507F8A">
        <w:rPr>
          <w:rFonts w:eastAsia="Times New Roman" w:cs="Tahoma"/>
          <w:bCs/>
          <w:color w:val="auto"/>
          <w:lang w:val="x-none" w:eastAsia="es-ES"/>
        </w:rPr>
        <w:t>ésimo, trigésimo primero</w:t>
      </w:r>
      <w:r w:rsidRPr="00507F8A">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07F8A">
        <w:rPr>
          <w:rFonts w:eastAsia="Times New Roman" w:cs="Times New Roman"/>
          <w:bCs/>
          <w:color w:val="auto"/>
          <w:lang w:eastAsia="es-ES"/>
        </w:rPr>
        <w:t xml:space="preserve"> 7°, </w:t>
      </w:r>
      <w:r w:rsidRPr="00507F8A">
        <w:rPr>
          <w:rFonts w:eastAsia="Times New Roman" w:cs="Tahoma"/>
          <w:bCs/>
          <w:color w:val="auto"/>
          <w:lang w:eastAsia="es-ES"/>
        </w:rPr>
        <w:t>9°, fracciones I y XXIII y 11 del Reglamento Interior del Instituto de Transparencia, Acceso a la Información Pública y Protección de Datos Personales del Estado de México y Municipios.</w:t>
      </w:r>
    </w:p>
    <w:p w14:paraId="59A91543" w14:textId="77777777" w:rsidR="00BF6B4B" w:rsidRPr="00507F8A" w:rsidRDefault="00BF6B4B" w:rsidP="00AD7BBE">
      <w:pPr>
        <w:spacing w:after="0" w:line="360" w:lineRule="auto"/>
        <w:contextualSpacing/>
        <w:rPr>
          <w:rFonts w:eastAsia="Times New Roman" w:cs="Tahoma"/>
          <w:bCs/>
          <w:color w:val="auto"/>
          <w:lang w:eastAsia="es-ES"/>
        </w:rPr>
      </w:pPr>
    </w:p>
    <w:p w14:paraId="46A18DDF" w14:textId="77777777" w:rsidR="00BF6B4B" w:rsidRPr="00507F8A" w:rsidRDefault="00BF6B4B" w:rsidP="00AD7BBE">
      <w:pPr>
        <w:autoSpaceDE w:val="0"/>
        <w:autoSpaceDN w:val="0"/>
        <w:adjustRightInd w:val="0"/>
        <w:spacing w:after="0" w:line="360" w:lineRule="auto"/>
        <w:contextualSpacing/>
        <w:rPr>
          <w:rFonts w:eastAsia="Times New Roman" w:cs="Tahoma"/>
          <w:color w:val="auto"/>
          <w:szCs w:val="24"/>
          <w:lang w:val="es-ES" w:eastAsia="es-ES"/>
        </w:rPr>
      </w:pPr>
      <w:r w:rsidRPr="00507F8A">
        <w:rPr>
          <w:rFonts w:eastAsia="Calibri" w:cs="Tahoma"/>
          <w:b/>
          <w:color w:val="000000"/>
          <w:szCs w:val="24"/>
          <w:lang w:val="es-ES" w:eastAsia="es-MX"/>
        </w:rPr>
        <w:t>SEGUNDO</w:t>
      </w:r>
      <w:r w:rsidRPr="00507F8A">
        <w:rPr>
          <w:rFonts w:eastAsia="Calibri" w:cs="Tahoma"/>
          <w:color w:val="000000"/>
          <w:szCs w:val="24"/>
          <w:lang w:val="es-ES" w:eastAsia="es-MX"/>
        </w:rPr>
        <w:t xml:space="preserve">. </w:t>
      </w:r>
      <w:r w:rsidRPr="00507F8A">
        <w:rPr>
          <w:rFonts w:eastAsia="Times New Roman" w:cs="Tahoma"/>
          <w:b/>
          <w:color w:val="auto"/>
          <w:szCs w:val="24"/>
          <w:lang w:val="es-ES" w:eastAsia="es-ES"/>
        </w:rPr>
        <w:t>Causales de improcedencia y sobreseimiento.</w:t>
      </w:r>
      <w:r w:rsidRPr="00507F8A">
        <w:rPr>
          <w:rFonts w:eastAsia="Times New Roman" w:cs="Tahoma"/>
          <w:color w:val="auto"/>
          <w:szCs w:val="24"/>
          <w:lang w:val="es-ES" w:eastAsia="es-ES"/>
        </w:rPr>
        <w:t xml:space="preserve"> </w:t>
      </w:r>
    </w:p>
    <w:p w14:paraId="3ECC7862" w14:textId="77777777" w:rsidR="00BF6B4B" w:rsidRPr="00507F8A" w:rsidRDefault="00BF6B4B" w:rsidP="00AD7BBE">
      <w:pPr>
        <w:autoSpaceDE w:val="0"/>
        <w:autoSpaceDN w:val="0"/>
        <w:adjustRightInd w:val="0"/>
        <w:spacing w:after="0" w:line="360" w:lineRule="auto"/>
        <w:contextualSpacing/>
        <w:rPr>
          <w:rFonts w:eastAsia="Times New Roman" w:cs="Tahoma"/>
          <w:color w:val="auto"/>
          <w:szCs w:val="24"/>
          <w:lang w:val="es-ES" w:eastAsia="es-ES"/>
        </w:rPr>
      </w:pPr>
    </w:p>
    <w:p w14:paraId="45330F4F" w14:textId="77777777" w:rsidR="00BF6B4B" w:rsidRPr="00507F8A" w:rsidRDefault="00BF6B4B" w:rsidP="00AD7BBE">
      <w:pPr>
        <w:autoSpaceDE w:val="0"/>
        <w:autoSpaceDN w:val="0"/>
        <w:adjustRightInd w:val="0"/>
        <w:spacing w:after="0" w:line="360" w:lineRule="auto"/>
        <w:contextualSpacing/>
        <w:rPr>
          <w:rFonts w:eastAsia="Times New Roman" w:cs="Tahoma"/>
          <w:color w:val="auto"/>
          <w:szCs w:val="24"/>
          <w:lang w:val="es-ES" w:eastAsia="es-ES"/>
        </w:rPr>
      </w:pPr>
      <w:r w:rsidRPr="00507F8A">
        <w:rPr>
          <w:rFonts w:eastAsia="Times New Roman" w:cs="Tahoma"/>
          <w:color w:val="auto"/>
          <w:szCs w:val="24"/>
          <w:lang w:val="es-ES" w:eastAsia="es-ES"/>
        </w:rPr>
        <w:lastRenderedPageBreak/>
        <w:t xml:space="preserve">De las constancias que forma parte del Recurso de Revisión que se analiza, se advierte que previo al estudio del fondo de la </w:t>
      </w:r>
      <w:r w:rsidRPr="00507F8A">
        <w:rPr>
          <w:rFonts w:eastAsia="Times New Roman" w:cs="Tahoma"/>
          <w:i/>
          <w:color w:val="auto"/>
          <w:szCs w:val="24"/>
          <w:lang w:val="es-ES" w:eastAsia="es-ES"/>
        </w:rPr>
        <w:t>litis</w:t>
      </w:r>
      <w:r w:rsidRPr="00507F8A">
        <w:rPr>
          <w:rFonts w:eastAsia="Times New Roman" w:cs="Tahoma"/>
          <w:color w:val="auto"/>
          <w:szCs w:val="24"/>
          <w:lang w:val="es-ES" w:eastAsia="es-ES"/>
        </w:rPr>
        <w:t>, es necesario estudiar las causales de improcedencia y sobreseimiento que se adviertan, para determinar lo que en Derecho proceda.</w:t>
      </w:r>
    </w:p>
    <w:p w14:paraId="52DF1D05" w14:textId="77777777" w:rsidR="00BF6B4B" w:rsidRPr="00507F8A" w:rsidRDefault="00BF6B4B" w:rsidP="00AD7BBE">
      <w:pPr>
        <w:autoSpaceDE w:val="0"/>
        <w:autoSpaceDN w:val="0"/>
        <w:adjustRightInd w:val="0"/>
        <w:spacing w:after="0" w:line="360" w:lineRule="auto"/>
        <w:contextualSpacing/>
        <w:rPr>
          <w:rFonts w:eastAsia="Times New Roman" w:cs="Tahoma"/>
          <w:color w:val="auto"/>
          <w:szCs w:val="24"/>
          <w:lang w:val="es-ES" w:eastAsia="es-ES"/>
        </w:rPr>
      </w:pPr>
    </w:p>
    <w:p w14:paraId="5469220E" w14:textId="77777777" w:rsidR="00BF6B4B" w:rsidRPr="00507F8A" w:rsidRDefault="00BF6B4B" w:rsidP="00AD7BBE">
      <w:pPr>
        <w:autoSpaceDE w:val="0"/>
        <w:autoSpaceDN w:val="0"/>
        <w:adjustRightInd w:val="0"/>
        <w:spacing w:after="0" w:line="360" w:lineRule="auto"/>
        <w:contextualSpacing/>
        <w:rPr>
          <w:rFonts w:eastAsia="Calibri" w:cs="Tahoma"/>
          <w:color w:val="000000"/>
          <w:szCs w:val="24"/>
          <w:lang w:val="es-ES" w:eastAsia="es-MX"/>
        </w:rPr>
      </w:pPr>
      <w:r w:rsidRPr="00507F8A">
        <w:rPr>
          <w:rFonts w:eastAsia="Calibri" w:cs="Tahoma"/>
          <w:b/>
          <w:color w:val="000000"/>
          <w:szCs w:val="24"/>
          <w:lang w:val="es-ES" w:eastAsia="es-MX"/>
        </w:rPr>
        <w:t>Causales de improcedencia.</w:t>
      </w:r>
      <w:r w:rsidRPr="00507F8A">
        <w:rPr>
          <w:rFonts w:eastAsia="Calibri" w:cs="Tahoma"/>
          <w:color w:val="000000"/>
          <w:szCs w:val="24"/>
          <w:lang w:val="es-ES" w:eastAsia="es-MX"/>
        </w:rPr>
        <w:t xml:space="preserve"> </w:t>
      </w:r>
    </w:p>
    <w:p w14:paraId="604C59BC" w14:textId="77777777" w:rsidR="00BF6B4B" w:rsidRPr="00507F8A" w:rsidRDefault="00BF6B4B" w:rsidP="00AD7BBE">
      <w:pPr>
        <w:autoSpaceDE w:val="0"/>
        <w:autoSpaceDN w:val="0"/>
        <w:adjustRightInd w:val="0"/>
        <w:spacing w:after="0" w:line="360" w:lineRule="auto"/>
        <w:contextualSpacing/>
        <w:rPr>
          <w:rFonts w:eastAsia="Calibri" w:cs="Tahoma"/>
          <w:color w:val="000000"/>
          <w:szCs w:val="24"/>
          <w:lang w:val="es-ES" w:eastAsia="es-MX"/>
        </w:rPr>
      </w:pPr>
    </w:p>
    <w:p w14:paraId="6C1B7BA7" w14:textId="77777777" w:rsidR="00BF6B4B" w:rsidRPr="00507F8A" w:rsidRDefault="00BF6B4B" w:rsidP="00AD7BBE">
      <w:pPr>
        <w:autoSpaceDE w:val="0"/>
        <w:autoSpaceDN w:val="0"/>
        <w:adjustRightInd w:val="0"/>
        <w:spacing w:after="0" w:line="360" w:lineRule="auto"/>
        <w:contextualSpacing/>
        <w:rPr>
          <w:rFonts w:eastAsia="Calibri" w:cs="Tahoma"/>
          <w:color w:val="000000"/>
          <w:lang w:val="es-ES" w:eastAsia="es-MX"/>
        </w:rPr>
      </w:pPr>
      <w:r w:rsidRPr="00507F8A">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507F8A">
        <w:rPr>
          <w:rFonts w:eastAsia="Calibri" w:cs="Tahoma"/>
          <w:b/>
          <w:bCs/>
          <w:color w:val="000000"/>
          <w:lang w:eastAsia="es-MX"/>
        </w:rPr>
        <w:t xml:space="preserve"> </w:t>
      </w:r>
      <w:r w:rsidRPr="00507F8A">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7563A742" w14:textId="77777777" w:rsidR="00BF6B4B" w:rsidRPr="00507F8A" w:rsidRDefault="00BF6B4B" w:rsidP="00AD7BBE">
      <w:pPr>
        <w:autoSpaceDE w:val="0"/>
        <w:autoSpaceDN w:val="0"/>
        <w:adjustRightInd w:val="0"/>
        <w:spacing w:after="0" w:line="360" w:lineRule="auto"/>
        <w:contextualSpacing/>
        <w:rPr>
          <w:rFonts w:eastAsia="Calibri" w:cs="Tahoma"/>
          <w:color w:val="000000"/>
          <w:lang w:eastAsia="es-MX"/>
        </w:rPr>
      </w:pPr>
    </w:p>
    <w:p w14:paraId="0B1476E8" w14:textId="77777777" w:rsidR="00BF6B4B" w:rsidRPr="00507F8A" w:rsidRDefault="00BF6B4B" w:rsidP="00AD7BBE">
      <w:pPr>
        <w:autoSpaceDE w:val="0"/>
        <w:autoSpaceDN w:val="0"/>
        <w:adjustRightInd w:val="0"/>
        <w:spacing w:after="0" w:line="360" w:lineRule="auto"/>
        <w:contextualSpacing/>
        <w:rPr>
          <w:rFonts w:eastAsia="Calibri" w:cs="Tahoma"/>
          <w:color w:val="000000"/>
          <w:lang w:eastAsia="es-MX"/>
        </w:rPr>
      </w:pPr>
      <w:r w:rsidRPr="00507F8A">
        <w:rPr>
          <w:rFonts w:eastAsia="Calibri" w:cs="Tahoma"/>
          <w:color w:val="000000"/>
          <w:lang w:eastAsia="es-MX"/>
        </w:rPr>
        <w:t xml:space="preserve">En el presente caso, </w:t>
      </w:r>
      <w:r w:rsidRPr="00507F8A">
        <w:rPr>
          <w:rFonts w:eastAsia="Calibri" w:cs="Tahoma"/>
          <w:b/>
          <w:color w:val="000000"/>
          <w:lang w:eastAsia="es-MX"/>
        </w:rPr>
        <w:t>no se actualiza ninguna de las causales de improcedencia</w:t>
      </w:r>
      <w:r w:rsidRPr="00507F8A">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B22535C" w14:textId="77777777" w:rsidR="00BF6B4B" w:rsidRPr="00507F8A" w:rsidRDefault="00BF6B4B" w:rsidP="00AD7BBE">
      <w:pPr>
        <w:spacing w:after="0" w:line="360" w:lineRule="auto"/>
        <w:contextualSpacing/>
        <w:rPr>
          <w:rFonts w:eastAsia="Times New Roman" w:cs="Tahoma"/>
          <w:b/>
          <w:bCs/>
          <w:color w:val="auto"/>
          <w:lang w:eastAsia="es-ES"/>
        </w:rPr>
      </w:pPr>
    </w:p>
    <w:p w14:paraId="5EE4C949" w14:textId="3E317E21" w:rsidR="00BF6B4B" w:rsidRPr="00507F8A" w:rsidRDefault="00BF6B4B" w:rsidP="00AD7BBE">
      <w:pPr>
        <w:spacing w:after="0" w:line="360" w:lineRule="auto"/>
        <w:contextualSpacing/>
        <w:rPr>
          <w:rFonts w:eastAsia="Calibri" w:cs="Tahoma"/>
          <w:color w:val="000000"/>
        </w:rPr>
      </w:pPr>
      <w:r w:rsidRPr="00507F8A">
        <w:rPr>
          <w:rFonts w:eastAsia="Times New Roman" w:cs="Tahoma"/>
          <w:color w:val="auto"/>
          <w:lang w:eastAsia="es-ES"/>
        </w:rPr>
        <w:t xml:space="preserve">Asimismo, se actualiza la causal de procedencia del Recurso de Revisión señalada en el artículo 179, fracciones V, de la Ley en cita, </w:t>
      </w:r>
      <w:r w:rsidRPr="00507F8A">
        <w:rPr>
          <w:rFonts w:eastAsia="Calibri" w:cs="Tahoma"/>
          <w:color w:val="000000"/>
          <w:lang w:eastAsia="es-MX"/>
        </w:rPr>
        <w:t xml:space="preserve">pues el Particular se inconformó de la entrega de información </w:t>
      </w:r>
      <w:r w:rsidR="00E3287F" w:rsidRPr="00507F8A">
        <w:rPr>
          <w:rFonts w:eastAsia="Calibri" w:cs="Tahoma"/>
          <w:color w:val="000000"/>
          <w:lang w:eastAsia="es-MX"/>
        </w:rPr>
        <w:t>incompleta</w:t>
      </w:r>
      <w:r w:rsidRPr="00507F8A">
        <w:rPr>
          <w:rFonts w:eastAsia="Calibri" w:cs="Tahoma"/>
          <w:color w:val="000000"/>
          <w:lang w:eastAsia="es-MX"/>
        </w:rPr>
        <w:t>.</w:t>
      </w:r>
    </w:p>
    <w:p w14:paraId="0A0ADFB2" w14:textId="77777777" w:rsidR="00BF6B4B" w:rsidRPr="00507F8A" w:rsidRDefault="00BF6B4B" w:rsidP="00AD7BBE">
      <w:pPr>
        <w:spacing w:after="0" w:line="360" w:lineRule="auto"/>
        <w:contextualSpacing/>
        <w:rPr>
          <w:rFonts w:eastAsia="Times New Roman" w:cs="Tahoma"/>
          <w:b/>
          <w:bCs/>
          <w:color w:val="auto"/>
          <w:lang w:eastAsia="es-ES"/>
        </w:rPr>
      </w:pPr>
    </w:p>
    <w:p w14:paraId="5E3471E6" w14:textId="77777777" w:rsidR="00BF6B4B" w:rsidRPr="00507F8A" w:rsidRDefault="00BF6B4B" w:rsidP="00AD7BBE">
      <w:pPr>
        <w:spacing w:after="0" w:line="360" w:lineRule="auto"/>
        <w:contextualSpacing/>
        <w:rPr>
          <w:rFonts w:eastAsia="Times New Roman" w:cs="Tahoma"/>
          <w:b/>
          <w:bCs/>
          <w:color w:val="auto"/>
          <w:lang w:eastAsia="es-ES"/>
        </w:rPr>
      </w:pPr>
      <w:r w:rsidRPr="00507F8A">
        <w:rPr>
          <w:rFonts w:eastAsia="Times New Roman" w:cs="Tahoma"/>
          <w:b/>
          <w:bCs/>
          <w:color w:val="auto"/>
          <w:lang w:eastAsia="es-ES"/>
        </w:rPr>
        <w:t>Causales de sobreseimiento.</w:t>
      </w:r>
    </w:p>
    <w:p w14:paraId="1D027446" w14:textId="77777777" w:rsidR="00BF6B4B" w:rsidRPr="00507F8A" w:rsidRDefault="00BF6B4B" w:rsidP="00AD7BBE">
      <w:pPr>
        <w:spacing w:after="0" w:line="360" w:lineRule="auto"/>
        <w:contextualSpacing/>
        <w:rPr>
          <w:rFonts w:eastAsia="Times New Roman" w:cs="Tahoma"/>
          <w:b/>
          <w:bCs/>
          <w:color w:val="auto"/>
          <w:lang w:eastAsia="es-ES"/>
        </w:rPr>
      </w:pPr>
    </w:p>
    <w:p w14:paraId="0233749B" w14:textId="77777777" w:rsidR="00BF6B4B" w:rsidRPr="00507F8A" w:rsidRDefault="00BF6B4B" w:rsidP="00AD7BBE">
      <w:pPr>
        <w:spacing w:after="0" w:line="360" w:lineRule="auto"/>
        <w:contextualSpacing/>
        <w:rPr>
          <w:rFonts w:eastAsia="Times New Roman" w:cs="Tahoma"/>
          <w:color w:val="auto"/>
          <w:szCs w:val="24"/>
          <w:lang w:eastAsia="es-ES"/>
        </w:rPr>
      </w:pPr>
      <w:r w:rsidRPr="00507F8A">
        <w:rPr>
          <w:rFonts w:eastAsia="Times New Roman" w:cs="Tahoma"/>
          <w:color w:val="auto"/>
          <w:szCs w:val="24"/>
          <w:lang w:eastAsia="es-ES"/>
        </w:rPr>
        <w:t>Por ser de previo y especial pronunciamiento, este Instituto analiza si se actualiza alguna causal de sobreseimiento.</w:t>
      </w:r>
    </w:p>
    <w:p w14:paraId="0B0D0340" w14:textId="77777777" w:rsidR="00BF6B4B" w:rsidRPr="00507F8A" w:rsidRDefault="00BF6B4B" w:rsidP="00AD7BBE">
      <w:pPr>
        <w:spacing w:after="0" w:line="360" w:lineRule="auto"/>
        <w:contextualSpacing/>
        <w:rPr>
          <w:rFonts w:eastAsia="Times New Roman" w:cs="Tahoma"/>
          <w:color w:val="auto"/>
          <w:szCs w:val="24"/>
          <w:lang w:eastAsia="es-ES"/>
        </w:rPr>
      </w:pPr>
    </w:p>
    <w:p w14:paraId="0D4276C9" w14:textId="77777777" w:rsidR="00BF6B4B" w:rsidRPr="00507F8A" w:rsidRDefault="00BF6B4B" w:rsidP="00AD7BBE">
      <w:pPr>
        <w:spacing w:after="0" w:line="360" w:lineRule="auto"/>
        <w:contextualSpacing/>
        <w:rPr>
          <w:rFonts w:eastAsia="Times New Roman" w:cs="Tahoma"/>
          <w:color w:val="auto"/>
          <w:szCs w:val="24"/>
          <w:lang w:eastAsia="es-ES"/>
        </w:rPr>
      </w:pPr>
      <w:r w:rsidRPr="00507F8A">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9D3C0E5" w14:textId="77777777" w:rsidR="00BF6B4B" w:rsidRPr="00507F8A" w:rsidRDefault="00BF6B4B" w:rsidP="00AD7BBE">
      <w:pPr>
        <w:spacing w:after="0" w:line="360" w:lineRule="auto"/>
        <w:contextualSpacing/>
        <w:rPr>
          <w:rFonts w:eastAsia="Times New Roman" w:cs="Tahoma"/>
          <w:color w:val="auto"/>
          <w:szCs w:val="24"/>
          <w:lang w:eastAsia="es-ES"/>
        </w:rPr>
      </w:pPr>
    </w:p>
    <w:p w14:paraId="5B9BF180" w14:textId="77777777" w:rsidR="00BF6B4B" w:rsidRPr="00507F8A" w:rsidRDefault="00BF6B4B" w:rsidP="00AD7BBE">
      <w:pPr>
        <w:spacing w:after="0" w:line="360" w:lineRule="auto"/>
        <w:contextualSpacing/>
        <w:rPr>
          <w:rFonts w:eastAsia="Times New Roman" w:cs="Tahoma"/>
          <w:color w:val="auto"/>
          <w:szCs w:val="24"/>
          <w:lang w:val="es-ES" w:eastAsia="es-ES"/>
        </w:rPr>
      </w:pPr>
      <w:r w:rsidRPr="00507F8A">
        <w:rPr>
          <w:rFonts w:eastAsia="Times New Roman" w:cs="Tahoma"/>
          <w:bCs/>
          <w:color w:val="auto"/>
          <w:szCs w:val="24"/>
          <w:lang w:val="es-ES" w:eastAsia="es-ES"/>
        </w:rPr>
        <w:t xml:space="preserve">Por tales motivos, </w:t>
      </w:r>
      <w:r w:rsidRPr="00507F8A">
        <w:rPr>
          <w:rFonts w:eastAsia="Times New Roman" w:cs="Tahoma"/>
          <w:color w:val="auto"/>
          <w:szCs w:val="24"/>
          <w:lang w:val="es-ES" w:eastAsia="es-ES"/>
        </w:rPr>
        <w:t>se considera procedente entrar al fondo del presente asunto.</w:t>
      </w:r>
    </w:p>
    <w:p w14:paraId="088CAC6C" w14:textId="77777777" w:rsidR="00BF6B4B" w:rsidRPr="00507F8A" w:rsidRDefault="00BF6B4B" w:rsidP="00AD7BBE">
      <w:pPr>
        <w:spacing w:after="0" w:line="360" w:lineRule="auto"/>
        <w:contextualSpacing/>
      </w:pPr>
    </w:p>
    <w:p w14:paraId="17BF5473" w14:textId="195B3343" w:rsidR="00BF6B4B" w:rsidRPr="00507F8A" w:rsidRDefault="00BF6B4B" w:rsidP="00AD7BBE">
      <w:pPr>
        <w:spacing w:after="0" w:line="360" w:lineRule="auto"/>
        <w:contextualSpacing/>
        <w:rPr>
          <w:rFonts w:eastAsia="Times New Roman" w:cs="Tahoma"/>
          <w:b/>
          <w:bCs/>
          <w:iCs/>
          <w:color w:val="auto"/>
          <w:lang w:val="es-ES" w:eastAsia="es-ES"/>
        </w:rPr>
      </w:pPr>
      <w:r w:rsidRPr="00507F8A">
        <w:rPr>
          <w:rFonts w:eastAsia="Times New Roman" w:cs="Tahoma"/>
          <w:b/>
          <w:bCs/>
          <w:iCs/>
          <w:color w:val="auto"/>
          <w:lang w:val="es-ES" w:eastAsia="es-ES"/>
        </w:rPr>
        <w:t xml:space="preserve">TERCERO. Determinación de la Controversia. </w:t>
      </w:r>
    </w:p>
    <w:p w14:paraId="22176F82" w14:textId="77777777" w:rsidR="00BF6B4B" w:rsidRPr="00507F8A" w:rsidRDefault="00BF6B4B" w:rsidP="00AD7BBE">
      <w:pPr>
        <w:autoSpaceDE w:val="0"/>
        <w:autoSpaceDN w:val="0"/>
        <w:adjustRightInd w:val="0"/>
        <w:spacing w:after="0" w:line="360" w:lineRule="auto"/>
        <w:contextualSpacing/>
        <w:rPr>
          <w:rFonts w:eastAsia="Calibri" w:cs="Tahoma"/>
          <w:color w:val="000000"/>
          <w:szCs w:val="24"/>
          <w:lang w:val="es-ES" w:eastAsia="es-MX"/>
        </w:rPr>
      </w:pPr>
    </w:p>
    <w:p w14:paraId="2D7A3E08" w14:textId="7C73FC04" w:rsidR="006D639A" w:rsidRPr="00507F8A" w:rsidRDefault="00BF6B4B" w:rsidP="00AD7BBE">
      <w:pPr>
        <w:autoSpaceDE w:val="0"/>
        <w:autoSpaceDN w:val="0"/>
        <w:adjustRightInd w:val="0"/>
        <w:spacing w:after="0" w:line="360" w:lineRule="auto"/>
        <w:contextualSpacing/>
        <w:rPr>
          <w:rFonts w:eastAsia="Calibri" w:cs="Tahoma"/>
          <w:color w:val="000000"/>
          <w:lang w:val="es-ES" w:eastAsia="es-MX"/>
        </w:rPr>
      </w:pPr>
      <w:r w:rsidRPr="00507F8A">
        <w:rPr>
          <w:rFonts w:eastAsia="Calibri" w:cs="Tahoma"/>
          <w:color w:val="000000"/>
          <w:szCs w:val="24"/>
          <w:lang w:val="es-ES" w:eastAsia="es-MX"/>
        </w:rPr>
        <w:t>Una vez realizado el estudio de las constancias que obran en el expediente electrónico, se logra vislumbrar que la Particular requirió</w:t>
      </w:r>
      <w:r w:rsidR="00D83A81" w:rsidRPr="00507F8A">
        <w:rPr>
          <w:rFonts w:eastAsia="Calibri" w:cs="Tahoma"/>
          <w:color w:val="000000"/>
          <w:szCs w:val="24"/>
          <w:lang w:val="es-ES" w:eastAsia="es-MX"/>
        </w:rPr>
        <w:t xml:space="preserve"> </w:t>
      </w:r>
      <w:r w:rsidR="006D639A" w:rsidRPr="00507F8A">
        <w:rPr>
          <w:rFonts w:eastAsia="Calibri" w:cs="Tahoma"/>
          <w:color w:val="000000"/>
          <w:szCs w:val="24"/>
          <w:lang w:val="es-ES" w:eastAsia="es-MX"/>
        </w:rPr>
        <w:t xml:space="preserve">la certificación del Director de Catastro, Desarrollo Económico, Tesorería Municipal, Secretario del Ayuntamiento y Obras Públicas. </w:t>
      </w:r>
    </w:p>
    <w:p w14:paraId="33C5E213" w14:textId="75EDCDA0" w:rsidR="00BF6B4B" w:rsidRPr="00507F8A" w:rsidRDefault="00BF6B4B" w:rsidP="00AD7BBE">
      <w:pPr>
        <w:autoSpaceDE w:val="0"/>
        <w:autoSpaceDN w:val="0"/>
        <w:adjustRightInd w:val="0"/>
        <w:spacing w:after="0" w:line="360" w:lineRule="auto"/>
        <w:rPr>
          <w:rFonts w:eastAsia="Calibri" w:cs="Tahoma"/>
          <w:color w:val="000000"/>
          <w:lang w:val="es-ES" w:eastAsia="es-MX"/>
        </w:rPr>
      </w:pPr>
    </w:p>
    <w:p w14:paraId="1EE37952" w14:textId="62FF01C3" w:rsidR="00BF6B4B" w:rsidRPr="00507F8A" w:rsidRDefault="00BF6B4B" w:rsidP="00AD7BBE">
      <w:pPr>
        <w:autoSpaceDE w:val="0"/>
        <w:autoSpaceDN w:val="0"/>
        <w:adjustRightInd w:val="0"/>
        <w:spacing w:after="0" w:line="360" w:lineRule="auto"/>
        <w:contextualSpacing/>
        <w:rPr>
          <w:rFonts w:cs="Tahoma"/>
          <w:bCs/>
          <w:lang w:val="es-ES"/>
        </w:rPr>
      </w:pPr>
      <w:r w:rsidRPr="00507F8A">
        <w:rPr>
          <w:rFonts w:eastAsia="Calibri" w:cs="Tahoma"/>
          <w:color w:val="000000"/>
          <w:szCs w:val="24"/>
          <w:lang w:val="es-ES" w:eastAsia="es-MX"/>
        </w:rPr>
        <w:t xml:space="preserve">En respuesta, el Sujeto Obligado, a través de </w:t>
      </w:r>
      <w:r w:rsidRPr="00507F8A">
        <w:rPr>
          <w:rFonts w:eastAsia="Calibri" w:cs="Tahoma"/>
          <w:color w:val="000000"/>
          <w:lang w:eastAsia="es-MX"/>
        </w:rPr>
        <w:t>la Dirección de Administración</w:t>
      </w:r>
      <w:r w:rsidRPr="00507F8A">
        <w:t xml:space="preserve"> proporcionó</w:t>
      </w:r>
      <w:r w:rsidR="004E4835" w:rsidRPr="00507F8A">
        <w:t xml:space="preserve"> los Certificados de Competencia Laboral del Secretario del Ayuntamiento, del Tesorero Municipal, del Director de Obras Públicas y de Catastro; además, precisó que el Director de Desarrollo Económico, se encontraba en proceso de certificación;</w:t>
      </w:r>
      <w:r w:rsidR="00D560A4" w:rsidRPr="00507F8A">
        <w:t xml:space="preserve"> a</w:t>
      </w:r>
      <w:r w:rsidRPr="00507F8A">
        <w:t>n</w:t>
      </w:r>
      <w:r w:rsidRPr="00507F8A">
        <w:rPr>
          <w:rFonts w:eastAsia="Calibri" w:cs="Tahoma"/>
          <w:color w:val="000000"/>
          <w:szCs w:val="24"/>
          <w:lang w:val="es-ES" w:eastAsia="es-MX"/>
        </w:rPr>
        <w:t xml:space="preserve">te dicha circunstancia, el Particular se agravió </w:t>
      </w:r>
      <w:r w:rsidR="004E4835" w:rsidRPr="00507F8A">
        <w:rPr>
          <w:rFonts w:eastAsia="Calibri" w:cs="Tahoma"/>
          <w:color w:val="000000"/>
          <w:szCs w:val="24"/>
          <w:lang w:val="es-ES" w:eastAsia="es-MX"/>
        </w:rPr>
        <w:t>de la entrega de información incompleta</w:t>
      </w:r>
      <w:r w:rsidRPr="00507F8A">
        <w:rPr>
          <w:rFonts w:eastAsia="Calibri" w:cs="Tahoma"/>
          <w:color w:val="000000"/>
          <w:szCs w:val="24"/>
          <w:lang w:val="es-ES" w:eastAsia="es-MX"/>
        </w:rPr>
        <w:t xml:space="preserve">, lo cual actualiza la causal de procedencia establecida en el artículo 179, fracción </w:t>
      </w:r>
      <w:r w:rsidR="004E4835" w:rsidRPr="00507F8A">
        <w:rPr>
          <w:rFonts w:eastAsia="Calibri" w:cs="Tahoma"/>
          <w:color w:val="000000"/>
          <w:szCs w:val="24"/>
          <w:lang w:val="es-ES" w:eastAsia="es-MX"/>
        </w:rPr>
        <w:t>V</w:t>
      </w:r>
      <w:r w:rsidRPr="00507F8A">
        <w:rPr>
          <w:rFonts w:eastAsia="Calibri" w:cs="Tahoma"/>
          <w:color w:val="000000"/>
          <w:szCs w:val="24"/>
          <w:lang w:val="es-ES" w:eastAsia="es-MX"/>
        </w:rPr>
        <w:t xml:space="preserve">, de la Ley de Transparencia y Acceso a la Información </w:t>
      </w:r>
      <w:r w:rsidRPr="00507F8A">
        <w:rPr>
          <w:rFonts w:eastAsia="Calibri" w:cs="Tahoma"/>
          <w:color w:val="000000"/>
          <w:szCs w:val="24"/>
          <w:lang w:val="es-ES" w:eastAsia="es-MX"/>
        </w:rPr>
        <w:lastRenderedPageBreak/>
        <w:t>Pública del Estado de México y Municipios.</w:t>
      </w:r>
      <w:r w:rsidRPr="00507F8A">
        <w:rPr>
          <w:rFonts w:cs="Tahoma"/>
          <w:bCs/>
          <w:iCs/>
          <w:lang w:val="es-ES"/>
        </w:rPr>
        <w:t xml:space="preserve"> Así las cosas, una vez admitido y notificado el Recurso de Revisión a las partes, estas fueron omisas en realizar manifestaciones o alegatos.</w:t>
      </w:r>
      <w:r w:rsidRPr="00507F8A">
        <w:rPr>
          <w:rFonts w:eastAsia="Calibri" w:cs="Tahoma"/>
        </w:rPr>
        <w:t xml:space="preserve"> </w:t>
      </w:r>
    </w:p>
    <w:p w14:paraId="17B203CD" w14:textId="77777777" w:rsidR="00BF6B4B" w:rsidRPr="00507F8A" w:rsidRDefault="00BF6B4B" w:rsidP="00AD7BBE">
      <w:pPr>
        <w:autoSpaceDE w:val="0"/>
        <w:autoSpaceDN w:val="0"/>
        <w:adjustRightInd w:val="0"/>
        <w:spacing w:after="0" w:line="360" w:lineRule="auto"/>
        <w:contextualSpacing/>
        <w:rPr>
          <w:rFonts w:eastAsia="Calibri" w:cs="Tahoma"/>
          <w:iCs/>
          <w:color w:val="auto"/>
          <w:lang w:val="es-ES" w:eastAsia="es-ES_tradnl"/>
        </w:rPr>
      </w:pPr>
    </w:p>
    <w:p w14:paraId="23488E1D" w14:textId="581882C4" w:rsidR="00BF6B4B" w:rsidRPr="00507F8A" w:rsidRDefault="00BF6B4B" w:rsidP="00AD7BBE">
      <w:pPr>
        <w:spacing w:after="0" w:line="360" w:lineRule="auto"/>
        <w:contextualSpacing/>
      </w:pPr>
      <w:r w:rsidRPr="00507F8A">
        <w:t>Lo anterior, se desprende de las documentales que obran en el expediente de referencia, materia de la presente Resolución, consistentes en: la solicitud de acceso a la información</w:t>
      </w:r>
      <w:r w:rsidR="009F6C19" w:rsidRPr="00507F8A">
        <w:t>,</w:t>
      </w:r>
      <w:r w:rsidRPr="00507F8A">
        <w:t xml:space="preserve"> la respuesta del Sujeto Obligado</w:t>
      </w:r>
      <w:r w:rsidR="009F6C19" w:rsidRPr="00507F8A">
        <w:t xml:space="preserve"> y </w:t>
      </w:r>
      <w:r w:rsidRPr="00507F8A">
        <w:rPr>
          <w:bCs/>
        </w:rPr>
        <w:t xml:space="preserve">el </w:t>
      </w:r>
      <w:r w:rsidRPr="00507F8A">
        <w:t>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3180C2AE" w14:textId="77777777" w:rsidR="00BF6B4B" w:rsidRPr="00507F8A" w:rsidRDefault="00BF6B4B" w:rsidP="00AD7BBE">
      <w:pPr>
        <w:spacing w:after="0" w:line="360" w:lineRule="auto"/>
        <w:contextualSpacing/>
      </w:pPr>
    </w:p>
    <w:p w14:paraId="33B96660" w14:textId="77777777" w:rsidR="00BF6B4B" w:rsidRPr="00507F8A" w:rsidRDefault="00BF6B4B" w:rsidP="00AD7BBE">
      <w:pPr>
        <w:spacing w:after="0" w:line="360" w:lineRule="auto"/>
        <w:contextualSpacing/>
        <w:rPr>
          <w:rFonts w:eastAsia="Times New Roman" w:cs="Tahoma"/>
          <w:b/>
          <w:bCs/>
          <w:iCs/>
          <w:color w:val="auto"/>
          <w:lang w:eastAsia="es-ES"/>
        </w:rPr>
      </w:pPr>
      <w:r w:rsidRPr="00507F8A">
        <w:rPr>
          <w:rFonts w:eastAsia="Times New Roman" w:cs="Tahoma"/>
          <w:b/>
          <w:bCs/>
          <w:iCs/>
          <w:color w:val="auto"/>
          <w:lang w:val="es-ES" w:eastAsia="es-ES"/>
        </w:rPr>
        <w:t xml:space="preserve">CUARTO. </w:t>
      </w:r>
      <w:r w:rsidRPr="00507F8A">
        <w:rPr>
          <w:rFonts w:eastAsia="Times New Roman" w:cs="Tahoma"/>
          <w:b/>
          <w:bCs/>
          <w:iCs/>
          <w:color w:val="auto"/>
          <w:lang w:eastAsia="es-ES"/>
        </w:rPr>
        <w:t>Marco normativo aplicable en materia de transparencia y acceso a la información pública.</w:t>
      </w:r>
    </w:p>
    <w:p w14:paraId="6A99508E" w14:textId="77777777" w:rsidR="00BF6B4B" w:rsidRPr="00507F8A" w:rsidRDefault="00BF6B4B" w:rsidP="00AD7BBE">
      <w:pPr>
        <w:spacing w:after="0" w:line="360" w:lineRule="auto"/>
        <w:contextualSpacing/>
        <w:rPr>
          <w:rFonts w:eastAsia="Times New Roman" w:cs="Tahoma"/>
          <w:b/>
          <w:bCs/>
          <w:iCs/>
          <w:color w:val="auto"/>
          <w:lang w:eastAsia="es-ES"/>
        </w:rPr>
      </w:pPr>
    </w:p>
    <w:p w14:paraId="16B45611" w14:textId="77777777" w:rsidR="00BF6B4B" w:rsidRPr="00507F8A" w:rsidRDefault="00BF6B4B" w:rsidP="00AD7BBE">
      <w:pPr>
        <w:spacing w:after="0" w:line="360" w:lineRule="auto"/>
        <w:contextualSpacing/>
        <w:rPr>
          <w:rFonts w:eastAsia="Times New Roman" w:cs="Tahoma"/>
          <w:bCs/>
          <w:iCs/>
          <w:color w:val="auto"/>
          <w:lang w:eastAsia="es-ES"/>
        </w:rPr>
      </w:pPr>
      <w:r w:rsidRPr="00507F8A">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F569508" w14:textId="77777777" w:rsidR="00BF6B4B" w:rsidRPr="00507F8A" w:rsidRDefault="00BF6B4B" w:rsidP="00AD7BBE">
      <w:pPr>
        <w:spacing w:after="0" w:line="360" w:lineRule="auto"/>
        <w:contextualSpacing/>
        <w:rPr>
          <w:rFonts w:eastAsia="Times New Roman" w:cs="Tahoma"/>
          <w:bCs/>
          <w:iCs/>
          <w:color w:val="auto"/>
          <w:lang w:eastAsia="es-ES"/>
        </w:rPr>
      </w:pPr>
    </w:p>
    <w:p w14:paraId="57A018FD" w14:textId="77777777" w:rsidR="00BF6B4B" w:rsidRPr="00507F8A" w:rsidRDefault="00BF6B4B" w:rsidP="00AD7BBE">
      <w:pPr>
        <w:spacing w:after="0" w:line="360" w:lineRule="auto"/>
        <w:contextualSpacing/>
        <w:rPr>
          <w:rFonts w:eastAsia="Times New Roman" w:cs="Tahoma"/>
          <w:bCs/>
          <w:iCs/>
          <w:color w:val="auto"/>
          <w:lang w:eastAsia="es-ES"/>
        </w:rPr>
      </w:pPr>
      <w:r w:rsidRPr="00507F8A">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33EB8DE2" w14:textId="77777777" w:rsidR="00BF6B4B" w:rsidRPr="00507F8A" w:rsidRDefault="00BF6B4B" w:rsidP="00AD7BBE">
      <w:pPr>
        <w:spacing w:after="0" w:line="360" w:lineRule="auto"/>
        <w:contextualSpacing/>
        <w:rPr>
          <w:rFonts w:eastAsia="Times New Roman" w:cs="Tahoma"/>
          <w:bCs/>
          <w:iCs/>
          <w:color w:val="auto"/>
          <w:lang w:eastAsia="es-ES"/>
        </w:rPr>
      </w:pPr>
    </w:p>
    <w:p w14:paraId="6EAEE71F" w14:textId="77777777" w:rsidR="00BF6B4B" w:rsidRPr="00507F8A" w:rsidRDefault="00BF6B4B" w:rsidP="00AD7BBE">
      <w:pPr>
        <w:spacing w:after="0" w:line="360" w:lineRule="auto"/>
        <w:contextualSpacing/>
        <w:rPr>
          <w:rFonts w:eastAsia="Times New Roman" w:cs="Tahoma"/>
          <w:bCs/>
          <w:iCs/>
          <w:color w:val="auto"/>
          <w:lang w:eastAsia="es-ES"/>
        </w:rPr>
      </w:pPr>
      <w:r w:rsidRPr="00507F8A">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6E5902A" w14:textId="77777777" w:rsidR="00BF6B4B" w:rsidRPr="00507F8A" w:rsidRDefault="00BF6B4B" w:rsidP="00AD7BBE">
      <w:pPr>
        <w:spacing w:after="0" w:line="360" w:lineRule="auto"/>
        <w:contextualSpacing/>
        <w:rPr>
          <w:rFonts w:eastAsia="Times New Roman" w:cs="Tahoma"/>
          <w:bCs/>
          <w:iCs/>
          <w:color w:val="auto"/>
          <w:lang w:eastAsia="es-ES"/>
        </w:rPr>
      </w:pPr>
    </w:p>
    <w:p w14:paraId="6FD8777E" w14:textId="77777777" w:rsidR="00BF6B4B" w:rsidRPr="00507F8A" w:rsidRDefault="00BF6B4B" w:rsidP="00AD7BBE">
      <w:pPr>
        <w:spacing w:after="0" w:line="360" w:lineRule="auto"/>
        <w:contextualSpacing/>
        <w:rPr>
          <w:rFonts w:eastAsia="Times New Roman" w:cs="Tahoma"/>
          <w:bCs/>
          <w:iCs/>
          <w:color w:val="auto"/>
          <w:lang w:eastAsia="es-ES"/>
        </w:rPr>
      </w:pPr>
      <w:r w:rsidRPr="00507F8A">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5E6D0D9D" w14:textId="77777777" w:rsidR="00BF6B4B" w:rsidRPr="00507F8A" w:rsidRDefault="00BF6B4B" w:rsidP="00AD7BBE">
      <w:pPr>
        <w:spacing w:after="0" w:line="360" w:lineRule="auto"/>
        <w:contextualSpacing/>
        <w:rPr>
          <w:rFonts w:eastAsia="Times New Roman" w:cs="Tahoma"/>
          <w:bCs/>
          <w:iCs/>
          <w:color w:val="auto"/>
          <w:lang w:eastAsia="es-ES"/>
        </w:rPr>
      </w:pPr>
    </w:p>
    <w:p w14:paraId="18B02F28" w14:textId="77777777" w:rsidR="00BF6B4B" w:rsidRPr="00507F8A" w:rsidRDefault="00BF6B4B" w:rsidP="00AD7BBE">
      <w:pPr>
        <w:spacing w:after="0" w:line="360" w:lineRule="auto"/>
        <w:contextualSpacing/>
        <w:rPr>
          <w:rFonts w:eastAsia="Times New Roman" w:cs="Tahoma"/>
          <w:bCs/>
          <w:iCs/>
          <w:color w:val="auto"/>
          <w:lang w:eastAsia="es-ES"/>
        </w:rPr>
      </w:pPr>
      <w:r w:rsidRPr="00507F8A">
        <w:rPr>
          <w:rFonts w:eastAsia="Times New Roman" w:cs="Tahoma"/>
          <w:bCs/>
          <w:iCs/>
          <w:color w:val="auto"/>
          <w:lang w:eastAsia="es-ES"/>
        </w:rPr>
        <w:t>El artículo 12, que, quienes generen, recopilen, administren, manejen, procesen, archiven o conserven información pública serán responsables de la misma.</w:t>
      </w:r>
    </w:p>
    <w:p w14:paraId="3A0DD352" w14:textId="77777777" w:rsidR="00BF6B4B" w:rsidRPr="00507F8A" w:rsidRDefault="00BF6B4B" w:rsidP="00AD7BBE">
      <w:pPr>
        <w:spacing w:after="0" w:line="360" w:lineRule="auto"/>
        <w:contextualSpacing/>
        <w:rPr>
          <w:rFonts w:eastAsia="Times New Roman" w:cs="Tahoma"/>
          <w:bCs/>
          <w:iCs/>
          <w:color w:val="auto"/>
          <w:lang w:eastAsia="es-ES"/>
        </w:rPr>
      </w:pPr>
    </w:p>
    <w:p w14:paraId="3F70B6B3" w14:textId="77777777" w:rsidR="00BF6B4B" w:rsidRPr="00507F8A" w:rsidRDefault="00BF6B4B" w:rsidP="00AD7BBE">
      <w:pPr>
        <w:spacing w:after="0" w:line="360" w:lineRule="auto"/>
        <w:contextualSpacing/>
        <w:rPr>
          <w:rFonts w:eastAsia="Times New Roman" w:cs="Tahoma"/>
          <w:bCs/>
          <w:iCs/>
          <w:color w:val="auto"/>
          <w:lang w:eastAsia="es-ES"/>
        </w:rPr>
      </w:pPr>
      <w:r w:rsidRPr="00507F8A">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21DB68F" w14:textId="77777777" w:rsidR="00BF6B4B" w:rsidRPr="00507F8A" w:rsidRDefault="00BF6B4B" w:rsidP="00AD7BBE">
      <w:pPr>
        <w:spacing w:after="0" w:line="360" w:lineRule="auto"/>
        <w:contextualSpacing/>
        <w:rPr>
          <w:rFonts w:eastAsia="Times New Roman" w:cs="Tahoma"/>
          <w:bCs/>
          <w:iCs/>
          <w:color w:val="auto"/>
          <w:lang w:eastAsia="es-ES"/>
        </w:rPr>
      </w:pPr>
    </w:p>
    <w:p w14:paraId="28F17B5F" w14:textId="77777777" w:rsidR="00BF6B4B" w:rsidRPr="00507F8A" w:rsidRDefault="00BF6B4B" w:rsidP="00AD7BBE">
      <w:pPr>
        <w:spacing w:after="0" w:line="360" w:lineRule="auto"/>
        <w:contextualSpacing/>
        <w:rPr>
          <w:rFonts w:eastAsia="Times New Roman" w:cs="Tahoma"/>
          <w:bCs/>
          <w:iCs/>
          <w:color w:val="auto"/>
          <w:lang w:eastAsia="es-ES"/>
        </w:rPr>
      </w:pPr>
      <w:r w:rsidRPr="00507F8A">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C778278" w14:textId="77777777" w:rsidR="00644822" w:rsidRPr="00507F8A" w:rsidRDefault="00644822" w:rsidP="00AD7BBE">
      <w:pPr>
        <w:spacing w:after="0" w:line="360" w:lineRule="auto"/>
        <w:contextualSpacing/>
        <w:rPr>
          <w:rFonts w:eastAsia="Times New Roman" w:cs="Tahoma"/>
          <w:b/>
          <w:bCs/>
          <w:iCs/>
          <w:color w:val="auto"/>
          <w:lang w:val="es-ES" w:eastAsia="es-ES"/>
        </w:rPr>
      </w:pPr>
    </w:p>
    <w:p w14:paraId="2670BAFD" w14:textId="77777777" w:rsidR="00BF6B4B" w:rsidRPr="00507F8A" w:rsidRDefault="00BF6B4B" w:rsidP="00AD7BBE">
      <w:pPr>
        <w:spacing w:after="0" w:line="360" w:lineRule="auto"/>
        <w:contextualSpacing/>
        <w:rPr>
          <w:rFonts w:eastAsia="Times New Roman" w:cs="Tahoma"/>
          <w:b/>
          <w:bCs/>
          <w:iCs/>
          <w:color w:val="auto"/>
          <w:lang w:val="es-ES" w:eastAsia="es-ES"/>
        </w:rPr>
      </w:pPr>
      <w:r w:rsidRPr="00507F8A">
        <w:rPr>
          <w:rFonts w:eastAsia="Times New Roman" w:cs="Tahoma"/>
          <w:b/>
          <w:bCs/>
          <w:iCs/>
          <w:color w:val="auto"/>
          <w:lang w:val="es-ES" w:eastAsia="es-ES"/>
        </w:rPr>
        <w:t>QUINTO. Estudio de Fondo.</w:t>
      </w:r>
    </w:p>
    <w:p w14:paraId="4DC242F1" w14:textId="77777777" w:rsidR="00BF6B4B" w:rsidRPr="00507F8A" w:rsidRDefault="00BF6B4B" w:rsidP="00AD7BBE">
      <w:pPr>
        <w:spacing w:after="0" w:line="360" w:lineRule="auto"/>
        <w:contextualSpacing/>
        <w:rPr>
          <w:rFonts w:eastAsia="Times New Roman" w:cs="Tahoma"/>
          <w:iCs/>
          <w:color w:val="auto"/>
          <w:lang w:val="es-ES" w:eastAsia="es-ES"/>
        </w:rPr>
      </w:pPr>
    </w:p>
    <w:p w14:paraId="252B5175" w14:textId="272A0FE9" w:rsidR="004E4835" w:rsidRPr="00507F8A" w:rsidRDefault="00243225" w:rsidP="00AD7BBE">
      <w:pPr>
        <w:spacing w:after="0" w:line="360" w:lineRule="auto"/>
        <w:ind w:right="-28"/>
        <w:contextualSpacing/>
        <w:rPr>
          <w:rFonts w:eastAsia="Times New Roman" w:cs="Tahoma"/>
          <w:color w:val="auto"/>
          <w:szCs w:val="24"/>
          <w:lang w:val="es-ES" w:eastAsia="es-ES"/>
        </w:rPr>
      </w:pPr>
      <w:r w:rsidRPr="00507F8A">
        <w:rPr>
          <w:rFonts w:eastAsia="Calibri" w:cs="Tahoma"/>
          <w:bCs/>
          <w:color w:val="auto"/>
        </w:rPr>
        <w:t xml:space="preserve">Conforme a lo anterior, se procede analizar el agravio manifestado por el Sujeto Obligado, referente </w:t>
      </w:r>
      <w:r w:rsidR="004E4835" w:rsidRPr="00507F8A">
        <w:rPr>
          <w:rFonts w:eastAsia="Calibri" w:cs="Tahoma"/>
          <w:bCs/>
          <w:color w:val="auto"/>
        </w:rPr>
        <w:t xml:space="preserve">a la entrega de información incompleta, para lo cual, en principio resulta necesario </w:t>
      </w:r>
      <w:r w:rsidR="004E4835" w:rsidRPr="00507F8A">
        <w:rPr>
          <w:rFonts w:eastAsia="Times New Roman" w:cs="Tahoma"/>
          <w:color w:val="auto"/>
          <w:szCs w:val="24"/>
          <w:lang w:val="es-ES" w:eastAsia="es-ES"/>
        </w:rPr>
        <w:t>contextualizar la solicitud de información relacionada con los Certificados de Competencia Laboral de determinados servidores públicos.</w:t>
      </w:r>
    </w:p>
    <w:p w14:paraId="102618A7" w14:textId="77777777" w:rsidR="004E4835" w:rsidRPr="00507F8A" w:rsidRDefault="004E4835" w:rsidP="00AD7BBE">
      <w:pPr>
        <w:spacing w:after="0" w:line="360" w:lineRule="auto"/>
        <w:ind w:right="-28"/>
        <w:contextualSpacing/>
        <w:rPr>
          <w:rFonts w:eastAsia="Times New Roman" w:cs="Tahoma"/>
          <w:color w:val="auto"/>
          <w:szCs w:val="24"/>
          <w:lang w:val="es-ES" w:eastAsia="es-ES"/>
        </w:rPr>
      </w:pPr>
    </w:p>
    <w:p w14:paraId="4E521EC6" w14:textId="27C0AFF1" w:rsidR="004E4835" w:rsidRPr="00507F8A" w:rsidRDefault="004E4835" w:rsidP="00AD7BBE">
      <w:pPr>
        <w:spacing w:after="0" w:line="360" w:lineRule="auto"/>
        <w:ind w:right="-28"/>
        <w:contextualSpacing/>
        <w:rPr>
          <w:rFonts w:eastAsia="Calibri" w:cs="Tahoma"/>
          <w:bCs/>
        </w:rPr>
      </w:pPr>
      <w:r w:rsidRPr="00507F8A">
        <w:rPr>
          <w:rFonts w:eastAsia="Calibri" w:cs="Tahoma"/>
          <w:bCs/>
        </w:rPr>
        <w:t>Sobre el tema, el artículo 32 de la Ley Orgánica Municipal del Estado de México,</w:t>
      </w:r>
      <w:r w:rsidR="00D20A18" w:rsidRPr="00507F8A">
        <w:rPr>
          <w:rFonts w:eastAsia="Calibri" w:cs="Tahoma"/>
          <w:bCs/>
        </w:rPr>
        <w:t xml:space="preserve"> establece que</w:t>
      </w:r>
      <w:r w:rsidRPr="00507F8A">
        <w:rPr>
          <w:rFonts w:eastAsia="Calibri" w:cs="Tahoma"/>
          <w:bCs/>
        </w:rPr>
        <w:t xml:space="preserve"> para ocupar las titularidades de la Secretaría del Ayuntamiento, Tesorería</w:t>
      </w:r>
      <w:r w:rsidR="00D20A18" w:rsidRPr="00507F8A">
        <w:rPr>
          <w:rFonts w:eastAsia="Calibri" w:cs="Tahoma"/>
          <w:bCs/>
        </w:rPr>
        <w:t>, las Direcciones de Obras Públicas, de Desarrollo Económico, de Turismo, de Ecología</w:t>
      </w:r>
      <w:r w:rsidRPr="00507F8A">
        <w:rPr>
          <w:rFonts w:eastAsia="Calibri" w:cs="Tahoma"/>
          <w:bCs/>
        </w:rPr>
        <w:t>,</w:t>
      </w:r>
      <w:r w:rsidR="00D20A18" w:rsidRPr="00507F8A">
        <w:rPr>
          <w:rFonts w:eastAsia="Calibri" w:cs="Tahoma"/>
          <w:bCs/>
        </w:rPr>
        <w:t xml:space="preserve"> de Desarrollo Urbano, de Desarrollo Social, de las Mujeres, </w:t>
      </w:r>
      <w:r w:rsidRPr="00507F8A">
        <w:rPr>
          <w:rFonts w:eastAsia="Calibri" w:cs="Tahoma"/>
          <w:bCs/>
        </w:rPr>
        <w:t xml:space="preserve"> </w:t>
      </w:r>
      <w:r w:rsidR="00D20A18" w:rsidRPr="00507F8A">
        <w:t xml:space="preserve">de la Coordinación General Municipal de Mejora Regulatoria, de la Coordinación Municipal de Protección Civil, de las unidades administrativas </w:t>
      </w:r>
      <w:r w:rsidR="00D20A18" w:rsidRPr="00507F8A">
        <w:lastRenderedPageBreak/>
        <w:t xml:space="preserve">y de los organismos auxiliares, </w:t>
      </w:r>
      <w:r w:rsidRPr="00507F8A">
        <w:rPr>
          <w:rFonts w:eastAsia="Calibri" w:cs="Tahoma"/>
          <w:bCs/>
        </w:rPr>
        <w:t>se deberán satisfacer entre otros requisitos, contar con certificación de competencia laboral en la materia del cargo que se desempeñará, expedida por institución con reconocimiento de validez oficial, requisito que podrá acreditarse dentro de los seis meses siguientes a la fecha en que inicien sus funciones.</w:t>
      </w:r>
    </w:p>
    <w:p w14:paraId="3F7369D2" w14:textId="77777777" w:rsidR="004E4835" w:rsidRPr="00507F8A" w:rsidRDefault="004E4835" w:rsidP="00AD7BBE">
      <w:pPr>
        <w:spacing w:after="0" w:line="360" w:lineRule="auto"/>
        <w:rPr>
          <w:rFonts w:eastAsia="Calibri" w:cs="Tahoma"/>
          <w:bCs/>
        </w:rPr>
      </w:pPr>
      <w:r w:rsidRPr="00507F8A">
        <w:rPr>
          <w:rFonts w:eastAsia="Calibri" w:cs="Tahoma"/>
          <w:bCs/>
        </w:rPr>
        <w:t xml:space="preserve"> </w:t>
      </w:r>
    </w:p>
    <w:p w14:paraId="2CD66488" w14:textId="2C7C7250" w:rsidR="00D20A18" w:rsidRPr="00507F8A" w:rsidRDefault="004E4835" w:rsidP="00AD7BBE">
      <w:pPr>
        <w:spacing w:after="0" w:line="360" w:lineRule="auto"/>
        <w:rPr>
          <w:rFonts w:eastAsia="Calibri" w:cs="Tahoma"/>
          <w:bCs/>
        </w:rPr>
      </w:pPr>
      <w:r w:rsidRPr="00507F8A">
        <w:rPr>
          <w:rFonts w:eastAsia="Calibri" w:cs="Tahoma"/>
          <w:bCs/>
        </w:rPr>
        <w:t>Así mismo, los artículos 92</w:t>
      </w:r>
      <w:r w:rsidR="00D20A18" w:rsidRPr="00507F8A">
        <w:rPr>
          <w:rFonts w:eastAsia="Calibri" w:cs="Tahoma"/>
          <w:bCs/>
        </w:rPr>
        <w:t>, fracción IV</w:t>
      </w:r>
      <w:r w:rsidRPr="00507F8A">
        <w:rPr>
          <w:rFonts w:eastAsia="Calibri" w:cs="Tahoma"/>
          <w:bCs/>
        </w:rPr>
        <w:t>, 96</w:t>
      </w:r>
      <w:r w:rsidR="00D20A18" w:rsidRPr="00507F8A">
        <w:rPr>
          <w:rFonts w:eastAsia="Calibri" w:cs="Tahoma"/>
          <w:bCs/>
        </w:rPr>
        <w:t>,</w:t>
      </w:r>
      <w:r w:rsidRPr="00507F8A">
        <w:rPr>
          <w:rFonts w:eastAsia="Calibri" w:cs="Tahoma"/>
          <w:bCs/>
        </w:rPr>
        <w:t xml:space="preserve"> fracción I, 96 Ter, segundo párrafo</w:t>
      </w:r>
      <w:r w:rsidR="00D20A18" w:rsidRPr="00507F8A">
        <w:rPr>
          <w:rFonts w:eastAsia="Calibri" w:cs="Tahoma"/>
          <w:bCs/>
        </w:rPr>
        <w:t>, y 96 Quintus, segundo párrafo,</w:t>
      </w:r>
      <w:r w:rsidRPr="00507F8A">
        <w:rPr>
          <w:rFonts w:eastAsia="Calibri" w:cs="Tahoma"/>
          <w:bCs/>
        </w:rPr>
        <w:t xml:space="preserve"> de la Ley en cita, prevé los requisitos que deberán cumplir los titulares </w:t>
      </w:r>
      <w:r w:rsidR="00D20A18" w:rsidRPr="00507F8A">
        <w:rPr>
          <w:rFonts w:eastAsia="Calibri" w:cs="Tahoma"/>
          <w:bCs/>
        </w:rPr>
        <w:t>la Secretaría</w:t>
      </w:r>
      <w:r w:rsidRPr="00507F8A">
        <w:rPr>
          <w:rFonts w:eastAsia="Calibri" w:cs="Tahoma"/>
          <w:bCs/>
        </w:rPr>
        <w:t xml:space="preserve"> del Ayuntamiento,</w:t>
      </w:r>
      <w:r w:rsidR="00D20A18" w:rsidRPr="00507F8A">
        <w:rPr>
          <w:rFonts w:eastAsia="Calibri" w:cs="Tahoma"/>
          <w:bCs/>
        </w:rPr>
        <w:t xml:space="preserve"> de la Tesorería</w:t>
      </w:r>
      <w:r w:rsidRPr="00507F8A">
        <w:rPr>
          <w:rFonts w:eastAsia="Calibri" w:cs="Tahoma"/>
          <w:bCs/>
        </w:rPr>
        <w:t xml:space="preserve"> Municipal, </w:t>
      </w:r>
      <w:r w:rsidR="00D20A18" w:rsidRPr="00507F8A">
        <w:rPr>
          <w:rFonts w:eastAsia="Calibri" w:cs="Tahoma"/>
          <w:bCs/>
        </w:rPr>
        <w:t>de la Dirección</w:t>
      </w:r>
      <w:r w:rsidRPr="00507F8A">
        <w:rPr>
          <w:rFonts w:eastAsia="Calibri" w:cs="Tahoma"/>
          <w:bCs/>
        </w:rPr>
        <w:t xml:space="preserve"> de Obras Públicas y </w:t>
      </w:r>
      <w:r w:rsidR="00D20A18" w:rsidRPr="00507F8A">
        <w:rPr>
          <w:rFonts w:eastAsia="Calibri" w:cs="Tahoma"/>
          <w:bCs/>
        </w:rPr>
        <w:t>Desarrollo Económico</w:t>
      </w:r>
      <w:r w:rsidRPr="00507F8A">
        <w:rPr>
          <w:rFonts w:eastAsia="Calibri" w:cs="Tahoma"/>
          <w:bCs/>
        </w:rPr>
        <w:t>, deberán de contar con certificación de competencia laboral</w:t>
      </w:r>
      <w:r w:rsidR="00D20A18" w:rsidRPr="00507F8A">
        <w:rPr>
          <w:rFonts w:eastAsia="Calibri" w:cs="Tahoma"/>
          <w:bCs/>
        </w:rPr>
        <w:t>.</w:t>
      </w:r>
    </w:p>
    <w:p w14:paraId="3D3A2D1F" w14:textId="77777777" w:rsidR="00D20A18" w:rsidRPr="00507F8A" w:rsidRDefault="00D20A18" w:rsidP="00AD7BBE">
      <w:pPr>
        <w:spacing w:after="0" w:line="360" w:lineRule="auto"/>
        <w:rPr>
          <w:rFonts w:eastAsia="Calibri" w:cs="Tahoma"/>
          <w:bCs/>
        </w:rPr>
      </w:pPr>
    </w:p>
    <w:p w14:paraId="4FAED60D" w14:textId="30C50E84" w:rsidR="001D0EA2" w:rsidRPr="00507F8A" w:rsidRDefault="00DF54AE" w:rsidP="00AD7BBE">
      <w:pPr>
        <w:spacing w:after="0" w:line="360" w:lineRule="auto"/>
        <w:rPr>
          <w:rFonts w:eastAsia="Calibri" w:cs="Tahoma"/>
          <w:bCs/>
        </w:rPr>
      </w:pPr>
      <w:r w:rsidRPr="00507F8A">
        <w:rPr>
          <w:rFonts w:eastAsia="Calibri" w:cs="Tahoma"/>
          <w:bCs/>
        </w:rPr>
        <w:t>Por otra parte, el artículo 169, fracción IV, del Código Financiero del Estado de México y Municipios, precisa que el servidor público designado como titular de la unidad encargada del catastro municipal deberá estar debidamente certificados al momento de su nombramiento o bien, obtener la certificación, en un plazo máximo de seis meses contados a partir de su designación.</w:t>
      </w:r>
    </w:p>
    <w:p w14:paraId="6BD8DA64" w14:textId="77777777" w:rsidR="004E4835" w:rsidRPr="00507F8A" w:rsidRDefault="004E4835" w:rsidP="00AD7BBE">
      <w:pPr>
        <w:spacing w:after="0" w:line="360" w:lineRule="auto"/>
        <w:rPr>
          <w:rFonts w:eastAsia="Calibri" w:cs="Tahoma"/>
          <w:bCs/>
        </w:rPr>
      </w:pPr>
      <w:r w:rsidRPr="00507F8A">
        <w:rPr>
          <w:rFonts w:eastAsia="Calibri" w:cs="Tahoma"/>
          <w:bCs/>
        </w:rPr>
        <w:t xml:space="preserve">  </w:t>
      </w:r>
    </w:p>
    <w:p w14:paraId="7B75CE1E" w14:textId="301AC56E" w:rsidR="004E4835" w:rsidRPr="00507F8A" w:rsidRDefault="004E4835" w:rsidP="00AD7BBE">
      <w:pPr>
        <w:spacing w:after="0" w:line="360" w:lineRule="auto"/>
        <w:rPr>
          <w:rFonts w:eastAsia="Calibri" w:cs="Tahoma"/>
          <w:bCs/>
        </w:rPr>
      </w:pPr>
      <w:r w:rsidRPr="00507F8A">
        <w:rPr>
          <w:rFonts w:eastAsia="Calibri" w:cs="Tahoma"/>
          <w:bCs/>
        </w:rPr>
        <w:t xml:space="preserve">En ese contexto, conforme el apartado de Certificación, de la página oficial del Instituto Hacendario del Estado de México (consultado el </w:t>
      </w:r>
      <w:r w:rsidR="00DF54AE" w:rsidRPr="00507F8A">
        <w:rPr>
          <w:rFonts w:eastAsia="Calibri" w:cs="Tahoma"/>
          <w:bCs/>
        </w:rPr>
        <w:t xml:space="preserve">veintidós </w:t>
      </w:r>
      <w:r w:rsidRPr="00507F8A">
        <w:rPr>
          <w:rFonts w:eastAsia="Calibri" w:cs="Tahoma"/>
          <w:bCs/>
        </w:rPr>
        <w:t xml:space="preserve">de mayo de dos mil </w:t>
      </w:r>
      <w:r w:rsidR="00DF54AE" w:rsidRPr="00507F8A">
        <w:rPr>
          <w:rFonts w:eastAsia="Calibri" w:cs="Tahoma"/>
          <w:bCs/>
        </w:rPr>
        <w:t>veintitrés</w:t>
      </w:r>
      <w:r w:rsidRPr="00507F8A">
        <w:rPr>
          <w:rFonts w:eastAsia="Calibri" w:cs="Tahoma"/>
          <w:bCs/>
        </w:rPr>
        <w:t xml:space="preserve">, a las catorce horas, en la página </w:t>
      </w:r>
      <w:hyperlink r:id="rId8" w:history="1">
        <w:r w:rsidRPr="00507F8A">
          <w:rPr>
            <w:rFonts w:eastAsia="Calibri" w:cs="Tahoma"/>
            <w:bCs/>
            <w:color w:val="0563C1" w:themeColor="hyperlink"/>
            <w:u w:val="single"/>
          </w:rPr>
          <w:t>http://ihaem.edomex.gob.mx/certificacion_cocertem</w:t>
        </w:r>
      </w:hyperlink>
      <w:r w:rsidRPr="00507F8A">
        <w:rPr>
          <w:rFonts w:eastAsia="Calibri" w:cs="Tahoma"/>
          <w:bCs/>
        </w:rPr>
        <w:t>), establece que la certificación de competencia laboral, es el proceso mediante el cual un organismo acreditado, reconoce que una persona ha demostrado su competencia, para desempeñar una función productiva determinada, con base en una Norma Institucional de Competencia Laboral aprobada.</w:t>
      </w:r>
      <w:r w:rsidR="00DF54AE" w:rsidRPr="00507F8A">
        <w:rPr>
          <w:rFonts w:eastAsia="Calibri" w:cs="Tahoma"/>
          <w:bCs/>
        </w:rPr>
        <w:t xml:space="preserve"> </w:t>
      </w:r>
      <w:r w:rsidRPr="00507F8A">
        <w:rPr>
          <w:rFonts w:eastAsia="Calibri" w:cs="Tahoma"/>
          <w:bCs/>
        </w:rPr>
        <w:t>Además, que la competencia laboral es el conjunto de habilidades, aptitudes y destrezas</w:t>
      </w:r>
      <w:r w:rsidR="00DF54AE" w:rsidRPr="00507F8A">
        <w:rPr>
          <w:rFonts w:eastAsia="Calibri" w:cs="Tahoma"/>
          <w:bCs/>
        </w:rPr>
        <w:t xml:space="preserve"> </w:t>
      </w:r>
      <w:r w:rsidRPr="00507F8A">
        <w:rPr>
          <w:rFonts w:eastAsia="Calibri" w:cs="Tahoma"/>
          <w:bCs/>
        </w:rPr>
        <w:t>para desempeñar una función productiva.</w:t>
      </w:r>
    </w:p>
    <w:p w14:paraId="54EA2FB2" w14:textId="77777777" w:rsidR="004E4835" w:rsidRPr="00507F8A" w:rsidRDefault="004E4835" w:rsidP="00AD7BBE">
      <w:pPr>
        <w:spacing w:after="0" w:line="360" w:lineRule="auto"/>
        <w:ind w:right="-28"/>
        <w:contextualSpacing/>
        <w:rPr>
          <w:rFonts w:eastAsia="Calibri" w:cs="Tahoma"/>
          <w:bCs/>
          <w:color w:val="auto"/>
        </w:rPr>
      </w:pPr>
    </w:p>
    <w:p w14:paraId="3734ACC3" w14:textId="77777777" w:rsidR="004E4835" w:rsidRPr="00507F8A" w:rsidRDefault="004E4835" w:rsidP="00AD7BBE">
      <w:pPr>
        <w:spacing w:after="0" w:line="360" w:lineRule="auto"/>
        <w:ind w:right="-28"/>
        <w:contextualSpacing/>
        <w:rPr>
          <w:rFonts w:eastAsia="Calibri" w:cs="Tahoma"/>
          <w:bCs/>
          <w:color w:val="auto"/>
        </w:rPr>
      </w:pPr>
    </w:p>
    <w:p w14:paraId="7AD47A4C" w14:textId="77777777" w:rsidR="004E4835" w:rsidRPr="00507F8A" w:rsidRDefault="004E4835" w:rsidP="00AD7BBE">
      <w:pPr>
        <w:spacing w:after="0" w:line="360" w:lineRule="auto"/>
        <w:ind w:right="-28"/>
        <w:contextualSpacing/>
        <w:rPr>
          <w:rFonts w:eastAsia="Calibri" w:cs="Tahoma"/>
          <w:bCs/>
          <w:color w:val="auto"/>
        </w:rPr>
      </w:pPr>
    </w:p>
    <w:p w14:paraId="44649E0F" w14:textId="07953FB1" w:rsidR="004E4835" w:rsidRPr="00507F8A" w:rsidRDefault="00E05A5C" w:rsidP="00AD7BBE">
      <w:pPr>
        <w:spacing w:after="0" w:line="360" w:lineRule="auto"/>
        <w:ind w:right="-28"/>
        <w:contextualSpacing/>
        <w:rPr>
          <w:rFonts w:eastAsia="Calibri" w:cs="Tahoma"/>
          <w:bCs/>
          <w:color w:val="auto"/>
        </w:rPr>
      </w:pPr>
      <w:r w:rsidRPr="00507F8A">
        <w:rPr>
          <w:rFonts w:eastAsia="Calibri" w:cs="Tahoma"/>
          <w:bCs/>
          <w:color w:val="auto"/>
        </w:rPr>
        <w:lastRenderedPageBreak/>
        <w:t>Ahora bien, respecto a los servidores públicos solicitados, este Instituto realizó una búsqueda en el Portal de Información Pública de Oficio Mexiquense del Ayuntamiento de Teoloyucan, en específico en la fracción VII, del cual se logra advertir que el Particular requiere la información de los siguientes servidores públicos:</w:t>
      </w:r>
    </w:p>
    <w:p w14:paraId="03B912E4" w14:textId="77777777" w:rsidR="00E05A5C" w:rsidRPr="00507F8A" w:rsidRDefault="00E05A5C" w:rsidP="00AD7BBE">
      <w:pPr>
        <w:spacing w:after="0" w:line="360" w:lineRule="auto"/>
        <w:ind w:right="-28"/>
        <w:contextualSpacing/>
        <w:rPr>
          <w:rFonts w:eastAsia="Calibri" w:cs="Tahoma"/>
          <w:bCs/>
          <w:color w:val="auto"/>
        </w:rPr>
      </w:pPr>
    </w:p>
    <w:p w14:paraId="6E166109" w14:textId="4A0C7687" w:rsidR="00E05A5C" w:rsidRPr="00507F8A" w:rsidRDefault="00E05A5C" w:rsidP="00AD7BBE">
      <w:pPr>
        <w:spacing w:after="0" w:line="360" w:lineRule="auto"/>
        <w:ind w:right="-28"/>
        <w:contextualSpacing/>
        <w:rPr>
          <w:rFonts w:eastAsia="Calibri" w:cs="Tahoma"/>
          <w:bCs/>
          <w:color w:val="auto"/>
        </w:rPr>
      </w:pPr>
      <w:r w:rsidRPr="00507F8A">
        <w:rPr>
          <w:rFonts w:eastAsia="Calibri" w:cs="Tahoma"/>
          <w:bCs/>
          <w:noProof/>
          <w:color w:val="auto"/>
          <w:lang w:eastAsia="es-MX"/>
        </w:rPr>
        <w:drawing>
          <wp:inline distT="0" distB="0" distL="0" distR="0" wp14:anchorId="5B2BF906" wp14:editId="5AB38376">
            <wp:extent cx="5791835" cy="8629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62965"/>
                    </a:xfrm>
                    <a:prstGeom prst="rect">
                      <a:avLst/>
                    </a:prstGeom>
                  </pic:spPr>
                </pic:pic>
              </a:graphicData>
            </a:graphic>
          </wp:inline>
        </w:drawing>
      </w:r>
    </w:p>
    <w:p w14:paraId="63108761" w14:textId="77777777" w:rsidR="004E4835" w:rsidRPr="00507F8A" w:rsidRDefault="004E4835" w:rsidP="00AD7BBE">
      <w:pPr>
        <w:spacing w:after="0" w:line="360" w:lineRule="auto"/>
        <w:ind w:right="-28"/>
        <w:contextualSpacing/>
        <w:rPr>
          <w:rFonts w:eastAsia="Calibri" w:cs="Tahoma"/>
          <w:bCs/>
          <w:color w:val="auto"/>
        </w:rPr>
      </w:pPr>
    </w:p>
    <w:p w14:paraId="33C7368F" w14:textId="526C343F" w:rsidR="00E05A5C" w:rsidRPr="00507F8A" w:rsidRDefault="00E05A5C" w:rsidP="00AD7BBE">
      <w:pPr>
        <w:spacing w:after="0" w:line="360" w:lineRule="auto"/>
        <w:ind w:right="-28"/>
        <w:contextualSpacing/>
        <w:rPr>
          <w:rFonts w:eastAsia="Calibri" w:cs="Tahoma"/>
          <w:bCs/>
          <w:color w:val="auto"/>
        </w:rPr>
      </w:pPr>
      <w:r w:rsidRPr="00507F8A">
        <w:rPr>
          <w:rFonts w:eastAsia="Calibri" w:cs="Tahoma"/>
          <w:bCs/>
          <w:color w:val="auto"/>
        </w:rPr>
        <w:t xml:space="preserve">Conforme a lo anterior, se logra vislumbrar que la pretensión del ahora Recurrente, es obtener los Certificados de Competencia Laboral </w:t>
      </w:r>
      <w:r w:rsidR="00597D77" w:rsidRPr="00507F8A">
        <w:rPr>
          <w:rFonts w:eastAsia="Calibri" w:cs="Tahoma"/>
          <w:bCs/>
          <w:color w:val="auto"/>
        </w:rPr>
        <w:t>del Tesorero Municipal (Christian Vargas Quijano), del Secretario del Ayuntamiento (Juan Carlos Hernández Sánchez), del Director de Desarrollo Económico y Sustentable (Oscar Godínez Cuellar), del Director de Obras Públicas (Ramón González Muñoz) y el Subdirector de Catastro (Alan Misael Roldan Corral), los cuales se encontraban en el cargo, a la fecha de la solicitud.</w:t>
      </w:r>
    </w:p>
    <w:p w14:paraId="0C267D97" w14:textId="77777777" w:rsidR="004E4835" w:rsidRPr="00507F8A" w:rsidRDefault="004E4835" w:rsidP="00AD7BBE">
      <w:pPr>
        <w:spacing w:after="0" w:line="360" w:lineRule="auto"/>
        <w:ind w:right="-28"/>
        <w:contextualSpacing/>
        <w:rPr>
          <w:rFonts w:eastAsia="Calibri" w:cs="Tahoma"/>
          <w:bCs/>
          <w:color w:val="auto"/>
        </w:rPr>
      </w:pPr>
    </w:p>
    <w:p w14:paraId="55A0D73B" w14:textId="15A1F09C" w:rsidR="00597D77" w:rsidRPr="00507F8A" w:rsidRDefault="00597D77" w:rsidP="00AD7BBE">
      <w:pPr>
        <w:spacing w:after="0" w:line="360" w:lineRule="auto"/>
        <w:ind w:right="-28"/>
        <w:rPr>
          <w:rFonts w:eastAsia="Times New Roman" w:cs="Tahoma"/>
          <w:iCs/>
          <w:color w:val="auto"/>
          <w:lang w:eastAsia="es-ES"/>
        </w:rPr>
      </w:pPr>
      <w:r w:rsidRPr="00507F8A">
        <w:rPr>
          <w:rFonts w:eastAsia="Calibri" w:cs="Tahoma"/>
          <w:bCs/>
        </w:rPr>
        <w:t xml:space="preserve">Establecido lo anterior, se analiza la respuesta a la solicitud, por lo que, en principio es de señalar que de las constancias </w:t>
      </w:r>
      <w:r w:rsidRPr="00507F8A">
        <w:rPr>
          <w:rFonts w:eastAsia="Times New Roman" w:cs="Tahoma"/>
          <w:iCs/>
          <w:color w:val="auto"/>
          <w:lang w:eastAsia="es-ES"/>
        </w:rPr>
        <w:t>que obran el expediente electrónico, se advierte que el Sujeto Obligado turno el requerimiento de información a la Dirección de Administración</w:t>
      </w:r>
      <w:r w:rsidRPr="00507F8A">
        <w:rPr>
          <w:rFonts w:eastAsia="Calibri" w:cs="Tahoma"/>
          <w:bCs/>
        </w:rPr>
        <w:t>; sobre lo anterior,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66DD75D" w14:textId="77777777" w:rsidR="00597D77" w:rsidRPr="00507F8A" w:rsidRDefault="00597D77" w:rsidP="00AD7BBE">
      <w:pPr>
        <w:spacing w:after="0" w:line="360" w:lineRule="auto"/>
        <w:ind w:right="-28"/>
        <w:rPr>
          <w:rFonts w:eastAsia="Times New Roman" w:cs="Tahoma"/>
          <w:iCs/>
          <w:color w:val="auto"/>
          <w:lang w:val="es-ES" w:eastAsia="es-ES"/>
        </w:rPr>
      </w:pPr>
    </w:p>
    <w:p w14:paraId="0EEBD7F7" w14:textId="77777777" w:rsidR="00597D77" w:rsidRPr="00507F8A" w:rsidRDefault="00597D77" w:rsidP="00AD7BBE">
      <w:pPr>
        <w:numPr>
          <w:ilvl w:val="0"/>
          <w:numId w:val="1"/>
        </w:numPr>
        <w:spacing w:after="0" w:line="360" w:lineRule="auto"/>
        <w:ind w:right="-28"/>
        <w:rPr>
          <w:rFonts w:eastAsia="Times New Roman" w:cs="Tahoma"/>
          <w:bCs/>
          <w:iCs/>
          <w:color w:val="auto"/>
          <w:lang w:val="es-ES" w:eastAsia="es-ES"/>
        </w:rPr>
      </w:pPr>
      <w:r w:rsidRPr="00507F8A">
        <w:rPr>
          <w:rFonts w:eastAsia="Times New Roman" w:cs="Tahoma"/>
          <w:bCs/>
          <w:iCs/>
          <w:color w:val="auto"/>
          <w:lang w:val="es-ES" w:eastAsia="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507F8A">
        <w:rPr>
          <w:rFonts w:eastAsia="Times New Roman" w:cs="Tahoma"/>
          <w:bCs/>
          <w:iCs/>
          <w:color w:val="auto"/>
          <w:lang w:val="es-ES" w:eastAsia="es-ES"/>
        </w:rPr>
        <w:lastRenderedPageBreak/>
        <w:t>que dichas áreas realicen una búsqueda exhaustiva y razonable de la información requerida, y</w:t>
      </w:r>
    </w:p>
    <w:p w14:paraId="08C8D5A8" w14:textId="77777777" w:rsidR="00597D77" w:rsidRPr="00507F8A" w:rsidRDefault="00597D77" w:rsidP="00AD7BBE">
      <w:pPr>
        <w:spacing w:after="0" w:line="360" w:lineRule="auto"/>
        <w:ind w:right="-28"/>
        <w:rPr>
          <w:rFonts w:eastAsia="Times New Roman" w:cs="Tahoma"/>
          <w:bCs/>
          <w:iCs/>
          <w:color w:val="auto"/>
          <w:lang w:val="es-ES" w:eastAsia="es-ES"/>
        </w:rPr>
      </w:pPr>
    </w:p>
    <w:p w14:paraId="1BB946FB" w14:textId="77777777" w:rsidR="00597D77" w:rsidRPr="00507F8A" w:rsidRDefault="00597D77" w:rsidP="00AD7BBE">
      <w:pPr>
        <w:numPr>
          <w:ilvl w:val="0"/>
          <w:numId w:val="1"/>
        </w:numPr>
        <w:spacing w:after="0" w:line="360" w:lineRule="auto"/>
        <w:ind w:right="-28"/>
        <w:rPr>
          <w:rFonts w:eastAsia="Times New Roman" w:cs="Tahoma"/>
          <w:bCs/>
          <w:iCs/>
          <w:color w:val="auto"/>
          <w:lang w:val="es-ES" w:eastAsia="es-ES"/>
        </w:rPr>
      </w:pPr>
      <w:r w:rsidRPr="00507F8A">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BACCC2B" w14:textId="77777777" w:rsidR="004E4835" w:rsidRPr="00507F8A" w:rsidRDefault="004E4835" w:rsidP="00AD7BBE">
      <w:pPr>
        <w:spacing w:after="0" w:line="360" w:lineRule="auto"/>
        <w:ind w:right="-28"/>
        <w:contextualSpacing/>
        <w:rPr>
          <w:rFonts w:eastAsia="Calibri" w:cs="Tahoma"/>
          <w:bCs/>
          <w:color w:val="auto"/>
        </w:rPr>
      </w:pPr>
    </w:p>
    <w:p w14:paraId="5EA4A795" w14:textId="1E10F1D0" w:rsidR="0048751D" w:rsidRPr="00507F8A" w:rsidRDefault="0048751D" w:rsidP="00AD7BBE">
      <w:pPr>
        <w:spacing w:after="0" w:line="360" w:lineRule="auto"/>
        <w:ind w:right="-28"/>
        <w:contextualSpacing/>
        <w:rPr>
          <w:rFonts w:eastAsia="Times New Roman" w:cs="Tahoma"/>
          <w:bCs/>
          <w:iCs/>
          <w:color w:val="auto"/>
          <w:lang w:eastAsia="es-ES"/>
        </w:rPr>
      </w:pPr>
      <w:r w:rsidRPr="00507F8A">
        <w:rPr>
          <w:rFonts w:eastAsia="Calibri" w:cs="Tahoma"/>
          <w:bCs/>
          <w:color w:val="000000"/>
          <w:lang w:eastAsia="es-ES"/>
        </w:rPr>
        <w:t xml:space="preserve">Así, a efecto de determinar si el Sujeto Obligado cumplió con el procedimiento de búsqueda, resulta necesario citar el artículo 200, fracciones IV y V del Bando Municipal de Teoloyucan dos mil veintidós, que establece que el Sujeto Obligado cuenta con diversas áreas, entre la que se encuentra la Dirección de Administración, encargada de la administración de los recursos humanos; de </w:t>
      </w:r>
      <w:r w:rsidRPr="00507F8A">
        <w:rPr>
          <w:rFonts w:eastAsia="Times New Roman" w:cs="Tahoma"/>
          <w:bCs/>
          <w:iCs/>
          <w:color w:val="auto"/>
          <w:lang w:eastAsia="es-ES"/>
        </w:rPr>
        <w:t>tramitar las remociones, renuncias, licencias y jubilaciones de los servidores públicos; de llevar el registro del personal que labora dentro del Gobierno Municipal, así como, de mantener actualizados los expedientes de personal.</w:t>
      </w:r>
    </w:p>
    <w:p w14:paraId="6DBDF690" w14:textId="77777777" w:rsidR="0048751D" w:rsidRPr="00507F8A" w:rsidRDefault="0048751D" w:rsidP="00AD7BBE">
      <w:pPr>
        <w:spacing w:after="0" w:line="360" w:lineRule="auto"/>
        <w:rPr>
          <w:rFonts w:eastAsia="Times New Roman" w:cs="Tahoma"/>
          <w:bCs/>
          <w:iCs/>
          <w:color w:val="auto"/>
          <w:lang w:eastAsia="es-ES"/>
        </w:rPr>
      </w:pPr>
    </w:p>
    <w:p w14:paraId="0E9D096F" w14:textId="154BAC7F" w:rsidR="0048751D" w:rsidRPr="00507F8A" w:rsidRDefault="0048751D" w:rsidP="00AD7BBE">
      <w:pPr>
        <w:spacing w:after="0" w:line="360" w:lineRule="auto"/>
      </w:pPr>
      <w:r w:rsidRPr="00507F8A">
        <w:rPr>
          <w:rFonts w:eastAsia="Times New Roman" w:cs="Tahoma"/>
          <w:bCs/>
          <w:iCs/>
          <w:color w:val="auto"/>
          <w:lang w:eastAsia="es-ES"/>
        </w:rPr>
        <w:t>Conforme a lo anterior se logra observar que el Ayuntamiento de  Teoloyucan, gestiónó la solicitud de información a la unidad administrativa competente para conocer de lo requerido, toda v</w:t>
      </w:r>
      <w:r w:rsidRPr="00507F8A">
        <w:rPr>
          <w:rFonts w:eastAsia="Times New Roman" w:cs="Tahoma"/>
          <w:bCs/>
          <w:iCs/>
          <w:color w:val="auto"/>
          <w:lang w:val="x-none" w:eastAsia="es-ES"/>
        </w:rPr>
        <w:t xml:space="preserve">ez que la Dirección de Administración, ve todas las cuestiones relacionadas </w:t>
      </w:r>
      <w:r w:rsidRPr="00507F8A">
        <w:rPr>
          <w:rFonts w:eastAsia="Times New Roman" w:cs="Tahoma"/>
          <w:bCs/>
          <w:iCs/>
          <w:color w:val="auto"/>
          <w:lang w:eastAsia="es-ES"/>
        </w:rPr>
        <w:t>con la administración de los recursos humanos, por lo que, cumplió con el procedimiento de búsqueda establecido en la Ley de la materia.</w:t>
      </w:r>
      <w:r w:rsidRPr="00507F8A">
        <w:rPr>
          <w:rFonts w:eastAsia="Calibri" w:cs="Tahoma"/>
          <w:color w:val="000000"/>
          <w:szCs w:val="24"/>
          <w:lang w:val="es-ES" w:eastAsia="es-MX"/>
        </w:rPr>
        <w:t xml:space="preserve"> </w:t>
      </w:r>
      <w:r w:rsidRPr="00507F8A">
        <w:t>Ahora bien, dicha área proporcionó los siguientes Certificados:</w:t>
      </w:r>
    </w:p>
    <w:p w14:paraId="30AF9E0B" w14:textId="77777777" w:rsidR="0048751D" w:rsidRPr="00507F8A" w:rsidRDefault="0048751D" w:rsidP="00AD7BBE">
      <w:pPr>
        <w:spacing w:after="0" w:line="360" w:lineRule="auto"/>
        <w:contextualSpacing/>
        <w:rPr>
          <w:b/>
        </w:rPr>
      </w:pPr>
    </w:p>
    <w:tbl>
      <w:tblPr>
        <w:tblStyle w:val="Tablaconcuadrcula"/>
        <w:tblW w:w="0" w:type="auto"/>
        <w:tblLook w:val="04A0" w:firstRow="1" w:lastRow="0" w:firstColumn="1" w:lastColumn="0" w:noHBand="0" w:noVBand="1"/>
      </w:tblPr>
      <w:tblGrid>
        <w:gridCol w:w="3964"/>
        <w:gridCol w:w="5147"/>
      </w:tblGrid>
      <w:tr w:rsidR="0048751D" w:rsidRPr="00507F8A" w14:paraId="65164DCA" w14:textId="77777777" w:rsidTr="00863062">
        <w:tc>
          <w:tcPr>
            <w:tcW w:w="3964" w:type="dxa"/>
            <w:shd w:val="clear" w:color="auto" w:fill="D9D9D9" w:themeFill="background1" w:themeFillShade="D9"/>
          </w:tcPr>
          <w:p w14:paraId="56836CDF" w14:textId="66512DB3" w:rsidR="0048751D" w:rsidRPr="00507F8A" w:rsidRDefault="0048751D" w:rsidP="00AD7BBE">
            <w:pPr>
              <w:spacing w:line="360" w:lineRule="auto"/>
              <w:contextualSpacing/>
              <w:jc w:val="center"/>
              <w:rPr>
                <w:b/>
              </w:rPr>
            </w:pPr>
            <w:r w:rsidRPr="00507F8A">
              <w:rPr>
                <w:b/>
              </w:rPr>
              <w:t>Servidor Público</w:t>
            </w:r>
          </w:p>
        </w:tc>
        <w:tc>
          <w:tcPr>
            <w:tcW w:w="5147" w:type="dxa"/>
            <w:shd w:val="clear" w:color="auto" w:fill="D9D9D9" w:themeFill="background1" w:themeFillShade="D9"/>
          </w:tcPr>
          <w:p w14:paraId="0AF49C21" w14:textId="349EB59B" w:rsidR="0048751D" w:rsidRPr="00507F8A" w:rsidRDefault="0048751D" w:rsidP="00AD7BBE">
            <w:pPr>
              <w:spacing w:line="360" w:lineRule="auto"/>
              <w:contextualSpacing/>
              <w:jc w:val="center"/>
              <w:rPr>
                <w:b/>
              </w:rPr>
            </w:pPr>
            <w:r w:rsidRPr="00507F8A">
              <w:rPr>
                <w:b/>
              </w:rPr>
              <w:t>Certificado</w:t>
            </w:r>
          </w:p>
        </w:tc>
      </w:tr>
      <w:tr w:rsidR="0048751D" w:rsidRPr="00507F8A" w14:paraId="56BB70FD" w14:textId="77777777" w:rsidTr="00863062">
        <w:tc>
          <w:tcPr>
            <w:tcW w:w="3964" w:type="dxa"/>
          </w:tcPr>
          <w:p w14:paraId="23B33A3E" w14:textId="26618716" w:rsidR="0048751D" w:rsidRPr="00507F8A" w:rsidRDefault="0048751D" w:rsidP="00AD7BBE">
            <w:pPr>
              <w:spacing w:line="360" w:lineRule="auto"/>
              <w:contextualSpacing/>
              <w:jc w:val="center"/>
            </w:pPr>
            <w:r w:rsidRPr="00507F8A">
              <w:rPr>
                <w:rFonts w:eastAsia="Calibri" w:cs="Tahoma"/>
                <w:bCs/>
                <w:color w:val="auto"/>
              </w:rPr>
              <w:t>Tesorero Municipal (Christian Vargas Quijano)</w:t>
            </w:r>
          </w:p>
        </w:tc>
        <w:tc>
          <w:tcPr>
            <w:tcW w:w="5147" w:type="dxa"/>
          </w:tcPr>
          <w:p w14:paraId="2DCE19AB" w14:textId="27E799EF" w:rsidR="0048751D" w:rsidRPr="00507F8A" w:rsidRDefault="00863062" w:rsidP="00AD7BBE">
            <w:pPr>
              <w:spacing w:line="360" w:lineRule="auto"/>
              <w:contextualSpacing/>
              <w:jc w:val="center"/>
            </w:pPr>
            <w:r w:rsidRPr="00507F8A">
              <w:t>Certificado de Competencia Laboral en la Norma Institucional “Administrar la Tesorería Municipal”</w:t>
            </w:r>
          </w:p>
        </w:tc>
      </w:tr>
      <w:tr w:rsidR="00863062" w:rsidRPr="00507F8A" w14:paraId="450BE560" w14:textId="77777777" w:rsidTr="00863062">
        <w:tc>
          <w:tcPr>
            <w:tcW w:w="3964" w:type="dxa"/>
          </w:tcPr>
          <w:p w14:paraId="6FEA78C4" w14:textId="2689CBE8" w:rsidR="00863062" w:rsidRPr="00507F8A" w:rsidRDefault="00863062" w:rsidP="00AD7BBE">
            <w:pPr>
              <w:spacing w:line="360" w:lineRule="auto"/>
              <w:contextualSpacing/>
              <w:jc w:val="center"/>
            </w:pPr>
            <w:r w:rsidRPr="00507F8A">
              <w:rPr>
                <w:rFonts w:eastAsia="Calibri" w:cs="Tahoma"/>
                <w:bCs/>
                <w:color w:val="auto"/>
              </w:rPr>
              <w:lastRenderedPageBreak/>
              <w:t>Secretario del Ayuntamiento (Juan Carlos Hernández Sánchez)</w:t>
            </w:r>
          </w:p>
        </w:tc>
        <w:tc>
          <w:tcPr>
            <w:tcW w:w="5147" w:type="dxa"/>
          </w:tcPr>
          <w:p w14:paraId="1127F5C3" w14:textId="0F9173F1" w:rsidR="00863062" w:rsidRPr="00507F8A" w:rsidRDefault="00863062" w:rsidP="00AD7BBE">
            <w:pPr>
              <w:spacing w:line="360" w:lineRule="auto"/>
              <w:contextualSpacing/>
              <w:jc w:val="center"/>
            </w:pPr>
            <w:r w:rsidRPr="00507F8A">
              <w:t>Certificado de Competencia Laboral en la Norma Institucional “Conducir las Funciones de la Secretaría del Ayuntamiento en los Municipios del Estado de México”</w:t>
            </w:r>
          </w:p>
        </w:tc>
      </w:tr>
      <w:tr w:rsidR="00863062" w:rsidRPr="00507F8A" w14:paraId="08F9F0C4" w14:textId="77777777" w:rsidTr="00863062">
        <w:tc>
          <w:tcPr>
            <w:tcW w:w="3964" w:type="dxa"/>
          </w:tcPr>
          <w:p w14:paraId="746B5BCE" w14:textId="7B6A691F" w:rsidR="00863062" w:rsidRPr="00507F8A" w:rsidRDefault="00863062" w:rsidP="00AD7BBE">
            <w:pPr>
              <w:spacing w:line="360" w:lineRule="auto"/>
              <w:contextualSpacing/>
              <w:jc w:val="center"/>
            </w:pPr>
            <w:r w:rsidRPr="00507F8A">
              <w:rPr>
                <w:rFonts w:eastAsia="Calibri" w:cs="Tahoma"/>
                <w:bCs/>
                <w:color w:val="auto"/>
              </w:rPr>
              <w:t>Director de Obras Públicas (Ramón González Muñoz)</w:t>
            </w:r>
          </w:p>
        </w:tc>
        <w:tc>
          <w:tcPr>
            <w:tcW w:w="5147" w:type="dxa"/>
          </w:tcPr>
          <w:p w14:paraId="55ADD60F" w14:textId="032A8152" w:rsidR="00863062" w:rsidRPr="00507F8A" w:rsidRDefault="00863062" w:rsidP="00AD7BBE">
            <w:pPr>
              <w:spacing w:line="360" w:lineRule="auto"/>
              <w:contextualSpacing/>
              <w:jc w:val="center"/>
            </w:pPr>
            <w:r w:rsidRPr="00507F8A">
              <w:t>Certificado de Competencia Laboral en la Norma Institucional “Administrar la Obra Pública Municipal y Servicios relacionados con las mismas en el Estado de México”</w:t>
            </w:r>
          </w:p>
        </w:tc>
      </w:tr>
      <w:tr w:rsidR="00863062" w:rsidRPr="00507F8A" w14:paraId="7E98C50F" w14:textId="77777777" w:rsidTr="00863062">
        <w:tc>
          <w:tcPr>
            <w:tcW w:w="3964" w:type="dxa"/>
          </w:tcPr>
          <w:p w14:paraId="77965795" w14:textId="1CE4BBA7" w:rsidR="00863062" w:rsidRPr="00507F8A" w:rsidRDefault="00863062" w:rsidP="00AD7BBE">
            <w:pPr>
              <w:spacing w:line="360" w:lineRule="auto"/>
              <w:contextualSpacing/>
              <w:jc w:val="center"/>
            </w:pPr>
            <w:r w:rsidRPr="00507F8A">
              <w:rPr>
                <w:rFonts w:eastAsia="Calibri" w:cs="Tahoma"/>
                <w:bCs/>
                <w:color w:val="auto"/>
              </w:rPr>
              <w:t>Subdirector de Catastro (Alan Misael Roldan Corral)</w:t>
            </w:r>
          </w:p>
        </w:tc>
        <w:tc>
          <w:tcPr>
            <w:tcW w:w="5147" w:type="dxa"/>
          </w:tcPr>
          <w:p w14:paraId="5DAADACD" w14:textId="63BF86AE" w:rsidR="00863062" w:rsidRPr="00507F8A" w:rsidRDefault="00863062" w:rsidP="00AD7BBE">
            <w:pPr>
              <w:spacing w:line="360" w:lineRule="auto"/>
              <w:contextualSpacing/>
              <w:jc w:val="center"/>
            </w:pPr>
            <w:r w:rsidRPr="00507F8A">
              <w:t>Certificado de Competencia Laboral en la Norma Institucional “Administración de la actividad catastral en el Estado de México y Municipios”</w:t>
            </w:r>
          </w:p>
        </w:tc>
      </w:tr>
    </w:tbl>
    <w:p w14:paraId="16C17E03" w14:textId="77777777" w:rsidR="00863062" w:rsidRPr="00507F8A" w:rsidRDefault="00863062" w:rsidP="00AD7BBE">
      <w:pPr>
        <w:tabs>
          <w:tab w:val="left" w:pos="4962"/>
        </w:tabs>
        <w:spacing w:after="0" w:line="360" w:lineRule="auto"/>
      </w:pPr>
    </w:p>
    <w:p w14:paraId="24013431" w14:textId="7811A93D" w:rsidR="00863062" w:rsidRPr="00507F8A" w:rsidRDefault="00863062" w:rsidP="00AD7BBE">
      <w:pPr>
        <w:tabs>
          <w:tab w:val="left" w:pos="4962"/>
        </w:tabs>
        <w:spacing w:after="0" w:line="360" w:lineRule="auto"/>
        <w:rPr>
          <w:rFonts w:eastAsia="Times New Roman" w:cs="Tahoma"/>
          <w:color w:val="auto"/>
          <w:lang w:eastAsia="es-ES"/>
        </w:rPr>
      </w:pPr>
      <w:r w:rsidRPr="00507F8A">
        <w:t>Conforme a lo anterior, se logra vislumbrar que la Dirección de Administración proporcionó los documentos que obraban en sus archivos y que daban cuenta de parte de lo solicitado, a saber, los Certificados del Tesorero Municipal, del Secretario del Ayuntamiento, el Director de Obas Públicas y del Subdirector de Catastro; dicha</w:t>
      </w:r>
      <w:r w:rsidRPr="00507F8A">
        <w:rPr>
          <w:rFonts w:eastAsia="Calibri" w:cs="Tahoma"/>
          <w:bCs/>
          <w:iCs/>
          <w:color w:val="auto"/>
        </w:rPr>
        <w:t xml:space="preserve"> situación, toma sustento en</w:t>
      </w:r>
      <w:r w:rsidRPr="00507F8A">
        <w:rPr>
          <w:rFonts w:eastAsia="Calibri" w:cs="Tahoma"/>
          <w:bCs/>
          <w:color w:val="auto"/>
        </w:rPr>
        <w:t xml:space="preserve"> el</w:t>
      </w:r>
      <w:r w:rsidRPr="00507F8A">
        <w:rPr>
          <w:rFonts w:eastAsia="Times New Roman" w:cs="Tahoma"/>
          <w:color w:val="auto"/>
          <w:lang w:eastAsia="es-E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D3C0D52" w14:textId="77777777" w:rsidR="00863062" w:rsidRPr="00507F8A" w:rsidRDefault="00863062" w:rsidP="00AD7BBE">
      <w:pPr>
        <w:tabs>
          <w:tab w:val="left" w:pos="4962"/>
        </w:tabs>
        <w:spacing w:after="0" w:line="360" w:lineRule="auto"/>
        <w:rPr>
          <w:rFonts w:eastAsia="Times New Roman" w:cs="Tahoma"/>
          <w:color w:val="auto"/>
          <w:lang w:eastAsia="es-ES"/>
        </w:rPr>
      </w:pPr>
    </w:p>
    <w:p w14:paraId="63D7F49A" w14:textId="77777777" w:rsidR="00863062" w:rsidRPr="00507F8A" w:rsidRDefault="00863062" w:rsidP="00AD7BBE">
      <w:pPr>
        <w:tabs>
          <w:tab w:val="left" w:pos="4962"/>
        </w:tabs>
        <w:spacing w:after="0" w:line="360" w:lineRule="auto"/>
        <w:rPr>
          <w:rFonts w:eastAsia="Arial" w:cs="Arial"/>
          <w:i/>
          <w:color w:val="auto"/>
          <w:sz w:val="20"/>
          <w:szCs w:val="20"/>
          <w:lang w:eastAsia="es-ES"/>
        </w:rPr>
      </w:pPr>
      <w:r w:rsidRPr="00507F8A">
        <w:rPr>
          <w:rFonts w:eastAsia="Times New Roman" w:cs="Tahoma"/>
          <w:color w:val="auto"/>
          <w:lang w:eastAsia="es-ES"/>
        </w:rPr>
        <w:t xml:space="preserve">De esta manera, </w:t>
      </w:r>
      <w:r w:rsidRPr="00507F8A">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507F8A">
        <w:rPr>
          <w:rFonts w:eastAsia="Times New Roman" w:cs="Tahoma"/>
          <w:i/>
          <w:color w:val="auto"/>
          <w:lang w:eastAsia="es-ES"/>
        </w:rPr>
        <w:t>ad hoc</w:t>
      </w:r>
      <w:r w:rsidRPr="00507F8A">
        <w:rPr>
          <w:rFonts w:eastAsia="Times New Roman" w:cs="Tahoma"/>
          <w:color w:val="auto"/>
          <w:lang w:eastAsia="es-E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6ECFB4C6" w14:textId="77777777" w:rsidR="00863062" w:rsidRPr="00507F8A" w:rsidRDefault="00863062" w:rsidP="00AD7BBE">
      <w:pPr>
        <w:spacing w:after="0" w:line="360" w:lineRule="auto"/>
        <w:rPr>
          <w:rFonts w:eastAsia="Times New Roman" w:cs="Tahoma"/>
          <w:color w:val="auto"/>
          <w:szCs w:val="24"/>
          <w:lang w:val="es-ES" w:eastAsia="es-ES"/>
        </w:rPr>
      </w:pPr>
    </w:p>
    <w:p w14:paraId="397FA152" w14:textId="589671C2" w:rsidR="0048751D" w:rsidRPr="00507F8A" w:rsidRDefault="00863062" w:rsidP="00AD7BBE">
      <w:pPr>
        <w:spacing w:after="0" w:line="360" w:lineRule="auto"/>
        <w:contextualSpacing/>
      </w:pPr>
      <w:r w:rsidRPr="00507F8A">
        <w:rPr>
          <w:rFonts w:eastAsia="Times New Roman" w:cs="Tahoma"/>
          <w:color w:val="auto"/>
          <w:lang w:val="es-ES" w:eastAsia="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parte de los certificados requeridos.</w:t>
      </w:r>
    </w:p>
    <w:p w14:paraId="705C90E4" w14:textId="77777777" w:rsidR="0048751D" w:rsidRPr="00507F8A" w:rsidRDefault="0048751D" w:rsidP="00AD7BBE">
      <w:pPr>
        <w:spacing w:after="0" w:line="360" w:lineRule="auto"/>
        <w:contextualSpacing/>
      </w:pPr>
    </w:p>
    <w:p w14:paraId="2729336C" w14:textId="77777777" w:rsidR="002C15C1" w:rsidRPr="00507F8A" w:rsidRDefault="00863062" w:rsidP="00AD7BBE">
      <w:pPr>
        <w:spacing w:after="0" w:line="360" w:lineRule="auto"/>
        <w:rPr>
          <w:rFonts w:eastAsia="Times New Roman" w:cs="Tahoma"/>
          <w:bCs/>
          <w:iCs/>
          <w:color w:val="auto"/>
          <w:lang w:eastAsia="es-ES"/>
        </w:rPr>
      </w:pPr>
      <w:r w:rsidRPr="00507F8A">
        <w:t>Ahora bien, por lo que hace al Certificado de Competencia Laboral del Director de Desarrollo Económico, Oscar Godínez Cuellar, la Dirección de Administración, precisó que se encontra</w:t>
      </w:r>
      <w:r w:rsidR="002C15C1" w:rsidRPr="00507F8A">
        <w:t>ba en proceso de certificación</w:t>
      </w:r>
      <w:r w:rsidR="002C15C1" w:rsidRPr="00507F8A">
        <w:rPr>
          <w:rFonts w:cs="Tahoma"/>
        </w:rPr>
        <w:t>;</w:t>
      </w:r>
      <w:r w:rsidR="002C15C1" w:rsidRPr="00507F8A">
        <w:t xml:space="preserve"> s</w:t>
      </w:r>
      <w:r w:rsidR="002C15C1" w:rsidRPr="00507F8A">
        <w:rPr>
          <w:rFonts w:cs="Tahoma"/>
          <w:iCs/>
          <w:lang w:val="es-ES"/>
        </w:rPr>
        <w:t xml:space="preserve">obre dicho pronunciamiento, </w:t>
      </w:r>
      <w:r w:rsidR="002C15C1" w:rsidRPr="00507F8A">
        <w:rPr>
          <w:rFonts w:cs="Tahoma"/>
          <w:bCs/>
          <w:iCs/>
        </w:rPr>
        <w:t xml:space="preserve">cabe precisar que este Instituto, no tiene atribuciones para pronunciarse sobre la veracidad de la información. Apoya lo anterior, </w:t>
      </w:r>
      <w:r w:rsidR="002C15C1" w:rsidRPr="00507F8A">
        <w:rPr>
          <w:rFonts w:eastAsia="Times New Roman" w:cs="Tahoma"/>
          <w:bCs/>
          <w:iCs/>
          <w:color w:val="auto"/>
          <w:lang w:eastAsia="es-ES"/>
        </w:rPr>
        <w:t>el Criterio de interpretación, con clave de control SO/031/2010, de la Primera Época y emitido por el Pleno del entonces Instituto Federal de Acceso a la Información y Protección de Datos, que a continuación se cita:</w:t>
      </w:r>
    </w:p>
    <w:p w14:paraId="7BC6737B" w14:textId="04D2D45A" w:rsidR="002C15C1" w:rsidRPr="00507F8A" w:rsidRDefault="002C15C1" w:rsidP="00AD7BBE">
      <w:pPr>
        <w:spacing w:after="0" w:line="360" w:lineRule="auto"/>
      </w:pPr>
    </w:p>
    <w:p w14:paraId="4BFFF477" w14:textId="77777777" w:rsidR="002C15C1" w:rsidRPr="00507F8A" w:rsidRDefault="002C15C1" w:rsidP="00AD7BBE">
      <w:pPr>
        <w:spacing w:after="0" w:line="360" w:lineRule="auto"/>
        <w:ind w:left="567" w:right="567"/>
        <w:rPr>
          <w:rFonts w:eastAsia="Times New Roman" w:cs="Tahoma"/>
          <w:bCs/>
          <w:i/>
          <w:iCs/>
          <w:color w:val="auto"/>
          <w:sz w:val="20"/>
          <w:szCs w:val="20"/>
          <w:lang w:eastAsia="es-ES"/>
        </w:rPr>
      </w:pPr>
      <w:r w:rsidRPr="00507F8A">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507F8A">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914F37" w14:textId="77777777" w:rsidR="002C15C1" w:rsidRPr="00507F8A" w:rsidRDefault="002C15C1" w:rsidP="00AD7BBE">
      <w:pPr>
        <w:spacing w:after="0" w:line="360" w:lineRule="auto"/>
        <w:contextualSpacing/>
      </w:pPr>
    </w:p>
    <w:p w14:paraId="70F5DA39" w14:textId="3DCA8F7A" w:rsidR="002C15C1" w:rsidRPr="00507F8A" w:rsidRDefault="002C15C1" w:rsidP="00AD7BBE">
      <w:pPr>
        <w:spacing w:after="0" w:line="360" w:lineRule="auto"/>
        <w:rPr>
          <w:rFonts w:eastAsia="Times New Roman" w:cs="Tahoma"/>
          <w:lang w:eastAsia="es-MX"/>
        </w:rPr>
      </w:pPr>
      <w:r w:rsidRPr="00507F8A">
        <w:rPr>
          <w:rFonts w:eastAsia="Times New Roman" w:cs="Tahoma"/>
          <w:bCs/>
          <w:lang w:eastAsia="es-MX"/>
        </w:rPr>
        <w:t xml:space="preserve">Conforme a lo anterior, la Dirección de Administración aludió </w:t>
      </w:r>
      <w:r w:rsidRPr="00507F8A">
        <w:t xml:space="preserve">que no se contaba con el Certificado de Competencia Laboral del Director de Desarrollo Económico, pues a la fecha de </w:t>
      </w:r>
      <w:r w:rsidRPr="00507F8A">
        <w:lastRenderedPageBreak/>
        <w:t>la solicitud se encontraba en proceso de certificación el servidor público</w:t>
      </w:r>
      <w:r w:rsidRPr="00507F8A">
        <w:rPr>
          <w:rFonts w:eastAsia="Times New Roman" w:cs="Tahoma"/>
          <w:bCs/>
          <w:lang w:eastAsia="es-MX"/>
        </w:rPr>
        <w:t>; sobre el tema</w:t>
      </w:r>
      <w:r w:rsidRPr="00507F8A">
        <w:rPr>
          <w:rFonts w:eastAsia="Times New Roman" w:cs="Tahoma"/>
          <w:lang w:eastAsia="es-MX"/>
        </w:rPr>
        <w:t xml:space="preserve">, </w:t>
      </w:r>
      <w:r w:rsidRPr="00507F8A">
        <w:rPr>
          <w:rFonts w:eastAsia="Times New Roman" w:cs="Tahoma"/>
          <w:bCs/>
          <w:lang w:eastAsia="es-MX"/>
        </w:rPr>
        <w:t xml:space="preserve">el </w:t>
      </w:r>
      <w:r w:rsidRPr="00507F8A">
        <w:rPr>
          <w:rFonts w:eastAsia="Times New Roman" w:cs="Tahoma"/>
          <w:lang w:eastAsia="es-MX"/>
        </w:rPr>
        <w:t>Criterio con clave de control SO/014/2017, de la Segunda Época, emitido por el Instituto Nacional de Transparencia, Acceso a la Información Pública y Protección de Datos Personales en el Estado de México y Municipios, que señala lo siguiente:</w:t>
      </w:r>
    </w:p>
    <w:p w14:paraId="22C1C1B5" w14:textId="77777777" w:rsidR="002C15C1" w:rsidRPr="00507F8A" w:rsidRDefault="002C15C1" w:rsidP="00AD7BBE">
      <w:pPr>
        <w:spacing w:after="0" w:line="360" w:lineRule="auto"/>
        <w:rPr>
          <w:rFonts w:eastAsia="Calibri" w:cs="Tahoma"/>
          <w:bCs/>
          <w:color w:val="auto"/>
          <w:lang w:val="es-ES"/>
        </w:rPr>
      </w:pPr>
    </w:p>
    <w:p w14:paraId="7E31001C" w14:textId="77777777" w:rsidR="002C15C1" w:rsidRPr="00507F8A" w:rsidRDefault="002C15C1" w:rsidP="00AD7BBE">
      <w:pPr>
        <w:spacing w:after="0" w:line="360" w:lineRule="auto"/>
        <w:ind w:left="567" w:right="567"/>
        <w:rPr>
          <w:rFonts w:eastAsia="Times New Roman" w:cs="Tahoma"/>
          <w:bCs/>
          <w:i/>
          <w:sz w:val="20"/>
          <w:szCs w:val="20"/>
          <w:lang w:val="es-ES" w:eastAsia="es-ES"/>
        </w:rPr>
      </w:pPr>
      <w:r w:rsidRPr="00507F8A">
        <w:rPr>
          <w:rFonts w:eastAsia="Times New Roman" w:cs="Tahoma"/>
          <w:bCs/>
          <w:i/>
          <w:sz w:val="20"/>
          <w:szCs w:val="20"/>
          <w:lang w:val="es-ES" w:eastAsia="es-ES"/>
        </w:rPr>
        <w:t>“</w:t>
      </w:r>
      <w:r w:rsidRPr="00507F8A">
        <w:rPr>
          <w:rFonts w:eastAsia="Times New Roman" w:cs="Tahoma"/>
          <w:b/>
          <w:bCs/>
          <w:i/>
          <w:sz w:val="20"/>
          <w:szCs w:val="20"/>
          <w:lang w:val="es-ES" w:eastAsia="es-ES"/>
        </w:rPr>
        <w:t xml:space="preserve">Inexistencia. </w:t>
      </w:r>
      <w:r w:rsidRPr="00507F8A">
        <w:rPr>
          <w:rFonts w:eastAsia="Times New Roman" w:cs="Tahoma"/>
          <w:bCs/>
          <w:i/>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1EEF0713" w14:textId="77777777" w:rsidR="002C15C1" w:rsidRPr="00507F8A" w:rsidRDefault="002C15C1" w:rsidP="00AD7BBE">
      <w:pPr>
        <w:spacing w:after="0" w:line="360" w:lineRule="auto"/>
        <w:rPr>
          <w:rFonts w:eastAsia="Times New Roman" w:cs="Tahoma"/>
          <w:lang w:eastAsia="es-ES"/>
        </w:rPr>
      </w:pPr>
    </w:p>
    <w:p w14:paraId="08A92F7C" w14:textId="1F13A5A2" w:rsidR="002C15C1" w:rsidRPr="00507F8A" w:rsidRDefault="002C15C1" w:rsidP="00AD7BBE">
      <w:pPr>
        <w:spacing w:after="0" w:line="360" w:lineRule="auto"/>
        <w:rPr>
          <w:rFonts w:eastAsia="Times New Roman" w:cs="Tahoma"/>
          <w:lang w:val="es-ES" w:eastAsia="es-ES"/>
        </w:rPr>
      </w:pPr>
      <w:r w:rsidRPr="00507F8A">
        <w:rPr>
          <w:rFonts w:eastAsia="Times New Roman" w:cs="Tahoma"/>
          <w:lang w:eastAsia="es-ES"/>
        </w:rPr>
        <w:t xml:space="preserve">Del citado criterio, se desprende que la inexistencia de la información, es una cuestión de hecho que se le atribuye a la misma, cuando ésta no se encuentra en los archivos del sujeto obligado; además, </w:t>
      </w:r>
      <w:r w:rsidRPr="00507F8A">
        <w:rPr>
          <w:rFonts w:eastAsia="Times New Roman" w:cs="Tahoma"/>
          <w:lang w:val="es-ES" w:eastAsia="es-ES"/>
        </w:rPr>
        <w:t xml:space="preserve">según Trujillo, Humberto (2019), en el “Diccionario de Transparencia y Acceso a la Información Pública” (p. 171), </w:t>
      </w:r>
      <w:r w:rsidRPr="00507F8A">
        <w:rPr>
          <w:rFonts w:eastAsia="Times New Roman" w:cs="Tahoma"/>
          <w:b/>
          <w:bCs/>
          <w:lang w:val="es-ES" w:eastAsia="es-ES"/>
        </w:rPr>
        <w:t>la inexistencia de la información</w:t>
      </w:r>
      <w:r w:rsidRPr="00507F8A">
        <w:rPr>
          <w:rFonts w:eastAsia="Times New Roman" w:cs="Tahoma"/>
          <w:lang w:val="es-ES" w:eastAsia="es-ES"/>
        </w:rPr>
        <w:t xml:space="preserve">, es cuando la información requerida no se encuentra en los archivos públicos, reservados o clasificados, de los sujetos obligados. </w:t>
      </w:r>
    </w:p>
    <w:p w14:paraId="0D98AD14" w14:textId="77777777" w:rsidR="002C15C1" w:rsidRPr="00507F8A" w:rsidRDefault="002C15C1" w:rsidP="00AD7BBE">
      <w:pPr>
        <w:spacing w:after="0" w:line="360" w:lineRule="auto"/>
        <w:contextualSpacing/>
      </w:pPr>
    </w:p>
    <w:p w14:paraId="77AB7162" w14:textId="65BEADDB" w:rsidR="002C15C1" w:rsidRPr="00507F8A" w:rsidRDefault="002C15C1" w:rsidP="00AD7BBE">
      <w:pPr>
        <w:widowControl w:val="0"/>
        <w:spacing w:after="0" w:line="360" w:lineRule="auto"/>
        <w:rPr>
          <w:rFonts w:cs="Tahoma"/>
          <w:color w:val="000000"/>
        </w:rPr>
      </w:pPr>
      <w:r w:rsidRPr="00507F8A">
        <w:rPr>
          <w:rFonts w:cs="Tahoma"/>
          <w:color w:val="000000"/>
        </w:rPr>
        <w:t xml:space="preserve">Conforme a lo anterior, se logra vislumbrar que, en el presente caso, </w:t>
      </w:r>
      <w:r w:rsidRPr="00507F8A">
        <w:rPr>
          <w:rFonts w:cs="Tahoma"/>
          <w:b/>
          <w:color w:val="000000"/>
        </w:rPr>
        <w:t xml:space="preserve">la información resulta inexistente, </w:t>
      </w:r>
      <w:r w:rsidRPr="00507F8A">
        <w:rPr>
          <w:rFonts w:cs="Tahoma"/>
          <w:color w:val="000000"/>
        </w:rPr>
        <w:t>pues la certificación requerida se encontraba en trámite; en ese contexto, cabe recordar que el Director de Desarrollo Económico contaba con seis meses para cumplir con dicho requisito.</w:t>
      </w:r>
    </w:p>
    <w:p w14:paraId="5F209CE6" w14:textId="77777777" w:rsidR="002C15C1" w:rsidRPr="00507F8A" w:rsidRDefault="002C15C1" w:rsidP="00AD7BBE">
      <w:pPr>
        <w:widowControl w:val="0"/>
        <w:spacing w:after="0" w:line="360" w:lineRule="auto"/>
        <w:rPr>
          <w:rFonts w:cs="Tahoma"/>
          <w:color w:val="000000"/>
        </w:rPr>
      </w:pPr>
    </w:p>
    <w:p w14:paraId="4C47DB2A" w14:textId="10B6F051" w:rsidR="002C15C1" w:rsidRPr="00507F8A" w:rsidRDefault="002C15C1" w:rsidP="00AD7BBE">
      <w:pPr>
        <w:widowControl w:val="0"/>
        <w:spacing w:after="0" w:line="360" w:lineRule="auto"/>
        <w:rPr>
          <w:rFonts w:cs="Tahoma"/>
          <w:color w:val="000000"/>
        </w:rPr>
      </w:pPr>
      <w:r w:rsidRPr="00507F8A">
        <w:rPr>
          <w:rFonts w:cs="Tahoma"/>
          <w:color w:val="000000"/>
        </w:rPr>
        <w:t xml:space="preserve">En ese contexto, de la búsqueda en el Portal de Información Pública de Oficio Mexiquense, se logra vislumbrar </w:t>
      </w:r>
      <w:r w:rsidR="00AD7BBE" w:rsidRPr="00507F8A">
        <w:rPr>
          <w:rFonts w:cs="Tahoma"/>
          <w:color w:val="000000"/>
        </w:rPr>
        <w:t>que el Director de Desarrollo Económico y Sustentable, Oscar Godínez Cuellar, causó alta en dicho cargo, el dieciséis de enero de dos mil veintidós; por lo que, dicho servidor público tenía la segunda quincena de julio de dicho año para acreditar el requisito.</w:t>
      </w:r>
    </w:p>
    <w:p w14:paraId="552E1DFA" w14:textId="77777777" w:rsidR="00AD7BBE" w:rsidRPr="00507F8A" w:rsidRDefault="00AD7BBE" w:rsidP="00AD7BBE">
      <w:pPr>
        <w:widowControl w:val="0"/>
        <w:spacing w:after="0" w:line="360" w:lineRule="auto"/>
        <w:rPr>
          <w:rFonts w:cs="Tahoma"/>
          <w:color w:val="000000"/>
        </w:rPr>
      </w:pPr>
    </w:p>
    <w:p w14:paraId="7BAFAF00" w14:textId="65FA98D3" w:rsidR="002C15C1" w:rsidRPr="00507F8A" w:rsidRDefault="00AD7BBE" w:rsidP="00AD7BBE">
      <w:pPr>
        <w:widowControl w:val="0"/>
        <w:spacing w:after="0" w:line="360" w:lineRule="auto"/>
        <w:rPr>
          <w:rFonts w:cs="Tahoma"/>
          <w:b/>
          <w:color w:val="000000"/>
        </w:rPr>
      </w:pPr>
      <w:r w:rsidRPr="00507F8A">
        <w:rPr>
          <w:rFonts w:cs="Tahoma"/>
          <w:color w:val="000000"/>
        </w:rPr>
        <w:t>Conforme a lo anterior, se logra vislumbrar que a la fecha de la presentación de la solicitud, el Director mencionado, ya debería contar con el Certificado de Competencia Laboral</w:t>
      </w:r>
      <w:r w:rsidR="002C15C1" w:rsidRPr="00507F8A">
        <w:rPr>
          <w:rFonts w:cs="Tahoma"/>
          <w:color w:val="000000"/>
        </w:rPr>
        <w:t>,</w:t>
      </w:r>
      <w:r w:rsidRPr="00507F8A">
        <w:rPr>
          <w:rFonts w:cs="Tahoma"/>
          <w:color w:val="000000"/>
        </w:rPr>
        <w:t xml:space="preserve"> por lo que</w:t>
      </w:r>
      <w:r w:rsidR="002C15C1" w:rsidRPr="00507F8A">
        <w:rPr>
          <w:rFonts w:cs="Tahoma"/>
          <w:color w:val="000000"/>
        </w:rPr>
        <w:t xml:space="preserve">, </w:t>
      </w:r>
      <w:r w:rsidR="002C15C1" w:rsidRPr="00507F8A">
        <w:rPr>
          <w:rFonts w:cs="Tahoma"/>
          <w:color w:val="000000"/>
        </w:rPr>
        <w:lastRenderedPageBreak/>
        <w:t xml:space="preserve">este Instituto considera </w:t>
      </w:r>
      <w:r w:rsidRPr="00507F8A">
        <w:rPr>
          <w:rFonts w:cs="Tahoma"/>
          <w:color w:val="000000"/>
        </w:rPr>
        <w:t>que si bien la información es inexistente, esta</w:t>
      </w:r>
      <w:r w:rsidR="002C15C1" w:rsidRPr="00507F8A">
        <w:rPr>
          <w:rFonts w:cs="Tahoma"/>
          <w:color w:val="000000"/>
        </w:rPr>
        <w:t xml:space="preserve"> debe ser </w:t>
      </w:r>
      <w:r w:rsidR="002C15C1" w:rsidRPr="00507F8A">
        <w:rPr>
          <w:rFonts w:cs="Tahoma"/>
          <w:b/>
          <w:bCs/>
          <w:color w:val="000000"/>
        </w:rPr>
        <w:t>declarada formalmente</w:t>
      </w:r>
      <w:r w:rsidR="006622D3" w:rsidRPr="00507F8A">
        <w:rPr>
          <w:rFonts w:cs="Tahoma"/>
          <w:color w:val="000000"/>
        </w:rPr>
        <w:t xml:space="preserve">, lo cual da como resultado que el agravio resulta </w:t>
      </w:r>
      <w:r w:rsidR="006622D3" w:rsidRPr="00507F8A">
        <w:rPr>
          <w:rFonts w:cs="Tahoma"/>
          <w:b/>
          <w:color w:val="000000"/>
        </w:rPr>
        <w:t>PARCIALMENTE FUNDADO.</w:t>
      </w:r>
    </w:p>
    <w:p w14:paraId="0EE23D7E" w14:textId="77777777" w:rsidR="002C15C1" w:rsidRPr="00507F8A" w:rsidRDefault="002C15C1" w:rsidP="00AD7BBE">
      <w:pPr>
        <w:spacing w:after="0" w:line="360" w:lineRule="auto"/>
        <w:contextualSpacing/>
      </w:pPr>
    </w:p>
    <w:p w14:paraId="26F97C52" w14:textId="77777777" w:rsidR="00AD7BBE" w:rsidRPr="00507F8A" w:rsidRDefault="00AD7BBE" w:rsidP="00AD7BBE">
      <w:pPr>
        <w:widowControl w:val="0"/>
        <w:spacing w:after="0" w:line="360" w:lineRule="auto"/>
        <w:rPr>
          <w:rFonts w:cs="Tahoma"/>
          <w:color w:val="000000"/>
        </w:rPr>
      </w:pPr>
      <w:r w:rsidRPr="00507F8A">
        <w:rPr>
          <w:rFonts w:cs="Tahoma"/>
          <w:color w:val="000000"/>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507F8A">
        <w:rPr>
          <w:rFonts w:cs="Tahoma"/>
          <w:b/>
          <w:color w:val="000000"/>
        </w:rPr>
        <w:t>el Comité de Transparencia deberá emitir un acuerdo de inexistencia</w:t>
      </w:r>
      <w:r w:rsidRPr="00507F8A">
        <w:rPr>
          <w:rFonts w:cs="Tahoma"/>
          <w:color w:val="000000"/>
        </w:rPr>
        <w:t>, debidamente fundado y motivado, en el que detalle las razones del por qué no obra en sus archivos.</w:t>
      </w:r>
    </w:p>
    <w:p w14:paraId="768F6542" w14:textId="77777777" w:rsidR="00AD7BBE" w:rsidRPr="00507F8A" w:rsidRDefault="00AD7BBE" w:rsidP="00AD7BBE">
      <w:pPr>
        <w:spacing w:after="0" w:line="360" w:lineRule="auto"/>
        <w:contextualSpacing/>
      </w:pPr>
    </w:p>
    <w:p w14:paraId="179B475C" w14:textId="77777777" w:rsidR="00AD7BBE" w:rsidRPr="00507F8A" w:rsidRDefault="00AD7BBE" w:rsidP="00AD7BBE">
      <w:pPr>
        <w:spacing w:after="0" w:line="360" w:lineRule="auto"/>
        <w:rPr>
          <w:rFonts w:eastAsia="Calibri" w:cs="Tahoma"/>
          <w:bCs/>
          <w:color w:val="auto"/>
        </w:rPr>
      </w:pPr>
      <w:r w:rsidRPr="00507F8A">
        <w:rPr>
          <w:rFonts w:eastAsia="Times New Roman" w:cs="Arial"/>
          <w:lang w:eastAsia="es-MX"/>
        </w:rPr>
        <w:t>En ese orden de ideas</w:t>
      </w:r>
      <w:r w:rsidRPr="00507F8A">
        <w:rPr>
          <w:rFonts w:eastAsia="Calibri" w:cs="Tahoma"/>
          <w:bCs/>
          <w:color w:val="auto"/>
          <w:lang w:val="es-ES"/>
        </w:rPr>
        <w:t>,</w:t>
      </w:r>
      <w:r w:rsidRPr="00507F8A">
        <w:rPr>
          <w:rFonts w:eastAsia="Calibri" w:cs="Tahoma"/>
          <w:bCs/>
          <w:color w:val="auto"/>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14:paraId="3B0D6066" w14:textId="77777777" w:rsidR="00AD7BBE" w:rsidRPr="00507F8A" w:rsidRDefault="00AD7BBE" w:rsidP="00AD7BBE">
      <w:pPr>
        <w:spacing w:after="0" w:line="360" w:lineRule="auto"/>
        <w:rPr>
          <w:rFonts w:eastAsia="Calibri" w:cs="Tahoma"/>
          <w:bCs/>
          <w:color w:val="auto"/>
          <w:lang w:val="es-ES"/>
        </w:rPr>
      </w:pPr>
    </w:p>
    <w:p w14:paraId="0B3809F1" w14:textId="77777777" w:rsidR="00AD7BBE" w:rsidRPr="00507F8A" w:rsidRDefault="00AD7BBE" w:rsidP="00AD7BBE">
      <w:pPr>
        <w:spacing w:after="0" w:line="360" w:lineRule="auto"/>
        <w:ind w:left="567" w:right="567"/>
        <w:rPr>
          <w:rFonts w:eastAsia="Calibri" w:cs="Tahoma"/>
          <w:b/>
          <w:bCs/>
          <w:i/>
          <w:color w:val="auto"/>
          <w:sz w:val="20"/>
          <w:szCs w:val="20"/>
        </w:rPr>
      </w:pPr>
      <w:r w:rsidRPr="00507F8A">
        <w:rPr>
          <w:rFonts w:eastAsia="Calibri" w:cs="Tahoma"/>
          <w:b/>
          <w:bCs/>
          <w:i/>
          <w:color w:val="auto"/>
          <w:sz w:val="20"/>
          <w:szCs w:val="20"/>
        </w:rPr>
        <w:t xml:space="preserve">“Propósito de la declaración formal de inexistencia. </w:t>
      </w:r>
      <w:r w:rsidRPr="00507F8A">
        <w:rPr>
          <w:rFonts w:eastAsia="Calibri" w:cs="Tahoma"/>
          <w:bCs/>
          <w:i/>
          <w:color w:val="auto"/>
          <w:sz w:val="20"/>
          <w:szCs w:val="20"/>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507F8A">
        <w:rPr>
          <w:rFonts w:eastAsia="Calibri" w:cs="Tahoma"/>
          <w:b/>
          <w:bCs/>
          <w:i/>
          <w:color w:val="auto"/>
          <w:sz w:val="20"/>
          <w:szCs w:val="20"/>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w:t>
      </w:r>
      <w:r w:rsidRPr="00507F8A">
        <w:rPr>
          <w:rFonts w:eastAsia="Calibri" w:cs="Tahoma"/>
          <w:b/>
          <w:bCs/>
          <w:i/>
          <w:color w:val="auto"/>
          <w:sz w:val="20"/>
          <w:szCs w:val="20"/>
        </w:rPr>
        <w:lastRenderedPageBreak/>
        <w:t xml:space="preserve">la información en determinada(s) unidad(es) administrativa(s), los criterios de búsqueda utilizados, y las demás circunstancias que fueron tomadas en cuenta.” </w:t>
      </w:r>
    </w:p>
    <w:p w14:paraId="7FE210B4" w14:textId="77777777" w:rsidR="00AD7BBE" w:rsidRPr="00507F8A" w:rsidRDefault="00AD7BBE" w:rsidP="00AD7BBE">
      <w:pPr>
        <w:spacing w:after="0" w:line="360" w:lineRule="auto"/>
        <w:rPr>
          <w:rFonts w:eastAsia="Calibri" w:cs="Tahoma"/>
          <w:bCs/>
          <w:color w:val="auto"/>
        </w:rPr>
      </w:pPr>
    </w:p>
    <w:p w14:paraId="1EA7C566" w14:textId="77777777" w:rsidR="00AD7BBE" w:rsidRPr="00507F8A" w:rsidRDefault="00AD7BBE" w:rsidP="00AD7BBE">
      <w:pPr>
        <w:spacing w:after="0" w:line="360" w:lineRule="auto"/>
        <w:rPr>
          <w:rFonts w:eastAsia="Calibri" w:cs="Tahoma"/>
          <w:bCs/>
          <w:iCs/>
          <w:color w:val="auto"/>
          <w:lang w:val="es-ES"/>
        </w:rPr>
      </w:pPr>
      <w:r w:rsidRPr="00507F8A">
        <w:rPr>
          <w:rFonts w:eastAsia="Calibri" w:cs="Tahoma"/>
          <w:bCs/>
          <w:color w:val="auto"/>
        </w:rPr>
        <w:t xml:space="preserve">De la misma manera, el Criterio de interpretación, de la Segunda Época, con clave de control SO/004/2019, emitido por el </w:t>
      </w:r>
      <w:r w:rsidRPr="00507F8A">
        <w:rPr>
          <w:rFonts w:eastAsia="Calibri" w:cs="Tahoma"/>
          <w:bCs/>
          <w:iCs/>
          <w:color w:val="auto"/>
          <w:lang w:val="es-ES"/>
        </w:rPr>
        <w:t xml:space="preserve">del Instituto Nacional de Transparencia, Acceso a la Información y Protección de Datos Personales, cuyo texto y rubro son los siguientes: </w:t>
      </w:r>
    </w:p>
    <w:p w14:paraId="254CA536" w14:textId="77777777" w:rsidR="00AD7BBE" w:rsidRPr="00507F8A" w:rsidRDefault="00AD7BBE" w:rsidP="00AD7BBE">
      <w:pPr>
        <w:spacing w:after="0" w:line="360" w:lineRule="auto"/>
        <w:rPr>
          <w:rFonts w:eastAsia="Calibri" w:cs="Tahoma"/>
          <w:bCs/>
          <w:iCs/>
          <w:color w:val="auto"/>
          <w:lang w:val="es-ES"/>
        </w:rPr>
      </w:pPr>
    </w:p>
    <w:p w14:paraId="086AC337" w14:textId="77777777" w:rsidR="00AD7BBE" w:rsidRPr="00507F8A" w:rsidRDefault="00AD7BBE" w:rsidP="00AD7BBE">
      <w:pPr>
        <w:spacing w:after="0" w:line="360" w:lineRule="auto"/>
        <w:ind w:left="567" w:right="567"/>
        <w:rPr>
          <w:rFonts w:eastAsia="Calibri" w:cs="Tahoma"/>
          <w:bCs/>
          <w:i/>
          <w:color w:val="auto"/>
          <w:sz w:val="20"/>
          <w:szCs w:val="20"/>
          <w:lang w:val="es-ES"/>
        </w:rPr>
      </w:pPr>
      <w:r w:rsidRPr="00507F8A">
        <w:rPr>
          <w:rFonts w:eastAsia="Calibri" w:cs="Tahoma"/>
          <w:b/>
          <w:bCs/>
          <w:i/>
          <w:color w:val="auto"/>
          <w:sz w:val="20"/>
          <w:szCs w:val="20"/>
          <w:lang w:val="es-ES"/>
        </w:rPr>
        <w:t>“Propósito de la declaración formal de inexistencia.</w:t>
      </w:r>
      <w:r w:rsidRPr="00507F8A">
        <w:rPr>
          <w:rFonts w:eastAsia="Calibri" w:cs="Tahoma"/>
          <w:bCs/>
          <w:i/>
          <w:color w:val="auto"/>
          <w:sz w:val="20"/>
          <w:szCs w:val="20"/>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02CFCA1C" w14:textId="77777777" w:rsidR="00AD7BBE" w:rsidRPr="00507F8A" w:rsidRDefault="00AD7BBE" w:rsidP="00AD7BBE">
      <w:pPr>
        <w:spacing w:after="0" w:line="360" w:lineRule="auto"/>
        <w:rPr>
          <w:rFonts w:eastAsia="Calibri" w:cs="Tahoma"/>
          <w:bCs/>
          <w:iCs/>
          <w:color w:val="auto"/>
          <w:lang w:val="es-ES"/>
        </w:rPr>
      </w:pPr>
    </w:p>
    <w:p w14:paraId="78893F54" w14:textId="77777777" w:rsidR="00AD7BBE" w:rsidRPr="00507F8A" w:rsidRDefault="00AD7BBE" w:rsidP="00AD7BBE">
      <w:pPr>
        <w:spacing w:after="0" w:line="360" w:lineRule="auto"/>
        <w:rPr>
          <w:rFonts w:eastAsia="Calibri" w:cs="Tahoma"/>
          <w:bCs/>
          <w:color w:val="auto"/>
        </w:rPr>
      </w:pPr>
      <w:r w:rsidRPr="00507F8A">
        <w:rPr>
          <w:rFonts w:eastAsia="Calibri" w:cs="Tahoma"/>
          <w:bCs/>
          <w:iCs/>
          <w:color w:val="auto"/>
        </w:rPr>
        <w:t>De lo anterior se colige que las declaraciones de inexistencia de los Comité</w:t>
      </w:r>
      <w:r w:rsidRPr="00507F8A">
        <w:rPr>
          <w:rFonts w:eastAsia="Calibri" w:cs="Tahoma"/>
          <w:bCs/>
          <w:iCs/>
          <w:color w:val="auto"/>
          <w:lang w:val="x-none"/>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507F8A">
        <w:rPr>
          <w:rFonts w:eastAsia="Calibri" w:cs="Tahoma"/>
          <w:bCs/>
          <w:color w:val="auto"/>
        </w:rPr>
        <w:t>determinadas unidades administrativas, los criterios de búsqueda y demás circunstancias tomadas en cuenta, con el fin de garantizar al solicitante que efectivamente se hicieron las gestiones necesarias para localizar la documentación de su interés. Asimismo, según Calero, Natalia (2016), en la “Ley General de Transparencia y Acceso a la Información Pública Comentada” (p. 419), las declaraciones de inexistencia, deben contener lo siguiente:</w:t>
      </w:r>
    </w:p>
    <w:p w14:paraId="444F6B56" w14:textId="77777777" w:rsidR="00AD7BBE" w:rsidRPr="00507F8A" w:rsidRDefault="00AD7BBE" w:rsidP="00AD7BBE">
      <w:pPr>
        <w:spacing w:after="0" w:line="360" w:lineRule="auto"/>
        <w:rPr>
          <w:rFonts w:eastAsia="Calibri" w:cs="Tahoma"/>
          <w:bCs/>
          <w:color w:val="auto"/>
        </w:rPr>
      </w:pPr>
    </w:p>
    <w:p w14:paraId="35D5895A" w14:textId="77777777" w:rsidR="00AD7BBE" w:rsidRPr="00507F8A" w:rsidRDefault="00AD7BBE" w:rsidP="00AD7BBE">
      <w:pPr>
        <w:numPr>
          <w:ilvl w:val="0"/>
          <w:numId w:val="25"/>
        </w:numPr>
        <w:spacing w:after="0" w:line="360" w:lineRule="auto"/>
        <w:jc w:val="left"/>
        <w:rPr>
          <w:rFonts w:eastAsia="Calibri" w:cs="Tahoma"/>
          <w:b/>
          <w:bCs/>
          <w:color w:val="auto"/>
        </w:rPr>
      </w:pPr>
      <w:r w:rsidRPr="00507F8A">
        <w:rPr>
          <w:rFonts w:eastAsia="Calibri" w:cs="Tahoma"/>
          <w:b/>
          <w:bCs/>
          <w:color w:val="auto"/>
        </w:rPr>
        <w:t>Los elementos que le permitan a los solicitantes tener certeza de que el Sujeto Obligado utilizó un criterio de búsqueda exhaustivo:</w:t>
      </w:r>
      <w:r w:rsidRPr="00507F8A">
        <w:rPr>
          <w:rFonts w:eastAsia="Calibri" w:cs="Tahoma"/>
          <w:bCs/>
          <w:color w:val="auto"/>
        </w:rPr>
        <w:t xml:space="preserve"> Para atender dicho supuesto, se debe precisar en qué unidades administrativas buscó, así como en el tipo de archivos y la manera en que realizó la indagación;</w:t>
      </w:r>
    </w:p>
    <w:p w14:paraId="5C0303A1" w14:textId="77777777" w:rsidR="00AD7BBE" w:rsidRPr="00507F8A" w:rsidRDefault="00AD7BBE" w:rsidP="00AD7BBE">
      <w:pPr>
        <w:spacing w:after="0" w:line="360" w:lineRule="auto"/>
        <w:ind w:left="720"/>
        <w:rPr>
          <w:rFonts w:eastAsia="Calibri" w:cs="Tahoma"/>
          <w:b/>
          <w:bCs/>
          <w:color w:val="auto"/>
        </w:rPr>
      </w:pPr>
    </w:p>
    <w:p w14:paraId="7AAF31B1" w14:textId="77777777" w:rsidR="00AD7BBE" w:rsidRPr="00507F8A" w:rsidRDefault="00AD7BBE" w:rsidP="00AD7BBE">
      <w:pPr>
        <w:numPr>
          <w:ilvl w:val="0"/>
          <w:numId w:val="25"/>
        </w:numPr>
        <w:spacing w:after="0" w:line="360" w:lineRule="auto"/>
        <w:jc w:val="left"/>
        <w:rPr>
          <w:rFonts w:eastAsia="Calibri" w:cs="Tahoma"/>
          <w:b/>
          <w:bCs/>
          <w:color w:val="auto"/>
        </w:rPr>
      </w:pPr>
      <w:r w:rsidRPr="00507F8A">
        <w:rPr>
          <w:rFonts w:eastAsia="Calibri" w:cs="Tahoma"/>
          <w:b/>
          <w:bCs/>
          <w:color w:val="auto"/>
        </w:rPr>
        <w:t xml:space="preserve">Las circunstancias de tiempo, modo y lugar que motiven las razones por las cuales la información es inexistente: </w:t>
      </w:r>
      <w:r w:rsidRPr="00507F8A">
        <w:rPr>
          <w:rFonts w:eastAsia="Calibri" w:cs="Tahoma"/>
          <w:bCs/>
          <w:color w:val="auto"/>
        </w:rPr>
        <w:t>Al respecto, los sujetos obligados para acreditar dicho punto, deberán proveer la mayor cantidad de elementos posibles que permitan evidencia las razones por las cuales la información requerida no existe</w:t>
      </w:r>
      <w:r w:rsidRPr="00507F8A">
        <w:rPr>
          <w:rFonts w:eastAsia="Calibri" w:cs="Tahoma"/>
          <w:b/>
          <w:bCs/>
          <w:color w:val="auto"/>
        </w:rPr>
        <w:t>,</w:t>
      </w:r>
      <w:r w:rsidRPr="00507F8A">
        <w:rPr>
          <w:rFonts w:eastAsia="Calibri" w:cs="Tahoma"/>
          <w:bCs/>
          <w:color w:val="auto"/>
        </w:rPr>
        <w:t xml:space="preserve"> y</w:t>
      </w:r>
    </w:p>
    <w:p w14:paraId="2E125D52" w14:textId="77777777" w:rsidR="00AD7BBE" w:rsidRPr="00507F8A" w:rsidRDefault="00AD7BBE" w:rsidP="00AD7BBE">
      <w:pPr>
        <w:spacing w:after="0" w:line="360" w:lineRule="auto"/>
        <w:ind w:left="720"/>
        <w:rPr>
          <w:rFonts w:eastAsia="Calibri" w:cs="Tahoma"/>
          <w:b/>
          <w:bCs/>
          <w:color w:val="auto"/>
        </w:rPr>
      </w:pPr>
    </w:p>
    <w:p w14:paraId="1192DCBF" w14:textId="77777777" w:rsidR="00AD7BBE" w:rsidRPr="00507F8A" w:rsidRDefault="00AD7BBE" w:rsidP="00AD7BBE">
      <w:pPr>
        <w:numPr>
          <w:ilvl w:val="0"/>
          <w:numId w:val="25"/>
        </w:numPr>
        <w:spacing w:after="0" w:line="360" w:lineRule="auto"/>
        <w:jc w:val="left"/>
        <w:rPr>
          <w:rFonts w:eastAsia="Calibri" w:cs="Tahoma"/>
          <w:bCs/>
          <w:color w:val="auto"/>
          <w:lang w:val="es-ES"/>
        </w:rPr>
      </w:pPr>
      <w:r w:rsidRPr="00507F8A">
        <w:rPr>
          <w:rFonts w:eastAsia="Calibri" w:cs="Tahoma"/>
          <w:b/>
          <w:bCs/>
          <w:color w:val="auto"/>
        </w:rPr>
        <w:t>El servidor público responsable de contar con ésta</w:t>
      </w:r>
      <w:r w:rsidRPr="00507F8A">
        <w:rPr>
          <w:rFonts w:eastAsia="Calibri" w:cs="Tahoma"/>
          <w:bCs/>
          <w:color w:val="auto"/>
        </w:rPr>
        <w:t>: Es importante indicar, el cargo y las razones jurídicas por las cuales debió generar la información.</w:t>
      </w:r>
    </w:p>
    <w:p w14:paraId="4A2B4994" w14:textId="77777777" w:rsidR="00AD7BBE" w:rsidRPr="00507F8A" w:rsidRDefault="00AD7BBE" w:rsidP="00AD7BBE">
      <w:pPr>
        <w:spacing w:after="0" w:line="360" w:lineRule="auto"/>
        <w:rPr>
          <w:rFonts w:eastAsia="Calibri" w:cs="Tahoma"/>
          <w:bCs/>
          <w:color w:val="auto"/>
          <w:lang w:val="es-ES"/>
        </w:rPr>
      </w:pPr>
    </w:p>
    <w:p w14:paraId="79B28376" w14:textId="77777777" w:rsidR="00AD7BBE" w:rsidRPr="00507F8A" w:rsidRDefault="00AD7BBE" w:rsidP="00AD7BBE">
      <w:pPr>
        <w:spacing w:after="0" w:line="360" w:lineRule="auto"/>
        <w:rPr>
          <w:rFonts w:eastAsia="Times New Roman" w:cs="Tahoma"/>
          <w:szCs w:val="24"/>
          <w:lang w:eastAsia="es-MX"/>
        </w:rPr>
      </w:pPr>
      <w:r w:rsidRPr="00507F8A">
        <w:rPr>
          <w:rFonts w:eastAsia="Times New Roman" w:cs="Tahoma"/>
          <w:szCs w:val="24"/>
          <w:lang w:eastAsia="es-MX"/>
        </w:rPr>
        <w:t xml:space="preserve">Conforme a lo citado, se considera que es necesario que la Ayuntamiento de Texcoco, </w:t>
      </w:r>
      <w:r w:rsidRPr="00507F8A">
        <w:rPr>
          <w:rFonts w:eastAsia="Times New Roman" w:cs="Tahoma"/>
          <w:b/>
          <w:szCs w:val="24"/>
          <w:lang w:eastAsia="es-MX"/>
        </w:rPr>
        <w:t xml:space="preserve">declare por medio de su Comité de Transparencia, la inexistencia de la información solicitada; </w:t>
      </w:r>
      <w:r w:rsidRPr="00507F8A">
        <w:rPr>
          <w:rFonts w:eastAsia="Times New Roman" w:cs="Tahoma"/>
          <w:bCs/>
          <w:szCs w:val="24"/>
          <w:lang w:eastAsia="es-MX"/>
        </w:rPr>
        <w:t>p</w:t>
      </w:r>
      <w:r w:rsidRPr="00507F8A">
        <w:rPr>
          <w:rFonts w:eastAsia="Times New Roman" w:cs="Tahoma"/>
          <w:szCs w:val="24"/>
          <w:lang w:eastAsia="es-MX"/>
        </w:rPr>
        <w:t>ara tal situación, deberá seguir el procedimiento establecido en el artículo 169 y 170 de la Ley de Transparencia y Acceso a la Información Pública del Estado de México y Municipios, que precisa que cuando la información no se encuentre en los archivos del Sujeto Obligado, el Comité de Transparencia deberá:</w:t>
      </w:r>
    </w:p>
    <w:p w14:paraId="506A37C2" w14:textId="77777777" w:rsidR="00AD7BBE" w:rsidRPr="00507F8A" w:rsidRDefault="00AD7BBE" w:rsidP="00AD7BBE">
      <w:pPr>
        <w:spacing w:after="0" w:line="360" w:lineRule="auto"/>
        <w:rPr>
          <w:rFonts w:eastAsia="Times New Roman" w:cs="Tahoma"/>
          <w:szCs w:val="24"/>
          <w:lang w:eastAsia="es-MX"/>
        </w:rPr>
      </w:pPr>
    </w:p>
    <w:p w14:paraId="15E9EAEA" w14:textId="77777777" w:rsidR="00AD7BBE" w:rsidRPr="00507F8A" w:rsidRDefault="00AD7BBE" w:rsidP="00AD7BBE">
      <w:pPr>
        <w:numPr>
          <w:ilvl w:val="0"/>
          <w:numId w:val="26"/>
        </w:numPr>
        <w:spacing w:after="0" w:line="360" w:lineRule="auto"/>
        <w:jc w:val="left"/>
        <w:rPr>
          <w:rFonts w:eastAsia="Calibri" w:cs="Tahoma"/>
          <w:bCs/>
          <w:color w:val="auto"/>
        </w:rPr>
      </w:pPr>
      <w:r w:rsidRPr="00507F8A">
        <w:rPr>
          <w:rFonts w:eastAsia="Calibri" w:cs="Tahoma"/>
          <w:bCs/>
          <w:color w:val="auto"/>
        </w:rPr>
        <w:t>Analizar el caso y tomar las medidas necesarias para localizar la información;</w:t>
      </w:r>
    </w:p>
    <w:p w14:paraId="128811EB" w14:textId="77777777" w:rsidR="00AD7BBE" w:rsidRPr="00507F8A" w:rsidRDefault="00AD7BBE" w:rsidP="0075003B">
      <w:pPr>
        <w:numPr>
          <w:ilvl w:val="0"/>
          <w:numId w:val="26"/>
        </w:numPr>
        <w:spacing w:after="0" w:line="360" w:lineRule="auto"/>
        <w:rPr>
          <w:rFonts w:eastAsia="Calibri" w:cs="Tahoma"/>
          <w:bCs/>
          <w:color w:val="auto"/>
        </w:rPr>
      </w:pPr>
      <w:r w:rsidRPr="00507F8A">
        <w:rPr>
          <w:rFonts w:eastAsia="Calibri" w:cs="Tahoma"/>
          <w:bCs/>
          <w:color w:val="auto"/>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4A012280" w14:textId="77777777" w:rsidR="00AD7BBE" w:rsidRPr="00507F8A" w:rsidRDefault="00AD7BBE" w:rsidP="0075003B">
      <w:pPr>
        <w:numPr>
          <w:ilvl w:val="0"/>
          <w:numId w:val="26"/>
        </w:numPr>
        <w:spacing w:after="0" w:line="360" w:lineRule="auto"/>
        <w:rPr>
          <w:rFonts w:eastAsia="Calibri" w:cs="Tahoma"/>
          <w:bCs/>
          <w:color w:val="auto"/>
        </w:rPr>
      </w:pPr>
      <w:r w:rsidRPr="00507F8A">
        <w:rPr>
          <w:rFonts w:eastAsia="Calibri" w:cs="Tahoma"/>
          <w:bCs/>
          <w:color w:val="auto"/>
        </w:rPr>
        <w:t>Ordenar, siempre que sea materialmente posible, que se genere o reponga la información en caso que ésta tuviera que existir o previa acreditación de la imposibilidad de su generación, exponga de forma fundada y motivada las razones de dicha situación, y</w:t>
      </w:r>
    </w:p>
    <w:p w14:paraId="28957692" w14:textId="77777777" w:rsidR="00AD7BBE" w:rsidRPr="00507F8A" w:rsidRDefault="00AD7BBE" w:rsidP="00AD7BBE">
      <w:pPr>
        <w:spacing w:after="0" w:line="240" w:lineRule="auto"/>
        <w:ind w:left="720"/>
        <w:contextualSpacing/>
        <w:jc w:val="left"/>
        <w:rPr>
          <w:rFonts w:eastAsia="Calibri" w:cs="Tahoma"/>
          <w:bCs/>
          <w:color w:val="auto"/>
        </w:rPr>
      </w:pPr>
    </w:p>
    <w:p w14:paraId="08F2925D" w14:textId="77777777" w:rsidR="00AD7BBE" w:rsidRPr="00507F8A" w:rsidRDefault="00AD7BBE" w:rsidP="00AD7BBE">
      <w:pPr>
        <w:numPr>
          <w:ilvl w:val="0"/>
          <w:numId w:val="26"/>
        </w:numPr>
        <w:spacing w:after="0" w:line="360" w:lineRule="auto"/>
        <w:jc w:val="left"/>
        <w:rPr>
          <w:rFonts w:eastAsia="Times New Roman" w:cs="Tahoma"/>
          <w:b/>
          <w:color w:val="auto"/>
          <w:szCs w:val="24"/>
          <w:lang w:eastAsia="es-MX"/>
        </w:rPr>
      </w:pPr>
      <w:r w:rsidRPr="00507F8A">
        <w:rPr>
          <w:rFonts w:eastAsia="Times New Roman" w:cs="Tahoma"/>
          <w:b/>
          <w:color w:val="auto"/>
          <w:szCs w:val="24"/>
          <w:lang w:eastAsia="es-MX"/>
        </w:rPr>
        <w:lastRenderedPageBreak/>
        <w:t>Notificar al Órgano Interno de Control o equivalente, a efecto de que inicie el procedimiento de responsabilidad administrativa correspondiente.</w:t>
      </w:r>
    </w:p>
    <w:p w14:paraId="5CE5ACA9" w14:textId="77777777" w:rsidR="00AD7BBE" w:rsidRPr="00507F8A" w:rsidRDefault="00AD7BBE" w:rsidP="00AD7BBE">
      <w:pPr>
        <w:spacing w:after="0" w:line="360" w:lineRule="auto"/>
        <w:rPr>
          <w:rFonts w:eastAsia="Calibri" w:cs="Tahoma"/>
          <w:bCs/>
          <w:color w:val="auto"/>
        </w:rPr>
      </w:pPr>
    </w:p>
    <w:p w14:paraId="721DB60B" w14:textId="54972055" w:rsidR="00AD7BBE" w:rsidRPr="00507F8A" w:rsidRDefault="00AD7BBE" w:rsidP="00AD7BBE">
      <w:pPr>
        <w:spacing w:after="0" w:line="360" w:lineRule="auto"/>
        <w:rPr>
          <w:rFonts w:eastAsia="Calibri" w:cs="Tahoma"/>
          <w:bCs/>
          <w:color w:val="auto"/>
        </w:rPr>
      </w:pPr>
      <w:r w:rsidRPr="00507F8A">
        <w:rPr>
          <w:rFonts w:eastAsia="Calibri" w:cs="Tahoma"/>
          <w:bCs/>
          <w:color w:val="auto"/>
        </w:rPr>
        <w:t xml:space="preserve">Por tales circunstancias, </w:t>
      </w:r>
      <w:r w:rsidRPr="00507F8A">
        <w:rPr>
          <w:rFonts w:eastAsia="Times New Roman" w:cs="Tahoma"/>
          <w:lang w:eastAsia="es-MX"/>
        </w:rPr>
        <w:t xml:space="preserve">para dar atención al requerimiento de información, se considera que el Sujeto Obligado </w:t>
      </w:r>
      <w:r w:rsidRPr="00507F8A">
        <w:rPr>
          <w:rFonts w:eastAsia="Calibri" w:cs="Tahoma"/>
          <w:bCs/>
          <w:color w:val="auto"/>
          <w:lang w:val="x-none"/>
        </w:rPr>
        <w:t xml:space="preserve">deberá declarar la inexistencia de manera formal, de manera fundada y motivada por el Comité de Transparencia, conforme a los criterios previamente establecidos, con el fin de garantizar al ahora Recurrente, que </w:t>
      </w:r>
      <w:r w:rsidRPr="00507F8A">
        <w:rPr>
          <w:rFonts w:eastAsia="Calibri" w:cs="Tahoma"/>
          <w:bCs/>
          <w:color w:val="auto"/>
        </w:rPr>
        <w:t xml:space="preserve">el documento requerido no obra en sus archivos, al estar en proceso de certificación el Director de Desarrollo Económico y Sustentable, con el fin de </w:t>
      </w:r>
      <w:r w:rsidRPr="00507F8A">
        <w:rPr>
          <w:rFonts w:eastAsia="Calibri" w:cs="Tahoma"/>
          <w:bCs/>
          <w:color w:val="auto"/>
          <w:lang w:val="x-none"/>
        </w:rPr>
        <w:t>dar cumplimiento al tercer párrafo, del artículo 19 de la Ley de Transparencia y Acceso a la Información Pública del Estado de México y Municipios.</w:t>
      </w:r>
    </w:p>
    <w:p w14:paraId="4C2315DA" w14:textId="77777777" w:rsidR="00AD7BBE" w:rsidRPr="00507F8A" w:rsidRDefault="00AD7BBE" w:rsidP="00AD7BBE">
      <w:pPr>
        <w:spacing w:after="0" w:line="360" w:lineRule="auto"/>
        <w:contextualSpacing/>
      </w:pPr>
    </w:p>
    <w:p w14:paraId="0BADF4EA" w14:textId="585C44D1" w:rsidR="00BF6B4B" w:rsidRPr="00507F8A" w:rsidRDefault="00BF6B4B" w:rsidP="00AD7BBE">
      <w:pPr>
        <w:spacing w:after="0" w:line="360" w:lineRule="auto"/>
        <w:contextualSpacing/>
        <w:rPr>
          <w:rFonts w:cs="Tahoma"/>
          <w:b/>
        </w:rPr>
      </w:pPr>
      <w:r w:rsidRPr="00507F8A">
        <w:rPr>
          <w:rFonts w:cs="Tahoma"/>
          <w:b/>
        </w:rPr>
        <w:t xml:space="preserve">SEXTO. Decisión. </w:t>
      </w:r>
    </w:p>
    <w:p w14:paraId="2B997C0B" w14:textId="77777777" w:rsidR="00BF6B4B" w:rsidRPr="00507F8A" w:rsidRDefault="00BF6B4B" w:rsidP="00AD7BBE">
      <w:pPr>
        <w:spacing w:after="0" w:line="360" w:lineRule="auto"/>
        <w:contextualSpacing/>
        <w:rPr>
          <w:rFonts w:cs="Tahoma"/>
          <w:b/>
        </w:rPr>
      </w:pPr>
    </w:p>
    <w:p w14:paraId="073B559E" w14:textId="7768E30B" w:rsidR="00AD7BBE" w:rsidRPr="00507F8A" w:rsidRDefault="00BF6B4B" w:rsidP="00AD7BBE">
      <w:pPr>
        <w:spacing w:after="0" w:line="360" w:lineRule="auto"/>
        <w:rPr>
          <w:rFonts w:eastAsia="Times New Roman" w:cs="Tahoma"/>
          <w:bCs/>
          <w:iCs/>
          <w:color w:val="auto"/>
          <w:lang w:eastAsia="es-MX"/>
        </w:rPr>
      </w:pPr>
      <w:r w:rsidRPr="00507F8A">
        <w:rPr>
          <w:rFonts w:cs="Tahoma"/>
        </w:rPr>
        <w:t xml:space="preserve">Con fundamento en el artículo 186, fracción III, de la Ley de Transparencia y Acceso a la Información Pública del Estado de México y Municipios, este Instituto considera procedente </w:t>
      </w:r>
      <w:r w:rsidRPr="00507F8A">
        <w:rPr>
          <w:rFonts w:cs="Tahoma"/>
          <w:b/>
        </w:rPr>
        <w:t xml:space="preserve">MODIFICAR </w:t>
      </w:r>
      <w:r w:rsidRPr="00507F8A">
        <w:rPr>
          <w:rFonts w:cs="Tahoma"/>
          <w:bCs/>
        </w:rPr>
        <w:t>la</w:t>
      </w:r>
      <w:r w:rsidRPr="00507F8A">
        <w:rPr>
          <w:rFonts w:cs="Tahoma"/>
        </w:rPr>
        <w:t xml:space="preserve"> respuesta otorgada por el </w:t>
      </w:r>
      <w:r w:rsidRPr="00507F8A">
        <w:rPr>
          <w:rFonts w:eastAsia="Calibri" w:cs="Tahoma"/>
        </w:rPr>
        <w:t xml:space="preserve">Ayuntamiento de </w:t>
      </w:r>
      <w:r w:rsidR="00B4260D" w:rsidRPr="00507F8A">
        <w:rPr>
          <w:rFonts w:eastAsia="Calibri" w:cs="Tahoma"/>
        </w:rPr>
        <w:t>Teoloyucan</w:t>
      </w:r>
      <w:r w:rsidRPr="00507F8A">
        <w:rPr>
          <w:rFonts w:eastAsia="Calibri" w:cs="Tahoma"/>
        </w:rPr>
        <w:t xml:space="preserve">, </w:t>
      </w:r>
      <w:r w:rsidRPr="00507F8A">
        <w:rPr>
          <w:rFonts w:cs="Tahoma"/>
        </w:rPr>
        <w:t xml:space="preserve">a efecto de que, entregue </w:t>
      </w:r>
      <w:r w:rsidR="00AD7BBE" w:rsidRPr="00507F8A">
        <w:rPr>
          <w:rFonts w:eastAsia="Times New Roman" w:cs="Tahoma"/>
          <w:iCs/>
          <w:color w:val="auto"/>
          <w:lang w:eastAsia="es-MX"/>
        </w:rPr>
        <w:t xml:space="preserve">el </w:t>
      </w:r>
      <w:r w:rsidR="00AD7BBE" w:rsidRPr="00507F8A">
        <w:rPr>
          <w:rFonts w:eastAsia="Times New Roman" w:cs="Tahoma"/>
          <w:iCs/>
          <w:color w:val="auto"/>
          <w:lang w:val="x-none" w:eastAsia="es-MX"/>
        </w:rPr>
        <w:t xml:space="preserve">Acuerdo del Comité de Transparencia, donde confirme la inexistencia </w:t>
      </w:r>
      <w:r w:rsidR="006622D3" w:rsidRPr="00507F8A">
        <w:rPr>
          <w:rFonts w:eastAsia="Times New Roman" w:cs="Tahoma"/>
          <w:iCs/>
          <w:color w:val="auto"/>
          <w:lang w:eastAsia="es-MX"/>
        </w:rPr>
        <w:t xml:space="preserve">del Certificado de Competencia Laboral del </w:t>
      </w:r>
      <w:r w:rsidR="006622D3" w:rsidRPr="00507F8A">
        <w:rPr>
          <w:rFonts w:eastAsia="Calibri" w:cs="Tahoma"/>
          <w:bCs/>
          <w:color w:val="auto"/>
        </w:rPr>
        <w:t>Director de Desarrollo Económico y Sustentable (Oscar Godínez Cuellar)</w:t>
      </w:r>
      <w:r w:rsidR="00AD7BBE" w:rsidRPr="00507F8A">
        <w:rPr>
          <w:rFonts w:eastAsia="Times New Roman" w:cs="Tahoma"/>
          <w:iCs/>
          <w:color w:val="auto"/>
          <w:lang w:eastAsia="es-MX"/>
        </w:rPr>
        <w:t xml:space="preserve">, en términos de </w:t>
      </w:r>
      <w:r w:rsidR="00AD7BBE" w:rsidRPr="00507F8A">
        <w:rPr>
          <w:rFonts w:eastAsia="Times New Roman" w:cs="Tahoma"/>
          <w:iCs/>
          <w:color w:val="auto"/>
          <w:lang w:val="x-none" w:eastAsia="es-MX"/>
        </w:rPr>
        <w:t>lo establecido en el artículo 19, párrafo tercero, 169 y 170, de la Ley de Transparencia y Acceso a la Información Pública del Estado de México y Municipios.</w:t>
      </w:r>
    </w:p>
    <w:p w14:paraId="7FBD0ECD" w14:textId="77777777" w:rsidR="00AD7BBE" w:rsidRPr="00507F8A" w:rsidRDefault="00AD7BBE" w:rsidP="00AD7BBE">
      <w:pPr>
        <w:spacing w:after="0" w:line="360" w:lineRule="auto"/>
        <w:contextualSpacing/>
      </w:pPr>
    </w:p>
    <w:p w14:paraId="65BF5081" w14:textId="77777777" w:rsidR="00BF6B4B" w:rsidRPr="00507F8A" w:rsidRDefault="00BF6B4B" w:rsidP="00AD7BBE">
      <w:pPr>
        <w:spacing w:after="0" w:line="360" w:lineRule="auto"/>
        <w:contextualSpacing/>
        <w:rPr>
          <w:b/>
          <w:bCs/>
        </w:rPr>
      </w:pPr>
      <w:r w:rsidRPr="00507F8A">
        <w:rPr>
          <w:b/>
          <w:bCs/>
        </w:rPr>
        <w:t>Términos de la Resolución.</w:t>
      </w:r>
    </w:p>
    <w:p w14:paraId="778063A4" w14:textId="77777777" w:rsidR="00BF6B4B" w:rsidRPr="00507F8A" w:rsidRDefault="00BF6B4B" w:rsidP="00AD7BBE">
      <w:pPr>
        <w:spacing w:after="0" w:line="360" w:lineRule="auto"/>
        <w:contextualSpacing/>
        <w:rPr>
          <w:rFonts w:eastAsia="Calibri" w:cs="Tahoma"/>
          <w:bCs/>
        </w:rPr>
      </w:pPr>
    </w:p>
    <w:p w14:paraId="137B714F" w14:textId="1667283A" w:rsidR="00BF6B4B" w:rsidRPr="00507F8A" w:rsidRDefault="006622D3" w:rsidP="0075003B">
      <w:pPr>
        <w:autoSpaceDE w:val="0"/>
        <w:autoSpaceDN w:val="0"/>
        <w:adjustRightInd w:val="0"/>
        <w:spacing w:after="0" w:line="360" w:lineRule="auto"/>
        <w:rPr>
          <w:rFonts w:eastAsia="Calibri" w:cs="Tahoma"/>
          <w:bCs/>
          <w:iCs/>
          <w:color w:val="auto"/>
          <w:lang w:val="es-ES"/>
        </w:rPr>
      </w:pPr>
      <w:r w:rsidRPr="00507F8A">
        <w:rPr>
          <w:rFonts w:eastAsia="Calibri" w:cs="Tahoma"/>
          <w:bCs/>
          <w:iCs/>
          <w:color w:val="0D0D0D" w:themeColor="text1" w:themeTint="F2"/>
        </w:rPr>
        <w:t xml:space="preserve">Se le hace del conocimiento al Particular, que, en el presente caso, se le da parcialmente la razón, pues el Sujeto Obligado desde respuesta proporcionó el Certificado de cuatro servidores públicos y le indicó la inexistencia del quinto; no obstante, omitió entregarle el Acuerdo de </w:t>
      </w:r>
      <w:r w:rsidRPr="00507F8A">
        <w:rPr>
          <w:rFonts w:eastAsia="Calibri" w:cs="Tahoma"/>
          <w:bCs/>
          <w:iCs/>
          <w:color w:val="0D0D0D" w:themeColor="text1" w:themeTint="F2"/>
        </w:rPr>
        <w:lastRenderedPageBreak/>
        <w:t>Inexistencia del Certificado del Director de Desarrollo Económico y Sustentable, toda vez que a la fecha de la solicitud, ya debería contar con dicho requisito legal.</w:t>
      </w:r>
      <w:r w:rsidR="0075003B" w:rsidRPr="00507F8A">
        <w:rPr>
          <w:rFonts w:eastAsia="Calibri" w:cs="Tahoma"/>
          <w:bCs/>
          <w:iCs/>
          <w:color w:val="0D0D0D" w:themeColor="text1" w:themeTint="F2"/>
        </w:rPr>
        <w:t xml:space="preserve"> </w:t>
      </w:r>
      <w:r w:rsidR="00BF6B4B" w:rsidRPr="00507F8A">
        <w:rPr>
          <w:rFonts w:eastAsia="Calibri" w:cs="Tahoma"/>
          <w:bCs/>
          <w:iCs/>
        </w:rPr>
        <w:t>Finalmente,</w:t>
      </w:r>
      <w:r w:rsidR="0078093D" w:rsidRPr="00507F8A">
        <w:rPr>
          <w:rFonts w:eastAsia="Calibri" w:cs="Tahoma"/>
          <w:bCs/>
          <w:iCs/>
        </w:rPr>
        <w:t xml:space="preserve"> </w:t>
      </w:r>
      <w:r w:rsidR="00BF6B4B" w:rsidRPr="00507F8A">
        <w:rPr>
          <w:rFonts w:eastAsia="Calibri" w:cs="Tahoma"/>
          <w:bCs/>
          <w:iCs/>
        </w:rPr>
        <w:t>la labor del Instituto, es</w:t>
      </w:r>
      <w:r w:rsidR="00B3599D" w:rsidRPr="00507F8A">
        <w:rPr>
          <w:rFonts w:eastAsia="Calibri" w:cs="Tahoma"/>
          <w:bCs/>
          <w:iCs/>
        </w:rPr>
        <w:t xml:space="preserve"> por una parte,</w:t>
      </w:r>
      <w:r w:rsidR="00BF6B4B" w:rsidRPr="00507F8A">
        <w:rPr>
          <w:rFonts w:eastAsia="Calibri" w:cs="Tahoma"/>
          <w:bCs/>
          <w:iCs/>
        </w:rPr>
        <w:t xml:space="preserve"> apoyar a la población a acc</w:t>
      </w:r>
      <w:r w:rsidR="00B3599D" w:rsidRPr="00507F8A">
        <w:rPr>
          <w:rFonts w:eastAsia="Calibri" w:cs="Tahoma"/>
          <w:bCs/>
          <w:iCs/>
        </w:rPr>
        <w:t xml:space="preserve">eder a la información pública y, por otra parte, </w:t>
      </w:r>
      <w:r w:rsidR="00BF6B4B" w:rsidRPr="00507F8A">
        <w:rPr>
          <w:rFonts w:eastAsia="Calibri" w:cs="Tahoma"/>
          <w:bCs/>
          <w:iCs/>
        </w:rPr>
        <w:t>garantizar la protección de los datos personales.</w:t>
      </w:r>
    </w:p>
    <w:p w14:paraId="01B69861" w14:textId="77777777" w:rsidR="00BF6B4B" w:rsidRPr="00507F8A" w:rsidRDefault="00BF6B4B" w:rsidP="00AD7BBE">
      <w:pPr>
        <w:spacing w:after="0" w:line="360" w:lineRule="auto"/>
        <w:contextualSpacing/>
      </w:pPr>
    </w:p>
    <w:p w14:paraId="550068F3" w14:textId="77777777" w:rsidR="00BF6B4B" w:rsidRPr="00507F8A" w:rsidRDefault="00BF6B4B" w:rsidP="00AD7BBE">
      <w:pPr>
        <w:spacing w:after="0" w:line="360" w:lineRule="auto"/>
        <w:contextualSpacing/>
        <w:rPr>
          <w:rFonts w:eastAsia="Calibri" w:cs="Tahoma"/>
          <w:bCs/>
          <w:color w:val="auto"/>
        </w:rPr>
      </w:pPr>
      <w:r w:rsidRPr="00507F8A">
        <w:t>Por</w:t>
      </w:r>
      <w:r w:rsidRPr="00507F8A">
        <w:rPr>
          <w:rFonts w:eastAsia="Calibri" w:cs="Tahoma"/>
          <w:bCs/>
          <w:color w:val="auto"/>
        </w:rPr>
        <w:t xml:space="preserve"> lo expuesto y fundado, este Pleno:</w:t>
      </w:r>
    </w:p>
    <w:p w14:paraId="7FB0ECB8" w14:textId="77777777" w:rsidR="00BE0D64" w:rsidRPr="00507F8A" w:rsidRDefault="00BE0D64" w:rsidP="00AD7BBE">
      <w:pPr>
        <w:spacing w:after="0" w:line="360" w:lineRule="auto"/>
        <w:contextualSpacing/>
        <w:rPr>
          <w:rFonts w:eastAsia="Calibri" w:cs="Tahoma"/>
          <w:bCs/>
          <w:color w:val="auto"/>
        </w:rPr>
      </w:pPr>
    </w:p>
    <w:p w14:paraId="0BC71676" w14:textId="77777777" w:rsidR="00BF6B4B" w:rsidRPr="00507F8A" w:rsidRDefault="00BF6B4B" w:rsidP="00AD7BBE">
      <w:pPr>
        <w:spacing w:after="0" w:line="360" w:lineRule="auto"/>
        <w:ind w:right="-28"/>
        <w:contextualSpacing/>
        <w:jc w:val="center"/>
        <w:rPr>
          <w:rFonts w:eastAsia="Calibri" w:cs="Tahoma"/>
          <w:b/>
          <w:bCs/>
          <w:color w:val="auto"/>
        </w:rPr>
      </w:pPr>
      <w:r w:rsidRPr="00507F8A">
        <w:rPr>
          <w:rFonts w:eastAsia="Calibri" w:cs="Tahoma"/>
          <w:b/>
          <w:bCs/>
          <w:color w:val="auto"/>
        </w:rPr>
        <w:t>R E S U E L V E:</w:t>
      </w:r>
    </w:p>
    <w:p w14:paraId="6FB571B9" w14:textId="77777777" w:rsidR="00BF6B4B" w:rsidRPr="00507F8A" w:rsidRDefault="00BF6B4B" w:rsidP="00AD7BBE">
      <w:pPr>
        <w:spacing w:after="0" w:line="360" w:lineRule="auto"/>
        <w:contextualSpacing/>
        <w:rPr>
          <w:lang w:val="es-ES" w:eastAsia="es-ES_tradnl"/>
        </w:rPr>
      </w:pPr>
    </w:p>
    <w:p w14:paraId="1ED8C3A4" w14:textId="7505057E" w:rsidR="00BF6B4B" w:rsidRPr="00507F8A" w:rsidRDefault="00BF6B4B" w:rsidP="00AD7BBE">
      <w:pPr>
        <w:spacing w:after="0" w:line="360" w:lineRule="auto"/>
        <w:contextualSpacing/>
        <w:rPr>
          <w:rFonts w:eastAsia="Calibri" w:cs="Tahoma"/>
          <w:bCs/>
        </w:rPr>
      </w:pPr>
      <w:r w:rsidRPr="00507F8A">
        <w:rPr>
          <w:rFonts w:cs="Tahoma"/>
          <w:b/>
          <w:bCs/>
        </w:rPr>
        <w:t xml:space="preserve">PRIMERO. </w:t>
      </w:r>
      <w:r w:rsidRPr="00507F8A">
        <w:rPr>
          <w:rFonts w:cs="Tahoma"/>
          <w:bCs/>
        </w:rPr>
        <w:t xml:space="preserve">Se </w:t>
      </w:r>
      <w:r w:rsidR="001F62B7" w:rsidRPr="00507F8A">
        <w:rPr>
          <w:rFonts w:cs="Tahoma"/>
          <w:b/>
          <w:bCs/>
        </w:rPr>
        <w:t>MODIFICA</w:t>
      </w:r>
      <w:r w:rsidRPr="00507F8A">
        <w:rPr>
          <w:rFonts w:cs="Tahoma"/>
          <w:bCs/>
        </w:rPr>
        <w:t xml:space="preserve"> la respuesta entregada por el </w:t>
      </w:r>
      <w:r w:rsidRPr="00507F8A">
        <w:rPr>
          <w:rFonts w:eastAsia="Calibri" w:cs="Tahoma"/>
        </w:rPr>
        <w:t xml:space="preserve">Ayuntamiento de </w:t>
      </w:r>
      <w:r w:rsidR="001F62B7" w:rsidRPr="00507F8A">
        <w:rPr>
          <w:rFonts w:eastAsia="Calibri" w:cs="Tahoma"/>
        </w:rPr>
        <w:t>Teoloyucan</w:t>
      </w:r>
      <w:r w:rsidRPr="00507F8A">
        <w:rPr>
          <w:rFonts w:cs="Tahoma"/>
          <w:bCs/>
        </w:rPr>
        <w:t xml:space="preserve"> a la solicitud de </w:t>
      </w:r>
      <w:r w:rsidRPr="00507F8A">
        <w:rPr>
          <w:rFonts w:eastAsia="Calibri" w:cs="Tahoma"/>
        </w:rPr>
        <w:t xml:space="preserve">información </w:t>
      </w:r>
      <w:r w:rsidR="001F62B7" w:rsidRPr="00507F8A">
        <w:t>000</w:t>
      </w:r>
      <w:r w:rsidR="004E1023" w:rsidRPr="00507F8A">
        <w:t>97</w:t>
      </w:r>
      <w:r w:rsidR="001F62B7" w:rsidRPr="00507F8A">
        <w:t>/TEOLOYU/IP/2023</w:t>
      </w:r>
      <w:r w:rsidRPr="00507F8A">
        <w:t>, por resultar</w:t>
      </w:r>
      <w:r w:rsidR="006622D3" w:rsidRPr="00507F8A">
        <w:t xml:space="preserve"> </w:t>
      </w:r>
      <w:r w:rsidR="006622D3" w:rsidRPr="00507F8A">
        <w:rPr>
          <w:b/>
        </w:rPr>
        <w:t>PARCIALMENTE</w:t>
      </w:r>
      <w:r w:rsidR="001F62B7" w:rsidRPr="00507F8A">
        <w:rPr>
          <w:b/>
        </w:rPr>
        <w:t xml:space="preserve"> </w:t>
      </w:r>
      <w:r w:rsidRPr="00507F8A">
        <w:rPr>
          <w:b/>
        </w:rPr>
        <w:t>FUNDADAS</w:t>
      </w:r>
      <w:r w:rsidRPr="00507F8A">
        <w:rPr>
          <w:rFonts w:cs="Tahoma"/>
        </w:rPr>
        <w:t xml:space="preserve"> </w:t>
      </w:r>
      <w:r w:rsidRPr="00507F8A">
        <w:rPr>
          <w:rFonts w:eastAsia="Calibri" w:cs="Tahoma"/>
        </w:rPr>
        <w:t>las razones o motivos de inconformidad hechos valer por el Particular, en</w:t>
      </w:r>
      <w:r w:rsidRPr="00507F8A">
        <w:rPr>
          <w:rFonts w:eastAsia="Calibri" w:cs="Tahoma"/>
          <w:bCs/>
        </w:rPr>
        <w:t xml:space="preserve"> términos de los considerandos QUINTO </w:t>
      </w:r>
      <w:r w:rsidRPr="00507F8A">
        <w:rPr>
          <w:rFonts w:eastAsia="Calibri" w:cs="Tahoma"/>
        </w:rPr>
        <w:t xml:space="preserve">y </w:t>
      </w:r>
      <w:r w:rsidRPr="00507F8A">
        <w:rPr>
          <w:rFonts w:eastAsia="Calibri" w:cs="Tahoma"/>
          <w:bCs/>
        </w:rPr>
        <w:t>SEXTO de la presente Resolución.</w:t>
      </w:r>
    </w:p>
    <w:p w14:paraId="7CD620BF" w14:textId="77777777" w:rsidR="00BF6B4B" w:rsidRPr="00507F8A" w:rsidRDefault="00BF6B4B" w:rsidP="00AD7BBE">
      <w:pPr>
        <w:spacing w:after="0" w:line="360" w:lineRule="auto"/>
        <w:contextualSpacing/>
        <w:rPr>
          <w:rFonts w:eastAsia="Calibri" w:cs="Tahoma"/>
          <w:bCs/>
        </w:rPr>
      </w:pPr>
    </w:p>
    <w:p w14:paraId="227B6015" w14:textId="5CB0A26A" w:rsidR="00BF6B4B" w:rsidRPr="00507F8A" w:rsidRDefault="00BF6B4B" w:rsidP="00AD7BBE">
      <w:pPr>
        <w:spacing w:after="0" w:line="360" w:lineRule="auto"/>
        <w:contextualSpacing/>
        <w:rPr>
          <w:rFonts w:cs="Tahoma"/>
        </w:rPr>
      </w:pPr>
      <w:r w:rsidRPr="00507F8A">
        <w:rPr>
          <w:rFonts w:cs="Tahoma"/>
          <w:b/>
          <w:bCs/>
        </w:rPr>
        <w:t xml:space="preserve">SEGUNDO. </w:t>
      </w:r>
      <w:r w:rsidRPr="00507F8A">
        <w:rPr>
          <w:rFonts w:cs="Tahoma"/>
        </w:rPr>
        <w:t xml:space="preserve">Se </w:t>
      </w:r>
      <w:r w:rsidRPr="00507F8A">
        <w:rPr>
          <w:rFonts w:cs="Tahoma"/>
          <w:b/>
        </w:rPr>
        <w:t xml:space="preserve">ORDENA </w:t>
      </w:r>
      <w:r w:rsidRPr="00507F8A">
        <w:rPr>
          <w:rFonts w:cs="Tahoma"/>
          <w:bCs/>
        </w:rPr>
        <w:t xml:space="preserve">al </w:t>
      </w:r>
      <w:r w:rsidRPr="00507F8A">
        <w:rPr>
          <w:rFonts w:cs="Tahoma"/>
        </w:rPr>
        <w:t>Ente Recurrido, a efecto de</w:t>
      </w:r>
      <w:r w:rsidRPr="00507F8A">
        <w:rPr>
          <w:rFonts w:eastAsia="Calibri" w:cs="Tahoma"/>
          <w:lang w:eastAsia="es-MX"/>
        </w:rPr>
        <w:t xml:space="preserve"> que entregue</w:t>
      </w:r>
      <w:r w:rsidRPr="00507F8A">
        <w:rPr>
          <w:rFonts w:cs="Tahoma"/>
        </w:rPr>
        <w:t xml:space="preserve">, a través del Sistema de Acceso a la Información Mexiquense (SAIMEX), </w:t>
      </w:r>
      <w:r w:rsidR="0078093D" w:rsidRPr="00507F8A">
        <w:rPr>
          <w:rFonts w:cs="Tahoma"/>
        </w:rPr>
        <w:t>lo siguiente:</w:t>
      </w:r>
    </w:p>
    <w:p w14:paraId="18915ACD" w14:textId="77777777" w:rsidR="0078093D" w:rsidRPr="00507F8A" w:rsidRDefault="0078093D" w:rsidP="00AD7BBE">
      <w:pPr>
        <w:spacing w:after="0" w:line="360" w:lineRule="auto"/>
        <w:contextualSpacing/>
        <w:rPr>
          <w:rFonts w:cs="Tahoma"/>
        </w:rPr>
      </w:pPr>
    </w:p>
    <w:p w14:paraId="4875FB11" w14:textId="01C5A7DD" w:rsidR="006622D3" w:rsidRPr="00507F8A" w:rsidRDefault="006622D3" w:rsidP="0075003B">
      <w:pPr>
        <w:numPr>
          <w:ilvl w:val="0"/>
          <w:numId w:val="27"/>
        </w:numPr>
        <w:spacing w:after="0" w:line="360" w:lineRule="auto"/>
        <w:ind w:right="113"/>
        <w:contextualSpacing/>
        <w:rPr>
          <w:rFonts w:cs="Arial"/>
          <w:b/>
          <w:lang w:eastAsia="es-ES"/>
        </w:rPr>
      </w:pPr>
      <w:r w:rsidRPr="00507F8A">
        <w:rPr>
          <w:rFonts w:eastAsia="Calibri"/>
        </w:rPr>
        <w:t xml:space="preserve">El </w:t>
      </w:r>
      <w:r w:rsidRPr="00507F8A">
        <w:rPr>
          <w:rFonts w:eastAsia="Calibri" w:cs="Tahoma"/>
          <w:iCs/>
          <w:lang w:val="x-none" w:eastAsia="es-ES_tradnl"/>
        </w:rPr>
        <w:t xml:space="preserve">Acuerdo del Comité de Transparencia, donde confirme la inexistencia </w:t>
      </w:r>
      <w:r w:rsidR="0075003B" w:rsidRPr="00507F8A">
        <w:rPr>
          <w:rFonts w:eastAsia="Calibri" w:cs="Tahoma"/>
          <w:iCs/>
          <w:lang w:eastAsia="es-ES_tradnl"/>
        </w:rPr>
        <w:t xml:space="preserve">del </w:t>
      </w:r>
      <w:r w:rsidR="0075003B" w:rsidRPr="00507F8A">
        <w:rPr>
          <w:rFonts w:eastAsia="Times New Roman" w:cs="Tahoma"/>
          <w:iCs/>
          <w:color w:val="auto"/>
          <w:lang w:eastAsia="es-MX"/>
        </w:rPr>
        <w:t xml:space="preserve">Certificado de Competencia Laboral del </w:t>
      </w:r>
      <w:r w:rsidR="0075003B" w:rsidRPr="00507F8A">
        <w:rPr>
          <w:rFonts w:eastAsia="Calibri" w:cs="Tahoma"/>
          <w:bCs/>
          <w:color w:val="auto"/>
        </w:rPr>
        <w:t>Director de Desarrollo Económico y Sustentable referido en el Considerando SEXTO</w:t>
      </w:r>
      <w:r w:rsidRPr="00507F8A">
        <w:rPr>
          <w:rFonts w:eastAsia="Calibri" w:cs="Tahoma"/>
          <w:iCs/>
          <w:lang w:eastAsia="es-ES_tradnl"/>
        </w:rPr>
        <w:t xml:space="preserve">, en términos de los artículos </w:t>
      </w:r>
      <w:r w:rsidRPr="00507F8A">
        <w:rPr>
          <w:rFonts w:eastAsia="Calibri" w:cs="Tahoma"/>
          <w:iCs/>
          <w:lang w:val="x-none" w:eastAsia="es-ES_tradnl"/>
        </w:rPr>
        <w:t>19, párrafo tercero, 169 y 170, de la Ley de Transparencia y Acceso a la Información Pública del Estado de México y Municipios.</w:t>
      </w:r>
    </w:p>
    <w:p w14:paraId="0F4E2799" w14:textId="77777777" w:rsidR="001F62B7" w:rsidRPr="00507F8A" w:rsidRDefault="001F62B7" w:rsidP="00AD7BBE">
      <w:pPr>
        <w:spacing w:after="0" w:line="360" w:lineRule="auto"/>
        <w:contextualSpacing/>
        <w:rPr>
          <w:rFonts w:cs="Arial"/>
          <w:b/>
          <w:lang w:val="es-ES_tradnl"/>
        </w:rPr>
      </w:pPr>
    </w:p>
    <w:p w14:paraId="25739C8A" w14:textId="4CE1D8FC" w:rsidR="00BF6B4B" w:rsidRPr="00507F8A" w:rsidRDefault="00BF6B4B" w:rsidP="00AD7BBE">
      <w:pPr>
        <w:spacing w:after="0" w:line="360" w:lineRule="auto"/>
        <w:contextualSpacing/>
        <w:rPr>
          <w:rFonts w:cs="Tahoma"/>
        </w:rPr>
      </w:pPr>
      <w:r w:rsidRPr="00507F8A">
        <w:rPr>
          <w:rFonts w:cs="Arial"/>
          <w:b/>
          <w:lang w:val="es-ES_tradnl"/>
        </w:rPr>
        <w:t>TERCERO.</w:t>
      </w:r>
      <w:r w:rsidRPr="00507F8A">
        <w:rPr>
          <w:rFonts w:cs="Tahoma"/>
          <w:b/>
        </w:rPr>
        <w:t xml:space="preserve"> </w:t>
      </w:r>
      <w:r w:rsidRPr="00507F8A">
        <w:rPr>
          <w:rFonts w:eastAsia="Calibri" w:cs="Tahoma"/>
          <w:b/>
          <w:bCs/>
          <w:iCs/>
        </w:rPr>
        <w:t xml:space="preserve">NOTIFÍQUESE </w:t>
      </w:r>
      <w:r w:rsidRPr="00507F8A">
        <w:rPr>
          <w:rFonts w:eastAsia="Calibri"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507F8A">
        <w:rPr>
          <w:rFonts w:eastAsia="Calibri" w:cs="Tahoma"/>
          <w:bCs/>
          <w:iCs/>
        </w:rPr>
        <w:lastRenderedPageBreak/>
        <w:t>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F4923C9" w14:textId="77777777" w:rsidR="00BF6B4B" w:rsidRPr="00507F8A" w:rsidRDefault="00BF6B4B" w:rsidP="00AD7BBE">
      <w:pPr>
        <w:spacing w:after="0" w:line="360" w:lineRule="auto"/>
        <w:contextualSpacing/>
        <w:rPr>
          <w:rFonts w:cs="Tahoma"/>
        </w:rPr>
      </w:pPr>
    </w:p>
    <w:p w14:paraId="13EEC511" w14:textId="77777777" w:rsidR="00BF6B4B" w:rsidRPr="00507F8A" w:rsidRDefault="00BF6B4B" w:rsidP="00AD7BBE">
      <w:pPr>
        <w:spacing w:after="0" w:line="360" w:lineRule="auto"/>
        <w:contextualSpacing/>
        <w:rPr>
          <w:rFonts w:eastAsia="Calibri" w:cs="Tahoma"/>
          <w:iCs/>
        </w:rPr>
      </w:pPr>
      <w:bookmarkStart w:id="0" w:name="_Hlk61509110"/>
      <w:r w:rsidRPr="00507F8A">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14:paraId="4A0AD7FF" w14:textId="77777777" w:rsidR="00BF6B4B" w:rsidRPr="00507F8A" w:rsidRDefault="00BF6B4B" w:rsidP="00AD7BBE">
      <w:pPr>
        <w:spacing w:after="0" w:line="360" w:lineRule="auto"/>
        <w:contextualSpacing/>
        <w:rPr>
          <w:rFonts w:cs="Tahoma"/>
        </w:rPr>
      </w:pPr>
    </w:p>
    <w:p w14:paraId="1D0D1BAB" w14:textId="0A9A51A9" w:rsidR="00BF6B4B" w:rsidRPr="00507F8A" w:rsidRDefault="00BF6B4B" w:rsidP="00AD7BBE">
      <w:pPr>
        <w:spacing w:after="0" w:line="360" w:lineRule="auto"/>
        <w:contextualSpacing/>
        <w:rPr>
          <w:rFonts w:cs="Tahoma"/>
        </w:rPr>
      </w:pPr>
      <w:r w:rsidRPr="00507F8A">
        <w:rPr>
          <w:rFonts w:cs="Tahoma"/>
          <w:b/>
        </w:rPr>
        <w:t xml:space="preserve">CUARTO. </w:t>
      </w:r>
      <w:r w:rsidR="0075003B" w:rsidRPr="00507F8A">
        <w:rPr>
          <w:rFonts w:cs="Tahoma"/>
          <w:b/>
        </w:rPr>
        <w:t>NOTIFÍQUESE</w:t>
      </w:r>
      <w:r w:rsidR="0075003B" w:rsidRPr="00507F8A">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promover Recurso de Inconformidad, en términos de los artículos 159 y 160, fracción II, de la Ley General de Transparencia y Acceso a la Información Pública.</w:t>
      </w:r>
    </w:p>
    <w:p w14:paraId="1AEB3448" w14:textId="77777777" w:rsidR="00BF6B4B" w:rsidRPr="00507F8A" w:rsidRDefault="00BF6B4B" w:rsidP="00AD7BBE">
      <w:pPr>
        <w:spacing w:after="0" w:line="360" w:lineRule="auto"/>
        <w:contextualSpacing/>
        <w:rPr>
          <w:rFonts w:eastAsia="Calibri" w:cs="Tahoma"/>
          <w:bCs/>
          <w:lang w:val="es-ES"/>
        </w:rPr>
      </w:pPr>
    </w:p>
    <w:p w14:paraId="4C417ABC" w14:textId="08E15F73" w:rsidR="00BF6B4B" w:rsidRPr="001F62B7" w:rsidRDefault="00BF6B4B" w:rsidP="00AD7BBE">
      <w:pPr>
        <w:spacing w:after="0" w:line="360" w:lineRule="auto"/>
        <w:contextualSpacing/>
        <w:rPr>
          <w:rFonts w:eastAsia="Calibri" w:cs="Tahoma"/>
          <w:bCs/>
        </w:rPr>
      </w:pPr>
      <w:r w:rsidRPr="00507F8A">
        <w:rPr>
          <w:rFonts w:eastAsia="Calibri" w:cs="Tahoma"/>
          <w:bCs/>
        </w:rPr>
        <w:t xml:space="preserve">ASÍ LO RESUELVE, POR </w:t>
      </w:r>
      <w:r w:rsidRPr="00507F8A">
        <w:rPr>
          <w:rFonts w:eastAsia="Calibri" w:cs="Tahoma"/>
          <w:b/>
        </w:rPr>
        <w:t>UNANIMIDAD</w:t>
      </w:r>
      <w:r w:rsidRPr="00507F8A">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003B" w:rsidRPr="00507F8A">
        <w:rPr>
          <w:rFonts w:eastAsia="Calibri" w:cs="Tahoma"/>
          <w:bCs/>
        </w:rPr>
        <w:t>VIGÉSIMA</w:t>
      </w:r>
      <w:r w:rsidRPr="00507F8A">
        <w:rPr>
          <w:rFonts w:eastAsia="Calibri" w:cs="Tahoma"/>
          <w:bCs/>
        </w:rPr>
        <w:t xml:space="preserve"> SESIÓN ORDINARIA, CELEBRADA EL </w:t>
      </w:r>
      <w:r w:rsidR="0075003B" w:rsidRPr="00507F8A">
        <w:rPr>
          <w:rFonts w:eastAsia="Times New Roman" w:cs="Tahoma"/>
          <w:bCs/>
          <w:color w:val="auto"/>
          <w:lang w:eastAsia="es-ES"/>
        </w:rPr>
        <w:t>TREINTA Y UNO</w:t>
      </w:r>
      <w:r w:rsidR="001F62B7" w:rsidRPr="00507F8A">
        <w:rPr>
          <w:rFonts w:eastAsia="Times New Roman" w:cs="Tahoma"/>
          <w:bCs/>
          <w:color w:val="auto"/>
          <w:lang w:eastAsia="es-ES"/>
        </w:rPr>
        <w:t xml:space="preserve"> </w:t>
      </w:r>
      <w:r w:rsidRPr="00507F8A">
        <w:rPr>
          <w:rFonts w:eastAsia="Times New Roman" w:cs="Tahoma"/>
          <w:bCs/>
          <w:color w:val="auto"/>
          <w:lang w:eastAsia="es-ES"/>
        </w:rPr>
        <w:t>DE MAYO DE DOS MIL VEINTITRÉS</w:t>
      </w:r>
      <w:r w:rsidRPr="00507F8A">
        <w:rPr>
          <w:rFonts w:eastAsia="Calibri" w:cs="Tahoma"/>
          <w:bCs/>
        </w:rPr>
        <w:t>, ANTE EL SECRETARIO TÉCNICO DEL PLENO, ALEXIS TAPIA RAMÍREZ.</w:t>
      </w:r>
      <w:bookmarkStart w:id="1" w:name="_GoBack"/>
      <w:bookmarkEnd w:id="1"/>
    </w:p>
    <w:p w14:paraId="070E4A34" w14:textId="77777777" w:rsidR="00BF6B4B" w:rsidRPr="001F62B7" w:rsidRDefault="00BF6B4B" w:rsidP="00AD7BBE">
      <w:pPr>
        <w:spacing w:after="0" w:line="360" w:lineRule="auto"/>
        <w:contextualSpacing/>
        <w:jc w:val="left"/>
      </w:pPr>
      <w:r w:rsidRPr="001F62B7">
        <w:rPr>
          <w:rFonts w:eastAsia="Calibri" w:cs="Tahoma"/>
          <w:b/>
          <w:bCs/>
        </w:rPr>
        <w:br w:type="page"/>
      </w:r>
    </w:p>
    <w:p w14:paraId="5BE9394B" w14:textId="77777777" w:rsidR="00CE7148" w:rsidRPr="001F62B7" w:rsidRDefault="00CE7148" w:rsidP="00AD7BBE">
      <w:pPr>
        <w:spacing w:after="0" w:line="360" w:lineRule="auto"/>
        <w:contextualSpacing/>
      </w:pPr>
    </w:p>
    <w:sectPr w:rsidR="00CE7148" w:rsidRPr="001F62B7" w:rsidSect="002A5DF5">
      <w:headerReference w:type="even" r:id="rId10"/>
      <w:headerReference w:type="default" r:id="rId11"/>
      <w:footerReference w:type="even" r:id="rId12"/>
      <w:footerReference w:type="default" r:id="rId13"/>
      <w:headerReference w:type="first" r:id="rId14"/>
      <w:footerReference w:type="first" r:id="rId15"/>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D764" w14:textId="77777777" w:rsidR="00A32283" w:rsidRDefault="00A32283" w:rsidP="00BF6B4B">
      <w:pPr>
        <w:spacing w:after="0" w:line="240" w:lineRule="auto"/>
      </w:pPr>
      <w:r>
        <w:separator/>
      </w:r>
    </w:p>
  </w:endnote>
  <w:endnote w:type="continuationSeparator" w:id="0">
    <w:p w14:paraId="3690A8C1" w14:textId="77777777" w:rsidR="00A32283" w:rsidRDefault="00A32283" w:rsidP="00BF6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59F3801E" w14:textId="77777777" w:rsidR="00863062" w:rsidRDefault="0086306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6D86EDA4" w14:textId="77777777" w:rsidR="00863062" w:rsidRDefault="008630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7778A9D6" w14:textId="77777777" w:rsidR="00863062" w:rsidRDefault="0086306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7F8A">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7F8A">
              <w:rPr>
                <w:b/>
                <w:bCs/>
                <w:noProof/>
              </w:rPr>
              <w:t>21</w:t>
            </w:r>
            <w:r>
              <w:rPr>
                <w:b/>
                <w:bCs/>
                <w:sz w:val="24"/>
                <w:szCs w:val="24"/>
              </w:rPr>
              <w:fldChar w:fldCharType="end"/>
            </w:r>
          </w:p>
        </w:sdtContent>
      </w:sdt>
    </w:sdtContent>
  </w:sdt>
  <w:p w14:paraId="6B1867CF" w14:textId="77777777" w:rsidR="00863062" w:rsidRDefault="0086306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6F01DCD0" w14:textId="77777777" w:rsidR="00863062" w:rsidRDefault="0086306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7F8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7F8A">
              <w:rPr>
                <w:b/>
                <w:bCs/>
                <w:noProof/>
              </w:rPr>
              <w:t>21</w:t>
            </w:r>
            <w:r>
              <w:rPr>
                <w:b/>
                <w:bCs/>
                <w:sz w:val="24"/>
                <w:szCs w:val="24"/>
              </w:rPr>
              <w:fldChar w:fldCharType="end"/>
            </w:r>
          </w:p>
        </w:sdtContent>
      </w:sdt>
    </w:sdtContent>
  </w:sdt>
  <w:p w14:paraId="35810868" w14:textId="77777777" w:rsidR="00863062" w:rsidRDefault="008630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B6F40" w14:textId="77777777" w:rsidR="00A32283" w:rsidRDefault="00A32283" w:rsidP="00BF6B4B">
      <w:pPr>
        <w:spacing w:after="0" w:line="240" w:lineRule="auto"/>
      </w:pPr>
      <w:r>
        <w:separator/>
      </w:r>
    </w:p>
  </w:footnote>
  <w:footnote w:type="continuationSeparator" w:id="0">
    <w:p w14:paraId="3D889711" w14:textId="77777777" w:rsidR="00A32283" w:rsidRDefault="00A32283" w:rsidP="00BF6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863062" w14:paraId="63FB3EED" w14:textId="77777777" w:rsidTr="002A5DF5">
      <w:trPr>
        <w:trHeight w:val="141"/>
      </w:trPr>
      <w:tc>
        <w:tcPr>
          <w:tcW w:w="2404" w:type="dxa"/>
        </w:tcPr>
        <w:p w14:paraId="4C22C8EF"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6D835FB3" w14:textId="77777777" w:rsidR="00863062" w:rsidRPr="00A8173F" w:rsidRDefault="00863062" w:rsidP="002A5DF5">
          <w:pPr>
            <w:tabs>
              <w:tab w:val="right" w:pos="8838"/>
            </w:tabs>
            <w:ind w:left="-28" w:right="683"/>
            <w:rPr>
              <w:rFonts w:eastAsia="Calibri" w:cs="Tahoma"/>
            </w:rPr>
          </w:pPr>
          <w:r w:rsidRPr="00A8173F">
            <w:rPr>
              <w:rFonts w:eastAsia="Calibri" w:cs="Tahoma"/>
              <w:lang w:val="es-MX"/>
            </w:rPr>
            <w:t>04196/INFOEM/IP/RR/2020</w:t>
          </w:r>
        </w:p>
      </w:tc>
    </w:tr>
    <w:tr w:rsidR="00863062" w14:paraId="7A5F93B0" w14:textId="77777777" w:rsidTr="002A5DF5">
      <w:trPr>
        <w:trHeight w:val="276"/>
      </w:trPr>
      <w:tc>
        <w:tcPr>
          <w:tcW w:w="2404" w:type="dxa"/>
        </w:tcPr>
        <w:p w14:paraId="38A9EF54"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6A4F2C33" w14:textId="77777777" w:rsidR="00863062" w:rsidRPr="00A8173F" w:rsidRDefault="00863062" w:rsidP="002A5DF5">
          <w:pPr>
            <w:tabs>
              <w:tab w:val="right" w:pos="8838"/>
            </w:tabs>
            <w:ind w:right="116"/>
            <w:rPr>
              <w:rFonts w:eastAsia="Calibri" w:cs="Tahoma"/>
              <w:lang w:val="es-MX"/>
            </w:rPr>
          </w:pPr>
          <w:r w:rsidRPr="00A8173F">
            <w:rPr>
              <w:rFonts w:eastAsia="Calibri" w:cs="Tahoma"/>
              <w:lang w:val="es-MX"/>
            </w:rPr>
            <w:t>Ayuntamiento de Chapultepec</w:t>
          </w:r>
        </w:p>
      </w:tc>
    </w:tr>
    <w:tr w:rsidR="00863062" w14:paraId="6FDFF3F8" w14:textId="77777777" w:rsidTr="002A5DF5">
      <w:trPr>
        <w:trHeight w:val="276"/>
      </w:trPr>
      <w:tc>
        <w:tcPr>
          <w:tcW w:w="2404" w:type="dxa"/>
        </w:tcPr>
        <w:p w14:paraId="3FB1CE1C"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233CD5BA" w14:textId="77777777" w:rsidR="00863062" w:rsidRPr="00A8173F" w:rsidRDefault="00863062" w:rsidP="002A5DF5">
          <w:pPr>
            <w:tabs>
              <w:tab w:val="right" w:pos="8838"/>
            </w:tabs>
            <w:ind w:right="-32"/>
            <w:rPr>
              <w:rFonts w:eastAsia="Calibri" w:cs="Tahoma"/>
              <w:lang w:val="es-MX"/>
            </w:rPr>
          </w:pPr>
          <w:r w:rsidRPr="00A8173F">
            <w:rPr>
              <w:rFonts w:eastAsia="Calibri" w:cs="Tahoma"/>
              <w:lang w:val="es-MX"/>
            </w:rPr>
            <w:t>Luis Gustavo Parra Noriega</w:t>
          </w:r>
        </w:p>
      </w:tc>
    </w:tr>
  </w:tbl>
  <w:p w14:paraId="7D9F6228" w14:textId="77777777" w:rsidR="00863062" w:rsidRDefault="00A32283">
    <w:pPr>
      <w:pStyle w:val="Encabezado"/>
    </w:pPr>
    <w:r>
      <w:rPr>
        <w:noProof/>
      </w:rPr>
      <w:pict w14:anchorId="7726C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0EF94" w14:textId="77777777" w:rsidR="00863062" w:rsidRPr="004A705D" w:rsidRDefault="00863062">
    <w:pPr>
      <w:rPr>
        <w:sz w:val="18"/>
        <w:szCs w:val="18"/>
      </w:rPr>
    </w:pPr>
  </w:p>
  <w:tbl>
    <w:tblPr>
      <w:tblStyle w:val="Tablaconcuadrcula"/>
      <w:tblW w:w="6804"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394"/>
    </w:tblGrid>
    <w:tr w:rsidR="00863062" w14:paraId="781004D5" w14:textId="77777777" w:rsidTr="00BF6B4B">
      <w:trPr>
        <w:trHeight w:val="141"/>
      </w:trPr>
      <w:tc>
        <w:tcPr>
          <w:tcW w:w="2410" w:type="dxa"/>
        </w:tcPr>
        <w:p w14:paraId="2083D2E4" w14:textId="77777777" w:rsidR="00863062" w:rsidRPr="001B5FB6" w:rsidRDefault="00863062" w:rsidP="002A5DF5">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394" w:type="dxa"/>
        </w:tcPr>
        <w:p w14:paraId="7C3E2B4C" w14:textId="18036D03" w:rsidR="00863062" w:rsidRPr="00C853D1" w:rsidRDefault="00863062" w:rsidP="002A5DF5">
          <w:pPr>
            <w:tabs>
              <w:tab w:val="right" w:pos="8838"/>
            </w:tabs>
            <w:ind w:left="-28" w:right="454"/>
            <w:rPr>
              <w:rFonts w:eastAsia="Calibri" w:cs="Tahoma"/>
            </w:rPr>
          </w:pPr>
          <w:r>
            <w:rPr>
              <w:rFonts w:eastAsia="Calibri" w:cs="Tahoma"/>
              <w:lang w:val="es-MX"/>
            </w:rPr>
            <w:t>02366</w:t>
          </w:r>
          <w:r w:rsidRPr="00712E51">
            <w:rPr>
              <w:rFonts w:eastAsia="Calibri" w:cs="Tahoma"/>
              <w:lang w:val="es-MX"/>
            </w:rPr>
            <w:t>/INFOEM/IP/RR/202</w:t>
          </w:r>
          <w:r>
            <w:rPr>
              <w:rFonts w:eastAsia="Calibri" w:cs="Tahoma"/>
              <w:lang w:val="es-MX"/>
            </w:rPr>
            <w:t>3</w:t>
          </w:r>
        </w:p>
      </w:tc>
    </w:tr>
    <w:tr w:rsidR="00863062" w14:paraId="77BBF2C9" w14:textId="77777777" w:rsidTr="00BF6B4B">
      <w:trPr>
        <w:trHeight w:val="276"/>
      </w:trPr>
      <w:tc>
        <w:tcPr>
          <w:tcW w:w="2410" w:type="dxa"/>
        </w:tcPr>
        <w:p w14:paraId="199653E5"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Sujeto Obligado:</w:t>
          </w:r>
        </w:p>
      </w:tc>
      <w:tc>
        <w:tcPr>
          <w:tcW w:w="4394" w:type="dxa"/>
        </w:tcPr>
        <w:p w14:paraId="371D3D0D" w14:textId="7826DA24" w:rsidR="00863062" w:rsidRPr="00A8173F" w:rsidRDefault="00863062" w:rsidP="002A5DF5">
          <w:pPr>
            <w:tabs>
              <w:tab w:val="right" w:pos="8838"/>
            </w:tabs>
            <w:ind w:right="454"/>
            <w:rPr>
              <w:rFonts w:eastAsia="Calibri" w:cs="Tahoma"/>
              <w:lang w:val="es-MX"/>
            </w:rPr>
          </w:pPr>
          <w:r>
            <w:rPr>
              <w:rFonts w:eastAsia="Calibri" w:cs="Tahoma"/>
              <w:lang w:val="es-MX"/>
            </w:rPr>
            <w:t>Ayuntamiento de Teoloyucan</w:t>
          </w:r>
        </w:p>
      </w:tc>
    </w:tr>
    <w:tr w:rsidR="00863062" w14:paraId="305CCFC9" w14:textId="77777777" w:rsidTr="00BF6B4B">
      <w:trPr>
        <w:trHeight w:val="276"/>
      </w:trPr>
      <w:tc>
        <w:tcPr>
          <w:tcW w:w="2410" w:type="dxa"/>
        </w:tcPr>
        <w:p w14:paraId="005E0BC6"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Comisionado Ponente:</w:t>
          </w:r>
        </w:p>
      </w:tc>
      <w:tc>
        <w:tcPr>
          <w:tcW w:w="4394" w:type="dxa"/>
        </w:tcPr>
        <w:p w14:paraId="32F65D0F" w14:textId="77777777" w:rsidR="00863062" w:rsidRPr="00A8173F" w:rsidRDefault="00863062" w:rsidP="002A5DF5">
          <w:pPr>
            <w:tabs>
              <w:tab w:val="right" w:pos="8838"/>
            </w:tabs>
            <w:ind w:right="454"/>
            <w:rPr>
              <w:rFonts w:eastAsia="Calibri" w:cs="Tahoma"/>
              <w:lang w:val="es-MX"/>
            </w:rPr>
          </w:pPr>
          <w:r w:rsidRPr="00A8173F">
            <w:rPr>
              <w:rFonts w:eastAsia="Calibri" w:cs="Tahoma"/>
              <w:lang w:val="es-MX"/>
            </w:rPr>
            <w:t>Luis Gustavo Parra Noriega</w:t>
          </w:r>
        </w:p>
      </w:tc>
    </w:tr>
  </w:tbl>
  <w:p w14:paraId="739C10E2" w14:textId="77777777" w:rsidR="00863062" w:rsidRDefault="00A32283">
    <w:pPr>
      <w:pStyle w:val="Encabezado"/>
    </w:pPr>
    <w:r>
      <w:rPr>
        <w:noProof/>
      </w:rPr>
      <w:pict w14:anchorId="24CF0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127"/>
      <w:gridCol w:w="7654"/>
    </w:tblGrid>
    <w:tr w:rsidR="00863062" w:rsidRPr="005C106F" w14:paraId="03DA0603" w14:textId="77777777" w:rsidTr="002A5DF5">
      <w:trPr>
        <w:trHeight w:val="1546"/>
      </w:trPr>
      <w:tc>
        <w:tcPr>
          <w:tcW w:w="2127" w:type="dxa"/>
          <w:shd w:val="clear" w:color="auto" w:fill="auto"/>
        </w:tcPr>
        <w:p w14:paraId="70DBECE9" w14:textId="77777777" w:rsidR="00863062" w:rsidRPr="005C106F" w:rsidRDefault="00863062" w:rsidP="002A5DF5">
          <w:pPr>
            <w:tabs>
              <w:tab w:val="right" w:pos="4273"/>
            </w:tabs>
            <w:rPr>
              <w:rFonts w:ascii="Garamond" w:eastAsia="Calibri" w:hAnsi="Garamond"/>
              <w:sz w:val="16"/>
              <w:szCs w:val="16"/>
            </w:rPr>
          </w:pPr>
        </w:p>
      </w:tc>
      <w:tc>
        <w:tcPr>
          <w:tcW w:w="7654" w:type="dxa"/>
          <w:shd w:val="clear" w:color="auto" w:fill="auto"/>
        </w:tcPr>
        <w:tbl>
          <w:tblPr>
            <w:tblStyle w:val="Tablaconcuadrcula"/>
            <w:tblW w:w="5670"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260"/>
          </w:tblGrid>
          <w:tr w:rsidR="00863062" w14:paraId="563CC0F4" w14:textId="77777777" w:rsidTr="00BF6B4B">
            <w:trPr>
              <w:trHeight w:val="151"/>
            </w:trPr>
            <w:tc>
              <w:tcPr>
                <w:tcW w:w="2410" w:type="dxa"/>
                <w:vAlign w:val="bottom"/>
              </w:tcPr>
              <w:p w14:paraId="401C9F21"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Recurso de Revisión:</w:t>
                </w:r>
              </w:p>
            </w:tc>
            <w:tc>
              <w:tcPr>
                <w:tcW w:w="3260" w:type="dxa"/>
              </w:tcPr>
              <w:p w14:paraId="251191D4" w14:textId="77777777" w:rsidR="00863062" w:rsidRDefault="00863062" w:rsidP="002A5DF5">
                <w:pPr>
                  <w:tabs>
                    <w:tab w:val="right" w:pos="8838"/>
                  </w:tabs>
                  <w:ind w:left="-28" w:right="-107"/>
                  <w:rPr>
                    <w:rFonts w:eastAsia="Calibri" w:cs="Tahoma"/>
                    <w:lang w:val="es-MX"/>
                  </w:rPr>
                </w:pPr>
              </w:p>
              <w:p w14:paraId="2E142784" w14:textId="1B46265B" w:rsidR="00863062" w:rsidRPr="00C853D1" w:rsidRDefault="00863062" w:rsidP="00BF6B4B">
                <w:pPr>
                  <w:tabs>
                    <w:tab w:val="right" w:pos="8838"/>
                  </w:tabs>
                  <w:ind w:right="-107"/>
                  <w:rPr>
                    <w:rFonts w:eastAsia="Calibri" w:cs="Tahoma"/>
                  </w:rPr>
                </w:pPr>
                <w:r>
                  <w:rPr>
                    <w:rFonts w:eastAsia="Calibri" w:cs="Tahoma"/>
                    <w:lang w:val="es-MX"/>
                  </w:rPr>
                  <w:t>02366</w:t>
                </w:r>
                <w:r w:rsidRPr="006E4BCB">
                  <w:rPr>
                    <w:rFonts w:eastAsia="Calibri" w:cs="Tahoma"/>
                    <w:lang w:val="es-MX"/>
                  </w:rPr>
                  <w:t>/INFOEM/IP/RR/202</w:t>
                </w:r>
                <w:r>
                  <w:rPr>
                    <w:rFonts w:eastAsia="Calibri" w:cs="Tahoma"/>
                    <w:lang w:val="es-MX"/>
                  </w:rPr>
                  <w:t>3</w:t>
                </w:r>
              </w:p>
            </w:tc>
          </w:tr>
          <w:tr w:rsidR="00863062" w14:paraId="4B93539A" w14:textId="77777777" w:rsidTr="00BF6B4B">
            <w:trPr>
              <w:trHeight w:val="151"/>
            </w:trPr>
            <w:tc>
              <w:tcPr>
                <w:tcW w:w="2410" w:type="dxa"/>
              </w:tcPr>
              <w:p w14:paraId="73C32DD9"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Recurrente:</w:t>
                </w:r>
              </w:p>
            </w:tc>
            <w:tc>
              <w:tcPr>
                <w:tcW w:w="3260" w:type="dxa"/>
              </w:tcPr>
              <w:p w14:paraId="21C2DC8A" w14:textId="0AAFCBB2" w:rsidR="00863062" w:rsidRPr="003405AF" w:rsidRDefault="00863062" w:rsidP="002A5DF5">
                <w:pPr>
                  <w:tabs>
                    <w:tab w:val="right" w:pos="8838"/>
                  </w:tabs>
                  <w:ind w:right="-107"/>
                  <w:rPr>
                    <w:rFonts w:eastAsia="Calibri" w:cs="Tahoma"/>
                    <w:lang w:val="es-MX"/>
                  </w:rPr>
                </w:pPr>
              </w:p>
            </w:tc>
          </w:tr>
          <w:tr w:rsidR="00863062" w14:paraId="341CAFF2" w14:textId="77777777" w:rsidTr="00BF6B4B">
            <w:trPr>
              <w:trHeight w:val="299"/>
            </w:trPr>
            <w:tc>
              <w:tcPr>
                <w:tcW w:w="2410" w:type="dxa"/>
              </w:tcPr>
              <w:p w14:paraId="6DFB20FF"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Sujeto Obligado:</w:t>
                </w:r>
              </w:p>
            </w:tc>
            <w:tc>
              <w:tcPr>
                <w:tcW w:w="3260" w:type="dxa"/>
              </w:tcPr>
              <w:p w14:paraId="562DBF9C" w14:textId="09EC9E92" w:rsidR="00863062" w:rsidRPr="00C853D1" w:rsidRDefault="00863062" w:rsidP="002A5DF5">
                <w:pPr>
                  <w:tabs>
                    <w:tab w:val="right" w:pos="8838"/>
                  </w:tabs>
                  <w:ind w:right="-107"/>
                  <w:rPr>
                    <w:rFonts w:eastAsia="Calibri" w:cs="Tahoma"/>
                    <w:lang w:val="es-MX"/>
                  </w:rPr>
                </w:pPr>
                <w:r>
                  <w:rPr>
                    <w:rFonts w:eastAsia="Calibri" w:cs="Tahoma"/>
                    <w:lang w:val="es-MX"/>
                  </w:rPr>
                  <w:t>Ayuntamiento de Teoloyucan</w:t>
                </w:r>
              </w:p>
            </w:tc>
          </w:tr>
          <w:tr w:rsidR="00863062" w14:paraId="5818B90A" w14:textId="77777777" w:rsidTr="00BF6B4B">
            <w:trPr>
              <w:trHeight w:val="299"/>
            </w:trPr>
            <w:tc>
              <w:tcPr>
                <w:tcW w:w="2410" w:type="dxa"/>
              </w:tcPr>
              <w:p w14:paraId="4B969C72" w14:textId="77777777" w:rsidR="00863062" w:rsidRPr="001B5FB6" w:rsidRDefault="00863062" w:rsidP="002A5DF5">
                <w:pPr>
                  <w:tabs>
                    <w:tab w:val="right" w:pos="8838"/>
                  </w:tabs>
                  <w:ind w:right="-105"/>
                  <w:rPr>
                    <w:rFonts w:eastAsia="Calibri" w:cs="Tahoma"/>
                    <w:b/>
                    <w:lang w:val="es-MX"/>
                  </w:rPr>
                </w:pPr>
                <w:r w:rsidRPr="001B5FB6">
                  <w:rPr>
                    <w:rFonts w:eastAsia="Calibri" w:cs="Tahoma"/>
                    <w:b/>
                    <w:lang w:val="es-MX"/>
                  </w:rPr>
                  <w:t>Comisionado Ponente:</w:t>
                </w:r>
              </w:p>
            </w:tc>
            <w:tc>
              <w:tcPr>
                <w:tcW w:w="3260" w:type="dxa"/>
              </w:tcPr>
              <w:p w14:paraId="6BFCB0D4" w14:textId="77777777" w:rsidR="00863062" w:rsidRPr="00A8173F" w:rsidRDefault="00863062" w:rsidP="002A5DF5">
                <w:pPr>
                  <w:tabs>
                    <w:tab w:val="right" w:pos="8838"/>
                  </w:tabs>
                  <w:ind w:right="-107"/>
                  <w:rPr>
                    <w:rFonts w:eastAsia="Calibri" w:cs="Tahoma"/>
                    <w:lang w:val="es-MX"/>
                  </w:rPr>
                </w:pPr>
                <w:r w:rsidRPr="00A8173F">
                  <w:rPr>
                    <w:rFonts w:eastAsia="Calibri" w:cs="Tahoma"/>
                    <w:lang w:val="es-MX"/>
                  </w:rPr>
                  <w:t>Luis Gustavo Parra Noriega</w:t>
                </w:r>
              </w:p>
            </w:tc>
          </w:tr>
        </w:tbl>
        <w:p w14:paraId="477F9092" w14:textId="77777777" w:rsidR="00863062" w:rsidRPr="005C106F" w:rsidRDefault="00863062" w:rsidP="002A5DF5">
          <w:pPr>
            <w:tabs>
              <w:tab w:val="right" w:pos="8838"/>
            </w:tabs>
            <w:ind w:left="-28"/>
            <w:rPr>
              <w:rFonts w:ascii="Arial" w:eastAsia="Calibri" w:hAnsi="Arial" w:cs="Arial"/>
              <w:b/>
            </w:rPr>
          </w:pPr>
        </w:p>
      </w:tc>
    </w:tr>
  </w:tbl>
  <w:p w14:paraId="5E2553D1" w14:textId="77777777" w:rsidR="00863062" w:rsidRDefault="00A32283">
    <w:pPr>
      <w:pStyle w:val="Encabezado"/>
    </w:pPr>
    <w:r>
      <w:rPr>
        <w:noProof/>
      </w:rPr>
      <w:pict w14:anchorId="34DAE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5F313F"/>
    <w:multiLevelType w:val="hybridMultilevel"/>
    <w:tmpl w:val="02943CB8"/>
    <w:lvl w:ilvl="0" w:tplc="080A0001">
      <w:start w:val="1"/>
      <w:numFmt w:val="bullet"/>
      <w:lvlText w:val=""/>
      <w:lvlJc w:val="left"/>
      <w:pPr>
        <w:ind w:left="771" w:hanging="360"/>
      </w:pPr>
      <w:rPr>
        <w:rFonts w:ascii="Symbol" w:hAnsi="Symbol" w:hint="default"/>
      </w:rPr>
    </w:lvl>
    <w:lvl w:ilvl="1" w:tplc="080A0003" w:tentative="1">
      <w:start w:val="1"/>
      <w:numFmt w:val="bullet"/>
      <w:lvlText w:val="o"/>
      <w:lvlJc w:val="left"/>
      <w:pPr>
        <w:ind w:left="1491" w:hanging="360"/>
      </w:pPr>
      <w:rPr>
        <w:rFonts w:ascii="Courier New" w:hAnsi="Courier New" w:cs="Courier New" w:hint="default"/>
      </w:rPr>
    </w:lvl>
    <w:lvl w:ilvl="2" w:tplc="080A0005" w:tentative="1">
      <w:start w:val="1"/>
      <w:numFmt w:val="bullet"/>
      <w:lvlText w:val=""/>
      <w:lvlJc w:val="left"/>
      <w:pPr>
        <w:ind w:left="2211" w:hanging="360"/>
      </w:pPr>
      <w:rPr>
        <w:rFonts w:ascii="Wingdings" w:hAnsi="Wingdings" w:hint="default"/>
      </w:rPr>
    </w:lvl>
    <w:lvl w:ilvl="3" w:tplc="080A0001" w:tentative="1">
      <w:start w:val="1"/>
      <w:numFmt w:val="bullet"/>
      <w:lvlText w:val=""/>
      <w:lvlJc w:val="left"/>
      <w:pPr>
        <w:ind w:left="2931" w:hanging="360"/>
      </w:pPr>
      <w:rPr>
        <w:rFonts w:ascii="Symbol" w:hAnsi="Symbol" w:hint="default"/>
      </w:rPr>
    </w:lvl>
    <w:lvl w:ilvl="4" w:tplc="080A0003" w:tentative="1">
      <w:start w:val="1"/>
      <w:numFmt w:val="bullet"/>
      <w:lvlText w:val="o"/>
      <w:lvlJc w:val="left"/>
      <w:pPr>
        <w:ind w:left="3651" w:hanging="360"/>
      </w:pPr>
      <w:rPr>
        <w:rFonts w:ascii="Courier New" w:hAnsi="Courier New" w:cs="Courier New" w:hint="default"/>
      </w:rPr>
    </w:lvl>
    <w:lvl w:ilvl="5" w:tplc="080A0005" w:tentative="1">
      <w:start w:val="1"/>
      <w:numFmt w:val="bullet"/>
      <w:lvlText w:val=""/>
      <w:lvlJc w:val="left"/>
      <w:pPr>
        <w:ind w:left="4371" w:hanging="360"/>
      </w:pPr>
      <w:rPr>
        <w:rFonts w:ascii="Wingdings" w:hAnsi="Wingdings" w:hint="default"/>
      </w:rPr>
    </w:lvl>
    <w:lvl w:ilvl="6" w:tplc="080A0001" w:tentative="1">
      <w:start w:val="1"/>
      <w:numFmt w:val="bullet"/>
      <w:lvlText w:val=""/>
      <w:lvlJc w:val="left"/>
      <w:pPr>
        <w:ind w:left="5091" w:hanging="360"/>
      </w:pPr>
      <w:rPr>
        <w:rFonts w:ascii="Symbol" w:hAnsi="Symbol" w:hint="default"/>
      </w:rPr>
    </w:lvl>
    <w:lvl w:ilvl="7" w:tplc="080A0003" w:tentative="1">
      <w:start w:val="1"/>
      <w:numFmt w:val="bullet"/>
      <w:lvlText w:val="o"/>
      <w:lvlJc w:val="left"/>
      <w:pPr>
        <w:ind w:left="5811" w:hanging="360"/>
      </w:pPr>
      <w:rPr>
        <w:rFonts w:ascii="Courier New" w:hAnsi="Courier New" w:cs="Courier New" w:hint="default"/>
      </w:rPr>
    </w:lvl>
    <w:lvl w:ilvl="8" w:tplc="080A0005" w:tentative="1">
      <w:start w:val="1"/>
      <w:numFmt w:val="bullet"/>
      <w:lvlText w:val=""/>
      <w:lvlJc w:val="left"/>
      <w:pPr>
        <w:ind w:left="6531" w:hanging="360"/>
      </w:pPr>
      <w:rPr>
        <w:rFonts w:ascii="Wingdings" w:hAnsi="Wingdings" w:hint="default"/>
      </w:rPr>
    </w:lvl>
  </w:abstractNum>
  <w:abstractNum w:abstractNumId="3" w15:restartNumberingAfterBreak="0">
    <w:nsid w:val="0B2F2AE0"/>
    <w:multiLevelType w:val="hybridMultilevel"/>
    <w:tmpl w:val="1C822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0C7552"/>
    <w:multiLevelType w:val="hybridMultilevel"/>
    <w:tmpl w:val="158E5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33181"/>
    <w:multiLevelType w:val="hybridMultilevel"/>
    <w:tmpl w:val="C532A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E982DAC"/>
    <w:multiLevelType w:val="hybridMultilevel"/>
    <w:tmpl w:val="A976A9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69E4FD6"/>
    <w:multiLevelType w:val="hybridMultilevel"/>
    <w:tmpl w:val="2BC20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AC5A28"/>
    <w:multiLevelType w:val="hybridMultilevel"/>
    <w:tmpl w:val="92FA0B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EA64B92"/>
    <w:multiLevelType w:val="hybridMultilevel"/>
    <w:tmpl w:val="B2EE00B0"/>
    <w:lvl w:ilvl="0" w:tplc="9CAC05E8">
      <w:start w:val="4"/>
      <w:numFmt w:val="bullet"/>
      <w:lvlText w:val="-"/>
      <w:lvlJc w:val="left"/>
      <w:pPr>
        <w:ind w:left="720" w:hanging="360"/>
      </w:pPr>
      <w:rPr>
        <w:rFonts w:ascii="Palatino Linotype" w:eastAsia="Calibri" w:hAnsi="Palatino Linotype"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21D3361"/>
    <w:multiLevelType w:val="hybridMultilevel"/>
    <w:tmpl w:val="80304B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60D5575"/>
    <w:multiLevelType w:val="hybridMultilevel"/>
    <w:tmpl w:val="69DA6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75D39D1"/>
    <w:multiLevelType w:val="hybridMultilevel"/>
    <w:tmpl w:val="7832B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8110E2"/>
    <w:multiLevelType w:val="hybridMultilevel"/>
    <w:tmpl w:val="B8D0AE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89F7917"/>
    <w:multiLevelType w:val="hybridMultilevel"/>
    <w:tmpl w:val="5526F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F966D3"/>
    <w:multiLevelType w:val="hybridMultilevel"/>
    <w:tmpl w:val="E8CC6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0"/>
  </w:num>
  <w:num w:numId="4">
    <w:abstractNumId w:val="7"/>
  </w:num>
  <w:num w:numId="5">
    <w:abstractNumId w:val="3"/>
  </w:num>
  <w:num w:numId="6">
    <w:abstractNumId w:val="21"/>
  </w:num>
  <w:num w:numId="7">
    <w:abstractNumId w:val="14"/>
  </w:num>
  <w:num w:numId="8">
    <w:abstractNumId w:val="4"/>
  </w:num>
  <w:num w:numId="9">
    <w:abstractNumId w:val="18"/>
  </w:num>
  <w:num w:numId="10">
    <w:abstractNumId w:val="23"/>
  </w:num>
  <w:num w:numId="11">
    <w:abstractNumId w:val="2"/>
  </w:num>
  <w:num w:numId="12">
    <w:abstractNumId w:val="9"/>
  </w:num>
  <w:num w:numId="13">
    <w:abstractNumId w:val="2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12"/>
  </w:num>
  <w:num w:numId="18">
    <w:abstractNumId w:val="13"/>
  </w:num>
  <w:num w:numId="19">
    <w:abstractNumId w:val="15"/>
  </w:num>
  <w:num w:numId="20">
    <w:abstractNumId w:val="17"/>
  </w:num>
  <w:num w:numId="21">
    <w:abstractNumId w:val="5"/>
  </w:num>
  <w:num w:numId="22">
    <w:abstractNumId w:val="19"/>
  </w:num>
  <w:num w:numId="23">
    <w:abstractNumId w:val="6"/>
  </w:num>
  <w:num w:numId="24">
    <w:abstractNumId w:val="1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4B"/>
    <w:rsid w:val="000262C1"/>
    <w:rsid w:val="000604E5"/>
    <w:rsid w:val="00144FB3"/>
    <w:rsid w:val="001D0EA2"/>
    <w:rsid w:val="001F62B7"/>
    <w:rsid w:val="00213053"/>
    <w:rsid w:val="00243225"/>
    <w:rsid w:val="00264675"/>
    <w:rsid w:val="002A5DF5"/>
    <w:rsid w:val="002C15C1"/>
    <w:rsid w:val="002F0448"/>
    <w:rsid w:val="00317306"/>
    <w:rsid w:val="003A22CB"/>
    <w:rsid w:val="003C7C3B"/>
    <w:rsid w:val="0048751D"/>
    <w:rsid w:val="004E1023"/>
    <w:rsid w:val="004E4835"/>
    <w:rsid w:val="00507F8A"/>
    <w:rsid w:val="00597D77"/>
    <w:rsid w:val="00644822"/>
    <w:rsid w:val="006622D3"/>
    <w:rsid w:val="006D639A"/>
    <w:rsid w:val="0075003B"/>
    <w:rsid w:val="00766BEF"/>
    <w:rsid w:val="0078093D"/>
    <w:rsid w:val="00863062"/>
    <w:rsid w:val="0088494B"/>
    <w:rsid w:val="008C6C1A"/>
    <w:rsid w:val="009D0B83"/>
    <w:rsid w:val="009F6C19"/>
    <w:rsid w:val="00A32283"/>
    <w:rsid w:val="00AD7BBE"/>
    <w:rsid w:val="00B3599D"/>
    <w:rsid w:val="00B4260D"/>
    <w:rsid w:val="00B66037"/>
    <w:rsid w:val="00BB127B"/>
    <w:rsid w:val="00BB60E9"/>
    <w:rsid w:val="00BC42A6"/>
    <w:rsid w:val="00BE0D64"/>
    <w:rsid w:val="00BF6B4B"/>
    <w:rsid w:val="00CE7148"/>
    <w:rsid w:val="00D20A18"/>
    <w:rsid w:val="00D560A4"/>
    <w:rsid w:val="00D83A81"/>
    <w:rsid w:val="00DF54AE"/>
    <w:rsid w:val="00E05A5C"/>
    <w:rsid w:val="00E3287F"/>
    <w:rsid w:val="00EB03D9"/>
    <w:rsid w:val="00F66AFF"/>
    <w:rsid w:val="00FC29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BA36B"/>
  <w15:chartTrackingRefBased/>
  <w15:docId w15:val="{43E3D902-1A6A-4294-9DD9-60F405D0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4B"/>
    <w:pPr>
      <w:jc w:val="both"/>
    </w:pPr>
    <w:rPr>
      <w:rFonts w:ascii="Palatino Linotype" w:hAnsi="Palatino Linotype"/>
      <w:color w:val="000000" w:themeColor="text1"/>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6B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6B4B"/>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BF6B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6B4B"/>
    <w:rPr>
      <w:rFonts w:ascii="Palatino Linotype" w:hAnsi="Palatino Linotype"/>
      <w:color w:val="000000" w:themeColor="text1"/>
      <w:kern w:val="0"/>
      <w14:ligatures w14:val="none"/>
    </w:rPr>
  </w:style>
  <w:style w:type="table" w:styleId="Tablaconcuadrcula">
    <w:name w:val="Table Grid"/>
    <w:basedOn w:val="Tablanormal"/>
    <w:uiPriority w:val="39"/>
    <w:rsid w:val="00BF6B4B"/>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F6B4B"/>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6B4B"/>
    <w:pPr>
      <w:spacing w:after="0" w:line="240" w:lineRule="auto"/>
      <w:ind w:left="720"/>
      <w:contextualSpacing/>
    </w:pPr>
    <w:rPr>
      <w:rFonts w:eastAsia="Times New Roman" w:cs="Times New Roman"/>
      <w:kern w:val="2"/>
      <w:szCs w:val="24"/>
      <w:lang w:eastAsia="es-ES"/>
      <w14:ligatures w14:val="standardContextual"/>
    </w:rPr>
  </w:style>
  <w:style w:type="character" w:styleId="Hipervnculo">
    <w:name w:val="Hyperlink"/>
    <w:basedOn w:val="Fuentedeprrafopredeter"/>
    <w:uiPriority w:val="99"/>
    <w:unhideWhenUsed/>
    <w:rsid w:val="00BF6B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6918">
      <w:bodyDiv w:val="1"/>
      <w:marLeft w:val="0"/>
      <w:marRight w:val="0"/>
      <w:marTop w:val="0"/>
      <w:marBottom w:val="0"/>
      <w:divBdr>
        <w:top w:val="none" w:sz="0" w:space="0" w:color="auto"/>
        <w:left w:val="none" w:sz="0" w:space="0" w:color="auto"/>
        <w:bottom w:val="none" w:sz="0" w:space="0" w:color="auto"/>
        <w:right w:val="none" w:sz="0" w:space="0" w:color="auto"/>
      </w:divBdr>
    </w:div>
    <w:div w:id="415171919">
      <w:bodyDiv w:val="1"/>
      <w:marLeft w:val="0"/>
      <w:marRight w:val="0"/>
      <w:marTop w:val="0"/>
      <w:marBottom w:val="0"/>
      <w:divBdr>
        <w:top w:val="none" w:sz="0" w:space="0" w:color="auto"/>
        <w:left w:val="none" w:sz="0" w:space="0" w:color="auto"/>
        <w:bottom w:val="none" w:sz="0" w:space="0" w:color="auto"/>
        <w:right w:val="none" w:sz="0" w:space="0" w:color="auto"/>
      </w:divBdr>
    </w:div>
    <w:div w:id="861824862">
      <w:bodyDiv w:val="1"/>
      <w:marLeft w:val="0"/>
      <w:marRight w:val="0"/>
      <w:marTop w:val="0"/>
      <w:marBottom w:val="0"/>
      <w:divBdr>
        <w:top w:val="none" w:sz="0" w:space="0" w:color="auto"/>
        <w:left w:val="none" w:sz="0" w:space="0" w:color="auto"/>
        <w:bottom w:val="none" w:sz="0" w:space="0" w:color="auto"/>
        <w:right w:val="none" w:sz="0" w:space="0" w:color="auto"/>
      </w:divBdr>
    </w:div>
    <w:div w:id="1110591006">
      <w:bodyDiv w:val="1"/>
      <w:marLeft w:val="0"/>
      <w:marRight w:val="0"/>
      <w:marTop w:val="0"/>
      <w:marBottom w:val="0"/>
      <w:divBdr>
        <w:top w:val="none" w:sz="0" w:space="0" w:color="auto"/>
        <w:left w:val="none" w:sz="0" w:space="0" w:color="auto"/>
        <w:bottom w:val="none" w:sz="0" w:space="0" w:color="auto"/>
        <w:right w:val="none" w:sz="0" w:space="0" w:color="auto"/>
      </w:divBdr>
    </w:div>
    <w:div w:id="1278685731">
      <w:bodyDiv w:val="1"/>
      <w:marLeft w:val="0"/>
      <w:marRight w:val="0"/>
      <w:marTop w:val="0"/>
      <w:marBottom w:val="0"/>
      <w:divBdr>
        <w:top w:val="none" w:sz="0" w:space="0" w:color="auto"/>
        <w:left w:val="none" w:sz="0" w:space="0" w:color="auto"/>
        <w:bottom w:val="none" w:sz="0" w:space="0" w:color="auto"/>
        <w:right w:val="none" w:sz="0" w:space="0" w:color="auto"/>
      </w:divBdr>
    </w:div>
    <w:div w:id="1288076868">
      <w:bodyDiv w:val="1"/>
      <w:marLeft w:val="0"/>
      <w:marRight w:val="0"/>
      <w:marTop w:val="0"/>
      <w:marBottom w:val="0"/>
      <w:divBdr>
        <w:top w:val="none" w:sz="0" w:space="0" w:color="auto"/>
        <w:left w:val="none" w:sz="0" w:space="0" w:color="auto"/>
        <w:bottom w:val="none" w:sz="0" w:space="0" w:color="auto"/>
        <w:right w:val="none" w:sz="0" w:space="0" w:color="auto"/>
      </w:divBdr>
    </w:div>
    <w:div w:id="1689870819">
      <w:bodyDiv w:val="1"/>
      <w:marLeft w:val="0"/>
      <w:marRight w:val="0"/>
      <w:marTop w:val="0"/>
      <w:marBottom w:val="0"/>
      <w:divBdr>
        <w:top w:val="none" w:sz="0" w:space="0" w:color="auto"/>
        <w:left w:val="none" w:sz="0" w:space="0" w:color="auto"/>
        <w:bottom w:val="none" w:sz="0" w:space="0" w:color="auto"/>
        <w:right w:val="none" w:sz="0" w:space="0" w:color="auto"/>
      </w:divBdr>
    </w:div>
    <w:div w:id="1727681127">
      <w:bodyDiv w:val="1"/>
      <w:marLeft w:val="0"/>
      <w:marRight w:val="0"/>
      <w:marTop w:val="0"/>
      <w:marBottom w:val="0"/>
      <w:divBdr>
        <w:top w:val="none" w:sz="0" w:space="0" w:color="auto"/>
        <w:left w:val="none" w:sz="0" w:space="0" w:color="auto"/>
        <w:bottom w:val="none" w:sz="0" w:space="0" w:color="auto"/>
        <w:right w:val="none" w:sz="0" w:space="0" w:color="auto"/>
      </w:divBdr>
    </w:div>
    <w:div w:id="20486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haem.edomex.gob.mx/certificacion_cocerte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5E190-649A-46CB-B674-024394FC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5356</Words>
  <Characters>29458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2023-05-23T21:40:00Z</dcterms:created>
  <dcterms:modified xsi:type="dcterms:W3CDTF">2023-06-01T17:36:00Z</dcterms:modified>
</cp:coreProperties>
</file>