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230B019"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D64226">
        <w:rPr>
          <w:rFonts w:ascii="Palatino Linotype" w:hAnsi="Palatino Linotype"/>
          <w:color w:val="000000" w:themeColor="text1"/>
        </w:rPr>
        <w:t>dieci</w:t>
      </w:r>
      <w:r w:rsidR="001E50B9">
        <w:rPr>
          <w:rFonts w:ascii="Palatino Linotype" w:hAnsi="Palatino Linotype"/>
          <w:color w:val="000000" w:themeColor="text1"/>
        </w:rPr>
        <w:t>ocho</w:t>
      </w:r>
      <w:r w:rsidR="007076C5" w:rsidRPr="00A0054B">
        <w:rPr>
          <w:rFonts w:ascii="Palatino Linotype" w:hAnsi="Palatino Linotype"/>
          <w:color w:val="000000" w:themeColor="text1"/>
        </w:rPr>
        <w:t xml:space="preserve"> (</w:t>
      </w:r>
      <w:r w:rsidR="00D64226">
        <w:rPr>
          <w:rFonts w:ascii="Palatino Linotype" w:hAnsi="Palatino Linotype"/>
          <w:color w:val="000000" w:themeColor="text1"/>
        </w:rPr>
        <w:t>1</w:t>
      </w:r>
      <w:r w:rsidR="001E50B9">
        <w:rPr>
          <w:rFonts w:ascii="Palatino Linotype" w:hAnsi="Palatino Linotype"/>
          <w:color w:val="000000" w:themeColor="text1"/>
        </w:rPr>
        <w:t>8</w:t>
      </w:r>
      <w:r w:rsidR="00FE576E">
        <w:rPr>
          <w:rFonts w:ascii="Palatino Linotype" w:hAnsi="Palatino Linotype"/>
          <w:color w:val="000000" w:themeColor="text1"/>
        </w:rPr>
        <w:t xml:space="preserve">) de </w:t>
      </w:r>
      <w:r w:rsidR="001E50B9">
        <w:rPr>
          <w:rFonts w:ascii="Palatino Linotype" w:hAnsi="Palatino Linotype"/>
          <w:color w:val="000000" w:themeColor="text1"/>
        </w:rPr>
        <w:t>enero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0326BEF7"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C071E8" w:rsidRPr="00C071E8">
        <w:rPr>
          <w:rFonts w:ascii="Palatino Linotype" w:eastAsia="Calibri" w:hAnsi="Palatino Linotype" w:cs="Arial"/>
          <w:b/>
          <w:lang w:val="es-ES"/>
        </w:rPr>
        <w:t>15168</w:t>
      </w:r>
      <w:r w:rsidR="00C071E8" w:rsidRPr="00C071E8">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72439E">
        <w:rPr>
          <w:rFonts w:ascii="Palatino Linotype" w:hAnsi="Palatino Linotype"/>
          <w:b/>
          <w:szCs w:val="22"/>
        </w:rPr>
        <w:t xml:space="preserve">XXXX </w:t>
      </w:r>
      <w:proofErr w:type="spellStart"/>
      <w:r w:rsidR="0072439E">
        <w:rPr>
          <w:rFonts w:ascii="Palatino Linotype" w:hAnsi="Palatino Linotype"/>
          <w:b/>
          <w:szCs w:val="22"/>
        </w:rPr>
        <w:t>XXXX</w:t>
      </w:r>
      <w:proofErr w:type="spellEnd"/>
      <w:r w:rsidR="0072439E">
        <w:rPr>
          <w:rFonts w:ascii="Palatino Linotype" w:hAnsi="Palatino Linotype"/>
          <w:b/>
          <w:szCs w:val="22"/>
        </w:rPr>
        <w:t xml:space="preserve"> </w:t>
      </w:r>
      <w:proofErr w:type="spellStart"/>
      <w:r w:rsidR="0072439E">
        <w:rPr>
          <w:rFonts w:ascii="Palatino Linotype" w:hAnsi="Palatino Linotype"/>
          <w:b/>
          <w:szCs w:val="22"/>
        </w:rPr>
        <w:t>XXXX</w:t>
      </w:r>
      <w:proofErr w:type="spellEnd"/>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1E50B9">
        <w:rPr>
          <w:rFonts w:ascii="Palatino Linotype" w:eastAsia="Times New Roman" w:hAnsi="Palatino Linotype" w:cs="Arial"/>
          <w:color w:val="000000" w:themeColor="text1"/>
        </w:rPr>
        <w:t xml:space="preserve"> </w:t>
      </w:r>
      <w:r w:rsidR="00C071E8">
        <w:rPr>
          <w:rFonts w:ascii="Palatino Linotype" w:eastAsia="Calibri" w:hAnsi="Palatino Linotype" w:cs="Arial"/>
          <w:b/>
          <w:bCs/>
          <w:lang w:val="es-ES"/>
        </w:rPr>
        <w:t xml:space="preserve">la </w:t>
      </w:r>
      <w:r w:rsidR="00C071E8" w:rsidRPr="001E50B9">
        <w:rPr>
          <w:rFonts w:ascii="Palatino Linotype" w:eastAsia="Calibri" w:hAnsi="Palatino Linotype" w:cs="Arial"/>
          <w:b/>
          <w:bCs/>
          <w:szCs w:val="22"/>
          <w:lang w:val="es-ES"/>
        </w:rPr>
        <w:t>Se</w:t>
      </w:r>
      <w:r w:rsidR="00C071E8">
        <w:rPr>
          <w:rFonts w:ascii="Palatino Linotype" w:eastAsia="Calibri" w:hAnsi="Palatino Linotype" w:cs="Arial"/>
          <w:b/>
          <w:bCs/>
          <w:szCs w:val="22"/>
          <w:lang w:val="es-ES"/>
        </w:rPr>
        <w:t>cretaría de Desarrollo Social</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68B00163"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C071E8">
        <w:rPr>
          <w:rFonts w:ascii="Palatino Linotype" w:eastAsia="Calibri" w:hAnsi="Palatino Linotype" w:cs="Arial"/>
          <w:color w:val="000000" w:themeColor="text1"/>
          <w:lang w:val="es-ES"/>
        </w:rPr>
        <w:t>veintiséis</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C071E8">
        <w:rPr>
          <w:rFonts w:ascii="Palatino Linotype" w:eastAsia="Calibri" w:hAnsi="Palatino Linotype" w:cs="Arial"/>
          <w:color w:val="000000" w:themeColor="text1"/>
          <w:lang w:val="es-ES"/>
        </w:rPr>
        <w:t>26</w:t>
      </w:r>
      <w:r w:rsidR="007076C5" w:rsidRPr="00A0054B">
        <w:rPr>
          <w:rFonts w:ascii="Palatino Linotype" w:eastAsia="Calibri" w:hAnsi="Palatino Linotype" w:cs="Arial"/>
          <w:color w:val="000000" w:themeColor="text1"/>
          <w:lang w:val="es-ES"/>
        </w:rPr>
        <w:t xml:space="preserve">) de </w:t>
      </w:r>
      <w:r w:rsidR="00C071E8">
        <w:rPr>
          <w:rFonts w:ascii="Palatino Linotype" w:eastAsia="Calibri" w:hAnsi="Palatino Linotype" w:cs="Arial"/>
          <w:color w:val="000000" w:themeColor="text1"/>
          <w:lang w:val="es-ES"/>
        </w:rPr>
        <w:t>agosto</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1E50B9">
        <w:rPr>
          <w:rFonts w:ascii="Palatino Linotype" w:hAnsi="Palatino Linotype"/>
          <w:b/>
          <w:bCs/>
          <w:color w:val="000000" w:themeColor="text1"/>
        </w:rPr>
        <w:t>3</w:t>
      </w:r>
      <w:r w:rsidR="00C071E8">
        <w:rPr>
          <w:rFonts w:ascii="Palatino Linotype" w:hAnsi="Palatino Linotype"/>
          <w:b/>
          <w:bCs/>
          <w:color w:val="000000" w:themeColor="text1"/>
        </w:rPr>
        <w:t>21</w:t>
      </w:r>
      <w:r w:rsidR="00304056">
        <w:rPr>
          <w:rFonts w:ascii="Palatino Linotype" w:hAnsi="Palatino Linotype"/>
          <w:b/>
          <w:bCs/>
          <w:color w:val="000000" w:themeColor="text1"/>
        </w:rPr>
        <w:t>/</w:t>
      </w:r>
      <w:r w:rsidR="00C071E8">
        <w:rPr>
          <w:rFonts w:ascii="Palatino Linotype" w:hAnsi="Palatino Linotype"/>
          <w:b/>
          <w:bCs/>
          <w:color w:val="000000" w:themeColor="text1"/>
        </w:rPr>
        <w:t>SEDESEM</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756025E7" w14:textId="77777777" w:rsidR="008C73FB" w:rsidRDefault="005F1362" w:rsidP="00755146">
      <w:pPr>
        <w:pStyle w:val="Prrafodelista"/>
        <w:spacing w:line="276" w:lineRule="auto"/>
        <w:ind w:left="567" w:right="567"/>
        <w:jc w:val="both"/>
        <w:rPr>
          <w:rFonts w:ascii="Palatino Linotype" w:hAnsi="Palatino Linotype"/>
          <w:bCs/>
          <w:i/>
          <w:color w:val="000000"/>
          <w:sz w:val="22"/>
          <w:szCs w:val="22"/>
        </w:rPr>
      </w:pPr>
      <w:r w:rsidRPr="004863BC">
        <w:rPr>
          <w:rFonts w:ascii="Palatino Linotype" w:hAnsi="Palatino Linotype"/>
          <w:i/>
          <w:color w:val="000000" w:themeColor="text1"/>
          <w:sz w:val="22"/>
          <w:szCs w:val="22"/>
        </w:rPr>
        <w:t>“</w:t>
      </w:r>
      <w:r w:rsidR="00C071E8" w:rsidRPr="00C071E8">
        <w:rPr>
          <w:rFonts w:ascii="Palatino Linotype" w:hAnsi="Palatino Linotype"/>
          <w:bCs/>
          <w:i/>
          <w:color w:val="000000"/>
          <w:sz w:val="22"/>
          <w:szCs w:val="22"/>
        </w:rPr>
        <w:t>De la incompetente Coordinadora Municipal de Cuautitlan Izcal</w:t>
      </w:r>
    </w:p>
    <w:p w14:paraId="605C5067" w14:textId="049B035C" w:rsidR="0097210F" w:rsidRPr="004863BC" w:rsidRDefault="00C071E8" w:rsidP="00755146">
      <w:pPr>
        <w:pStyle w:val="Prrafodelista"/>
        <w:spacing w:line="276" w:lineRule="auto"/>
        <w:ind w:left="567" w:right="567"/>
        <w:jc w:val="both"/>
        <w:rPr>
          <w:rFonts w:ascii="Palatino Linotype" w:hAnsi="Palatino Linotype"/>
          <w:i/>
          <w:color w:val="000000" w:themeColor="text1"/>
          <w:sz w:val="22"/>
          <w:szCs w:val="22"/>
        </w:rPr>
      </w:pPr>
      <w:r w:rsidRPr="00C071E8">
        <w:rPr>
          <w:rFonts w:ascii="Palatino Linotype" w:hAnsi="Palatino Linotype"/>
          <w:bCs/>
          <w:i/>
          <w:color w:val="000000"/>
          <w:sz w:val="22"/>
          <w:szCs w:val="22"/>
        </w:rPr>
        <w:t>li de nombre Yuriko Jimenez Real Solicito las actas del comité dónde se mencione el nombre de Edu</w:t>
      </w:r>
      <w:bookmarkStart w:id="3" w:name="_GoBack"/>
      <w:r w:rsidRPr="00C071E8">
        <w:rPr>
          <w:rFonts w:ascii="Palatino Linotype" w:hAnsi="Palatino Linotype"/>
          <w:bCs/>
          <w:i/>
          <w:color w:val="000000"/>
          <w:sz w:val="22"/>
          <w:szCs w:val="22"/>
        </w:rPr>
        <w:t>ar</w:t>
      </w:r>
      <w:bookmarkEnd w:id="3"/>
      <w:r w:rsidRPr="00C071E8">
        <w:rPr>
          <w:rFonts w:ascii="Palatino Linotype" w:hAnsi="Palatino Linotype"/>
          <w:bCs/>
          <w:i/>
          <w:color w:val="000000"/>
          <w:sz w:val="22"/>
          <w:szCs w:val="22"/>
        </w:rPr>
        <w:t>do Flores</w:t>
      </w:r>
      <w:r w:rsidR="005F1362"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845315B"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C071E8">
        <w:rPr>
          <w:rFonts w:ascii="Palatino Linotype" w:eastAsia="MS Mincho" w:hAnsi="Palatino Linotype" w:cs="Times New Roman"/>
          <w:color w:val="000000" w:themeColor="text1"/>
        </w:rPr>
        <w:t>diecinueve</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C071E8">
        <w:rPr>
          <w:rFonts w:ascii="Palatino Linotype" w:eastAsia="MS Mincho" w:hAnsi="Palatino Linotype" w:cs="Times New Roman"/>
          <w:color w:val="000000" w:themeColor="text1"/>
        </w:rPr>
        <w:t>19</w:t>
      </w:r>
      <w:r w:rsidR="007076C5" w:rsidRPr="00A0054B">
        <w:rPr>
          <w:rFonts w:ascii="Palatino Linotype" w:eastAsia="MS Mincho" w:hAnsi="Palatino Linotype" w:cs="Times New Roman"/>
          <w:color w:val="000000" w:themeColor="text1"/>
        </w:rPr>
        <w:t xml:space="preserve">) de </w:t>
      </w:r>
      <w:r w:rsidR="00C071E8">
        <w:rPr>
          <w:rFonts w:ascii="Palatino Linotype" w:eastAsia="MS Mincho" w:hAnsi="Palatino Linotype" w:cs="Times New Roman"/>
          <w:color w:val="000000" w:themeColor="text1"/>
        </w:rPr>
        <w:t>septiembre</w:t>
      </w:r>
      <w:r w:rsidR="00762697" w:rsidRPr="00A0054B">
        <w:rPr>
          <w:rFonts w:ascii="Palatino Linotype" w:eastAsia="MS Mincho" w:hAnsi="Palatino Linotype" w:cs="Times New Roman"/>
          <w:color w:val="000000" w:themeColor="text1"/>
        </w:rPr>
        <w:t xml:space="preserve"> 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C071E8">
        <w:rPr>
          <w:rFonts w:ascii="Palatino Linotype" w:hAnsi="Palatino Linotype"/>
          <w:b/>
          <w:bCs/>
          <w:color w:val="000000" w:themeColor="text1"/>
        </w:rPr>
        <w:t>00321/SEDESEM</w:t>
      </w:r>
      <w:r w:rsidR="00C071E8" w:rsidRPr="0035066B">
        <w:rPr>
          <w:rFonts w:ascii="Palatino Linotype" w:hAnsi="Palatino Linotype"/>
          <w:b/>
          <w:bCs/>
          <w:color w:val="000000" w:themeColor="text1"/>
        </w:rPr>
        <w:t>/IP/202</w:t>
      </w:r>
      <w:r w:rsidR="00C071E8">
        <w:rPr>
          <w:rFonts w:ascii="Palatino Linotype" w:hAnsi="Palatino Linotype"/>
          <w:b/>
          <w:bCs/>
          <w:color w:val="000000" w:themeColor="text1"/>
        </w:rPr>
        <w:t>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68C5EEC1" w14:textId="77777777" w:rsidR="00C071E8" w:rsidRPr="00C071E8" w:rsidRDefault="009C0057" w:rsidP="00C071E8">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C071E8" w:rsidRPr="00C071E8">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654A44" w14:textId="77777777" w:rsidR="00C071E8" w:rsidRPr="00C071E8" w:rsidRDefault="00C071E8" w:rsidP="00C071E8">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C071E8">
        <w:rPr>
          <w:rFonts w:ascii="Palatino Linotype" w:eastAsia="MS Mincho" w:hAnsi="Palatino Linotype" w:cs="Times New Roman"/>
          <w:i/>
          <w:color w:val="000000" w:themeColor="text1"/>
          <w:sz w:val="22"/>
        </w:rPr>
        <w:t>Se anexa oficio de respuesta número SEDESEM/UT/321/2022, de fecha 19 de septiembre de 2022.</w:t>
      </w:r>
    </w:p>
    <w:p w14:paraId="24DED89D" w14:textId="77777777" w:rsidR="00C071E8" w:rsidRPr="00C071E8" w:rsidRDefault="00C071E8" w:rsidP="00C071E8">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C071E8">
        <w:rPr>
          <w:rFonts w:ascii="Palatino Linotype" w:eastAsia="MS Mincho" w:hAnsi="Palatino Linotype" w:cs="Times New Roman"/>
          <w:i/>
          <w:color w:val="000000" w:themeColor="text1"/>
          <w:sz w:val="22"/>
        </w:rPr>
        <w:t>ATENTAMENTE</w:t>
      </w:r>
    </w:p>
    <w:p w14:paraId="7002C2BA" w14:textId="1428C492" w:rsidR="009C0057" w:rsidRPr="00AE0CDF" w:rsidRDefault="00C071E8" w:rsidP="00C071E8">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C071E8">
        <w:rPr>
          <w:rFonts w:ascii="Palatino Linotype" w:eastAsia="MS Mincho" w:hAnsi="Palatino Linotype" w:cs="Times New Roman"/>
          <w:i/>
          <w:color w:val="000000" w:themeColor="text1"/>
          <w:sz w:val="22"/>
        </w:rPr>
        <w:t>Mtro. Mtro. Levy Misael Arrocena Alegría</w:t>
      </w:r>
      <w:r w:rsidR="009C0057" w:rsidRPr="00AE0CDF">
        <w:rPr>
          <w:rFonts w:ascii="Palatino Linotype" w:eastAsia="MS Mincho" w:hAnsi="Palatino Linotype" w:cs="Times New Roman"/>
          <w:i/>
          <w:color w:val="000000" w:themeColor="text1"/>
          <w:sz w:val="22"/>
        </w:rPr>
        <w:t>”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656798CB" w14:textId="3BF0E4C1" w:rsidR="00FB63DD" w:rsidRPr="00FB63DD"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FB63DD">
        <w:rPr>
          <w:rFonts w:ascii="Palatino Linotype" w:hAnsi="Palatino Linotype"/>
          <w:color w:val="000000" w:themeColor="text1"/>
          <w:szCs w:val="22"/>
        </w:rPr>
        <w:t>El Sujeto Obligado acompañó la respuesta del documento electrónico denominado</w:t>
      </w:r>
      <w:r w:rsidR="00FB63DD" w:rsidRPr="00FB63DD">
        <w:rPr>
          <w:rFonts w:ascii="Palatino Linotype" w:hAnsi="Palatino Linotype"/>
          <w:color w:val="000000" w:themeColor="text1"/>
          <w:szCs w:val="22"/>
        </w:rPr>
        <w:t>:</w:t>
      </w:r>
    </w:p>
    <w:p w14:paraId="6D2555EC" w14:textId="77777777" w:rsidR="00FB63DD"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szCs w:val="22"/>
        </w:rPr>
      </w:pPr>
    </w:p>
    <w:p w14:paraId="31D0AEC7" w14:textId="72272287" w:rsidR="00070A6C" w:rsidRDefault="00070A6C" w:rsidP="00070A6C">
      <w:pPr>
        <w:pStyle w:val="Prrafodelista"/>
        <w:numPr>
          <w:ilvl w:val="0"/>
          <w:numId w:val="18"/>
        </w:numPr>
        <w:tabs>
          <w:tab w:val="left" w:pos="284"/>
          <w:tab w:val="left" w:pos="426"/>
        </w:tabs>
        <w:spacing w:line="360" w:lineRule="auto"/>
        <w:ind w:left="993"/>
        <w:jc w:val="both"/>
        <w:rPr>
          <w:rFonts w:ascii="Palatino Linotype" w:hAnsi="Palatino Linotype"/>
          <w:b/>
          <w:color w:val="000000" w:themeColor="text1"/>
          <w:szCs w:val="22"/>
        </w:rPr>
      </w:pPr>
      <w:r w:rsidRPr="00070A6C">
        <w:rPr>
          <w:rFonts w:ascii="Palatino Linotype" w:hAnsi="Palatino Linotype"/>
          <w:b/>
          <w:color w:val="000000" w:themeColor="text1"/>
          <w:szCs w:val="22"/>
        </w:rPr>
        <w:t>321 - C. México Sin Corrupción - Unidad de Transparencia - 0321.pdf</w:t>
      </w:r>
      <w:r>
        <w:rPr>
          <w:rFonts w:ascii="Palatino Linotype" w:hAnsi="Palatino Linotype"/>
          <w:b/>
          <w:color w:val="000000" w:themeColor="text1"/>
          <w:szCs w:val="22"/>
        </w:rPr>
        <w:t xml:space="preserve">: </w:t>
      </w:r>
      <w:r w:rsidRPr="00070A6C">
        <w:rPr>
          <w:rFonts w:ascii="Palatino Linotype" w:hAnsi="Palatino Linotype"/>
          <w:color w:val="000000" w:themeColor="text1"/>
          <w:szCs w:val="22"/>
        </w:rPr>
        <w:t>Oficio SEDESEM/UT/321/2022 suscrito por el Titular de la Unidad de Transparencia mediante el cual refiere que se realizó una búsqueda en las Direcciones Generales sin que se haya identificado que el Ciudadano Eduardo Flores forme parte del Comité de Admisión y seguimiento de los programas sociales, por lo que no es posible proporcionar la información requerida.</w:t>
      </w:r>
    </w:p>
    <w:p w14:paraId="0BA292EE" w14:textId="77777777" w:rsidR="00070A6C" w:rsidRDefault="00070A6C" w:rsidP="00070A6C">
      <w:pPr>
        <w:pStyle w:val="Prrafodelista"/>
        <w:tabs>
          <w:tab w:val="left" w:pos="284"/>
          <w:tab w:val="left" w:pos="426"/>
        </w:tabs>
        <w:spacing w:line="360" w:lineRule="auto"/>
        <w:ind w:left="993"/>
        <w:jc w:val="both"/>
        <w:rPr>
          <w:rFonts w:ascii="Palatino Linotype" w:hAnsi="Palatino Linotype"/>
          <w:b/>
          <w:color w:val="000000" w:themeColor="text1"/>
          <w:szCs w:val="22"/>
        </w:rPr>
      </w:pPr>
    </w:p>
    <w:p w14:paraId="272B63B3" w14:textId="0E39D597"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070A6C">
        <w:rPr>
          <w:rFonts w:ascii="Palatino Linotype" w:eastAsia="Times New Roman" w:hAnsi="Palatino Linotype" w:cs="Arial"/>
          <w:color w:val="000000" w:themeColor="text1"/>
          <w:lang w:val="es-ES"/>
        </w:rPr>
        <w:t>veintiocho</w:t>
      </w:r>
      <w:r w:rsidR="002D6CF5" w:rsidRPr="00A0054B">
        <w:rPr>
          <w:rFonts w:ascii="Palatino Linotype" w:eastAsia="Times New Roman" w:hAnsi="Palatino Linotype" w:cs="Arial"/>
          <w:color w:val="000000" w:themeColor="text1"/>
          <w:lang w:val="es-ES"/>
        </w:rPr>
        <w:t xml:space="preserve"> (</w:t>
      </w:r>
      <w:r w:rsidR="00070A6C">
        <w:rPr>
          <w:rFonts w:ascii="Palatino Linotype" w:eastAsia="Times New Roman" w:hAnsi="Palatino Linotype" w:cs="Arial"/>
          <w:color w:val="000000" w:themeColor="text1"/>
          <w:lang w:val="es-ES"/>
        </w:rPr>
        <w:t>28</w:t>
      </w:r>
      <w:r w:rsidR="007A078A" w:rsidRPr="00A0054B">
        <w:rPr>
          <w:rFonts w:ascii="Palatino Linotype" w:eastAsia="Times New Roman" w:hAnsi="Palatino Linotype" w:cs="Arial"/>
          <w:color w:val="000000" w:themeColor="text1"/>
          <w:lang w:val="es-ES"/>
        </w:rPr>
        <w:t xml:space="preserve">) de </w:t>
      </w:r>
      <w:r w:rsidR="00070A6C">
        <w:rPr>
          <w:rFonts w:ascii="Palatino Linotype" w:eastAsia="Times New Roman" w:hAnsi="Palatino Linotype" w:cs="Arial"/>
          <w:color w:val="000000" w:themeColor="text1"/>
          <w:lang w:val="es-ES"/>
        </w:rPr>
        <w:t>septiembre</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C071E8" w:rsidRPr="00C071E8">
        <w:rPr>
          <w:rFonts w:ascii="Palatino Linotype" w:eastAsia="Calibri" w:hAnsi="Palatino Linotype" w:cs="Arial"/>
          <w:b/>
          <w:lang w:val="es-ES"/>
        </w:rPr>
        <w:t>15168</w:t>
      </w:r>
      <w:r w:rsidR="00C071E8" w:rsidRPr="00C071E8">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7D50B51" w:rsidR="00E34622" w:rsidRPr="00413D35" w:rsidRDefault="00E34622" w:rsidP="00070A6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070A6C" w:rsidRPr="00070A6C">
        <w:rPr>
          <w:rFonts w:ascii="Palatino Linotype" w:eastAsia="Times New Roman" w:hAnsi="Palatino Linotype" w:cs="Arial"/>
          <w:i/>
          <w:color w:val="000000" w:themeColor="text1"/>
          <w:sz w:val="22"/>
          <w:lang w:val="es-ES"/>
        </w:rPr>
        <w:t>respuesta</w:t>
      </w:r>
      <w:r w:rsidR="007E5EC6" w:rsidRPr="007E5EC6">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75512FAD" w:rsidR="00901BB1" w:rsidRDefault="00901BB1" w:rsidP="00070A6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070A6C" w:rsidRPr="00070A6C">
        <w:rPr>
          <w:rFonts w:ascii="Palatino Linotype" w:eastAsia="Times New Roman" w:hAnsi="Palatino Linotype" w:cs="Arial"/>
          <w:i/>
          <w:color w:val="000000" w:themeColor="text1"/>
          <w:sz w:val="22"/>
          <w:lang w:val="es-ES"/>
        </w:rPr>
        <w:t>niegan la informacion pese a existe el servidor publico remito el link donde aparece el nombre y cargo https://www.publimetro.com.mx/noticias/2022/06/20/salario-rosa-proyecto-insignia-senalado-como-estructura-clientelar-en-el-edomex/</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41C08BA"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070A6C">
        <w:rPr>
          <w:rFonts w:ascii="Palatino Linotype" w:eastAsia="Calibri" w:hAnsi="Palatino Linotype" w:cs="Arial"/>
          <w:color w:val="000000" w:themeColor="text1"/>
          <w:lang w:val="es-ES"/>
        </w:rPr>
        <w:t>tres</w:t>
      </w:r>
      <w:r w:rsidR="00BD6C40" w:rsidRPr="00A0054B">
        <w:rPr>
          <w:rFonts w:ascii="Palatino Linotype" w:eastAsia="Calibri" w:hAnsi="Palatino Linotype" w:cs="Arial"/>
          <w:color w:val="000000" w:themeColor="text1"/>
          <w:lang w:val="es-ES"/>
        </w:rPr>
        <w:t xml:space="preserve"> (</w:t>
      </w:r>
      <w:r w:rsidR="00070A6C">
        <w:rPr>
          <w:rFonts w:ascii="Palatino Linotype" w:eastAsia="Calibri" w:hAnsi="Palatino Linotype" w:cs="Arial"/>
          <w:color w:val="000000" w:themeColor="text1"/>
          <w:lang w:val="es-ES"/>
        </w:rPr>
        <w:t>3</w:t>
      </w:r>
      <w:r w:rsidR="00BD6C40" w:rsidRPr="00A0054B">
        <w:rPr>
          <w:rFonts w:ascii="Palatino Linotype" w:eastAsia="Calibri" w:hAnsi="Palatino Linotype" w:cs="Arial"/>
          <w:color w:val="000000" w:themeColor="text1"/>
          <w:lang w:val="es-ES"/>
        </w:rPr>
        <w:t xml:space="preserve">) de </w:t>
      </w:r>
      <w:r w:rsidR="00070A6C">
        <w:rPr>
          <w:rFonts w:ascii="Palatino Linotype" w:eastAsia="Calibri" w:hAnsi="Palatino Linotype" w:cs="Arial"/>
          <w:color w:val="000000" w:themeColor="text1"/>
          <w:lang w:val="es-ES"/>
        </w:rPr>
        <w:t>octubre</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2E2A1BD5" w14:textId="7E5F124A" w:rsidR="00D955B9" w:rsidRPr="00070A6C" w:rsidRDefault="00AE0CDF" w:rsidP="00070A6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las constancias que obran en el expediente electrónico del SAIMEX, se aprecia que</w:t>
      </w:r>
      <w:r w:rsidR="005F396F">
        <w:rPr>
          <w:rFonts w:ascii="Palatino Linotype" w:eastAsia="Calibri" w:hAnsi="Palatino Linotype" w:cs="Arial"/>
          <w:color w:val="000000" w:themeColor="text1"/>
          <w:lang w:val="es-ES"/>
        </w:rPr>
        <w:t xml:space="preserve">, </w:t>
      </w:r>
      <w:r w:rsidR="00FB63DD">
        <w:rPr>
          <w:rFonts w:ascii="Palatino Linotype" w:eastAsia="Calibri" w:hAnsi="Palatino Linotype" w:cs="Arial"/>
          <w:color w:val="000000" w:themeColor="text1"/>
          <w:lang w:val="es-ES"/>
        </w:rPr>
        <w:t>el</w:t>
      </w:r>
      <w:r w:rsidR="005F396F">
        <w:rPr>
          <w:rFonts w:ascii="Palatino Linotype" w:eastAsia="Calibri" w:hAnsi="Palatino Linotype" w:cs="Arial"/>
          <w:color w:val="000000" w:themeColor="text1"/>
          <w:lang w:val="es-ES"/>
        </w:rPr>
        <w:t xml:space="preserve"> Sujeto Obligado</w:t>
      </w:r>
      <w:r w:rsidR="00D2342C">
        <w:rPr>
          <w:rFonts w:ascii="Palatino Linotype" w:eastAsia="Calibri" w:hAnsi="Palatino Linotype" w:cs="Arial"/>
          <w:color w:val="000000" w:themeColor="text1"/>
          <w:lang w:val="es-ES"/>
        </w:rPr>
        <w:t xml:space="preserve">, el </w:t>
      </w:r>
      <w:r w:rsidR="00070A6C">
        <w:rPr>
          <w:rFonts w:ascii="Palatino Linotype" w:eastAsia="Calibri" w:hAnsi="Palatino Linotype" w:cs="Arial"/>
          <w:color w:val="000000" w:themeColor="text1"/>
          <w:lang w:val="es-ES"/>
        </w:rPr>
        <w:t>diez</w:t>
      </w:r>
      <w:r w:rsidR="00FB63DD">
        <w:rPr>
          <w:rFonts w:ascii="Palatino Linotype" w:eastAsia="Calibri" w:hAnsi="Palatino Linotype" w:cs="Arial"/>
          <w:color w:val="000000" w:themeColor="text1"/>
          <w:lang w:val="es-ES"/>
        </w:rPr>
        <w:t xml:space="preserve"> (</w:t>
      </w:r>
      <w:r w:rsidR="00070A6C">
        <w:rPr>
          <w:rFonts w:ascii="Palatino Linotype" w:eastAsia="Calibri" w:hAnsi="Palatino Linotype" w:cs="Arial"/>
          <w:color w:val="000000" w:themeColor="text1"/>
          <w:lang w:val="es-ES"/>
        </w:rPr>
        <w:t>10</w:t>
      </w:r>
      <w:r w:rsidR="00FB63DD">
        <w:rPr>
          <w:rFonts w:ascii="Palatino Linotype" w:eastAsia="Calibri" w:hAnsi="Palatino Linotype" w:cs="Arial"/>
          <w:color w:val="000000" w:themeColor="text1"/>
          <w:lang w:val="es-ES"/>
        </w:rPr>
        <w:t xml:space="preserve">) de </w:t>
      </w:r>
      <w:r w:rsidR="00070A6C">
        <w:rPr>
          <w:rFonts w:ascii="Palatino Linotype" w:eastAsia="Calibri" w:hAnsi="Palatino Linotype" w:cs="Arial"/>
          <w:color w:val="000000" w:themeColor="text1"/>
          <w:lang w:val="es-ES"/>
        </w:rPr>
        <w:t>octubre</w:t>
      </w:r>
      <w:r w:rsidR="00FB63DD">
        <w:rPr>
          <w:rFonts w:ascii="Palatino Linotype" w:eastAsia="Calibri" w:hAnsi="Palatino Linotype" w:cs="Arial"/>
          <w:color w:val="000000" w:themeColor="text1"/>
          <w:lang w:val="es-ES"/>
        </w:rPr>
        <w:t xml:space="preserve"> de dos mil veintidós, remitió </w:t>
      </w:r>
      <w:r w:rsidR="00FB63DD">
        <w:rPr>
          <w:rFonts w:ascii="Palatino Linotype" w:eastAsia="Calibri" w:hAnsi="Palatino Linotype" w:cs="Arial"/>
          <w:color w:val="000000" w:themeColor="text1"/>
          <w:lang w:val="es-ES"/>
        </w:rPr>
        <w:lastRenderedPageBreak/>
        <w:t xml:space="preserve">su </w:t>
      </w:r>
      <w:r w:rsidR="00D2342C">
        <w:rPr>
          <w:rFonts w:ascii="Palatino Linotype" w:eastAsia="Calibri" w:hAnsi="Palatino Linotype" w:cs="Arial"/>
          <w:color w:val="000000" w:themeColor="text1"/>
          <w:lang w:val="es-ES"/>
        </w:rPr>
        <w:t>informe justificado a través de</w:t>
      </w:r>
      <w:r w:rsidR="00FB63DD">
        <w:rPr>
          <w:rFonts w:ascii="Palatino Linotype" w:eastAsia="Calibri" w:hAnsi="Palatino Linotype" w:cs="Arial"/>
          <w:color w:val="000000" w:themeColor="text1"/>
          <w:lang w:val="es-ES"/>
        </w:rPr>
        <w:t>l</w:t>
      </w:r>
      <w:r w:rsidR="00D2342C">
        <w:rPr>
          <w:rFonts w:ascii="Palatino Linotype" w:eastAsia="Calibri" w:hAnsi="Palatino Linotype" w:cs="Arial"/>
          <w:color w:val="000000" w:themeColor="text1"/>
          <w:lang w:val="es-ES"/>
        </w:rPr>
        <w:t xml:space="preserve"> documento electrónico denominado</w:t>
      </w:r>
      <w:r w:rsidR="00FB63DD">
        <w:rPr>
          <w:rFonts w:ascii="Palatino Linotype" w:eastAsia="Calibri" w:hAnsi="Palatino Linotype" w:cs="Arial"/>
          <w:color w:val="000000" w:themeColor="text1"/>
          <w:lang w:val="es-ES"/>
        </w:rPr>
        <w:t xml:space="preserve"> </w:t>
      </w:r>
      <w:r w:rsidR="00070A6C" w:rsidRPr="00070A6C">
        <w:rPr>
          <w:rFonts w:ascii="Palatino Linotype" w:eastAsia="Calibri" w:hAnsi="Palatino Linotype" w:cs="Arial"/>
          <w:b/>
          <w:i/>
          <w:color w:val="000000" w:themeColor="text1"/>
          <w:lang w:val="es-ES"/>
        </w:rPr>
        <w:t>321 - C. México Sin Corrupción - Unidad de Transparencia - Informe Justificado - 0321.pd</w:t>
      </w:r>
      <w:r w:rsidR="00070A6C">
        <w:rPr>
          <w:rFonts w:ascii="Palatino Linotype" w:eastAsia="Calibri" w:hAnsi="Palatino Linotype" w:cs="Arial"/>
          <w:b/>
          <w:i/>
          <w:color w:val="000000" w:themeColor="text1"/>
          <w:lang w:val="es-ES"/>
        </w:rPr>
        <w:t xml:space="preserve">f, </w:t>
      </w:r>
      <w:r w:rsidR="00070A6C">
        <w:rPr>
          <w:rFonts w:ascii="Palatino Linotype" w:eastAsia="Calibri" w:hAnsi="Palatino Linotype" w:cs="Arial"/>
          <w:color w:val="000000" w:themeColor="text1"/>
          <w:lang w:val="es-ES"/>
        </w:rPr>
        <w:t xml:space="preserve">el cual </w:t>
      </w:r>
      <w:r w:rsidR="00D955B9" w:rsidRPr="00070A6C">
        <w:rPr>
          <w:rFonts w:ascii="Palatino Linotype" w:eastAsia="Calibri" w:hAnsi="Palatino Linotype" w:cs="Arial"/>
          <w:color w:val="000000" w:themeColor="text1"/>
          <w:lang w:val="es-ES"/>
        </w:rPr>
        <w:t xml:space="preserve">se pusieron a la vista del particular el </w:t>
      </w:r>
      <w:r w:rsidR="00070A6C">
        <w:rPr>
          <w:rFonts w:ascii="Palatino Linotype" w:eastAsia="Calibri" w:hAnsi="Palatino Linotype" w:cs="Arial"/>
          <w:color w:val="000000" w:themeColor="text1"/>
          <w:lang w:val="es-ES"/>
        </w:rPr>
        <w:t>once</w:t>
      </w:r>
      <w:r w:rsidR="00D955B9" w:rsidRPr="00070A6C">
        <w:rPr>
          <w:rFonts w:ascii="Palatino Linotype" w:eastAsia="Calibri" w:hAnsi="Palatino Linotype" w:cs="Arial"/>
          <w:color w:val="000000" w:themeColor="text1"/>
          <w:lang w:val="es-ES"/>
        </w:rPr>
        <w:t xml:space="preserve"> (1</w:t>
      </w:r>
      <w:r w:rsidR="00070A6C">
        <w:rPr>
          <w:rFonts w:ascii="Palatino Linotype" w:eastAsia="Calibri" w:hAnsi="Palatino Linotype" w:cs="Arial"/>
          <w:color w:val="000000" w:themeColor="text1"/>
          <w:lang w:val="es-ES"/>
        </w:rPr>
        <w:t>1</w:t>
      </w:r>
      <w:r w:rsidR="00D955B9" w:rsidRPr="00070A6C">
        <w:rPr>
          <w:rFonts w:ascii="Palatino Linotype" w:eastAsia="Calibri" w:hAnsi="Palatino Linotype" w:cs="Arial"/>
          <w:color w:val="000000" w:themeColor="text1"/>
          <w:lang w:val="es-ES"/>
        </w:rPr>
        <w:t xml:space="preserve">) de </w:t>
      </w:r>
      <w:r w:rsidR="00070A6C">
        <w:rPr>
          <w:rFonts w:ascii="Palatino Linotype" w:eastAsia="Calibri" w:hAnsi="Palatino Linotype" w:cs="Arial"/>
          <w:color w:val="000000" w:themeColor="text1"/>
          <w:lang w:val="es-ES"/>
        </w:rPr>
        <w:t>enero</w:t>
      </w:r>
      <w:r w:rsidR="00D955B9" w:rsidRPr="00070A6C">
        <w:rPr>
          <w:rFonts w:ascii="Palatino Linotype" w:eastAsia="Calibri" w:hAnsi="Palatino Linotype" w:cs="Arial"/>
          <w:color w:val="000000" w:themeColor="text1"/>
          <w:lang w:val="es-ES"/>
        </w:rPr>
        <w:t xml:space="preserve"> de dos mil veinti</w:t>
      </w:r>
      <w:r w:rsidR="00070A6C">
        <w:rPr>
          <w:rFonts w:ascii="Palatino Linotype" w:eastAsia="Calibri" w:hAnsi="Palatino Linotype" w:cs="Arial"/>
          <w:color w:val="000000" w:themeColor="text1"/>
          <w:lang w:val="es-ES"/>
        </w:rPr>
        <w:t>trés</w:t>
      </w:r>
      <w:r w:rsidR="00D955B9" w:rsidRPr="00070A6C">
        <w:rPr>
          <w:rFonts w:ascii="Palatino Linotype" w:eastAsia="Calibri" w:hAnsi="Palatino Linotype" w:cs="Arial"/>
          <w:color w:val="000000" w:themeColor="text1"/>
          <w:lang w:val="es-ES"/>
        </w:rPr>
        <w:t>; no obstante, se inserta su contenido medular, siendo el siguiente:</w:t>
      </w:r>
    </w:p>
    <w:p w14:paraId="689F34FB" w14:textId="77777777" w:rsidR="00D955B9" w:rsidRDefault="00D955B9" w:rsidP="00D955B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66D8E08" w14:textId="6FB94B0D" w:rsidR="00070A6C" w:rsidRPr="00070A6C" w:rsidRDefault="00070A6C" w:rsidP="00070A6C">
      <w:pPr>
        <w:pStyle w:val="Prrafodelista"/>
        <w:numPr>
          <w:ilvl w:val="0"/>
          <w:numId w:val="20"/>
        </w:numPr>
        <w:tabs>
          <w:tab w:val="left" w:pos="426"/>
        </w:tabs>
        <w:spacing w:line="360" w:lineRule="auto"/>
        <w:jc w:val="both"/>
        <w:rPr>
          <w:rFonts w:ascii="Palatino Linotype" w:eastAsia="Calibri" w:hAnsi="Palatino Linotype" w:cs="Arial"/>
          <w:color w:val="000000" w:themeColor="text1"/>
          <w:lang w:val="es-ES"/>
        </w:rPr>
      </w:pPr>
      <w:r w:rsidRPr="00070A6C">
        <w:rPr>
          <w:rFonts w:ascii="Palatino Linotype" w:eastAsia="Calibri" w:hAnsi="Palatino Linotype" w:cs="Arial"/>
          <w:b/>
          <w:i/>
          <w:color w:val="000000" w:themeColor="text1"/>
          <w:lang w:val="es-ES"/>
        </w:rPr>
        <w:t>321 - C. México Sin Corrupción - Unidad de Transparencia - Informe Justificado - 0321.pdf</w:t>
      </w:r>
      <w:r>
        <w:rPr>
          <w:rFonts w:ascii="Palatino Linotype" w:eastAsia="Calibri" w:hAnsi="Palatino Linotype" w:cs="Arial"/>
          <w:b/>
          <w:i/>
          <w:color w:val="000000" w:themeColor="text1"/>
          <w:lang w:val="es-ES"/>
        </w:rPr>
        <w:t xml:space="preserve">: </w:t>
      </w:r>
      <w:r>
        <w:rPr>
          <w:rFonts w:ascii="Palatino Linotype" w:eastAsia="Calibri" w:hAnsi="Palatino Linotype" w:cs="Arial"/>
          <w:color w:val="000000" w:themeColor="text1"/>
          <w:lang w:val="es-ES"/>
        </w:rPr>
        <w:t xml:space="preserve">Documento suscrito por el Jefe de la Unidad de Planeación, Programación y Evaluación y Titular de la Unidad de Transparencia, mediante el cual </w:t>
      </w:r>
      <w:r w:rsidR="008943B9">
        <w:rPr>
          <w:rFonts w:ascii="Palatino Linotype" w:eastAsia="Calibri" w:hAnsi="Palatino Linotype" w:cs="Arial"/>
          <w:color w:val="000000" w:themeColor="text1"/>
          <w:lang w:val="es-ES"/>
        </w:rPr>
        <w:t>refiere que el recurso de revisión no actualiza ninguna causal del artículo 179 de la Ley de Transparencia y Acceso a la Información Pública del Estado de México y Municipios, solicitando a su vez que el recurso de revisión sea sobreseído, o bien, se confirme la respuesta proporcionada.</w:t>
      </w:r>
    </w:p>
    <w:p w14:paraId="19CE776F" w14:textId="77777777" w:rsidR="00D955B9" w:rsidRPr="00D955B9" w:rsidRDefault="00D955B9" w:rsidP="00D955B9">
      <w:pPr>
        <w:pStyle w:val="Prrafodelista"/>
        <w:rPr>
          <w:rFonts w:ascii="Palatino Linotype" w:eastAsia="Calibri" w:hAnsi="Palatino Linotype" w:cs="Arial"/>
          <w:color w:val="000000" w:themeColor="text1"/>
          <w:lang w:val="es-ES"/>
        </w:rPr>
      </w:pPr>
    </w:p>
    <w:p w14:paraId="3001AA57" w14:textId="41720656" w:rsidR="008965EF" w:rsidRPr="00BB219F"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5252F">
        <w:rPr>
          <w:rFonts w:ascii="Palatino Linotype" w:hAnsi="Palatino Linotype" w:cs="Arial"/>
          <w:color w:val="000000" w:themeColor="text1"/>
        </w:rPr>
        <w:t xml:space="preserve">El </w:t>
      </w:r>
      <w:r w:rsidR="008943B9">
        <w:rPr>
          <w:rFonts w:ascii="Palatino Linotype" w:hAnsi="Palatino Linotype" w:cs="Arial"/>
          <w:color w:val="000000" w:themeColor="text1"/>
        </w:rPr>
        <w:t>diecisiete</w:t>
      </w:r>
      <w:r w:rsidR="000152B8" w:rsidRPr="0055252F">
        <w:rPr>
          <w:rFonts w:ascii="Palatino Linotype" w:hAnsi="Palatino Linotype" w:cs="Arial"/>
          <w:color w:val="000000" w:themeColor="text1"/>
        </w:rPr>
        <w:t xml:space="preserve"> (</w:t>
      </w:r>
      <w:r w:rsidR="008943B9">
        <w:rPr>
          <w:rFonts w:ascii="Palatino Linotype" w:hAnsi="Palatino Linotype" w:cs="Arial"/>
          <w:color w:val="000000" w:themeColor="text1"/>
        </w:rPr>
        <w:t>17</w:t>
      </w:r>
      <w:r w:rsidR="000152B8" w:rsidRPr="0055252F">
        <w:rPr>
          <w:rFonts w:ascii="Palatino Linotype" w:hAnsi="Palatino Linotype" w:cs="Arial"/>
          <w:color w:val="000000" w:themeColor="text1"/>
        </w:rPr>
        <w:t xml:space="preserve">) de </w:t>
      </w:r>
      <w:r w:rsidR="008943B9">
        <w:rPr>
          <w:rFonts w:ascii="Palatino Linotype" w:hAnsi="Palatino Linotype" w:cs="Arial"/>
          <w:color w:val="000000" w:themeColor="text1"/>
        </w:rPr>
        <w:t>enero</w:t>
      </w:r>
      <w:r w:rsidR="00E23CA4" w:rsidRPr="0055252F">
        <w:rPr>
          <w:rFonts w:ascii="Palatino Linotype" w:hAnsi="Palatino Linotype" w:cs="Arial"/>
          <w:color w:val="000000" w:themeColor="text1"/>
        </w:rPr>
        <w:t xml:space="preserve"> de dos mil veintidós, </w:t>
      </w:r>
      <w:r w:rsidR="00041DCC" w:rsidRPr="0055252F">
        <w:rPr>
          <w:rFonts w:ascii="Palatino Linotype" w:hAnsi="Palatino Linotype" w:cs="Arial"/>
          <w:color w:val="000000" w:themeColor="text1"/>
        </w:rPr>
        <w:t>la Comisionada Ponente de</w:t>
      </w:r>
      <w:r w:rsidR="0055252F" w:rsidRPr="0055252F">
        <w:rPr>
          <w:rFonts w:ascii="Palatino Linotype" w:hAnsi="Palatino Linotype" w:cs="Arial"/>
          <w:color w:val="000000" w:themeColor="text1"/>
        </w:rPr>
        <w:t xml:space="preserve">cretó el cierre de instrucción, asimismo, se </w:t>
      </w:r>
      <w:r w:rsidR="00374B45" w:rsidRPr="0055252F">
        <w:rPr>
          <w:rFonts w:ascii="Palatino Linotype" w:hAnsi="Palatino Linotype" w:cs="Arial"/>
          <w:color w:val="000000" w:themeColor="text1"/>
        </w:rPr>
        <w:t>notificó el acuerdo mediante el cual se amplió el plazo para emitir resolución,</w:t>
      </w:r>
      <w:r w:rsidR="00AD6AC5" w:rsidRPr="0055252F">
        <w:rPr>
          <w:rFonts w:ascii="Palatino Linotype" w:hAnsi="Palatino Linotype" w:cs="Arial"/>
          <w:color w:val="000000" w:themeColor="text1"/>
        </w:rPr>
        <w:t xml:space="preserve"> por lo que ordenó turnar el expediente para su resolución, misma que ahora se pronuncia</w:t>
      </w:r>
      <w:r w:rsidR="00BB219F">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CF4E75">
        <w:rPr>
          <w:rFonts w:ascii="Palatino Linotype" w:hAnsi="Palatino Linotype"/>
        </w:rPr>
        <w:lastRenderedPageBreak/>
        <w:t>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lastRenderedPageBreak/>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1B3E61">
        <w:rPr>
          <w:rFonts w:ascii="Palatino Linotype" w:hAnsi="Palatino Linotype"/>
          <w:b/>
          <w:color w:val="000000" w:themeColor="text1"/>
          <w:sz w:val="24"/>
        </w:rPr>
        <w:t>PRIMERO. De la competencia</w:t>
      </w:r>
      <w:bookmarkEnd w:id="7"/>
      <w:bookmarkEnd w:id="8"/>
      <w:bookmarkEnd w:id="9"/>
    </w:p>
    <w:p w14:paraId="60FBD8C7" w14:textId="77777777" w:rsidR="00FC1DA7" w:rsidRPr="001B3E61" w:rsidRDefault="00FC1DA7" w:rsidP="00B31E90">
      <w:pPr>
        <w:rPr>
          <w:rFonts w:ascii="Palatino Linotype" w:hAnsi="Palatino Linotype"/>
          <w:color w:val="000000" w:themeColor="text1"/>
          <w:lang w:eastAsia="en-US"/>
        </w:rPr>
      </w:pPr>
    </w:p>
    <w:p w14:paraId="0BF52B18" w14:textId="515C3AEB" w:rsidR="005A228F" w:rsidRPr="001B3E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B3E6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B3E61">
        <w:rPr>
          <w:rFonts w:ascii="Palatino Linotype" w:eastAsia="Calibri" w:hAnsi="Palatino Linotype" w:cs="Times New Roman"/>
          <w:color w:val="000000" w:themeColor="text1"/>
          <w:lang w:val="es-ES"/>
        </w:rPr>
        <w:t xml:space="preserve">etente para conocer y resolver </w:t>
      </w:r>
      <w:r w:rsidRPr="001B3E61">
        <w:rPr>
          <w:rFonts w:ascii="Palatino Linotype" w:eastAsia="Calibri" w:hAnsi="Palatino Linotype" w:cs="Times New Roman"/>
          <w:color w:val="000000" w:themeColor="text1"/>
          <w:lang w:val="es-ES"/>
        </w:rPr>
        <w:t xml:space="preserve">el presente recurso de conformidad con el artículo: 6, apartado A, fracción IV de la </w:t>
      </w:r>
      <w:r w:rsidRPr="001B3E61">
        <w:rPr>
          <w:rFonts w:ascii="Palatino Linotype" w:eastAsia="Calibri" w:hAnsi="Palatino Linotype" w:cs="Times New Roman"/>
          <w:b/>
          <w:color w:val="000000" w:themeColor="text1"/>
          <w:lang w:val="es-ES"/>
        </w:rPr>
        <w:t>Constitución Política de los Estados Unidos Mexicanos</w:t>
      </w:r>
      <w:r w:rsidRPr="001B3E61">
        <w:rPr>
          <w:rFonts w:ascii="Palatino Linotype" w:eastAsia="Calibri" w:hAnsi="Palatino Linotype" w:cs="Times New Roman"/>
          <w:color w:val="000000" w:themeColor="text1"/>
          <w:lang w:val="es-ES"/>
        </w:rPr>
        <w:t xml:space="preserve">; 5, párrafos </w:t>
      </w:r>
      <w:r w:rsidR="000B7C4F" w:rsidRPr="001B3E61">
        <w:rPr>
          <w:rFonts w:ascii="Palatino Linotype" w:eastAsia="Calibri" w:hAnsi="Palatino Linotype" w:cs="Times New Roman"/>
          <w:color w:val="000000" w:themeColor="text1"/>
          <w:lang w:val="es-ES"/>
        </w:rPr>
        <w:t>trigésimo, trigésimo primero y trigésimo segundo</w:t>
      </w:r>
      <w:r w:rsidR="004F785F" w:rsidRPr="001B3E61">
        <w:rPr>
          <w:rFonts w:ascii="Palatino Linotype" w:eastAsia="Calibri" w:hAnsi="Palatino Linotype" w:cs="Times New Roman"/>
          <w:color w:val="000000" w:themeColor="text1"/>
          <w:lang w:val="es-ES"/>
        </w:rPr>
        <w:t>,</w:t>
      </w:r>
      <w:r w:rsidRPr="001B3E61">
        <w:rPr>
          <w:rFonts w:ascii="Palatino Linotype" w:eastAsia="Calibri" w:hAnsi="Palatino Linotype" w:cs="Times New Roman"/>
          <w:color w:val="000000" w:themeColor="text1"/>
          <w:lang w:val="es-ES"/>
        </w:rPr>
        <w:t xml:space="preserve"> fracciones IV y V</w:t>
      </w:r>
      <w:r w:rsidR="004F785F" w:rsidRPr="001B3E61">
        <w:rPr>
          <w:rFonts w:ascii="Palatino Linotype" w:eastAsia="Calibri" w:hAnsi="Palatino Linotype" w:cs="Times New Roman"/>
          <w:color w:val="000000" w:themeColor="text1"/>
          <w:lang w:val="es-ES"/>
        </w:rPr>
        <w:t>,</w:t>
      </w:r>
      <w:r w:rsidRPr="001B3E61">
        <w:rPr>
          <w:rFonts w:ascii="Palatino Linotype" w:eastAsia="Calibri" w:hAnsi="Palatino Linotype" w:cs="Times New Roman"/>
          <w:color w:val="000000" w:themeColor="text1"/>
          <w:lang w:val="es-ES"/>
        </w:rPr>
        <w:t xml:space="preserve"> de la </w:t>
      </w:r>
      <w:r w:rsidRPr="001B3E61">
        <w:rPr>
          <w:rFonts w:ascii="Palatino Linotype" w:eastAsia="Calibri" w:hAnsi="Palatino Linotype" w:cs="Times New Roman"/>
          <w:b/>
          <w:color w:val="000000" w:themeColor="text1"/>
          <w:lang w:val="es-ES"/>
        </w:rPr>
        <w:t>Constitución Política del Estado Libre y Soberano de México</w:t>
      </w:r>
      <w:r w:rsidRPr="001B3E6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B3E61">
        <w:rPr>
          <w:rFonts w:ascii="Palatino Linotype" w:eastAsia="Calibri" w:hAnsi="Palatino Linotype" w:cs="Arial"/>
          <w:color w:val="000000" w:themeColor="text1"/>
          <w:lang w:val="es-ES"/>
        </w:rPr>
        <w:t xml:space="preserve">de la </w:t>
      </w:r>
      <w:r w:rsidRPr="001B3E61">
        <w:rPr>
          <w:rFonts w:ascii="Palatino Linotype" w:eastAsia="Calibri" w:hAnsi="Palatino Linotype" w:cs="Arial"/>
          <w:b/>
          <w:color w:val="000000" w:themeColor="text1"/>
          <w:lang w:val="es-ES"/>
        </w:rPr>
        <w:t>Ley de Transparencia y Acceso a la Información Pública del Estado de México y Municipios</w:t>
      </w:r>
      <w:r w:rsidRPr="001B3E61">
        <w:rPr>
          <w:rFonts w:ascii="Palatino Linotype" w:eastAsia="Calibri" w:hAnsi="Palatino Linotype" w:cs="Arial"/>
          <w:color w:val="000000" w:themeColor="text1"/>
          <w:lang w:val="es-ES"/>
        </w:rPr>
        <w:t xml:space="preserve">; y 10, 7, 9 fracciones I y XXIV, y 11 del </w:t>
      </w:r>
      <w:r w:rsidRPr="001B3E6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B3E6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10"/>
      <w:bookmarkEnd w:id="11"/>
      <w:bookmarkEnd w:id="12"/>
    </w:p>
    <w:p w14:paraId="18E22450" w14:textId="77777777" w:rsidR="00C6440A" w:rsidRPr="001B3E61" w:rsidRDefault="00C6440A" w:rsidP="00B31E90">
      <w:pPr>
        <w:rPr>
          <w:color w:val="000000" w:themeColor="text1"/>
          <w:lang w:eastAsia="en-US"/>
        </w:rPr>
      </w:pPr>
    </w:p>
    <w:p w14:paraId="7D631690" w14:textId="7F45A48A"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8943B9">
        <w:rPr>
          <w:rFonts w:ascii="Palatino Linotype" w:eastAsia="Calibri" w:hAnsi="Palatino Linotype" w:cs="Arial"/>
          <w:color w:val="000000" w:themeColor="text1"/>
        </w:rPr>
        <w:t>diecinueve</w:t>
      </w:r>
      <w:r w:rsidR="00F778B2" w:rsidRPr="001B3E61">
        <w:rPr>
          <w:rFonts w:ascii="Palatino Linotype" w:eastAsia="Calibri" w:hAnsi="Palatino Linotype" w:cs="Arial"/>
          <w:color w:val="000000" w:themeColor="text1"/>
        </w:rPr>
        <w:t xml:space="preserve"> (</w:t>
      </w:r>
      <w:r w:rsidR="008943B9">
        <w:rPr>
          <w:rFonts w:ascii="Palatino Linotype" w:eastAsia="Calibri" w:hAnsi="Palatino Linotype" w:cs="Arial"/>
          <w:color w:val="000000" w:themeColor="text1"/>
        </w:rPr>
        <w:t>19</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8943B9">
        <w:rPr>
          <w:rFonts w:ascii="Palatino Linotype" w:eastAsia="Calibri" w:hAnsi="Palatino Linotype" w:cs="Arial"/>
          <w:color w:val="000000" w:themeColor="text1"/>
        </w:rPr>
        <w:t>septiembre</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1B32B2" w:rsidRPr="001B3E61">
        <w:rPr>
          <w:rFonts w:ascii="Palatino Linotype" w:eastAsia="Calibri" w:hAnsi="Palatino Linotype" w:cs="Arial"/>
          <w:color w:val="000000" w:themeColor="text1"/>
        </w:rPr>
        <w:t>dós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8943B9">
        <w:rPr>
          <w:rFonts w:ascii="Palatino Linotype" w:eastAsia="Calibri" w:hAnsi="Palatino Linotype" w:cs="Arial"/>
          <w:color w:val="000000" w:themeColor="text1"/>
        </w:rPr>
        <w:t>veinte</w:t>
      </w:r>
      <w:r w:rsidR="009A3B2B" w:rsidRPr="001B3E61">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8943B9">
        <w:rPr>
          <w:rFonts w:ascii="Palatino Linotype" w:eastAsia="Calibri" w:hAnsi="Palatino Linotype" w:cs="Arial"/>
          <w:color w:val="000000" w:themeColor="text1"/>
        </w:rPr>
        <w:t>20</w:t>
      </w:r>
      <w:r w:rsidR="00921375" w:rsidRPr="001B3E61">
        <w:rPr>
          <w:rFonts w:ascii="Palatino Linotype" w:eastAsia="Calibri" w:hAnsi="Palatino Linotype" w:cs="Arial"/>
          <w:color w:val="000000" w:themeColor="text1"/>
        </w:rPr>
        <w:t xml:space="preserve">) </w:t>
      </w:r>
      <w:r w:rsidR="008943B9">
        <w:rPr>
          <w:rFonts w:ascii="Palatino Linotype" w:eastAsia="Calibri" w:hAnsi="Palatino Linotype" w:cs="Arial"/>
          <w:color w:val="000000" w:themeColor="text1"/>
        </w:rPr>
        <w:t xml:space="preserve">de septiembre </w:t>
      </w:r>
      <w:r w:rsidR="002D1EBB" w:rsidRPr="001B3E61">
        <w:rPr>
          <w:rFonts w:ascii="Palatino Linotype" w:eastAsia="Calibri" w:hAnsi="Palatino Linotype" w:cs="Arial"/>
          <w:color w:val="000000" w:themeColor="text1"/>
        </w:rPr>
        <w:t xml:space="preserve">al </w:t>
      </w:r>
      <w:r w:rsidR="008943B9">
        <w:rPr>
          <w:rFonts w:ascii="Palatino Linotype" w:eastAsia="Calibri" w:hAnsi="Palatino Linotype" w:cs="Arial"/>
          <w:color w:val="000000" w:themeColor="text1"/>
        </w:rPr>
        <w:t>diez</w:t>
      </w:r>
      <w:r w:rsidR="00CC63CB" w:rsidRPr="001B3E61">
        <w:rPr>
          <w:rFonts w:ascii="Palatino Linotype" w:eastAsia="Calibri" w:hAnsi="Palatino Linotype" w:cs="Arial"/>
          <w:color w:val="000000" w:themeColor="text1"/>
        </w:rPr>
        <w:t xml:space="preserve"> (</w:t>
      </w:r>
      <w:r w:rsidR="008943B9">
        <w:rPr>
          <w:rFonts w:ascii="Palatino Linotype" w:eastAsia="Calibri" w:hAnsi="Palatino Linotype" w:cs="Arial"/>
          <w:color w:val="000000" w:themeColor="text1"/>
        </w:rPr>
        <w:t>10</w:t>
      </w:r>
      <w:r w:rsidR="00CC63CB" w:rsidRPr="001B3E61">
        <w:rPr>
          <w:rFonts w:ascii="Palatino Linotype" w:eastAsia="Calibri" w:hAnsi="Palatino Linotype" w:cs="Arial"/>
          <w:color w:val="000000" w:themeColor="text1"/>
        </w:rPr>
        <w:t xml:space="preserve">) de </w:t>
      </w:r>
      <w:r w:rsidR="008943B9">
        <w:rPr>
          <w:rFonts w:ascii="Palatino Linotype" w:eastAsia="Calibri" w:hAnsi="Palatino Linotype" w:cs="Arial"/>
          <w:color w:val="000000" w:themeColor="text1"/>
        </w:rPr>
        <w:lastRenderedPageBreak/>
        <w:t>octubre</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veintidós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8943B9">
        <w:rPr>
          <w:rFonts w:ascii="Palatino Linotype" w:hAnsi="Palatino Linotype"/>
          <w:color w:val="000000" w:themeColor="text1"/>
        </w:rPr>
        <w:t xml:space="preserve">veintiocho </w:t>
      </w:r>
      <w:r w:rsidR="00921375" w:rsidRPr="001B3E61">
        <w:rPr>
          <w:rFonts w:ascii="Palatino Linotype" w:hAnsi="Palatino Linotype"/>
          <w:color w:val="000000" w:themeColor="text1"/>
        </w:rPr>
        <w:t>(</w:t>
      </w:r>
      <w:r w:rsidR="008943B9">
        <w:rPr>
          <w:rFonts w:ascii="Palatino Linotype" w:hAnsi="Palatino Linotype"/>
          <w:color w:val="000000" w:themeColor="text1"/>
        </w:rPr>
        <w:t>28</w:t>
      </w:r>
      <w:r w:rsidR="00921375" w:rsidRPr="001B3E61">
        <w:rPr>
          <w:rFonts w:ascii="Palatino Linotype" w:hAnsi="Palatino Linotype"/>
          <w:color w:val="000000" w:themeColor="text1"/>
        </w:rPr>
        <w:t xml:space="preserve">) de </w:t>
      </w:r>
      <w:r w:rsidR="008943B9">
        <w:rPr>
          <w:rFonts w:ascii="Palatino Linotype" w:hAnsi="Palatino Linotype"/>
          <w:color w:val="000000" w:themeColor="text1"/>
        </w:rPr>
        <w:t>septiembre</w:t>
      </w:r>
      <w:r w:rsidR="00061A86" w:rsidRPr="001B3E61">
        <w:rPr>
          <w:rFonts w:ascii="Palatino Linotype" w:hAnsi="Palatino Linotype"/>
          <w:color w:val="000000" w:themeColor="text1"/>
        </w:rPr>
        <w:t xml:space="preserve"> 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34E542D1" w14:textId="6FF88359"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lo siguiente:</w:t>
      </w:r>
    </w:p>
    <w:p w14:paraId="71226947" w14:textId="77777777" w:rsidR="009A3B2B"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55EFEA9E" w14:textId="587FA29F" w:rsidR="008943B9" w:rsidRPr="004F1768" w:rsidRDefault="004F1768" w:rsidP="009E3DF8">
      <w:pPr>
        <w:pStyle w:val="Prrafodelista"/>
        <w:numPr>
          <w:ilvl w:val="0"/>
          <w:numId w:val="6"/>
        </w:numPr>
        <w:spacing w:line="360" w:lineRule="auto"/>
        <w:ind w:right="49"/>
        <w:jc w:val="both"/>
        <w:rPr>
          <w:rFonts w:ascii="Palatino Linotype" w:hAnsi="Palatino Linotype"/>
          <w:bCs/>
          <w:i/>
          <w:color w:val="000000"/>
          <w:sz w:val="40"/>
          <w:szCs w:val="22"/>
        </w:rPr>
      </w:pPr>
      <w:r>
        <w:rPr>
          <w:rFonts w:ascii="Palatino Linotype" w:hAnsi="Palatino Linotype"/>
          <w:color w:val="000000"/>
          <w:szCs w:val="14"/>
        </w:rPr>
        <w:t>A</w:t>
      </w:r>
      <w:r w:rsidR="008943B9" w:rsidRPr="004F1768">
        <w:rPr>
          <w:rFonts w:ascii="Palatino Linotype" w:hAnsi="Palatino Linotype"/>
          <w:color w:val="000000"/>
          <w:szCs w:val="14"/>
        </w:rPr>
        <w:t>ctas del comité dónde se mencione el nombre de Eduardo Flores</w:t>
      </w:r>
      <w:r w:rsidR="003F5CEA">
        <w:rPr>
          <w:rFonts w:ascii="Palatino Linotype" w:hAnsi="Palatino Linotype"/>
          <w:color w:val="000000"/>
          <w:szCs w:val="14"/>
        </w:rPr>
        <w:t>.</w:t>
      </w:r>
    </w:p>
    <w:p w14:paraId="76FB6ED0" w14:textId="77777777" w:rsidR="00F778B2" w:rsidRPr="00CC63CB" w:rsidRDefault="00F778B2" w:rsidP="00CC63CB">
      <w:pPr>
        <w:pStyle w:val="Prrafodelista"/>
        <w:spacing w:line="360" w:lineRule="auto"/>
        <w:ind w:right="49"/>
        <w:jc w:val="both"/>
        <w:rPr>
          <w:rFonts w:ascii="Palatino Linotype" w:eastAsia="Times New Roman" w:hAnsi="Palatino Linotype" w:cs="Times New Roman"/>
          <w:szCs w:val="22"/>
          <w:lang w:eastAsia="es-MX"/>
        </w:rPr>
      </w:pPr>
    </w:p>
    <w:p w14:paraId="30EE058E" w14:textId="427AF7F3" w:rsidR="003F5CEA"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El Sujeto Obligado </w:t>
      </w:r>
      <w:r w:rsidR="003F5CEA">
        <w:rPr>
          <w:rFonts w:ascii="Palatino Linotype" w:hAnsi="Palatino Linotype" w:cs="Arial"/>
          <w:color w:val="000000" w:themeColor="text1"/>
        </w:rPr>
        <w:t>manifestó que la persona señalada en la solicitud no forma parte del Comité de Admisión y Seguimiento de los Programas Sociales del Sujeto Obligado.</w:t>
      </w:r>
    </w:p>
    <w:p w14:paraId="170B8D1E" w14:textId="77777777" w:rsidR="003F5CEA" w:rsidRDefault="003F5CEA" w:rsidP="003F5CEA">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775AB24D"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w:t>
      </w:r>
      <w:r w:rsidR="003F5CEA">
        <w:rPr>
          <w:rFonts w:ascii="Palatino Linotype" w:eastAsia="Calibri" w:hAnsi="Palatino Linotype" w:cs="Tahoma"/>
          <w:color w:val="000000"/>
          <w:lang w:val="es-ES" w:eastAsia="es-MX"/>
        </w:rPr>
        <w:t>porque le negaron la información.</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lastRenderedPageBreak/>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CC63CB">
        <w:rPr>
          <w:rFonts w:ascii="Palatino Linotype" w:hAnsi="Palatino Linotype" w:cs="Arial"/>
          <w:color w:val="000000" w:themeColor="text1"/>
          <w:szCs w:val="23"/>
        </w:rPr>
        <w:t>V</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0441C39" w14:textId="0B279B1B" w:rsidR="00E4180B" w:rsidRPr="00E4180B" w:rsidRDefault="00E4180B" w:rsidP="00E4180B">
      <w:pPr>
        <w:tabs>
          <w:tab w:val="left" w:pos="426"/>
        </w:tabs>
        <w:spacing w:line="360" w:lineRule="auto"/>
        <w:ind w:left="567" w:right="616"/>
        <w:jc w:val="both"/>
        <w:rPr>
          <w:rFonts w:ascii="Palatino Linotype" w:hAnsi="Palatino Linotype"/>
          <w:i/>
          <w:iCs/>
          <w:sz w:val="22"/>
          <w:szCs w:val="22"/>
        </w:rPr>
      </w:pPr>
      <w:r w:rsidRPr="00E4180B">
        <w:rPr>
          <w:rFonts w:ascii="Palatino Linotype" w:hAnsi="Palatino Linotype"/>
          <w:i/>
          <w:iCs/>
          <w:sz w:val="22"/>
          <w:szCs w:val="22"/>
        </w:rPr>
        <w:t>…</w:t>
      </w:r>
    </w:p>
    <w:p w14:paraId="6BA489FA" w14:textId="77777777" w:rsidR="003F5CEA" w:rsidRDefault="003F5CEA" w:rsidP="00E4180B">
      <w:pPr>
        <w:tabs>
          <w:tab w:val="left" w:pos="426"/>
        </w:tabs>
        <w:spacing w:line="360" w:lineRule="auto"/>
        <w:ind w:left="567" w:right="616"/>
        <w:jc w:val="both"/>
        <w:rPr>
          <w:rFonts w:ascii="Palatino Linotype" w:hAnsi="Palatino Linotype"/>
          <w:i/>
          <w:iCs/>
          <w:sz w:val="22"/>
          <w:szCs w:val="22"/>
        </w:rPr>
      </w:pPr>
      <w:r w:rsidRPr="003F5CEA">
        <w:rPr>
          <w:rFonts w:ascii="Palatino Linotype" w:hAnsi="Palatino Linotype"/>
          <w:i/>
          <w:iCs/>
          <w:sz w:val="22"/>
          <w:szCs w:val="22"/>
        </w:rPr>
        <w:t>I. La negativa a la información solicitada;</w:t>
      </w:r>
    </w:p>
    <w:p w14:paraId="09760DFD" w14:textId="5A32A40E" w:rsidR="00E4180B" w:rsidRPr="00E4180B" w:rsidRDefault="00E4180B" w:rsidP="00E4180B">
      <w:pPr>
        <w:tabs>
          <w:tab w:val="left" w:pos="426"/>
        </w:tabs>
        <w:spacing w:line="360" w:lineRule="auto"/>
        <w:ind w:left="567" w:right="616"/>
        <w:jc w:val="both"/>
        <w:rPr>
          <w:rFonts w:ascii="Palatino Linotype" w:hAnsi="Palatino Linotype"/>
          <w:i/>
          <w:iCs/>
          <w:sz w:val="22"/>
          <w:szCs w:val="22"/>
        </w:rPr>
      </w:pPr>
      <w:r w:rsidRPr="00E4180B">
        <w:rPr>
          <w:rFonts w:ascii="Palatino Linotype" w:hAnsi="Palatino Linotype"/>
          <w:i/>
          <w:iCs/>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w:t>
      </w:r>
      <w:r w:rsidRPr="00A0054B">
        <w:rPr>
          <w:rFonts w:ascii="Palatino Linotype" w:hAnsi="Palatino Linotype" w:cs="Arial"/>
          <w:color w:val="000000"/>
        </w:rPr>
        <w:lastRenderedPageBreak/>
        <w:t xml:space="preserve">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A0054B">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w:t>
      </w:r>
      <w:r w:rsidRPr="00A0054B">
        <w:rPr>
          <w:rFonts w:ascii="Palatino Linotype" w:hAnsi="Palatino Linotype" w:cs="Bookman Old Style"/>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A0054B">
        <w:rPr>
          <w:rFonts w:ascii="Palatino Linotype" w:hAnsi="Palatino Linotype"/>
          <w:lang w:val="es-ES"/>
        </w:rPr>
        <w:lastRenderedPageBreak/>
        <w:t>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1636EB">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lastRenderedPageBreak/>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A0054B">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 xml:space="preserve">es </w:t>
      </w:r>
      <w:r w:rsidRPr="00A0054B">
        <w:rPr>
          <w:rFonts w:ascii="Palatino Linotype" w:hAnsi="Palatino Linotype"/>
          <w:b/>
          <w:i/>
          <w:sz w:val="22"/>
        </w:rPr>
        <w:lastRenderedPageBreak/>
        <w:t>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52B811AA"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16B7E0D6" w14:textId="11E18FE6" w:rsidR="008E4483" w:rsidRPr="00E4180B" w:rsidRDefault="00E4180B" w:rsidP="001636EB">
      <w:pPr>
        <w:spacing w:line="360" w:lineRule="auto"/>
        <w:ind w:left="567" w:right="822"/>
        <w:jc w:val="both"/>
        <w:rPr>
          <w:rFonts w:ascii="Palatino Linotype" w:eastAsia="MS Mincho" w:hAnsi="Palatino Linotype" w:cs="Arial"/>
          <w:b/>
          <w:i/>
          <w:iCs/>
          <w:sz w:val="20"/>
          <w:szCs w:val="22"/>
        </w:rPr>
      </w:pPr>
      <w:r w:rsidRPr="00E4180B">
        <w:rPr>
          <w:rFonts w:ascii="Palatino Linotype" w:hAnsi="Palatino Linotype"/>
          <w:i/>
          <w:sz w:val="22"/>
        </w:rPr>
        <w:t>I. El Poder Ejecutivo del Estado de México, las dependencias, organismos auxiliares, órganos, entidades, fideicomisos y fondos públicos, así como la Procuraduría General de Justicia;</w:t>
      </w:r>
      <w:r w:rsidR="008E4483" w:rsidRPr="00E4180B">
        <w:rPr>
          <w:rFonts w:ascii="Palatino Linotype" w:eastAsia="MS Mincho" w:hAnsi="Palatino Linotype" w:cs="Arial"/>
          <w:b/>
          <w:i/>
          <w:iCs/>
          <w:sz w:val="20"/>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0FAA9AC1"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C071E8">
        <w:rPr>
          <w:rFonts w:ascii="Palatino Linotype" w:eastAsia="Calibri" w:hAnsi="Palatino Linotype" w:cs="Arial"/>
          <w:b/>
          <w:bCs/>
          <w:lang w:val="es-ES"/>
        </w:rPr>
        <w:t xml:space="preserve">la </w:t>
      </w:r>
      <w:r w:rsidR="00C071E8" w:rsidRPr="001E50B9">
        <w:rPr>
          <w:rFonts w:ascii="Palatino Linotype" w:eastAsia="Calibri" w:hAnsi="Palatino Linotype" w:cs="Arial"/>
          <w:b/>
          <w:bCs/>
          <w:szCs w:val="22"/>
          <w:lang w:val="es-ES"/>
        </w:rPr>
        <w:t>Se</w:t>
      </w:r>
      <w:r w:rsidR="00C071E8">
        <w:rPr>
          <w:rFonts w:ascii="Palatino Linotype" w:eastAsia="Calibri" w:hAnsi="Palatino Linotype" w:cs="Arial"/>
          <w:b/>
          <w:bCs/>
          <w:szCs w:val="22"/>
          <w:lang w:val="es-ES"/>
        </w:rPr>
        <w:t>cretaría de Desarrollo Social</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2CB4493" w14:textId="3B01B02D"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CB3B7C">
        <w:rPr>
          <w:rFonts w:ascii="Palatino Linotype" w:hAnsi="Palatino Linotype"/>
          <w:b/>
          <w:color w:val="000000" w:themeColor="text1"/>
        </w:rPr>
        <w:t>a búsqueda exhaustiva y razonable</w:t>
      </w:r>
      <w:r w:rsidR="00CC63CB">
        <w:rPr>
          <w:rFonts w:ascii="Palatino Linotype" w:hAnsi="Palatino Linotype"/>
          <w:b/>
          <w:color w:val="000000" w:themeColor="text1"/>
        </w:rPr>
        <w:t>.</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4F1A5451" w14:textId="41AC7807" w:rsidR="00CB3B7C"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El particular solicitó </w:t>
      </w:r>
      <w:r w:rsidR="00CB3B7C">
        <w:rPr>
          <w:rFonts w:ascii="Palatino Linotype" w:eastAsia="Calibri" w:hAnsi="Palatino Linotype" w:cs="Arial"/>
        </w:rPr>
        <w:t>las actas del Comité donde se mencione el nombre de Eduardo Flores.</w:t>
      </w:r>
    </w:p>
    <w:p w14:paraId="62294B33" w14:textId="77777777" w:rsidR="00CB3B7C" w:rsidRDefault="00CB3B7C" w:rsidP="00CB3B7C">
      <w:pPr>
        <w:pStyle w:val="Prrafodelista"/>
        <w:tabs>
          <w:tab w:val="left" w:pos="567"/>
        </w:tabs>
        <w:spacing w:line="360" w:lineRule="auto"/>
        <w:ind w:left="0"/>
        <w:jc w:val="both"/>
        <w:rPr>
          <w:rFonts w:ascii="Palatino Linotype" w:eastAsia="Calibri" w:hAnsi="Palatino Linotype" w:cs="Arial"/>
        </w:rPr>
      </w:pPr>
    </w:p>
    <w:p w14:paraId="49DC9E63" w14:textId="038D878B" w:rsidR="008C73FB" w:rsidRDefault="00CB3B7C" w:rsidP="008C73FB">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El Sujeto Obligado refirió que a través de la Dirección General de Programas Sociales Estratégicos, Dirección General de Bienestar Social y Fortalecimiento Familiar que tienen a su cargo los Programas de Desarrollo Social “Familias Fuertes Salario Rosa” Familias Fuertes Canasta EDOMEX” y Familias Fuertes Apoyo a </w:t>
      </w:r>
      <w:r>
        <w:rPr>
          <w:rFonts w:ascii="Palatino Linotype" w:eastAsia="Calibri" w:hAnsi="Palatino Linotype" w:cs="Arial"/>
        </w:rPr>
        <w:lastRenderedPageBreak/>
        <w:t>Personas Adultas Mayores</w:t>
      </w:r>
      <w:r w:rsidR="00325B18">
        <w:rPr>
          <w:rFonts w:ascii="Palatino Linotype" w:eastAsia="Calibri" w:hAnsi="Palatino Linotype" w:cs="Arial"/>
        </w:rPr>
        <w:t>, se realizó una búsqueda exhaustiva y razonable en cada una de las Direcciones mencionadas sin que se identificara que la persona señalada en la solicitud fuera integrante del Comité de Admisión y Seguimiento.</w:t>
      </w:r>
    </w:p>
    <w:p w14:paraId="70090E11" w14:textId="77777777" w:rsidR="008C73FB" w:rsidRPr="008C73FB" w:rsidRDefault="008C73FB" w:rsidP="008C73FB">
      <w:pPr>
        <w:pStyle w:val="Prrafodelista"/>
        <w:rPr>
          <w:rFonts w:ascii="Palatino Linotype" w:eastAsia="Calibri" w:hAnsi="Palatino Linotype" w:cs="Arial"/>
        </w:rPr>
      </w:pPr>
    </w:p>
    <w:p w14:paraId="679591D9" w14:textId="5D3C47D5" w:rsidR="008C73FB" w:rsidRDefault="008C73FB" w:rsidP="008C73FB">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Por tal motivo es necesario traer a contexto el Reglamento Interno de la Secretaria de Desarrollo Social</w:t>
      </w:r>
      <w:r w:rsidR="00964E44">
        <w:rPr>
          <w:rStyle w:val="Refdenotaalpie"/>
          <w:rFonts w:ascii="Palatino Linotype" w:eastAsia="Calibri" w:hAnsi="Palatino Linotype" w:cs="Arial"/>
        </w:rPr>
        <w:footnoteReference w:id="6"/>
      </w:r>
      <w:r w:rsidR="006F7A39">
        <w:rPr>
          <w:rFonts w:ascii="Palatino Linotype" w:eastAsia="Calibri" w:hAnsi="Palatino Linotype" w:cs="Arial"/>
        </w:rPr>
        <w:t xml:space="preserve"> en los</w:t>
      </w:r>
      <w:r w:rsidR="00964E44">
        <w:rPr>
          <w:rFonts w:ascii="Palatino Linotype" w:eastAsia="Calibri" w:hAnsi="Palatino Linotype" w:cs="Arial"/>
        </w:rPr>
        <w:t xml:space="preserve"> artículo</w:t>
      </w:r>
      <w:r w:rsidR="006F7A39">
        <w:rPr>
          <w:rFonts w:ascii="Palatino Linotype" w:eastAsia="Calibri" w:hAnsi="Palatino Linotype" w:cs="Arial"/>
        </w:rPr>
        <w:t>s</w:t>
      </w:r>
      <w:r w:rsidR="00964E44">
        <w:rPr>
          <w:rFonts w:ascii="Palatino Linotype" w:eastAsia="Calibri" w:hAnsi="Palatino Linotype" w:cs="Arial"/>
        </w:rPr>
        <w:t xml:space="preserve"> 3, fracción VI, </w:t>
      </w:r>
      <w:r w:rsidR="006F7A39">
        <w:rPr>
          <w:rFonts w:ascii="Palatino Linotype" w:eastAsia="Calibri" w:hAnsi="Palatino Linotype" w:cs="Arial"/>
        </w:rPr>
        <w:t xml:space="preserve">y 4, los </w:t>
      </w:r>
      <w:r w:rsidR="00964E44">
        <w:rPr>
          <w:rFonts w:ascii="Palatino Linotype" w:eastAsia="Calibri" w:hAnsi="Palatino Linotype" w:cs="Arial"/>
        </w:rPr>
        <w:t>cual</w:t>
      </w:r>
      <w:r w:rsidR="006F7A39">
        <w:rPr>
          <w:rFonts w:ascii="Palatino Linotype" w:eastAsia="Calibri" w:hAnsi="Palatino Linotype" w:cs="Arial"/>
        </w:rPr>
        <w:t>es</w:t>
      </w:r>
      <w:r w:rsidR="00964E44">
        <w:rPr>
          <w:rFonts w:ascii="Palatino Linotype" w:eastAsia="Calibri" w:hAnsi="Palatino Linotype" w:cs="Arial"/>
        </w:rPr>
        <w:t xml:space="preserve"> dispone</w:t>
      </w:r>
      <w:r w:rsidR="006F7A39">
        <w:rPr>
          <w:rFonts w:ascii="Palatino Linotype" w:eastAsia="Calibri" w:hAnsi="Palatino Linotype" w:cs="Arial"/>
        </w:rPr>
        <w:t>n</w:t>
      </w:r>
      <w:r w:rsidR="00964E44">
        <w:rPr>
          <w:rFonts w:ascii="Palatino Linotype" w:eastAsia="Calibri" w:hAnsi="Palatino Linotype" w:cs="Arial"/>
        </w:rPr>
        <w:t xml:space="preserve"> lo siguiente:</w:t>
      </w:r>
    </w:p>
    <w:p w14:paraId="2FEED3DE" w14:textId="77777777" w:rsidR="00964E44" w:rsidRPr="00964E44" w:rsidRDefault="00964E44" w:rsidP="00964E44">
      <w:pPr>
        <w:pStyle w:val="Prrafodelista"/>
        <w:rPr>
          <w:rFonts w:ascii="Palatino Linotype" w:eastAsia="Calibri" w:hAnsi="Palatino Linotype" w:cs="Arial"/>
        </w:rPr>
      </w:pPr>
    </w:p>
    <w:p w14:paraId="48A7CE5A" w14:textId="4819A7EE" w:rsidR="00964E44" w:rsidRPr="006F7A39" w:rsidRDefault="00964E44" w:rsidP="00964E44">
      <w:pPr>
        <w:pStyle w:val="Prrafodelista"/>
        <w:tabs>
          <w:tab w:val="left" w:pos="567"/>
        </w:tabs>
        <w:spacing w:line="360" w:lineRule="auto"/>
        <w:ind w:left="567" w:right="616"/>
        <w:jc w:val="both"/>
        <w:rPr>
          <w:rFonts w:ascii="Palatino Linotype" w:hAnsi="Palatino Linotype"/>
          <w:i/>
          <w:sz w:val="22"/>
        </w:rPr>
      </w:pPr>
      <w:r w:rsidRPr="006F7A39">
        <w:rPr>
          <w:rFonts w:ascii="Palatino Linotype" w:hAnsi="Palatino Linotype"/>
          <w:i/>
          <w:sz w:val="22"/>
        </w:rPr>
        <w:t>Artículo 3.- Para el despacho de los asuntos de su competencia, la Secretaría contará con una persona titular, quien se auxiliará de las unidades administrativas básicas siguientes:</w:t>
      </w:r>
    </w:p>
    <w:p w14:paraId="1B4C2018" w14:textId="5E91B6F1" w:rsidR="00964E44" w:rsidRPr="006F7A39" w:rsidRDefault="00964E44" w:rsidP="00964E44">
      <w:pPr>
        <w:pStyle w:val="Prrafodelista"/>
        <w:tabs>
          <w:tab w:val="left" w:pos="567"/>
        </w:tabs>
        <w:spacing w:line="360" w:lineRule="auto"/>
        <w:ind w:left="567" w:right="616"/>
        <w:jc w:val="both"/>
        <w:rPr>
          <w:rFonts w:ascii="Palatino Linotype" w:hAnsi="Palatino Linotype"/>
          <w:i/>
          <w:sz w:val="22"/>
        </w:rPr>
      </w:pPr>
      <w:r w:rsidRPr="006F7A39">
        <w:rPr>
          <w:rFonts w:ascii="Palatino Linotype" w:hAnsi="Palatino Linotype"/>
          <w:i/>
          <w:sz w:val="22"/>
        </w:rPr>
        <w:t>…</w:t>
      </w:r>
    </w:p>
    <w:p w14:paraId="17241FA8" w14:textId="43E35539" w:rsidR="00964E44" w:rsidRPr="006F7A39" w:rsidRDefault="00964E44" w:rsidP="00964E44">
      <w:pPr>
        <w:pStyle w:val="Prrafodelista"/>
        <w:tabs>
          <w:tab w:val="left" w:pos="567"/>
        </w:tabs>
        <w:spacing w:line="360" w:lineRule="auto"/>
        <w:ind w:left="567" w:right="616"/>
        <w:jc w:val="both"/>
        <w:rPr>
          <w:rFonts w:ascii="Palatino Linotype" w:hAnsi="Palatino Linotype"/>
          <w:i/>
          <w:sz w:val="22"/>
        </w:rPr>
      </w:pPr>
      <w:r w:rsidRPr="006F7A39">
        <w:rPr>
          <w:rFonts w:ascii="Palatino Linotype" w:hAnsi="Palatino Linotype"/>
          <w:i/>
          <w:sz w:val="22"/>
        </w:rPr>
        <w:t>VI. Coordinaciones Regionales.</w:t>
      </w:r>
    </w:p>
    <w:p w14:paraId="03495270" w14:textId="3E9AF137" w:rsidR="00964E44" w:rsidRDefault="00964E44" w:rsidP="00964E44">
      <w:pPr>
        <w:pStyle w:val="Prrafodelista"/>
        <w:tabs>
          <w:tab w:val="left" w:pos="567"/>
        </w:tabs>
        <w:spacing w:line="360" w:lineRule="auto"/>
        <w:ind w:left="567" w:right="616"/>
        <w:jc w:val="both"/>
        <w:rPr>
          <w:rFonts w:ascii="Palatino Linotype" w:hAnsi="Palatino Linotype"/>
          <w:i/>
          <w:sz w:val="22"/>
        </w:rPr>
      </w:pPr>
      <w:r w:rsidRPr="006F7A39">
        <w:rPr>
          <w:rFonts w:ascii="Palatino Linotype" w:hAnsi="Palatino Linotype"/>
          <w:i/>
          <w:sz w:val="22"/>
        </w:rPr>
        <w:t>…</w:t>
      </w:r>
    </w:p>
    <w:p w14:paraId="6C9CA831" w14:textId="77777777" w:rsidR="006F7A39" w:rsidRDefault="006F7A39" w:rsidP="00964E44">
      <w:pPr>
        <w:pStyle w:val="Prrafodelista"/>
        <w:tabs>
          <w:tab w:val="left" w:pos="567"/>
        </w:tabs>
        <w:spacing w:line="360" w:lineRule="auto"/>
        <w:ind w:left="567" w:right="616"/>
        <w:jc w:val="both"/>
        <w:rPr>
          <w:rFonts w:ascii="Palatino Linotype" w:hAnsi="Palatino Linotype"/>
          <w:i/>
          <w:sz w:val="22"/>
        </w:rPr>
      </w:pPr>
    </w:p>
    <w:p w14:paraId="50ED5CA1" w14:textId="6D343E0F" w:rsidR="006F7A39" w:rsidRPr="006F7A39" w:rsidRDefault="006F7A39" w:rsidP="00964E44">
      <w:pPr>
        <w:pStyle w:val="Prrafodelista"/>
        <w:tabs>
          <w:tab w:val="left" w:pos="567"/>
        </w:tabs>
        <w:spacing w:line="360" w:lineRule="auto"/>
        <w:ind w:left="567" w:right="616"/>
        <w:jc w:val="both"/>
        <w:rPr>
          <w:rFonts w:ascii="Palatino Linotype" w:hAnsi="Palatino Linotype"/>
          <w:i/>
          <w:sz w:val="20"/>
        </w:rPr>
      </w:pPr>
      <w:r w:rsidRPr="006F7A39">
        <w:rPr>
          <w:rFonts w:ascii="Palatino Linotype" w:hAnsi="Palatino Linotype"/>
          <w:i/>
          <w:sz w:val="22"/>
        </w:rPr>
        <w:t xml:space="preserve">Artículo 4.- La Secretaría, Subsecretarías, Direcciones Generales, </w:t>
      </w:r>
      <w:r w:rsidRPr="006F7A39">
        <w:rPr>
          <w:rFonts w:ascii="Palatino Linotype" w:hAnsi="Palatino Linotype"/>
          <w:b/>
          <w:i/>
          <w:sz w:val="22"/>
        </w:rPr>
        <w:t>Coordinaciones</w:t>
      </w:r>
      <w:r w:rsidRPr="006F7A39">
        <w:rPr>
          <w:rFonts w:ascii="Palatino Linotype" w:hAnsi="Palatino Linotype"/>
          <w:i/>
          <w:sz w:val="22"/>
        </w:rPr>
        <w:t xml:space="preserve">, Unidad de Asuntos Jurídicos e Igualdad de Género y, demás unidades administrativas </w:t>
      </w:r>
      <w:r w:rsidRPr="006F7A39">
        <w:rPr>
          <w:rFonts w:ascii="Palatino Linotype" w:hAnsi="Palatino Linotype"/>
          <w:b/>
          <w:i/>
          <w:sz w:val="22"/>
        </w:rPr>
        <w:t>que integran esta dependencia, conducirán sus actividades en forma coordinada</w:t>
      </w:r>
      <w:r w:rsidRPr="006F7A39">
        <w:rPr>
          <w:rFonts w:ascii="Palatino Linotype" w:hAnsi="Palatino Linotype"/>
          <w:i/>
          <w:sz w:val="22"/>
        </w:rPr>
        <w:t xml:space="preserve"> y programada, de conformidad con los objetivos, estrategias y líneas de acción del Plan de Desarrollo del Estado de México y de los programas sectoriales, regionales y especiales a cargo de la Secretaría o en los que participe, atendiendo además las prioridades que defina la persona Titular del Poder Ejecutivo.</w:t>
      </w:r>
    </w:p>
    <w:p w14:paraId="7F71C8F3" w14:textId="77777777" w:rsidR="006F7A39" w:rsidRDefault="006F7A39" w:rsidP="006F7A39">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Por su parte, el Capítulo III del citado reglamento en su sus artículos 11 fracción II, y 13 fracción I refieren lo siguiente:</w:t>
      </w:r>
    </w:p>
    <w:p w14:paraId="5AB3AB6E" w14:textId="02271560" w:rsidR="006F7A39" w:rsidRPr="006F7A39" w:rsidRDefault="006F7A39" w:rsidP="00D24315">
      <w:pPr>
        <w:pStyle w:val="Prrafodelista"/>
        <w:tabs>
          <w:tab w:val="left" w:pos="567"/>
        </w:tabs>
        <w:spacing w:line="360" w:lineRule="auto"/>
        <w:ind w:left="567" w:right="616"/>
        <w:jc w:val="center"/>
        <w:rPr>
          <w:rFonts w:ascii="Palatino Linotype" w:hAnsi="Palatino Linotype"/>
          <w:b/>
          <w:i/>
          <w:sz w:val="22"/>
        </w:rPr>
      </w:pPr>
      <w:r w:rsidRPr="006F7A39">
        <w:rPr>
          <w:rFonts w:ascii="Palatino Linotype" w:hAnsi="Palatino Linotype"/>
          <w:b/>
          <w:i/>
          <w:sz w:val="22"/>
        </w:rPr>
        <w:lastRenderedPageBreak/>
        <w:t>CAPÍTULO III</w:t>
      </w:r>
    </w:p>
    <w:p w14:paraId="448EB255" w14:textId="306BBED8" w:rsidR="006F7A39" w:rsidRPr="006F7A39" w:rsidRDefault="006F7A39" w:rsidP="00D24315">
      <w:pPr>
        <w:pStyle w:val="Prrafodelista"/>
        <w:tabs>
          <w:tab w:val="left" w:pos="567"/>
        </w:tabs>
        <w:spacing w:line="360" w:lineRule="auto"/>
        <w:ind w:left="567" w:right="616"/>
        <w:jc w:val="center"/>
        <w:rPr>
          <w:rFonts w:ascii="Palatino Linotype" w:hAnsi="Palatino Linotype"/>
          <w:b/>
          <w:i/>
          <w:sz w:val="22"/>
        </w:rPr>
      </w:pPr>
      <w:r w:rsidRPr="006F7A39">
        <w:rPr>
          <w:rFonts w:ascii="Palatino Linotype" w:hAnsi="Palatino Linotype"/>
          <w:b/>
          <w:i/>
          <w:sz w:val="22"/>
        </w:rPr>
        <w:t>DE LAS UNIDADES ADMINISTRATIVAS DE LA SECRETARÍA</w:t>
      </w:r>
    </w:p>
    <w:p w14:paraId="387F834C" w14:textId="30853C70" w:rsidR="006F7A39" w:rsidRPr="006F7A39" w:rsidRDefault="006F7A39" w:rsidP="00D24315">
      <w:pPr>
        <w:pStyle w:val="Prrafodelista"/>
        <w:tabs>
          <w:tab w:val="left" w:pos="567"/>
        </w:tabs>
        <w:spacing w:line="360" w:lineRule="auto"/>
        <w:ind w:left="567" w:right="616"/>
        <w:jc w:val="center"/>
        <w:rPr>
          <w:rFonts w:ascii="Palatino Linotype" w:hAnsi="Palatino Linotype"/>
          <w:b/>
          <w:i/>
          <w:sz w:val="22"/>
        </w:rPr>
      </w:pPr>
      <w:r w:rsidRPr="006F7A39">
        <w:rPr>
          <w:rFonts w:ascii="Palatino Linotype" w:hAnsi="Palatino Linotype"/>
          <w:b/>
          <w:i/>
          <w:sz w:val="22"/>
        </w:rPr>
        <w:t>Sección Primera</w:t>
      </w:r>
    </w:p>
    <w:p w14:paraId="463FAEEF" w14:textId="77777777" w:rsidR="006F7A39" w:rsidRPr="006F7A39" w:rsidRDefault="006F7A39" w:rsidP="00D24315">
      <w:pPr>
        <w:pStyle w:val="Prrafodelista"/>
        <w:tabs>
          <w:tab w:val="left" w:pos="567"/>
        </w:tabs>
        <w:spacing w:line="360" w:lineRule="auto"/>
        <w:ind w:left="567" w:right="616"/>
        <w:jc w:val="center"/>
        <w:rPr>
          <w:rFonts w:ascii="Palatino Linotype" w:hAnsi="Palatino Linotype"/>
          <w:b/>
          <w:i/>
          <w:sz w:val="22"/>
        </w:rPr>
      </w:pPr>
      <w:r w:rsidRPr="006F7A39">
        <w:rPr>
          <w:rFonts w:ascii="Palatino Linotype" w:hAnsi="Palatino Linotype"/>
          <w:b/>
          <w:i/>
          <w:sz w:val="22"/>
        </w:rPr>
        <w:t>De la adscripción de las</w:t>
      </w:r>
    </w:p>
    <w:p w14:paraId="44B83574" w14:textId="026C689C" w:rsidR="006F7A39" w:rsidRPr="006F7A39" w:rsidRDefault="006F7A39" w:rsidP="00D24315">
      <w:pPr>
        <w:pStyle w:val="Prrafodelista"/>
        <w:tabs>
          <w:tab w:val="left" w:pos="567"/>
        </w:tabs>
        <w:spacing w:line="360" w:lineRule="auto"/>
        <w:ind w:left="567" w:right="616"/>
        <w:jc w:val="center"/>
        <w:rPr>
          <w:rFonts w:ascii="Palatino Linotype" w:hAnsi="Palatino Linotype"/>
          <w:b/>
          <w:i/>
          <w:sz w:val="22"/>
        </w:rPr>
      </w:pPr>
      <w:r w:rsidRPr="006F7A39">
        <w:rPr>
          <w:rFonts w:ascii="Palatino Linotype" w:hAnsi="Palatino Linotype"/>
          <w:b/>
          <w:i/>
          <w:sz w:val="22"/>
        </w:rPr>
        <w:t>unidades administrativas de la Secretaría</w:t>
      </w:r>
    </w:p>
    <w:p w14:paraId="71451442" w14:textId="77777777" w:rsidR="006F7A39" w:rsidRPr="006F7A39" w:rsidRDefault="006F7A39" w:rsidP="006F7A39">
      <w:pPr>
        <w:pStyle w:val="Prrafodelista"/>
        <w:tabs>
          <w:tab w:val="left" w:pos="567"/>
        </w:tabs>
        <w:spacing w:line="360" w:lineRule="auto"/>
        <w:ind w:left="567" w:right="616"/>
        <w:jc w:val="both"/>
        <w:rPr>
          <w:rFonts w:ascii="Palatino Linotype" w:hAnsi="Palatino Linotype"/>
          <w:i/>
          <w:sz w:val="22"/>
        </w:rPr>
      </w:pPr>
    </w:p>
    <w:p w14:paraId="1B0927A4" w14:textId="69E780CC" w:rsidR="006F7A39" w:rsidRPr="006F7A39" w:rsidRDefault="006F7A39" w:rsidP="006F7A39">
      <w:pPr>
        <w:pStyle w:val="Prrafodelista"/>
        <w:tabs>
          <w:tab w:val="left" w:pos="567"/>
        </w:tabs>
        <w:spacing w:line="360" w:lineRule="auto"/>
        <w:ind w:left="567" w:right="616"/>
        <w:jc w:val="both"/>
        <w:rPr>
          <w:rFonts w:ascii="Palatino Linotype" w:eastAsia="Calibri" w:hAnsi="Palatino Linotype" w:cs="Arial"/>
          <w:i/>
          <w:sz w:val="22"/>
        </w:rPr>
      </w:pPr>
      <w:r w:rsidRPr="006F7A39">
        <w:rPr>
          <w:rFonts w:ascii="Palatino Linotype" w:hAnsi="Palatino Linotype"/>
          <w:i/>
          <w:sz w:val="22"/>
        </w:rPr>
        <w:t>Artículo 11.- Quedan adscritas directamente a la persona titular de la Secretaría, las siguientes unidades administrativas:</w:t>
      </w:r>
    </w:p>
    <w:p w14:paraId="2BE7E1EA" w14:textId="015D333A" w:rsidR="006F7A39" w:rsidRPr="006F7A39" w:rsidRDefault="006F7A39" w:rsidP="006F7A39">
      <w:pPr>
        <w:pStyle w:val="Prrafodelista"/>
        <w:tabs>
          <w:tab w:val="left" w:pos="567"/>
        </w:tabs>
        <w:spacing w:line="360" w:lineRule="auto"/>
        <w:ind w:left="567" w:right="616"/>
        <w:jc w:val="both"/>
        <w:rPr>
          <w:rFonts w:ascii="Palatino Linotype" w:eastAsia="Calibri" w:hAnsi="Palatino Linotype" w:cs="Arial"/>
          <w:i/>
          <w:sz w:val="22"/>
        </w:rPr>
      </w:pPr>
      <w:r w:rsidRPr="006F7A39">
        <w:rPr>
          <w:rFonts w:ascii="Palatino Linotype" w:eastAsia="Calibri" w:hAnsi="Palatino Linotype" w:cs="Arial"/>
          <w:i/>
          <w:sz w:val="22"/>
        </w:rPr>
        <w:t>…</w:t>
      </w:r>
    </w:p>
    <w:p w14:paraId="6F82DE0E" w14:textId="6574FDCD" w:rsidR="006F7A39" w:rsidRPr="006F7A39" w:rsidRDefault="006F7A39" w:rsidP="006F7A39">
      <w:pPr>
        <w:pStyle w:val="Prrafodelista"/>
        <w:tabs>
          <w:tab w:val="left" w:pos="567"/>
        </w:tabs>
        <w:spacing w:line="360" w:lineRule="auto"/>
        <w:ind w:left="567" w:right="616"/>
        <w:jc w:val="both"/>
        <w:rPr>
          <w:rFonts w:ascii="Palatino Linotype" w:hAnsi="Palatino Linotype"/>
          <w:i/>
          <w:sz w:val="22"/>
        </w:rPr>
      </w:pPr>
      <w:r w:rsidRPr="006F7A39">
        <w:rPr>
          <w:rFonts w:ascii="Palatino Linotype" w:hAnsi="Palatino Linotype"/>
          <w:i/>
          <w:sz w:val="22"/>
        </w:rPr>
        <w:t>II. Subsecretaría de Desarrollo Regional Valle de México Zona Nororiente.</w:t>
      </w:r>
    </w:p>
    <w:p w14:paraId="54399A42" w14:textId="18B087E8" w:rsidR="006F7A39" w:rsidRPr="006F7A39" w:rsidRDefault="006F7A39" w:rsidP="006F7A39">
      <w:pPr>
        <w:pStyle w:val="Prrafodelista"/>
        <w:tabs>
          <w:tab w:val="left" w:pos="567"/>
        </w:tabs>
        <w:spacing w:line="360" w:lineRule="auto"/>
        <w:ind w:left="567" w:right="616"/>
        <w:jc w:val="both"/>
        <w:rPr>
          <w:rFonts w:ascii="Palatino Linotype" w:hAnsi="Palatino Linotype"/>
          <w:i/>
          <w:sz w:val="22"/>
        </w:rPr>
      </w:pPr>
      <w:r w:rsidRPr="006F7A39">
        <w:rPr>
          <w:rFonts w:ascii="Palatino Linotype" w:hAnsi="Palatino Linotype"/>
          <w:i/>
          <w:sz w:val="22"/>
        </w:rPr>
        <w:t>…</w:t>
      </w:r>
    </w:p>
    <w:p w14:paraId="55114903" w14:textId="77777777" w:rsidR="006F7A39" w:rsidRPr="006F7A39" w:rsidRDefault="006F7A39" w:rsidP="006F7A39">
      <w:pPr>
        <w:pStyle w:val="Prrafodelista"/>
        <w:tabs>
          <w:tab w:val="left" w:pos="567"/>
        </w:tabs>
        <w:spacing w:line="360" w:lineRule="auto"/>
        <w:ind w:left="567" w:right="616"/>
        <w:jc w:val="both"/>
        <w:rPr>
          <w:rFonts w:ascii="Palatino Linotype" w:hAnsi="Palatino Linotype"/>
          <w:i/>
          <w:sz w:val="22"/>
        </w:rPr>
      </w:pPr>
      <w:r w:rsidRPr="006F7A39">
        <w:rPr>
          <w:rFonts w:ascii="Palatino Linotype" w:hAnsi="Palatino Linotype"/>
          <w:i/>
          <w:sz w:val="22"/>
        </w:rPr>
        <w:t xml:space="preserve">Artículo 13.- La Subsecretaría de Desarrollo Regional Valle de México Zona Nororiente, tendrá bajo su adscripción las siguientes unidades administrativas: </w:t>
      </w:r>
    </w:p>
    <w:p w14:paraId="475A9E68" w14:textId="132ADC0C" w:rsidR="006F7A39" w:rsidRPr="00D24315" w:rsidRDefault="006F7A39" w:rsidP="006F7A39">
      <w:pPr>
        <w:pStyle w:val="Prrafodelista"/>
        <w:tabs>
          <w:tab w:val="left" w:pos="567"/>
        </w:tabs>
        <w:spacing w:line="360" w:lineRule="auto"/>
        <w:ind w:left="567" w:right="616"/>
        <w:jc w:val="both"/>
        <w:rPr>
          <w:rFonts w:ascii="Palatino Linotype" w:hAnsi="Palatino Linotype"/>
          <w:b/>
          <w:i/>
          <w:sz w:val="22"/>
        </w:rPr>
      </w:pPr>
      <w:r w:rsidRPr="00D24315">
        <w:rPr>
          <w:rFonts w:ascii="Palatino Linotype" w:hAnsi="Palatino Linotype"/>
          <w:b/>
          <w:i/>
          <w:sz w:val="22"/>
        </w:rPr>
        <w:t>I. Coordinación Regional Cuautitlán Izcalli.</w:t>
      </w:r>
    </w:p>
    <w:p w14:paraId="6E4877AC" w14:textId="6B1DE253" w:rsidR="006F7A39" w:rsidRPr="006F7A39" w:rsidRDefault="006F7A39" w:rsidP="006F7A39">
      <w:pPr>
        <w:pStyle w:val="Prrafodelista"/>
        <w:tabs>
          <w:tab w:val="left" w:pos="567"/>
        </w:tabs>
        <w:spacing w:line="360" w:lineRule="auto"/>
        <w:ind w:left="567" w:right="616"/>
        <w:jc w:val="both"/>
        <w:rPr>
          <w:rFonts w:ascii="Palatino Linotype" w:eastAsia="Calibri" w:hAnsi="Palatino Linotype" w:cs="Arial"/>
          <w:i/>
          <w:sz w:val="22"/>
        </w:rPr>
      </w:pPr>
      <w:r w:rsidRPr="006F7A39">
        <w:rPr>
          <w:rFonts w:ascii="Palatino Linotype" w:eastAsia="Calibri" w:hAnsi="Palatino Linotype" w:cs="Arial"/>
          <w:i/>
          <w:sz w:val="22"/>
        </w:rPr>
        <w:t>…</w:t>
      </w:r>
    </w:p>
    <w:p w14:paraId="79D2897F" w14:textId="77777777" w:rsidR="006F7A39" w:rsidRDefault="006F7A39" w:rsidP="006F7A39">
      <w:pPr>
        <w:pStyle w:val="Prrafodelista"/>
        <w:tabs>
          <w:tab w:val="left" w:pos="567"/>
        </w:tabs>
        <w:spacing w:line="360" w:lineRule="auto"/>
        <w:ind w:left="0"/>
        <w:jc w:val="both"/>
        <w:rPr>
          <w:rFonts w:ascii="Palatino Linotype" w:eastAsia="Calibri" w:hAnsi="Palatino Linotype" w:cs="Arial"/>
        </w:rPr>
      </w:pPr>
    </w:p>
    <w:p w14:paraId="49428E27" w14:textId="45EAD3A9" w:rsidR="006F7A39" w:rsidRDefault="006F7A39" w:rsidP="006F7A39">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Es así que, las Coordinaciones Regionales, entre las que se encuentra la Coordinación Regional de Cuautitlán Izcalli se encuentran adscritas directamente a la Secretaría de Desarrollo Social. El artículo 17, establece las atribuciones de dichas coordinaciones, siendo las siguientes:</w:t>
      </w:r>
    </w:p>
    <w:p w14:paraId="5CC6C206" w14:textId="77777777" w:rsidR="006F7A39" w:rsidRDefault="006F7A39" w:rsidP="006F7A39">
      <w:pPr>
        <w:pStyle w:val="Prrafodelista"/>
        <w:tabs>
          <w:tab w:val="left" w:pos="567"/>
        </w:tabs>
        <w:spacing w:line="360" w:lineRule="auto"/>
        <w:ind w:left="0"/>
        <w:jc w:val="both"/>
        <w:rPr>
          <w:rFonts w:ascii="Palatino Linotype" w:eastAsia="Calibri" w:hAnsi="Palatino Linotype" w:cs="Arial"/>
        </w:rPr>
      </w:pPr>
    </w:p>
    <w:p w14:paraId="27287E73"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Artículo 17.- Corresponde a las Coordinaciones Regionales, en su respectiva circunscripción territorial: </w:t>
      </w:r>
    </w:p>
    <w:p w14:paraId="101E23CD"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I. Planear, coordinar y ejecutar, en el ámbito de su competencia, los programas y acciones de desarrollo social de la Secretaría. </w:t>
      </w:r>
    </w:p>
    <w:p w14:paraId="1BA0FDD7"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lastRenderedPageBreak/>
        <w:t xml:space="preserve">II. Promover la coordinación de acciones con las dependencias y organismos auxiliares estatales, así como con los gobiernos municipales para la ejecución de programas de desarrollo social. </w:t>
      </w:r>
    </w:p>
    <w:p w14:paraId="755DC019"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III. Proponer a la persona titular de la Subsecretaría que les corresponda, acciones prioritarias de desarrollo social, así como la asignación de recursos para su ejecución; </w:t>
      </w:r>
    </w:p>
    <w:p w14:paraId="097E49B9"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IV. Verificar la entrega oportuna de apoyos a las personas beneficiarias de los programas de desarrollo social a cargo de la Secretaría, de conformidad con las Reglas de Operación y prioridades de atención; </w:t>
      </w:r>
    </w:p>
    <w:p w14:paraId="1E77C8EE"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V. Participar en la focalización de los programas y acciones de desarrollo social, con el fin de atender a las personas con mayores carencias. </w:t>
      </w:r>
    </w:p>
    <w:p w14:paraId="412141DD"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VI. Conocer la percepción ciudadana respecto de los programas y acciones de desarrollo social implementadas y, en su caso, proponer acciones de mejora. </w:t>
      </w:r>
    </w:p>
    <w:p w14:paraId="79AB60F4"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VII. Elaborar diagnósticos de la problemática municipal y regional en materia de desarrollo social y proponer a la persona titular de la Subsecretaría respectiva, estrategias para su atención; </w:t>
      </w:r>
    </w:p>
    <w:p w14:paraId="03B52EF6"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VIII. Participar en la ejecución de programas y acciones de desarrollo social que coordinen instancias federales, estatales y municipales en la región a su cargo, previa autorización de la persona titular de la Subsecretaría que les corresponda; </w:t>
      </w:r>
    </w:p>
    <w:p w14:paraId="5829E298"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IX. Verificar el cumplimiento de las recomendaciones de orientación social emitidas para las obras y programas que se realicen en los municipios a su cargo. </w:t>
      </w:r>
    </w:p>
    <w:p w14:paraId="04411903"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X. Verificar el adecuado funcionamiento de las obras y acciones de desarrollo social. </w:t>
      </w:r>
    </w:p>
    <w:p w14:paraId="7094D60B"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XI. Derogada. </w:t>
      </w:r>
    </w:p>
    <w:p w14:paraId="0A8085E6"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XII. Derogada. </w:t>
      </w:r>
    </w:p>
    <w:p w14:paraId="59022130"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t xml:space="preserve">XIII. Coordinar la participación de los sectores social y privado en la ejecución de programas y acciones de desarrollo social, de acuerdo con las estrategias que al respecto se establezcan. </w:t>
      </w:r>
    </w:p>
    <w:p w14:paraId="003B0FC3" w14:textId="77777777" w:rsidR="006F7A39" w:rsidRPr="00D24315" w:rsidRDefault="006F7A39" w:rsidP="00D24315">
      <w:pPr>
        <w:pStyle w:val="Prrafodelista"/>
        <w:tabs>
          <w:tab w:val="left" w:pos="567"/>
        </w:tabs>
        <w:spacing w:line="360" w:lineRule="auto"/>
        <w:ind w:left="567" w:right="616"/>
        <w:jc w:val="both"/>
        <w:rPr>
          <w:rFonts w:ascii="Palatino Linotype" w:hAnsi="Palatino Linotype"/>
          <w:i/>
          <w:sz w:val="22"/>
        </w:rPr>
      </w:pPr>
      <w:r w:rsidRPr="00D24315">
        <w:rPr>
          <w:rFonts w:ascii="Palatino Linotype" w:hAnsi="Palatino Linotype"/>
          <w:i/>
          <w:sz w:val="22"/>
        </w:rPr>
        <w:lastRenderedPageBreak/>
        <w:t xml:space="preserve">XIV. Captar la demanda ciudadana en materia de desarrollo social y canalizarla a las instancias correspondientes para su atención. </w:t>
      </w:r>
    </w:p>
    <w:p w14:paraId="500E52E5" w14:textId="74D85007" w:rsidR="006F7A39" w:rsidRPr="00D24315" w:rsidRDefault="006F7A39" w:rsidP="00D24315">
      <w:pPr>
        <w:pStyle w:val="Prrafodelista"/>
        <w:tabs>
          <w:tab w:val="left" w:pos="567"/>
        </w:tabs>
        <w:spacing w:line="360" w:lineRule="auto"/>
        <w:ind w:left="567" w:right="616"/>
        <w:jc w:val="both"/>
        <w:rPr>
          <w:rFonts w:ascii="Palatino Linotype" w:eastAsia="Calibri" w:hAnsi="Palatino Linotype" w:cs="Arial"/>
          <w:i/>
          <w:sz w:val="22"/>
        </w:rPr>
      </w:pPr>
      <w:r w:rsidRPr="00D24315">
        <w:rPr>
          <w:rFonts w:ascii="Palatino Linotype" w:hAnsi="Palatino Linotype"/>
          <w:i/>
          <w:sz w:val="22"/>
        </w:rPr>
        <w:t>XV. Las demás que les confieran otras disposiciones jurídicas aplicables y aquellas que les encomiende la persona titular de la Secretaría y la persona titular de la Subsecretaría respectiva.</w:t>
      </w:r>
    </w:p>
    <w:p w14:paraId="3F7FA9F8" w14:textId="77777777" w:rsidR="006F7A39" w:rsidRDefault="006F7A39" w:rsidP="006F7A39">
      <w:pPr>
        <w:pStyle w:val="Prrafodelista"/>
        <w:tabs>
          <w:tab w:val="left" w:pos="567"/>
        </w:tabs>
        <w:spacing w:line="360" w:lineRule="auto"/>
        <w:ind w:left="0"/>
        <w:jc w:val="both"/>
        <w:rPr>
          <w:rFonts w:ascii="Palatino Linotype" w:eastAsia="Calibri" w:hAnsi="Palatino Linotype" w:cs="Arial"/>
        </w:rPr>
      </w:pPr>
    </w:p>
    <w:p w14:paraId="19544443" w14:textId="2DF1215C" w:rsidR="006F7A39" w:rsidRDefault="00931809" w:rsidP="006F7A39">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Hasta este punto, se tiene la existencia de la Coordinación Regional de Cuautitlán Izcalli, tan es así que en la página oficial del Sujeto Obligado se logra constatar lo siguiente:</w:t>
      </w:r>
    </w:p>
    <w:p w14:paraId="1699898F" w14:textId="77777777" w:rsidR="00931809" w:rsidRDefault="00931809" w:rsidP="00931809">
      <w:pPr>
        <w:pStyle w:val="Prrafodelista"/>
        <w:tabs>
          <w:tab w:val="left" w:pos="567"/>
        </w:tabs>
        <w:spacing w:line="360" w:lineRule="auto"/>
        <w:ind w:left="0"/>
        <w:jc w:val="both"/>
        <w:rPr>
          <w:rFonts w:ascii="Palatino Linotype" w:eastAsia="Calibri" w:hAnsi="Palatino Linotype" w:cs="Arial"/>
        </w:rPr>
      </w:pPr>
    </w:p>
    <w:p w14:paraId="1B3F0333" w14:textId="0F4D09D0" w:rsidR="00931809" w:rsidRDefault="00931809" w:rsidP="00931809">
      <w:pPr>
        <w:pStyle w:val="Prrafodelista"/>
        <w:tabs>
          <w:tab w:val="left" w:pos="567"/>
        </w:tabs>
        <w:spacing w:line="360" w:lineRule="auto"/>
        <w:ind w:left="0"/>
        <w:jc w:val="both"/>
        <w:rPr>
          <w:rFonts w:ascii="Palatino Linotype" w:eastAsia="Calibri" w:hAnsi="Palatino Linotype" w:cs="Arial"/>
        </w:rPr>
      </w:pPr>
      <w:r w:rsidRPr="00931809">
        <w:rPr>
          <w:rFonts w:ascii="Palatino Linotype" w:eastAsia="Calibri" w:hAnsi="Palatino Linotype" w:cs="Arial"/>
          <w:noProof/>
          <w:lang w:eastAsia="es-MX"/>
        </w:rPr>
        <w:drawing>
          <wp:inline distT="0" distB="0" distL="0" distR="0" wp14:anchorId="197E2D98" wp14:editId="742B0472">
            <wp:extent cx="5612130" cy="34239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423920"/>
                    </a:xfrm>
                    <a:prstGeom prst="rect">
                      <a:avLst/>
                    </a:prstGeom>
                  </pic:spPr>
                </pic:pic>
              </a:graphicData>
            </a:graphic>
          </wp:inline>
        </w:drawing>
      </w:r>
    </w:p>
    <w:p w14:paraId="5B6A839B" w14:textId="77777777" w:rsidR="00931809" w:rsidRDefault="00931809" w:rsidP="00931809">
      <w:pPr>
        <w:pStyle w:val="Prrafodelista"/>
        <w:tabs>
          <w:tab w:val="left" w:pos="567"/>
        </w:tabs>
        <w:spacing w:line="360" w:lineRule="auto"/>
        <w:ind w:left="0"/>
        <w:jc w:val="both"/>
        <w:rPr>
          <w:rFonts w:ascii="Palatino Linotype" w:eastAsia="Calibri" w:hAnsi="Palatino Linotype" w:cs="Arial"/>
        </w:rPr>
      </w:pPr>
    </w:p>
    <w:p w14:paraId="64981855" w14:textId="0795635D" w:rsidR="003248FF" w:rsidRDefault="004F6943" w:rsidP="003248F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No obstante y c</w:t>
      </w:r>
      <w:r w:rsidR="00931809">
        <w:rPr>
          <w:rFonts w:ascii="Palatino Linotype" w:eastAsia="Calibri" w:hAnsi="Palatino Linotype" w:cs="Arial"/>
        </w:rPr>
        <w:t xml:space="preserve">ontrario a lo que manifestó el particular, la Coordinadora de dicha Coordinación es Norma Ponce Orozco, asimismo, entre las facultades que tiene la Coordinación, no se aprecia que deban realizar sesiones de comité de ningún </w:t>
      </w:r>
      <w:r w:rsidR="00931809">
        <w:rPr>
          <w:rFonts w:ascii="Palatino Linotype" w:eastAsia="Calibri" w:hAnsi="Palatino Linotype" w:cs="Arial"/>
        </w:rPr>
        <w:lastRenderedPageBreak/>
        <w:t>tipo</w:t>
      </w:r>
      <w:r w:rsidR="00760B79">
        <w:rPr>
          <w:rFonts w:ascii="Palatino Linotype" w:eastAsia="Calibri" w:hAnsi="Palatino Linotype" w:cs="Arial"/>
        </w:rPr>
        <w:t>, o bien, que en las coordinaciones se cuente con algún comité, por lo que el Sujeto Obligado en aras de garantizar el derecho accionado por el particular, debió realizar una búsqueda exhaustiva y razonable en todas las actas de todos los comités integrados por la Secretaría de Desarrollo Social y entregar aquellas donde se haga mención de Eduardo Flores, independientemente de que forme parte de los comités o no, situación que no ocurrió y sólo se limitó a referir que dicha persona no forma parte del Comité</w:t>
      </w:r>
      <w:r w:rsidR="003248FF">
        <w:rPr>
          <w:rFonts w:ascii="Palatino Linotype" w:eastAsia="Calibri" w:hAnsi="Palatino Linotype" w:cs="Arial"/>
        </w:rPr>
        <w:t xml:space="preserve"> de Admisión y Seguimiento de los Programas </w:t>
      </w:r>
      <w:r w:rsidR="003248FF" w:rsidRPr="003248FF">
        <w:rPr>
          <w:rFonts w:ascii="Palatino Linotype" w:eastAsia="Calibri" w:hAnsi="Palatino Linotype" w:cs="Arial"/>
        </w:rPr>
        <w:t>de Desarrollo Social “Familias Fuertes Salario Rosa” Familias Fuertes Canasta EDOMEX” y Familias Fuertes Apoyo a Personas Adultas Mayores</w:t>
      </w:r>
      <w:r w:rsidR="003248FF">
        <w:rPr>
          <w:rFonts w:ascii="Palatino Linotype" w:eastAsia="Calibri" w:hAnsi="Palatino Linotype" w:cs="Arial"/>
        </w:rPr>
        <w:t>.</w:t>
      </w:r>
    </w:p>
    <w:p w14:paraId="47AF3D8D" w14:textId="77777777" w:rsidR="00AF5295" w:rsidRDefault="00AF5295" w:rsidP="00AF5295">
      <w:pPr>
        <w:pStyle w:val="Prrafodelista"/>
        <w:tabs>
          <w:tab w:val="left" w:pos="567"/>
        </w:tabs>
        <w:spacing w:line="360" w:lineRule="auto"/>
        <w:ind w:left="0"/>
        <w:jc w:val="both"/>
        <w:rPr>
          <w:rFonts w:ascii="Palatino Linotype" w:eastAsia="Calibri" w:hAnsi="Palatino Linotype" w:cs="Arial"/>
        </w:rPr>
      </w:pPr>
    </w:p>
    <w:p w14:paraId="0E3F48B0" w14:textId="4C36EE68" w:rsidR="00A126C3" w:rsidRPr="007C2100" w:rsidRDefault="00AF5295" w:rsidP="003248FF">
      <w:pPr>
        <w:pStyle w:val="Prrafodelista"/>
        <w:numPr>
          <w:ilvl w:val="0"/>
          <w:numId w:val="1"/>
        </w:numPr>
        <w:tabs>
          <w:tab w:val="left" w:pos="567"/>
        </w:tabs>
        <w:spacing w:line="360" w:lineRule="auto"/>
        <w:jc w:val="both"/>
        <w:rPr>
          <w:rFonts w:ascii="Palatino Linotype" w:eastAsia="Calibri" w:hAnsi="Palatino Linotype" w:cs="Arial"/>
          <w:highlight w:val="yellow"/>
        </w:rPr>
      </w:pPr>
      <w:r w:rsidRPr="007C2100">
        <w:rPr>
          <w:rFonts w:ascii="Palatino Linotype" w:eastAsia="Calibri" w:hAnsi="Palatino Linotype" w:cs="Arial"/>
          <w:highlight w:val="yellow"/>
        </w:rPr>
        <w:t>Por lo anterior es que se considera que el Sujeto Obligado no realizó una correcta búsqueda exhaustiva y razonable ya que el particular no solicitó las actas en donde Eduardo Flores fuera integrante del Comité, sino todas aquellas actas en las que se haga referencia al nombre antes mencionado</w:t>
      </w:r>
      <w:r w:rsidR="00A126C3" w:rsidRPr="007C2100">
        <w:rPr>
          <w:rFonts w:ascii="Palatino Linotype" w:eastAsia="Calibri" w:hAnsi="Palatino Linotype" w:cs="Arial"/>
          <w:highlight w:val="yellow"/>
        </w:rPr>
        <w:t xml:space="preserve">; además, de la respuesta, se advierte que el  Sujeto Obligado únicamente turnó la solicitud a la Dirección General de Programas Sociales Estratégicos y la Dirección General de Bienestar Social y Fortalecimiento Familiar; sin embargo, de la información que se encuentra disponible en la página del IPOMEX, precisamente del apartado de “Organigrama” se logra apreciar que se cuenta con la Subsecretaría de Desarrollo Regional Valle de México Zona Nororiente, que a su vez, tiene a su cargo la Coordinación Regional de Cuautitlán </w:t>
      </w:r>
      <w:r w:rsidR="006B6E4D" w:rsidRPr="007C2100">
        <w:rPr>
          <w:rFonts w:ascii="Palatino Linotype" w:eastAsia="Calibri" w:hAnsi="Palatino Linotype" w:cs="Arial"/>
          <w:highlight w:val="yellow"/>
        </w:rPr>
        <w:t>Izcalli</w:t>
      </w:r>
      <w:r w:rsidR="00A126C3" w:rsidRPr="007C2100">
        <w:rPr>
          <w:rFonts w:ascii="Palatino Linotype" w:eastAsia="Calibri" w:hAnsi="Palatino Linotype" w:cs="Arial"/>
          <w:highlight w:val="yellow"/>
        </w:rPr>
        <w:t xml:space="preserve"> y se integra de la siguiente manera:</w:t>
      </w:r>
    </w:p>
    <w:p w14:paraId="68145F5B" w14:textId="77777777" w:rsidR="00A126C3" w:rsidRPr="007C2100" w:rsidRDefault="00A126C3" w:rsidP="00A126C3">
      <w:pPr>
        <w:pStyle w:val="Prrafodelista"/>
        <w:rPr>
          <w:rFonts w:ascii="Palatino Linotype" w:eastAsia="Calibri" w:hAnsi="Palatino Linotype" w:cs="Arial"/>
          <w:highlight w:val="yellow"/>
        </w:rPr>
      </w:pPr>
    </w:p>
    <w:p w14:paraId="6FF12F00" w14:textId="3F84DC1D" w:rsidR="00A126C3" w:rsidRPr="007C2100" w:rsidRDefault="00A126C3" w:rsidP="00A126C3">
      <w:pPr>
        <w:pStyle w:val="Prrafodelista"/>
        <w:tabs>
          <w:tab w:val="left" w:pos="567"/>
        </w:tabs>
        <w:spacing w:line="360" w:lineRule="auto"/>
        <w:ind w:left="0"/>
        <w:jc w:val="center"/>
        <w:rPr>
          <w:rFonts w:ascii="Palatino Linotype" w:eastAsia="Calibri" w:hAnsi="Palatino Linotype" w:cs="Arial"/>
          <w:highlight w:val="yellow"/>
        </w:rPr>
      </w:pPr>
      <w:r w:rsidRPr="007C2100">
        <w:rPr>
          <w:rFonts w:ascii="Palatino Linotype" w:eastAsia="Calibri" w:hAnsi="Palatino Linotype" w:cs="Arial"/>
          <w:noProof/>
          <w:highlight w:val="yellow"/>
          <w:lang w:eastAsia="es-MX"/>
        </w:rPr>
        <w:lastRenderedPageBreak/>
        <w:drawing>
          <wp:inline distT="0" distB="0" distL="0" distR="0" wp14:anchorId="66FD1CF3" wp14:editId="174C7D02">
            <wp:extent cx="3896269" cy="508706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6269" cy="5087060"/>
                    </a:xfrm>
                    <a:prstGeom prst="rect">
                      <a:avLst/>
                    </a:prstGeom>
                  </pic:spPr>
                </pic:pic>
              </a:graphicData>
            </a:graphic>
          </wp:inline>
        </w:drawing>
      </w:r>
    </w:p>
    <w:p w14:paraId="19A3DCE7" w14:textId="77777777" w:rsidR="00A126C3" w:rsidRPr="007C2100" w:rsidRDefault="00A126C3" w:rsidP="00A126C3">
      <w:pPr>
        <w:pStyle w:val="Prrafodelista"/>
        <w:rPr>
          <w:rFonts w:ascii="Palatino Linotype" w:eastAsia="Calibri" w:hAnsi="Palatino Linotype" w:cs="Arial"/>
          <w:highlight w:val="yellow"/>
        </w:rPr>
      </w:pPr>
    </w:p>
    <w:p w14:paraId="36EE08BB" w14:textId="1EF36EB3" w:rsidR="00A126C3" w:rsidRPr="007C2100" w:rsidRDefault="006B6E4D" w:rsidP="003248FF">
      <w:pPr>
        <w:pStyle w:val="Prrafodelista"/>
        <w:numPr>
          <w:ilvl w:val="0"/>
          <w:numId w:val="1"/>
        </w:numPr>
        <w:tabs>
          <w:tab w:val="left" w:pos="567"/>
        </w:tabs>
        <w:spacing w:line="360" w:lineRule="auto"/>
        <w:jc w:val="both"/>
        <w:rPr>
          <w:rFonts w:ascii="Palatino Linotype" w:eastAsia="Calibri" w:hAnsi="Palatino Linotype" w:cs="Arial"/>
          <w:highlight w:val="yellow"/>
        </w:rPr>
      </w:pPr>
      <w:r w:rsidRPr="007C2100">
        <w:rPr>
          <w:rFonts w:ascii="Palatino Linotype" w:eastAsia="Calibri" w:hAnsi="Palatino Linotype" w:cs="Arial"/>
          <w:highlight w:val="yellow"/>
        </w:rPr>
        <w:t>Asimismo, el Manual de Organización del Sujeto Obligado refiere lo siguiente:</w:t>
      </w:r>
    </w:p>
    <w:p w14:paraId="7BEA8D82" w14:textId="77777777" w:rsidR="006B6E4D" w:rsidRPr="007C2100" w:rsidRDefault="006B6E4D" w:rsidP="006B6E4D">
      <w:pPr>
        <w:pStyle w:val="Prrafodelista"/>
        <w:tabs>
          <w:tab w:val="left" w:pos="567"/>
        </w:tabs>
        <w:spacing w:line="360" w:lineRule="auto"/>
        <w:ind w:left="0"/>
        <w:jc w:val="both"/>
        <w:rPr>
          <w:rFonts w:ascii="Palatino Linotype" w:eastAsia="Calibri" w:hAnsi="Palatino Linotype" w:cs="Arial"/>
          <w:highlight w:val="yellow"/>
        </w:rPr>
      </w:pPr>
    </w:p>
    <w:p w14:paraId="1CF1308C" w14:textId="77777777" w:rsidR="000D5F37"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21101000000000T SUBSECRETARÍA DE DESARROLLO REGIONAL VALLE DE TOLUCA </w:t>
      </w:r>
    </w:p>
    <w:p w14:paraId="12DE398D" w14:textId="77777777" w:rsidR="000D5F37" w:rsidRPr="007C2100" w:rsidRDefault="006B6E4D" w:rsidP="000D5F37">
      <w:pPr>
        <w:pStyle w:val="Prrafodelista"/>
        <w:tabs>
          <w:tab w:val="left" w:pos="567"/>
        </w:tabs>
        <w:spacing w:line="360" w:lineRule="auto"/>
        <w:ind w:left="567" w:right="616"/>
        <w:jc w:val="both"/>
        <w:rPr>
          <w:rFonts w:ascii="Palatino Linotype" w:hAnsi="Palatino Linotype"/>
          <w:b/>
          <w:i/>
          <w:sz w:val="22"/>
          <w:highlight w:val="yellow"/>
        </w:rPr>
      </w:pPr>
      <w:r w:rsidRPr="007C2100">
        <w:rPr>
          <w:rFonts w:ascii="Palatino Linotype" w:hAnsi="Palatino Linotype"/>
          <w:b/>
          <w:i/>
          <w:sz w:val="22"/>
          <w:highlight w:val="yellow"/>
        </w:rPr>
        <w:t xml:space="preserve">21102000000000T SUBSECRETARÍA DE DESARROLLO REGIONAL VALLE DE MÉXICO ZONA NORORIENTE </w:t>
      </w:r>
    </w:p>
    <w:p w14:paraId="7043B52D" w14:textId="72529430"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21103000000000T SUBSECRETARÍA DE DESARROLLO REGIONAL VALLE DE MÉXICO ZONA ORIENTE</w:t>
      </w:r>
    </w:p>
    <w:p w14:paraId="08A00E06" w14:textId="77777777"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p>
    <w:p w14:paraId="7F46A636" w14:textId="653A51E0"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OBJETIVO: Coordinar con la participación de las unidades administrativas a su cargo, la ejecución, seguimiento y supervisión de los programas y acciones de desarrollo social que se implementen en la región de su competencia, vigilando la atención de los objetivos de combate a la pobreza y marginación.</w:t>
      </w:r>
    </w:p>
    <w:p w14:paraId="0963E28F" w14:textId="77777777"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p>
    <w:p w14:paraId="57F735CE" w14:textId="0A77071E"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FUNCIONES:</w:t>
      </w:r>
    </w:p>
    <w:p w14:paraId="1358C924" w14:textId="77777777"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p>
    <w:p w14:paraId="68A4133B" w14:textId="77777777"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Coordinar la ejecución de programas y acciones de desarrollo social en la región bajo su responsabilidad. </w:t>
      </w:r>
    </w:p>
    <w:p w14:paraId="24770BD1" w14:textId="77777777"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Participar en reuniones de gabinete regional para conocer la problemática que se presenta en materia de desarrollo social e instruir a las unidades administrativas competentes de la Subsecretaría su atención. </w:t>
      </w:r>
    </w:p>
    <w:p w14:paraId="3E4BDF9F" w14:textId="77777777"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Proporcionar en el ámbito de su competencia, asesoría en materia de desarrollo social y regional a las personas que lo soliciten. </w:t>
      </w:r>
    </w:p>
    <w:p w14:paraId="383FCB46" w14:textId="77777777"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Establecer, previo acuerdo con la o el titular de la Secretaría de Desarrollo Social, mecanismos de colaboración institucional para la ejecución de programas y acciones de desarrollo social en la región a su cargo. </w:t>
      </w:r>
    </w:p>
    <w:p w14:paraId="224DEAC2"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Proponer políticas, programas, obras y acciones para fomentar un desarrollo equilibrado que atienda las carencias sociales en la región a su cargo. </w:t>
      </w:r>
    </w:p>
    <w:p w14:paraId="39C0F3D6"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Proponer acciones para la atención oportuna de la problemática social que se presenta en la región determinada. </w:t>
      </w:r>
    </w:p>
    <w:p w14:paraId="3D3C7B50"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Vigilar el cumplimiento de los compromisos que en materia de desarrollo social hayan asumido en la región a su cargo, las dependencias y organismos auxiliares de carácter estatal y generar los reportes correspondientes. </w:t>
      </w:r>
    </w:p>
    <w:p w14:paraId="20ACBE77"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lastRenderedPageBreak/>
        <w:t xml:space="preserve">− Establecer, en el ámbito de su competencia, criterios, sistemas y procedimientos de carácter técnico, que coadyuven al desarrollo de las funciones de las unidades administrativas adscritas a la Subsecretaría. </w:t>
      </w:r>
    </w:p>
    <w:p w14:paraId="5029293E" w14:textId="1E13AD81" w:rsidR="006B6E4D"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Coordinar el funcionamiento de las Coordinaciones Regionales a su cargo y vigilar el cumplimiento de sus objetivos y programas.</w:t>
      </w:r>
    </w:p>
    <w:p w14:paraId="73F3F245"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Identificar y concertar con las instancias competentes, las obras y acciones de desarrollo social prioritarias en la región de su responsabilidad, previo acuerdo con la o el titular de la Secretaría. </w:t>
      </w:r>
    </w:p>
    <w:p w14:paraId="1AC0307A"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Fomentar la participación ciudadana y la corresponsabilidad en los programas y acciones de desarrollo social que se implementen en la región asignada. </w:t>
      </w:r>
    </w:p>
    <w:p w14:paraId="427A48FD"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Participar en la identificación de la población beneficiaria de programas sociales, haciéndolo del conocimiento de las unidades ejecutoras respectivas. </w:t>
      </w:r>
    </w:p>
    <w:p w14:paraId="378BACDA"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Difundir la política y los programas de desarrollo social implementados en la región a cargo. − Verificar y dar seguimiento a los apoyos que se otorgan a través de los centros de distribución a las y los beneficiarios de los programas sociales, a efecto de conocer y mantener actualizado el padrón de las personas favorecidas. </w:t>
      </w:r>
    </w:p>
    <w:p w14:paraId="4B35055B"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Coordinar acciones con los sectores público, social y privado en la ejecución de la política y de los programas de desarrollo social que se implementen en los municipios correspondientes. </w:t>
      </w:r>
    </w:p>
    <w:p w14:paraId="4D9C8CD5" w14:textId="77777777" w:rsidR="000F60AA" w:rsidRPr="007C2100" w:rsidRDefault="006B6E4D" w:rsidP="000D5F37">
      <w:pPr>
        <w:pStyle w:val="Prrafodelista"/>
        <w:tabs>
          <w:tab w:val="left" w:pos="567"/>
        </w:tabs>
        <w:spacing w:line="360" w:lineRule="auto"/>
        <w:ind w:left="567" w:right="616"/>
        <w:jc w:val="both"/>
        <w:rPr>
          <w:rFonts w:ascii="Palatino Linotype" w:hAnsi="Palatino Linotype"/>
          <w:i/>
          <w:sz w:val="22"/>
          <w:highlight w:val="yellow"/>
        </w:rPr>
      </w:pPr>
      <w:r w:rsidRPr="007C2100">
        <w:rPr>
          <w:rFonts w:ascii="Palatino Linotype" w:hAnsi="Palatino Linotype"/>
          <w:i/>
          <w:sz w:val="22"/>
          <w:highlight w:val="yellow"/>
        </w:rPr>
        <w:t xml:space="preserve">− Atender y coordinar en su región, los asuntos sociales, de políticas públicas, así como las acciones institucionales que le encomienden la o el titular de la Secretaría. </w:t>
      </w:r>
    </w:p>
    <w:p w14:paraId="365D071F" w14:textId="09D3996E" w:rsidR="006B6E4D" w:rsidRPr="007C2100" w:rsidRDefault="006B6E4D" w:rsidP="000D5F37">
      <w:pPr>
        <w:pStyle w:val="Prrafodelista"/>
        <w:tabs>
          <w:tab w:val="left" w:pos="567"/>
        </w:tabs>
        <w:spacing w:line="360" w:lineRule="auto"/>
        <w:ind w:left="567" w:right="616"/>
        <w:jc w:val="both"/>
        <w:rPr>
          <w:rFonts w:ascii="Palatino Linotype" w:eastAsia="Calibri" w:hAnsi="Palatino Linotype" w:cs="Arial"/>
          <w:i/>
          <w:sz w:val="22"/>
          <w:highlight w:val="yellow"/>
        </w:rPr>
      </w:pPr>
      <w:r w:rsidRPr="007C2100">
        <w:rPr>
          <w:rFonts w:ascii="Palatino Linotype" w:hAnsi="Palatino Linotype"/>
          <w:i/>
          <w:sz w:val="22"/>
          <w:highlight w:val="yellow"/>
        </w:rPr>
        <w:t>− Desarrollar las demás funciones inherentes al área de su competencia.</w:t>
      </w:r>
    </w:p>
    <w:p w14:paraId="5F317536" w14:textId="77777777" w:rsidR="000F60AA" w:rsidRPr="007C2100" w:rsidRDefault="000F60AA" w:rsidP="000F60AA">
      <w:pPr>
        <w:rPr>
          <w:rFonts w:ascii="Palatino Linotype" w:eastAsia="Calibri" w:hAnsi="Palatino Linotype" w:cs="Arial"/>
          <w:highlight w:val="yellow"/>
        </w:rPr>
      </w:pPr>
    </w:p>
    <w:p w14:paraId="60C76C0C" w14:textId="77777777" w:rsidR="000D5F37" w:rsidRPr="007C2100" w:rsidRDefault="000F60AA" w:rsidP="000D5F37">
      <w:pPr>
        <w:ind w:left="567" w:right="616"/>
        <w:rPr>
          <w:rFonts w:ascii="Palatino Linotype" w:hAnsi="Palatino Linotype"/>
          <w:b/>
          <w:i/>
          <w:sz w:val="22"/>
          <w:highlight w:val="yellow"/>
        </w:rPr>
      </w:pPr>
      <w:r w:rsidRPr="007C2100">
        <w:rPr>
          <w:rFonts w:ascii="Palatino Linotype" w:hAnsi="Palatino Linotype"/>
          <w:b/>
          <w:i/>
          <w:sz w:val="22"/>
          <w:highlight w:val="yellow"/>
        </w:rPr>
        <w:t>21101001000000T COORDINACIÓN REGIONAL ATLACOMULCO 21101002000000T COORDINACIÓN REGIONAL IXTAPAN DE LA SAL 21101003000000T COORDINACIÓN REGIONAL LERMA</w:t>
      </w:r>
    </w:p>
    <w:p w14:paraId="01F9A3F0" w14:textId="77777777" w:rsidR="000D5F37" w:rsidRPr="007C2100" w:rsidRDefault="000F60AA" w:rsidP="000D5F37">
      <w:pPr>
        <w:ind w:left="567" w:right="616"/>
        <w:rPr>
          <w:rFonts w:ascii="Palatino Linotype" w:hAnsi="Palatino Linotype"/>
          <w:b/>
          <w:i/>
          <w:sz w:val="22"/>
          <w:highlight w:val="yellow"/>
        </w:rPr>
      </w:pPr>
      <w:r w:rsidRPr="007C2100">
        <w:rPr>
          <w:rFonts w:ascii="Palatino Linotype" w:hAnsi="Palatino Linotype"/>
          <w:b/>
          <w:i/>
          <w:sz w:val="22"/>
          <w:highlight w:val="yellow"/>
        </w:rPr>
        <w:t xml:space="preserve">21101004000000T COORDINACIÓN REGIONAL TEJUPILCO </w:t>
      </w:r>
    </w:p>
    <w:p w14:paraId="293D6CE7" w14:textId="77777777" w:rsidR="000D5F37" w:rsidRPr="007C2100" w:rsidRDefault="000F60AA" w:rsidP="000D5F37">
      <w:pPr>
        <w:ind w:left="567" w:right="616"/>
        <w:rPr>
          <w:rFonts w:ascii="Palatino Linotype" w:hAnsi="Palatino Linotype"/>
          <w:b/>
          <w:i/>
          <w:sz w:val="22"/>
          <w:highlight w:val="yellow"/>
        </w:rPr>
      </w:pPr>
      <w:r w:rsidRPr="007C2100">
        <w:rPr>
          <w:rFonts w:ascii="Palatino Linotype" w:hAnsi="Palatino Linotype"/>
          <w:b/>
          <w:i/>
          <w:sz w:val="22"/>
          <w:highlight w:val="yellow"/>
        </w:rPr>
        <w:t xml:space="preserve">21101005000000T COORDINACIÓN REGIONAL TOLUCA </w:t>
      </w:r>
    </w:p>
    <w:p w14:paraId="54589309" w14:textId="77777777" w:rsidR="000D5F37" w:rsidRPr="007C2100" w:rsidRDefault="000F60AA" w:rsidP="000D5F37">
      <w:pPr>
        <w:ind w:left="567" w:right="616"/>
        <w:rPr>
          <w:rFonts w:ascii="Palatino Linotype" w:hAnsi="Palatino Linotype"/>
          <w:b/>
          <w:i/>
          <w:sz w:val="22"/>
          <w:highlight w:val="yellow"/>
        </w:rPr>
      </w:pPr>
      <w:r w:rsidRPr="007C2100">
        <w:rPr>
          <w:rFonts w:ascii="Palatino Linotype" w:hAnsi="Palatino Linotype"/>
          <w:b/>
          <w:i/>
          <w:sz w:val="22"/>
          <w:highlight w:val="yellow"/>
        </w:rPr>
        <w:lastRenderedPageBreak/>
        <w:t xml:space="preserve">21101006000000T COORDINACIÓN REGIONAL VALLE DE BRAVO 21102001000000T COORDINACIÓN REGIONAL CUAUTITLÁN IZCALLI 21102002000000T COORDINACIÓN REGIONAL NAUCALPAN 21102003000000T COORDINACIÓN REGIONAL TLALNEPANTLA 21102004000000T COORDINACIÓN REGIONAL TULTITLÁN 21102005000000T COORDINACIÓN REGIONAL ZUMPANGO 21103001000000T COORDINACIÓN REGIONAL AMECAMECA 21103002000000T COORDINACIÓN REGIONAL CHIMALHUACÁN 21103003000000T COORDINACIÓN REGIONAL ECATEPEC </w:t>
      </w:r>
    </w:p>
    <w:p w14:paraId="1ADC6A2B" w14:textId="650DAEDD" w:rsidR="000F60AA" w:rsidRPr="007C2100" w:rsidRDefault="000F60AA" w:rsidP="000D5F37">
      <w:pPr>
        <w:ind w:left="567" w:right="616"/>
        <w:rPr>
          <w:rFonts w:ascii="Palatino Linotype" w:eastAsia="Calibri" w:hAnsi="Palatino Linotype" w:cs="Arial"/>
          <w:b/>
          <w:i/>
          <w:sz w:val="22"/>
          <w:highlight w:val="yellow"/>
        </w:rPr>
      </w:pPr>
      <w:r w:rsidRPr="007C2100">
        <w:rPr>
          <w:rFonts w:ascii="Palatino Linotype" w:hAnsi="Palatino Linotype"/>
          <w:b/>
          <w:i/>
          <w:sz w:val="22"/>
          <w:highlight w:val="yellow"/>
        </w:rPr>
        <w:t>21103004000000T COORDINACIÓN REGIONAL NEZAHUALCÓYOTL 21103005000000T COORDINACIÓN REGIONAL TEXCOCO</w:t>
      </w:r>
    </w:p>
    <w:p w14:paraId="14E1BF74" w14:textId="77777777" w:rsidR="000F60AA" w:rsidRPr="007C2100" w:rsidRDefault="000F60AA" w:rsidP="000D5F37">
      <w:pPr>
        <w:ind w:left="567" w:right="616"/>
        <w:rPr>
          <w:rFonts w:ascii="Palatino Linotype" w:eastAsia="Calibri" w:hAnsi="Palatino Linotype" w:cs="Arial"/>
          <w:i/>
          <w:sz w:val="22"/>
          <w:highlight w:val="yellow"/>
        </w:rPr>
      </w:pPr>
    </w:p>
    <w:p w14:paraId="3BCD5D0A" w14:textId="77777777" w:rsidR="000F60AA" w:rsidRPr="007C2100" w:rsidRDefault="000F60AA" w:rsidP="000D5F37">
      <w:pPr>
        <w:ind w:left="567" w:right="616"/>
        <w:rPr>
          <w:rFonts w:ascii="Palatino Linotype" w:eastAsia="Calibri" w:hAnsi="Palatino Linotype" w:cs="Arial"/>
          <w:i/>
          <w:sz w:val="22"/>
          <w:highlight w:val="yellow"/>
        </w:rPr>
      </w:pPr>
    </w:p>
    <w:p w14:paraId="0E67BEFB" w14:textId="77777777" w:rsidR="000F60AA" w:rsidRPr="007C2100" w:rsidRDefault="000F60AA" w:rsidP="000D5F37">
      <w:pPr>
        <w:ind w:left="567" w:right="616"/>
        <w:rPr>
          <w:rFonts w:ascii="Palatino Linotype" w:hAnsi="Palatino Linotype"/>
          <w:b/>
          <w:i/>
          <w:sz w:val="22"/>
          <w:highlight w:val="yellow"/>
        </w:rPr>
      </w:pPr>
      <w:r w:rsidRPr="007C2100">
        <w:rPr>
          <w:rFonts w:ascii="Palatino Linotype" w:hAnsi="Palatino Linotype"/>
          <w:b/>
          <w:i/>
          <w:sz w:val="22"/>
          <w:highlight w:val="yellow"/>
        </w:rPr>
        <w:t xml:space="preserve">OBJETIVO: </w:t>
      </w:r>
    </w:p>
    <w:p w14:paraId="3F2BA177" w14:textId="3D165250"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Promover, coordinar y realizar el seguimiento de los programas y acciones de desarrollo social y regional que se implementen en los municipios a su cargo, vigilando la atención de las necesidades sociales.</w:t>
      </w:r>
    </w:p>
    <w:p w14:paraId="23CF45F6" w14:textId="77777777" w:rsidR="000F60AA" w:rsidRPr="007C2100" w:rsidRDefault="000F60AA" w:rsidP="000D5F37">
      <w:pPr>
        <w:ind w:left="567" w:right="616"/>
        <w:rPr>
          <w:rFonts w:ascii="Palatino Linotype" w:hAnsi="Palatino Linotype"/>
          <w:i/>
          <w:sz w:val="22"/>
          <w:highlight w:val="yellow"/>
        </w:rPr>
      </w:pPr>
    </w:p>
    <w:p w14:paraId="61BBB2A0" w14:textId="77777777" w:rsidR="000F60AA" w:rsidRPr="007C2100" w:rsidRDefault="000F60AA" w:rsidP="000D5F37">
      <w:pPr>
        <w:ind w:left="567" w:right="616"/>
        <w:rPr>
          <w:rFonts w:ascii="Palatino Linotype" w:hAnsi="Palatino Linotype"/>
          <w:b/>
          <w:i/>
          <w:sz w:val="22"/>
          <w:highlight w:val="yellow"/>
        </w:rPr>
      </w:pPr>
      <w:r w:rsidRPr="007C2100">
        <w:rPr>
          <w:rFonts w:ascii="Palatino Linotype" w:hAnsi="Palatino Linotype"/>
          <w:b/>
          <w:i/>
          <w:sz w:val="22"/>
          <w:highlight w:val="yellow"/>
        </w:rPr>
        <w:t xml:space="preserve">FUNCIONES: </w:t>
      </w:r>
    </w:p>
    <w:p w14:paraId="1C60AA92"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Coordinar con base en las directrices de la Secretaría y de la Subsecretaría Regional que le corresponda, las acciones con el sector público, social y privado en la ejecución de la política y de los programas de desarrollo social que se implementen en los municipios asignados.</w:t>
      </w:r>
    </w:p>
    <w:p w14:paraId="7D9E4244"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Atender en la región a su cargo, los asuntos que le encomienden la Secretaría y la Subsecretaría de Desarrollo Regional que le corresponda, informando a la persona jerárquicamente superior lo correspondiente.</w:t>
      </w:r>
    </w:p>
    <w:p w14:paraId="257642BB"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Proporcionar, en el ámbito de su competencia, asesoría y apoyo técnico en materia de desarrollo social, a los gobiernos municipales y a los grupos sociales previamente acordados con la Secretaría y la Subsecretaría de Desarrollo Regional correspondiente. </w:t>
      </w:r>
    </w:p>
    <w:p w14:paraId="7EB1A99E"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Realizar el informe trimestral sobre impacto de políticas públicas, mejora en calidad de vida y número de acciones institucionales y presentarlo a la Secretaría y a la Subsecretaría de Desarrollo Regional competente. </w:t>
      </w:r>
    </w:p>
    <w:p w14:paraId="24086874"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Proponer a la persona jerárquicamente superior acciones para fortalecer los programas y acciones de desarrollo social en la región que le corresponde. − Informar a su superior jerárquico del avance y cumplimiento de los programas y acciones de desarrollo social que le sean encomendados. </w:t>
      </w:r>
    </w:p>
    <w:p w14:paraId="0474E95C"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Coordinar la integración de la información socioeconómica, demográfica y de infraestructura social básica en la región a cargo, para apoyar la elaboración de diagnósticos regionales. </w:t>
      </w:r>
    </w:p>
    <w:p w14:paraId="085F8DBB"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lastRenderedPageBreak/>
        <w:t xml:space="preserve">− Formular y proponer a la Subsecretaría de Desarrollo Regional que le corresponda, estrategias para la ejecución de programas de desarrollo social y regional, con base en las características de su región. </w:t>
      </w:r>
    </w:p>
    <w:p w14:paraId="56BE6955"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Fungir como Secretaria o Secretario Técnico en las reuniones de los Consejos de Integración Ciudadana para el Desarrollo Social de su circunscripción y apoyar el cumplimiento de sus responsabilidades.</w:t>
      </w:r>
    </w:p>
    <w:p w14:paraId="112CAEC0"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Fomentar la participación y corresponsabilidad ciudadana en la ejecución de los programas y acciones de desarrollo social que se implementen en la región determinada.</w:t>
      </w:r>
    </w:p>
    <w:p w14:paraId="50772206" w14:textId="6E6D15CC"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Coordinar el funcionamiento de las unidades administrativas bajo su adscripción y verificar el cumplimiento de sus objetivos y funciones.</w:t>
      </w:r>
    </w:p>
    <w:p w14:paraId="69EA1E7B"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Proponer que el gasto de inversión estatal de las dependencias y organismos auxiliares, se oriente a proyectos y estrategias prioritarias de desarrollo social, de conformidad con los programas establecidos. </w:t>
      </w:r>
    </w:p>
    <w:p w14:paraId="7ED4C8F3"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Representar a la Secretaría ante las autoridades gubernamentales y organizaciones privadas y sociales, cuando así le sea instruido por la persona superior jerárquica. − Identificar y, en su caso, proponer a beneficiarias y beneficiarios de los programas y acciones sociales a cargo de la Secretaría, de conformidad con las reglas de operación y lineamientos aplicables. </w:t>
      </w:r>
    </w:p>
    <w:p w14:paraId="35CFD2B5"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Verificar el adecuado funcionamiento de los centros de distribución y la entrega oportuna de los apoyos sociales a beneficiarias y beneficiarios de los municipios encomendados. </w:t>
      </w:r>
    </w:p>
    <w:p w14:paraId="44170CEB"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Integrar y mantener actualizada la lista de espera de las y los solicitantes o posibles personas beneficiarias registradas, que cumplan con los requisitos establecidos en las reglas de operación de los programas sociales que correspondan. </w:t>
      </w:r>
    </w:p>
    <w:p w14:paraId="392A74D8"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Apoyar el funcionamiento de los grupos de trabajo de los Consejos de Integración Ciudadana para el Desarrollo Social, con el fin de que cumplan sus objetivos. </w:t>
      </w:r>
    </w:p>
    <w:p w14:paraId="093F8DB3" w14:textId="2CD154AB"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Atender, en el ámbito de su competencia, las solicitudes, quejas o denuncias ciudadanas de los municipios a su cargo. </w:t>
      </w:r>
    </w:p>
    <w:p w14:paraId="75A9E18F"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Difundir los programas y acciones de desarrollo social en la región asignada. − Identificar obras y acciones prioritarias para el desarrollo social en los municipios que integran la región a su cargo e informar a la persona superior jerárquica para que, en su caso, se gestione su realización. </w:t>
      </w:r>
    </w:p>
    <w:p w14:paraId="3F16CC89" w14:textId="77777777" w:rsidR="000F60AA" w:rsidRPr="007C2100" w:rsidRDefault="000F60AA" w:rsidP="000D5F37">
      <w:pPr>
        <w:ind w:left="567" w:right="616"/>
        <w:rPr>
          <w:rFonts w:ascii="Palatino Linotype" w:hAnsi="Palatino Linotype"/>
          <w:i/>
          <w:sz w:val="22"/>
          <w:highlight w:val="yellow"/>
        </w:rPr>
      </w:pPr>
      <w:r w:rsidRPr="007C2100">
        <w:rPr>
          <w:rFonts w:ascii="Palatino Linotype" w:hAnsi="Palatino Linotype"/>
          <w:i/>
          <w:sz w:val="22"/>
          <w:highlight w:val="yellow"/>
        </w:rPr>
        <w:t xml:space="preserve">− Supervisar el seguimiento de los programas, obras y acciones de desarrollo social en la región bajo su responsabilidad. </w:t>
      </w:r>
    </w:p>
    <w:p w14:paraId="1DC59092" w14:textId="68B1846D" w:rsidR="000F60AA" w:rsidRPr="007C2100" w:rsidRDefault="000F60AA" w:rsidP="000D5F37">
      <w:pPr>
        <w:ind w:left="567" w:right="616"/>
        <w:rPr>
          <w:rFonts w:ascii="Palatino Linotype" w:eastAsia="Calibri" w:hAnsi="Palatino Linotype" w:cs="Arial"/>
          <w:i/>
          <w:sz w:val="22"/>
          <w:highlight w:val="yellow"/>
        </w:rPr>
      </w:pPr>
      <w:r w:rsidRPr="007C2100">
        <w:rPr>
          <w:rFonts w:ascii="Palatino Linotype" w:hAnsi="Palatino Linotype"/>
          <w:i/>
          <w:sz w:val="22"/>
          <w:highlight w:val="yellow"/>
        </w:rPr>
        <w:t>− Desarrollar las demás funciones inherentes al área de su competencia.</w:t>
      </w:r>
    </w:p>
    <w:p w14:paraId="337A71B9" w14:textId="77777777" w:rsidR="000F60AA" w:rsidRPr="007C2100" w:rsidRDefault="000F60AA" w:rsidP="000F60AA">
      <w:pPr>
        <w:rPr>
          <w:rFonts w:ascii="Palatino Linotype" w:eastAsia="Calibri" w:hAnsi="Palatino Linotype" w:cs="Arial"/>
          <w:highlight w:val="yellow"/>
        </w:rPr>
      </w:pPr>
    </w:p>
    <w:p w14:paraId="163BC852" w14:textId="67C81F2E" w:rsidR="00A126C3" w:rsidRPr="007C2100" w:rsidRDefault="000F60AA" w:rsidP="003248FF">
      <w:pPr>
        <w:pStyle w:val="Prrafodelista"/>
        <w:numPr>
          <w:ilvl w:val="0"/>
          <w:numId w:val="1"/>
        </w:numPr>
        <w:tabs>
          <w:tab w:val="left" w:pos="567"/>
        </w:tabs>
        <w:spacing w:line="360" w:lineRule="auto"/>
        <w:jc w:val="both"/>
        <w:rPr>
          <w:rFonts w:ascii="Palatino Linotype" w:eastAsia="Calibri" w:hAnsi="Palatino Linotype" w:cs="Arial"/>
          <w:highlight w:val="yellow"/>
        </w:rPr>
      </w:pPr>
      <w:r w:rsidRPr="007C2100">
        <w:rPr>
          <w:rFonts w:ascii="Palatino Linotype" w:eastAsia="Calibri" w:hAnsi="Palatino Linotype" w:cs="Arial"/>
          <w:highlight w:val="yellow"/>
        </w:rPr>
        <w:t>Por su parte, la Coordinación de Vinculación, tiene el siguiente objetivo y funciones, conforme al Manual de Organización antes referido:</w:t>
      </w:r>
    </w:p>
    <w:p w14:paraId="73BD5294" w14:textId="77777777" w:rsidR="000D5F37" w:rsidRPr="007C2100" w:rsidRDefault="000D5F37" w:rsidP="000D5F37">
      <w:pPr>
        <w:pStyle w:val="Prrafodelista"/>
        <w:tabs>
          <w:tab w:val="left" w:pos="567"/>
        </w:tabs>
        <w:spacing w:line="360" w:lineRule="auto"/>
        <w:ind w:left="0"/>
        <w:jc w:val="both"/>
        <w:rPr>
          <w:rFonts w:ascii="Palatino Linotype" w:eastAsia="Calibri" w:hAnsi="Palatino Linotype" w:cs="Arial"/>
          <w:highlight w:val="yellow"/>
        </w:rPr>
      </w:pPr>
    </w:p>
    <w:p w14:paraId="7E68656C" w14:textId="77777777" w:rsidR="000D5F37" w:rsidRPr="007C2100" w:rsidRDefault="000F60AA" w:rsidP="000F60AA">
      <w:pPr>
        <w:pStyle w:val="Prrafodelista"/>
        <w:tabs>
          <w:tab w:val="left" w:pos="567"/>
        </w:tabs>
        <w:spacing w:line="360" w:lineRule="auto"/>
        <w:ind w:left="0"/>
        <w:jc w:val="both"/>
        <w:rPr>
          <w:rFonts w:ascii="Palatino Linotype" w:hAnsi="Palatino Linotype"/>
          <w:b/>
          <w:i/>
          <w:sz w:val="22"/>
          <w:highlight w:val="yellow"/>
        </w:rPr>
      </w:pPr>
      <w:r w:rsidRPr="007C2100">
        <w:rPr>
          <w:rFonts w:ascii="Palatino Linotype" w:hAnsi="Palatino Linotype"/>
          <w:b/>
          <w:i/>
          <w:sz w:val="22"/>
          <w:highlight w:val="yellow"/>
        </w:rPr>
        <w:t xml:space="preserve">21100003000000S COORDINACIÓN DE VINCULACIÓN </w:t>
      </w:r>
    </w:p>
    <w:p w14:paraId="78E64716" w14:textId="77777777" w:rsidR="000D5F37" w:rsidRPr="007C2100" w:rsidRDefault="000D5F37" w:rsidP="000F60AA">
      <w:pPr>
        <w:pStyle w:val="Prrafodelista"/>
        <w:tabs>
          <w:tab w:val="left" w:pos="567"/>
        </w:tabs>
        <w:spacing w:line="360" w:lineRule="auto"/>
        <w:ind w:left="0"/>
        <w:jc w:val="both"/>
        <w:rPr>
          <w:rFonts w:ascii="Palatino Linotype" w:hAnsi="Palatino Linotype"/>
          <w:b/>
          <w:i/>
          <w:sz w:val="22"/>
          <w:highlight w:val="yellow"/>
        </w:rPr>
      </w:pPr>
    </w:p>
    <w:p w14:paraId="35421685" w14:textId="77777777" w:rsidR="000D5F37" w:rsidRPr="007C2100" w:rsidRDefault="000F60AA" w:rsidP="000F60AA">
      <w:pPr>
        <w:pStyle w:val="Prrafodelista"/>
        <w:tabs>
          <w:tab w:val="left" w:pos="567"/>
        </w:tabs>
        <w:spacing w:line="360" w:lineRule="auto"/>
        <w:ind w:left="0"/>
        <w:jc w:val="both"/>
        <w:rPr>
          <w:rFonts w:ascii="Palatino Linotype" w:hAnsi="Palatino Linotype"/>
          <w:b/>
          <w:i/>
          <w:sz w:val="22"/>
          <w:highlight w:val="yellow"/>
        </w:rPr>
      </w:pPr>
      <w:r w:rsidRPr="007C2100">
        <w:rPr>
          <w:rFonts w:ascii="Palatino Linotype" w:hAnsi="Palatino Linotype"/>
          <w:b/>
          <w:i/>
          <w:sz w:val="22"/>
          <w:highlight w:val="yellow"/>
        </w:rPr>
        <w:t xml:space="preserve">OBJETIVO: </w:t>
      </w:r>
    </w:p>
    <w:p w14:paraId="03610633" w14:textId="4366CC26" w:rsidR="000F60AA" w:rsidRPr="007C2100" w:rsidRDefault="000F60AA" w:rsidP="000F60AA">
      <w:pPr>
        <w:pStyle w:val="Prrafodelista"/>
        <w:tabs>
          <w:tab w:val="left" w:pos="567"/>
        </w:tabs>
        <w:spacing w:line="360" w:lineRule="auto"/>
        <w:ind w:left="0"/>
        <w:jc w:val="both"/>
        <w:rPr>
          <w:rFonts w:ascii="Palatino Linotype" w:hAnsi="Palatino Linotype"/>
          <w:i/>
          <w:sz w:val="22"/>
          <w:highlight w:val="yellow"/>
        </w:rPr>
      </w:pPr>
      <w:r w:rsidRPr="007C2100">
        <w:rPr>
          <w:rFonts w:ascii="Palatino Linotype" w:hAnsi="Palatino Linotype"/>
          <w:i/>
          <w:sz w:val="22"/>
          <w:highlight w:val="yellow"/>
        </w:rPr>
        <w:t>Vincular los sectores público, social y privado con el Gobierno Estatal para promover, concertar y difundir, proyectos y programas de Desarrollo Social, con el fin de ejecutar acciones y proyectos de manera conjunta, en un marco social responsable y en beneficio de la población más vulnerable de la Entidad.</w:t>
      </w:r>
    </w:p>
    <w:p w14:paraId="4115FF29" w14:textId="77777777" w:rsidR="000D5F37" w:rsidRPr="007C2100" w:rsidRDefault="000D5F37" w:rsidP="000F60AA">
      <w:pPr>
        <w:pStyle w:val="Prrafodelista"/>
        <w:tabs>
          <w:tab w:val="left" w:pos="567"/>
        </w:tabs>
        <w:spacing w:line="360" w:lineRule="auto"/>
        <w:ind w:left="0"/>
        <w:jc w:val="both"/>
        <w:rPr>
          <w:rFonts w:ascii="Palatino Linotype" w:hAnsi="Palatino Linotype"/>
          <w:i/>
          <w:sz w:val="22"/>
          <w:highlight w:val="yellow"/>
        </w:rPr>
      </w:pPr>
    </w:p>
    <w:p w14:paraId="59B2B3DB" w14:textId="61CEF368" w:rsidR="000D5F37" w:rsidRPr="007C2100" w:rsidRDefault="000D5F37" w:rsidP="000F60AA">
      <w:pPr>
        <w:pStyle w:val="Prrafodelista"/>
        <w:tabs>
          <w:tab w:val="left" w:pos="567"/>
        </w:tabs>
        <w:spacing w:line="360" w:lineRule="auto"/>
        <w:ind w:left="0"/>
        <w:jc w:val="both"/>
        <w:rPr>
          <w:rFonts w:ascii="Palatino Linotype" w:hAnsi="Palatino Linotype"/>
          <w:b/>
          <w:i/>
          <w:sz w:val="22"/>
          <w:highlight w:val="yellow"/>
        </w:rPr>
      </w:pPr>
      <w:r w:rsidRPr="007C2100">
        <w:rPr>
          <w:rFonts w:ascii="Palatino Linotype" w:hAnsi="Palatino Linotype"/>
          <w:b/>
          <w:i/>
          <w:sz w:val="22"/>
          <w:highlight w:val="yellow"/>
        </w:rPr>
        <w:t>FUNCIONES:</w:t>
      </w:r>
    </w:p>
    <w:p w14:paraId="5B5CBC3D" w14:textId="7E1183E9" w:rsidR="000D5F37" w:rsidRPr="007C2100" w:rsidRDefault="000D5F37" w:rsidP="000F60AA">
      <w:pPr>
        <w:pStyle w:val="Prrafodelista"/>
        <w:tabs>
          <w:tab w:val="left" w:pos="567"/>
        </w:tabs>
        <w:spacing w:line="360" w:lineRule="auto"/>
        <w:ind w:left="0"/>
        <w:jc w:val="both"/>
        <w:rPr>
          <w:rFonts w:ascii="Palatino Linotype" w:hAnsi="Palatino Linotype"/>
          <w:i/>
          <w:sz w:val="22"/>
          <w:highlight w:val="yellow"/>
        </w:rPr>
      </w:pPr>
      <w:r w:rsidRPr="007C2100">
        <w:rPr>
          <w:rFonts w:ascii="Palatino Linotype" w:hAnsi="Palatino Linotype"/>
          <w:i/>
          <w:sz w:val="22"/>
          <w:highlight w:val="yellow"/>
        </w:rPr>
        <w:t>…</w:t>
      </w:r>
    </w:p>
    <w:p w14:paraId="00FE782F" w14:textId="3FC6DFE4" w:rsidR="000D5F37" w:rsidRPr="007C2100" w:rsidRDefault="000D5F37" w:rsidP="000F60AA">
      <w:pPr>
        <w:pStyle w:val="Prrafodelista"/>
        <w:tabs>
          <w:tab w:val="left" w:pos="567"/>
        </w:tabs>
        <w:spacing w:line="360" w:lineRule="auto"/>
        <w:ind w:left="0"/>
        <w:jc w:val="both"/>
        <w:rPr>
          <w:rFonts w:ascii="Palatino Linotype" w:hAnsi="Palatino Linotype"/>
          <w:i/>
          <w:sz w:val="22"/>
          <w:highlight w:val="yellow"/>
        </w:rPr>
      </w:pPr>
      <w:r w:rsidRPr="007C2100">
        <w:rPr>
          <w:rFonts w:ascii="Palatino Linotype" w:hAnsi="Palatino Linotype"/>
          <w:i/>
          <w:sz w:val="22"/>
          <w:highlight w:val="yellow"/>
        </w:rPr>
        <w:t>− Realizar el seguimiento y/o representar a la Secretaría de Desarrollo Social, en Comités, Subcomités, Comisiones, Juntas Directivas, Juntas de Gobierno, Órganos, Consejos Directivos, Grupos de Trabajo, Grupos Especiales, Sistemas, Patronatos, entre otros, instruidos por la o el titular de la Secretaría de Desarrollo Social.</w:t>
      </w:r>
    </w:p>
    <w:p w14:paraId="4B8810A8" w14:textId="77899245" w:rsidR="000D5F37" w:rsidRPr="007C2100" w:rsidRDefault="000D5F37" w:rsidP="000F60AA">
      <w:pPr>
        <w:pStyle w:val="Prrafodelista"/>
        <w:tabs>
          <w:tab w:val="left" w:pos="567"/>
        </w:tabs>
        <w:spacing w:line="360" w:lineRule="auto"/>
        <w:ind w:left="0"/>
        <w:jc w:val="both"/>
        <w:rPr>
          <w:rFonts w:ascii="Palatino Linotype" w:eastAsia="Calibri" w:hAnsi="Palatino Linotype" w:cs="Arial"/>
          <w:i/>
          <w:sz w:val="22"/>
          <w:highlight w:val="yellow"/>
        </w:rPr>
      </w:pPr>
      <w:r w:rsidRPr="007C2100">
        <w:rPr>
          <w:rFonts w:ascii="Palatino Linotype" w:hAnsi="Palatino Linotype"/>
          <w:i/>
          <w:sz w:val="22"/>
          <w:highlight w:val="yellow"/>
        </w:rPr>
        <w:t>…</w:t>
      </w:r>
    </w:p>
    <w:p w14:paraId="3C3787E0" w14:textId="77777777" w:rsidR="000F60AA" w:rsidRPr="007C2100" w:rsidRDefault="000F60AA" w:rsidP="000F60AA">
      <w:pPr>
        <w:pStyle w:val="Prrafodelista"/>
        <w:tabs>
          <w:tab w:val="left" w:pos="567"/>
        </w:tabs>
        <w:spacing w:line="360" w:lineRule="auto"/>
        <w:ind w:left="0"/>
        <w:jc w:val="both"/>
        <w:rPr>
          <w:rFonts w:ascii="Palatino Linotype" w:eastAsia="Calibri" w:hAnsi="Palatino Linotype" w:cs="Arial"/>
          <w:highlight w:val="yellow"/>
        </w:rPr>
      </w:pPr>
    </w:p>
    <w:p w14:paraId="0E80AF02" w14:textId="3F6FC8E0" w:rsidR="00A126C3" w:rsidRPr="007C2100" w:rsidRDefault="000D5F37" w:rsidP="003248FF">
      <w:pPr>
        <w:pStyle w:val="Prrafodelista"/>
        <w:numPr>
          <w:ilvl w:val="0"/>
          <w:numId w:val="1"/>
        </w:numPr>
        <w:tabs>
          <w:tab w:val="left" w:pos="567"/>
        </w:tabs>
        <w:spacing w:line="360" w:lineRule="auto"/>
        <w:jc w:val="both"/>
        <w:rPr>
          <w:rFonts w:ascii="Palatino Linotype" w:eastAsia="Calibri" w:hAnsi="Palatino Linotype" w:cs="Arial"/>
          <w:highlight w:val="yellow"/>
        </w:rPr>
      </w:pPr>
      <w:r w:rsidRPr="007C2100">
        <w:rPr>
          <w:rFonts w:ascii="Palatino Linotype" w:eastAsia="Calibri" w:hAnsi="Palatino Linotype" w:cs="Arial"/>
          <w:highlight w:val="yellow"/>
        </w:rPr>
        <w:t>De lo anterior, se aprecia que dentro de la estructura orgánica del Sujeto Obligado se cuenta con áreas administrativas que pudieran contar con la información requerida por el particular, de manera enunciativa y no limitativa, la Subsecretaría de Desarrollo Regional Valle de México Zona Nororiente, Coordinación Regional de Cuautitlán Izcalli, así como sus subdirecciones y Departamentos, así como la Coordinación de Vinculación, toda vez que son áreas que de acuerdo a la normatividad aplicable pudieran contar con la información.</w:t>
      </w:r>
    </w:p>
    <w:p w14:paraId="79C6A28F" w14:textId="77777777" w:rsidR="00A126C3" w:rsidRDefault="00A126C3" w:rsidP="000D5F37">
      <w:pPr>
        <w:pStyle w:val="Prrafodelista"/>
        <w:tabs>
          <w:tab w:val="left" w:pos="567"/>
        </w:tabs>
        <w:spacing w:line="360" w:lineRule="auto"/>
        <w:ind w:left="0"/>
        <w:jc w:val="both"/>
        <w:rPr>
          <w:rFonts w:ascii="Palatino Linotype" w:eastAsia="Calibri" w:hAnsi="Palatino Linotype" w:cs="Arial"/>
        </w:rPr>
      </w:pPr>
    </w:p>
    <w:p w14:paraId="282474BA" w14:textId="14ABD197" w:rsidR="00AF5295" w:rsidRDefault="000D5F37" w:rsidP="003248F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lastRenderedPageBreak/>
        <w:t xml:space="preserve">Además, </w:t>
      </w:r>
      <w:r w:rsidR="00AF5295">
        <w:rPr>
          <w:rFonts w:ascii="Palatino Linotype" w:eastAsia="Calibri" w:hAnsi="Palatino Linotype" w:cs="Arial"/>
        </w:rPr>
        <w:t>cabe señalar que dicho servidor público, de acuerdo al IPOMEX del Sujeto Obligado, se tiene la siguiente información:</w:t>
      </w:r>
    </w:p>
    <w:p w14:paraId="2AE24EAB" w14:textId="77777777" w:rsidR="00AF5295" w:rsidRPr="00AF5295" w:rsidRDefault="00AF5295" w:rsidP="00AF5295">
      <w:pPr>
        <w:pStyle w:val="Prrafodelista"/>
        <w:rPr>
          <w:rFonts w:ascii="Palatino Linotype" w:eastAsia="Calibri" w:hAnsi="Palatino Linotype" w:cs="Arial"/>
        </w:rPr>
      </w:pPr>
    </w:p>
    <w:p w14:paraId="05EE87F4" w14:textId="3C18DA38" w:rsidR="00AF5295" w:rsidRDefault="00AF5295" w:rsidP="00AF5295">
      <w:pPr>
        <w:pStyle w:val="Prrafodelista"/>
        <w:tabs>
          <w:tab w:val="left" w:pos="567"/>
        </w:tabs>
        <w:spacing w:line="360" w:lineRule="auto"/>
        <w:ind w:left="0"/>
        <w:jc w:val="both"/>
        <w:rPr>
          <w:rFonts w:ascii="Palatino Linotype" w:eastAsia="Calibri" w:hAnsi="Palatino Linotype" w:cs="Arial"/>
        </w:rPr>
      </w:pPr>
      <w:r w:rsidRPr="00AF5295">
        <w:rPr>
          <w:rFonts w:ascii="Palatino Linotype" w:eastAsia="Calibri" w:hAnsi="Palatino Linotype" w:cs="Arial"/>
          <w:noProof/>
          <w:lang w:eastAsia="es-MX"/>
        </w:rPr>
        <w:drawing>
          <wp:inline distT="0" distB="0" distL="0" distR="0" wp14:anchorId="2078695E" wp14:editId="41FE3F7E">
            <wp:extent cx="5612130" cy="45561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556125"/>
                    </a:xfrm>
                    <a:prstGeom prst="rect">
                      <a:avLst/>
                    </a:prstGeom>
                  </pic:spPr>
                </pic:pic>
              </a:graphicData>
            </a:graphic>
          </wp:inline>
        </w:drawing>
      </w:r>
    </w:p>
    <w:p w14:paraId="7976924E" w14:textId="77777777" w:rsidR="00AF5295" w:rsidRPr="00AF5295" w:rsidRDefault="00AF5295" w:rsidP="00AF5295">
      <w:pPr>
        <w:pStyle w:val="Prrafodelista"/>
        <w:rPr>
          <w:rFonts w:ascii="Palatino Linotype" w:eastAsia="Calibri" w:hAnsi="Palatino Linotype" w:cs="Arial"/>
        </w:rPr>
      </w:pPr>
    </w:p>
    <w:p w14:paraId="3E2CC794" w14:textId="14BE12E0" w:rsidR="00D228B7" w:rsidRDefault="00AF5295" w:rsidP="003248FF">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La persona que señaló el particular en su solicitud tiene cargo de Subsecretario de Desarrollo Regional Valle de Toluca y su nombre correcto es José Eduardo Flores Mar</w:t>
      </w:r>
      <w:r w:rsidR="00343AB7">
        <w:rPr>
          <w:rFonts w:ascii="Palatino Linotype" w:eastAsia="Calibri" w:hAnsi="Palatino Linotype" w:cs="Arial"/>
        </w:rPr>
        <w:t xml:space="preserve">ín, por lo tanto, el Sujeto Obligado deberá </w:t>
      </w:r>
      <w:r w:rsidR="000D5F37">
        <w:rPr>
          <w:rFonts w:ascii="Palatino Linotype" w:eastAsia="Calibri" w:hAnsi="Palatino Linotype" w:cs="Arial"/>
        </w:rPr>
        <w:t xml:space="preserve">realizar una búsqueda </w:t>
      </w:r>
      <w:r w:rsidR="00D228B7">
        <w:rPr>
          <w:rFonts w:ascii="Palatino Linotype" w:eastAsia="Calibri" w:hAnsi="Palatino Linotype" w:cs="Arial"/>
        </w:rPr>
        <w:t xml:space="preserve">exhaustiva y razonable a efecto localizar y entregar las actas de los Comités en los que participe la Secretaría de Desarrollo Social y la Coordinación Regional de Cuautitlán Izcalli y </w:t>
      </w:r>
      <w:r w:rsidR="00D228B7">
        <w:rPr>
          <w:rFonts w:ascii="Palatino Linotype" w:eastAsia="Calibri" w:hAnsi="Palatino Linotype" w:cs="Arial"/>
        </w:rPr>
        <w:lastRenderedPageBreak/>
        <w:t>se mencione al Servidor Público José Eduardo Flores Marín Subsecretario de Desarrollo Regional Valle de Toluca.</w:t>
      </w:r>
    </w:p>
    <w:p w14:paraId="15990406" w14:textId="77777777" w:rsidR="00D228B7" w:rsidRPr="00D228B7" w:rsidRDefault="00D228B7" w:rsidP="00D228B7">
      <w:pPr>
        <w:tabs>
          <w:tab w:val="left" w:pos="567"/>
        </w:tabs>
        <w:spacing w:line="360" w:lineRule="auto"/>
        <w:jc w:val="both"/>
        <w:rPr>
          <w:rFonts w:ascii="Palatino Linotype" w:eastAsia="Calibri" w:hAnsi="Palatino Linotype" w:cs="Arial"/>
        </w:rPr>
      </w:pPr>
    </w:p>
    <w:p w14:paraId="03A03793" w14:textId="77777777" w:rsidR="009937E4" w:rsidRPr="00A1443A" w:rsidRDefault="009937E4" w:rsidP="009937E4">
      <w:pPr>
        <w:pStyle w:val="Prrafodelista"/>
        <w:numPr>
          <w:ilvl w:val="0"/>
          <w:numId w:val="1"/>
        </w:numPr>
        <w:spacing w:line="360" w:lineRule="auto"/>
        <w:ind w:right="49"/>
        <w:jc w:val="both"/>
        <w:rPr>
          <w:rFonts w:ascii="Palatino Linotype" w:eastAsia="MS Gothic" w:hAnsi="Palatino Linotype"/>
          <w:szCs w:val="26"/>
        </w:rPr>
      </w:pPr>
      <w:r>
        <w:rPr>
          <w:rFonts w:ascii="Palatino Linotype" w:eastAsia="MS Gothic" w:hAnsi="Palatino Linotype"/>
          <w:szCs w:val="26"/>
        </w:rPr>
        <w:t xml:space="preserve">Por último y no menos importante, es necesario </w:t>
      </w:r>
      <w:r w:rsidRPr="00A1443A">
        <w:rPr>
          <w:rFonts w:ascii="Palatino Linotype" w:hAnsi="Palatino Linotype"/>
          <w:lang w:val="es-ES"/>
        </w:rPr>
        <w:t xml:space="preserve">enfatizar que, para el ejercicio del derecho de acceso a la información pública, a diferencia de otros derechos, permite que los propios particulares actúen sin la necesidad de contar con un representante legal tal y como lo señala el artículo 152 y 178 de la </w:t>
      </w:r>
      <w:r w:rsidRPr="00A1443A">
        <w:rPr>
          <w:rFonts w:ascii="Palatino Linotype" w:hAnsi="Palatino Linotype" w:cs="Arial"/>
        </w:rPr>
        <w:t>Ley de Transparencia y Acceso a la Información Pública del Estado de México y Municipios:</w:t>
      </w:r>
    </w:p>
    <w:p w14:paraId="3480A5F4" w14:textId="77777777" w:rsidR="009937E4" w:rsidRPr="00804F21" w:rsidRDefault="009937E4" w:rsidP="009937E4">
      <w:pPr>
        <w:pStyle w:val="Prrafodelista"/>
        <w:rPr>
          <w:rFonts w:ascii="Palatino Linotype" w:hAnsi="Palatino Linotype" w:cs="Arial"/>
        </w:rPr>
      </w:pPr>
    </w:p>
    <w:p w14:paraId="466B5EE6" w14:textId="77777777" w:rsidR="009937E4" w:rsidRPr="00804F21" w:rsidRDefault="009937E4" w:rsidP="009937E4">
      <w:pPr>
        <w:autoSpaceDE w:val="0"/>
        <w:autoSpaceDN w:val="0"/>
        <w:adjustRightInd w:val="0"/>
        <w:spacing w:line="360" w:lineRule="auto"/>
        <w:ind w:left="567" w:right="616"/>
        <w:jc w:val="both"/>
        <w:rPr>
          <w:rFonts w:ascii="Palatino Linotype" w:hAnsi="Palatino Linotype" w:cs="Bookman Old Style"/>
          <w:i/>
          <w:sz w:val="22"/>
        </w:rPr>
      </w:pPr>
      <w:r w:rsidRPr="00804F21">
        <w:rPr>
          <w:rFonts w:ascii="Palatino Linotype" w:hAnsi="Palatino Linotype" w:cs="Bookman Old Style,Bold"/>
          <w:b/>
          <w:bCs/>
          <w:i/>
          <w:sz w:val="22"/>
        </w:rPr>
        <w:t xml:space="preserve">Artículo 152. </w:t>
      </w:r>
      <w:r w:rsidRPr="00804F21">
        <w:rPr>
          <w:rFonts w:ascii="Palatino Linotype" w:hAnsi="Palatino Linotype" w:cs="Bookman Old Style"/>
          <w:b/>
          <w:i/>
          <w:sz w:val="22"/>
          <w:u w:val="single"/>
        </w:rPr>
        <w:t>Cualquier persona por sí misma o a través de su representante, podrá presentar solicitud de acceso a información</w:t>
      </w:r>
      <w:r w:rsidRPr="00804F21">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0247573" w14:textId="77777777" w:rsidR="009937E4" w:rsidRPr="00804F21" w:rsidRDefault="009937E4" w:rsidP="009937E4">
      <w:pPr>
        <w:autoSpaceDE w:val="0"/>
        <w:autoSpaceDN w:val="0"/>
        <w:adjustRightInd w:val="0"/>
        <w:spacing w:line="360" w:lineRule="auto"/>
        <w:ind w:left="567" w:right="616"/>
        <w:jc w:val="both"/>
        <w:rPr>
          <w:rFonts w:ascii="Palatino Linotype" w:hAnsi="Palatino Linotype" w:cs="Arial"/>
          <w:i/>
        </w:rPr>
      </w:pPr>
      <w:r w:rsidRPr="00804F21">
        <w:rPr>
          <w:rFonts w:ascii="Palatino Linotype" w:hAnsi="Palatino Linotype" w:cs="Bookman Old Style,Bold"/>
          <w:b/>
          <w:bCs/>
          <w:i/>
          <w:sz w:val="22"/>
        </w:rPr>
        <w:t>…</w:t>
      </w:r>
    </w:p>
    <w:p w14:paraId="31BA72BA" w14:textId="77777777" w:rsidR="009937E4" w:rsidRPr="00804F21" w:rsidRDefault="009937E4" w:rsidP="009937E4">
      <w:pPr>
        <w:pStyle w:val="Prrafodelista"/>
        <w:spacing w:line="360" w:lineRule="auto"/>
        <w:ind w:left="567" w:right="616"/>
        <w:jc w:val="both"/>
        <w:rPr>
          <w:rFonts w:ascii="Palatino Linotype" w:hAnsi="Palatino Linotype" w:cs="Arial"/>
          <w:i/>
          <w:color w:val="000000" w:themeColor="text1"/>
          <w:lang w:val="es-ES"/>
        </w:rPr>
      </w:pPr>
      <w:r w:rsidRPr="00804F21">
        <w:rPr>
          <w:rFonts w:ascii="Palatino Linotype" w:hAnsi="Palatino Linotype"/>
          <w:i/>
        </w:rPr>
        <w:t>Artículo 178.</w:t>
      </w:r>
      <w:r w:rsidRPr="00804F21">
        <w:rPr>
          <w:rFonts w:ascii="Palatino Linotype" w:hAnsi="Palatino Linotype"/>
          <w:b/>
          <w:i/>
        </w:rPr>
        <w:t xml:space="preserve"> </w:t>
      </w:r>
      <w:r w:rsidRPr="00804F21">
        <w:rPr>
          <w:rFonts w:ascii="Palatino Linotype" w:hAnsi="Palatino Linotype"/>
          <w:b/>
          <w:i/>
          <w:u w:val="single"/>
        </w:rPr>
        <w:t>El solicitante podrá interponer, por sí mismo</w:t>
      </w:r>
      <w:r w:rsidRPr="00804F21">
        <w:rPr>
          <w:rFonts w:ascii="Palatino Linotype" w:hAnsi="Palatino Linotype"/>
          <w:i/>
          <w:u w:val="single"/>
        </w:rPr>
        <w:t xml:space="preserve"> </w:t>
      </w:r>
      <w:r w:rsidRPr="00804F21">
        <w:rPr>
          <w:rFonts w:ascii="Palatino Linotype" w:hAnsi="Palatino Linotype"/>
          <w:b/>
          <w:i/>
          <w:u w:val="single"/>
        </w:rPr>
        <w:t>o a través de su representante, de manera directa o por medios electrónicos, recurso de revisión</w:t>
      </w:r>
      <w:r w:rsidRPr="00804F21">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58D01B04" w14:textId="77777777" w:rsidR="009937E4" w:rsidRPr="00804F21" w:rsidRDefault="009937E4" w:rsidP="009937E4">
      <w:pPr>
        <w:pStyle w:val="Prrafodelista"/>
        <w:tabs>
          <w:tab w:val="left" w:pos="426"/>
          <w:tab w:val="left" w:pos="851"/>
        </w:tabs>
        <w:spacing w:line="360" w:lineRule="auto"/>
        <w:ind w:left="426" w:right="49"/>
        <w:jc w:val="both"/>
        <w:rPr>
          <w:rFonts w:ascii="Palatino Linotype" w:hAnsi="Palatino Linotype"/>
          <w:lang w:val="es-ES"/>
        </w:rPr>
      </w:pPr>
    </w:p>
    <w:p w14:paraId="42A9534D" w14:textId="77777777" w:rsidR="009937E4" w:rsidRPr="00804F21" w:rsidRDefault="009937E4" w:rsidP="009937E4">
      <w:pPr>
        <w:pStyle w:val="Prrafodelista"/>
        <w:numPr>
          <w:ilvl w:val="0"/>
          <w:numId w:val="1"/>
        </w:numPr>
        <w:spacing w:line="360" w:lineRule="auto"/>
        <w:jc w:val="both"/>
        <w:rPr>
          <w:rFonts w:ascii="Palatino Linotype" w:hAnsi="Palatino Linotype"/>
        </w:rPr>
      </w:pPr>
      <w:r w:rsidRPr="00804F21">
        <w:rPr>
          <w:rFonts w:ascii="Palatino Linotype" w:hAnsi="Palatino Linotype" w:cs="Arial"/>
        </w:rPr>
        <w:t xml:space="preserve">De la interpretación de los preceptos legales en cito, se determina que los particulares pueden interponer la solicitud y posteriormente recurso de revisión </w:t>
      </w:r>
      <w:r w:rsidRPr="00804F21">
        <w:rPr>
          <w:rFonts w:ascii="Palatino Linotype" w:hAnsi="Palatino Linotype" w:cs="Arial"/>
          <w:b/>
        </w:rPr>
        <w:t xml:space="preserve">por </w:t>
      </w:r>
      <w:r w:rsidRPr="00804F21">
        <w:rPr>
          <w:rFonts w:ascii="Palatino Linotype" w:hAnsi="Palatino Linotype" w:cs="Arial"/>
          <w:b/>
        </w:rPr>
        <w:lastRenderedPageBreak/>
        <w:t xml:space="preserve">sí mismos o a través de un representante; </w:t>
      </w:r>
      <w:r w:rsidRPr="00804F21">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804F21">
        <w:rPr>
          <w:rFonts w:ascii="Palatino Linotype" w:hAnsi="Palatino Linotype" w:cs="Arial"/>
          <w:color w:val="000000" w:themeColor="text1"/>
          <w:lang w:val="es-ES"/>
        </w:rPr>
        <w:t>los derechos que les asisten.</w:t>
      </w:r>
    </w:p>
    <w:p w14:paraId="74ED8B8F" w14:textId="77777777" w:rsidR="009937E4" w:rsidRPr="00804F21" w:rsidRDefault="009937E4" w:rsidP="009937E4">
      <w:pPr>
        <w:pStyle w:val="Prrafodelista"/>
        <w:spacing w:line="360" w:lineRule="auto"/>
        <w:ind w:left="0"/>
        <w:jc w:val="both"/>
        <w:rPr>
          <w:rFonts w:ascii="Palatino Linotype" w:hAnsi="Palatino Linotype"/>
        </w:rPr>
      </w:pPr>
    </w:p>
    <w:p w14:paraId="580FDDF1" w14:textId="77777777" w:rsidR="009937E4" w:rsidRPr="00804F21" w:rsidRDefault="009937E4" w:rsidP="009937E4">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804F21">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804F21">
        <w:rPr>
          <w:rFonts w:ascii="Palatino Linotype" w:hAnsi="Palatino Linotype"/>
          <w:szCs w:val="22"/>
          <w:lang w:val="es-ES"/>
        </w:rPr>
        <w:t>los artículos 13</w:t>
      </w:r>
      <w:r w:rsidRPr="00804F21">
        <w:rPr>
          <w:rStyle w:val="Refdenotaalpie"/>
          <w:szCs w:val="22"/>
        </w:rPr>
        <w:footnoteReference w:id="7"/>
      </w:r>
      <w:r w:rsidRPr="00804F21">
        <w:rPr>
          <w:rFonts w:ascii="Palatino Linotype" w:hAnsi="Palatino Linotype"/>
          <w:szCs w:val="22"/>
          <w:lang w:val="es-ES"/>
        </w:rPr>
        <w:t xml:space="preserve"> y 181</w:t>
      </w:r>
      <w:r w:rsidRPr="00804F21">
        <w:rPr>
          <w:rStyle w:val="Refdenotaalpie"/>
          <w:szCs w:val="22"/>
        </w:rPr>
        <w:footnoteReference w:id="8"/>
      </w:r>
      <w:r w:rsidRPr="00804F21">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w:t>
      </w:r>
    </w:p>
    <w:p w14:paraId="73C23D17" w14:textId="77777777" w:rsidR="009937E4" w:rsidRPr="00804F21" w:rsidRDefault="009937E4" w:rsidP="009937E4">
      <w:pPr>
        <w:pStyle w:val="Prrafodelista"/>
        <w:rPr>
          <w:rFonts w:ascii="Palatino Linotype" w:hAnsi="Palatino Linotype"/>
          <w:szCs w:val="22"/>
          <w:lang w:val="es-ES"/>
        </w:rPr>
      </w:pPr>
    </w:p>
    <w:p w14:paraId="7DAE93B0" w14:textId="7208AA62" w:rsidR="009937E4" w:rsidRPr="00804F21" w:rsidRDefault="009937E4" w:rsidP="009937E4">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804F21">
        <w:rPr>
          <w:rFonts w:ascii="Palatino Linotype" w:hAnsi="Palatino Linotype" w:cs="Arial"/>
          <w:lang w:eastAsia="es-MX"/>
        </w:rPr>
        <w:t xml:space="preserve">Es de mencionar que el recurrente no señaló temporalidad de </w:t>
      </w:r>
      <w:r>
        <w:rPr>
          <w:rFonts w:ascii="Palatino Linotype" w:hAnsi="Palatino Linotype" w:cs="Arial"/>
          <w:lang w:eastAsia="es-MX"/>
        </w:rPr>
        <w:t>la cual requiere la información relativa a los viáticos pagados por día,</w:t>
      </w:r>
      <w:r w:rsidRPr="00804F21">
        <w:rPr>
          <w:rFonts w:ascii="Palatino Linotype" w:hAnsi="Palatino Linotype" w:cs="Arial"/>
          <w:lang w:eastAsia="es-MX"/>
        </w:rPr>
        <w:t xml:space="preserve"> e</w:t>
      </w:r>
      <w:r w:rsidRPr="00804F21">
        <w:rPr>
          <w:rFonts w:ascii="Palatino Linotype" w:hAnsi="Palatino Linotype"/>
          <w:szCs w:val="22"/>
          <w:lang w:val="es-ES"/>
        </w:rPr>
        <w:t xml:space="preserve">n consecuencia, </w:t>
      </w:r>
      <w:r>
        <w:rPr>
          <w:rFonts w:ascii="Palatino Linotype" w:hAnsi="Palatino Linotype" w:cs="Arial"/>
        </w:rPr>
        <w:t xml:space="preserve">el Sujeto Obligado debió realizar la búsqueda de la información </w:t>
      </w:r>
      <w:r w:rsidRPr="00804F21">
        <w:rPr>
          <w:rFonts w:ascii="Palatino Linotype" w:hAnsi="Palatino Linotype" w:cs="Arial"/>
        </w:rPr>
        <w:t xml:space="preserve">correspondiente al año inmediato anterior a la presentación de la solicitud de información, es decir, </w:t>
      </w:r>
      <w:r w:rsidRPr="00804F21">
        <w:rPr>
          <w:rFonts w:ascii="Palatino Linotype" w:hAnsi="Palatino Linotype" w:cs="Arial"/>
          <w:b/>
        </w:rPr>
        <w:t xml:space="preserve">del </w:t>
      </w:r>
      <w:r>
        <w:rPr>
          <w:rFonts w:ascii="Palatino Linotype" w:hAnsi="Palatino Linotype" w:cs="Arial"/>
          <w:b/>
        </w:rPr>
        <w:t>veinti</w:t>
      </w:r>
      <w:r w:rsidR="00903FB2">
        <w:rPr>
          <w:rFonts w:ascii="Palatino Linotype" w:hAnsi="Palatino Linotype" w:cs="Arial"/>
          <w:b/>
        </w:rPr>
        <w:t>séis</w:t>
      </w:r>
      <w:r>
        <w:rPr>
          <w:rFonts w:ascii="Palatino Linotype" w:hAnsi="Palatino Linotype" w:cs="Arial"/>
          <w:b/>
        </w:rPr>
        <w:t xml:space="preserve"> </w:t>
      </w:r>
      <w:r w:rsidRPr="00804F21">
        <w:rPr>
          <w:rFonts w:ascii="Palatino Linotype" w:hAnsi="Palatino Linotype" w:cs="Arial"/>
          <w:b/>
        </w:rPr>
        <w:t xml:space="preserve">de </w:t>
      </w:r>
      <w:r>
        <w:rPr>
          <w:rFonts w:ascii="Palatino Linotype" w:hAnsi="Palatino Linotype" w:cs="Arial"/>
          <w:b/>
        </w:rPr>
        <w:t xml:space="preserve">agosto </w:t>
      </w:r>
      <w:r w:rsidRPr="00804F21">
        <w:rPr>
          <w:rFonts w:ascii="Palatino Linotype" w:hAnsi="Palatino Linotype" w:cs="Arial"/>
          <w:b/>
        </w:rPr>
        <w:t xml:space="preserve">de 2021 al </w:t>
      </w:r>
      <w:r>
        <w:rPr>
          <w:rFonts w:ascii="Palatino Linotype" w:hAnsi="Palatino Linotype" w:cs="Arial"/>
          <w:b/>
        </w:rPr>
        <w:t>veinti</w:t>
      </w:r>
      <w:r w:rsidR="00903FB2">
        <w:rPr>
          <w:rFonts w:ascii="Palatino Linotype" w:hAnsi="Palatino Linotype" w:cs="Arial"/>
          <w:b/>
        </w:rPr>
        <w:t>séis</w:t>
      </w:r>
      <w:r w:rsidRPr="00804F21">
        <w:rPr>
          <w:rFonts w:ascii="Palatino Linotype" w:hAnsi="Palatino Linotype" w:cs="Arial"/>
          <w:b/>
        </w:rPr>
        <w:t xml:space="preserve"> de </w:t>
      </w:r>
      <w:r>
        <w:rPr>
          <w:rFonts w:ascii="Palatino Linotype" w:hAnsi="Palatino Linotype" w:cs="Arial"/>
          <w:b/>
        </w:rPr>
        <w:t>agosto</w:t>
      </w:r>
      <w:r w:rsidRPr="00804F21">
        <w:rPr>
          <w:rFonts w:ascii="Palatino Linotype" w:hAnsi="Palatino Linotype" w:cs="Arial"/>
          <w:b/>
        </w:rPr>
        <w:t xml:space="preserve"> de 2022.</w:t>
      </w:r>
    </w:p>
    <w:p w14:paraId="2D64BC5A" w14:textId="77777777" w:rsidR="009937E4" w:rsidRPr="00804F21" w:rsidRDefault="009937E4" w:rsidP="009937E4">
      <w:pPr>
        <w:pStyle w:val="Prrafodelista"/>
        <w:rPr>
          <w:rFonts w:ascii="Palatino Linotype" w:hAnsi="Palatino Linotype" w:cs="Arial"/>
        </w:rPr>
      </w:pPr>
    </w:p>
    <w:p w14:paraId="0C9A9474" w14:textId="77777777" w:rsidR="009937E4" w:rsidRPr="00804F21" w:rsidRDefault="009937E4" w:rsidP="009937E4">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804F21">
        <w:rPr>
          <w:rFonts w:ascii="Palatino Linotype" w:hAnsi="Palatino Linotype" w:cs="Arial"/>
        </w:rPr>
        <w:lastRenderedPageBreak/>
        <w:t>Sirve de sustento a lo anterior el criterio número 9/13 emitido por el entonces Instituto Federal de Acceso a la Información Pública, cuyo texto y sentido literal es el siguiente:</w:t>
      </w:r>
    </w:p>
    <w:p w14:paraId="213DCBC2" w14:textId="77777777" w:rsidR="009937E4" w:rsidRPr="00804F21" w:rsidRDefault="009937E4" w:rsidP="009937E4">
      <w:pPr>
        <w:pStyle w:val="Prrafodelista"/>
        <w:rPr>
          <w:rFonts w:ascii="Palatino Linotype" w:hAnsi="Palatino Linotype" w:cs="Arial"/>
          <w:lang w:eastAsia="es-MX"/>
        </w:rPr>
      </w:pPr>
    </w:p>
    <w:p w14:paraId="5ABE8BFF" w14:textId="77777777" w:rsidR="009937E4" w:rsidRPr="00804F21" w:rsidRDefault="009937E4" w:rsidP="009937E4">
      <w:pPr>
        <w:pStyle w:val="Prrafodelista"/>
        <w:tabs>
          <w:tab w:val="left" w:pos="567"/>
        </w:tabs>
        <w:spacing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Periodo de búsqueda de la información, cuando no se precisa en la solicitud de información</w:t>
      </w:r>
      <w:r w:rsidRPr="00804F21">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804F21">
        <w:rPr>
          <w:rFonts w:ascii="Palatino Linotype" w:hAnsi="Palatino Linotype" w:cs="Arial"/>
          <w:b/>
          <w:i/>
        </w:rPr>
        <w:t>deberá interpretarse que su requerimiento se refiere al del año inmediato anterior contado a partir de la fecha en que se presentó la solicitud</w:t>
      </w:r>
      <w:r w:rsidRPr="00804F21">
        <w:rPr>
          <w:rFonts w:ascii="Palatino Linotype" w:hAnsi="Palatino Linotype" w:cs="Arial"/>
          <w:i/>
        </w:rPr>
        <w:t>. Lo anterior permite que los sujetos obligados cuenten con mayores elementos para precisar y localizar la información solicitada.”</w:t>
      </w:r>
    </w:p>
    <w:p w14:paraId="5B0D8A28" w14:textId="77777777" w:rsidR="009937E4" w:rsidRDefault="009937E4" w:rsidP="009937E4">
      <w:pPr>
        <w:pStyle w:val="Prrafodelista"/>
        <w:spacing w:line="360" w:lineRule="auto"/>
        <w:ind w:left="0"/>
        <w:jc w:val="both"/>
        <w:rPr>
          <w:rFonts w:ascii="Palatino Linotype" w:hAnsi="Palatino Linotype"/>
          <w:color w:val="000000"/>
          <w:szCs w:val="22"/>
        </w:rPr>
      </w:pPr>
    </w:p>
    <w:p w14:paraId="52B4782C" w14:textId="4CAA8EFC" w:rsidR="00CA7561" w:rsidRPr="00903FB2" w:rsidRDefault="00CA7561" w:rsidP="00CA7561">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hAnsi="Palatino Linotype"/>
          <w:color w:val="000000"/>
          <w:szCs w:val="22"/>
        </w:rPr>
        <w:t xml:space="preserve">Es por lo anterior que </w:t>
      </w:r>
      <w:r w:rsidR="009937E4">
        <w:rPr>
          <w:rFonts w:ascii="Palatino Linotype" w:hAnsi="Palatino Linotype"/>
          <w:color w:val="000000"/>
          <w:szCs w:val="22"/>
        </w:rPr>
        <w:t xml:space="preserve">se ORDENA realizar una búsqueda exhaustiva y razonable de las actas se sesión de los Comités </w:t>
      </w:r>
      <w:r w:rsidR="00441730">
        <w:rPr>
          <w:rFonts w:ascii="Palatino Linotype" w:hAnsi="Palatino Linotype"/>
          <w:color w:val="000000"/>
          <w:szCs w:val="22"/>
        </w:rPr>
        <w:t xml:space="preserve">de la Secretaría de Desarrollo Social en los que participe la Coordinación Regional de Cuautitlán Izcalli </w:t>
      </w:r>
      <w:r>
        <w:rPr>
          <w:rFonts w:ascii="Palatino Linotype" w:eastAsia="Calibri" w:hAnsi="Palatino Linotype" w:cs="Arial"/>
        </w:rPr>
        <w:t>y que se haga menci</w:t>
      </w:r>
      <w:r w:rsidR="00373D57">
        <w:rPr>
          <w:rFonts w:ascii="Palatino Linotype" w:eastAsia="Calibri" w:hAnsi="Palatino Linotype" w:cs="Arial"/>
        </w:rPr>
        <w:t>ó</w:t>
      </w:r>
      <w:r>
        <w:rPr>
          <w:rFonts w:ascii="Palatino Linotype" w:eastAsia="Calibri" w:hAnsi="Palatino Linotype" w:cs="Arial"/>
        </w:rPr>
        <w:t>n</w:t>
      </w:r>
      <w:r w:rsidR="00373D57">
        <w:rPr>
          <w:rFonts w:ascii="Palatino Linotype" w:eastAsia="Calibri" w:hAnsi="Palatino Linotype" w:cs="Arial"/>
        </w:rPr>
        <w:t xml:space="preserve"> del</w:t>
      </w:r>
      <w:r>
        <w:rPr>
          <w:rFonts w:ascii="Palatino Linotype" w:eastAsia="Calibri" w:hAnsi="Palatino Linotype" w:cs="Arial"/>
        </w:rPr>
        <w:t xml:space="preserve"> Subsecretario de Desarrollo Regional Valle de Toluca, José Eduardo Flores Marín, independientem</w:t>
      </w:r>
      <w:r w:rsidR="00903FB2">
        <w:rPr>
          <w:rFonts w:ascii="Palatino Linotype" w:eastAsia="Calibri" w:hAnsi="Palatino Linotype" w:cs="Arial"/>
        </w:rPr>
        <w:t xml:space="preserve">ente de que sea integrante o no, </w:t>
      </w:r>
      <w:r w:rsidR="00903FB2">
        <w:rPr>
          <w:rFonts w:ascii="Palatino Linotype" w:eastAsia="Calibri" w:hAnsi="Palatino Linotype" w:cs="Arial"/>
          <w:b/>
        </w:rPr>
        <w:t xml:space="preserve">del periodo comprendido </w:t>
      </w:r>
      <w:r w:rsidR="00903FB2" w:rsidRPr="00903FB2">
        <w:rPr>
          <w:rFonts w:ascii="Palatino Linotype" w:hAnsi="Palatino Linotype" w:cs="Arial"/>
          <w:b/>
        </w:rPr>
        <w:t>veinti</w:t>
      </w:r>
      <w:r w:rsidR="00903FB2">
        <w:rPr>
          <w:rFonts w:ascii="Palatino Linotype" w:hAnsi="Palatino Linotype" w:cs="Arial"/>
          <w:b/>
        </w:rPr>
        <w:t>séis (26)</w:t>
      </w:r>
      <w:r w:rsidR="00903FB2" w:rsidRPr="00903FB2">
        <w:rPr>
          <w:rFonts w:ascii="Palatino Linotype" w:hAnsi="Palatino Linotype" w:cs="Arial"/>
          <w:b/>
        </w:rPr>
        <w:t xml:space="preserve"> de agosto de 2021 al veinti</w:t>
      </w:r>
      <w:r w:rsidR="00903FB2">
        <w:rPr>
          <w:rFonts w:ascii="Palatino Linotype" w:hAnsi="Palatino Linotype" w:cs="Arial"/>
          <w:b/>
        </w:rPr>
        <w:t xml:space="preserve">séis (26) </w:t>
      </w:r>
      <w:r w:rsidR="00903FB2" w:rsidRPr="00903FB2">
        <w:rPr>
          <w:rFonts w:ascii="Palatino Linotype" w:hAnsi="Palatino Linotype" w:cs="Arial"/>
          <w:b/>
        </w:rPr>
        <w:t>de agosto de 2022.</w:t>
      </w:r>
    </w:p>
    <w:p w14:paraId="78D4C076" w14:textId="77777777" w:rsidR="00903FB2" w:rsidRDefault="00903FB2" w:rsidP="004F6943">
      <w:pPr>
        <w:pStyle w:val="Prrafodelista"/>
        <w:tabs>
          <w:tab w:val="left" w:pos="567"/>
          <w:tab w:val="left" w:pos="5103"/>
        </w:tabs>
        <w:spacing w:line="360" w:lineRule="auto"/>
        <w:ind w:left="0"/>
        <w:jc w:val="both"/>
        <w:rPr>
          <w:rFonts w:ascii="Palatino Linotype" w:eastAsia="Calibri" w:hAnsi="Palatino Linotype" w:cs="Arial"/>
        </w:rPr>
      </w:pPr>
    </w:p>
    <w:p w14:paraId="26F2FBCE" w14:textId="130FB8C5" w:rsidR="00CA7561" w:rsidRDefault="00CA7561" w:rsidP="00CA7561">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De ser el caso de que las documentales que se ORDENAN entregar contengan datos personales susceptibles de clasificarse como información confidencial, el </w:t>
      </w:r>
      <w:r>
        <w:rPr>
          <w:rFonts w:ascii="Palatino Linotype" w:eastAsia="Calibri" w:hAnsi="Palatino Linotype" w:cs="Arial"/>
        </w:rPr>
        <w:lastRenderedPageBreak/>
        <w:t>Sujeto Obligado deberá estar a lo dispuesto en el Considerando QUINTO de la presente resolución.</w:t>
      </w:r>
    </w:p>
    <w:p w14:paraId="5E0EF86E" w14:textId="77777777" w:rsidR="00CA7561" w:rsidRPr="00CA7561" w:rsidRDefault="00CA7561" w:rsidP="00CA7561">
      <w:pPr>
        <w:pStyle w:val="Prrafodelista"/>
        <w:rPr>
          <w:rFonts w:ascii="Palatino Linotype" w:eastAsia="Calibri" w:hAnsi="Palatino Linotype" w:cs="Arial"/>
        </w:rPr>
      </w:pPr>
    </w:p>
    <w:p w14:paraId="0D99BDB1" w14:textId="3963B545" w:rsidR="00CA7561" w:rsidRPr="00CA7561" w:rsidRDefault="00CA7561" w:rsidP="00CA7561">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Ahora bien, si como resultado de la búsqueda exhaustiva y razonable, no se llegara a localizar la información por el hecho de que no se mencione al Servidor Público José Eduardo Flores Marín en ninguna de las actas de los Comités, el Sujeto Obligado deberá de manifestar las razones que expliquen las causas por las que no se generó la información.</w:t>
      </w:r>
    </w:p>
    <w:p w14:paraId="64D9D74F" w14:textId="1955DCD6" w:rsidR="00307194" w:rsidRPr="00030C87" w:rsidRDefault="00307194" w:rsidP="00307194">
      <w:pPr>
        <w:pStyle w:val="Ttulo1"/>
        <w:rPr>
          <w:b/>
          <w:lang w:val="es-ES_tradnl"/>
        </w:rPr>
      </w:pPr>
      <w:bookmarkStart w:id="33" w:name="_Toc87549682"/>
      <w:r>
        <w:rPr>
          <w:b/>
          <w:lang w:val="es-ES_tradnl"/>
        </w:rPr>
        <w:t>QUINTO</w:t>
      </w:r>
      <w:r w:rsidRPr="00030C87">
        <w:rPr>
          <w:b/>
          <w:lang w:val="es-ES_tradnl"/>
        </w:rPr>
        <w:t>. De la versión pública.</w:t>
      </w:r>
      <w:bookmarkEnd w:id="33"/>
    </w:p>
    <w:p w14:paraId="1425D342" w14:textId="77777777" w:rsidR="00307194" w:rsidRPr="00030C87" w:rsidRDefault="00307194" w:rsidP="00307194">
      <w:pPr>
        <w:rPr>
          <w:rFonts w:ascii="Palatino Linotype" w:hAnsi="Palatino Linotype"/>
          <w:lang w:val="es-ES_tradnl"/>
        </w:rPr>
      </w:pPr>
    </w:p>
    <w:p w14:paraId="0A26517D" w14:textId="77777777" w:rsidR="00307194" w:rsidRPr="00030C87"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030C87">
        <w:rPr>
          <w:rFonts w:cs="Times New Roman"/>
          <w:b/>
          <w:color w:val="000000" w:themeColor="text1"/>
          <w:szCs w:val="24"/>
          <w:lang w:eastAsia="es-ES_tradnl"/>
        </w:rPr>
        <w:t>Nociones generales.</w:t>
      </w:r>
      <w:bookmarkEnd w:id="34"/>
      <w:bookmarkEnd w:id="35"/>
      <w:bookmarkEnd w:id="36"/>
      <w:bookmarkEnd w:id="37"/>
      <w:bookmarkEnd w:id="38"/>
      <w:r w:rsidRPr="00030C87">
        <w:rPr>
          <w:rFonts w:cs="Times New Roman"/>
          <w:b/>
          <w:color w:val="000000" w:themeColor="text1"/>
          <w:szCs w:val="24"/>
          <w:lang w:eastAsia="es-ES_tradnl"/>
        </w:rPr>
        <w:t xml:space="preserve"> </w:t>
      </w:r>
    </w:p>
    <w:p w14:paraId="7B10D8F6" w14:textId="77777777" w:rsidR="00307194" w:rsidRPr="00030C87" w:rsidRDefault="00307194" w:rsidP="00307194">
      <w:pPr>
        <w:rPr>
          <w:rFonts w:ascii="Palatino Linotype" w:hAnsi="Palatino Linotype"/>
          <w:lang w:eastAsia="es-ES_tradnl"/>
        </w:rPr>
      </w:pPr>
    </w:p>
    <w:p w14:paraId="50604A2E" w14:textId="77777777" w:rsidR="00307194" w:rsidRPr="00030C87"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030C87" w:rsidRDefault="00307194" w:rsidP="00307194">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48C686FF" w14:textId="77777777" w:rsidR="00307194" w:rsidRPr="00030C87"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030C87">
        <w:rPr>
          <w:rFonts w:ascii="Palatino Linotype" w:hAnsi="Palatino Linotype" w:cs="Arial"/>
          <w:b/>
          <w:bCs/>
          <w:color w:val="000000"/>
        </w:rPr>
        <w:t xml:space="preserve">Sujetos Obligados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030C87"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030C87"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BE2CF3" w:rsidRDefault="00307194" w:rsidP="00BE2CF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a) Requisitos previos.</w:t>
            </w:r>
          </w:p>
        </w:tc>
        <w:tc>
          <w:tcPr>
            <w:tcW w:w="6667" w:type="dxa"/>
            <w:hideMark/>
          </w:tcPr>
          <w:p w14:paraId="4A8782C3" w14:textId="77777777" w:rsidR="00307194" w:rsidRPr="00BE2CF3"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BE2CF3"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BE2CF3"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BE2CF3"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030C87"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BE2CF3" w:rsidRDefault="00307194" w:rsidP="00BE2CF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b) Supuestos de clasificación.</w:t>
            </w:r>
          </w:p>
        </w:tc>
        <w:tc>
          <w:tcPr>
            <w:tcW w:w="6667" w:type="dxa"/>
            <w:hideMark/>
          </w:tcPr>
          <w:p w14:paraId="40333483"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BE2CF3"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w:t>
            </w:r>
            <w:r w:rsidRPr="00BE2CF3">
              <w:rPr>
                <w:rFonts w:ascii="Palatino Linotype" w:hAnsi="Palatino Linotype" w:cs="Arial"/>
                <w:color w:val="000000"/>
                <w:sz w:val="20"/>
              </w:rPr>
              <w:lastRenderedPageBreak/>
              <w:t>hecho corresponde estrictamente con la hipótesis jurídica. Esto también lo debe de realizar el servidor público habilitado y el titular del área que administra la información.</w:t>
            </w:r>
          </w:p>
        </w:tc>
      </w:tr>
      <w:tr w:rsidR="00307194" w:rsidRPr="00030C87"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BE2CF3" w:rsidRDefault="00307194" w:rsidP="00BE2CF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BE2CF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BE2CF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BE2CF3"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030C87"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BE2CF3" w:rsidRDefault="00307194" w:rsidP="00BE2CF3">
            <w:pPr>
              <w:tabs>
                <w:tab w:val="left" w:pos="284"/>
              </w:tabs>
              <w:spacing w:line="360" w:lineRule="auto"/>
              <w:rPr>
                <w:rFonts w:ascii="Palatino Linotype" w:hAnsi="Palatino Linotype"/>
                <w:b w:val="0"/>
                <w:sz w:val="20"/>
              </w:rPr>
            </w:pPr>
          </w:p>
          <w:p w14:paraId="316663EF" w14:textId="77777777" w:rsidR="00307194" w:rsidRPr="00BE2CF3" w:rsidRDefault="00307194" w:rsidP="00BE2CF3">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71C4715A"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w:t>
            </w:r>
            <w:r w:rsidRPr="00BE2CF3">
              <w:rPr>
                <w:rFonts w:ascii="Palatino Linotype" w:hAnsi="Palatino Linotype" w:cs="Arial"/>
                <w:color w:val="000000"/>
                <w:sz w:val="20"/>
              </w:rPr>
              <w:lastRenderedPageBreak/>
              <w:t>que le dieron origen y las razones por las que se deben aplicar al caso concreto.</w:t>
            </w:r>
          </w:p>
          <w:p w14:paraId="183D72E6"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030C87"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BE2CF3" w:rsidRDefault="00307194" w:rsidP="00BE2CF3">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BE2CF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BE2CF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BE2CF3"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Pero si la información que se pretende clasificar como confidencial no se encuentra en los supuestos de los artículos señalados y es posible, se deberá consultar al titular de los datos si permite o no el acceso. De no </w:t>
            </w:r>
            <w:r w:rsidRPr="00BE2CF3">
              <w:rPr>
                <w:rFonts w:ascii="Palatino Linotype" w:hAnsi="Palatino Linotype" w:cs="Arial"/>
                <w:color w:val="000000"/>
                <w:sz w:val="20"/>
              </w:rPr>
              <w:lastRenderedPageBreak/>
              <w:t>ser posible, la realización de la consulta, procede, fundando y motivando, la clasificación.</w:t>
            </w:r>
          </w:p>
        </w:tc>
      </w:tr>
    </w:tbl>
    <w:p w14:paraId="653D46EF" w14:textId="77777777" w:rsidR="00307194" w:rsidRPr="00030C87"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BA619F"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DD7DC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Pr>
          <w:rFonts w:ascii="Palatino Linotype" w:hAnsi="Palatino Linotype" w:cs="Arial"/>
        </w:rPr>
        <w:t xml:space="preserve"> </w:t>
      </w:r>
    </w:p>
    <w:p w14:paraId="16420AB4" w14:textId="77777777" w:rsidR="00136781" w:rsidRPr="00BA619F" w:rsidRDefault="00136781"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A0054B">
        <w:rPr>
          <w:b/>
          <w:color w:val="000000" w:themeColor="text1"/>
          <w:szCs w:val="24"/>
        </w:rPr>
        <w:t>R E S O L U T I V O S</w:t>
      </w:r>
      <w:bookmarkEnd w:id="24"/>
      <w:bookmarkEnd w:id="25"/>
      <w:bookmarkEnd w:id="39"/>
      <w:bookmarkEnd w:id="40"/>
      <w:bookmarkEnd w:id="41"/>
    </w:p>
    <w:p w14:paraId="5DF7248B" w14:textId="482355F6"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5A1464">
        <w:rPr>
          <w:rFonts w:ascii="Palatino Linotype" w:eastAsia="Times New Roman" w:hAnsi="Palatino Linotype" w:cs="Arial"/>
        </w:rPr>
        <w:t xml:space="preserve">parcialmente </w:t>
      </w:r>
      <w:r w:rsidR="00B87705">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C071E8" w:rsidRPr="00C071E8">
        <w:rPr>
          <w:rFonts w:ascii="Palatino Linotype" w:eastAsia="Calibri" w:hAnsi="Palatino Linotype" w:cs="Arial"/>
          <w:b/>
          <w:lang w:val="es-ES"/>
        </w:rPr>
        <w:t>15168</w:t>
      </w:r>
      <w:r w:rsidR="00C071E8" w:rsidRPr="00C071E8">
        <w:rPr>
          <w:rFonts w:ascii="Palatino Linotype" w:hAnsi="Palatino Linotype"/>
          <w:b/>
          <w:szCs w:val="22"/>
        </w:rPr>
        <w:t>/INFOEM/IP/RR/2022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15DA6753" w:rsidR="00014006" w:rsidRPr="00A0054B" w:rsidRDefault="00014006" w:rsidP="00014006">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5B060F">
        <w:rPr>
          <w:rFonts w:ascii="Palatino Linotype" w:eastAsia="Calibri" w:hAnsi="Palatino Linotype" w:cs="Arial"/>
          <w:b/>
          <w:bCs/>
          <w:lang w:val="es-ES"/>
        </w:rPr>
        <w:t>REVOCA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C071E8">
        <w:rPr>
          <w:rFonts w:ascii="Palatino Linotype" w:eastAsia="Calibri" w:hAnsi="Palatino Linotype" w:cs="Arial"/>
          <w:b/>
          <w:bCs/>
          <w:lang w:val="es-ES"/>
        </w:rPr>
        <w:t xml:space="preserve">la </w:t>
      </w:r>
      <w:r w:rsidR="001E50B9" w:rsidRPr="001E50B9">
        <w:rPr>
          <w:rFonts w:ascii="Palatino Linotype" w:eastAsia="Calibri" w:hAnsi="Palatino Linotype" w:cs="Arial"/>
          <w:b/>
          <w:bCs/>
          <w:szCs w:val="22"/>
          <w:lang w:val="es-ES"/>
        </w:rPr>
        <w:t>Se</w:t>
      </w:r>
      <w:r w:rsidR="00C071E8">
        <w:rPr>
          <w:rFonts w:ascii="Palatino Linotype" w:eastAsia="Calibri" w:hAnsi="Palatino Linotype" w:cs="Arial"/>
          <w:b/>
          <w:bCs/>
          <w:szCs w:val="22"/>
          <w:lang w:val="es-ES"/>
        </w:rPr>
        <w:t>cretaría de Desarrollo Social</w:t>
      </w:r>
      <w:r>
        <w:rPr>
          <w:rFonts w:ascii="Palatino Linotype" w:hAnsi="Palatino Linotype"/>
          <w:b/>
          <w:bCs/>
          <w:color w:val="000000"/>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sidR="0016383D">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sidR="005B060F">
        <w:rPr>
          <w:rFonts w:ascii="Palatino Linotype" w:eastAsia="Calibri" w:hAnsi="Palatino Linotype" w:cs="Arial"/>
          <w:lang w:val="es-ES"/>
        </w:rPr>
        <w:t xml:space="preserve">previa búsqueda exhaustiva y razonable, </w:t>
      </w:r>
      <w:r w:rsidR="00396F3B">
        <w:rPr>
          <w:rFonts w:ascii="Palatino Linotype" w:eastAsia="Calibri" w:hAnsi="Palatino Linotype" w:cs="Arial"/>
          <w:lang w:val="es-ES"/>
        </w:rPr>
        <w:t>en versión pública</w:t>
      </w:r>
      <w:r w:rsidR="00072C90">
        <w:rPr>
          <w:rFonts w:ascii="Palatino Linotype" w:eastAsia="Calibri" w:hAnsi="Palatino Linotype" w:cs="Arial"/>
          <w:lang w:val="es-ES"/>
        </w:rPr>
        <w:t>,</w:t>
      </w:r>
      <w:r w:rsidR="00396F3B">
        <w:rPr>
          <w:rFonts w:ascii="Palatino Linotype" w:eastAsia="Calibri" w:hAnsi="Palatino Linotype" w:cs="Arial"/>
          <w:lang w:val="es-ES"/>
        </w:rPr>
        <w:t xml:space="preserve"> </w:t>
      </w:r>
      <w:r w:rsidR="00AF5DAA">
        <w:rPr>
          <w:rFonts w:ascii="Palatino Linotype" w:eastAsia="Calibri" w:hAnsi="Palatino Linotype" w:cs="Arial"/>
          <w:lang w:val="es-ES"/>
        </w:rPr>
        <w:t>la</w:t>
      </w:r>
      <w:r>
        <w:rPr>
          <w:rFonts w:ascii="Palatino Linotype" w:eastAsia="Calibri" w:hAnsi="Palatino Linotype" w:cs="Arial"/>
          <w:bCs/>
          <w:lang w:val="es-ES"/>
        </w:rPr>
        <w:t xml:space="preserve"> siguiente información:</w:t>
      </w:r>
    </w:p>
    <w:p w14:paraId="2E227B13" w14:textId="77777777" w:rsidR="007469DE" w:rsidRPr="007B4B27" w:rsidRDefault="007469DE" w:rsidP="007469DE">
      <w:pPr>
        <w:spacing w:line="360" w:lineRule="auto"/>
        <w:ind w:right="-93"/>
        <w:jc w:val="both"/>
        <w:rPr>
          <w:rFonts w:ascii="Palatino Linotype" w:hAnsi="Palatino Linotype" w:cs="Tahoma"/>
          <w:sz w:val="22"/>
          <w:szCs w:val="22"/>
          <w:lang w:val="es-ES"/>
        </w:rPr>
      </w:pPr>
    </w:p>
    <w:p w14:paraId="10809FD6" w14:textId="48E9CF45" w:rsidR="00D228B7" w:rsidRPr="007C2100" w:rsidRDefault="00D228B7" w:rsidP="00D228B7">
      <w:pPr>
        <w:pStyle w:val="Prrafodelista"/>
        <w:numPr>
          <w:ilvl w:val="0"/>
          <w:numId w:val="7"/>
        </w:numPr>
        <w:spacing w:line="360" w:lineRule="auto"/>
        <w:ind w:left="426"/>
        <w:jc w:val="both"/>
        <w:rPr>
          <w:rFonts w:ascii="Palatino Linotype" w:eastAsia="Palatino Linotype" w:hAnsi="Palatino Linotype" w:cs="Palatino Linotype"/>
          <w:b/>
          <w:szCs w:val="22"/>
          <w:highlight w:val="yellow"/>
        </w:rPr>
      </w:pPr>
      <w:r w:rsidRPr="007C2100">
        <w:rPr>
          <w:rFonts w:ascii="Palatino Linotype" w:hAnsi="Palatino Linotype"/>
          <w:b/>
          <w:color w:val="000000"/>
          <w:szCs w:val="22"/>
          <w:highlight w:val="yellow"/>
        </w:rPr>
        <w:t>Actas de Sesión de los Comités de la Secretaria de Desarrollo Social, en los que participe Coordinación Regional de Cuautitlán Izcalli y que se mencione a</w:t>
      </w:r>
      <w:r w:rsidRPr="007C2100">
        <w:rPr>
          <w:rFonts w:ascii="Palatino Linotype" w:eastAsia="Calibri" w:hAnsi="Palatino Linotype" w:cs="Arial"/>
          <w:b/>
          <w:highlight w:val="yellow"/>
        </w:rPr>
        <w:t>l Subsecretario de Desarrollo Regional Valle de Toluca</w:t>
      </w:r>
      <w:r w:rsidR="00441730" w:rsidRPr="007C2100">
        <w:rPr>
          <w:rFonts w:ascii="Palatino Linotype" w:eastAsia="Calibri" w:hAnsi="Palatino Linotype" w:cs="Arial"/>
          <w:b/>
          <w:highlight w:val="yellow"/>
        </w:rPr>
        <w:t>,</w:t>
      </w:r>
      <w:r w:rsidRPr="007C2100">
        <w:rPr>
          <w:rFonts w:ascii="Palatino Linotype" w:eastAsia="Calibri" w:hAnsi="Palatino Linotype" w:cs="Arial"/>
          <w:b/>
          <w:highlight w:val="yellow"/>
        </w:rPr>
        <w:t xml:space="preserve"> del periodo comprendido </w:t>
      </w:r>
      <w:r w:rsidRPr="007C2100">
        <w:rPr>
          <w:rFonts w:ascii="Palatino Linotype" w:hAnsi="Palatino Linotype" w:cs="Arial"/>
          <w:b/>
          <w:highlight w:val="yellow"/>
        </w:rPr>
        <w:t>veintiséis (26) de agosto de 2021 al veintiséis (26) de agosto de 2022.</w:t>
      </w:r>
    </w:p>
    <w:p w14:paraId="07A88B46" w14:textId="77777777" w:rsidR="00903FB2" w:rsidRDefault="00903FB2" w:rsidP="00903FB2">
      <w:pPr>
        <w:pStyle w:val="Prrafodelista"/>
        <w:spacing w:line="360" w:lineRule="auto"/>
        <w:ind w:left="426"/>
        <w:jc w:val="both"/>
        <w:rPr>
          <w:rFonts w:ascii="Palatino Linotype" w:eastAsia="Palatino Linotype" w:hAnsi="Palatino Linotype" w:cs="Palatino Linotype"/>
          <w:b/>
          <w:szCs w:val="22"/>
        </w:rPr>
      </w:pPr>
    </w:p>
    <w:p w14:paraId="1F35AB54" w14:textId="77777777" w:rsidR="00396F3B" w:rsidRDefault="00396F3B" w:rsidP="00396F3B">
      <w:pPr>
        <w:spacing w:line="360" w:lineRule="auto"/>
        <w:jc w:val="both"/>
        <w:rPr>
          <w:rFonts w:ascii="Palatino Linotype" w:eastAsia="Calibri" w:hAnsi="Palatino Linotype" w:cs="Arial"/>
        </w:rPr>
      </w:pPr>
      <w:r w:rsidRPr="00804F2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29B8471" w14:textId="77777777" w:rsidR="00373D57" w:rsidRDefault="00373D57" w:rsidP="00396F3B">
      <w:pPr>
        <w:spacing w:line="360" w:lineRule="auto"/>
        <w:jc w:val="both"/>
        <w:rPr>
          <w:rFonts w:ascii="Palatino Linotype" w:eastAsia="Calibri" w:hAnsi="Palatino Linotype" w:cs="Arial"/>
        </w:rPr>
      </w:pPr>
    </w:p>
    <w:p w14:paraId="0BA0AD16" w14:textId="15C83CF5" w:rsidR="00373D57" w:rsidRPr="00CA7561" w:rsidRDefault="00373D57" w:rsidP="00373D57">
      <w:pPr>
        <w:pStyle w:val="Prrafodelista"/>
        <w:tabs>
          <w:tab w:val="left" w:pos="567"/>
        </w:tabs>
        <w:spacing w:line="360" w:lineRule="auto"/>
        <w:ind w:left="0"/>
        <w:jc w:val="both"/>
        <w:rPr>
          <w:rFonts w:ascii="Palatino Linotype" w:eastAsia="Calibri" w:hAnsi="Palatino Linotype" w:cs="Arial"/>
        </w:rPr>
      </w:pPr>
      <w:r>
        <w:rPr>
          <w:rFonts w:ascii="Palatino Linotype" w:eastAsia="Calibri" w:hAnsi="Palatino Linotype" w:cs="Arial"/>
        </w:rPr>
        <w:t>De ser el caso que no se localice la información señalada en el inciso A, por el hecho de que no se mencione al Servidor Público en ninguna de las actas de los Comités, el Sujeto Obligado deberá de manifestar las razones que expliquen las causas por las que no se generó la información.</w:t>
      </w:r>
    </w:p>
    <w:p w14:paraId="3334CCC7" w14:textId="77777777" w:rsidR="00373D57" w:rsidRDefault="00373D57" w:rsidP="00396F3B">
      <w:pPr>
        <w:spacing w:line="360" w:lineRule="auto"/>
        <w:jc w:val="both"/>
        <w:rPr>
          <w:rFonts w:ascii="Palatino Linotype" w:eastAsia="Calibri" w:hAnsi="Palatino Linotype" w:cs="Arial"/>
        </w:rPr>
      </w:pPr>
    </w:p>
    <w:p w14:paraId="4CA3832E" w14:textId="77777777" w:rsidR="00014006" w:rsidRPr="00A0054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0054B" w:rsidRDefault="00014006" w:rsidP="0001400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lastRenderedPageBreak/>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sidR="00396F3B">
        <w:rPr>
          <w:rFonts w:ascii="Palatino Linotype" w:eastAsia="Times New Roman" w:hAnsi="Palatino Linotype" w:cs="Times New Roman"/>
          <w:color w:val="222222"/>
          <w:lang w:val="es-ES" w:eastAsia="es-MX"/>
        </w:rPr>
        <w:t>.</w:t>
      </w:r>
    </w:p>
    <w:p w14:paraId="7180F590" w14:textId="77777777"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Default="00014006" w:rsidP="00930741">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Pr>
          <w:rFonts w:ascii="Palatino Linotype" w:eastAsia="Times New Roman" w:hAnsi="Palatino Linotype" w:cs="Times New Roman"/>
          <w:color w:val="222222"/>
          <w:lang w:val="es-ES" w:eastAsia="es-MX"/>
        </w:rPr>
        <w:t xml:space="preserve"> </w:t>
      </w:r>
      <w:r w:rsidR="00930741" w:rsidRPr="00503B98">
        <w:rPr>
          <w:rFonts w:ascii="Palatino Linotype" w:hAnsi="Palatino Linotype"/>
          <w:color w:val="000000"/>
          <w:shd w:val="clear" w:color="auto" w:fill="FFFFFF"/>
        </w:rPr>
        <w:t xml:space="preserve">en caso de que considere que la resolución le cause algún perjuicio podrá impugnarla vía </w:t>
      </w:r>
      <w:r w:rsidR="00930741" w:rsidRPr="00503B98">
        <w:rPr>
          <w:rFonts w:ascii="Palatino Linotype" w:hAnsi="Palatino Linotype"/>
          <w:color w:val="222222"/>
          <w:shd w:val="clear" w:color="auto" w:fill="FFFFFF"/>
          <w:lang w:val="es-ES"/>
        </w:rPr>
        <w:t>juicio de amparo en los términos de las leyes aplicables.</w:t>
      </w:r>
    </w:p>
    <w:p w14:paraId="5EC2BE49" w14:textId="77777777" w:rsidR="00A50513" w:rsidRDefault="00A50513" w:rsidP="00A50513">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SEGUNDA </w:t>
      </w:r>
      <w:r w:rsidRPr="00A0054B">
        <w:rPr>
          <w:rFonts w:ascii="Palatino Linotype" w:hAnsi="Palatino Linotype"/>
        </w:rPr>
        <w:t xml:space="preserve">SESIÓN ORDINARIA CELEBRADA EL </w:t>
      </w:r>
      <w:r>
        <w:rPr>
          <w:rFonts w:ascii="Palatino Linotype" w:hAnsi="Palatino Linotype"/>
        </w:rPr>
        <w:t>DIECIOCHO (18)</w:t>
      </w:r>
      <w:r w:rsidRPr="00A0054B">
        <w:rPr>
          <w:rFonts w:ascii="Palatino Linotype" w:hAnsi="Palatino Linotype"/>
        </w:rPr>
        <w:t xml:space="preserve"> DE </w:t>
      </w:r>
      <w:r>
        <w:rPr>
          <w:rFonts w:ascii="Palatino Linotype" w:hAnsi="Palatino Linotype"/>
        </w:rPr>
        <w:t>ENERO DE DOS MIL VEINTITRÉS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A5996" w14:textId="77777777" w:rsidR="00C32467" w:rsidRDefault="00C32467" w:rsidP="00587366">
      <w:r>
        <w:separator/>
      </w:r>
    </w:p>
  </w:endnote>
  <w:endnote w:type="continuationSeparator" w:id="0">
    <w:p w14:paraId="5D6B9847" w14:textId="77777777" w:rsidR="00C32467" w:rsidRDefault="00C3246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0F60AA" w:rsidRPr="00883450" w:rsidRDefault="000F60A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2439E">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2439E">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47B193F0" w:rsidR="000F60AA" w:rsidRDefault="000F60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0F60AA" w:rsidRPr="00883450" w:rsidRDefault="000F60A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439E" w:rsidRPr="0072439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439E" w:rsidRPr="0072439E">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0A9A2B26" w:rsidR="000F60AA" w:rsidRPr="00883450" w:rsidRDefault="000F60A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D36CA" w14:textId="77777777" w:rsidR="00C32467" w:rsidRDefault="00C32467" w:rsidP="00587366">
      <w:r>
        <w:separator/>
      </w:r>
    </w:p>
  </w:footnote>
  <w:footnote w:type="continuationSeparator" w:id="0">
    <w:p w14:paraId="10D74172" w14:textId="77777777" w:rsidR="00C32467" w:rsidRDefault="00C32467" w:rsidP="00587366">
      <w:r>
        <w:continuationSeparator/>
      </w:r>
    </w:p>
  </w:footnote>
  <w:footnote w:id="1">
    <w:p w14:paraId="32D56466" w14:textId="77777777" w:rsidR="000F60AA" w:rsidRDefault="000F60AA" w:rsidP="008E4483">
      <w:pPr>
        <w:pStyle w:val="Textonotapie"/>
      </w:pPr>
      <w:r>
        <w:rPr>
          <w:rStyle w:val="Refdenotaalpie"/>
        </w:rPr>
        <w:footnoteRef/>
      </w:r>
      <w:r>
        <w:t xml:space="preserve"> Convención Americana sobre Derechos Humanos. Artículo 13.</w:t>
      </w:r>
    </w:p>
  </w:footnote>
  <w:footnote w:id="2">
    <w:p w14:paraId="3F7967D5" w14:textId="77777777" w:rsidR="000F60AA" w:rsidRDefault="000F60A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0F60AA" w:rsidRDefault="000F60A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0F60AA" w:rsidRDefault="000F60AA" w:rsidP="008E4483">
      <w:pPr>
        <w:pStyle w:val="Textonotapie"/>
      </w:pPr>
      <w:r>
        <w:rPr>
          <w:rStyle w:val="Refdenotaalpie"/>
        </w:rPr>
        <w:footnoteRef/>
      </w:r>
      <w:r>
        <w:t xml:space="preserve"> Ibídem. Parr. 87.</w:t>
      </w:r>
    </w:p>
  </w:footnote>
  <w:footnote w:id="5">
    <w:p w14:paraId="1C437D52" w14:textId="77777777" w:rsidR="000F60AA" w:rsidRDefault="000F60A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0F60AA" w:rsidRDefault="000F60AA" w:rsidP="008E4483">
      <w:pPr>
        <w:pStyle w:val="Textonotapie"/>
      </w:pPr>
      <w:r>
        <w:t>II. Eficacia: Obligación del Instituto para tutelar, de manera efectiva, el derecho de acceso a la información;</w:t>
      </w:r>
    </w:p>
    <w:p w14:paraId="707D8AAF" w14:textId="77777777" w:rsidR="000F60AA" w:rsidRDefault="000F60AA" w:rsidP="008E4483">
      <w:pPr>
        <w:pStyle w:val="Textonotapie"/>
      </w:pPr>
      <w:r>
        <w:t xml:space="preserve">… </w:t>
      </w:r>
    </w:p>
  </w:footnote>
  <w:footnote w:id="6">
    <w:p w14:paraId="3B63786E" w14:textId="19237D04" w:rsidR="000F60AA" w:rsidRDefault="000F60AA">
      <w:pPr>
        <w:pStyle w:val="Textonotapie"/>
      </w:pPr>
      <w:r>
        <w:rPr>
          <w:rStyle w:val="Refdenotaalpie"/>
        </w:rPr>
        <w:footnoteRef/>
      </w:r>
      <w:r>
        <w:t xml:space="preserve"> Disponible para su consulta en </w:t>
      </w:r>
      <w:hyperlink r:id="rId1" w:history="1">
        <w:r w:rsidRPr="000F6991">
          <w:rPr>
            <w:rStyle w:val="Hipervnculo"/>
          </w:rPr>
          <w:t>https://legislacion.edomex.gob.mx/sites/legislacion.edomex.gob.mx/files/files/pdf/rgl/vig/rglvig149.pdf</w:t>
        </w:r>
      </w:hyperlink>
    </w:p>
  </w:footnote>
  <w:footnote w:id="7">
    <w:p w14:paraId="30C4CC1A" w14:textId="77777777" w:rsidR="000F60AA" w:rsidRPr="00547FFB" w:rsidRDefault="000F60AA" w:rsidP="009937E4">
      <w:pPr>
        <w:autoSpaceDE w:val="0"/>
        <w:autoSpaceDN w:val="0"/>
        <w:adjustRightInd w:val="0"/>
        <w:jc w:val="both"/>
      </w:pPr>
      <w:r>
        <w:rPr>
          <w:rStyle w:val="Refdenotaalpie"/>
        </w:rPr>
        <w:footnoteRef/>
      </w:r>
      <w:r>
        <w:t xml:space="preserve"> </w:t>
      </w:r>
      <w:r w:rsidRPr="00547FFB">
        <w:rPr>
          <w:rFonts w:cs="Bookman Old Style,Bold"/>
          <w:b/>
          <w:bCs/>
        </w:rPr>
        <w:t xml:space="preserve">Artículo 13. </w:t>
      </w:r>
      <w:r w:rsidRPr="00547FFB">
        <w:rPr>
          <w:rFonts w:cs="Bookman Old Style"/>
        </w:rPr>
        <w:t>El Instituto, en el ámbito de sus atribuciones, deberá suplir cualquier deficiencia para garantizar el ejercicio del derecho de acceso a la información.</w:t>
      </w:r>
    </w:p>
  </w:footnote>
  <w:footnote w:id="8">
    <w:p w14:paraId="08D6D299" w14:textId="77777777" w:rsidR="000F60AA" w:rsidRPr="00547FFB" w:rsidRDefault="000F60AA" w:rsidP="009937E4">
      <w:pPr>
        <w:autoSpaceDE w:val="0"/>
        <w:autoSpaceDN w:val="0"/>
        <w:adjustRightInd w:val="0"/>
        <w:jc w:val="both"/>
      </w:pPr>
      <w:r w:rsidRPr="00547FFB">
        <w:rPr>
          <w:rStyle w:val="Refdenotaalpie"/>
          <w:b/>
        </w:rPr>
        <w:footnoteRef/>
      </w:r>
      <w:r w:rsidRPr="00547FFB">
        <w:rPr>
          <w:b/>
        </w:rPr>
        <w:t xml:space="preserve"> Artículo 181</w:t>
      </w:r>
      <w:r w:rsidRPr="00547FFB">
        <w:t>. …</w:t>
      </w:r>
    </w:p>
    <w:p w14:paraId="3459E032" w14:textId="77777777" w:rsidR="000F60AA" w:rsidRPr="00547FFB" w:rsidRDefault="000F60AA" w:rsidP="009937E4">
      <w:pPr>
        <w:autoSpaceDE w:val="0"/>
        <w:autoSpaceDN w:val="0"/>
        <w:adjustRightInd w:val="0"/>
        <w:jc w:val="both"/>
      </w:pPr>
      <w:r w:rsidRPr="00547FFB">
        <w:t>…</w:t>
      </w:r>
    </w:p>
    <w:p w14:paraId="76FAA2DF" w14:textId="77777777" w:rsidR="000F60AA" w:rsidRDefault="000F60AA" w:rsidP="009937E4">
      <w:pPr>
        <w:autoSpaceDE w:val="0"/>
        <w:autoSpaceDN w:val="0"/>
        <w:adjustRightInd w:val="0"/>
        <w:jc w:val="both"/>
      </w:pPr>
      <w:r w:rsidRPr="00547FFB">
        <w:rPr>
          <w:rFonts w:cs="Bookman Old Styl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F60AA" w:rsidRPr="00025127" w14:paraId="07F2896E" w14:textId="77777777" w:rsidTr="00FA0F09">
      <w:trPr>
        <w:trHeight w:val="138"/>
        <w:jc w:val="right"/>
      </w:trPr>
      <w:tc>
        <w:tcPr>
          <w:tcW w:w="3260" w:type="dxa"/>
          <w:vAlign w:val="center"/>
        </w:tcPr>
        <w:p w14:paraId="4A5B1974" w14:textId="44CA9AFE" w:rsidR="000F60AA" w:rsidRPr="00025127" w:rsidRDefault="000F60A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612FC07" w:rsidR="000F60AA" w:rsidRPr="00025127" w:rsidRDefault="000F60AA" w:rsidP="00755146">
          <w:pPr>
            <w:pStyle w:val="Encabezado"/>
            <w:jc w:val="both"/>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5168</w:t>
          </w:r>
          <w:r w:rsidRPr="001E50B9">
            <w:rPr>
              <w:rFonts w:ascii="Palatino Linotype" w:hAnsi="Palatino Linotype"/>
              <w:b/>
              <w:sz w:val="22"/>
              <w:szCs w:val="22"/>
            </w:rPr>
            <w:t>/INFOEM/IP/RR/2022</w:t>
          </w:r>
        </w:p>
      </w:tc>
    </w:tr>
    <w:tr w:rsidR="000F60AA" w:rsidRPr="00025127" w14:paraId="1B5D8690" w14:textId="77777777" w:rsidTr="00FA0F09">
      <w:trPr>
        <w:trHeight w:val="233"/>
        <w:jc w:val="right"/>
      </w:trPr>
      <w:tc>
        <w:tcPr>
          <w:tcW w:w="3260" w:type="dxa"/>
          <w:vAlign w:val="center"/>
        </w:tcPr>
        <w:p w14:paraId="3903F2C6" w14:textId="22D569F8" w:rsidR="000F60AA" w:rsidRPr="00025127" w:rsidRDefault="000F60A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C76654C" w:rsidR="000F60AA" w:rsidRPr="00025127" w:rsidRDefault="000F60AA" w:rsidP="00FD2865">
          <w:pPr>
            <w:pStyle w:val="Encabezado"/>
            <w:jc w:val="both"/>
            <w:rPr>
              <w:rFonts w:ascii="Palatino Linotype" w:hAnsi="Palatino Linotype"/>
              <w:b/>
              <w:sz w:val="22"/>
              <w:szCs w:val="22"/>
            </w:rPr>
          </w:pPr>
          <w:r w:rsidRPr="001E50B9">
            <w:rPr>
              <w:rFonts w:ascii="Palatino Linotype" w:eastAsia="Calibri" w:hAnsi="Palatino Linotype" w:cs="Arial"/>
              <w:b/>
              <w:bCs/>
              <w:szCs w:val="22"/>
              <w:lang w:val="es-ES"/>
            </w:rPr>
            <w:t>Se</w:t>
          </w:r>
          <w:r>
            <w:rPr>
              <w:rFonts w:ascii="Palatino Linotype" w:eastAsia="Calibri" w:hAnsi="Palatino Linotype" w:cs="Arial"/>
              <w:b/>
              <w:bCs/>
              <w:szCs w:val="22"/>
              <w:lang w:val="es-ES"/>
            </w:rPr>
            <w:t>cretaría de Desarrollo Social</w:t>
          </w:r>
        </w:p>
      </w:tc>
    </w:tr>
    <w:tr w:rsidR="000F60AA" w:rsidRPr="00025127" w14:paraId="095EB01B" w14:textId="77777777" w:rsidTr="00FA0F09">
      <w:trPr>
        <w:trHeight w:val="321"/>
        <w:jc w:val="right"/>
      </w:trPr>
      <w:tc>
        <w:tcPr>
          <w:tcW w:w="3260" w:type="dxa"/>
          <w:vAlign w:val="center"/>
        </w:tcPr>
        <w:p w14:paraId="6E000A51" w14:textId="05E1861A" w:rsidR="000F60AA" w:rsidRPr="00025127" w:rsidRDefault="000F60A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F60AA" w:rsidRPr="00025127" w:rsidRDefault="000F60A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F60AA" w:rsidRDefault="000F60A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F60AA" w:rsidRDefault="0072439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F60A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F60AA" w:rsidRPr="00025127" w14:paraId="0A3256F2" w14:textId="77777777" w:rsidTr="006E6B65">
      <w:trPr>
        <w:trHeight w:val="138"/>
        <w:jc w:val="right"/>
      </w:trPr>
      <w:tc>
        <w:tcPr>
          <w:tcW w:w="3261" w:type="dxa"/>
          <w:vAlign w:val="center"/>
        </w:tcPr>
        <w:p w14:paraId="3D80769D" w14:textId="316F11F8" w:rsidR="000F60AA" w:rsidRPr="00743FFA" w:rsidRDefault="000F60AA"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23730FEF" w:rsidR="000F60AA" w:rsidRPr="00743FFA" w:rsidRDefault="000F60AA" w:rsidP="00C071E8">
          <w:pPr>
            <w:pStyle w:val="Encabezado"/>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5168</w:t>
          </w:r>
          <w:r w:rsidRPr="001E50B9">
            <w:rPr>
              <w:rFonts w:ascii="Palatino Linotype" w:hAnsi="Palatino Linotype"/>
              <w:b/>
              <w:sz w:val="22"/>
              <w:szCs w:val="22"/>
            </w:rPr>
            <w:t>/INFOEM/IP/RR/2022</w:t>
          </w:r>
        </w:p>
      </w:tc>
    </w:tr>
    <w:tr w:rsidR="000F60AA" w:rsidRPr="00025127" w14:paraId="128C8B3C" w14:textId="77777777" w:rsidTr="006E6B65">
      <w:trPr>
        <w:trHeight w:val="233"/>
        <w:jc w:val="right"/>
      </w:trPr>
      <w:tc>
        <w:tcPr>
          <w:tcW w:w="3261" w:type="dxa"/>
          <w:vAlign w:val="center"/>
        </w:tcPr>
        <w:p w14:paraId="483E3371" w14:textId="66B1BC74" w:rsidR="000F60AA" w:rsidRPr="00743FFA" w:rsidRDefault="000F60AA"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7288C992" w:rsidR="000F60AA" w:rsidRPr="00743FFA" w:rsidRDefault="0072439E" w:rsidP="001E50B9">
          <w:pPr>
            <w:pStyle w:val="Encabezado"/>
            <w:rPr>
              <w:rFonts w:ascii="Palatino Linotype" w:hAnsi="Palatino Linotype"/>
              <w:b/>
              <w:sz w:val="22"/>
              <w:szCs w:val="22"/>
            </w:rPr>
          </w:pPr>
          <w:r>
            <w:rPr>
              <w:rFonts w:ascii="Palatino Linotype" w:hAnsi="Palatino Linotype"/>
              <w:b/>
              <w:sz w:val="22"/>
              <w:szCs w:val="22"/>
            </w:rPr>
            <w:t>XXX XXXX XXXXX</w:t>
          </w:r>
        </w:p>
      </w:tc>
    </w:tr>
    <w:tr w:rsidR="000F60AA" w:rsidRPr="00025127" w14:paraId="41BE0704" w14:textId="77777777" w:rsidTr="006E6B65">
      <w:trPr>
        <w:trHeight w:val="321"/>
        <w:jc w:val="right"/>
      </w:trPr>
      <w:tc>
        <w:tcPr>
          <w:tcW w:w="3261" w:type="dxa"/>
          <w:vAlign w:val="center"/>
        </w:tcPr>
        <w:p w14:paraId="34C64148" w14:textId="10C6C8A9" w:rsidR="000F60AA" w:rsidRPr="00743FFA" w:rsidRDefault="000F60AA"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4AD8F590" w:rsidR="000F60AA" w:rsidRPr="00743FFA" w:rsidRDefault="000F60AA" w:rsidP="00285BA4">
          <w:pPr>
            <w:pStyle w:val="Encabezado"/>
            <w:jc w:val="both"/>
            <w:rPr>
              <w:rFonts w:ascii="Palatino Linotype" w:hAnsi="Palatino Linotype"/>
              <w:b/>
              <w:sz w:val="22"/>
              <w:szCs w:val="22"/>
            </w:rPr>
          </w:pPr>
          <w:r w:rsidRPr="001E50B9">
            <w:rPr>
              <w:rFonts w:ascii="Palatino Linotype" w:eastAsia="Calibri" w:hAnsi="Palatino Linotype" w:cs="Arial"/>
              <w:b/>
              <w:bCs/>
              <w:szCs w:val="22"/>
              <w:lang w:val="es-ES"/>
            </w:rPr>
            <w:t>Se</w:t>
          </w:r>
          <w:r>
            <w:rPr>
              <w:rFonts w:ascii="Palatino Linotype" w:eastAsia="Calibri" w:hAnsi="Palatino Linotype" w:cs="Arial"/>
              <w:b/>
              <w:bCs/>
              <w:szCs w:val="22"/>
              <w:lang w:val="es-ES"/>
            </w:rPr>
            <w:t>cretaría de Desarrollo Social</w:t>
          </w:r>
        </w:p>
      </w:tc>
    </w:tr>
    <w:tr w:rsidR="000F60AA" w:rsidRPr="00025127" w14:paraId="0C8B6193" w14:textId="77777777" w:rsidTr="006E6B65">
      <w:trPr>
        <w:trHeight w:val="321"/>
        <w:jc w:val="right"/>
      </w:trPr>
      <w:tc>
        <w:tcPr>
          <w:tcW w:w="3261" w:type="dxa"/>
          <w:vAlign w:val="center"/>
        </w:tcPr>
        <w:p w14:paraId="321FFAFF" w14:textId="0E8C2CE7" w:rsidR="000F60AA" w:rsidRPr="00743FFA" w:rsidRDefault="000F60AA"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0F60AA" w:rsidRPr="00743FFA" w:rsidRDefault="000F60AA"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0F60AA" w:rsidRDefault="000F60A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517B70"/>
    <w:multiLevelType w:val="hybridMultilevel"/>
    <w:tmpl w:val="743463B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6">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7"/>
  </w:num>
  <w:num w:numId="2">
    <w:abstractNumId w:val="13"/>
  </w:num>
  <w:num w:numId="3">
    <w:abstractNumId w:val="0"/>
  </w:num>
  <w:num w:numId="4">
    <w:abstractNumId w:val="7"/>
  </w:num>
  <w:num w:numId="5">
    <w:abstractNumId w:val="1"/>
  </w:num>
  <w:num w:numId="6">
    <w:abstractNumId w:val="9"/>
  </w:num>
  <w:num w:numId="7">
    <w:abstractNumId w:val="16"/>
  </w:num>
  <w:num w:numId="8">
    <w:abstractNumId w:val="8"/>
  </w:num>
  <w:num w:numId="9">
    <w:abstractNumId w:val="15"/>
  </w:num>
  <w:num w:numId="10">
    <w:abstractNumId w:val="18"/>
  </w:num>
  <w:num w:numId="11">
    <w:abstractNumId w:val="14"/>
  </w:num>
  <w:num w:numId="12">
    <w:abstractNumId w:val="19"/>
  </w:num>
  <w:num w:numId="13">
    <w:abstractNumId w:val="11"/>
  </w:num>
  <w:num w:numId="14">
    <w:abstractNumId w:val="3"/>
  </w:num>
  <w:num w:numId="15">
    <w:abstractNumId w:val="10"/>
  </w:num>
  <w:num w:numId="16">
    <w:abstractNumId w:val="2"/>
  </w:num>
  <w:num w:numId="17">
    <w:abstractNumId w:val="17"/>
  </w:num>
  <w:num w:numId="18">
    <w:abstractNumId w:val="12"/>
  </w:num>
  <w:num w:numId="19">
    <w:abstractNumId w:val="5"/>
  </w:num>
  <w:num w:numId="20">
    <w:abstractNumId w:val="6"/>
  </w:num>
  <w:num w:numId="21">
    <w:abstractNumId w:val="7"/>
  </w:num>
  <w:num w:numId="2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0A6C"/>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5F37"/>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0AA"/>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48FF"/>
    <w:rsid w:val="00325738"/>
    <w:rsid w:val="003257EE"/>
    <w:rsid w:val="0032586C"/>
    <w:rsid w:val="00325B18"/>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3AB7"/>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3D57"/>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5CEA"/>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1730"/>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1581"/>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1768"/>
    <w:rsid w:val="004F28A0"/>
    <w:rsid w:val="004F32E5"/>
    <w:rsid w:val="004F39A4"/>
    <w:rsid w:val="004F44C7"/>
    <w:rsid w:val="004F489F"/>
    <w:rsid w:val="004F4958"/>
    <w:rsid w:val="004F663C"/>
    <w:rsid w:val="004F6943"/>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60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6E4D"/>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6F7A39"/>
    <w:rsid w:val="00705087"/>
    <w:rsid w:val="007050B1"/>
    <w:rsid w:val="00705527"/>
    <w:rsid w:val="00707096"/>
    <w:rsid w:val="007076C5"/>
    <w:rsid w:val="00710012"/>
    <w:rsid w:val="007127BB"/>
    <w:rsid w:val="007136BC"/>
    <w:rsid w:val="00714576"/>
    <w:rsid w:val="00714FEC"/>
    <w:rsid w:val="00715A04"/>
    <w:rsid w:val="00715B7D"/>
    <w:rsid w:val="00715E8F"/>
    <w:rsid w:val="00720A9E"/>
    <w:rsid w:val="00721335"/>
    <w:rsid w:val="00721924"/>
    <w:rsid w:val="00721F66"/>
    <w:rsid w:val="00722B93"/>
    <w:rsid w:val="0072439E"/>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79"/>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9F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100"/>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307"/>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4E74"/>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2AB9"/>
    <w:rsid w:val="00893857"/>
    <w:rsid w:val="00893F73"/>
    <w:rsid w:val="0089412A"/>
    <w:rsid w:val="008943B9"/>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3FB"/>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3FB2"/>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3CF"/>
    <w:rsid w:val="00926429"/>
    <w:rsid w:val="00927DE1"/>
    <w:rsid w:val="00930741"/>
    <w:rsid w:val="009315B0"/>
    <w:rsid w:val="009316E9"/>
    <w:rsid w:val="0093180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4E44"/>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37E4"/>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26C3"/>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513"/>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4317"/>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295"/>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1A62"/>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071E8"/>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2467"/>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561"/>
    <w:rsid w:val="00CA7A78"/>
    <w:rsid w:val="00CA7F49"/>
    <w:rsid w:val="00CB2089"/>
    <w:rsid w:val="00CB2FC0"/>
    <w:rsid w:val="00CB3B7C"/>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28B7"/>
    <w:rsid w:val="00D2342C"/>
    <w:rsid w:val="00D23CD2"/>
    <w:rsid w:val="00D24315"/>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6734B"/>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1A3"/>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09546956">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rgl/vig/rglvig14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5FE38-25FB-442D-BD31-3101F9A3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46</Pages>
  <Words>10164</Words>
  <Characters>55903</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24</cp:revision>
  <cp:lastPrinted>2019-12-11T01:19:00Z</cp:lastPrinted>
  <dcterms:created xsi:type="dcterms:W3CDTF">2023-01-11T20:15:00Z</dcterms:created>
  <dcterms:modified xsi:type="dcterms:W3CDTF">2023-02-08T22:49:00Z</dcterms:modified>
</cp:coreProperties>
</file>