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de fecha cuatro de mayo de dos mil veintitrés.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Visto el expediente relativo al recurso de revisión </w:t>
      </w:r>
      <w:r w:rsidDel="00000000" w:rsidR="00000000" w:rsidRPr="00000000">
        <w:rPr>
          <w:rFonts w:ascii="Palatino Linotype" w:cs="Palatino Linotype" w:eastAsia="Palatino Linotype" w:hAnsi="Palatino Linotype"/>
          <w:b w:val="1"/>
          <w:sz w:val="24"/>
          <w:szCs w:val="24"/>
          <w:rtl w:val="0"/>
        </w:rPr>
        <w:t xml:space="preserve">14944/INFOEM/IP/RR/2022</w:t>
      </w:r>
      <w:r w:rsidDel="00000000" w:rsidR="00000000" w:rsidRPr="00000000">
        <w:rPr>
          <w:rFonts w:ascii="Palatino Linotype" w:cs="Palatino Linotype" w:eastAsia="Palatino Linotype" w:hAnsi="Palatino Linotype"/>
          <w:sz w:val="24"/>
          <w:szCs w:val="24"/>
          <w:rtl w:val="0"/>
        </w:rPr>
        <w:t xml:space="preserve">, interpuesto por </w:t>
      </w:r>
      <w:r w:rsidDel="00000000" w:rsidR="00000000" w:rsidRPr="00000000">
        <w:rPr>
          <w:rFonts w:ascii="Palatino Linotype" w:cs="Palatino Linotype" w:eastAsia="Palatino Linotype" w:hAnsi="Palatino Linotype"/>
          <w:b w:val="1"/>
          <w:sz w:val="24"/>
          <w:szCs w:val="24"/>
          <w:rtl w:val="0"/>
        </w:rPr>
        <w:t xml:space="preserve">una persona usuaria del Sistema de Acceso a la Información Mexiquense</w:t>
      </w:r>
      <w:r w:rsidDel="00000000" w:rsidR="00000000" w:rsidRPr="00000000">
        <w:rPr>
          <w:rFonts w:ascii="Palatino Linotype" w:cs="Palatino Linotype" w:eastAsia="Palatino Linotype" w:hAnsi="Palatino Linotype"/>
          <w:sz w:val="24"/>
          <w:szCs w:val="24"/>
          <w:rtl w:val="0"/>
        </w:rPr>
        <w:t xml:space="preserve">, al cual en lo sucesivo se le denominará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sz w:val="24"/>
          <w:szCs w:val="24"/>
          <w:rtl w:val="0"/>
        </w:rPr>
        <w:t xml:space="preserve">00184/TEQUIXQUIAC/IP/2022</w:t>
      </w:r>
      <w:r w:rsidDel="00000000" w:rsidR="00000000" w:rsidRPr="00000000">
        <w:rPr>
          <w:rFonts w:ascii="Palatino Linotype" w:cs="Palatino Linotype" w:eastAsia="Palatino Linotype" w:hAnsi="Palatino Linotype"/>
          <w:sz w:val="24"/>
          <w:szCs w:val="24"/>
          <w:rtl w:val="0"/>
        </w:rPr>
        <w:t xml:space="preserve"> proporcionada por parte del Ayuntamiento de Tequixquiac, en lo sucesivo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7">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acceso a la información.</w:t>
      </w:r>
      <w:r w:rsidDel="00000000" w:rsidR="00000000" w:rsidRPr="00000000">
        <w:rPr>
          <w:rFonts w:ascii="Palatino Linotype" w:cs="Palatino Linotype" w:eastAsia="Palatino Linotype" w:hAnsi="Palatino Linotype"/>
          <w:color w:val="000000"/>
          <w:sz w:val="24"/>
          <w:szCs w:val="24"/>
          <w:rtl w:val="0"/>
        </w:rPr>
        <w:t xml:space="preserve"> Con fecha </w:t>
      </w:r>
      <w:r w:rsidDel="00000000" w:rsidR="00000000" w:rsidRPr="00000000">
        <w:rPr>
          <w:rFonts w:ascii="Palatino Linotype" w:cs="Palatino Linotype" w:eastAsia="Palatino Linotype" w:hAnsi="Palatino Linotype"/>
          <w:b w:val="1"/>
          <w:color w:val="000000"/>
          <w:sz w:val="24"/>
          <w:szCs w:val="24"/>
          <w:rtl w:val="0"/>
        </w:rPr>
        <w:t xml:space="preserve">dos de septiembre de dos mil veintidós</w:t>
      </w:r>
      <w:r w:rsidDel="00000000" w:rsidR="00000000" w:rsidRPr="00000000">
        <w:rPr>
          <w:rFonts w:ascii="Palatino Linotype" w:cs="Palatino Linotype" w:eastAsia="Palatino Linotype" w:hAnsi="Palatino Linotype"/>
          <w:color w:val="000000"/>
          <w:sz w:val="24"/>
          <w:szCs w:val="24"/>
          <w:rtl w:val="0"/>
        </w:rPr>
        <w:t xml:space="preserve">, la parte </w:t>
      </w:r>
      <w:r w:rsidDel="00000000" w:rsidR="00000000" w:rsidRPr="00000000">
        <w:rPr>
          <w:rFonts w:ascii="Palatino Linotype" w:cs="Palatino Linotype" w:eastAsia="Palatino Linotype" w:hAnsi="Palatino Linotype"/>
          <w:b w:val="1"/>
          <w:color w:val="000000"/>
          <w:sz w:val="24"/>
          <w:szCs w:val="24"/>
          <w:rtl w:val="0"/>
        </w:rPr>
        <w:t xml:space="preserve">RECURRENTE</w:t>
      </w:r>
      <w:r w:rsidDel="00000000" w:rsidR="00000000" w:rsidRPr="00000000">
        <w:rPr>
          <w:rFonts w:ascii="Palatino Linotype" w:cs="Palatino Linotype" w:eastAsia="Palatino Linotype" w:hAnsi="Palatino Linotype"/>
          <w:color w:val="000000"/>
          <w:sz w:val="24"/>
          <w:szCs w:val="24"/>
          <w:rtl w:val="0"/>
        </w:rPr>
        <w:t xml:space="preserve"> formuló solicitud de acceso a información pública al</w:t>
      </w:r>
      <w:r w:rsidDel="00000000" w:rsidR="00000000" w:rsidRPr="00000000">
        <w:rPr>
          <w:rFonts w:ascii="Palatino Linotype" w:cs="Palatino Linotype" w:eastAsia="Palatino Linotype" w:hAnsi="Palatino Linotype"/>
          <w:b w:val="1"/>
          <w:color w:val="000000"/>
          <w:sz w:val="24"/>
          <w:szCs w:val="24"/>
          <w:rtl w:val="0"/>
        </w:rPr>
        <w:t xml:space="preserve"> SUJETO OBLIGADO</w:t>
      </w:r>
      <w:r w:rsidDel="00000000" w:rsidR="00000000" w:rsidRPr="00000000">
        <w:rPr>
          <w:rFonts w:ascii="Palatino Linotype" w:cs="Palatino Linotype" w:eastAsia="Palatino Linotype" w:hAnsi="Palatino Linotype"/>
          <w:color w:val="000000"/>
          <w:sz w:val="24"/>
          <w:szCs w:val="24"/>
          <w:rtl w:val="0"/>
        </w:rPr>
        <w:t xml:space="preserve"> a través del Sistema de Acceso a la Información Mexiquense, en adelante SAIMEX, en la que requirió lo siguiente: </w:t>
      </w:r>
    </w:p>
    <w:p w:rsidR="00000000" w:rsidDel="00000000" w:rsidP="00000000" w:rsidRDefault="00000000" w:rsidRPr="00000000" w14:paraId="0000000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spacing w:after="0" w:line="276" w:lineRule="auto"/>
        <w:ind w:left="567" w:right="560" w:firstLine="0"/>
        <w:jc w:val="both"/>
        <w:rPr>
          <w:rFonts w:ascii="Palatino Linotype" w:cs="Palatino Linotype" w:eastAsia="Palatino Linotype" w:hAnsi="Palatino Linotype"/>
          <w:i w:val="1"/>
        </w:rPr>
      </w:pPr>
      <w:bookmarkStart w:colFirst="0" w:colLast="0" w:name="_heading=h.30j0zll" w:id="1"/>
      <w:bookmarkEnd w:id="1"/>
      <w:r w:rsidDel="00000000" w:rsidR="00000000" w:rsidRPr="00000000">
        <w:rPr>
          <w:rFonts w:ascii="Palatino Linotype" w:cs="Palatino Linotype" w:eastAsia="Palatino Linotype" w:hAnsi="Palatino Linotype"/>
          <w:i w:val="1"/>
          <w:rtl w:val="0"/>
        </w:rPr>
        <w:t xml:space="preserve">“SOLICITO LOS RECIBOS DE NOMINA DEL PERSONAL QUE LABORA EN EL MUNICIPIO DE TEQUIXQUIAC EN FORMATO PDF Y EN DATOS ABIERTOS DEL PERIODO DEL 01 DE ENERO AL 31 DE AGOSTO DEL AÑO 2022, LA INFORMACIÓN LA SOLICITO SE ENTREGUE POR SISTEMA SAIMEX”. </w:t>
      </w:r>
    </w:p>
    <w:p w:rsidR="00000000" w:rsidDel="00000000" w:rsidP="00000000" w:rsidRDefault="00000000" w:rsidRPr="00000000" w14:paraId="0000000A">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Modalidad elegida para la entrega de la información:</w:t>
      </w:r>
      <w:r w:rsidDel="00000000" w:rsidR="00000000" w:rsidRPr="00000000">
        <w:rPr>
          <w:rFonts w:ascii="Palatino Linotype" w:cs="Palatino Linotype" w:eastAsia="Palatino Linotype" w:hAnsi="Palatino Linotype"/>
          <w:sz w:val="24"/>
          <w:szCs w:val="24"/>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D">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Respuesta.</w:t>
      </w:r>
      <w:r w:rsidDel="00000000" w:rsidR="00000000" w:rsidRPr="00000000">
        <w:rPr>
          <w:rFonts w:ascii="Palatino Linotype" w:cs="Palatino Linotype" w:eastAsia="Palatino Linotype" w:hAnsi="Palatino Linotype"/>
          <w:color w:val="000000"/>
          <w:sz w:val="24"/>
          <w:szCs w:val="24"/>
          <w:rtl w:val="0"/>
        </w:rPr>
        <w:t xml:space="preserve"> Con fecha </w:t>
      </w:r>
      <w:r w:rsidDel="00000000" w:rsidR="00000000" w:rsidRPr="00000000">
        <w:rPr>
          <w:rFonts w:ascii="Palatino Linotype" w:cs="Palatino Linotype" w:eastAsia="Palatino Linotype" w:hAnsi="Palatino Linotype"/>
          <w:b w:val="1"/>
          <w:color w:val="000000"/>
          <w:sz w:val="24"/>
          <w:szCs w:val="24"/>
          <w:rtl w:val="0"/>
        </w:rPr>
        <w:t xml:space="preserve">veinte de septiembre de dos mil veintidós</w:t>
      </w:r>
      <w:r w:rsidDel="00000000" w:rsidR="00000000" w:rsidRPr="00000000">
        <w:rPr>
          <w:rFonts w:ascii="Palatino Linotype" w:cs="Palatino Linotype" w:eastAsia="Palatino Linotype" w:hAnsi="Palatino Linotype"/>
          <w:color w:val="000000"/>
          <w:sz w:val="24"/>
          <w:szCs w:val="24"/>
          <w:rtl w:val="0"/>
        </w:rPr>
        <w:t xml:space="preserve">, 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envió su respuesta a la solicitud de acceso a la información a través del SAIMEX, la cual versa como sigue:</w:t>
      </w:r>
    </w:p>
    <w:p w:rsidR="00000000" w:rsidDel="00000000" w:rsidP="00000000" w:rsidRDefault="00000000" w:rsidRPr="00000000" w14:paraId="0000000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00184/TEQUIXQU/IP/2022, a través del Sistema de Acceso a la Información Mexiquense (SAIMEX); le comento lo siguiente:</w:t>
      </w:r>
    </w:p>
    <w:p w:rsidR="00000000" w:rsidDel="00000000" w:rsidP="00000000" w:rsidRDefault="00000000" w:rsidRPr="00000000" w14:paraId="00000011">
      <w:pPr>
        <w:spacing w:after="0" w:line="360" w:lineRule="auto"/>
        <w:ind w:left="567" w:right="5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Sujeto Obligado a su respuesta adjuntó el documento que se describe a continuación:  </w:t>
      </w:r>
    </w:p>
    <w:p w:rsidR="00000000" w:rsidDel="00000000" w:rsidP="00000000" w:rsidRDefault="00000000" w:rsidRPr="00000000" w14:paraId="0000001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comprimido en formato rar, que contiene los recibos de nómina de la primera y segunda quincena de enero a agosto de dos mil veintidós, en versión pública.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nueve de septiembre de dos mil veintidós, signado por la Directora de Administración de Tequixquiac, dirigido al titular de la Unidad de Transparencia, mediante el cual informa que se anexan los recibos de nómina del personal que labora en el municipio, en formato PDF y en datos abiertos. </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Décima Segunda Sesión Extraordinaria del Comité de Transparencia y Acceso a la Información Pública del Ayuntamiento de Tequixquiac en la cual se aprueba la versión pública de la documentación enviada.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veinte de septiembre de dos mil veintidós, signado por el Titular de la Unidad de Transparencia, mediante el cual informa que se remite la información solicitada.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Interposición del Recurso de Revisión</w:t>
      </w:r>
      <w:r w:rsidDel="00000000" w:rsidR="00000000" w:rsidRPr="00000000">
        <w:rPr>
          <w:rFonts w:ascii="Palatino Linotype" w:cs="Palatino Linotype" w:eastAsia="Palatino Linotype" w:hAnsi="Palatino Linotype"/>
          <w:color w:val="000000"/>
          <w:sz w:val="24"/>
          <w:szCs w:val="24"/>
          <w:rtl w:val="0"/>
        </w:rPr>
        <w:t xml:space="preserve">. El Particular, derivado de la respuesta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interpuso Recurso de Revisión a través del </w:t>
      </w:r>
      <w:r w:rsidDel="00000000" w:rsidR="00000000" w:rsidRPr="00000000">
        <w:rPr>
          <w:rFonts w:ascii="Palatino Linotype" w:cs="Palatino Linotype" w:eastAsia="Palatino Linotype" w:hAnsi="Palatino Linotype"/>
          <w:b w:val="1"/>
          <w:color w:val="000000"/>
          <w:sz w:val="24"/>
          <w:szCs w:val="24"/>
          <w:rtl w:val="0"/>
        </w:rPr>
        <w:t xml:space="preserve">SAIMEX</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veintiuno de septiembre de dos mil veintidós</w:t>
      </w:r>
      <w:r w:rsidDel="00000000" w:rsidR="00000000" w:rsidRPr="00000000">
        <w:rPr>
          <w:rFonts w:ascii="Palatino Linotype" w:cs="Palatino Linotype" w:eastAsia="Palatino Linotype" w:hAnsi="Palatino Linotype"/>
          <w:color w:val="000000"/>
          <w:sz w:val="24"/>
          <w:szCs w:val="24"/>
          <w:rtl w:val="0"/>
        </w:rPr>
        <w:t xml:space="preserve">, a través del cual expresó lo siguiente: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Acto impugnado.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RESPUESTA A LA SOLICITUD”.</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1276"/>
        </w:tabs>
        <w:spacing w:after="0" w:line="276" w:lineRule="auto"/>
        <w:ind w:left="567" w:right="701" w:firstLine="0"/>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Razones o motivos de la inconformidad: </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EL MOTIVO DEL PRESENTE RECURSO DE REVISIÓN ES DEBIDO A QUE EN LA SOLICITUD DE INICIO SE PIDIO: SOLICITO LOS RECIBOS DE NOMINA DEL PERSONAL QUE LABORA EN EL MUNICIPIO DE TEQUIXQUIAC EN FORMATO PDF Y EN DATOS ABIERTOS DEL PERIODO DEL 01 DE ENERO AL 31 DE AGOSTO DEL AÑO 2022, LA INFORMACIÓN LA SOLICITO SE ENTREGUE POR SISTEMA SAIMEX.(sic) DE LO CUAL ME ENTREGAN UNA CARPETA COMPRIMIDA CON EL NOMBRE: NOMINA 1 ENERO AL 31 DE AGOSTO 2022.rar\ENERO - archivo RAR EL CUAL CONTIENE 8 CARPETAS DE ENERO AL AGOSTO DEL AÑO EN CURSO CON LAS NOMINAS DE LA PRIMERA Y SEGUNDA QUINCENA RESPECTIVAMENTE, DE LO CUAL </w:t>
      </w:r>
      <w:r w:rsidDel="00000000" w:rsidR="00000000" w:rsidRPr="00000000">
        <w:rPr>
          <w:rFonts w:ascii="Palatino Linotype" w:cs="Palatino Linotype" w:eastAsia="Palatino Linotype" w:hAnsi="Palatino Linotype"/>
          <w:b w:val="1"/>
          <w:i w:val="1"/>
          <w:color w:val="000000"/>
          <w:u w:val="single"/>
          <w:rtl w:val="0"/>
        </w:rPr>
        <w:t xml:space="preserve">LA VERSIÓN PUBLICA NO ES LA CORRECTA DEBIDO A QUE NO CONTIENE LA FIRMA AUTOGRAFA DE LOSSERVIDORES PUBLICOS</w:t>
      </w:r>
      <w:r w:rsidDel="00000000" w:rsidR="00000000" w:rsidRPr="00000000">
        <w:rPr>
          <w:rFonts w:ascii="Palatino Linotype" w:cs="Palatino Linotype" w:eastAsia="Palatino Linotype" w:hAnsi="Palatino Linotype"/>
          <w:i w:val="1"/>
          <w:color w:val="000000"/>
          <w:rtl w:val="0"/>
        </w:rPr>
        <w:t xml:space="preserve">, ADEMAS QUE SE ESTAN DANDO A CONOCER DATOS PERSONALES COMO SITEMAS DE CAPITALIZACIÓN INDIVIAL DE ACUERDO A LA LEY Y LOS VOLUNTARIOS, ADEMAS DE LOS PRESTAMOS QUIROGRAFARIO, Y </w:t>
      </w:r>
      <w:r w:rsidDel="00000000" w:rsidR="00000000" w:rsidRPr="00000000">
        <w:rPr>
          <w:rFonts w:ascii="Palatino Linotype" w:cs="Palatino Linotype" w:eastAsia="Palatino Linotype" w:hAnsi="Palatino Linotype"/>
          <w:b w:val="1"/>
          <w:i w:val="1"/>
          <w:color w:val="000000"/>
          <w:u w:val="single"/>
          <w:rtl w:val="0"/>
        </w:rPr>
        <w:t xml:space="preserve">NO SE ME ESTA ENTREGANDO LAS NOMINAS RESPECTIVAS A LA SOLICITUD DE INICIO EN VERSIÓN PÚBLICA</w:t>
      </w:r>
      <w:r w:rsidDel="00000000" w:rsidR="00000000" w:rsidRPr="00000000">
        <w:rPr>
          <w:rFonts w:ascii="Palatino Linotype" w:cs="Palatino Linotype" w:eastAsia="Palatino Linotype" w:hAnsi="Palatino Linotype"/>
          <w:i w:val="1"/>
          <w:color w:val="000000"/>
          <w:rtl w:val="0"/>
        </w:rPr>
        <w:t xml:space="preserve">, POR LO QUE SOLICITO A INFOEM INTERVENGA Y SE ME ENTREGUE LA INFORMACIÓN CORRECTA Y COMPLETA”.</w:t>
      </w:r>
      <w:r w:rsidDel="00000000" w:rsidR="00000000" w:rsidRPr="00000000">
        <w:rPr>
          <w:rtl w:val="0"/>
        </w:rPr>
      </w:r>
    </w:p>
    <w:p w:rsidR="00000000" w:rsidDel="00000000" w:rsidP="00000000" w:rsidRDefault="00000000" w:rsidRPr="00000000" w14:paraId="0000001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F">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Turno.</w:t>
      </w:r>
      <w:r w:rsidDel="00000000" w:rsidR="00000000" w:rsidRPr="00000000">
        <w:rPr>
          <w:rFonts w:ascii="Palatino Linotype" w:cs="Palatino Linotype" w:eastAsia="Palatino Linotype" w:hAnsi="Palatino Linotype"/>
          <w:color w:val="000000"/>
          <w:sz w:val="24"/>
          <w:szCs w:val="24"/>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4"/>
          <w:szCs w:val="24"/>
          <w:rtl w:val="0"/>
        </w:rPr>
        <w:t xml:space="preserve">14944/INFOEM/IP/RR/2022</w:t>
      </w:r>
      <w:r w:rsidDel="00000000" w:rsidR="00000000" w:rsidRPr="00000000">
        <w:rPr>
          <w:rFonts w:ascii="Palatino Linotype" w:cs="Palatino Linotype" w:eastAsia="Palatino Linotype" w:hAnsi="Palatino Linotype"/>
          <w:color w:val="000000"/>
          <w:sz w:val="24"/>
          <w:szCs w:val="24"/>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1">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Admisión del recurso de revisión</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veintiséis de septiembre de dos mil veintidós</w:t>
      </w:r>
      <w:r w:rsidDel="00000000" w:rsidR="00000000" w:rsidRPr="00000000">
        <w:rPr>
          <w:rFonts w:ascii="Palatino Linotype" w:cs="Palatino Linotype" w:eastAsia="Palatino Linotype" w:hAnsi="Palatino Linotype"/>
          <w:color w:val="000000"/>
          <w:sz w:val="24"/>
          <w:szCs w:val="24"/>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720" w:firstLine="0"/>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3">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Informe Justificado. </w:t>
      </w:r>
      <w:r w:rsidDel="00000000" w:rsidR="00000000" w:rsidRPr="00000000">
        <w:rPr>
          <w:rFonts w:ascii="Palatino Linotype" w:cs="Palatino Linotype" w:eastAsia="Palatino Linotype" w:hAnsi="Palatino Linotype"/>
          <w:color w:val="000000"/>
          <w:sz w:val="24"/>
          <w:szCs w:val="24"/>
          <w:rtl w:val="0"/>
        </w:rPr>
        <w:t xml:space="preserve">En fecha </w:t>
      </w:r>
      <w:r w:rsidDel="00000000" w:rsidR="00000000" w:rsidRPr="00000000">
        <w:rPr>
          <w:rFonts w:ascii="Palatino Linotype" w:cs="Palatino Linotype" w:eastAsia="Palatino Linotype" w:hAnsi="Palatino Linotype"/>
          <w:b w:val="1"/>
          <w:color w:val="000000"/>
          <w:sz w:val="24"/>
          <w:szCs w:val="24"/>
          <w:rtl w:val="0"/>
        </w:rPr>
        <w:t xml:space="preserve">veintiséis de septiembre de dos mil veintidós</w:t>
      </w:r>
      <w:r w:rsidDel="00000000" w:rsidR="00000000" w:rsidRPr="00000000">
        <w:rPr>
          <w:rFonts w:ascii="Palatino Linotype" w:cs="Palatino Linotype" w:eastAsia="Palatino Linotype" w:hAnsi="Palatino Linotype"/>
          <w:color w:val="000000"/>
          <w:sz w:val="24"/>
          <w:szCs w:val="24"/>
          <w:rtl w:val="0"/>
        </w:rPr>
        <w:t xml:space="preserve">, 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remitió en informe justificado lo siguiente: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Décima Segunda Sesión Extraordinaria del Comité de Transparencia y Acceso a la Información Pública del Ayuntamiento de Tequixquiac en la cual se aprueba la versión pública de la documentación enviada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Archivo comprimido en formato rar, que contiene los recibos de nómina de la primera y segunda quincena de enero a agosto de dos mil veintidós, en versión pública.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documento relacionado con el Acta de la Décima Sesión Extraordinaria del Comité de Transparencia y Acceso a la Información Pública del Ayuntamiento de Tequixquiac, se hizo del conocimiento del Particular en fecha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veintiséis de abril de dos mil veintitrés.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Particular no realizó manifestaciones. </w:t>
      </w:r>
    </w:p>
    <w:p w:rsidR="00000000" w:rsidDel="00000000" w:rsidP="00000000" w:rsidRDefault="00000000" w:rsidRPr="00000000" w14:paraId="0000002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C">
      <w:pPr>
        <w:numPr>
          <w:ilvl w:val="0"/>
          <w:numId w:val="7"/>
        </w:numPr>
        <w:pBdr>
          <w:top w:space="0" w:sz="0" w:val="nil"/>
          <w:left w:space="0" w:sz="0" w:val="nil"/>
          <w:bottom w:space="0" w:sz="0" w:val="nil"/>
          <w:right w:space="0" w:sz="0" w:val="nil"/>
          <w:between w:space="0" w:sz="0" w:val="nil"/>
        </w:pBdr>
        <w:tabs>
          <w:tab w:val="left" w:leader="none" w:pos="360"/>
        </w:tabs>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Ampliación de plazo:</w:t>
      </w:r>
      <w:r w:rsidDel="00000000" w:rsidR="00000000" w:rsidRPr="00000000">
        <w:rPr>
          <w:rFonts w:ascii="Palatino Linotype" w:cs="Palatino Linotype" w:eastAsia="Palatino Linotype" w:hAnsi="Palatino Linotype"/>
          <w:color w:val="000000"/>
          <w:sz w:val="24"/>
          <w:szCs w:val="24"/>
          <w:rtl w:val="0"/>
        </w:rPr>
        <w:t xml:space="preserve"> El </w:t>
      </w:r>
      <w:r w:rsidDel="00000000" w:rsidR="00000000" w:rsidRPr="00000000">
        <w:rPr>
          <w:rFonts w:ascii="Palatino Linotype" w:cs="Palatino Linotype" w:eastAsia="Palatino Linotype" w:hAnsi="Palatino Linotype"/>
          <w:b w:val="1"/>
          <w:color w:val="000000"/>
          <w:sz w:val="24"/>
          <w:szCs w:val="24"/>
          <w:rtl w:val="0"/>
        </w:rPr>
        <w:t xml:space="preserve">veintiséis de abril de dos mil veintitrés</w:t>
      </w:r>
      <w:r w:rsidDel="00000000" w:rsidR="00000000" w:rsidRPr="00000000">
        <w:rPr>
          <w:rFonts w:ascii="Palatino Linotype" w:cs="Palatino Linotype" w:eastAsia="Palatino Linotype" w:hAnsi="Palatino Linotype"/>
          <w:color w:val="000000"/>
          <w:sz w:val="24"/>
          <w:szCs w:val="24"/>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2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8">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a</w:t>
      </w:r>
      <w:r w:rsidDel="00000000" w:rsidR="00000000" w:rsidRPr="00000000">
        <w:rPr>
          <w:rFonts w:ascii="Palatino Linotype" w:cs="Palatino Linotype" w:eastAsia="Palatino Linotype" w:hAnsi="Palatino Linotype"/>
          <w:b w:val="1"/>
          <w:rtl w:val="0"/>
        </w:rPr>
        <w:t xml:space="preserve">)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9">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A">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B">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3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45">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6">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47">
      <w:pPr>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8">
      <w:pPr>
        <w:spacing w:after="0" w:line="360" w:lineRule="auto"/>
        <w:ind w:left="567" w:right="56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B">
      <w:pPr>
        <w:numPr>
          <w:ilvl w:val="0"/>
          <w:numId w:val="7"/>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Cierre de instrucción</w:t>
      </w:r>
      <w:r w:rsidDel="00000000" w:rsidR="00000000" w:rsidRPr="00000000">
        <w:rPr>
          <w:rFonts w:ascii="Palatino Linotype" w:cs="Palatino Linotype" w:eastAsia="Palatino Linotype" w:hAnsi="Palatino Linotype"/>
          <w:color w:val="000000"/>
          <w:sz w:val="24"/>
          <w:szCs w:val="24"/>
          <w:rtl w:val="0"/>
        </w:rPr>
        <w:t xml:space="preserve">. En fecha </w:t>
      </w:r>
      <w:r w:rsidDel="00000000" w:rsidR="00000000" w:rsidRPr="00000000">
        <w:rPr>
          <w:rFonts w:ascii="Palatino Linotype" w:cs="Palatino Linotype" w:eastAsia="Palatino Linotype" w:hAnsi="Palatino Linotype"/>
          <w:b w:val="1"/>
          <w:color w:val="000000"/>
          <w:sz w:val="24"/>
          <w:szCs w:val="24"/>
          <w:rtl w:val="0"/>
        </w:rPr>
        <w:t xml:space="preserve">cuatro</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de mayo de dos mil veintidós</w:t>
      </w:r>
      <w:r w:rsidDel="00000000" w:rsidR="00000000" w:rsidRPr="00000000">
        <w:rPr>
          <w:rFonts w:ascii="Palatino Linotype" w:cs="Palatino Linotype" w:eastAsia="Palatino Linotype" w:hAnsi="Palatino Linotype"/>
          <w:color w:val="000000"/>
          <w:sz w:val="24"/>
          <w:szCs w:val="24"/>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4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F">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w:t>
        <w:tab/>
        <w:t xml:space="preserve">C O N S I D E R A N D O:</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1">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w:t>
      </w:r>
      <w:r w:rsidDel="00000000" w:rsidR="00000000" w:rsidRPr="00000000">
        <w:rPr>
          <w:rFonts w:ascii="Palatino Linotype" w:cs="Palatino Linotype" w:eastAsia="Palatino Linotype" w:hAnsi="Palatino Linotype"/>
          <w:sz w:val="24"/>
          <w:szCs w:val="24"/>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w:t>
      </w:r>
      <w:r w:rsidDel="00000000" w:rsidR="00000000" w:rsidRPr="00000000">
        <w:rPr>
          <w:rFonts w:ascii="Palatino Linotype" w:cs="Palatino Linotype" w:eastAsia="Palatino Linotype" w:hAnsi="Palatino Linotype"/>
          <w:sz w:val="24"/>
          <w:szCs w:val="24"/>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remitió la respuesta a la solicitud de información el </w:t>
      </w:r>
      <w:r w:rsidDel="00000000" w:rsidR="00000000" w:rsidRPr="00000000">
        <w:rPr>
          <w:rFonts w:ascii="Palatino Linotype" w:cs="Palatino Linotype" w:eastAsia="Palatino Linotype" w:hAnsi="Palatino Linotype"/>
          <w:b w:val="1"/>
          <w:sz w:val="24"/>
          <w:szCs w:val="24"/>
          <w:rtl w:val="0"/>
        </w:rPr>
        <w:t xml:space="preserve">veinte de septiembre de dos mil veintidós</w:t>
      </w:r>
      <w:r w:rsidDel="00000000" w:rsidR="00000000" w:rsidRPr="00000000">
        <w:rPr>
          <w:rFonts w:ascii="Palatino Linotype" w:cs="Palatino Linotype" w:eastAsia="Palatino Linotype" w:hAnsi="Palatino Linotype"/>
          <w:sz w:val="24"/>
          <w:szCs w:val="24"/>
          <w:rtl w:val="0"/>
        </w:rPr>
        <w:t xml:space="preserve">, mientras que el recurso de revisión interpuesto por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se tuvo por presentado el </w:t>
      </w:r>
      <w:r w:rsidDel="00000000" w:rsidR="00000000" w:rsidRPr="00000000">
        <w:rPr>
          <w:rFonts w:ascii="Palatino Linotype" w:cs="Palatino Linotype" w:eastAsia="Palatino Linotype" w:hAnsi="Palatino Linotype"/>
          <w:b w:val="1"/>
          <w:sz w:val="24"/>
          <w:szCs w:val="24"/>
          <w:rtl w:val="0"/>
        </w:rPr>
        <w:t xml:space="preserve">veintiuno de septiembre de dos mil veintidós</w:t>
      </w:r>
      <w:r w:rsidDel="00000000" w:rsidR="00000000" w:rsidRPr="00000000">
        <w:rPr>
          <w:rFonts w:ascii="Palatino Linotype" w:cs="Palatino Linotype" w:eastAsia="Palatino Linotype" w:hAnsi="Palatino Linotype"/>
          <w:sz w:val="24"/>
          <w:szCs w:val="24"/>
          <w:rtl w:val="0"/>
        </w:rPr>
        <w:t xml:space="preserve">, esto es al día hábil siguiente en que se tuvo conocimiento de la respuesta.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al considerar la fecha en que se formuló la solicitud y la fecha en que respondió a esta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así como la fecha en que se interpuso el recurso de revisión, se concluye que el presente recurso de revisión se encuentra dentro de los márgenes temporales previstos en las disposiciones legales referidas. </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 suma importancia mencionar que si bien la parte proporcionó un seudónimo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A">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solicitudes </w:t>
      </w:r>
      <w:r w:rsidDel="00000000" w:rsidR="00000000" w:rsidRPr="00000000">
        <w:rPr>
          <w:rFonts w:ascii="Palatino Linotype" w:cs="Palatino Linotype" w:eastAsia="Palatino Linotype" w:hAnsi="Palatino Linotype"/>
          <w:b w:val="1"/>
          <w:i w:val="1"/>
          <w:u w:val="single"/>
          <w:rtl w:val="0"/>
        </w:rPr>
        <w:t xml:space="preserve">anónimas</w:t>
      </w:r>
      <w:r w:rsidDel="00000000" w:rsidR="00000000" w:rsidRPr="00000000">
        <w:rPr>
          <w:rFonts w:ascii="Palatino Linotype" w:cs="Palatino Linotype" w:eastAsia="Palatino Linotype" w:hAnsi="Palatino Linotype"/>
          <w:i w:val="1"/>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5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del recurso de revisión al rubro anotado, toda vez que se actualizan las hipótesis de procedencia previstas en el artículo 179, fracciones II y V de la Ley de la materia, que a la letra dice:</w:t>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La clasificación de la información;</w:t>
        <w:br w:type="textWrapping"/>
        <w:t xml:space="preserve">…</w:t>
      </w:r>
    </w:p>
    <w:p w:rsidR="00000000" w:rsidDel="00000000" w:rsidP="00000000" w:rsidRDefault="00000000" w:rsidRPr="00000000" w14:paraId="0000006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w:t>
      </w:r>
    </w:p>
    <w:p w:rsidR="00000000" w:rsidDel="00000000" w:rsidP="00000000" w:rsidRDefault="00000000" w:rsidRPr="00000000" w14:paraId="0000006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w:t>
      </w:r>
      <w:r w:rsidDel="00000000" w:rsidR="00000000" w:rsidRPr="00000000">
        <w:rPr>
          <w:rFonts w:ascii="Palatino Linotype" w:cs="Palatino Linotype" w:eastAsia="Palatino Linotype" w:hAnsi="Palatino Linotype"/>
          <w:sz w:val="24"/>
          <w:szCs w:val="24"/>
          <w:rtl w:val="0"/>
        </w:rPr>
        <w:t xml:space="preserve">. De la revisión a las constancias y documentos que obran en el expediente electrónico se advierte, que el tema sobre el que este Organismo Garante de Transparencia y Acceso a la Información se pronunciará será en determinar, si se actualizan las hipótesis de procedencia previstas en el artículo 179, fracciones II y V de la Ley de Transparencia y Acceso a la Información Pública del Estado de México y Municipios. </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Estudio de fondo del asunto.</w:t>
      </w:r>
      <w:r w:rsidDel="00000000" w:rsidR="00000000" w:rsidRPr="00000000">
        <w:rPr>
          <w:rFonts w:ascii="Palatino Linotype" w:cs="Palatino Linotype" w:eastAsia="Palatino Linotype" w:hAnsi="Palatino Linotype"/>
          <w:sz w:val="24"/>
          <w:szCs w:val="24"/>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6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E">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6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 Para el ejercicio del derecho de acceso a la información, la Federación y las entidades federativas, en el ámbito de sus respectivas competencias, se regirán por los siguientes principios y bases:</w:t>
      </w:r>
    </w:p>
    <w:p w:rsidR="00000000" w:rsidDel="00000000" w:rsidP="00000000" w:rsidRDefault="00000000" w:rsidRPr="00000000" w14:paraId="0000007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7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 La información que se refiere a la vida privada y los datos personales será protegida en los términos y con las excepciones que fijen las leyes.</w:t>
      </w:r>
    </w:p>
    <w:p w:rsidR="00000000" w:rsidDel="00000000" w:rsidP="00000000" w:rsidRDefault="00000000" w:rsidRPr="00000000" w14:paraId="0000007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Toda persona, sin necesidad de acreditar interés alguno o justificar su utilización, tendrá acceso gratuito a la información pública, a sus datos personales o a la rectificación de éstos.</w:t>
      </w:r>
    </w:p>
    <w:p w:rsidR="00000000" w:rsidDel="00000000" w:rsidP="00000000" w:rsidRDefault="00000000" w:rsidRPr="00000000" w14:paraId="0000007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IV. 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7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7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 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7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VII. La inobservancia a las disposiciones en materia de acceso a la información pública será sancionada en los términos que dispongan las leyes. [...]</w:t>
      </w:r>
    </w:p>
    <w:p w:rsidR="00000000" w:rsidDel="00000000" w:rsidP="00000000" w:rsidRDefault="00000000" w:rsidRPr="00000000" w14:paraId="0000007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7E">
      <w:pPr>
        <w:spacing w:after="0" w:line="360" w:lineRule="auto"/>
        <w:ind w:left="567" w:right="560"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8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8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Criterio 03/17. 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87">
      <w:pPr>
        <w:spacing w:after="0" w:line="360" w:lineRule="auto"/>
        <w:ind w:left="567" w:right="560" w:firstLine="0"/>
        <w:jc w:val="both"/>
        <w:rPr>
          <w:rFonts w:ascii="Palatino Linotype" w:cs="Palatino Linotype" w:eastAsia="Palatino Linotype" w:hAnsi="Palatino Linotype"/>
          <w:b w:val="1"/>
          <w:i w:val="1"/>
          <w:sz w:val="24"/>
          <w:szCs w:val="24"/>
        </w:rPr>
      </w:pPr>
      <w:r w:rsidDel="00000000" w:rsidR="00000000" w:rsidRPr="00000000">
        <w:rPr>
          <w:rtl w:val="0"/>
        </w:rPr>
      </w:r>
    </w:p>
    <w:p w:rsidR="00000000" w:rsidDel="00000000" w:rsidP="00000000" w:rsidRDefault="00000000" w:rsidRPr="00000000" w14:paraId="0000008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D">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8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4">
      <w:pPr>
        <w:spacing w:after="0" w:line="276" w:lineRule="auto"/>
        <w:ind w:left="567" w:right="5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95">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las actuaciones que integran el expediente electrónico, se procede al análisis de los agravios hechos valer por el Recurrente, relativos a la entrega de información incompleta y la clasificación de la información, lo que actualiza las causales de procedencia previstas en las fracciones II y V del artículo 179 de la Ley de Transparencia y Acceso a la Información Pública del Estado de México y Municipios. </w:t>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ello, en principio resulta recordar que la pretensión del ahora Recurrente es obtener la siguiente información: </w:t>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En formato PDF y en datos abiertos: Recibos de nómina del personal del uno de enero al treinta y uno de agosto de dos mil veintidós. </w:t>
      </w:r>
      <w:r w:rsidDel="00000000" w:rsidR="00000000" w:rsidRPr="00000000">
        <w:rPr>
          <w:rtl w:val="0"/>
        </w:rPr>
      </w:r>
    </w:p>
    <w:p w:rsidR="00000000" w:rsidDel="00000000" w:rsidP="00000000" w:rsidRDefault="00000000" w:rsidRPr="00000000" w14:paraId="000000A2">
      <w:pPr>
        <w:spacing w:after="0" w:line="360" w:lineRule="auto"/>
        <w:ind w:right="49"/>
        <w:jc w:val="both"/>
        <w:rPr>
          <w:rFonts w:ascii="Palatino Linotype" w:cs="Palatino Linotype" w:eastAsia="Palatino Linotype" w:hAnsi="Palatino Linotype"/>
          <w:b w:val="1"/>
          <w:color w:val="000000"/>
          <w:sz w:val="24"/>
          <w:szCs w:val="24"/>
        </w:rPr>
      </w:pPr>
      <w:r w:rsidDel="00000000" w:rsidR="00000000" w:rsidRPr="00000000">
        <w:rPr>
          <w:rtl w:val="0"/>
        </w:rPr>
      </w:r>
    </w:p>
    <w:p w:rsidR="00000000" w:rsidDel="00000000" w:rsidP="00000000" w:rsidRDefault="00000000" w:rsidRPr="00000000" w14:paraId="000000A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Sujeto Obligado, en respuesta remitió un archivo comprimido que contiene los recibos de nómina de la primera y segunda quincena de enero a agosto de dos mil veintidós y el Acta de la Décima Segunda Sesión Extraordinaria del Comité de Transparencia y Acceso a la Información Pública, mediante el cual se aprueba la versión pública de la documentación enviada. </w:t>
      </w:r>
    </w:p>
    <w:p w:rsidR="00000000" w:rsidDel="00000000" w:rsidP="00000000" w:rsidRDefault="00000000" w:rsidRPr="00000000" w14:paraId="000000A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ello, el Particular se inconformó arguyendo que se le había entregado la información solicitada incompleta y por la versión pública de los documentos proporcionados. </w:t>
      </w:r>
    </w:p>
    <w:p w:rsidR="00000000" w:rsidDel="00000000" w:rsidP="00000000" w:rsidRDefault="00000000" w:rsidRPr="00000000" w14:paraId="000000A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en atención a los agravios del Solicitante, el Sujeto Obligado remitió nuevamente los recibos de nómina de la primera y segunda quincena de enero a agosto de dos mil veintidós y el Acta donde se aprobó la versión pública respectiva. </w:t>
      </w:r>
    </w:p>
    <w:p w:rsidR="00000000" w:rsidDel="00000000" w:rsidP="00000000" w:rsidRDefault="00000000" w:rsidRPr="00000000" w14:paraId="000000A8">
      <w:pPr>
        <w:spacing w:after="0" w:line="360" w:lineRule="auto"/>
        <w:ind w:right="49"/>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A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ello, en principio resulta importante mencionar que el Particular se está inconformando por la clasificación de la información enviada y porque no se habían entregado las nóminas solicitadas, por lo que; resulta aplicable el criterio sostenido por el Poder Judicial de la Federación de rubro </w:t>
      </w:r>
      <w:r w:rsidDel="00000000" w:rsidR="00000000" w:rsidRPr="00000000">
        <w:rPr>
          <w:rFonts w:ascii="Palatino Linotype" w:cs="Palatino Linotype" w:eastAsia="Palatino Linotype" w:hAnsi="Palatino Linotype"/>
          <w:b w:val="1"/>
          <w:sz w:val="24"/>
          <w:szCs w:val="24"/>
          <w:rtl w:val="0"/>
        </w:rPr>
        <w:t xml:space="preserve">ACTOS CONSENTIDOS TÁCITAMENTE</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000000" w:rsidDel="00000000" w:rsidP="00000000" w:rsidRDefault="00000000" w:rsidRPr="00000000" w14:paraId="000000A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B">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 De acuerdo con el criterio en comento, en el caso de que el Solicitante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w:t>
      </w:r>
      <w:r w:rsidDel="00000000" w:rsidR="00000000" w:rsidRPr="00000000">
        <w:rPr>
          <w:rFonts w:ascii="Palatino Linotype" w:cs="Palatino Linotype" w:eastAsia="Palatino Linotype" w:hAnsi="Palatino Linotype"/>
          <w:b w:val="1"/>
          <w:sz w:val="24"/>
          <w:szCs w:val="24"/>
          <w:rtl w:val="0"/>
        </w:rPr>
        <w:t xml:space="preserve">quedaron firmes.</w:t>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sz w:val="24"/>
          <w:szCs w:val="24"/>
          <w:rtl w:val="0"/>
        </w:rPr>
        <w:t xml:space="preserve">Asimismo, resulta relevante traer a colación el Criterio 01/20, emitido por el Instituto Nacional de Transparencia, Acceso a la Información y Protección de Datos Personales, que establece lo siguiente:</w:t>
      </w:r>
      <w:r w:rsidDel="00000000" w:rsidR="00000000" w:rsidRPr="00000000">
        <w:rPr>
          <w:rtl w:val="0"/>
        </w:rPr>
      </w:r>
    </w:p>
    <w:p w:rsidR="00000000" w:rsidDel="00000000" w:rsidP="00000000" w:rsidRDefault="00000000" w:rsidRPr="00000000" w14:paraId="000000A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Actos consentidos tácitamente. Improcedencia de su análisis</w:t>
      </w:r>
      <w:r w:rsidDel="00000000" w:rsidR="00000000" w:rsidRPr="00000000">
        <w:rPr>
          <w:rFonts w:ascii="Palatino Linotype" w:cs="Palatino Linotype" w:eastAsia="Palatino Linotype" w:hAnsi="Palatino Linotype"/>
          <w:i w:val="1"/>
          <w:rtl w:val="0"/>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 </w:t>
      </w:r>
    </w:p>
    <w:p w:rsidR="00000000" w:rsidDel="00000000" w:rsidP="00000000" w:rsidRDefault="00000000" w:rsidRPr="00000000" w14:paraId="000000A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0">
      <w:pPr>
        <w:spacing w:after="0" w:line="360" w:lineRule="auto"/>
        <w:ind w:right="49"/>
        <w:jc w:val="both"/>
        <w:rPr>
          <w:rFonts w:ascii="Palatino Linotype" w:cs="Palatino Linotype" w:eastAsia="Palatino Linotype" w:hAnsi="Palatino Linotype"/>
          <w:b w:val="1"/>
          <w:sz w:val="24"/>
          <w:szCs w:val="24"/>
          <w:u w:val="single"/>
        </w:rPr>
      </w:pPr>
      <w:r w:rsidDel="00000000" w:rsidR="00000000" w:rsidRPr="00000000">
        <w:rPr>
          <w:rFonts w:ascii="Palatino Linotype" w:cs="Palatino Linotype" w:eastAsia="Palatino Linotype" w:hAnsi="Palatino Linotype"/>
          <w:sz w:val="24"/>
          <w:szCs w:val="24"/>
          <w:rtl w:val="0"/>
        </w:rPr>
        <w:t xml:space="preserve">Conforme al Criterio establecido, es improcedente entrar al análisis de las partes de la respuesta del Sujeto Obligado que no fueron impugnadas por el Recurrente, es decir, únicamente se estudiará lo relacionado con la clasificación de los datos contenidos en los recibos de nómina y si los recibos de nómina entregados corresponden con lo solicitado, es decir; </w:t>
      </w:r>
      <w:r w:rsidDel="00000000" w:rsidR="00000000" w:rsidRPr="00000000">
        <w:rPr>
          <w:rFonts w:ascii="Palatino Linotype" w:cs="Palatino Linotype" w:eastAsia="Palatino Linotype" w:hAnsi="Palatino Linotype"/>
          <w:b w:val="1"/>
          <w:sz w:val="24"/>
          <w:szCs w:val="24"/>
          <w:u w:val="single"/>
          <w:rtl w:val="0"/>
        </w:rPr>
        <w:t xml:space="preserve">no se procederá al estudio de situaciones que no fueron argüidas por el Particular por ejemplo, el formato de entrega de la información.</w:t>
      </w:r>
    </w:p>
    <w:p w:rsidR="00000000" w:rsidDel="00000000" w:rsidP="00000000" w:rsidRDefault="00000000" w:rsidRPr="00000000" w14:paraId="000000B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2">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Dicho lo anterior, se procede a contextualizar la información solicitada, por lo que, es conveniente señalar que de conformidad con el artículo 147 de la Constitución Política del Estado Libre y Soberano de México, los trabajadores al servicio del Estado, como los miembros de los Ayuntamientos, recibirán una remuneración adecuada e irrenunciable por el desempeño de su empleo, cargo o comisión que será determinada en el presupuesto de egresos que corresponda. </w:t>
      </w:r>
    </w:p>
    <w:p w:rsidR="00000000" w:rsidDel="00000000" w:rsidP="00000000" w:rsidRDefault="00000000" w:rsidRPr="00000000" w14:paraId="000000B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w:t>
      </w:r>
    </w:p>
    <w:p w:rsidR="00000000" w:rsidDel="00000000" w:rsidP="00000000" w:rsidRDefault="00000000" w:rsidRPr="00000000" w14:paraId="000000B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6">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Da la misma manera, el Anexo IV.5 Glosario de Términos, del Manual para la Planeación, Programación y Presupuesto de Egresos Municipal, establece que la remuneración es la percepción de un trabajador o retribución monetaria que se da en pago por su servicio o actividad desarrollada.</w:t>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relación con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BA">
      <w:pPr>
        <w:spacing w:after="0" w:line="276" w:lineRule="auto"/>
        <w:ind w:left="567" w:right="843" w:firstLine="0"/>
        <w:jc w:val="center"/>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Ley General de Transparencia y Acceso a la Información Pública</w:t>
      </w:r>
    </w:p>
    <w:p w:rsidR="00000000" w:rsidDel="00000000" w:rsidP="00000000" w:rsidRDefault="00000000" w:rsidRPr="00000000" w14:paraId="000000BB">
      <w:pPr>
        <w:spacing w:after="0" w:line="276" w:lineRule="auto"/>
        <w:ind w:left="567" w:right="843"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BC">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70.</w:t>
      </w:r>
      <w:r w:rsidDel="00000000" w:rsidR="00000000" w:rsidRPr="00000000">
        <w:rPr>
          <w:rFonts w:ascii="Palatino Linotype" w:cs="Palatino Linotype" w:eastAsia="Palatino Linotype" w:hAnsi="Palatino Linotype"/>
          <w:i w:val="1"/>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BD">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E">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BF">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0">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1">
      <w:pPr>
        <w:spacing w:after="0" w:line="276" w:lineRule="auto"/>
        <w:ind w:left="567" w:right="843" w:firstLine="0"/>
        <w:jc w:val="center"/>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Ley de Transparencia y Acceso a la Información Pública del Estado de México y Municipios</w:t>
      </w:r>
    </w:p>
    <w:p w:rsidR="00000000" w:rsidDel="00000000" w:rsidP="00000000" w:rsidRDefault="00000000" w:rsidRPr="00000000" w14:paraId="000000C2">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3">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i w:val="1"/>
          <w:rtl w:val="0"/>
        </w:rPr>
        <w:t xml:space="preserve">Artículo 92.</w:t>
      </w:r>
      <w:r w:rsidDel="00000000" w:rsidR="00000000" w:rsidRPr="00000000">
        <w:rPr>
          <w:rFonts w:ascii="Palatino Linotype" w:cs="Palatino Linotype" w:eastAsia="Palatino Linotype" w:hAnsi="Palatino Linotype"/>
          <w:i w:val="1"/>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C4">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C5">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0C6">
      <w:pPr>
        <w:spacing w:after="0" w:line="276" w:lineRule="auto"/>
        <w:ind w:left="567" w:right="843" w:firstLine="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i w:val="1"/>
          <w:sz w:val="24"/>
          <w:szCs w:val="24"/>
          <w:rtl w:val="0"/>
        </w:rPr>
        <w:t xml:space="preserve">…</w:t>
      </w:r>
    </w:p>
    <w:p w:rsidR="00000000" w:rsidDel="00000000" w:rsidP="00000000" w:rsidRDefault="00000000" w:rsidRPr="00000000" w14:paraId="000000C7">
      <w:pPr>
        <w:spacing w:after="0" w:line="276" w:lineRule="auto"/>
        <w:ind w:right="843"/>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su parte, la Ley del Trabajo de los Servidores Públicos del Estado y Municipios, en su artículo 220 K, fracciones II y IV, establece que: </w:t>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A">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220 K</w:t>
      </w:r>
      <w:r w:rsidDel="00000000" w:rsidR="00000000" w:rsidRPr="00000000">
        <w:rPr>
          <w:rFonts w:ascii="Palatino Linotype" w:cs="Palatino Linotype" w:eastAsia="Palatino Linotype" w:hAnsi="Palatino Linotype"/>
          <w:i w:val="1"/>
          <w:rtl w:val="0"/>
        </w:rPr>
        <w:t xml:space="preserve">.- La institución o dependencia pública tiene la obligación de conservar y exhibir en el proceso los documentos que a continuación se precisan:</w:t>
      </w:r>
    </w:p>
    <w:p w:rsidR="00000000" w:rsidDel="00000000" w:rsidP="00000000" w:rsidRDefault="00000000" w:rsidRPr="00000000" w14:paraId="000000CB">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C">
      <w:pPr>
        <w:spacing w:after="0" w:line="276" w:lineRule="auto"/>
        <w:ind w:left="567" w:right="843"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rtl w:val="0"/>
        </w:rPr>
        <w:t xml:space="preserve">II. Recibos de pagos de salarios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0CD">
      <w:pPr>
        <w:spacing w:after="0" w:line="276" w:lineRule="auto"/>
        <w:ind w:left="567" w:right="843"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CE">
      <w:pPr>
        <w:spacing w:after="0" w:line="276"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Recibos o las constancias de deposito o del medio de información magnética o electrónica que sean utilizadas para el pago de salarios, prima vacacional, aguinaldo y demás prestaciones establecidas en la presente ley; </w:t>
      </w:r>
    </w:p>
    <w:p w:rsidR="00000000" w:rsidDel="00000000" w:rsidP="00000000" w:rsidRDefault="00000000" w:rsidRPr="00000000" w14:paraId="000000CF">
      <w:pPr>
        <w:spacing w:after="0" w:line="276" w:lineRule="auto"/>
        <w:ind w:left="567" w:right="843"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D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 decir, del precepto normativo se advierte que entre los documentos que tiene la obligación de conservar el Sujeto Obligado, se encuentran los </w:t>
      </w:r>
      <w:r w:rsidDel="00000000" w:rsidR="00000000" w:rsidRPr="00000000">
        <w:rPr>
          <w:rFonts w:ascii="Palatino Linotype" w:cs="Palatino Linotype" w:eastAsia="Palatino Linotype" w:hAnsi="Palatino Linotype"/>
          <w:b w:val="1"/>
          <w:color w:val="000000"/>
          <w:sz w:val="24"/>
          <w:szCs w:val="24"/>
          <w:rtl w:val="0"/>
        </w:rPr>
        <w:t xml:space="preserve">recibos de pago de salarios o las</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color w:val="000000"/>
          <w:sz w:val="24"/>
          <w:szCs w:val="24"/>
          <w:rtl w:val="0"/>
        </w:rPr>
        <w:t xml:space="preserve">constancias documentales del pago de sueldos</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b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w:t>
      </w:r>
    </w:p>
    <w:p w:rsidR="00000000" w:rsidDel="00000000" w:rsidP="00000000" w:rsidRDefault="00000000" w:rsidRPr="00000000" w14:paraId="000000D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en relación con el Sujeto Obligado que ahora nos ocupa, el artículo 41 del Bando Municipal de Tequixquiac refiere en sus artículos 41, 53, 84 y 87 lo siguiente: </w:t>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5">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41.-</w:t>
      </w:r>
      <w:r w:rsidDel="00000000" w:rsidR="00000000" w:rsidRPr="00000000">
        <w:rPr>
          <w:rFonts w:ascii="Palatino Linotype" w:cs="Palatino Linotype" w:eastAsia="Palatino Linotype" w:hAnsi="Palatino Linotype"/>
          <w:i w:val="1"/>
          <w:rtl w:val="0"/>
        </w:rPr>
        <w:t xml:space="preserve"> La Administración Pública Centralizada se constituye por las dependencias que señala la Ley Orgánica Municipal del Estado de México, así como por aquellas que sean creadas mediante acuerdo de Cabildo; dependerán del Ayuntamiento y están subordinados jerárquicamente al Presidente Municipal. </w:t>
      </w:r>
    </w:p>
    <w:p w:rsidR="00000000" w:rsidDel="00000000" w:rsidP="00000000" w:rsidRDefault="00000000" w:rsidRPr="00000000" w14:paraId="000000D6">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Administración Pública Centralizada se integra por las siguientes dependencias administrativas: </w:t>
      </w:r>
    </w:p>
    <w:p w:rsidR="00000000" w:rsidDel="00000000" w:rsidP="00000000" w:rsidRDefault="00000000" w:rsidRPr="00000000" w14:paraId="000000D7">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8">
      <w:pPr>
        <w:spacing w:after="0" w:line="240" w:lineRule="auto"/>
        <w:ind w:left="567" w:right="843"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III. Tesorería Municipal;</w:t>
      </w:r>
    </w:p>
    <w:p w:rsidR="00000000" w:rsidDel="00000000" w:rsidP="00000000" w:rsidRDefault="00000000" w:rsidRPr="00000000" w14:paraId="000000D9">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DA">
      <w:pPr>
        <w:spacing w:after="0" w:line="240" w:lineRule="auto"/>
        <w:ind w:left="567" w:right="843" w:firstLine="0"/>
        <w:jc w:val="both"/>
        <w:rPr>
          <w:rFonts w:ascii="Palatino Linotype" w:cs="Palatino Linotype" w:eastAsia="Palatino Linotype" w:hAnsi="Palatino Linotype"/>
          <w:b w:val="1"/>
          <w:i w:val="1"/>
          <w:color w:val="000000"/>
          <w:u w:val="single"/>
        </w:rPr>
      </w:pPr>
      <w:r w:rsidDel="00000000" w:rsidR="00000000" w:rsidRPr="00000000">
        <w:rPr>
          <w:rFonts w:ascii="Palatino Linotype" w:cs="Palatino Linotype" w:eastAsia="Palatino Linotype" w:hAnsi="Palatino Linotype"/>
          <w:b w:val="1"/>
          <w:i w:val="1"/>
          <w:color w:val="000000"/>
          <w:u w:val="single"/>
          <w:rtl w:val="0"/>
        </w:rPr>
        <w:t xml:space="preserve">VIII. Dirección de Administración;</w:t>
      </w:r>
    </w:p>
    <w:p w:rsidR="00000000" w:rsidDel="00000000" w:rsidP="00000000" w:rsidRDefault="00000000" w:rsidRPr="00000000" w14:paraId="000000DB">
      <w:pPr>
        <w:spacing w:after="0" w:line="240" w:lineRule="auto"/>
        <w:ind w:left="567"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DC">
      <w:pPr>
        <w:spacing w:after="0" w:line="240" w:lineRule="auto"/>
        <w:ind w:left="567"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b) Jefatura de Recursos Humanos;</w:t>
      </w:r>
    </w:p>
    <w:p w:rsidR="00000000" w:rsidDel="00000000" w:rsidP="00000000" w:rsidRDefault="00000000" w:rsidRPr="00000000" w14:paraId="000000DD">
      <w:pPr>
        <w:spacing w:after="0" w:line="240" w:lineRule="auto"/>
        <w:ind w:left="567" w:right="843"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D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F">
      <w:pPr>
        <w:spacing w:after="0" w:line="240" w:lineRule="auto"/>
        <w:ind w:left="567"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Artículo 53.- La Tesorería Municipal es la unidad administrativa encargada de la recaudación de los ingresos municipales y la administración de la Hacienda Pública Municipal, responsable de realizar las erogaciones y funciones requeridas por el Ayuntamiento, el Presidente Municipal Constitucional y demás dependencias de la Administración Pública Municipal, con las atribuciones contenidas en el artículo 95 de la Ley Orgánica Municipal del Estado de México, además del despacho de las siguientes atribuciones: </w:t>
      </w:r>
    </w:p>
    <w:p w:rsidR="00000000" w:rsidDel="00000000" w:rsidP="00000000" w:rsidRDefault="00000000" w:rsidRPr="00000000" w14:paraId="000000E0">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Elaborar y proponer al Ayuntamiento los proyectos de Reglamentos, Normas, Procedimientos y demás disposiciones de la actividad financiera y tributaria del Ayuntamiento: </w:t>
      </w:r>
    </w:p>
    <w:p w:rsidR="00000000" w:rsidDel="00000000" w:rsidP="00000000" w:rsidRDefault="00000000" w:rsidRPr="00000000" w14:paraId="000000E1">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Expedir certificaciones de no adeudo y demás constancias de la información y documentación a su cargo; </w:t>
      </w:r>
    </w:p>
    <w:p w:rsidR="00000000" w:rsidDel="00000000" w:rsidP="00000000" w:rsidRDefault="00000000" w:rsidRPr="00000000" w14:paraId="000000E2">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Controlar el cumplimiento de las disposiciones legales de carácter fiscal y demás en su ramo aplicables en el Municipio; </w:t>
      </w:r>
    </w:p>
    <w:p w:rsidR="00000000" w:rsidDel="00000000" w:rsidP="00000000" w:rsidRDefault="00000000" w:rsidRPr="00000000" w14:paraId="000000E3">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Ejercer la actividad económica coactiva conforme a las leyes relativas; </w:t>
      </w:r>
    </w:p>
    <w:p w:rsidR="00000000" w:rsidDel="00000000" w:rsidP="00000000" w:rsidRDefault="00000000" w:rsidRPr="00000000" w14:paraId="000000E4">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Tramitar y resolver los procedimientos y recursos administrativos que le competen e intervenir en los juicios de carácter fiscal que se ventilen en cualquier tribunal, cuando tenga interés la Hacienda Municipal; y </w:t>
      </w:r>
    </w:p>
    <w:p w:rsidR="00000000" w:rsidDel="00000000" w:rsidP="00000000" w:rsidRDefault="00000000" w:rsidRPr="00000000" w14:paraId="000000E5">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Tener a su cargo un área dedicada a los rezagos de ejecución fiscal, contando con los notificadores-ejecutores que requiera esta área acorde a las disposiciones presupuestales; La Tesorería Municipal tendrá a su cargo al Departamento de Catastro Municipal. </w:t>
      </w:r>
    </w:p>
    <w:p w:rsidR="00000000" w:rsidDel="00000000" w:rsidP="00000000" w:rsidRDefault="00000000" w:rsidRPr="00000000" w14:paraId="000000E6">
      <w:pPr>
        <w:spacing w:after="0" w:line="240" w:lineRule="auto"/>
        <w:ind w:lef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7">
      <w:pPr>
        <w:spacing w:after="0" w:line="240" w:lineRule="auto"/>
        <w:ind w:lef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E8">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Artículo 84.- La Dirección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w:t>
      </w:r>
      <w:r w:rsidDel="00000000" w:rsidR="00000000" w:rsidRPr="00000000">
        <w:rPr>
          <w:rFonts w:ascii="Palatino Linotype" w:cs="Palatino Linotype" w:eastAsia="Palatino Linotype" w:hAnsi="Palatino Linotype"/>
          <w:i w:val="1"/>
          <w:rtl w:val="0"/>
        </w:rPr>
        <w:t xml:space="preserve">. Las demás que le instruya el Ayuntamiento y el Presidente Municipal en el ejercicio de sus facultades. Así, como las que expresamente le otorguen otros ordenamientos jurídicos o administrativos. </w:t>
      </w:r>
    </w:p>
    <w:p w:rsidR="00000000" w:rsidDel="00000000" w:rsidP="00000000" w:rsidRDefault="00000000" w:rsidRPr="00000000" w14:paraId="000000E9">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A">
      <w:pPr>
        <w:spacing w:after="0" w:line="240" w:lineRule="auto"/>
        <w:ind w:lef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87.-</w:t>
      </w:r>
      <w:r w:rsidDel="00000000" w:rsidR="00000000" w:rsidRPr="00000000">
        <w:rPr>
          <w:rFonts w:ascii="Palatino Linotype" w:cs="Palatino Linotype" w:eastAsia="Palatino Linotype" w:hAnsi="Palatino Linotype"/>
          <w:i w:val="1"/>
          <w:rtl w:val="0"/>
        </w:rPr>
        <w:t xml:space="preserve"> La Jefatura de Recursos Humanos es el área que se encarga de reclutar, seleccionar, contratar y administrar al personal que requiere la Administración Pública Municipal para un óptimo funcionamiento, de igual forma, participar en la capacitación y cursos, con ello contribuir al desarrollo de los individuos.</w:t>
      </w:r>
    </w:p>
    <w:p w:rsidR="00000000" w:rsidDel="00000000" w:rsidP="00000000" w:rsidRDefault="00000000" w:rsidRPr="00000000" w14:paraId="000000EB">
      <w:pPr>
        <w:spacing w:after="0" w:line="240" w:lineRule="auto"/>
        <w:ind w:left="567" w:firstLine="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Es así que de lo anterior, se advierte que el Sujeto Obligado cuenta con unidades administrativas que cuentan con las atribuciones, competencias y funciones para conocer, administrar y generar la información solicitada, relacionada con los recibos de nómina de enero a agosto de dos mil veintidós. </w:t>
      </w:r>
    </w:p>
    <w:p w:rsidR="00000000" w:rsidDel="00000000" w:rsidP="00000000" w:rsidRDefault="00000000" w:rsidRPr="00000000" w14:paraId="000000EE">
      <w:pPr>
        <w:tabs>
          <w:tab w:val="left" w:leader="none" w:pos="3686"/>
        </w:tabs>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F">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atención a los agravios hechos valer por el ahora Recurrente, este se inconformó arguyendo que  la versión pública no era la correcta, debido a que no contenida la firma autógrafa de los servidores públicos y se estaban dando a conocer datos personales como el sistema de capitalización individual y préstamos quirografarios, además de ello, refirió que no se estaban proporcionando los recibos de nómina solicitados. </w:t>
      </w:r>
    </w:p>
    <w:p w:rsidR="00000000" w:rsidDel="00000000" w:rsidP="00000000" w:rsidRDefault="00000000" w:rsidRPr="00000000" w14:paraId="000000F0">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1">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del análisis realizado a la información enviada por el Particular, en lo que respecta a la firma, no se advierte que esta haya sido clasificada en los recibos de nómina enviados por el Sujeto Obligado, debido a que en Comprobantes Fiscales Digitales por Internet no es obligatorio que contengan la firma de los servidores público, de conformidad con la Guía de llenado de los comprobantes fiscales digitales por Internet (consultada en </w:t>
      </w:r>
      <w:hyperlink r:id="rId7">
        <w:r w:rsidDel="00000000" w:rsidR="00000000" w:rsidRPr="00000000">
          <w:rPr>
            <w:rFonts w:ascii="Palatino Linotype" w:cs="Palatino Linotype" w:eastAsia="Palatino Linotype" w:hAnsi="Palatino Linotype"/>
            <w:color w:val="0563c1"/>
            <w:sz w:val="24"/>
            <w:szCs w:val="24"/>
            <w:u w:val="single"/>
            <w:rtl w:val="0"/>
          </w:rPr>
          <w:t xml:space="preserve">http://omawww.sat.gob.mx/tramitesyservicios/Paginas/documentos/Anexo_20_Guia_de_llenado_CFDI.pdf</w:t>
        </w:r>
      </w:hyperlink>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F2">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que, se advierte que el Sujeto Obligado proporcionó la información con la que cuenta, obra en sus archivos y en el estado que guardan, de conformidad con el artículo 12 de la Ley de Transparencia y Acceso a la Información Pública del Estado de México y Municipios.</w:t>
      </w:r>
    </w:p>
    <w:p w:rsidR="00000000" w:rsidDel="00000000" w:rsidP="00000000" w:rsidRDefault="00000000" w:rsidRPr="00000000" w14:paraId="000000F4">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cabe mencionar que el Particular se inconformó arguyendo que el Sujeto Obligado había dejado a la vista datos personales relacionados con descuentos realizados a los servidores públicos, por lo que, resulta necesario analizar lo siguiente: </w:t>
      </w:r>
    </w:p>
    <w:p w:rsidR="00000000" w:rsidDel="00000000" w:rsidP="00000000" w:rsidRDefault="00000000" w:rsidRPr="00000000" w14:paraId="000000F6">
      <w:pPr>
        <w:tabs>
          <w:tab w:val="left" w:leader="none" w:pos="3686"/>
        </w:tabs>
        <w:spacing w:after="0" w:line="360" w:lineRule="auto"/>
        <w:ind w:right="84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3686"/>
        </w:tabs>
        <w:spacing w:after="0" w:before="0" w:line="276" w:lineRule="auto"/>
        <w:ind w:left="720" w:right="843"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Seguro de Capitalización Individualizado.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Sobre este rubro, debe señalarse que conforme al Díptico publicado por el Instituto de Seguridad Social del Estado de México y Municipios, (consultado en </w:t>
      </w:r>
      <w:hyperlink r:id="rId8">
        <w:r w:rsidDel="00000000" w:rsidR="00000000" w:rsidRPr="00000000">
          <w:rPr>
            <w:rFonts w:ascii="Palatino Linotype" w:cs="Palatino Linotype" w:eastAsia="Palatino Linotype" w:hAnsi="Palatino Linotype"/>
            <w:b w:val="0"/>
            <w:i w:val="0"/>
            <w:smallCaps w:val="0"/>
            <w:strike w:val="0"/>
            <w:color w:val="0563c1"/>
            <w:sz w:val="22"/>
            <w:szCs w:val="22"/>
            <w:u w:val="single"/>
            <w:shd w:fill="auto" w:val="clear"/>
            <w:vertAlign w:val="baseline"/>
            <w:rtl w:val="0"/>
          </w:rPr>
          <w:t xml:space="preserve">http://www.issemym.gob.mx/sites/www.issemym.gob.mx/files/Sistema%20de%20Capitalizacion%20Individual.jpg</w:t>
        </w:r>
      </w:hyperlink>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Sistema de Capitalización Individualizado es el mecanismo mediante el cual, un servidor público y la Institución en la que labora, acumulan recursos, adicionales a su pensión; mismo que se integra hasta por tres rubros, los cuales son los siguientes:</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86"/>
        </w:tabs>
        <w:spacing w:after="0" w:before="0" w:line="276" w:lineRule="auto"/>
        <w:ind w:left="720" w:right="843"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tabs>
          <w:tab w:val="left" w:leader="none" w:pos="3686"/>
        </w:tabs>
        <w:spacing w:after="0" w:line="276" w:lineRule="auto"/>
        <w:ind w:left="709"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rtl w:val="0"/>
        </w:rPr>
        <w:t xml:space="preserve">Subcuenta de cuota obligatoria;</w:t>
      </w:r>
      <w:r w:rsidDel="00000000" w:rsidR="00000000" w:rsidRPr="00000000">
        <w:rPr>
          <w:rFonts w:ascii="Palatino Linotype" w:cs="Palatino Linotype" w:eastAsia="Palatino Linotype" w:hAnsi="Palatino Linotype"/>
          <w:rtl w:val="0"/>
        </w:rPr>
        <w:t xml:space="preserve"> que corresponde a un porcentaje del sueldo sujeto a cotización, que se descuenta al servir público de manera automática.</w:t>
      </w:r>
    </w:p>
    <w:p w:rsidR="00000000" w:rsidDel="00000000" w:rsidP="00000000" w:rsidRDefault="00000000" w:rsidRPr="00000000" w14:paraId="000000FA">
      <w:pPr>
        <w:tabs>
          <w:tab w:val="left" w:leader="none" w:pos="3686"/>
        </w:tabs>
        <w:spacing w:after="0" w:line="276" w:lineRule="auto"/>
        <w:ind w:left="709"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tabs>
          <w:tab w:val="left" w:leader="none" w:pos="3686"/>
        </w:tabs>
        <w:spacing w:after="0" w:line="276" w:lineRule="auto"/>
        <w:ind w:left="709"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Subcuenta de aportación obligatoria:</w:t>
      </w:r>
      <w:r w:rsidDel="00000000" w:rsidR="00000000" w:rsidRPr="00000000">
        <w:rPr>
          <w:rFonts w:ascii="Palatino Linotype" w:cs="Palatino Linotype" w:eastAsia="Palatino Linotype" w:hAnsi="Palatino Linotype"/>
          <w:rtl w:val="0"/>
        </w:rPr>
        <w:t xml:space="preserve"> que es la aportación que realiza la Institución a favor del servidor público, el cual equivale a un porcentaje del sueldo sujeto a cotización.</w:t>
      </w:r>
    </w:p>
    <w:p w:rsidR="00000000" w:rsidDel="00000000" w:rsidP="00000000" w:rsidRDefault="00000000" w:rsidRPr="00000000" w14:paraId="000000FC">
      <w:pPr>
        <w:tabs>
          <w:tab w:val="left" w:leader="none" w:pos="3686"/>
        </w:tabs>
        <w:spacing w:after="0" w:line="276" w:lineRule="auto"/>
        <w:ind w:left="709"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tabs>
          <w:tab w:val="left" w:leader="none" w:pos="3686"/>
        </w:tabs>
        <w:spacing w:after="0" w:line="276" w:lineRule="auto"/>
        <w:ind w:left="709"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Subcuenta voluntaria:</w:t>
      </w:r>
      <w:r w:rsidDel="00000000" w:rsidR="00000000" w:rsidRPr="00000000">
        <w:rPr>
          <w:rFonts w:ascii="Palatino Linotype" w:cs="Palatino Linotype" w:eastAsia="Palatino Linotype" w:hAnsi="Palatino Linotype"/>
          <w:rtl w:val="0"/>
        </w:rPr>
        <w:t xml:space="preserve"> que es la cantidad que cada servidor público decide ahorrar de acuerdo con sus aportaciones, permitiendo acumular mayores ingresos para su retiro. </w:t>
      </w:r>
    </w:p>
    <w:p w:rsidR="00000000" w:rsidDel="00000000" w:rsidP="00000000" w:rsidRDefault="00000000" w:rsidRPr="00000000" w14:paraId="000000FE">
      <w:pPr>
        <w:tabs>
          <w:tab w:val="left" w:leader="none" w:pos="3686"/>
        </w:tabs>
        <w:spacing w:after="0" w:line="360" w:lineRule="auto"/>
        <w:ind w:right="84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tabs>
          <w:tab w:val="left" w:leader="none" w:pos="3686"/>
        </w:tabs>
        <w:spacing w:after="0" w:line="276" w:lineRule="auto"/>
        <w:ind w:left="567"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lo anterior, debe considerarse que la subcuenta de cuota obligatoria y subcuenta de aportación obligatoria, deben ser considerados datos de naturaleza pública, ya que su publicidad es necesaria, considerando que se trata del ejercicio de recursos públicos que se les ha asignado a las dependencias y entidades y, la publicidad de dicha información permite conocer con certeza si el monto de las aportaciones que la Institución en la que labora el servidor público, es equivalente al porcentaje del sueldo bruto mensual de los servidores públicos. Situación que se robustece, con el Criterio 05/10 emitido por el entonces Pleno del Instituto Federal de Acceso a la Información y Protección de Datos, mismo que se trae por analogía, cuyo texto y rubro es el siguiente: </w:t>
      </w:r>
    </w:p>
    <w:p w:rsidR="00000000" w:rsidDel="00000000" w:rsidP="00000000" w:rsidRDefault="00000000" w:rsidRPr="00000000" w14:paraId="00000100">
      <w:pPr>
        <w:tabs>
          <w:tab w:val="left" w:leader="none" w:pos="3686"/>
        </w:tabs>
        <w:spacing w:after="0" w:line="276" w:lineRule="auto"/>
        <w:ind w:left="567"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1">
      <w:pPr>
        <w:tabs>
          <w:tab w:val="left" w:leader="none" w:pos="3686"/>
        </w:tabs>
        <w:spacing w:after="0" w:line="276" w:lineRule="auto"/>
        <w:ind w:left="567" w:right="843"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Naturaleza de la información relativa a los montos aportados al Seguro de Separación Individualizado</w:t>
      </w:r>
      <w:r w:rsidDel="00000000" w:rsidR="00000000" w:rsidRPr="00000000">
        <w:rPr>
          <w:rFonts w:ascii="Palatino Linotype" w:cs="Palatino Linotype" w:eastAsia="Palatino Linotype" w:hAnsi="Palatino Linotype"/>
          <w:i w:val="1"/>
          <w:rtl w:val="0"/>
        </w:rPr>
        <w:t xml:space="preserve">. De conformidad con la normatividad aplicable, las aportaciones relativas al Seguro de Separación Individualizado pueden ser divididas en tres grupos: las realizadas por las dependencias y entidades de la Administración Pública Federal; las que realizan los servidores públicos a través de las retenciones que efectúa la dependencia o entidad vía nómina; y las aportaciones adicionales extraordinarias que realizan los servidores públicos. En términos de lo que establecen los artículos 7, fracción IV y 12 de la Ley Federal de Transparencia y Acceso a la Información Pública Gubernamental, en relación con el artículo 14 de su Reglamento, se considera que la información del primer y segundo grupo es de carácter público. Respecto del primer monto, se debe señalar que se trata de la entrega de recursos públicos adicionales a aquellos que corresponden al sueldo bruto mensual integrado, es decir, se trata de una prestación que se obtiene a partir de una partida presupuestal distinta a la que corresponde al sueldo de dichos trabajadores. Respecto del segundo monto, esto es, la parte que aportan los servidores públicos, es de señalarse que, aún cuando se refiere a una decisión personal sobre su patrimonio, su publicidad es necesaria para determinar si las dependencias y entidades correspondientes han manejado los recursos públicos federales que les son asignados de conformidad con las disposiciones legales aplicables; esto es, la publicidad de dicha información permite conocer con certeza si el monto de las aportaciones que el gobierno federal destina al pago de la prima del Seguro de Separación Individualizado es equivalente al porcentaje del sueldo bruto mensual integrado que los servidores públicos aportan al referido seguro. En relación con el tercer grupo, cabe destacar que se trata de aportaciones adicionales extraordinarias, respecto de las cuales las dependencias y entidades no aportan pago alguno; por lo tanto, se trata de decisiones personales sobre el uso y destino que los servidores públicos desean dar a su patrimonio, información que de conformidad con los artículos 3, fracción II y 18, fracción II de la Ley Federal de Transparencia y Acceso a la Información Pública Gubernamental, debe clasificarse como confidencial.” </w:t>
      </w:r>
      <w:r w:rsidDel="00000000" w:rsidR="00000000" w:rsidRPr="00000000">
        <w:rPr>
          <w:rtl w:val="0"/>
        </w:rPr>
      </w:r>
    </w:p>
    <w:p w:rsidR="00000000" w:rsidDel="00000000" w:rsidP="00000000" w:rsidRDefault="00000000" w:rsidRPr="00000000" w14:paraId="00000102">
      <w:pPr>
        <w:tabs>
          <w:tab w:val="left" w:leader="none" w:pos="3686"/>
        </w:tabs>
        <w:spacing w:after="0" w:line="360" w:lineRule="auto"/>
        <w:ind w:right="84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tabs>
          <w:tab w:val="left" w:leader="none" w:pos="3686"/>
        </w:tabs>
        <w:spacing w:after="0" w:line="276" w:lineRule="auto"/>
        <w:ind w:left="567"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En suma, debe considerarse que la naturaleza de la 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p>
    <w:p w:rsidR="00000000" w:rsidDel="00000000" w:rsidP="00000000" w:rsidRDefault="00000000" w:rsidRPr="00000000" w14:paraId="00000104">
      <w:pPr>
        <w:tabs>
          <w:tab w:val="left" w:leader="none" w:pos="3686"/>
        </w:tabs>
        <w:spacing w:after="0" w:line="276" w:lineRule="auto"/>
        <w:ind w:left="567" w:right="843" w:firstLine="0"/>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567"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Préstamos o descuentos que le hagan al servidor público.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Cabe mencionar que existen deducciones que se generan con motivo de una decisión libre y voluntaria de los servidores públicos, como son: contratar seguros de vida, de gastos médicos mayores (potenciación) o de automóvil, así como descuentos por obras de beneficencia.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276" w:lineRule="auto"/>
        <w:ind w:left="567"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spacing w:after="0" w:line="276" w:lineRule="auto"/>
        <w:ind w:left="567"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pueden existir deducciones que se generan con motivo de una sentencia judicial, como es la pensión alimenticia que periódicamente se deposita en la cuenta de un trabajador, o bien, que se retira del sueldo de un empleado, a efecto de que sea entregado a un tercero. </w:t>
      </w:r>
    </w:p>
    <w:p w:rsidR="00000000" w:rsidDel="00000000" w:rsidP="00000000" w:rsidRDefault="00000000" w:rsidRPr="00000000" w14:paraId="00000108">
      <w:pPr>
        <w:spacing w:after="0" w:line="276" w:lineRule="auto"/>
        <w:ind w:left="567"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9">
      <w:pPr>
        <w:spacing w:after="0" w:line="276" w:lineRule="auto"/>
        <w:ind w:left="567"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w:t>
      </w:r>
    </w:p>
    <w:p w:rsidR="00000000" w:rsidDel="00000000" w:rsidP="00000000" w:rsidRDefault="00000000" w:rsidRPr="00000000" w14:paraId="0000010A">
      <w:pPr>
        <w:spacing w:after="0" w:line="276" w:lineRule="auto"/>
        <w:ind w:left="567"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tabs>
          <w:tab w:val="left" w:leader="none" w:pos="3686"/>
        </w:tabs>
        <w:spacing w:after="0" w:line="276" w:lineRule="auto"/>
        <w:ind w:left="567"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Por lo anterior, dichas deducciones reflejan el destino que un servidor público da a su patrimonio. Por lo tanto, resulta procedente clasificar dicho dato en términos del artículo 143, fracción I de la Ley de Transparencia y Acceso a la Información Pública del Estado de México y Municipios.</w:t>
      </w:r>
    </w:p>
    <w:p w:rsidR="00000000" w:rsidDel="00000000" w:rsidP="00000000" w:rsidRDefault="00000000" w:rsidRPr="00000000" w14:paraId="0000010C">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D">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Conforme a lo anterior, se considera que en lo que respecta al </w:t>
      </w:r>
      <w:r w:rsidDel="00000000" w:rsidR="00000000" w:rsidRPr="00000000">
        <w:rPr>
          <w:rFonts w:ascii="Palatino Linotype" w:cs="Palatino Linotype" w:eastAsia="Palatino Linotype" w:hAnsi="Palatino Linotype"/>
          <w:b w:val="1"/>
          <w:sz w:val="24"/>
          <w:szCs w:val="24"/>
          <w:rtl w:val="0"/>
        </w:rPr>
        <w:t xml:space="preserve">Seguro de Capitalización Individualizado</w:t>
      </w:r>
      <w:r w:rsidDel="00000000" w:rsidR="00000000" w:rsidRPr="00000000">
        <w:rPr>
          <w:rFonts w:ascii="Palatino Linotype" w:cs="Palatino Linotype" w:eastAsia="Palatino Linotype" w:hAnsi="Palatino Linotype"/>
          <w:sz w:val="24"/>
          <w:szCs w:val="24"/>
          <w:rtl w:val="0"/>
        </w:rPr>
        <w:t xml:space="preserve">, en lo que respecta a la </w:t>
      </w:r>
      <w:r w:rsidDel="00000000" w:rsidR="00000000" w:rsidRPr="00000000">
        <w:rPr>
          <w:rFonts w:ascii="Palatino Linotype" w:cs="Palatino Linotype" w:eastAsia="Palatino Linotype" w:hAnsi="Palatino Linotype"/>
          <w:b w:val="1"/>
          <w:sz w:val="24"/>
          <w:szCs w:val="24"/>
          <w:rtl w:val="0"/>
        </w:rPr>
        <w:t xml:space="preserve">subcuenta de cuota obligatoria y de la subcuenta de aportación obligatoria, son datos de naturaleza pública y por ende no procede su clasificación en términos del artículo 143, fracción I de la Ley de Transparencia y Acceso a la Información Pública del Estado de México y Municipios. </w:t>
      </w:r>
      <w:r w:rsidDel="00000000" w:rsidR="00000000" w:rsidRPr="00000000">
        <w:rPr>
          <w:rtl w:val="0"/>
        </w:rPr>
      </w:r>
    </w:p>
    <w:p w:rsidR="00000000" w:rsidDel="00000000" w:rsidP="00000000" w:rsidRDefault="00000000" w:rsidRPr="00000000" w14:paraId="0000010E">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F">
      <w:pPr>
        <w:tabs>
          <w:tab w:val="left" w:leader="none" w:pos="3686"/>
        </w:tabs>
        <w:spacing w:after="0"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No obstante, en los recibos de nómina enviados tanto en respuesta como en informe justificado, se advirtió que el Sujeto Obligado dejó a la vista datos relacionados con </w:t>
      </w:r>
      <w:r w:rsidDel="00000000" w:rsidR="00000000" w:rsidRPr="00000000">
        <w:rPr>
          <w:rFonts w:ascii="Palatino Linotype" w:cs="Palatino Linotype" w:eastAsia="Palatino Linotype" w:hAnsi="Palatino Linotype"/>
          <w:b w:val="1"/>
          <w:sz w:val="24"/>
          <w:szCs w:val="24"/>
          <w:rtl w:val="0"/>
        </w:rPr>
        <w:t xml:space="preserve">préstamos y descuentos de carácter personal que se realizaron a los servidores públicos</w:t>
      </w:r>
      <w:r w:rsidDel="00000000" w:rsidR="00000000" w:rsidRPr="00000000">
        <w:rPr>
          <w:rFonts w:ascii="Palatino Linotype" w:cs="Palatino Linotype" w:eastAsia="Palatino Linotype" w:hAnsi="Palatino Linotype"/>
          <w:sz w:val="24"/>
          <w:szCs w:val="24"/>
          <w:rtl w:val="0"/>
        </w:rPr>
        <w:t xml:space="preserve">; datos que actualizan la causal de clasificación prevista en el </w:t>
      </w:r>
      <w:r w:rsidDel="00000000" w:rsidR="00000000" w:rsidRPr="00000000">
        <w:rPr>
          <w:rFonts w:ascii="Palatino Linotype" w:cs="Palatino Linotype" w:eastAsia="Palatino Linotype" w:hAnsi="Palatino Linotype"/>
          <w:b w:val="1"/>
          <w:sz w:val="24"/>
          <w:szCs w:val="24"/>
          <w:rtl w:val="0"/>
        </w:rPr>
        <w:t xml:space="preserve">artículo 143, fracción I de la Ley de Transparencia y Acceso a la Información Pública del Estado de México y Municipios.</w:t>
      </w:r>
    </w:p>
    <w:p w:rsidR="00000000" w:rsidDel="00000000" w:rsidP="00000000" w:rsidRDefault="00000000" w:rsidRPr="00000000" w14:paraId="00000110">
      <w:pPr>
        <w:tabs>
          <w:tab w:val="left" w:leader="none" w:pos="3686"/>
        </w:tabs>
        <w:spacing w:after="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11">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por lo que, toda vez que el actuar del Sujeto Obligado no se encontró apegada a derecho y, su respuesta a todas luces transgrede la esfera privada de particulares y por ello, ahora estos obran en poder de la parte Recurrente; se le insta al Particular a no hacer mal manejo de los mismos, pues con su divulgación afectaría indudablemente la esfera íntima de sus titulares. </w:t>
      </w:r>
    </w:p>
    <w:p w:rsidR="00000000" w:rsidDel="00000000" w:rsidP="00000000" w:rsidRDefault="00000000" w:rsidRPr="00000000" w14:paraId="00000112">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3">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 obstante, es de destacar que el Acuerdo remitido por el Sujeto Obligado cumple con las formalidades requeridas para avalar la versión pública de la información que se remitió, pues, en este consta que se trata de la aprobación de las versiones públicas de la información requerida en la solicitud de información 00184/TEQUIXQU/IP/2022, se describieron los datos que se clasificaron y se avaló por las autoridades competentes, tal como se observa a continuación: </w:t>
      </w:r>
    </w:p>
    <w:p w:rsidR="00000000" w:rsidDel="00000000" w:rsidP="00000000" w:rsidRDefault="00000000" w:rsidRPr="00000000" w14:paraId="00000114">
      <w:pPr>
        <w:tabs>
          <w:tab w:val="left" w:leader="none" w:pos="3686"/>
        </w:tabs>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216958" cy="2110351"/>
            <wp:effectExtent b="0" l="0" r="0" t="0"/>
            <wp:docPr id="3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216958" cy="211035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5105400" cy="638175"/>
                <wp:effectExtent b="0" l="0" r="0" t="0"/>
                <wp:wrapNone/>
                <wp:docPr id="31" name=""/>
                <a:graphic>
                  <a:graphicData uri="http://schemas.microsoft.com/office/word/2010/wordprocessingShape">
                    <wps:wsp>
                      <wps:cNvSpPr/>
                      <wps:cNvPr id="3" name="Shape 3"/>
                      <wps:spPr>
                        <a:xfrm>
                          <a:off x="2812350" y="3479963"/>
                          <a:ext cx="5067300" cy="6000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wp:posOffset>
                </wp:positionV>
                <wp:extent cx="5105400" cy="638175"/>
                <wp:effectExtent b="0" l="0" r="0" t="0"/>
                <wp:wrapNone/>
                <wp:docPr id="3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5105400" cy="638175"/>
                        </a:xfrm>
                        <a:prstGeom prst="rect"/>
                        <a:ln/>
                      </pic:spPr>
                    </pic:pic>
                  </a:graphicData>
                </a:graphic>
              </wp:anchor>
            </w:drawing>
          </mc:Fallback>
        </mc:AlternateContent>
      </w:r>
    </w:p>
    <w:p w:rsidR="00000000" w:rsidDel="00000000" w:rsidP="00000000" w:rsidRDefault="00000000" w:rsidRPr="00000000" w14:paraId="00000115">
      <w:pPr>
        <w:tabs>
          <w:tab w:val="left" w:leader="none" w:pos="3686"/>
        </w:tabs>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16">
      <w:pPr>
        <w:tabs>
          <w:tab w:val="left" w:leader="none" w:pos="3686"/>
        </w:tabs>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357596" cy="2016211"/>
            <wp:effectExtent b="0" l="0" r="0" t="0"/>
            <wp:docPr id="40" name="image5.png"/>
            <a:graphic>
              <a:graphicData uri="http://schemas.openxmlformats.org/drawingml/2006/picture">
                <pic:pic>
                  <pic:nvPicPr>
                    <pic:cNvPr id="0" name="image5.png"/>
                    <pic:cNvPicPr preferRelativeResize="0"/>
                  </pic:nvPicPr>
                  <pic:blipFill>
                    <a:blip r:embed="rId11"/>
                    <a:srcRect b="31479" l="0" r="0" t="0"/>
                    <a:stretch>
                      <a:fillRect/>
                    </a:stretch>
                  </pic:blipFill>
                  <pic:spPr>
                    <a:xfrm>
                      <a:off x="0" y="0"/>
                      <a:ext cx="5357596" cy="201621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203200</wp:posOffset>
                </wp:positionV>
                <wp:extent cx="5105400" cy="400050"/>
                <wp:effectExtent b="0" l="0" r="0" t="0"/>
                <wp:wrapNone/>
                <wp:docPr id="34" name=""/>
                <a:graphic>
                  <a:graphicData uri="http://schemas.microsoft.com/office/word/2010/wordprocessingShape">
                    <wps:wsp>
                      <wps:cNvSpPr/>
                      <wps:cNvPr id="6" name="Shape 6"/>
                      <wps:spPr>
                        <a:xfrm>
                          <a:off x="2812350" y="3599025"/>
                          <a:ext cx="5067300" cy="36195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203200</wp:posOffset>
                </wp:positionV>
                <wp:extent cx="5105400" cy="400050"/>
                <wp:effectExtent b="0" l="0" r="0" t="0"/>
                <wp:wrapNone/>
                <wp:docPr id="34"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5105400" cy="400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1587500</wp:posOffset>
                </wp:positionV>
                <wp:extent cx="5105400" cy="400050"/>
                <wp:effectExtent b="0" l="0" r="0" t="0"/>
                <wp:wrapNone/>
                <wp:docPr id="32" name=""/>
                <a:graphic>
                  <a:graphicData uri="http://schemas.microsoft.com/office/word/2010/wordprocessingShape">
                    <wps:wsp>
                      <wps:cNvSpPr/>
                      <wps:cNvPr id="4" name="Shape 4"/>
                      <wps:spPr>
                        <a:xfrm>
                          <a:off x="2812350" y="3599025"/>
                          <a:ext cx="5067300" cy="36195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1587500</wp:posOffset>
                </wp:positionV>
                <wp:extent cx="5105400" cy="400050"/>
                <wp:effectExtent b="0" l="0" r="0" t="0"/>
                <wp:wrapNone/>
                <wp:docPr id="32"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5105400" cy="400050"/>
                        </a:xfrm>
                        <a:prstGeom prst="rect"/>
                        <a:ln/>
                      </pic:spPr>
                    </pic:pic>
                  </a:graphicData>
                </a:graphic>
              </wp:anchor>
            </w:drawing>
          </mc:Fallback>
        </mc:AlternateContent>
      </w:r>
    </w:p>
    <w:p w:rsidR="00000000" w:rsidDel="00000000" w:rsidP="00000000" w:rsidRDefault="00000000" w:rsidRPr="00000000" w14:paraId="00000117">
      <w:pPr>
        <w:tabs>
          <w:tab w:val="left" w:leader="none" w:pos="3686"/>
        </w:tabs>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18">
      <w:pPr>
        <w:tabs>
          <w:tab w:val="left" w:leader="none" w:pos="3686"/>
        </w:tabs>
        <w:spacing w:after="0" w:line="360" w:lineRule="auto"/>
        <w:ind w:right="49"/>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4192581" cy="3336792"/>
            <wp:effectExtent b="0" l="0" r="0" t="0"/>
            <wp:docPr id="3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4192581" cy="333679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660400</wp:posOffset>
                </wp:positionV>
                <wp:extent cx="4229100" cy="2657475"/>
                <wp:effectExtent b="0" l="0" r="0" t="0"/>
                <wp:wrapNone/>
                <wp:docPr id="33" name=""/>
                <a:graphic>
                  <a:graphicData uri="http://schemas.microsoft.com/office/word/2010/wordprocessingShape">
                    <wps:wsp>
                      <wps:cNvSpPr/>
                      <wps:cNvPr id="5" name="Shape 5"/>
                      <wps:spPr>
                        <a:xfrm>
                          <a:off x="3250500" y="2470313"/>
                          <a:ext cx="4191000" cy="261937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660400</wp:posOffset>
                </wp:positionV>
                <wp:extent cx="4229100" cy="2657475"/>
                <wp:effectExtent b="0" l="0" r="0" t="0"/>
                <wp:wrapNone/>
                <wp:docPr id="3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4229100" cy="2657475"/>
                        </a:xfrm>
                        <a:prstGeom prst="rect"/>
                        <a:ln/>
                      </pic:spPr>
                    </pic:pic>
                  </a:graphicData>
                </a:graphic>
              </wp:anchor>
            </w:drawing>
          </mc:Fallback>
        </mc:AlternateContent>
      </w:r>
    </w:p>
    <w:p w:rsidR="00000000" w:rsidDel="00000000" w:rsidP="00000000" w:rsidRDefault="00000000" w:rsidRPr="00000000" w14:paraId="00000119">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A">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en relación con el agravio hecho valer por el Particular relacionado con que la información enviada no había sido la solicitada, es de destacar que del estudio al archivo que contiene los recibos de nómina, se advierte que si bien, esta corresponde al periodo requerido por el Recurrente, también lo es que, el Sujeto Obligado </w:t>
      </w:r>
      <w:r w:rsidDel="00000000" w:rsidR="00000000" w:rsidRPr="00000000">
        <w:rPr>
          <w:rFonts w:ascii="Palatino Linotype" w:cs="Palatino Linotype" w:eastAsia="Palatino Linotype" w:hAnsi="Palatino Linotype"/>
          <w:b w:val="1"/>
          <w:sz w:val="24"/>
          <w:szCs w:val="24"/>
          <w:u w:val="single"/>
          <w:rtl w:val="0"/>
        </w:rPr>
        <w:t xml:space="preserve">no proporcionó la información de todo el personal</w:t>
      </w:r>
      <w:r w:rsidDel="00000000" w:rsidR="00000000" w:rsidRPr="00000000">
        <w:rPr>
          <w:rFonts w:ascii="Palatino Linotype" w:cs="Palatino Linotype" w:eastAsia="Palatino Linotype" w:hAnsi="Palatino Linotype"/>
          <w:sz w:val="24"/>
          <w:szCs w:val="24"/>
          <w:rtl w:val="0"/>
        </w:rPr>
        <w:t xml:space="preserve"> que labora en la administración pública, situación que se sustenta en el Acta del Comité de Transparencia en la cual se aprueba la versión pública de los recibos de nómina, ya que esta refiere textualmente que estos documentos son únicamente de los titulares de las direcciones de la administración, tal como se aprecia a continuación: </w:t>
      </w:r>
    </w:p>
    <w:p w:rsidR="00000000" w:rsidDel="00000000" w:rsidP="00000000" w:rsidRDefault="00000000" w:rsidRPr="00000000" w14:paraId="0000011B">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325218" cy="695422"/>
            <wp:effectExtent b="0" l="0" r="0" t="0"/>
            <wp:docPr id="42" name="image2.png"/>
            <a:graphic>
              <a:graphicData uri="http://schemas.openxmlformats.org/drawingml/2006/picture">
                <pic:pic>
                  <pic:nvPicPr>
                    <pic:cNvPr id="0" name="image2.png"/>
                    <pic:cNvPicPr preferRelativeResize="0"/>
                  </pic:nvPicPr>
                  <pic:blipFill>
                    <a:blip r:embed="rId16"/>
                    <a:srcRect b="0" l="0" r="0" t="32408"/>
                    <a:stretch>
                      <a:fillRect/>
                    </a:stretch>
                  </pic:blipFill>
                  <pic:spPr>
                    <a:xfrm>
                      <a:off x="0" y="0"/>
                      <a:ext cx="5325218" cy="695422"/>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0" distT="0" distL="0" distR="0">
            <wp:extent cx="5315692" cy="1905266"/>
            <wp:effectExtent b="0" l="0" r="0" t="0"/>
            <wp:docPr id="4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315692" cy="190526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927100</wp:posOffset>
                </wp:positionV>
                <wp:extent cx="4924425" cy="914400"/>
                <wp:effectExtent b="0" l="0" r="0" t="0"/>
                <wp:wrapNone/>
                <wp:docPr id="30" name=""/>
                <a:graphic>
                  <a:graphicData uri="http://schemas.microsoft.com/office/word/2010/wordprocessingShape">
                    <wps:wsp>
                      <wps:cNvSpPr/>
                      <wps:cNvPr id="2" name="Shape 2"/>
                      <wps:spPr>
                        <a:xfrm>
                          <a:off x="2902838" y="3341850"/>
                          <a:ext cx="4886325" cy="876300"/>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927100</wp:posOffset>
                </wp:positionV>
                <wp:extent cx="4924425" cy="914400"/>
                <wp:effectExtent b="0" l="0" r="0" t="0"/>
                <wp:wrapNone/>
                <wp:docPr id="30"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4924425" cy="914400"/>
                        </a:xfrm>
                        <a:prstGeom prst="rect"/>
                        <a:ln/>
                      </pic:spPr>
                    </pic:pic>
                  </a:graphicData>
                </a:graphic>
              </wp:anchor>
            </w:drawing>
          </mc:Fallback>
        </mc:AlternateContent>
      </w:r>
    </w:p>
    <w:p w:rsidR="00000000" w:rsidDel="00000000" w:rsidP="00000000" w:rsidRDefault="00000000" w:rsidRPr="00000000" w14:paraId="0000011E">
      <w:pPr>
        <w:tabs>
          <w:tab w:val="left" w:leader="none" w:pos="3686"/>
        </w:tabs>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b w:val="1"/>
          <w:color w:val="000000"/>
          <w:sz w:val="24"/>
          <w:szCs w:val="24"/>
          <w:u w:val="single"/>
        </w:rPr>
      </w:pPr>
      <w:r w:rsidDel="00000000" w:rsidR="00000000" w:rsidRPr="00000000">
        <w:rPr>
          <w:rFonts w:ascii="Palatino Linotype" w:cs="Palatino Linotype" w:eastAsia="Palatino Linotype" w:hAnsi="Palatino Linotype"/>
          <w:b w:val="1"/>
          <w:color w:val="000000"/>
          <w:sz w:val="24"/>
          <w:szCs w:val="24"/>
          <w:u w:val="single"/>
          <w:rtl w:val="0"/>
        </w:rPr>
        <w:t xml:space="preserve">No obstante, cabe mencionar que si bien, del análisis de los documentos remitidos, se observan recibos de nómina no sólo de los titulares de las dependencias, sino de servidores públicos que ostentan otros cargos, también lo es que, como se señaló, se advirtió que la información solicitada, no es respecto de todos los servidores públicos que prestan sus servicios dentro de la administración pública municipal, por ejemplo,  falta información de elementos de seguridad pública.  </w:t>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21">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último, es de destacar que de las actuaciones que integran el expediente electrónico, se advierte que la unidad administrativa competente, dio atención a la solicitud de información, sin embargo, toda vez que, no se cumplió a cabalidad el derecho de acceso a la información pública del Particular, resulta necesario que se realice una nueva búsqueda exhaustiva y razonable de la información, con la finalidad de proporcionar los documentos solicitados por el ahora Recurrente. </w:t>
      </w:r>
    </w:p>
    <w:p w:rsidR="00000000" w:rsidDel="00000000" w:rsidP="00000000" w:rsidRDefault="00000000" w:rsidRPr="00000000" w14:paraId="00000122">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123">
      <w:pPr>
        <w:spacing w:after="0" w:line="360" w:lineRule="auto"/>
        <w:ind w:right="49"/>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lo anterior, este Organismo Garante determina que los a</w:t>
      </w:r>
      <w:r w:rsidDel="00000000" w:rsidR="00000000" w:rsidRPr="00000000">
        <w:rPr>
          <w:rFonts w:ascii="Palatino Linotype" w:cs="Palatino Linotype" w:eastAsia="Palatino Linotype" w:hAnsi="Palatino Linotype"/>
          <w:sz w:val="24"/>
          <w:szCs w:val="24"/>
          <w:rtl w:val="0"/>
        </w:rPr>
        <w:t xml:space="preserve">gravios hechos valer por el Particular en su recurso de revisión devienen </w:t>
      </w:r>
      <w:r w:rsidDel="00000000" w:rsidR="00000000" w:rsidRPr="00000000">
        <w:rPr>
          <w:rFonts w:ascii="Palatino Linotype" w:cs="Palatino Linotype" w:eastAsia="Palatino Linotype" w:hAnsi="Palatino Linotype"/>
          <w:b w:val="1"/>
          <w:sz w:val="24"/>
          <w:szCs w:val="24"/>
          <w:rtl w:val="0"/>
        </w:rPr>
        <w:t xml:space="preserve">FUNDADOS </w:t>
      </w:r>
      <w:r w:rsidDel="00000000" w:rsidR="00000000" w:rsidRPr="00000000">
        <w:rPr>
          <w:rFonts w:ascii="Palatino Linotype" w:cs="Palatino Linotype" w:eastAsia="Palatino Linotype" w:hAnsi="Palatino Linotype"/>
          <w:sz w:val="24"/>
          <w:szCs w:val="24"/>
          <w:rtl w:val="0"/>
        </w:rPr>
        <w:t xml:space="preserve">y, por ende, resulta procedente </w:t>
      </w:r>
      <w:r w:rsidDel="00000000" w:rsidR="00000000" w:rsidRPr="00000000">
        <w:rPr>
          <w:rFonts w:ascii="Palatino Linotype" w:cs="Palatino Linotype" w:eastAsia="Palatino Linotype" w:hAnsi="Palatino Linotype"/>
          <w:b w:val="1"/>
          <w:sz w:val="24"/>
          <w:szCs w:val="24"/>
          <w:rtl w:val="0"/>
        </w:rPr>
        <w:t xml:space="preserve">MODIFICAR </w:t>
      </w:r>
      <w:r w:rsidDel="00000000" w:rsidR="00000000" w:rsidRPr="00000000">
        <w:rPr>
          <w:rFonts w:ascii="Palatino Linotype" w:cs="Palatino Linotype" w:eastAsia="Palatino Linotype" w:hAnsi="Palatino Linotype"/>
          <w:sz w:val="24"/>
          <w:szCs w:val="24"/>
          <w:rtl w:val="0"/>
        </w:rPr>
        <w:t xml:space="preserve">la respuesta del Sujeto Obligado y </w:t>
      </w:r>
      <w:r w:rsidDel="00000000" w:rsidR="00000000" w:rsidRPr="00000000">
        <w:rPr>
          <w:rFonts w:ascii="Palatino Linotype" w:cs="Palatino Linotype" w:eastAsia="Palatino Linotype" w:hAnsi="Palatino Linotype"/>
          <w:b w:val="1"/>
          <w:sz w:val="24"/>
          <w:szCs w:val="24"/>
          <w:rtl w:val="0"/>
        </w:rPr>
        <w:t xml:space="preserve">ORDENAR </w:t>
      </w:r>
      <w:r w:rsidDel="00000000" w:rsidR="00000000" w:rsidRPr="00000000">
        <w:rPr>
          <w:rFonts w:ascii="Palatino Linotype" w:cs="Palatino Linotype" w:eastAsia="Palatino Linotype" w:hAnsi="Palatino Linotype"/>
          <w:sz w:val="24"/>
          <w:szCs w:val="24"/>
          <w:rtl w:val="0"/>
        </w:rPr>
        <w:t xml:space="preserve">la entrega, previa búsqueda exhaustiva y razonable, vía Sistema de Acceso a la Información Mexiquense, en versión pública, de los </w:t>
      </w:r>
      <w:r w:rsidDel="00000000" w:rsidR="00000000" w:rsidRPr="00000000">
        <w:rPr>
          <w:rFonts w:ascii="Palatino Linotype" w:cs="Palatino Linotype" w:eastAsia="Palatino Linotype" w:hAnsi="Palatino Linotype"/>
          <w:b w:val="1"/>
          <w:color w:val="000000"/>
          <w:sz w:val="24"/>
          <w:szCs w:val="24"/>
          <w:rtl w:val="0"/>
        </w:rPr>
        <w:t xml:space="preserve">recibos de nómina faltantes del personal adscrito a la administración pública municipal generados del uno de enero al treinta y uno de agosto de dos mil veintidós. </w:t>
      </w:r>
      <w:r w:rsidDel="00000000" w:rsidR="00000000" w:rsidRPr="00000000">
        <w:rPr>
          <w:rtl w:val="0"/>
        </w:rPr>
      </w:r>
    </w:p>
    <w:p w:rsidR="00000000" w:rsidDel="00000000" w:rsidP="00000000" w:rsidRDefault="00000000" w:rsidRPr="00000000" w14:paraId="0000012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rsidR="00000000" w:rsidDel="00000000" w:rsidP="00000000" w:rsidRDefault="00000000" w:rsidRPr="00000000" w14:paraId="00000126">
      <w:pPr>
        <w:tabs>
          <w:tab w:val="left" w:leader="none" w:pos="993"/>
        </w:tabs>
        <w:spacing w:after="0" w:line="360" w:lineRule="auto"/>
        <w:ind w:right="-2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7">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es de destacar que el Sujeto Obligado dejó a la vista del Particular información relacionada con descuentos de carácter personal de los servidores públicos, por lo que, esto es considerado como una infracción a la Ley de Transparencia y Acceso a la Información Pública del Estado de México y Municipios y a la Ley de Protección de Datos Personales en Posesión de Sujetos Obligados del Estado de México y Municipios</w:t>
      </w:r>
    </w:p>
    <w:p w:rsidR="00000000" w:rsidDel="00000000" w:rsidP="00000000" w:rsidRDefault="00000000" w:rsidRPr="00000000" w14:paraId="00000128">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9">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por lo que, se hará del conocimiento de la Dirección General de Protección de Datos Personales de este Instituto de la posible infracción en el que el Ayuntamiento de Tequixquiac incurrió para que en ejercicio de sus atribuciones contenidas en el numeral 24, fracciones XI, XII, XIII, XIV y XV, del Reglamento Interior del Instituto de Transparencia, Acceso a la Información Pública y Protección de Datos Personales del Estado de México y Municipios, atienda las directivas marcadas en la propia Ley de la materia, como consecuencia de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w:t>
      </w:r>
    </w:p>
    <w:p w:rsidR="00000000" w:rsidDel="00000000" w:rsidP="00000000" w:rsidRDefault="00000000" w:rsidRPr="00000000" w14:paraId="0000012A">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B">
      <w:pPr>
        <w:tabs>
          <w:tab w:val="left" w:leader="none" w:pos="709"/>
        </w:tabs>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consecuencia, de acreditarse alguna omisión, la Dirección General de Protección de Datos Personales, deberá hacerlo del conocimiento del Órgano Interno de Control de la instancia competente para que este inicie, en su caso, el procedimiento de responsabilidad respectivo, cuyo resultado deberá de ser informado al Instituto.</w:t>
      </w:r>
    </w:p>
    <w:p w:rsidR="00000000" w:rsidDel="00000000" w:rsidP="00000000" w:rsidRDefault="00000000" w:rsidRPr="00000000" w14:paraId="0000012C">
      <w:pPr>
        <w:tabs>
          <w:tab w:val="left" w:leader="none" w:pos="993"/>
        </w:tabs>
        <w:spacing w:after="0" w:line="360" w:lineRule="auto"/>
        <w:ind w:right="-28"/>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De la versión pública.</w:t>
      </w:r>
      <w:r w:rsidDel="00000000" w:rsidR="00000000" w:rsidRPr="00000000">
        <w:rPr>
          <w:rFonts w:ascii="Palatino Linotype" w:cs="Palatino Linotype" w:eastAsia="Palatino Linotype" w:hAnsi="Palatino Linotype"/>
          <w:sz w:val="24"/>
          <w:szCs w:val="24"/>
          <w:rtl w:val="0"/>
        </w:rPr>
        <w:t xml:space="preserve"> Debido a que lo solicitado por el Recurrente consisten en recibos de nómina, se identificó que el Sujeto Obligado hizo entrega de información en donde clasificó diversos datos, los cuales no se logra identificar a cuáles pertenecen, sin embargo, es importante destacar que los recibos de nómina contienen datos personales relativos al RFC, CURP, Clave de ISSEMyM, Código QR, deducciones personales, entre otros, por lo cual, la información que deberá ser puesta a disposición del Particular será en versión pública, lo que se considera procedente analizar esos datos personales y en su caso, confirmar la clasificación en términos del artículo 143, fracción  I de la Ley de Transparencia y Acceso a la Información Pública, al tenor de lo siguiente: </w:t>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Clave Única de Registro de Población (CURP</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 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Situación que se robustece, con el Criterio 18/17, emitido por el Instituto Nacional de Transparencia, Acceso a la Información y Protección de Datos Personales, que establece lo siguiente:</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Clave Única de Registro de Población (CURP).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134" w:right="560"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rsidR="00000000" w:rsidDel="00000000" w:rsidP="00000000" w:rsidRDefault="00000000" w:rsidRPr="00000000" w14:paraId="00000136">
      <w:pPr>
        <w:spacing w:after="0" w:line="360" w:lineRule="auto"/>
        <w:ind w:right="49"/>
        <w:jc w:val="both"/>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Registro Federal de Contribuyentes (RFC).</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 anterior, resulta congruente con el Criterio 19/17 emitido por el Instituto Nacional de Transparencia, Acceso a la Información y Protección de Datos Personales, en el cual se señala lo siguiente: </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Registro Federal de Contribuyentes (RFC) de personas físicas.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49"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 bidimensional o Qr.</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En principio, resulta necesario señalar que los comprobantes fiscales digitales por Internet, deben de incluir un código bidimensional conforme al formato QR Code (Quick Response Code), el cual contiene el Registro Federal de Contribuyentes del receptor, del emisor, o de ambos.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Incluso con la captura de dicho código, a través de la aplicación móvil del Servicio de Administración Tributaria, permite el acceso al Registro Federal de Contribuyentes, como del Sujeto Obligado, como de los servidores públicos.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seguridad social del Instituto de Seguridad Social del Estado de México y Municipios.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esta credencial se consignan diversos datos personales y se le asigna una clave para hacer identificable al trabajador con el objetivo de poder proporcionar los servicios que brinda el Instituto de Seguridad Social del Estado de México y Municipios. 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 la información fiscal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Cadena Original</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códigos bidimensionales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códigos QR,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analizar dicha circunstancia con la finalidad de determinar si se actualiza algún supuesto de confidencialidad.</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72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tal sentido, si derivado del análisis efectuado por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 </w:t>
      </w:r>
    </w:p>
    <w:p w:rsidR="00000000" w:rsidDel="00000000" w:rsidP="00000000" w:rsidRDefault="00000000" w:rsidRPr="00000000" w14:paraId="0000014C">
      <w:pPr>
        <w:tabs>
          <w:tab w:val="left" w:leader="none" w:pos="851"/>
        </w:tabs>
        <w:spacing w:after="0" w:line="360" w:lineRule="auto"/>
        <w:ind w:left="567"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Préstamos o descuentos que se le hagan a los servidores públicos (créditos personales, fondo de resistencia del Sindicato Único de Trabajadores de los Poderes, Municipios e Institución Descentralizadas del Estado de México, seguro de vida, accidentes y enfermedades, pensiones alimenticias).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Es necesario precisar que existen deducciones que se generan con motivo de una decisión libre y voluntaria de los servidores públicos, como son: créditos personales, fondo de resistencia del Sindicato Único de Trabajadores de los Poderes, Municipios e Institución Descentralizadas del Estado de México, seguro de vida, accidentes y enfermedades.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hay otras que se generan con motivo de una sentencia judicial, como es la pensión alimenticia que periódicamente se retira de la cuenta de un empleado, a efecto de que sea entregado a un tercero.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51"/>
        </w:tabs>
        <w:spacing w:after="0" w:before="0" w:line="360" w:lineRule="auto"/>
        <w:ind w:left="567"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000000" w:rsidDel="00000000" w:rsidP="00000000" w:rsidRDefault="00000000" w:rsidRPr="00000000" w14:paraId="0000015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rsidR="00000000" w:rsidDel="00000000" w:rsidP="00000000" w:rsidRDefault="00000000" w:rsidRPr="00000000" w14:paraId="0000015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6">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57">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w:t>
        <w:tab/>
        <w:t xml:space="preserve">Se refiera a la información privada y los datos personales concernientes a una persona física o jurídico colectiva identificada o identificable…</w:t>
      </w:r>
    </w:p>
    <w:p w:rsidR="00000000" w:rsidDel="00000000" w:rsidP="00000000" w:rsidRDefault="00000000" w:rsidRPr="00000000" w14:paraId="0000015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rsidR="00000000" w:rsidDel="00000000" w:rsidP="00000000" w:rsidRDefault="00000000" w:rsidRPr="00000000" w14:paraId="0000015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otro lado, derivado de la información que se ordena entregar, pudiera existir información de la Dependencia de Seguridad Pública del Ayuntamiento Tequixquiac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rsidR="00000000" w:rsidDel="00000000" w:rsidP="00000000" w:rsidRDefault="00000000" w:rsidRPr="00000000" w14:paraId="0000015C">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000000" w:rsidDel="00000000" w:rsidP="00000000" w:rsidRDefault="00000000" w:rsidRPr="00000000" w14:paraId="0000015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este Instituto advierte lo siguiente:</w:t>
      </w:r>
    </w:p>
    <w:p w:rsidR="00000000" w:rsidDel="00000000" w:rsidP="00000000" w:rsidRDefault="00000000" w:rsidRPr="00000000" w14:paraId="0000016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1">
      <w:pPr>
        <w:numPr>
          <w:ilvl w:val="1"/>
          <w:numId w:val="6"/>
        </w:numPr>
        <w:tabs>
          <w:tab w:val="left" w:leader="none" w:pos="8222"/>
        </w:tabs>
        <w:spacing w:after="0" w:line="360" w:lineRule="auto"/>
        <w:ind w:left="426" w:right="-28"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rsidR="00000000" w:rsidDel="00000000" w:rsidP="00000000" w:rsidRDefault="00000000" w:rsidRPr="00000000" w14:paraId="00000162">
      <w:pPr>
        <w:numPr>
          <w:ilvl w:val="1"/>
          <w:numId w:val="6"/>
        </w:numPr>
        <w:tabs>
          <w:tab w:val="left" w:leader="none" w:pos="8222"/>
        </w:tabs>
        <w:spacing w:after="0" w:line="360" w:lineRule="auto"/>
        <w:ind w:left="426" w:right="-28"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rsidR="00000000" w:rsidDel="00000000" w:rsidP="00000000" w:rsidRDefault="00000000" w:rsidRPr="00000000" w14:paraId="00000163">
      <w:pPr>
        <w:numPr>
          <w:ilvl w:val="1"/>
          <w:numId w:val="6"/>
        </w:numPr>
        <w:tabs>
          <w:tab w:val="left" w:leader="none" w:pos="8222"/>
        </w:tabs>
        <w:spacing w:after="0" w:line="360" w:lineRule="auto"/>
        <w:ind w:left="426" w:right="-28"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rsidR="00000000" w:rsidDel="00000000" w:rsidP="00000000" w:rsidRDefault="00000000" w:rsidRPr="00000000" w14:paraId="0000016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entendido, la leyenda de clasificación que se genere, deberá establecer ambos supuestos de clasificación: reserva y confidencialidad, en congruencia con los requisitos establecidos en los lineamientos citados.</w:t>
      </w:r>
    </w:p>
    <w:p w:rsidR="00000000" w:rsidDel="00000000" w:rsidP="00000000" w:rsidRDefault="00000000" w:rsidRPr="00000000" w14:paraId="0000016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 este respecto, de conformidad con los artículos 91 y 140, fracciones I, IV y X de la vigente Ley de Transparencia, el derecho constitucional de acceso a la información 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rsidR="00000000" w:rsidDel="00000000" w:rsidP="00000000" w:rsidRDefault="00000000" w:rsidRPr="00000000" w14:paraId="0000016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8">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69">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16A">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Comprometa la seguridad pública y cuente con un propósito genuino y un efecto demostrable;</w:t>
      </w:r>
    </w:p>
    <w:p w:rsidR="00000000" w:rsidDel="00000000" w:rsidP="00000000" w:rsidRDefault="00000000" w:rsidRPr="00000000" w14:paraId="0000016B">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C">
      <w:pPr>
        <w:spacing w:after="0" w:line="240" w:lineRule="auto"/>
        <w:ind w:left="567"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Ponga en riesgo la vida, la seguridad o la salud de una persona física;…” (Sic)</w:t>
      </w:r>
    </w:p>
    <w:p w:rsidR="00000000" w:rsidDel="00000000" w:rsidP="00000000" w:rsidRDefault="00000000" w:rsidRPr="00000000" w14:paraId="0000016D">
      <w:pPr>
        <w:spacing w:after="0" w:line="360" w:lineRule="auto"/>
        <w:ind w:left="567" w:right="843"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6E">
      <w:pPr>
        <w:tabs>
          <w:tab w:val="left" w:leader="none" w:pos="8647"/>
        </w:tabs>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rsidR="00000000" w:rsidDel="00000000" w:rsidP="00000000" w:rsidRDefault="00000000" w:rsidRPr="00000000" w14:paraId="0000016F">
      <w:pPr>
        <w:tabs>
          <w:tab w:val="left" w:leader="none" w:pos="8647"/>
        </w:tabs>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Sirven de sustento a lo anterior las tesis jurisprudenciales emitidas por la Suprema corte de Justicia de la Nación, que son del literal siguiente:</w:t>
      </w:r>
    </w:p>
    <w:p w:rsidR="00000000" w:rsidDel="00000000" w:rsidP="00000000" w:rsidRDefault="00000000" w:rsidRPr="00000000" w14:paraId="0000017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after="0" w:line="240" w:lineRule="auto"/>
        <w:ind w:left="567" w:right="76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73">
      <w:pPr>
        <w:spacing w:after="120" w:before="120" w:lineRule="auto"/>
        <w:ind w:left="851" w:right="760"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174">
      <w:pPr>
        <w:spacing w:after="0" w:line="240" w:lineRule="auto"/>
        <w:ind w:left="567" w:right="7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EL ARTÍCULO 14, FRACCIÓN I, DE LA LEY FEDERAL RELATIVA, NO VIOLA LA GARANTÍA DE ACCESO A LA INFORMACIÓN.</w:t>
      </w:r>
      <w:r w:rsidDel="00000000" w:rsidR="00000000" w:rsidRPr="00000000">
        <w:rPr>
          <w:rFonts w:ascii="Palatino Linotype" w:cs="Palatino Linotype" w:eastAsia="Palatino Linotype" w:hAnsi="Palatino Linotype"/>
          <w:i w:val="1"/>
          <w:rtl w:val="0"/>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75">
      <w:pPr>
        <w:spacing w:after="0" w:line="360" w:lineRule="auto"/>
        <w:ind w:left="567" w:right="760" w:firstLine="0"/>
        <w:jc w:val="both"/>
        <w:rPr>
          <w:rFonts w:ascii="Palatino Linotype" w:cs="Palatino Linotype" w:eastAsia="Palatino Linotype" w:hAnsi="Palatino Linotype"/>
          <w:i w:val="1"/>
          <w:sz w:val="24"/>
          <w:szCs w:val="24"/>
        </w:rPr>
      </w:pPr>
      <w:r w:rsidDel="00000000" w:rsidR="00000000" w:rsidRPr="00000000">
        <w:rPr>
          <w:rtl w:val="0"/>
        </w:rPr>
      </w:r>
    </w:p>
    <w:p w:rsidR="00000000" w:rsidDel="00000000" w:rsidP="00000000" w:rsidRDefault="00000000" w:rsidRPr="00000000" w14:paraId="0000017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rsidR="00000000" w:rsidDel="00000000" w:rsidP="00000000" w:rsidRDefault="00000000" w:rsidRPr="00000000" w14:paraId="0000017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8">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179">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A">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Aprobar, modificar o revocar la clasificación de la información</w:t>
      </w:r>
    </w:p>
    <w:p w:rsidR="00000000" w:rsidDel="00000000" w:rsidP="00000000" w:rsidRDefault="00000000" w:rsidRPr="00000000" w14:paraId="0000017B">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C">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7D">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Unidades de Transparencia tendrán las siguientes funciones:</w:t>
      </w:r>
    </w:p>
    <w:p w:rsidR="00000000" w:rsidDel="00000000" w:rsidP="00000000" w:rsidRDefault="00000000" w:rsidRPr="00000000" w14:paraId="0000017E">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F">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 </w:t>
      </w:r>
    </w:p>
    <w:p w:rsidR="00000000" w:rsidDel="00000000" w:rsidP="00000000" w:rsidRDefault="00000000" w:rsidRPr="00000000" w14:paraId="00000180">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1">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servidores públicos habilitados tendrán las funciones siguientes:</w:t>
      </w:r>
    </w:p>
    <w:p w:rsidR="00000000" w:rsidDel="00000000" w:rsidP="00000000" w:rsidRDefault="00000000" w:rsidRPr="00000000" w14:paraId="00000182">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83">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184">
      <w:pPr>
        <w:spacing w:after="0" w:line="276"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85">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7">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acuerdo que clasifique la información como confidencial deberá contener un razonamiento lógico en el que demuestre que la información se encuentra en alguna o algunas de las hipótesis previstas en la presente Ley.</w:t>
      </w:r>
    </w:p>
    <w:p w:rsidR="00000000" w:rsidDel="00000000" w:rsidP="00000000" w:rsidRDefault="00000000" w:rsidRPr="00000000" w14:paraId="0000018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18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rsidR="00000000" w:rsidDel="00000000" w:rsidP="00000000" w:rsidRDefault="00000000" w:rsidRPr="00000000" w14:paraId="0000018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tbl>
      <w:tblPr>
        <w:tblStyle w:val="Table1"/>
        <w:tblW w:w="9049.0" w:type="dxa"/>
        <w:jc w:val="left"/>
        <w:tblInd w:w="-123.0" w:type="dxa"/>
        <w:tblBorders>
          <w:top w:color="bfbfbf" w:space="0" w:sz="6" w:val="single"/>
          <w:left w:color="bfbfbf" w:space="0" w:sz="6" w:val="single"/>
          <w:bottom w:color="bfbfbf" w:space="0" w:sz="6" w:val="single"/>
          <w:right w:color="bfbfbf" w:space="0" w:sz="6" w:val="single"/>
        </w:tblBorders>
        <w:tblLayout w:type="fixed"/>
        <w:tblLook w:val="0400"/>
      </w:tblPr>
      <w:tblGrid>
        <w:gridCol w:w="1386"/>
        <w:gridCol w:w="2848"/>
        <w:gridCol w:w="1501"/>
        <w:gridCol w:w="3314"/>
        <w:tblGridChange w:id="0">
          <w:tblGrid>
            <w:gridCol w:w="1386"/>
            <w:gridCol w:w="2848"/>
            <w:gridCol w:w="1501"/>
            <w:gridCol w:w="3314"/>
          </w:tblGrid>
        </w:tblGridChange>
      </w:tblGrid>
      <w:tr>
        <w:trPr>
          <w:cantSplit w:val="0"/>
          <w:tblHeader w:val="0"/>
        </w:trPr>
        <w:tc>
          <w:tcPr>
            <w:gridSpan w:val="2"/>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8B">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Parcial</w:t>
            </w:r>
          </w:p>
        </w:tc>
        <w:tc>
          <w:tcPr>
            <w:gridSpan w:val="2"/>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8D">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Total</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8F">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Concepto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0">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Dónde</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1">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Concepto</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2">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Dónde</w:t>
            </w:r>
            <w:r w:rsidDel="00000000" w:rsidR="00000000" w:rsidRPr="00000000">
              <w:rPr>
                <w:rtl w:val="0"/>
              </w:rPr>
            </w:r>
          </w:p>
        </w:tc>
      </w:tr>
      <w:tr>
        <w:trPr>
          <w:cantSplit w:val="0"/>
          <w:tblHeader w:val="0"/>
        </w:trPr>
        <w:tc>
          <w:tcPr>
            <w:gridSpan w:val="4"/>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3">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Sello oficial o logotipo del sujeto obligado</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7">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Fecha de clasificación</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8">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anotará la fecha en la que el Comité de Transparencia confirmó la clasificación del documento, en su caso.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9">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Fecha de clasificación</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A">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anotará la fecha en la que el Comité de Transparencia confirmó la clasificación del documento, en su caso.</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B">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Área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C">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área del cual es titular quien clasifica.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D">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Área</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E">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área de la cual es el titular quien clasifica.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9F">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Información reservada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0">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1">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Reservado</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2">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Leyenda de información RESERVADA.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3">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Fundamento legal</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4">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ordenamiento, el o los artículos, fracción(es), párrafo(s) con base en los cuales se sustente la reserva.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5">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Periodo de reserva</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6">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7">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Ampliación del periodo de reserva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8">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caso de haber solicitado la ampliación del periodo de reserva originalmente establecido, se deberá anotar el número de años o meses por los que se amplía la reserva.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9">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Fundamento legal</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A">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o de los ordenamientos jurídicos, el o los artículos, fracción(es), párrafo(s) con base en los cuales se sustenta la reserva.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B">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Confidencial</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C">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D">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Ampliación del periodo de reserva</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E">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AF">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Fundamento legal</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0">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ordenamiento, el o los artículos, fracción(es), párrafo(s) con base en los cuales se sustente la confidencialidad.</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1">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Confidencial</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2">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Leyenda de información CONFIDENCIAL.</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3">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del titular del área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4">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autógrafa de quien clasifica.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5">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Fundamento legal</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6">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señalará el nombre del o de los ordenamientos jurídicos, el o los artículos, fracción(es), párrafo(s) con base en los cuales se sustente la confidencialidad.</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7">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Fecha de desclasificación</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8">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anotará la fecha en que se desclasifica el documento.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9">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Rúbrica del titular del área</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A">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autógrafa de quien clasifica.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B">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y cargo del servidor público</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C">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autógrafa de quien desclasifica.</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D">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Fecha de desclasificación</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E">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Se anotará la fecha en que se desclasifica.</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BF">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0">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1">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Partes o secciones reservadas o confidenciales</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2">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En caso que una vez desclasificado el expediente, subsistanpartes o secciones del mismo reservadas o confidenciales, se señalará este hecho.</w:t>
            </w:r>
          </w:p>
        </w:tc>
      </w:tr>
      <w:tr>
        <w:trPr>
          <w:cantSplit w:val="0"/>
          <w:tblHeader w:val="0"/>
        </w:trPr>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3">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4">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 </w:t>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5">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sz w:val="18"/>
                <w:szCs w:val="18"/>
                <w:rtl w:val="0"/>
              </w:rPr>
              <w:t xml:space="preserve">Rúbrica y cargo del servidor público</w:t>
            </w:r>
            <w:r w:rsidDel="00000000" w:rsidR="00000000" w:rsidRPr="00000000">
              <w:rPr>
                <w:rtl w:val="0"/>
              </w:rPr>
            </w:r>
          </w:p>
        </w:tc>
        <w:tc>
          <w:tcPr>
            <w:tcBorders>
              <w:top w:color="bfbfbf" w:space="0" w:sz="6" w:val="single"/>
              <w:left w:color="bfbfbf" w:space="0" w:sz="6" w:val="single"/>
              <w:bottom w:color="bfbfbf" w:space="0" w:sz="6" w:val="single"/>
              <w:right w:color="bfbfbf" w:space="0" w:sz="6" w:val="single"/>
            </w:tcBorders>
          </w:tcPr>
          <w:p w:rsidR="00000000" w:rsidDel="00000000" w:rsidP="00000000" w:rsidRDefault="00000000" w:rsidRPr="00000000" w14:paraId="000001C6">
            <w:pPr>
              <w:spacing w:after="0" w:line="240" w:lineRule="auto"/>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Rúbrica autógrafa de quien desclasifica.</w:t>
            </w:r>
          </w:p>
        </w:tc>
      </w:tr>
    </w:tbl>
    <w:p w:rsidR="00000000" w:rsidDel="00000000" w:rsidP="00000000" w:rsidRDefault="00000000" w:rsidRPr="00000000" w14:paraId="000001C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así como, en mérito de lo expuesto en líneas anteriores, resultan fundadas las razones o motivos de inconformidad hechos valer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dentro del recurso de revisión </w:t>
      </w:r>
      <w:r w:rsidDel="00000000" w:rsidR="00000000" w:rsidRPr="00000000">
        <w:rPr>
          <w:rFonts w:ascii="Palatino Linotype" w:cs="Palatino Linotype" w:eastAsia="Palatino Linotype" w:hAnsi="Palatino Linotype"/>
          <w:b w:val="1"/>
          <w:sz w:val="24"/>
          <w:szCs w:val="24"/>
          <w:rtl w:val="0"/>
        </w:rPr>
        <w:t xml:space="preserve">14944/INFOEM/IP/RR/2022</w:t>
      </w:r>
      <w:r w:rsidDel="00000000" w:rsidR="00000000" w:rsidRPr="00000000">
        <w:rPr>
          <w:rFonts w:ascii="Palatino Linotype" w:cs="Palatino Linotype" w:eastAsia="Palatino Linotype" w:hAnsi="Palatino Linotype"/>
          <w:sz w:val="24"/>
          <w:szCs w:val="24"/>
          <w:rtl w:val="0"/>
        </w:rPr>
        <w:t xml:space="preserve">;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sz w:val="24"/>
          <w:szCs w:val="24"/>
          <w:rtl w:val="0"/>
        </w:rPr>
        <w:t xml:space="preserve">MODIFICA </w:t>
      </w:r>
      <w:r w:rsidDel="00000000" w:rsidR="00000000" w:rsidRPr="00000000">
        <w:rPr>
          <w:rFonts w:ascii="Palatino Linotype" w:cs="Palatino Linotype" w:eastAsia="Palatino Linotype" w:hAnsi="Palatino Linotype"/>
          <w:sz w:val="24"/>
          <w:szCs w:val="24"/>
          <w:rtl w:val="0"/>
        </w:rPr>
        <w:t xml:space="preserve">la respuesta a la solicitud de información número </w:t>
      </w:r>
      <w:r w:rsidDel="00000000" w:rsidR="00000000" w:rsidRPr="00000000">
        <w:rPr>
          <w:rFonts w:ascii="Palatino Linotype" w:cs="Palatino Linotype" w:eastAsia="Palatino Linotype" w:hAnsi="Palatino Linotype"/>
          <w:b w:val="1"/>
          <w:sz w:val="24"/>
          <w:szCs w:val="24"/>
          <w:rtl w:val="0"/>
        </w:rPr>
        <w:t xml:space="preserve">00184/TEQUIXQU/IP/2022.</w:t>
      </w:r>
      <w:r w:rsidDel="00000000" w:rsidR="00000000" w:rsidRPr="00000000">
        <w:rPr>
          <w:rtl w:val="0"/>
        </w:rPr>
      </w:r>
    </w:p>
    <w:p w:rsidR="00000000" w:rsidDel="00000000" w:rsidP="00000000" w:rsidRDefault="00000000" w:rsidRPr="00000000" w14:paraId="000001C9">
      <w:pPr>
        <w:spacing w:after="0" w:line="360" w:lineRule="auto"/>
        <w:ind w:right="49"/>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1CA">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C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C">
      <w:pPr>
        <w:spacing w:after="0" w:line="360" w:lineRule="auto"/>
        <w:ind w:right="49"/>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III.</w:t>
        <w:tab/>
        <w:t xml:space="preserve">R E S U E L V E:</w:t>
      </w:r>
    </w:p>
    <w:p w:rsidR="00000000" w:rsidDel="00000000" w:rsidP="00000000" w:rsidRDefault="00000000" w:rsidRPr="00000000" w14:paraId="000001C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CE">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w:t>
      </w:r>
      <w:r w:rsidDel="00000000" w:rsidR="00000000" w:rsidRPr="00000000">
        <w:rPr>
          <w:rFonts w:ascii="Palatino Linotype" w:cs="Palatino Linotype" w:eastAsia="Palatino Linotype" w:hAnsi="Palatino Linotype"/>
          <w:sz w:val="24"/>
          <w:szCs w:val="24"/>
          <w:rtl w:val="0"/>
        </w:rPr>
        <w:t xml:space="preserve"> Resultan</w:t>
      </w:r>
      <w:r w:rsidDel="00000000" w:rsidR="00000000" w:rsidRPr="00000000">
        <w:rPr>
          <w:rFonts w:ascii="Palatino Linotype" w:cs="Palatino Linotype" w:eastAsia="Palatino Linotype" w:hAnsi="Palatino Linotype"/>
          <w:b w:val="1"/>
          <w:sz w:val="24"/>
          <w:szCs w:val="24"/>
          <w:rtl w:val="0"/>
        </w:rPr>
        <w:t xml:space="preserve"> FUNDADOS</w:t>
      </w:r>
      <w:r w:rsidDel="00000000" w:rsidR="00000000" w:rsidRPr="00000000">
        <w:rPr>
          <w:rFonts w:ascii="Palatino Linotype" w:cs="Palatino Linotype" w:eastAsia="Palatino Linotype" w:hAnsi="Palatino Linotype"/>
          <w:sz w:val="24"/>
          <w:szCs w:val="24"/>
          <w:rtl w:val="0"/>
        </w:rPr>
        <w:t xml:space="preserve"> los motivos de inconformidad hechos valer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el Recurso de Revisión </w:t>
      </w:r>
      <w:r w:rsidDel="00000000" w:rsidR="00000000" w:rsidRPr="00000000">
        <w:rPr>
          <w:rFonts w:ascii="Palatino Linotype" w:cs="Palatino Linotype" w:eastAsia="Palatino Linotype" w:hAnsi="Palatino Linotype"/>
          <w:b w:val="1"/>
          <w:sz w:val="24"/>
          <w:szCs w:val="24"/>
          <w:rtl w:val="0"/>
        </w:rPr>
        <w:t xml:space="preserve">14944/INFOEM/IP/RR/2022</w:t>
      </w:r>
      <w:r w:rsidDel="00000000" w:rsidR="00000000" w:rsidRPr="00000000">
        <w:rPr>
          <w:rFonts w:ascii="Palatino Linotype" w:cs="Palatino Linotype" w:eastAsia="Palatino Linotype" w:hAnsi="Palatino Linotype"/>
          <w:sz w:val="24"/>
          <w:szCs w:val="24"/>
          <w:rtl w:val="0"/>
        </w:rPr>
        <w:t xml:space="preserve">, por lo que, en términos del </w:t>
      </w:r>
      <w:r w:rsidDel="00000000" w:rsidR="00000000" w:rsidRPr="00000000">
        <w:rPr>
          <w:rFonts w:ascii="Palatino Linotype" w:cs="Palatino Linotype" w:eastAsia="Palatino Linotype" w:hAnsi="Palatino Linotype"/>
          <w:b w:val="1"/>
          <w:sz w:val="24"/>
          <w:szCs w:val="24"/>
          <w:rtl w:val="0"/>
        </w:rPr>
        <w:t xml:space="preserve">Considerando Cuarto</w:t>
      </w:r>
      <w:r w:rsidDel="00000000" w:rsidR="00000000" w:rsidRPr="00000000">
        <w:rPr>
          <w:rFonts w:ascii="Palatino Linotype" w:cs="Palatino Linotype" w:eastAsia="Palatino Linotype" w:hAnsi="Palatino Linotype"/>
          <w:sz w:val="24"/>
          <w:szCs w:val="24"/>
          <w:rtl w:val="0"/>
        </w:rPr>
        <w:t xml:space="preserve"> de esta resolución, se </w:t>
      </w:r>
      <w:r w:rsidDel="00000000" w:rsidR="00000000" w:rsidRPr="00000000">
        <w:rPr>
          <w:rFonts w:ascii="Palatino Linotype" w:cs="Palatino Linotype" w:eastAsia="Palatino Linotype" w:hAnsi="Palatino Linotype"/>
          <w:b w:val="1"/>
          <w:sz w:val="24"/>
          <w:szCs w:val="24"/>
          <w:rtl w:val="0"/>
        </w:rPr>
        <w:t xml:space="preserve">MODIFICA</w:t>
      </w:r>
      <w:r w:rsidDel="00000000" w:rsidR="00000000" w:rsidRPr="00000000">
        <w:rPr>
          <w:rFonts w:ascii="Palatino Linotype" w:cs="Palatino Linotype" w:eastAsia="Palatino Linotype" w:hAnsi="Palatino Linotype"/>
          <w:sz w:val="24"/>
          <w:szCs w:val="24"/>
          <w:rtl w:val="0"/>
        </w:rPr>
        <w:t xml:space="preserve"> la respuesta emitida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14:paraId="000001C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0">
      <w:pPr>
        <w:spacing w:after="0" w:line="360" w:lineRule="auto"/>
        <w:ind w:right="49"/>
        <w:jc w:val="both"/>
        <w:rPr>
          <w:rFonts w:ascii="Palatino Linotype" w:cs="Palatino Linotype" w:eastAsia="Palatino Linotype" w:hAnsi="Palatino Linotype"/>
          <w:sz w:val="24"/>
          <w:szCs w:val="24"/>
        </w:rPr>
      </w:pPr>
      <w:bookmarkStart w:colFirst="0" w:colLast="0" w:name="_heading=h.1fob9te" w:id="2"/>
      <w:bookmarkEnd w:id="2"/>
      <w:r w:rsidDel="00000000" w:rsidR="00000000" w:rsidRPr="00000000">
        <w:rPr>
          <w:rFonts w:ascii="Palatino Linotype" w:cs="Palatino Linotype" w:eastAsia="Palatino Linotype" w:hAnsi="Palatino Linotype"/>
          <w:b w:val="1"/>
          <w:sz w:val="24"/>
          <w:szCs w:val="24"/>
          <w:rtl w:val="0"/>
        </w:rPr>
        <w:t xml:space="preserve">Segundo</w:t>
      </w:r>
      <w:r w:rsidDel="00000000" w:rsidR="00000000" w:rsidRPr="00000000">
        <w:rPr>
          <w:rFonts w:ascii="Palatino Linotype" w:cs="Palatino Linotype" w:eastAsia="Palatino Linotype" w:hAnsi="Palatino Linotype"/>
          <w:sz w:val="24"/>
          <w:szCs w:val="24"/>
          <w:rtl w:val="0"/>
        </w:rPr>
        <w:t xml:space="preserve">. 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que, en términos del Considerando Cuarto y Quinto, haga entrega previa búsqueda exhaustiva y razonable, vía Sistema de Acceso a la Información Mexiquense, en versión pública, de la siguiente información:</w:t>
      </w:r>
    </w:p>
    <w:p w:rsidR="00000000" w:rsidDel="00000000" w:rsidP="00000000" w:rsidRDefault="00000000" w:rsidRPr="00000000" w14:paraId="000001D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843"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Recibos de nómina faltantes del personal adscrito a la administración pública municipal generados del uno de enero al treinta y uno de agosto de dos mil veintidós.</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360" w:lineRule="auto"/>
        <w:ind w:left="709" w:right="843" w:firstLine="0"/>
        <w:jc w:val="both"/>
        <w:rPr>
          <w:rFonts w:ascii="Palatino Linotype" w:cs="Palatino Linotype" w:eastAsia="Palatino Linotype" w:hAnsi="Palatino Linotype"/>
          <w:b w:val="0"/>
          <w:i w:val="1"/>
          <w:smallCaps w:val="0"/>
          <w:strike w:val="0"/>
          <w:color w:val="ff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r w:rsidDel="00000000" w:rsidR="00000000" w:rsidRPr="00000000">
        <w:rPr>
          <w:rtl w:val="0"/>
        </w:rPr>
      </w:r>
    </w:p>
    <w:p w:rsidR="00000000" w:rsidDel="00000000" w:rsidP="00000000" w:rsidRDefault="00000000" w:rsidRPr="00000000" w14:paraId="000001D5">
      <w:pPr>
        <w:tabs>
          <w:tab w:val="left" w:leader="none" w:pos="993"/>
        </w:tabs>
        <w:spacing w:after="0" w:line="360" w:lineRule="auto"/>
        <w:ind w:right="-28"/>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D6">
      <w:pPr>
        <w:spacing w:line="360" w:lineRule="auto"/>
        <w:ind w:right="49"/>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w:t>
      </w:r>
      <w:r w:rsidDel="00000000" w:rsidR="00000000" w:rsidRPr="00000000">
        <w:rPr>
          <w:rFonts w:ascii="Palatino Linotype" w:cs="Palatino Linotype" w:eastAsia="Palatino Linotype" w:hAnsi="Palatino Linotype"/>
          <w:sz w:val="24"/>
          <w:szCs w:val="24"/>
          <w:rtl w:val="0"/>
        </w:rPr>
        <w:t xml:space="preserve">la presente resolución al T</w:t>
      </w:r>
      <w:r w:rsidDel="00000000" w:rsidR="00000000" w:rsidRPr="00000000">
        <w:rPr>
          <w:rFonts w:ascii="Palatino Linotype" w:cs="Palatino Linotype" w:eastAsia="Palatino Linotype" w:hAnsi="Palatino Linotype"/>
          <w:b w:val="1"/>
          <w:sz w:val="24"/>
          <w:szCs w:val="24"/>
          <w:rtl w:val="0"/>
        </w:rPr>
        <w:t xml:space="preserve">itular de la Unidad de Transparencia </w:t>
      </w:r>
      <w:r w:rsidDel="00000000" w:rsidR="00000000" w:rsidRPr="00000000">
        <w:rPr>
          <w:rFonts w:ascii="Palatino Linotype" w:cs="Palatino Linotype" w:eastAsia="Palatino Linotype" w:hAnsi="Palatino Linotype"/>
          <w:sz w:val="24"/>
          <w:szCs w:val="24"/>
          <w:rtl w:val="0"/>
        </w:rPr>
        <w:t xml:space="preserve">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D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8">
      <w:pPr>
        <w:spacing w:after="0" w:line="360" w:lineRule="auto"/>
        <w:ind w:right="49"/>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w:t>
      </w:r>
      <w:r w:rsidDel="00000000" w:rsidR="00000000" w:rsidRPr="00000000">
        <w:rPr>
          <w:rFonts w:ascii="Palatino Linotype" w:cs="Palatino Linotype" w:eastAsia="Palatino Linotype" w:hAnsi="Palatino Linotype"/>
          <w:sz w:val="24"/>
          <w:szCs w:val="24"/>
          <w:rtl w:val="0"/>
        </w:rPr>
        <w:t xml:space="preserve"> a la parte </w:t>
      </w:r>
      <w:r w:rsidDel="00000000" w:rsidR="00000000" w:rsidRPr="00000000">
        <w:rPr>
          <w:rFonts w:ascii="Palatino Linotype" w:cs="Palatino Linotype" w:eastAsia="Palatino Linotype" w:hAnsi="Palatino Linotype"/>
          <w:b w:val="1"/>
          <w:sz w:val="24"/>
          <w:szCs w:val="24"/>
          <w:rtl w:val="0"/>
        </w:rPr>
        <w:t xml:space="preserve">RECURRENTE </w:t>
      </w:r>
      <w:r w:rsidDel="00000000" w:rsidR="00000000" w:rsidRPr="00000000">
        <w:rPr>
          <w:rFonts w:ascii="Palatino Linotype" w:cs="Palatino Linotype" w:eastAsia="Palatino Linotype" w:hAnsi="Palatino Linotype"/>
          <w:sz w:val="24"/>
          <w:szCs w:val="24"/>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r w:rsidDel="00000000" w:rsidR="00000000" w:rsidRPr="00000000">
        <w:rPr>
          <w:rtl w:val="0"/>
        </w:rPr>
      </w:r>
    </w:p>
    <w:p w:rsidR="00000000" w:rsidDel="00000000" w:rsidP="00000000" w:rsidRDefault="00000000" w:rsidRPr="00000000" w14:paraId="000001D9">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 manera fundada y motivada, podrá solicitar una ampliación de plazo para el cumplimiento de la presente resolución.</w:t>
      </w:r>
    </w:p>
    <w:p w:rsidR="00000000" w:rsidDel="00000000" w:rsidP="00000000" w:rsidRDefault="00000000" w:rsidRPr="00000000" w14:paraId="000001D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B">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Sexto. GÍRESE</w:t>
      </w:r>
      <w:r w:rsidDel="00000000" w:rsidR="00000000" w:rsidRPr="00000000">
        <w:rPr>
          <w:rFonts w:ascii="Palatino Linotype" w:cs="Palatino Linotype" w:eastAsia="Palatino Linotype" w:hAnsi="Palatino Linotype"/>
          <w:sz w:val="24"/>
          <w:szCs w:val="24"/>
          <w:rtl w:val="0"/>
        </w:rPr>
        <w:t xml:space="preserve"> oficio al Titular de la Dirección General de Protección de Datos Personales, en atención al artículo 82, fracción XXVII, de la Ley de Protección de Datos Personales del Estado de México y Municipios, en términos del Considerando </w:t>
      </w: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la presente resolución.</w:t>
      </w:r>
    </w:p>
    <w:p w:rsidR="00000000" w:rsidDel="00000000" w:rsidP="00000000" w:rsidRDefault="00000000" w:rsidRPr="00000000" w14:paraId="000001D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D">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MARORÍA DE VOTOS, EL PLENO DEL INSTITUTO DE TRANSPARENCIA, ACCESO A LA INFORMACIÓN PÚBLICA Y PROTECCIÓN DE DATOS PERSONALES DEL ESTADO DE MÉXICO Y MUNICIPIOS, CONFORMADO POR LOS COMISIONADOS JOSÉ MARTÍNEZ VILCHIS EMITIENDO VOTO PARTICULAR, MARÍA DEL ROSARIO MEJÍA AYALA, SHARON CRISTINA MORALES MARTÍNEZ EMITIENDO VOTO DISIDENTE, LUIS GUSTAVO PARRA NORIEGA EMITIENDO VOTO PARTICULAR Y GUADALUPE RAMÍREZ PEÑA; EN LA DÉCIMO SEXTA ORDINARIA CELEBRADA EL CUATRO DE MAYO DE DOS MIL VEINTITRÉS, ANTE EL SECRETARIO TÉCNICO DEL PLENO ALEXIS TAPIA RAMÍREZ.</w:t>
      </w:r>
    </w:p>
    <w:p w:rsidR="00000000" w:rsidDel="00000000" w:rsidP="00000000" w:rsidRDefault="00000000" w:rsidRPr="00000000" w14:paraId="000001D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315171" cy="5230111"/>
                <wp:effectExtent b="0" l="0" r="0" t="0"/>
                <wp:wrapNone/>
                <wp:docPr id="35" name=""/>
                <a:graphic>
                  <a:graphicData uri="http://schemas.microsoft.com/office/word/2010/wordprocessingShape">
                    <wps:wsp>
                      <wps:cNvCnPr/>
                      <wps:spPr>
                        <a:xfrm>
                          <a:off x="2693177" y="1169707"/>
                          <a:ext cx="5305646" cy="5220586"/>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152400</wp:posOffset>
                </wp:positionV>
                <wp:extent cx="5315171" cy="5230111"/>
                <wp:effectExtent b="0" l="0" r="0" t="0"/>
                <wp:wrapNone/>
                <wp:docPr id="35"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5315171" cy="5230111"/>
                        </a:xfrm>
                        <a:prstGeom prst="rect"/>
                        <a:ln/>
                      </pic:spPr>
                    </pic:pic>
                  </a:graphicData>
                </a:graphic>
              </wp:anchor>
            </w:drawing>
          </mc:Fallback>
        </mc:AlternateContent>
      </w:r>
    </w:p>
    <w:p w:rsidR="00000000" w:rsidDel="00000000" w:rsidP="00000000" w:rsidRDefault="00000000" w:rsidRPr="00000000" w14:paraId="000001D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6">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8">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9">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A">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B">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C">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D">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E">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EF">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0">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1">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2">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3">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4">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F6">
      <w:pPr>
        <w:spacing w:after="0" w:line="360" w:lineRule="auto"/>
        <w:ind w:right="49"/>
        <w:jc w:val="both"/>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sectPr>
      <w:headerReference r:id="rId20" w:type="default"/>
      <w:headerReference r:id="rId21" w:type="first"/>
      <w:footerReference r:id="rId22" w:type="default"/>
      <w:footerReference r:id="rId23"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spacing w:after="0" w:line="276"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-723264</wp:posOffset>
          </wp:positionH>
          <wp:positionV relativeFrom="paragraph">
            <wp:posOffset>6985</wp:posOffset>
          </wp:positionV>
          <wp:extent cx="7809876" cy="10165823"/>
          <wp:effectExtent b="0" l="0" r="0" t="0"/>
          <wp:wrapNone/>
          <wp:docPr id="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1F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1F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14944/INFOEM/IP/RR/2022</w:t>
          </w:r>
        </w:p>
      </w:tc>
    </w:tr>
    <w:tr>
      <w:trPr>
        <w:cantSplit w:val="0"/>
        <w:tblHeader w:val="0"/>
      </w:trPr>
      <w:tc>
        <w:tcPr>
          <w:vAlign w:val="center"/>
        </w:tcPr>
        <w:p w:rsidR="00000000" w:rsidDel="00000000" w:rsidP="00000000" w:rsidRDefault="00000000" w:rsidRPr="00000000" w14:paraId="000001F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743" w:hRule="atLeast"/>
        <w:tblHeader w:val="0"/>
      </w:trPr>
      <w:tc>
        <w:tcPr>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1F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1F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Tequixquiac</w:t>
          </w:r>
        </w:p>
      </w:tc>
    </w:tr>
    <w:tr>
      <w:trPr>
        <w:cantSplit w:val="0"/>
        <w:tblHeader w:val="0"/>
      </w:trPr>
      <w:tc>
        <w:tcPr>
          <w:vAlign w:val="center"/>
        </w:tcPr>
        <w:p w:rsidR="00000000" w:rsidDel="00000000" w:rsidP="00000000" w:rsidRDefault="00000000" w:rsidRPr="00000000" w14:paraId="000001F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01">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-774699</wp:posOffset>
          </wp:positionH>
          <wp:positionV relativeFrom="paragraph">
            <wp:posOffset>-345439</wp:posOffset>
          </wp:positionV>
          <wp:extent cx="7809876" cy="10165823"/>
          <wp:effectExtent b="0" l="0" r="0" t="0"/>
          <wp:wrapNone/>
          <wp:docPr id="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14944/INFOEM/IP/RR/2022</w:t>
          </w:r>
        </w:p>
      </w:tc>
    </w:tr>
    <w:tr>
      <w:trPr>
        <w:cantSplit w:val="0"/>
        <w:trHeight w:val="643" w:hRule="atLeast"/>
        <w:tblHeader w:val="0"/>
      </w:trPr>
      <w:tc>
        <w:tcP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Tequixquiac</w:t>
          </w:r>
        </w:p>
      </w:tc>
    </w:tr>
    <w:tr>
      <w:trPr>
        <w:cantSplit w:val="0"/>
        <w:tblHeader w:val="0"/>
      </w:trPr>
      <w:tc>
        <w:tcP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color w:val="000000"/>
      </w:rPr>
    </w:lvl>
    <w:lvl w:ilvl="1">
      <w:start w:val="0"/>
      <w:numFmt w:val="bullet"/>
      <w:lvlText w:val="•"/>
      <w:lvlJc w:val="left"/>
      <w:pPr>
        <w:ind w:left="1440" w:hanging="360"/>
      </w:pPr>
      <w:rPr>
        <w:rFonts w:ascii="Palatino Linotype" w:cs="Palatino Linotype" w:eastAsia="Palatino Linotype" w:hAnsi="Palatino Linotype"/>
      </w:rPr>
    </w:lvl>
    <w:lvl w:ilvl="2">
      <w:start w:val="1"/>
      <w:numFmt w:val="bullet"/>
      <w:lvlText w:val="●"/>
      <w:lvlJc w:val="left"/>
      <w:pPr>
        <w:ind w:left="2160" w:hanging="360"/>
      </w:pPr>
      <w:rPr>
        <w:rFonts w:ascii="Noto Sans Symbols" w:cs="Noto Sans Symbols" w:eastAsia="Noto Sans Symbols" w:hAnsi="Noto Sans Symbols"/>
        <w:color w:val="000000"/>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upperRoman"/>
      <w:lvlText w:val="%1."/>
      <w:lvlJc w:val="left"/>
      <w:pPr>
        <w:ind w:left="1080" w:hanging="720"/>
      </w:pPr>
      <w:rPr/>
    </w:lvl>
    <w:lvl w:ilvl="1">
      <w:start w:val="2"/>
      <w:numFmt w:val="bullet"/>
      <w:lvlText w:val="•"/>
      <w:lvlJc w:val="left"/>
      <w:pPr>
        <w:ind w:left="1440" w:hanging="360"/>
      </w:pPr>
      <w:rPr>
        <w:rFonts w:ascii="Palatino Linotype" w:cs="Palatino Linotype" w:eastAsia="Palatino Linotype" w:hAnsi="Palatino Linotyp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D74A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74AE"/>
  </w:style>
  <w:style w:type="paragraph" w:styleId="Piedepgina">
    <w:name w:val="footer"/>
    <w:basedOn w:val="Normal"/>
    <w:link w:val="PiedepginaCar"/>
    <w:uiPriority w:val="99"/>
    <w:unhideWhenUsed w:val="1"/>
    <w:rsid w:val="00CD74A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CD74AE"/>
    <w:pPr>
      <w:ind w:left="720"/>
      <w:contextualSpacing w:val="1"/>
    </w:pPr>
  </w:style>
  <w:style w:type="character" w:styleId="Hipervnculo">
    <w:name w:val="Hyperlink"/>
    <w:basedOn w:val="Fuentedeprrafopredeter"/>
    <w:uiPriority w:val="99"/>
    <w:unhideWhenUsed w:val="1"/>
    <w:rsid w:val="00CD74AE"/>
    <w:rPr>
      <w:color w:val="0563c1" w:themeColor="hyperlink"/>
      <w:u w:val="single"/>
    </w:rPr>
  </w:style>
  <w:style w:type="table" w:styleId="Tablaconcuadrcula">
    <w:name w:val="Table Grid"/>
    <w:basedOn w:val="Tablanormal"/>
    <w:uiPriority w:val="59"/>
    <w:rsid w:val="009C1D5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7D2AA5"/>
    <w:pPr>
      <w:spacing w:after="100" w:afterAutospacing="1" w:before="100" w:beforeAutospacing="1" w:line="240" w:lineRule="auto"/>
    </w:pPr>
    <w:rPr>
      <w:rFonts w:ascii="Times New Roman" w:cs="Times New Roman" w:eastAsia="Times New Roman" w:hAnsi="Times New Roman"/>
      <w:sz w:val="24"/>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F3FE6"/>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top w:w="0.0" w:type="dxa"/>
        <w:left w:w="115.0" w:type="dxa"/>
        <w:bottom w:w="0.0" w:type="dxa"/>
        <w:right w:w="115.0" w:type="dxa"/>
      </w:tblCellMar>
    </w:tblPr>
  </w:style>
  <w:style w:type="table" w:styleId="a1" w:customStyle="1">
    <w:basedOn w:val="TableNormal0"/>
    <w:tblPr>
      <w:tblStyleRowBandSize w:val="1"/>
      <w:tblStyleColBandSize w:val="1"/>
      <w:tblCellMar>
        <w:top w:w="0.0" w:type="dxa"/>
        <w:left w:w="115.0" w:type="dxa"/>
        <w:bottom w:w="0.0" w:type="dxa"/>
        <w:right w:w="115.0" w:type="dxa"/>
      </w:tblCellMar>
    </w:tblPr>
  </w:style>
  <w:style w:type="table" w:styleId="a2" w:customStyle="1">
    <w:basedOn w:val="TableNormal0"/>
    <w:tblPr>
      <w:tblStyleRowBandSize w:val="1"/>
      <w:tblStyleColBandSize w:val="1"/>
      <w:tblCellMar>
        <w:top w:w="15.0" w:type="dxa"/>
        <w:left w:w="115.0" w:type="dxa"/>
        <w:bottom w:w="15.0" w:type="dxa"/>
        <w:right w:w="115.0" w:type="dxa"/>
      </w:tblCellMar>
    </w:tblPr>
  </w:style>
  <w:style w:type="table" w:styleId="a3" w:customStyle="1">
    <w:basedOn w:val="TableNormal0"/>
    <w:tblPr>
      <w:tblStyleRowBandSize w:val="1"/>
      <w:tblStyleColBandSize w:val="1"/>
      <w:tblCellMar>
        <w:top w:w="15.0" w:type="dxa"/>
        <w:left w:w="115.0" w:type="dxa"/>
        <w:bottom w:w="15.0" w:type="dxa"/>
        <w:right w:w="115.0" w:type="dxa"/>
      </w:tblCellMar>
    </w:tblPr>
  </w:style>
  <w:style w:type="table" w:styleId="a4" w:customStyle="1">
    <w:basedOn w:val="TableNormal0"/>
    <w:tblPr>
      <w:tblStyleRowBandSize w:val="1"/>
      <w:tblStyleColBandSize w:val="1"/>
      <w:tblCellMar>
        <w:top w:w="15.0" w:type="dxa"/>
        <w:left w:w="115.0" w:type="dxa"/>
        <w:bottom w:w="15.0" w:type="dxa"/>
        <w:right w:w="115.0" w:type="dxa"/>
      </w:tblCellMar>
    </w:tblPr>
  </w:style>
  <w:style w:type="character" w:styleId="Mencinsinresolver1" w:customStyle="1">
    <w:name w:val="Mención sin resolver1"/>
    <w:basedOn w:val="Fuentedeprrafopredeter"/>
    <w:uiPriority w:val="99"/>
    <w:semiHidden w:val="1"/>
    <w:unhideWhenUsed w:val="1"/>
    <w:rsid w:val="00B63FC6"/>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5.png"/><Relationship Id="rId22" Type="http://schemas.openxmlformats.org/officeDocument/2006/relationships/footer" Target="footer2.xml"/><Relationship Id="rId10" Type="http://schemas.openxmlformats.org/officeDocument/2006/relationships/image" Target="media/image8.png"/><Relationship Id="rId21" Type="http://schemas.openxmlformats.org/officeDocument/2006/relationships/header" Target="header1.xml"/><Relationship Id="rId13" Type="http://schemas.openxmlformats.org/officeDocument/2006/relationships/image" Target="media/image9.png"/><Relationship Id="rId12" Type="http://schemas.openxmlformats.org/officeDocument/2006/relationships/image" Target="media/image11.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hyperlink" Target="http://omawww.sat.gob.mx/tramitesyservicios/Paginas/documentos/Anexo_20_Guia_de_llenado_CFDI.pdf" TargetMode="External"/><Relationship Id="rId8" Type="http://schemas.openxmlformats.org/officeDocument/2006/relationships/hyperlink" Target="http://www.issemym.gob.mx/sites/www.issemym.gob.mx/files/Sistema%20de%20Capitalizacion%20Individual.jp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KGnaLujIQxztXhVAR3962Yh/iw==">CgMxLjAyCGguZ2pkZ3hzMgloLjMwajB6bGwyCWguMWZvYjl0ZTgAciExZlR0QWhuR19SdFl5dnZ0eFdWdHhPUDBPcXR1ZWFPdFA=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2023-05-17T17:09:00Z</dcterms:created>
  <dc:creator>Cuenta Microsoft</dc:creator>
</cp:coreProperties>
</file>