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2E460F9F" w:rsidR="005000AA" w:rsidRPr="00D948D9" w:rsidRDefault="005000AA" w:rsidP="005000AA">
      <w:pPr>
        <w:spacing w:before="240" w:after="240" w:line="360" w:lineRule="auto"/>
        <w:jc w:val="both"/>
        <w:rPr>
          <w:rFonts w:ascii="Palatino Linotype" w:hAnsi="Palatino Linotype"/>
          <w:sz w:val="24"/>
          <w:szCs w:val="24"/>
        </w:rPr>
      </w:pPr>
      <w:r w:rsidRPr="00D948D9">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123091" w:rsidRPr="00D948D9">
        <w:rPr>
          <w:rFonts w:ascii="Palatino Linotype" w:hAnsi="Palatino Linotype"/>
          <w:sz w:val="24"/>
          <w:szCs w:val="24"/>
        </w:rPr>
        <w:t>veintinueve</w:t>
      </w:r>
      <w:r w:rsidRPr="00D948D9">
        <w:rPr>
          <w:rFonts w:ascii="Palatino Linotype" w:hAnsi="Palatino Linotype"/>
          <w:sz w:val="24"/>
          <w:szCs w:val="24"/>
        </w:rPr>
        <w:t xml:space="preserve"> (</w:t>
      </w:r>
      <w:r w:rsidR="00123091" w:rsidRPr="00D948D9">
        <w:rPr>
          <w:rFonts w:ascii="Palatino Linotype" w:hAnsi="Palatino Linotype"/>
          <w:sz w:val="24"/>
          <w:szCs w:val="24"/>
        </w:rPr>
        <w:t>29</w:t>
      </w:r>
      <w:r w:rsidR="00BE6E79" w:rsidRPr="00D948D9">
        <w:rPr>
          <w:rFonts w:ascii="Palatino Linotype" w:hAnsi="Palatino Linotype"/>
          <w:sz w:val="24"/>
          <w:szCs w:val="24"/>
        </w:rPr>
        <w:t xml:space="preserve">) de </w:t>
      </w:r>
      <w:r w:rsidR="00AF085A" w:rsidRPr="00D948D9">
        <w:rPr>
          <w:rFonts w:ascii="Palatino Linotype" w:hAnsi="Palatino Linotype"/>
          <w:sz w:val="24"/>
          <w:szCs w:val="24"/>
        </w:rPr>
        <w:t>marzo</w:t>
      </w:r>
      <w:r w:rsidRPr="00D948D9">
        <w:rPr>
          <w:rFonts w:ascii="Palatino Linotype" w:hAnsi="Palatino Linotype"/>
          <w:sz w:val="24"/>
          <w:szCs w:val="24"/>
        </w:rPr>
        <w:t xml:space="preserve"> de dos mil veinti</w:t>
      </w:r>
      <w:r w:rsidR="00573C5F" w:rsidRPr="00D948D9">
        <w:rPr>
          <w:rFonts w:ascii="Palatino Linotype" w:hAnsi="Palatino Linotype"/>
          <w:sz w:val="24"/>
          <w:szCs w:val="24"/>
        </w:rPr>
        <w:t>trés</w:t>
      </w:r>
      <w:r w:rsidRPr="00D948D9">
        <w:rPr>
          <w:rFonts w:ascii="Palatino Linotype" w:hAnsi="Palatino Linotype"/>
          <w:sz w:val="24"/>
          <w:szCs w:val="24"/>
        </w:rPr>
        <w:t>.</w:t>
      </w:r>
    </w:p>
    <w:p w14:paraId="4C818016" w14:textId="68D3B8ED" w:rsidR="005000AA" w:rsidRPr="00D948D9" w:rsidRDefault="005000AA" w:rsidP="005000AA">
      <w:pPr>
        <w:pStyle w:val="Encabezado"/>
        <w:spacing w:line="360" w:lineRule="auto"/>
        <w:jc w:val="both"/>
        <w:rPr>
          <w:rFonts w:ascii="Palatino Linotype" w:hAnsi="Palatino Linotype"/>
          <w:sz w:val="24"/>
          <w:szCs w:val="24"/>
        </w:rPr>
      </w:pPr>
      <w:r w:rsidRPr="00D948D9">
        <w:rPr>
          <w:rFonts w:ascii="Palatino Linotype" w:hAnsi="Palatino Linotype"/>
          <w:b/>
          <w:sz w:val="24"/>
          <w:szCs w:val="24"/>
        </w:rPr>
        <w:t xml:space="preserve">VISTO </w:t>
      </w:r>
      <w:r w:rsidR="00B13121" w:rsidRPr="00D948D9">
        <w:rPr>
          <w:rFonts w:ascii="Palatino Linotype" w:hAnsi="Palatino Linotype"/>
          <w:b/>
          <w:sz w:val="24"/>
          <w:szCs w:val="24"/>
        </w:rPr>
        <w:t>e</w:t>
      </w:r>
      <w:r w:rsidR="00F714A9" w:rsidRPr="00D948D9">
        <w:rPr>
          <w:rFonts w:ascii="Palatino Linotype" w:hAnsi="Palatino Linotype"/>
          <w:b/>
          <w:sz w:val="24"/>
          <w:szCs w:val="24"/>
        </w:rPr>
        <w:t>l</w:t>
      </w:r>
      <w:r w:rsidRPr="00D948D9">
        <w:rPr>
          <w:rFonts w:ascii="Palatino Linotype" w:hAnsi="Palatino Linotype"/>
          <w:sz w:val="24"/>
          <w:szCs w:val="24"/>
        </w:rPr>
        <w:t xml:space="preserve"> expediente electrónico formado</w:t>
      </w:r>
      <w:r w:rsidR="00B13121" w:rsidRPr="00D948D9">
        <w:rPr>
          <w:rFonts w:ascii="Palatino Linotype" w:hAnsi="Palatino Linotype"/>
          <w:sz w:val="24"/>
          <w:szCs w:val="24"/>
        </w:rPr>
        <w:t xml:space="preserve"> </w:t>
      </w:r>
      <w:r w:rsidRPr="00D948D9">
        <w:rPr>
          <w:rFonts w:ascii="Palatino Linotype" w:hAnsi="Palatino Linotype"/>
          <w:sz w:val="24"/>
          <w:szCs w:val="24"/>
        </w:rPr>
        <w:t>con motivo del</w:t>
      </w:r>
      <w:r w:rsidR="003374B1" w:rsidRPr="00D948D9">
        <w:rPr>
          <w:rFonts w:ascii="Palatino Linotype" w:hAnsi="Palatino Linotype"/>
          <w:sz w:val="24"/>
          <w:szCs w:val="24"/>
        </w:rPr>
        <w:t xml:space="preserve"> recurso de revisión</w:t>
      </w:r>
      <w:r w:rsidR="00B13121" w:rsidRPr="00D948D9">
        <w:rPr>
          <w:rFonts w:ascii="Palatino Linotype" w:hAnsi="Palatino Linotype"/>
          <w:sz w:val="24"/>
          <w:szCs w:val="24"/>
        </w:rPr>
        <w:t xml:space="preserve"> </w:t>
      </w:r>
      <w:r w:rsidR="005F7A17" w:rsidRPr="00D948D9">
        <w:rPr>
          <w:rFonts w:ascii="Palatino Linotype" w:eastAsia="Calibri" w:hAnsi="Palatino Linotype" w:cs="Tahoma"/>
          <w:b/>
          <w:sz w:val="24"/>
          <w:lang w:eastAsia="en-US"/>
        </w:rPr>
        <w:t>13313/INFOEM/IP/RR/2022</w:t>
      </w:r>
      <w:r w:rsidR="00174363" w:rsidRPr="00D948D9">
        <w:rPr>
          <w:rFonts w:ascii="Palatino Linotype" w:hAnsi="Palatino Linotype"/>
          <w:b/>
          <w:sz w:val="24"/>
          <w:szCs w:val="24"/>
        </w:rPr>
        <w:t xml:space="preserve">, </w:t>
      </w:r>
      <w:r w:rsidRPr="00D948D9">
        <w:rPr>
          <w:rFonts w:ascii="Palatino Linotype" w:hAnsi="Palatino Linotype"/>
          <w:sz w:val="24"/>
          <w:szCs w:val="24"/>
        </w:rPr>
        <w:t>promovido por</w:t>
      </w:r>
      <w:r w:rsidR="00396CF5" w:rsidRPr="00D948D9">
        <w:rPr>
          <w:rFonts w:ascii="Palatino Linotype" w:hAnsi="Palatino Linotype"/>
          <w:sz w:val="24"/>
          <w:szCs w:val="24"/>
        </w:rPr>
        <w:t xml:space="preserve"> </w:t>
      </w:r>
      <w:r w:rsidR="00D948D9" w:rsidRPr="00D948D9">
        <w:rPr>
          <w:rFonts w:ascii="Palatino Linotype" w:eastAsia="Calibri" w:hAnsi="Palatino Linotype" w:cs="Tahoma"/>
          <w:b/>
          <w:sz w:val="24"/>
          <w:szCs w:val="22"/>
          <w:lang w:eastAsia="en-US"/>
        </w:rPr>
        <w:t>XXXXXXX</w:t>
      </w:r>
      <w:r w:rsidR="00CA3902" w:rsidRPr="00D948D9">
        <w:rPr>
          <w:rFonts w:ascii="Palatino Linotype" w:eastAsia="Calibri" w:hAnsi="Palatino Linotype" w:cs="Tahoma"/>
          <w:b/>
          <w:sz w:val="24"/>
          <w:szCs w:val="22"/>
          <w:lang w:eastAsia="en-US"/>
        </w:rPr>
        <w:t>,</w:t>
      </w:r>
      <w:r w:rsidR="005D09C1" w:rsidRPr="00D948D9">
        <w:rPr>
          <w:rFonts w:ascii="Palatino Linotype" w:hAnsi="Palatino Linotype"/>
          <w:sz w:val="24"/>
          <w:szCs w:val="24"/>
        </w:rPr>
        <w:t xml:space="preserve"> en su calidad de </w:t>
      </w:r>
      <w:r w:rsidRPr="00D948D9">
        <w:rPr>
          <w:rFonts w:ascii="Palatino Linotype" w:hAnsi="Palatino Linotype"/>
          <w:b/>
          <w:sz w:val="24"/>
          <w:szCs w:val="24"/>
        </w:rPr>
        <w:t>RECURRENTE</w:t>
      </w:r>
      <w:r w:rsidRPr="00D948D9">
        <w:rPr>
          <w:rFonts w:ascii="Palatino Linotype" w:hAnsi="Palatino Linotype" w:cs="Arial"/>
          <w:sz w:val="24"/>
          <w:szCs w:val="24"/>
        </w:rPr>
        <w:t>, en contra de la</w:t>
      </w:r>
      <w:r w:rsidR="00C56D1A" w:rsidRPr="00D948D9">
        <w:rPr>
          <w:rFonts w:ascii="Palatino Linotype" w:hAnsi="Palatino Linotype" w:cs="Arial"/>
          <w:sz w:val="24"/>
          <w:szCs w:val="24"/>
        </w:rPr>
        <w:t xml:space="preserve"> </w:t>
      </w:r>
      <w:r w:rsidRPr="00D948D9">
        <w:rPr>
          <w:rFonts w:ascii="Palatino Linotype" w:hAnsi="Palatino Linotype" w:cs="Arial"/>
          <w:sz w:val="24"/>
          <w:szCs w:val="24"/>
        </w:rPr>
        <w:t xml:space="preserve">respuesta del </w:t>
      </w:r>
      <w:r w:rsidR="005F7A17" w:rsidRPr="00D948D9">
        <w:rPr>
          <w:rFonts w:ascii="Palatino Linotype" w:eastAsia="Calibri" w:hAnsi="Palatino Linotype" w:cs="Arial"/>
          <w:b/>
          <w:bCs/>
          <w:sz w:val="24"/>
          <w:lang w:val="es-ES"/>
        </w:rPr>
        <w:t>Sistema Municipal Para el Desarrollo Integral de la Familia de Toluca</w:t>
      </w:r>
      <w:r w:rsidRPr="00D948D9">
        <w:rPr>
          <w:rFonts w:ascii="Palatino Linotype" w:hAnsi="Palatino Linotype" w:cs="Arial"/>
          <w:sz w:val="24"/>
          <w:szCs w:val="24"/>
        </w:rPr>
        <w:t>,</w:t>
      </w:r>
      <w:r w:rsidRPr="00D948D9">
        <w:rPr>
          <w:rFonts w:ascii="Palatino Linotype" w:hAnsi="Palatino Linotype"/>
          <w:b/>
          <w:sz w:val="24"/>
          <w:szCs w:val="24"/>
        </w:rPr>
        <w:t xml:space="preserve"> </w:t>
      </w:r>
      <w:r w:rsidRPr="00D948D9">
        <w:rPr>
          <w:rFonts w:ascii="Palatino Linotype" w:hAnsi="Palatino Linotype"/>
          <w:sz w:val="24"/>
          <w:szCs w:val="24"/>
        </w:rPr>
        <w:t>en lo sucesivo el</w:t>
      </w:r>
      <w:r w:rsidRPr="00D948D9">
        <w:rPr>
          <w:rFonts w:ascii="Palatino Linotype" w:hAnsi="Palatino Linotype"/>
          <w:b/>
          <w:sz w:val="24"/>
          <w:szCs w:val="24"/>
        </w:rPr>
        <w:t xml:space="preserve"> SUJETO OBLIGADO, </w:t>
      </w:r>
      <w:r w:rsidRPr="00D948D9">
        <w:rPr>
          <w:rFonts w:ascii="Palatino Linotype" w:hAnsi="Palatino Linotype"/>
          <w:sz w:val="24"/>
          <w:szCs w:val="24"/>
        </w:rPr>
        <w:t>se procede a dictar la presente resolución, con base en los siguientes:</w:t>
      </w:r>
    </w:p>
    <w:p w14:paraId="1F1BAF80" w14:textId="77777777" w:rsidR="005000AA" w:rsidRPr="00D948D9" w:rsidRDefault="005000AA" w:rsidP="005000AA">
      <w:pPr>
        <w:pStyle w:val="Ttulo1"/>
        <w:jc w:val="center"/>
        <w:rPr>
          <w:rFonts w:ascii="Palatino Linotype" w:hAnsi="Palatino Linotype"/>
          <w:b/>
          <w:color w:val="auto"/>
          <w:sz w:val="24"/>
          <w:szCs w:val="24"/>
        </w:rPr>
      </w:pPr>
      <w:bookmarkStart w:id="0" w:name="_Toc87549671"/>
      <w:r w:rsidRPr="00D948D9">
        <w:rPr>
          <w:rFonts w:ascii="Palatino Linotype" w:hAnsi="Palatino Linotype"/>
          <w:b/>
          <w:color w:val="auto"/>
          <w:sz w:val="24"/>
          <w:szCs w:val="24"/>
        </w:rPr>
        <w:t>ANTECEDENTES</w:t>
      </w:r>
      <w:bookmarkEnd w:id="0"/>
    </w:p>
    <w:p w14:paraId="04287D5F" w14:textId="77777777" w:rsidR="005000AA" w:rsidRPr="00D948D9" w:rsidRDefault="005000AA" w:rsidP="005000AA">
      <w:pPr>
        <w:rPr>
          <w:rFonts w:ascii="Palatino Linotype" w:hAnsi="Palatino Linotype"/>
          <w:sz w:val="24"/>
          <w:szCs w:val="24"/>
          <w:lang w:eastAsia="en-US"/>
        </w:rPr>
      </w:pPr>
    </w:p>
    <w:p w14:paraId="5ED33D9B" w14:textId="1C02C09B" w:rsidR="00A87524" w:rsidRPr="00D948D9" w:rsidRDefault="00A36BE2" w:rsidP="006C28CC">
      <w:pPr>
        <w:pStyle w:val="Prrafodelista"/>
        <w:numPr>
          <w:ilvl w:val="0"/>
          <w:numId w:val="3"/>
        </w:numPr>
        <w:spacing w:line="360" w:lineRule="auto"/>
        <w:ind w:left="0" w:firstLine="0"/>
        <w:jc w:val="both"/>
        <w:rPr>
          <w:rFonts w:ascii="Palatino Linotype" w:hAnsi="Palatino Linotype" w:cs="Arial"/>
          <w:sz w:val="24"/>
          <w:lang w:val="es-ES"/>
        </w:rPr>
      </w:pPr>
      <w:r w:rsidRPr="00D948D9">
        <w:rPr>
          <w:rFonts w:ascii="Palatino Linotype" w:eastAsia="Calibri" w:hAnsi="Palatino Linotype" w:cs="Arial"/>
          <w:sz w:val="24"/>
          <w:lang w:val="es-ES"/>
        </w:rPr>
        <w:t xml:space="preserve">El </w:t>
      </w:r>
      <w:r w:rsidR="0030714A" w:rsidRPr="00D948D9">
        <w:rPr>
          <w:rFonts w:ascii="Palatino Linotype" w:eastAsia="Calibri" w:hAnsi="Palatino Linotype" w:cs="Arial"/>
          <w:sz w:val="24"/>
          <w:lang w:val="es-ES"/>
        </w:rPr>
        <w:t>veintiséis</w:t>
      </w:r>
      <w:r w:rsidR="000904E7" w:rsidRPr="00D948D9">
        <w:rPr>
          <w:rFonts w:ascii="Palatino Linotype" w:eastAsia="Calibri" w:hAnsi="Palatino Linotype" w:cs="Arial"/>
          <w:sz w:val="24"/>
          <w:lang w:val="es-ES"/>
        </w:rPr>
        <w:t xml:space="preserve"> (</w:t>
      </w:r>
      <w:r w:rsidR="0030714A" w:rsidRPr="00D948D9">
        <w:rPr>
          <w:rFonts w:ascii="Palatino Linotype" w:eastAsia="Calibri" w:hAnsi="Palatino Linotype" w:cs="Arial"/>
          <w:sz w:val="24"/>
          <w:lang w:val="es-ES"/>
        </w:rPr>
        <w:t>26</w:t>
      </w:r>
      <w:r w:rsidR="000904E7" w:rsidRPr="00D948D9">
        <w:rPr>
          <w:rFonts w:ascii="Palatino Linotype" w:eastAsia="Calibri" w:hAnsi="Palatino Linotype" w:cs="Arial"/>
          <w:sz w:val="24"/>
          <w:lang w:val="es-ES"/>
        </w:rPr>
        <w:t xml:space="preserve">) </w:t>
      </w:r>
      <w:r w:rsidR="00A87524" w:rsidRPr="00D948D9">
        <w:rPr>
          <w:rFonts w:ascii="Palatino Linotype" w:eastAsia="Calibri" w:hAnsi="Palatino Linotype" w:cs="Arial"/>
          <w:sz w:val="24"/>
          <w:lang w:val="es-ES"/>
        </w:rPr>
        <w:t xml:space="preserve">de </w:t>
      </w:r>
      <w:r w:rsidR="0030714A" w:rsidRPr="00D948D9">
        <w:rPr>
          <w:rFonts w:ascii="Palatino Linotype" w:eastAsia="Calibri" w:hAnsi="Palatino Linotype" w:cs="Arial"/>
          <w:sz w:val="24"/>
          <w:lang w:val="es-ES"/>
        </w:rPr>
        <w:t>junio</w:t>
      </w:r>
      <w:r w:rsidR="00A526EE" w:rsidRPr="00D948D9">
        <w:rPr>
          <w:rFonts w:ascii="Palatino Linotype" w:eastAsia="Calibri" w:hAnsi="Palatino Linotype"/>
          <w:sz w:val="24"/>
          <w:lang w:val="es-ES"/>
        </w:rPr>
        <w:t xml:space="preserve"> </w:t>
      </w:r>
      <w:r w:rsidR="005000AA" w:rsidRPr="00D948D9">
        <w:rPr>
          <w:rFonts w:ascii="Palatino Linotype" w:eastAsia="Calibri" w:hAnsi="Palatino Linotype"/>
          <w:sz w:val="24"/>
          <w:lang w:val="es-ES"/>
        </w:rPr>
        <w:t>de dos mil veinti</w:t>
      </w:r>
      <w:r w:rsidR="00F714A9" w:rsidRPr="00D948D9">
        <w:rPr>
          <w:rFonts w:ascii="Palatino Linotype" w:eastAsia="Calibri" w:hAnsi="Palatino Linotype"/>
          <w:sz w:val="24"/>
          <w:lang w:val="es-ES"/>
        </w:rPr>
        <w:t>dós</w:t>
      </w:r>
      <w:r w:rsidR="005000AA" w:rsidRPr="00D948D9">
        <w:rPr>
          <w:rFonts w:ascii="Palatino Linotype" w:eastAsia="Calibri" w:hAnsi="Palatino Linotype" w:cs="Arial"/>
          <w:sz w:val="24"/>
          <w:lang w:val="es-ES"/>
        </w:rPr>
        <w:t>,</w:t>
      </w:r>
      <w:r w:rsidR="005000AA" w:rsidRPr="00D948D9">
        <w:rPr>
          <w:rFonts w:ascii="Palatino Linotype" w:eastAsia="Calibri" w:hAnsi="Palatino Linotype"/>
          <w:sz w:val="24"/>
          <w:lang w:val="es-ES"/>
        </w:rPr>
        <w:t xml:space="preserve"> </w:t>
      </w:r>
      <w:r w:rsidR="005000AA" w:rsidRPr="00D948D9">
        <w:rPr>
          <w:rFonts w:ascii="Palatino Linotype" w:eastAsia="Calibri" w:hAnsi="Palatino Linotype"/>
          <w:b/>
          <w:sz w:val="24"/>
          <w:lang w:val="es-ES"/>
        </w:rPr>
        <w:t xml:space="preserve">EL RECURRENTE </w:t>
      </w:r>
      <w:r w:rsidR="005000AA" w:rsidRPr="00D948D9">
        <w:rPr>
          <w:rFonts w:ascii="Palatino Linotype" w:eastAsia="Calibri" w:hAnsi="Palatino Linotype"/>
          <w:bCs/>
          <w:sz w:val="24"/>
          <w:lang w:val="es-ES"/>
        </w:rPr>
        <w:t>presentó</w:t>
      </w:r>
      <w:r w:rsidR="005000AA" w:rsidRPr="00D948D9">
        <w:rPr>
          <w:rFonts w:ascii="Palatino Linotype" w:hAnsi="Palatino Linotype"/>
          <w:b/>
          <w:sz w:val="24"/>
        </w:rPr>
        <w:t>,</w:t>
      </w:r>
      <w:r w:rsidR="005000AA" w:rsidRPr="00D948D9">
        <w:rPr>
          <w:rFonts w:ascii="Palatino Linotype" w:eastAsia="Calibri" w:hAnsi="Palatino Linotype" w:cs="Arial"/>
          <w:sz w:val="24"/>
          <w:lang w:val="es-ES"/>
        </w:rPr>
        <w:t xml:space="preserve"> ante el </w:t>
      </w:r>
      <w:r w:rsidR="005000AA" w:rsidRPr="00D948D9">
        <w:rPr>
          <w:rFonts w:ascii="Palatino Linotype" w:eastAsia="Calibri" w:hAnsi="Palatino Linotype" w:cs="Arial"/>
          <w:b/>
          <w:sz w:val="24"/>
          <w:lang w:val="es-ES"/>
        </w:rPr>
        <w:t>SUJETO OBLIGADO</w:t>
      </w:r>
      <w:r w:rsidR="005000AA" w:rsidRPr="00D948D9">
        <w:rPr>
          <w:rFonts w:ascii="Palatino Linotype" w:eastAsia="Calibri" w:hAnsi="Palatino Linotype" w:cs="Arial"/>
          <w:sz w:val="24"/>
        </w:rPr>
        <w:t xml:space="preserve"> vía </w:t>
      </w:r>
      <w:r w:rsidR="005000AA" w:rsidRPr="00D948D9">
        <w:rPr>
          <w:rFonts w:ascii="Palatino Linotype" w:eastAsia="Calibri" w:hAnsi="Palatino Linotype" w:cs="Arial"/>
          <w:sz w:val="24"/>
          <w:lang w:val="es-ES"/>
        </w:rPr>
        <w:t>Sistema de Acceso a la Información Mexiquense (</w:t>
      </w:r>
      <w:r w:rsidR="005000AA" w:rsidRPr="00D948D9">
        <w:rPr>
          <w:rFonts w:ascii="Palatino Linotype" w:eastAsia="Calibri" w:hAnsi="Palatino Linotype" w:cs="Arial"/>
          <w:b/>
          <w:sz w:val="24"/>
          <w:lang w:val="es-ES"/>
        </w:rPr>
        <w:t>SAIMEX)</w:t>
      </w:r>
      <w:r w:rsidR="005000AA" w:rsidRPr="00D948D9">
        <w:rPr>
          <w:rFonts w:ascii="Palatino Linotype" w:eastAsia="Calibri" w:hAnsi="Palatino Linotype" w:cs="Arial"/>
          <w:sz w:val="24"/>
          <w:lang w:val="es-ES"/>
        </w:rPr>
        <w:t xml:space="preserve">, la solicitud de información pública registrada con el número </w:t>
      </w:r>
      <w:r w:rsidR="006C28CC" w:rsidRPr="00D948D9">
        <w:rPr>
          <w:rFonts w:ascii="Palatino Linotype" w:hAnsi="Palatino Linotype" w:cs="Arial"/>
          <w:b/>
          <w:sz w:val="24"/>
          <w:lang w:val="es-ES"/>
        </w:rPr>
        <w:t>0</w:t>
      </w:r>
      <w:r w:rsidR="0030714A" w:rsidRPr="00D948D9">
        <w:rPr>
          <w:rFonts w:ascii="Palatino Linotype" w:hAnsi="Palatino Linotype" w:cs="Arial"/>
          <w:b/>
          <w:sz w:val="24"/>
          <w:lang w:val="es-ES"/>
        </w:rPr>
        <w:t>0054</w:t>
      </w:r>
      <w:r w:rsidR="006C28CC" w:rsidRPr="00D948D9">
        <w:rPr>
          <w:rFonts w:ascii="Palatino Linotype" w:hAnsi="Palatino Linotype" w:cs="Arial"/>
          <w:b/>
          <w:sz w:val="24"/>
          <w:lang w:val="es-ES"/>
        </w:rPr>
        <w:t>/</w:t>
      </w:r>
      <w:r w:rsidR="0030714A" w:rsidRPr="00D948D9">
        <w:rPr>
          <w:rFonts w:ascii="Palatino Linotype" w:hAnsi="Palatino Linotype" w:cs="Arial"/>
          <w:b/>
          <w:sz w:val="24"/>
          <w:lang w:val="es-ES"/>
        </w:rPr>
        <w:t>DIFTOLUCA</w:t>
      </w:r>
      <w:r w:rsidR="00B13121" w:rsidRPr="00D948D9">
        <w:rPr>
          <w:rFonts w:ascii="Palatino Linotype" w:hAnsi="Palatino Linotype" w:cs="Arial"/>
          <w:b/>
          <w:sz w:val="24"/>
          <w:lang w:val="es-ES"/>
        </w:rPr>
        <w:t xml:space="preserve">/IP/2022 </w:t>
      </w:r>
      <w:r w:rsidR="008A2519" w:rsidRPr="00D948D9">
        <w:rPr>
          <w:rFonts w:ascii="Palatino Linotype" w:eastAsia="Calibri" w:hAnsi="Palatino Linotype" w:cs="Arial"/>
          <w:sz w:val="24"/>
          <w:lang w:val="es-ES"/>
        </w:rPr>
        <w:t>mediante la cual solicitó lo siguiente:</w:t>
      </w:r>
    </w:p>
    <w:p w14:paraId="39EB81E9" w14:textId="77777777" w:rsidR="008A2519" w:rsidRPr="00D948D9" w:rsidRDefault="008A2519" w:rsidP="008A2519">
      <w:pPr>
        <w:pStyle w:val="Prrafodelista"/>
        <w:spacing w:line="360" w:lineRule="auto"/>
        <w:ind w:left="0"/>
        <w:jc w:val="both"/>
        <w:rPr>
          <w:rFonts w:ascii="Palatino Linotype" w:hAnsi="Palatino Linotype" w:cs="Arial"/>
          <w:sz w:val="24"/>
          <w:lang w:val="es-ES"/>
        </w:rPr>
      </w:pPr>
    </w:p>
    <w:p w14:paraId="34D96AAB" w14:textId="5E72B7AA" w:rsidR="00AF085A" w:rsidRPr="00D948D9" w:rsidRDefault="0030714A" w:rsidP="0030714A">
      <w:pPr>
        <w:pStyle w:val="Prrafodelista"/>
        <w:spacing w:line="360" w:lineRule="auto"/>
        <w:ind w:left="567" w:right="822"/>
        <w:jc w:val="both"/>
        <w:rPr>
          <w:rFonts w:ascii="Palatino Linotype" w:hAnsi="Palatino Linotype"/>
          <w:i/>
        </w:rPr>
      </w:pPr>
      <w:r w:rsidRPr="00D948D9">
        <w:rPr>
          <w:rFonts w:ascii="Palatino Linotype" w:hAnsi="Palatino Linotype"/>
          <w:i/>
        </w:rPr>
        <w:t>“Las bases de datos actualizadas, su documento de seguridad, sus avisos de privacidad y los sistemas de Gestión.”</w:t>
      </w:r>
    </w:p>
    <w:p w14:paraId="71FCCD78" w14:textId="77777777" w:rsidR="0030714A" w:rsidRPr="00D948D9" w:rsidRDefault="0030714A" w:rsidP="008A2519">
      <w:pPr>
        <w:pStyle w:val="Prrafodelista"/>
        <w:spacing w:line="360" w:lineRule="auto"/>
        <w:ind w:left="0"/>
        <w:jc w:val="both"/>
        <w:rPr>
          <w:rFonts w:ascii="Palatino Linotype" w:hAnsi="Palatino Linotype"/>
          <w:i/>
        </w:rPr>
      </w:pPr>
    </w:p>
    <w:p w14:paraId="10A9E574" w14:textId="77777777" w:rsidR="00573C5F" w:rsidRPr="00D948D9" w:rsidRDefault="005000AA" w:rsidP="00573C5F">
      <w:pPr>
        <w:pStyle w:val="Prrafodelista"/>
        <w:numPr>
          <w:ilvl w:val="0"/>
          <w:numId w:val="3"/>
        </w:numPr>
        <w:spacing w:line="360" w:lineRule="auto"/>
        <w:ind w:left="0" w:firstLine="0"/>
        <w:jc w:val="both"/>
        <w:rPr>
          <w:rFonts w:ascii="Palatino Linotype" w:hAnsi="Palatino Linotype" w:cs="Arial"/>
          <w:sz w:val="24"/>
          <w:lang w:val="es-ES"/>
        </w:rPr>
      </w:pPr>
      <w:r w:rsidRPr="00D948D9">
        <w:rPr>
          <w:rFonts w:ascii="Palatino Linotype" w:hAnsi="Palatino Linotype" w:cs="Arial"/>
          <w:sz w:val="24"/>
          <w:lang w:val="es-ES"/>
        </w:rPr>
        <w:t>Señaló como modalidad de entrega</w:t>
      </w:r>
      <w:r w:rsidR="006C28CC" w:rsidRPr="00D948D9">
        <w:rPr>
          <w:rFonts w:ascii="Palatino Linotype" w:hAnsi="Palatino Linotype" w:cs="Arial"/>
          <w:sz w:val="24"/>
          <w:lang w:val="es-ES"/>
        </w:rPr>
        <w:t xml:space="preserve"> de la información a través de</w:t>
      </w:r>
      <w:r w:rsidR="00573C5F" w:rsidRPr="00D948D9">
        <w:rPr>
          <w:rFonts w:ascii="Palatino Linotype" w:hAnsi="Palatino Linotype" w:cs="Arial"/>
          <w:sz w:val="24"/>
          <w:lang w:val="es-ES"/>
        </w:rPr>
        <w:t>l</w:t>
      </w:r>
      <w:r w:rsidR="006C28CC" w:rsidRPr="00D948D9">
        <w:rPr>
          <w:rFonts w:ascii="Palatino Linotype" w:hAnsi="Palatino Linotype" w:cs="Arial"/>
          <w:sz w:val="24"/>
          <w:lang w:val="es-ES"/>
        </w:rPr>
        <w:t xml:space="preserve"> </w:t>
      </w:r>
      <w:r w:rsidRPr="00D948D9">
        <w:rPr>
          <w:rFonts w:ascii="Palatino Linotype" w:hAnsi="Palatino Linotype" w:cs="Arial"/>
          <w:b/>
          <w:sz w:val="24"/>
          <w:lang w:val="es-ES"/>
        </w:rPr>
        <w:t>SAIMEX.</w:t>
      </w:r>
    </w:p>
    <w:p w14:paraId="49A61894" w14:textId="77777777" w:rsidR="00573C5F" w:rsidRPr="00D948D9" w:rsidRDefault="00573C5F" w:rsidP="00573C5F">
      <w:pPr>
        <w:pStyle w:val="Prrafodelista"/>
        <w:spacing w:line="360" w:lineRule="auto"/>
        <w:ind w:left="0"/>
        <w:jc w:val="both"/>
        <w:rPr>
          <w:rFonts w:ascii="Palatino Linotype" w:hAnsi="Palatino Linotype" w:cs="Arial"/>
          <w:sz w:val="24"/>
          <w:lang w:val="es-ES"/>
        </w:rPr>
      </w:pPr>
    </w:p>
    <w:p w14:paraId="7CF69436" w14:textId="5968CB51" w:rsidR="0030714A" w:rsidRPr="00D948D9" w:rsidRDefault="0030714A" w:rsidP="00573C5F">
      <w:pPr>
        <w:pStyle w:val="Prrafodelista"/>
        <w:numPr>
          <w:ilvl w:val="0"/>
          <w:numId w:val="3"/>
        </w:numPr>
        <w:spacing w:line="360" w:lineRule="auto"/>
        <w:ind w:left="0" w:firstLine="0"/>
        <w:jc w:val="both"/>
        <w:rPr>
          <w:rFonts w:ascii="Palatino Linotype" w:hAnsi="Palatino Linotype" w:cs="Arial"/>
          <w:sz w:val="24"/>
          <w:lang w:val="es-ES"/>
        </w:rPr>
      </w:pPr>
      <w:r w:rsidRPr="00D948D9">
        <w:rPr>
          <w:rFonts w:ascii="Palatino Linotype" w:hAnsi="Palatino Linotype" w:cs="Arial"/>
          <w:sz w:val="24"/>
          <w:lang w:val="es-ES"/>
        </w:rPr>
        <w:lastRenderedPageBreak/>
        <w:t>El uno (1) de agosto de dos mil veintidós, el Sujeto Obligado solicitó una prórroga para dar respuesta a la solicitud.</w:t>
      </w:r>
    </w:p>
    <w:p w14:paraId="1AA0DA66" w14:textId="77777777" w:rsidR="0030714A" w:rsidRPr="00D948D9" w:rsidRDefault="0030714A" w:rsidP="0030714A">
      <w:pPr>
        <w:pStyle w:val="Prrafodelista"/>
        <w:rPr>
          <w:rFonts w:ascii="Palatino Linotype" w:hAnsi="Palatino Linotype" w:cs="Arial"/>
          <w:sz w:val="24"/>
          <w:lang w:val="es-ES"/>
        </w:rPr>
      </w:pPr>
    </w:p>
    <w:p w14:paraId="4E07FD3A" w14:textId="6870E088" w:rsidR="00AF085A" w:rsidRPr="00D948D9" w:rsidRDefault="00C56D1A" w:rsidP="0030714A">
      <w:pPr>
        <w:pStyle w:val="Prrafodelista"/>
        <w:numPr>
          <w:ilvl w:val="0"/>
          <w:numId w:val="3"/>
        </w:numPr>
        <w:spacing w:line="360" w:lineRule="auto"/>
        <w:ind w:left="0" w:firstLine="0"/>
        <w:jc w:val="both"/>
        <w:rPr>
          <w:rFonts w:ascii="Palatino Linotype" w:eastAsia="Calibri" w:hAnsi="Palatino Linotype"/>
          <w:sz w:val="24"/>
          <w:lang w:val="es-ES"/>
        </w:rPr>
      </w:pPr>
      <w:r w:rsidRPr="00D948D9">
        <w:rPr>
          <w:rFonts w:ascii="Palatino Linotype" w:hAnsi="Palatino Linotype" w:cs="Arial"/>
          <w:sz w:val="24"/>
          <w:lang w:val="es-ES"/>
        </w:rPr>
        <w:t xml:space="preserve">El </w:t>
      </w:r>
      <w:r w:rsidR="0030714A" w:rsidRPr="00D948D9">
        <w:rPr>
          <w:rFonts w:ascii="Palatino Linotype" w:hAnsi="Palatino Linotype" w:cs="Arial"/>
          <w:sz w:val="24"/>
          <w:lang w:val="es-ES"/>
        </w:rPr>
        <w:t>diez</w:t>
      </w:r>
      <w:r w:rsidR="004B6D60" w:rsidRPr="00D948D9">
        <w:rPr>
          <w:rFonts w:ascii="Palatino Linotype" w:hAnsi="Palatino Linotype" w:cs="Arial"/>
          <w:sz w:val="24"/>
          <w:lang w:val="es-ES"/>
        </w:rPr>
        <w:t xml:space="preserve"> (</w:t>
      </w:r>
      <w:r w:rsidR="0030714A" w:rsidRPr="00D948D9">
        <w:rPr>
          <w:rFonts w:ascii="Palatino Linotype" w:hAnsi="Palatino Linotype" w:cs="Arial"/>
          <w:sz w:val="24"/>
          <w:lang w:val="es-ES"/>
        </w:rPr>
        <w:t>10</w:t>
      </w:r>
      <w:r w:rsidR="004B6D60" w:rsidRPr="00D948D9">
        <w:rPr>
          <w:rFonts w:ascii="Palatino Linotype" w:hAnsi="Palatino Linotype" w:cs="Arial"/>
          <w:sz w:val="24"/>
          <w:lang w:val="es-ES"/>
        </w:rPr>
        <w:t xml:space="preserve">) de </w:t>
      </w:r>
      <w:r w:rsidR="0030714A" w:rsidRPr="00D948D9">
        <w:rPr>
          <w:rFonts w:ascii="Palatino Linotype" w:hAnsi="Palatino Linotype" w:cs="Arial"/>
          <w:sz w:val="24"/>
          <w:lang w:val="es-ES"/>
        </w:rPr>
        <w:t>agosto</w:t>
      </w:r>
      <w:r w:rsidR="004B6D60" w:rsidRPr="00D948D9">
        <w:rPr>
          <w:rFonts w:ascii="Palatino Linotype" w:hAnsi="Palatino Linotype" w:cs="Arial"/>
          <w:sz w:val="24"/>
          <w:lang w:val="es-ES"/>
        </w:rPr>
        <w:t xml:space="preserve"> </w:t>
      </w:r>
      <w:r w:rsidRPr="00D948D9">
        <w:rPr>
          <w:rFonts w:ascii="Palatino Linotype" w:hAnsi="Palatino Linotype" w:cs="Arial"/>
          <w:sz w:val="24"/>
          <w:lang w:val="es-ES"/>
        </w:rPr>
        <w:t>de dos mil veintidós</w:t>
      </w:r>
      <w:r w:rsidR="00AF085A" w:rsidRPr="00D948D9">
        <w:rPr>
          <w:rFonts w:ascii="Palatino Linotype" w:eastAsia="Calibri" w:hAnsi="Palatino Linotype"/>
          <w:sz w:val="24"/>
          <w:lang w:val="es-ES"/>
        </w:rPr>
        <w:t xml:space="preserve">, </w:t>
      </w:r>
      <w:r w:rsidR="0030714A" w:rsidRPr="00D948D9">
        <w:rPr>
          <w:rFonts w:ascii="Palatino Linotype" w:eastAsia="Calibri" w:hAnsi="Palatino Linotype"/>
          <w:sz w:val="24"/>
          <w:lang w:val="es-ES"/>
        </w:rPr>
        <w:t xml:space="preserve">el Sujeto Obligado </w:t>
      </w:r>
      <w:r w:rsidR="00AF085A" w:rsidRPr="00D948D9">
        <w:rPr>
          <w:rFonts w:ascii="Palatino Linotype" w:eastAsia="Calibri" w:hAnsi="Palatino Linotype"/>
          <w:sz w:val="24"/>
          <w:lang w:val="es-ES"/>
        </w:rPr>
        <w:t>dio respuesta a la solicitud en los siguientes términos:</w:t>
      </w:r>
    </w:p>
    <w:p w14:paraId="24A4392F" w14:textId="77777777" w:rsidR="00ED737F" w:rsidRPr="00D948D9" w:rsidRDefault="00ED737F" w:rsidP="00ED737F">
      <w:pPr>
        <w:pStyle w:val="Prrafodelista"/>
        <w:spacing w:before="240" w:after="240" w:line="360" w:lineRule="auto"/>
        <w:ind w:left="0"/>
        <w:jc w:val="both"/>
        <w:rPr>
          <w:rFonts w:ascii="Palatino Linotype" w:hAnsi="Palatino Linotype" w:cs="Arial"/>
          <w:i/>
          <w:sz w:val="24"/>
        </w:rPr>
      </w:pPr>
    </w:p>
    <w:p w14:paraId="67CB6E4B" w14:textId="425008BA" w:rsidR="0030714A" w:rsidRPr="00D948D9" w:rsidRDefault="0030714A" w:rsidP="0030714A">
      <w:pPr>
        <w:pStyle w:val="Prrafodelista"/>
        <w:rPr>
          <w:rFonts w:ascii="Palatino Linotype" w:hAnsi="Palatino Linotype" w:cs="Arial"/>
          <w:i/>
          <w:sz w:val="24"/>
        </w:rPr>
      </w:pPr>
      <w:r w:rsidRPr="00D948D9">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533327" w14:textId="77777777" w:rsidR="0030714A" w:rsidRPr="00D948D9" w:rsidRDefault="0030714A" w:rsidP="0030714A">
      <w:pPr>
        <w:pStyle w:val="Prrafodelista"/>
        <w:rPr>
          <w:rFonts w:ascii="Palatino Linotype" w:hAnsi="Palatino Linotype" w:cs="Arial"/>
          <w:i/>
          <w:sz w:val="24"/>
        </w:rPr>
      </w:pPr>
      <w:r w:rsidRPr="00D948D9">
        <w:rPr>
          <w:rFonts w:ascii="Palatino Linotype" w:hAnsi="Palatino Linotype" w:cs="Arial"/>
          <w:i/>
          <w:sz w:val="24"/>
        </w:rPr>
        <w:t>En atención a su solicitud de información pública, presentada a través del Sistema de Acceso a la Información Mexiquense (SAIMEX) a este Sistema para Desarrollo Integral de la Familia de Toluca y registrada con el folio 00054/DIFTOLUCA/IP/2022. Y con fundamento en los artículos 163, 165, 166, y 173 de la Ley de Transparencia y Acceso a la Información Pública del Estado de México y Municipios éste Sujeto Obligado le proporciona la información requerida en un archivo adjunto. Sin otro particular por el momento quedamos a sus órdenes, enviándole un cordial saludo.</w:t>
      </w:r>
    </w:p>
    <w:p w14:paraId="4CDE14F7" w14:textId="77777777" w:rsidR="0030714A" w:rsidRPr="00D948D9" w:rsidRDefault="0030714A" w:rsidP="0030714A">
      <w:pPr>
        <w:pStyle w:val="Prrafodelista"/>
        <w:rPr>
          <w:rFonts w:ascii="Palatino Linotype" w:hAnsi="Palatino Linotype" w:cs="Arial"/>
          <w:i/>
          <w:sz w:val="24"/>
        </w:rPr>
      </w:pPr>
      <w:r w:rsidRPr="00D948D9">
        <w:rPr>
          <w:rFonts w:ascii="Palatino Linotype" w:hAnsi="Palatino Linotype" w:cs="Arial"/>
          <w:i/>
          <w:sz w:val="24"/>
        </w:rPr>
        <w:t>ATENTAMENTE</w:t>
      </w:r>
    </w:p>
    <w:p w14:paraId="5E20321E" w14:textId="09675B3C" w:rsidR="00AF085A" w:rsidRPr="00D948D9" w:rsidRDefault="0030714A" w:rsidP="0030714A">
      <w:pPr>
        <w:pStyle w:val="Prrafodelista"/>
        <w:rPr>
          <w:rFonts w:ascii="Palatino Linotype" w:hAnsi="Palatino Linotype" w:cs="Arial"/>
          <w:i/>
          <w:sz w:val="24"/>
        </w:rPr>
      </w:pPr>
      <w:r w:rsidRPr="00D948D9">
        <w:rPr>
          <w:rFonts w:ascii="Palatino Linotype" w:hAnsi="Palatino Linotype" w:cs="Arial"/>
          <w:i/>
          <w:sz w:val="24"/>
        </w:rPr>
        <w:t>LIC. Jasmin Arlet Sánchez Gutiérrez” (sic)</w:t>
      </w:r>
    </w:p>
    <w:p w14:paraId="2096EB0A" w14:textId="77777777" w:rsidR="0030714A" w:rsidRPr="00D948D9" w:rsidRDefault="0030714A" w:rsidP="0030714A">
      <w:pPr>
        <w:pStyle w:val="Prrafodelista"/>
        <w:rPr>
          <w:rFonts w:ascii="Palatino Linotype" w:eastAsia="Calibri" w:hAnsi="Palatino Linotype" w:cs="Arial"/>
          <w:sz w:val="24"/>
          <w:lang w:val="es-AR"/>
        </w:rPr>
      </w:pPr>
    </w:p>
    <w:p w14:paraId="2A67BAB4" w14:textId="55439613" w:rsidR="0030714A" w:rsidRPr="00D948D9" w:rsidRDefault="0030714A"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D948D9">
        <w:rPr>
          <w:rFonts w:ascii="Palatino Linotype" w:hAnsi="Palatino Linotype" w:cs="Arial"/>
          <w:sz w:val="24"/>
        </w:rPr>
        <w:t>El Sujeto Obligado adjuntó los documentos electrónicos que a continuación se enuncian:</w:t>
      </w:r>
    </w:p>
    <w:p w14:paraId="02BA32A0" w14:textId="77777777" w:rsidR="0030714A" w:rsidRPr="00D948D9" w:rsidRDefault="0030714A" w:rsidP="0030714A">
      <w:pPr>
        <w:pStyle w:val="Prrafodelista"/>
        <w:spacing w:before="240" w:after="240" w:line="360" w:lineRule="auto"/>
        <w:ind w:left="0"/>
        <w:jc w:val="both"/>
        <w:rPr>
          <w:rFonts w:ascii="Palatino Linotype" w:hAnsi="Palatino Linotype" w:cs="Arial"/>
          <w:i/>
          <w:sz w:val="24"/>
        </w:rPr>
      </w:pPr>
    </w:p>
    <w:p w14:paraId="064F607D" w14:textId="491825FF" w:rsidR="0030714A" w:rsidRPr="00D948D9" w:rsidRDefault="0030714A" w:rsidP="0030714A">
      <w:pPr>
        <w:pStyle w:val="Prrafodelista"/>
        <w:numPr>
          <w:ilvl w:val="0"/>
          <w:numId w:val="35"/>
        </w:numPr>
        <w:spacing w:before="240" w:after="240" w:line="360" w:lineRule="auto"/>
        <w:ind w:left="567"/>
        <w:jc w:val="both"/>
        <w:rPr>
          <w:rFonts w:ascii="Palatino Linotype" w:hAnsi="Palatino Linotype" w:cs="Arial"/>
          <w:b/>
          <w:i/>
          <w:sz w:val="24"/>
        </w:rPr>
      </w:pPr>
      <w:r w:rsidRPr="00D948D9">
        <w:rPr>
          <w:rFonts w:ascii="Palatino Linotype" w:hAnsi="Palatino Linotype" w:cs="Arial"/>
          <w:b/>
          <w:i/>
          <w:sz w:val="24"/>
        </w:rPr>
        <w:lastRenderedPageBreak/>
        <w:t xml:space="preserve">BASES DE DATOS PERSONALES.pdf: </w:t>
      </w:r>
      <w:r w:rsidRPr="00D948D9">
        <w:rPr>
          <w:rFonts w:ascii="Palatino Linotype" w:hAnsi="Palatino Linotype" w:cs="Arial"/>
          <w:sz w:val="24"/>
        </w:rPr>
        <w:t>Documento que contiene un recuadro que contiene el listado de bases de datos, con información referente a nombre de la base de datos, el tipo (física o electrónica), fin y usos y datos contenidos.</w:t>
      </w:r>
    </w:p>
    <w:p w14:paraId="61FA5A0E" w14:textId="77777777" w:rsidR="0030714A" w:rsidRPr="00D948D9" w:rsidRDefault="0030714A" w:rsidP="0030714A">
      <w:pPr>
        <w:pStyle w:val="Prrafodelista"/>
        <w:spacing w:before="240" w:after="240" w:line="360" w:lineRule="auto"/>
        <w:ind w:left="567"/>
        <w:jc w:val="both"/>
        <w:rPr>
          <w:rFonts w:ascii="Palatino Linotype" w:hAnsi="Palatino Linotype" w:cs="Arial"/>
          <w:b/>
          <w:i/>
          <w:sz w:val="24"/>
        </w:rPr>
      </w:pPr>
    </w:p>
    <w:p w14:paraId="2E354572" w14:textId="295E0E0F" w:rsidR="0030714A" w:rsidRPr="00D948D9" w:rsidRDefault="0030714A" w:rsidP="0030714A">
      <w:pPr>
        <w:pStyle w:val="Prrafodelista"/>
        <w:numPr>
          <w:ilvl w:val="0"/>
          <w:numId w:val="35"/>
        </w:numPr>
        <w:spacing w:before="240" w:after="240" w:line="360" w:lineRule="auto"/>
        <w:ind w:left="567"/>
        <w:jc w:val="both"/>
        <w:rPr>
          <w:rFonts w:ascii="Palatino Linotype" w:hAnsi="Palatino Linotype" w:cs="Arial"/>
          <w:b/>
          <w:i/>
          <w:sz w:val="24"/>
        </w:rPr>
      </w:pPr>
      <w:r w:rsidRPr="00D948D9">
        <w:rPr>
          <w:rFonts w:ascii="Palatino Linotype" w:hAnsi="Palatino Linotype" w:cs="Arial"/>
          <w:b/>
          <w:i/>
          <w:sz w:val="24"/>
        </w:rPr>
        <w:t xml:space="preserve">Sistema de Gestión.pdf: </w:t>
      </w:r>
      <w:r w:rsidRPr="00D948D9">
        <w:rPr>
          <w:rFonts w:ascii="Palatino Linotype" w:hAnsi="Palatino Linotype" w:cs="Arial"/>
          <w:sz w:val="24"/>
        </w:rPr>
        <w:t>Contiene el Sistema de Gestión de Seguridad de Protección de Datos Personales del Sistema Municipal para el Desarrollo Integral de la Familia de Toluca.</w:t>
      </w:r>
    </w:p>
    <w:p w14:paraId="184E29D2" w14:textId="77777777" w:rsidR="0030714A" w:rsidRPr="00D948D9" w:rsidRDefault="0030714A" w:rsidP="0030714A">
      <w:pPr>
        <w:pStyle w:val="Prrafodelista"/>
        <w:rPr>
          <w:rFonts w:ascii="Palatino Linotype" w:hAnsi="Palatino Linotype" w:cs="Arial"/>
          <w:b/>
          <w:i/>
          <w:sz w:val="24"/>
        </w:rPr>
      </w:pPr>
    </w:p>
    <w:p w14:paraId="4CB5FC6E" w14:textId="22D164B0" w:rsidR="0030714A" w:rsidRPr="00D948D9" w:rsidRDefault="0030714A" w:rsidP="0030714A">
      <w:pPr>
        <w:pStyle w:val="Prrafodelista"/>
        <w:numPr>
          <w:ilvl w:val="0"/>
          <w:numId w:val="35"/>
        </w:numPr>
        <w:spacing w:before="240" w:after="240" w:line="360" w:lineRule="auto"/>
        <w:ind w:left="567"/>
        <w:jc w:val="both"/>
        <w:rPr>
          <w:rFonts w:ascii="Palatino Linotype" w:hAnsi="Palatino Linotype" w:cs="Arial"/>
          <w:b/>
          <w:i/>
          <w:sz w:val="24"/>
        </w:rPr>
      </w:pPr>
      <w:r w:rsidRPr="00D948D9">
        <w:rPr>
          <w:rFonts w:ascii="Palatino Linotype" w:hAnsi="Palatino Linotype" w:cs="Arial"/>
          <w:b/>
          <w:i/>
          <w:sz w:val="24"/>
        </w:rPr>
        <w:t xml:space="preserve">OR 0054-2022.pdf: Documento suscrito por la Unidad de Transparencia mediante el cual </w:t>
      </w:r>
      <w:r w:rsidR="00A612EB" w:rsidRPr="00D948D9">
        <w:rPr>
          <w:rFonts w:ascii="Palatino Linotype" w:hAnsi="Palatino Linotype" w:cs="Arial"/>
          <w:b/>
          <w:i/>
          <w:sz w:val="24"/>
        </w:rPr>
        <w:t>refiere lo siguiente:</w:t>
      </w:r>
    </w:p>
    <w:p w14:paraId="4E987C77" w14:textId="77777777" w:rsidR="00A612EB" w:rsidRPr="00D948D9" w:rsidRDefault="00A612EB" w:rsidP="00A612EB">
      <w:pPr>
        <w:pStyle w:val="Prrafodelista"/>
        <w:rPr>
          <w:rFonts w:ascii="Palatino Linotype" w:hAnsi="Palatino Linotype" w:cs="Arial"/>
          <w:b/>
          <w:i/>
          <w:sz w:val="24"/>
        </w:rPr>
      </w:pPr>
    </w:p>
    <w:p w14:paraId="561068FC" w14:textId="4DCCDB8B" w:rsidR="00A612EB" w:rsidRPr="00D948D9" w:rsidRDefault="00A612EB" w:rsidP="00A612EB">
      <w:pPr>
        <w:pStyle w:val="Prrafodelista"/>
        <w:numPr>
          <w:ilvl w:val="0"/>
          <w:numId w:val="36"/>
        </w:numPr>
        <w:spacing w:before="240" w:after="240" w:line="360" w:lineRule="auto"/>
        <w:ind w:left="993"/>
        <w:jc w:val="both"/>
        <w:rPr>
          <w:rFonts w:ascii="Palatino Linotype" w:hAnsi="Palatino Linotype" w:cs="Arial"/>
          <w:sz w:val="24"/>
        </w:rPr>
      </w:pPr>
      <w:r w:rsidRPr="00D948D9">
        <w:rPr>
          <w:rFonts w:ascii="Palatino Linotype" w:hAnsi="Palatino Linotype" w:cs="Arial"/>
          <w:sz w:val="24"/>
        </w:rPr>
        <w:t>Se entrega la relación de Cédulas de los Sistemas de Datos Personales que administra el Sujeto Obligado, actualizadas conforme a lo que dispone el artículo 37 de la Ley de Protección de Datos Personales en Posesión de los Sujetos Obligados del Estado de México y Municipios;</w:t>
      </w:r>
    </w:p>
    <w:p w14:paraId="470F3BD6" w14:textId="1BBA3750" w:rsidR="00A612EB" w:rsidRPr="00D948D9" w:rsidRDefault="00A612EB" w:rsidP="00A612EB">
      <w:pPr>
        <w:pStyle w:val="Prrafodelista"/>
        <w:numPr>
          <w:ilvl w:val="0"/>
          <w:numId w:val="36"/>
        </w:numPr>
        <w:spacing w:before="240" w:after="240" w:line="360" w:lineRule="auto"/>
        <w:ind w:left="993"/>
        <w:jc w:val="both"/>
        <w:rPr>
          <w:rFonts w:ascii="Palatino Linotype" w:hAnsi="Palatino Linotype" w:cs="Arial"/>
          <w:sz w:val="24"/>
        </w:rPr>
      </w:pPr>
      <w:r w:rsidRPr="00D948D9">
        <w:rPr>
          <w:rFonts w:ascii="Palatino Linotype" w:hAnsi="Palatino Linotype" w:cs="Arial"/>
          <w:sz w:val="24"/>
        </w:rPr>
        <w:t>El Documento de Seguridad es clasificado como confidencial, de acuerdo al artículo 43 de la Ley de Protección de Datos Local;</w:t>
      </w:r>
    </w:p>
    <w:p w14:paraId="51E8C324" w14:textId="58A89630" w:rsidR="00A612EB" w:rsidRPr="00D948D9" w:rsidRDefault="00A612EB" w:rsidP="00A612EB">
      <w:pPr>
        <w:pStyle w:val="Prrafodelista"/>
        <w:numPr>
          <w:ilvl w:val="0"/>
          <w:numId w:val="36"/>
        </w:numPr>
        <w:spacing w:before="240" w:after="240" w:line="360" w:lineRule="auto"/>
        <w:ind w:left="993"/>
        <w:jc w:val="both"/>
        <w:rPr>
          <w:rFonts w:ascii="Palatino Linotype" w:hAnsi="Palatino Linotype" w:cs="Arial"/>
          <w:sz w:val="24"/>
        </w:rPr>
      </w:pPr>
      <w:r w:rsidRPr="00D948D9">
        <w:rPr>
          <w:rFonts w:ascii="Palatino Linotype" w:hAnsi="Palatino Linotype" w:cs="Arial"/>
          <w:sz w:val="24"/>
        </w:rPr>
        <w:t xml:space="preserve">Los avisos de privacidad integrales y simplificados se encuentran publicados en la dirección electrónica </w:t>
      </w:r>
      <w:hyperlink r:id="rId9" w:history="1">
        <w:r w:rsidRPr="00D948D9">
          <w:rPr>
            <w:rStyle w:val="Hipervnculo"/>
            <w:rFonts w:ascii="Palatino Linotype" w:hAnsi="Palatino Linotype" w:cs="Arial"/>
            <w:sz w:val="24"/>
          </w:rPr>
          <w:t>https://diftoluca.gob.mx/Paginas/Transparencia/AvisosPrivacidad/index.php</w:t>
        </w:r>
      </w:hyperlink>
    </w:p>
    <w:p w14:paraId="2DB73272" w14:textId="4236CAF0" w:rsidR="00A612EB" w:rsidRPr="00D948D9" w:rsidRDefault="00A612EB" w:rsidP="00A612EB">
      <w:pPr>
        <w:pStyle w:val="Prrafodelista"/>
        <w:numPr>
          <w:ilvl w:val="0"/>
          <w:numId w:val="36"/>
        </w:numPr>
        <w:spacing w:before="240" w:after="240" w:line="360" w:lineRule="auto"/>
        <w:ind w:left="993"/>
        <w:jc w:val="both"/>
        <w:rPr>
          <w:rFonts w:ascii="Palatino Linotype" w:hAnsi="Palatino Linotype" w:cs="Arial"/>
          <w:b/>
          <w:i/>
          <w:sz w:val="24"/>
        </w:rPr>
      </w:pPr>
      <w:r w:rsidRPr="00D948D9">
        <w:rPr>
          <w:rFonts w:ascii="Palatino Linotype" w:hAnsi="Palatino Linotype" w:cs="Arial"/>
          <w:b/>
          <w:i/>
          <w:sz w:val="24"/>
        </w:rPr>
        <w:lastRenderedPageBreak/>
        <w:t>Se adjunta como anexo el Sistema de Gestión de Seguridad de Protección de Datos Personales del Sistema Municipal para el Desarrollo Integral de la Familia de Toluca.</w:t>
      </w:r>
    </w:p>
    <w:p w14:paraId="13C5E54C" w14:textId="77777777" w:rsidR="0030714A" w:rsidRPr="00D948D9" w:rsidRDefault="0030714A" w:rsidP="0030714A">
      <w:pPr>
        <w:pStyle w:val="Prrafodelista"/>
        <w:rPr>
          <w:rFonts w:ascii="Palatino Linotype" w:hAnsi="Palatino Linotype" w:cs="Arial"/>
          <w:b/>
          <w:i/>
          <w:sz w:val="24"/>
        </w:rPr>
      </w:pPr>
    </w:p>
    <w:p w14:paraId="51DB6525" w14:textId="7EEB1DCB" w:rsidR="0030714A" w:rsidRPr="00D948D9" w:rsidRDefault="0030714A" w:rsidP="0030714A">
      <w:pPr>
        <w:pStyle w:val="Prrafodelista"/>
        <w:numPr>
          <w:ilvl w:val="0"/>
          <w:numId w:val="34"/>
        </w:numPr>
        <w:spacing w:before="240" w:after="240" w:line="360" w:lineRule="auto"/>
        <w:ind w:left="567"/>
        <w:jc w:val="both"/>
        <w:rPr>
          <w:rFonts w:ascii="Palatino Linotype" w:hAnsi="Palatino Linotype" w:cs="Arial"/>
          <w:b/>
          <w:i/>
          <w:sz w:val="24"/>
        </w:rPr>
      </w:pPr>
      <w:r w:rsidRPr="00D948D9">
        <w:rPr>
          <w:rFonts w:ascii="Palatino Linotype" w:hAnsi="Palatino Linotype" w:cs="Arial"/>
          <w:b/>
          <w:i/>
          <w:sz w:val="24"/>
        </w:rPr>
        <w:t>Acuerdo SMDT-CT-E1-22-03,119.pdf</w:t>
      </w:r>
      <w:r w:rsidR="00A612EB" w:rsidRPr="00D948D9">
        <w:rPr>
          <w:rFonts w:ascii="Palatino Linotype" w:hAnsi="Palatino Linotype" w:cs="Arial"/>
          <w:b/>
          <w:i/>
          <w:sz w:val="24"/>
        </w:rPr>
        <w:t>: Contiene un fragmento de la Primera Sesión Extraordinaria del Comité de Transparencia que contiene el acuerdo mediante el cual se confirma la clasificación total del Documento de Seguridad de las bases de datos personales.</w:t>
      </w:r>
    </w:p>
    <w:p w14:paraId="638FFDA7" w14:textId="77777777" w:rsidR="00A612EB" w:rsidRPr="00D948D9" w:rsidRDefault="00A612EB" w:rsidP="00A612EB">
      <w:pPr>
        <w:pStyle w:val="Prrafodelista"/>
        <w:spacing w:before="240" w:after="240" w:line="360" w:lineRule="auto"/>
        <w:ind w:left="0"/>
        <w:jc w:val="both"/>
        <w:rPr>
          <w:rFonts w:ascii="Palatino Linotype" w:hAnsi="Palatino Linotype" w:cs="Arial"/>
          <w:i/>
          <w:sz w:val="24"/>
        </w:rPr>
      </w:pPr>
    </w:p>
    <w:p w14:paraId="518CDCD9" w14:textId="6A3A4DA2" w:rsidR="005000AA" w:rsidRPr="00D948D9" w:rsidRDefault="002A4AE4"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D948D9">
        <w:rPr>
          <w:rFonts w:ascii="Palatino Linotype" w:eastAsia="Calibri" w:hAnsi="Palatino Linotype" w:cs="Arial"/>
          <w:sz w:val="24"/>
          <w:lang w:val="es-AR"/>
        </w:rPr>
        <w:t xml:space="preserve">El </w:t>
      </w:r>
      <w:r w:rsidR="00A612EB" w:rsidRPr="00D948D9">
        <w:rPr>
          <w:rFonts w:ascii="Palatino Linotype" w:eastAsia="Calibri" w:hAnsi="Palatino Linotype" w:cs="Arial"/>
          <w:sz w:val="24"/>
          <w:lang w:val="es-AR"/>
        </w:rPr>
        <w:t>quince</w:t>
      </w:r>
      <w:r w:rsidR="00A871C4" w:rsidRPr="00D948D9">
        <w:rPr>
          <w:rFonts w:ascii="Palatino Linotype" w:eastAsia="Calibri" w:hAnsi="Palatino Linotype" w:cs="Arial"/>
          <w:sz w:val="24"/>
          <w:lang w:val="es-AR"/>
        </w:rPr>
        <w:t xml:space="preserve"> </w:t>
      </w:r>
      <w:r w:rsidR="00D74DC2" w:rsidRPr="00D948D9">
        <w:rPr>
          <w:rFonts w:ascii="Palatino Linotype" w:eastAsia="Calibri" w:hAnsi="Palatino Linotype" w:cs="Arial"/>
          <w:sz w:val="24"/>
          <w:lang w:val="es-AR"/>
        </w:rPr>
        <w:t>(</w:t>
      </w:r>
      <w:r w:rsidR="00A612EB" w:rsidRPr="00D948D9">
        <w:rPr>
          <w:rFonts w:ascii="Palatino Linotype" w:eastAsia="Calibri" w:hAnsi="Palatino Linotype" w:cs="Arial"/>
          <w:sz w:val="24"/>
          <w:lang w:val="es-AR"/>
        </w:rPr>
        <w:t>15</w:t>
      </w:r>
      <w:r w:rsidR="00D74DC2" w:rsidRPr="00D948D9">
        <w:rPr>
          <w:rFonts w:ascii="Palatino Linotype" w:eastAsia="Calibri" w:hAnsi="Palatino Linotype" w:cs="Arial"/>
          <w:sz w:val="24"/>
          <w:lang w:val="es-AR"/>
        </w:rPr>
        <w:t>)</w:t>
      </w:r>
      <w:r w:rsidR="005000AA" w:rsidRPr="00D948D9">
        <w:rPr>
          <w:rFonts w:ascii="Palatino Linotype" w:eastAsia="Calibri" w:hAnsi="Palatino Linotype" w:cs="Arial"/>
          <w:sz w:val="24"/>
          <w:lang w:val="es-AR"/>
        </w:rPr>
        <w:t xml:space="preserve"> </w:t>
      </w:r>
      <w:r w:rsidR="00A871C4" w:rsidRPr="00D948D9">
        <w:rPr>
          <w:rFonts w:ascii="Palatino Linotype" w:eastAsia="Calibri" w:hAnsi="Palatino Linotype" w:cs="Arial"/>
          <w:sz w:val="24"/>
          <w:lang w:val="es-AR"/>
        </w:rPr>
        <w:t xml:space="preserve">de </w:t>
      </w:r>
      <w:r w:rsidR="00A612EB" w:rsidRPr="00D948D9">
        <w:rPr>
          <w:rFonts w:ascii="Palatino Linotype" w:eastAsia="Calibri" w:hAnsi="Palatino Linotype" w:cs="Arial"/>
          <w:sz w:val="24"/>
          <w:lang w:val="es-AR"/>
        </w:rPr>
        <w:t>agosto</w:t>
      </w:r>
      <w:r w:rsidR="00D74DC2" w:rsidRPr="00D948D9">
        <w:rPr>
          <w:rFonts w:ascii="Palatino Linotype" w:eastAsia="Calibri" w:hAnsi="Palatino Linotype" w:cs="Arial"/>
          <w:sz w:val="24"/>
          <w:lang w:val="es-AR"/>
        </w:rPr>
        <w:t xml:space="preserve"> </w:t>
      </w:r>
      <w:r w:rsidR="005000AA" w:rsidRPr="00D948D9">
        <w:rPr>
          <w:rFonts w:ascii="Palatino Linotype" w:eastAsia="Calibri" w:hAnsi="Palatino Linotype" w:cs="Arial"/>
          <w:sz w:val="24"/>
          <w:lang w:val="es-AR"/>
        </w:rPr>
        <w:t>de</w:t>
      </w:r>
      <w:r w:rsidR="005000AA" w:rsidRPr="00D948D9">
        <w:rPr>
          <w:rFonts w:ascii="Palatino Linotype" w:hAnsi="Palatino Linotype" w:cs="Arial"/>
          <w:sz w:val="24"/>
          <w:lang w:val="es-ES"/>
        </w:rPr>
        <w:t xml:space="preserve"> dos mil veinti</w:t>
      </w:r>
      <w:r w:rsidR="0021453D" w:rsidRPr="00D948D9">
        <w:rPr>
          <w:rFonts w:ascii="Palatino Linotype" w:hAnsi="Palatino Linotype" w:cs="Arial"/>
          <w:sz w:val="24"/>
          <w:lang w:val="es-ES"/>
        </w:rPr>
        <w:t>dós</w:t>
      </w:r>
      <w:r w:rsidR="005000AA" w:rsidRPr="00D948D9">
        <w:rPr>
          <w:rFonts w:ascii="Palatino Linotype" w:hAnsi="Palatino Linotype" w:cs="Arial"/>
          <w:sz w:val="24"/>
          <w:lang w:val="es-ES"/>
        </w:rPr>
        <w:t xml:space="preserve">, </w:t>
      </w:r>
      <w:r w:rsidR="005000AA" w:rsidRPr="00D948D9">
        <w:rPr>
          <w:rFonts w:ascii="Palatino Linotype" w:hAnsi="Palatino Linotype"/>
          <w:b/>
          <w:sz w:val="24"/>
        </w:rPr>
        <w:t>EL RECURRENTE</w:t>
      </w:r>
      <w:r w:rsidR="005000AA" w:rsidRPr="00D948D9">
        <w:rPr>
          <w:rFonts w:ascii="Palatino Linotype" w:hAnsi="Palatino Linotype" w:cs="Arial"/>
          <w:sz w:val="24"/>
          <w:lang w:val="es-ES"/>
        </w:rPr>
        <w:t xml:space="preserve"> interpuso </w:t>
      </w:r>
      <w:r w:rsidR="00411CE7" w:rsidRPr="00D948D9">
        <w:rPr>
          <w:rFonts w:ascii="Palatino Linotype" w:hAnsi="Palatino Linotype" w:cs="Arial"/>
          <w:sz w:val="24"/>
          <w:lang w:val="es-ES"/>
        </w:rPr>
        <w:t>el</w:t>
      </w:r>
      <w:r w:rsidR="005000AA" w:rsidRPr="00D948D9">
        <w:rPr>
          <w:rFonts w:ascii="Palatino Linotype" w:hAnsi="Palatino Linotype" w:cs="Arial"/>
          <w:sz w:val="24"/>
          <w:lang w:val="es-ES"/>
        </w:rPr>
        <w:t xml:space="preserve"> recurso de revisión, en contra de la respuesta</w:t>
      </w:r>
      <w:r w:rsidR="00411CE7" w:rsidRPr="00D948D9">
        <w:rPr>
          <w:rFonts w:ascii="Palatino Linotype" w:hAnsi="Palatino Linotype" w:cs="Arial"/>
          <w:sz w:val="24"/>
          <w:lang w:val="es-ES"/>
        </w:rPr>
        <w:t xml:space="preserve"> y</w:t>
      </w:r>
      <w:r w:rsidR="005000AA" w:rsidRPr="00D948D9">
        <w:rPr>
          <w:rFonts w:ascii="Palatino Linotype" w:hAnsi="Palatino Linotype" w:cs="Arial"/>
          <w:sz w:val="24"/>
          <w:lang w:val="es-ES"/>
        </w:rPr>
        <w:t xml:space="preserve"> señaló</w:t>
      </w:r>
      <w:r w:rsidR="00411CE7" w:rsidRPr="00D948D9">
        <w:rPr>
          <w:rFonts w:ascii="Palatino Linotype" w:hAnsi="Palatino Linotype" w:cs="Arial"/>
          <w:sz w:val="24"/>
          <w:lang w:val="es-ES"/>
        </w:rPr>
        <w:t xml:space="preserve"> </w:t>
      </w:r>
      <w:r w:rsidR="005000AA" w:rsidRPr="00D948D9">
        <w:rPr>
          <w:rFonts w:ascii="Palatino Linotype" w:hAnsi="Palatino Linotype" w:cs="Arial"/>
          <w:sz w:val="24"/>
          <w:lang w:val="es-ES"/>
        </w:rPr>
        <w:t>como:</w:t>
      </w:r>
      <w:bookmarkStart w:id="1" w:name="_Toc462307683"/>
      <w:bookmarkStart w:id="2" w:name="_Toc472427085"/>
      <w:bookmarkStart w:id="3" w:name="_Toc472500652"/>
    </w:p>
    <w:p w14:paraId="4BAC304F" w14:textId="77777777" w:rsidR="00F714A9" w:rsidRPr="00D948D9" w:rsidRDefault="00F714A9" w:rsidP="005000AA">
      <w:pPr>
        <w:pStyle w:val="Prrafodelista"/>
        <w:rPr>
          <w:rFonts w:ascii="Palatino Linotype" w:eastAsia="Calibri" w:hAnsi="Palatino Linotype" w:cs="Tahoma"/>
          <w:b/>
          <w:sz w:val="24"/>
          <w:lang w:eastAsia="en-US"/>
        </w:rPr>
      </w:pPr>
    </w:p>
    <w:p w14:paraId="137ACA93" w14:textId="665292E6" w:rsidR="00F714A9" w:rsidRPr="00D948D9" w:rsidRDefault="00F714A9" w:rsidP="00F714A9">
      <w:pPr>
        <w:pStyle w:val="Prrafodelista"/>
        <w:spacing w:line="360" w:lineRule="auto"/>
        <w:jc w:val="both"/>
        <w:rPr>
          <w:rFonts w:ascii="Palatino Linotype" w:hAnsi="Palatino Linotype"/>
          <w:bCs/>
          <w:i/>
          <w:iCs/>
          <w:sz w:val="24"/>
        </w:rPr>
      </w:pPr>
      <w:r w:rsidRPr="00D948D9">
        <w:rPr>
          <w:rFonts w:ascii="Palatino Linotype" w:hAnsi="Palatino Linotype"/>
          <w:b/>
          <w:sz w:val="24"/>
        </w:rPr>
        <w:t xml:space="preserve">Acto impugnado: </w:t>
      </w:r>
      <w:r w:rsidRPr="00D948D9">
        <w:rPr>
          <w:rFonts w:ascii="Palatino Linotype" w:hAnsi="Palatino Linotype"/>
          <w:bCs/>
          <w:i/>
          <w:iCs/>
          <w:sz w:val="24"/>
        </w:rPr>
        <w:t>“</w:t>
      </w:r>
      <w:r w:rsidR="00A612EB" w:rsidRPr="00D948D9">
        <w:rPr>
          <w:rFonts w:ascii="Palatino Linotype" w:hAnsi="Palatino Linotype"/>
          <w:bCs/>
          <w:i/>
          <w:iCs/>
          <w:sz w:val="24"/>
        </w:rPr>
        <w:t>No entrega la información todo parace ser con dolo qué hace el Infoem para garantizar nuestro derecho</w:t>
      </w:r>
      <w:r w:rsidRPr="00D948D9">
        <w:rPr>
          <w:rFonts w:ascii="Palatino Linotype" w:hAnsi="Palatino Linotype"/>
          <w:bCs/>
          <w:i/>
          <w:iCs/>
          <w:sz w:val="24"/>
        </w:rPr>
        <w:t>”</w:t>
      </w:r>
      <w:r w:rsidR="00B83EE1" w:rsidRPr="00D948D9">
        <w:rPr>
          <w:rFonts w:ascii="Palatino Linotype" w:hAnsi="Palatino Linotype"/>
          <w:bCs/>
          <w:i/>
          <w:iCs/>
          <w:sz w:val="24"/>
        </w:rPr>
        <w:t xml:space="preserve"> (sic)</w:t>
      </w:r>
    </w:p>
    <w:p w14:paraId="67187D0D" w14:textId="77777777" w:rsidR="001A0283" w:rsidRPr="00D948D9" w:rsidRDefault="001A0283" w:rsidP="00F714A9">
      <w:pPr>
        <w:pStyle w:val="Prrafodelista"/>
        <w:spacing w:line="360" w:lineRule="auto"/>
        <w:jc w:val="both"/>
        <w:rPr>
          <w:rFonts w:ascii="Palatino Linotype" w:hAnsi="Palatino Linotype" w:cstheme="minorBidi"/>
          <w:bCs/>
          <w:i/>
          <w:iCs/>
          <w:sz w:val="24"/>
        </w:rPr>
      </w:pPr>
    </w:p>
    <w:p w14:paraId="0F38B6A1" w14:textId="03C7371D" w:rsidR="001A0283" w:rsidRPr="00D948D9" w:rsidRDefault="00ED737F" w:rsidP="00ED737F">
      <w:pPr>
        <w:pStyle w:val="Prrafodelista"/>
        <w:spacing w:line="360" w:lineRule="auto"/>
        <w:jc w:val="both"/>
        <w:rPr>
          <w:rFonts w:ascii="Palatino Linotype" w:hAnsi="Palatino Linotype"/>
          <w:b/>
          <w:sz w:val="24"/>
        </w:rPr>
      </w:pPr>
      <w:r w:rsidRPr="00D948D9">
        <w:rPr>
          <w:rFonts w:ascii="Palatino Linotype" w:hAnsi="Palatino Linotype"/>
          <w:b/>
          <w:sz w:val="24"/>
        </w:rPr>
        <w:t>Motivos o razones de inconformidad</w:t>
      </w:r>
      <w:r w:rsidR="001A0283" w:rsidRPr="00D948D9">
        <w:rPr>
          <w:rFonts w:ascii="Palatino Linotype" w:hAnsi="Palatino Linotype"/>
          <w:b/>
          <w:sz w:val="24"/>
        </w:rPr>
        <w:t>: “</w:t>
      </w:r>
      <w:r w:rsidR="00A612EB" w:rsidRPr="00D948D9">
        <w:rPr>
          <w:rFonts w:ascii="Palatino Linotype" w:hAnsi="Palatino Linotype"/>
          <w:bCs/>
          <w:i/>
          <w:iCs/>
          <w:sz w:val="24"/>
        </w:rPr>
        <w:t>No entrega la información</w:t>
      </w:r>
      <w:r w:rsidR="001A0283" w:rsidRPr="00D948D9">
        <w:rPr>
          <w:rFonts w:ascii="Palatino Linotype" w:hAnsi="Palatino Linotype" w:cstheme="minorBidi"/>
          <w:bCs/>
          <w:i/>
          <w:iCs/>
          <w:sz w:val="24"/>
        </w:rPr>
        <w:t>” (sic)</w:t>
      </w:r>
    </w:p>
    <w:p w14:paraId="7CE208EC" w14:textId="77777777" w:rsidR="001A0283" w:rsidRPr="00D948D9" w:rsidRDefault="001A0283" w:rsidP="00F714A9">
      <w:pPr>
        <w:pStyle w:val="Prrafodelista"/>
        <w:spacing w:line="360" w:lineRule="auto"/>
        <w:jc w:val="both"/>
        <w:rPr>
          <w:rFonts w:ascii="Palatino Linotype" w:hAnsi="Palatino Linotype" w:cstheme="minorBidi"/>
          <w:bCs/>
          <w:i/>
          <w:iCs/>
          <w:sz w:val="24"/>
        </w:rPr>
      </w:pPr>
    </w:p>
    <w:bookmarkEnd w:id="1"/>
    <w:bookmarkEnd w:id="2"/>
    <w:bookmarkEnd w:id="3"/>
    <w:p w14:paraId="5BE2AC11" w14:textId="405AC137" w:rsidR="005000AA" w:rsidRPr="00D948D9"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D948D9">
        <w:rPr>
          <w:rFonts w:ascii="Palatino Linotype" w:hAnsi="Palatino Linotype" w:cs="Arial"/>
          <w:sz w:val="24"/>
          <w:lang w:val="es-ES"/>
        </w:rPr>
        <w:t>Se regist</w:t>
      </w:r>
      <w:r w:rsidR="00043374" w:rsidRPr="00D948D9">
        <w:rPr>
          <w:rFonts w:ascii="Palatino Linotype" w:hAnsi="Palatino Linotype" w:cs="Arial"/>
          <w:sz w:val="24"/>
          <w:lang w:val="es-ES"/>
        </w:rPr>
        <w:t>raron</w:t>
      </w:r>
      <w:r w:rsidRPr="00D948D9">
        <w:rPr>
          <w:rFonts w:ascii="Palatino Linotype" w:hAnsi="Palatino Linotype" w:cs="Arial"/>
          <w:sz w:val="24"/>
          <w:lang w:val="es-ES"/>
        </w:rPr>
        <w:t xml:space="preserve"> </w:t>
      </w:r>
      <w:r w:rsidR="00043374" w:rsidRPr="00D948D9">
        <w:rPr>
          <w:rFonts w:ascii="Palatino Linotype" w:hAnsi="Palatino Linotype" w:cs="Arial"/>
          <w:sz w:val="24"/>
          <w:lang w:val="es-ES"/>
        </w:rPr>
        <w:t>los</w:t>
      </w:r>
      <w:r w:rsidRPr="00D948D9">
        <w:rPr>
          <w:rFonts w:ascii="Palatino Linotype" w:hAnsi="Palatino Linotype" w:cs="Arial"/>
          <w:sz w:val="24"/>
          <w:lang w:val="es-ES"/>
        </w:rPr>
        <w:t xml:space="preserve"> recurso</w:t>
      </w:r>
      <w:r w:rsidR="00043374" w:rsidRPr="00D948D9">
        <w:rPr>
          <w:rFonts w:ascii="Palatino Linotype" w:hAnsi="Palatino Linotype" w:cs="Arial"/>
          <w:sz w:val="24"/>
          <w:lang w:val="es-ES"/>
        </w:rPr>
        <w:t>s</w:t>
      </w:r>
      <w:r w:rsidRPr="00D948D9">
        <w:rPr>
          <w:rFonts w:ascii="Palatino Linotype" w:hAnsi="Palatino Linotype" w:cs="Arial"/>
          <w:sz w:val="24"/>
          <w:lang w:val="es-ES"/>
        </w:rPr>
        <w:t xml:space="preserve"> de revisión bajo </w:t>
      </w:r>
      <w:r w:rsidR="00043374" w:rsidRPr="00D948D9">
        <w:rPr>
          <w:rFonts w:ascii="Palatino Linotype" w:hAnsi="Palatino Linotype" w:cs="Arial"/>
          <w:sz w:val="24"/>
          <w:lang w:val="es-ES"/>
        </w:rPr>
        <w:t>los</w:t>
      </w:r>
      <w:r w:rsidRPr="00D948D9">
        <w:rPr>
          <w:rFonts w:ascii="Palatino Linotype" w:hAnsi="Palatino Linotype" w:cs="Arial"/>
          <w:sz w:val="24"/>
          <w:lang w:val="es-ES"/>
        </w:rPr>
        <w:t xml:space="preserve"> número</w:t>
      </w:r>
      <w:r w:rsidR="00043374" w:rsidRPr="00D948D9">
        <w:rPr>
          <w:rFonts w:ascii="Palatino Linotype" w:hAnsi="Palatino Linotype" w:cs="Arial"/>
          <w:sz w:val="24"/>
          <w:lang w:val="es-ES"/>
        </w:rPr>
        <w:t>s</w:t>
      </w:r>
      <w:r w:rsidRPr="00D948D9">
        <w:rPr>
          <w:rFonts w:ascii="Palatino Linotype" w:hAnsi="Palatino Linotype" w:cs="Arial"/>
          <w:sz w:val="24"/>
          <w:lang w:val="es-ES"/>
        </w:rPr>
        <w:t xml:space="preserve"> de expediente </w:t>
      </w:r>
      <w:r w:rsidRPr="00D948D9">
        <w:rPr>
          <w:rFonts w:ascii="Palatino Linotype" w:hAnsi="Palatino Linotype" w:cs="Arial"/>
          <w:bCs/>
          <w:sz w:val="24"/>
        </w:rPr>
        <w:t>al rubro indicado</w:t>
      </w:r>
      <w:r w:rsidR="00043374" w:rsidRPr="00D948D9">
        <w:rPr>
          <w:rFonts w:ascii="Palatino Linotype" w:hAnsi="Palatino Linotype" w:cs="Arial"/>
          <w:bCs/>
          <w:sz w:val="24"/>
        </w:rPr>
        <w:t>s</w:t>
      </w:r>
      <w:r w:rsidRPr="00D948D9">
        <w:rPr>
          <w:rFonts w:ascii="Palatino Linotype" w:hAnsi="Palatino Linotype" w:cs="Arial"/>
          <w:bCs/>
          <w:sz w:val="24"/>
        </w:rPr>
        <w:t xml:space="preserve">, asimismo con fundamento en lo dispuesto por el </w:t>
      </w:r>
      <w:r w:rsidRPr="00D948D9">
        <w:rPr>
          <w:rFonts w:ascii="Palatino Linotype" w:eastAsia="Calibri" w:hAnsi="Palatino Linotype" w:cs="Arial"/>
          <w:sz w:val="24"/>
          <w:lang w:val="es-ES"/>
        </w:rPr>
        <w:t xml:space="preserve">artículo 185 fracción I de la </w:t>
      </w:r>
      <w:r w:rsidRPr="00D948D9">
        <w:rPr>
          <w:rFonts w:ascii="Palatino Linotype" w:eastAsia="Calibri" w:hAnsi="Palatino Linotype" w:cs="Arial"/>
          <w:b/>
          <w:sz w:val="24"/>
          <w:lang w:val="es-ES"/>
        </w:rPr>
        <w:t xml:space="preserve">Ley de Transparencia y Acceso a la Información Pública del Estado de México y </w:t>
      </w:r>
      <w:r w:rsidRPr="00D948D9">
        <w:rPr>
          <w:rFonts w:ascii="Palatino Linotype" w:eastAsia="Calibri" w:hAnsi="Palatino Linotype" w:cs="Arial"/>
          <w:b/>
          <w:sz w:val="24"/>
          <w:lang w:val="es-ES"/>
        </w:rPr>
        <w:lastRenderedPageBreak/>
        <w:t xml:space="preserve">Municipios </w:t>
      </w:r>
      <w:r w:rsidR="00D31521" w:rsidRPr="00D948D9">
        <w:rPr>
          <w:rFonts w:ascii="Palatino Linotype" w:hAnsi="Palatino Linotype" w:cs="Arial"/>
          <w:sz w:val="24"/>
          <w:lang w:val="es-ES"/>
        </w:rPr>
        <w:t>se turnó a</w:t>
      </w:r>
      <w:r w:rsidR="00F942BD" w:rsidRPr="00D948D9">
        <w:rPr>
          <w:rFonts w:ascii="Palatino Linotype" w:hAnsi="Palatino Linotype" w:cs="Arial"/>
          <w:sz w:val="24"/>
          <w:lang w:val="es-ES"/>
        </w:rPr>
        <w:t xml:space="preserve"> </w:t>
      </w:r>
      <w:r w:rsidRPr="00D948D9">
        <w:rPr>
          <w:rFonts w:ascii="Palatino Linotype" w:hAnsi="Palatino Linotype" w:cs="Arial"/>
          <w:sz w:val="24"/>
          <w:lang w:val="es-ES"/>
        </w:rPr>
        <w:t>l</w:t>
      </w:r>
      <w:r w:rsidR="00F942BD" w:rsidRPr="00D948D9">
        <w:rPr>
          <w:rFonts w:ascii="Palatino Linotype" w:hAnsi="Palatino Linotype" w:cs="Arial"/>
          <w:sz w:val="24"/>
          <w:lang w:val="es-ES"/>
        </w:rPr>
        <w:t>a</w:t>
      </w:r>
      <w:r w:rsidRPr="00D948D9">
        <w:rPr>
          <w:rFonts w:ascii="Palatino Linotype" w:hAnsi="Palatino Linotype" w:cs="Arial"/>
          <w:sz w:val="24"/>
          <w:lang w:val="es-ES"/>
        </w:rPr>
        <w:t xml:space="preserve"> </w:t>
      </w:r>
      <w:r w:rsidR="00F942BD" w:rsidRPr="00D948D9">
        <w:rPr>
          <w:rFonts w:ascii="Palatino Linotype" w:hAnsi="Palatino Linotype" w:cs="Arial"/>
          <w:b/>
          <w:sz w:val="24"/>
          <w:lang w:val="es-ES"/>
        </w:rPr>
        <w:t>Comisionada</w:t>
      </w:r>
      <w:r w:rsidRPr="00D948D9">
        <w:rPr>
          <w:rFonts w:ascii="Palatino Linotype" w:hAnsi="Palatino Linotype" w:cs="Arial"/>
          <w:b/>
          <w:sz w:val="24"/>
          <w:lang w:val="es-ES"/>
        </w:rPr>
        <w:t xml:space="preserve"> </w:t>
      </w:r>
      <w:r w:rsidR="00F942BD" w:rsidRPr="00D948D9">
        <w:rPr>
          <w:rFonts w:ascii="Palatino Linotype" w:hAnsi="Palatino Linotype" w:cs="Arial"/>
          <w:b/>
          <w:sz w:val="24"/>
          <w:lang w:val="es-ES"/>
        </w:rPr>
        <w:t>María del Rosario Mejía Ayala</w:t>
      </w:r>
      <w:r w:rsidRPr="00D948D9">
        <w:rPr>
          <w:rFonts w:ascii="Palatino Linotype" w:hAnsi="Palatino Linotype" w:cs="Arial"/>
          <w:b/>
          <w:sz w:val="24"/>
          <w:lang w:val="es-ES"/>
        </w:rPr>
        <w:t xml:space="preserve">, </w:t>
      </w:r>
      <w:r w:rsidRPr="00D948D9">
        <w:rPr>
          <w:rFonts w:ascii="Palatino Linotype" w:hAnsi="Palatino Linotype" w:cs="Arial"/>
          <w:sz w:val="24"/>
          <w:lang w:val="es-ES"/>
        </w:rPr>
        <w:t xml:space="preserve">con el objeto de </w:t>
      </w:r>
      <w:r w:rsidRPr="00D948D9">
        <w:rPr>
          <w:rFonts w:ascii="Palatino Linotype" w:hAnsi="Palatino Linotype" w:cs="Arial"/>
          <w:sz w:val="24"/>
        </w:rPr>
        <w:t>su análisis.</w:t>
      </w:r>
    </w:p>
    <w:p w14:paraId="21EFF6B2" w14:textId="77777777" w:rsidR="005000AA" w:rsidRPr="00D948D9"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2A448644" w:rsidR="005000AA" w:rsidRPr="00D948D9"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D948D9">
        <w:rPr>
          <w:rFonts w:ascii="Palatino Linotype" w:eastAsia="Calibri" w:hAnsi="Palatino Linotype" w:cs="Arial"/>
          <w:sz w:val="24"/>
          <w:lang w:val="es-ES"/>
        </w:rPr>
        <w:t>La Comisionada</w:t>
      </w:r>
      <w:r w:rsidR="005000AA" w:rsidRPr="00D948D9">
        <w:rPr>
          <w:rFonts w:ascii="Palatino Linotype" w:eastAsia="Calibri" w:hAnsi="Palatino Linotype" w:cs="Arial"/>
          <w:sz w:val="24"/>
          <w:lang w:val="es-ES"/>
        </w:rPr>
        <w:t xml:space="preserve"> Ponente con fundamento en lo dispuesto por el artículo 185 fracción II de la ley de la materia, a través del acuerdo de admisión de fecha</w:t>
      </w:r>
      <w:r w:rsidR="00A871C4" w:rsidRPr="00D948D9">
        <w:rPr>
          <w:rFonts w:ascii="Palatino Linotype" w:eastAsia="Calibri" w:hAnsi="Palatino Linotype" w:cs="Arial"/>
          <w:sz w:val="24"/>
          <w:lang w:val="es-ES"/>
        </w:rPr>
        <w:t xml:space="preserve"> </w:t>
      </w:r>
      <w:r w:rsidR="004B3F30" w:rsidRPr="00D948D9">
        <w:rPr>
          <w:rFonts w:ascii="Palatino Linotype" w:eastAsia="Calibri" w:hAnsi="Palatino Linotype" w:cs="Arial"/>
          <w:sz w:val="24"/>
          <w:lang w:val="es-ES"/>
        </w:rPr>
        <w:t>dieciocho</w:t>
      </w:r>
      <w:r w:rsidR="00ED737F" w:rsidRPr="00D948D9">
        <w:rPr>
          <w:rFonts w:ascii="Palatino Linotype" w:eastAsia="Calibri" w:hAnsi="Palatino Linotype" w:cs="Arial"/>
          <w:sz w:val="24"/>
          <w:lang w:val="es-ES"/>
        </w:rPr>
        <w:t xml:space="preserve"> (</w:t>
      </w:r>
      <w:r w:rsidR="004B3F30" w:rsidRPr="00D948D9">
        <w:rPr>
          <w:rFonts w:ascii="Palatino Linotype" w:eastAsia="Calibri" w:hAnsi="Palatino Linotype" w:cs="Arial"/>
          <w:sz w:val="24"/>
          <w:lang w:val="es-ES"/>
        </w:rPr>
        <w:t>18</w:t>
      </w:r>
      <w:r w:rsidR="00ED737F" w:rsidRPr="00D948D9">
        <w:rPr>
          <w:rFonts w:ascii="Palatino Linotype" w:eastAsia="Calibri" w:hAnsi="Palatino Linotype" w:cs="Arial"/>
          <w:sz w:val="24"/>
          <w:lang w:val="es-ES"/>
        </w:rPr>
        <w:t xml:space="preserve">) </w:t>
      </w:r>
      <w:r w:rsidR="004B6D60" w:rsidRPr="00D948D9">
        <w:rPr>
          <w:rFonts w:ascii="Palatino Linotype" w:eastAsia="Calibri" w:hAnsi="Palatino Linotype" w:cs="Arial"/>
          <w:sz w:val="24"/>
          <w:lang w:val="es-ES"/>
        </w:rPr>
        <w:t xml:space="preserve">de </w:t>
      </w:r>
      <w:r w:rsidR="004B3F30" w:rsidRPr="00D948D9">
        <w:rPr>
          <w:rFonts w:ascii="Palatino Linotype" w:eastAsia="Calibri" w:hAnsi="Palatino Linotype" w:cs="Arial"/>
          <w:sz w:val="24"/>
          <w:lang w:val="es-ES"/>
        </w:rPr>
        <w:t>agosto</w:t>
      </w:r>
      <w:r w:rsidR="005000AA" w:rsidRPr="00D948D9">
        <w:rPr>
          <w:rFonts w:ascii="Palatino Linotype" w:eastAsia="Calibri" w:hAnsi="Palatino Linotype" w:cs="Arial"/>
          <w:sz w:val="24"/>
          <w:lang w:val="es-ES"/>
        </w:rPr>
        <w:t xml:space="preserve"> de dos mil veinti</w:t>
      </w:r>
      <w:r w:rsidR="0021453D" w:rsidRPr="00D948D9">
        <w:rPr>
          <w:rFonts w:ascii="Palatino Linotype" w:eastAsia="Calibri" w:hAnsi="Palatino Linotype" w:cs="Arial"/>
          <w:sz w:val="24"/>
          <w:lang w:val="es-ES"/>
        </w:rPr>
        <w:t>dós</w:t>
      </w:r>
      <w:r w:rsidR="005000AA" w:rsidRPr="00D948D9">
        <w:rPr>
          <w:rFonts w:ascii="Palatino Linotype" w:eastAsia="Calibri" w:hAnsi="Palatino Linotype" w:cs="Arial"/>
          <w:sz w:val="24"/>
          <w:lang w:val="es-ES"/>
        </w:rPr>
        <w:t xml:space="preserve">, puso a disposición de las partes el expediente electrónico </w:t>
      </w:r>
      <w:r w:rsidR="005000AA" w:rsidRPr="00D948D9">
        <w:rPr>
          <w:rFonts w:ascii="Palatino Linotype" w:eastAsia="Calibri" w:hAnsi="Palatino Linotype" w:cs="Arial"/>
          <w:sz w:val="24"/>
        </w:rPr>
        <w:t xml:space="preserve">vía </w:t>
      </w:r>
      <w:r w:rsidR="005000AA" w:rsidRPr="00D948D9">
        <w:rPr>
          <w:rFonts w:ascii="Palatino Linotype" w:eastAsia="Calibri" w:hAnsi="Palatino Linotype" w:cs="Arial"/>
          <w:b/>
          <w:sz w:val="24"/>
          <w:lang w:val="es-ES"/>
        </w:rPr>
        <w:t xml:space="preserve">SAIMEX </w:t>
      </w:r>
      <w:r w:rsidR="005000AA" w:rsidRPr="00D948D9">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D948D9">
        <w:rPr>
          <w:rFonts w:ascii="Palatino Linotype" w:eastAsia="Calibri" w:hAnsi="Palatino Linotype" w:cs="Arial"/>
          <w:b/>
          <w:sz w:val="24"/>
          <w:lang w:val="es-ES"/>
        </w:rPr>
        <w:t>SUJETO OBLIGADO</w:t>
      </w:r>
      <w:r w:rsidR="005000AA" w:rsidRPr="00D948D9">
        <w:rPr>
          <w:rFonts w:ascii="Palatino Linotype" w:eastAsia="Calibri" w:hAnsi="Palatino Linotype" w:cs="Arial"/>
          <w:sz w:val="24"/>
          <w:lang w:val="es-ES"/>
        </w:rPr>
        <w:t xml:space="preserve"> presentara el informe justificado procedente.</w:t>
      </w:r>
    </w:p>
    <w:p w14:paraId="51336F6A" w14:textId="77777777" w:rsidR="00043374" w:rsidRPr="00D948D9" w:rsidRDefault="00043374" w:rsidP="00043374">
      <w:pPr>
        <w:pStyle w:val="Prrafodelista"/>
        <w:rPr>
          <w:rFonts w:ascii="Palatino Linotype" w:eastAsiaTheme="minorEastAsia" w:hAnsi="Palatino Linotype" w:cstheme="minorBidi"/>
          <w:i/>
          <w:color w:val="000000"/>
          <w:sz w:val="24"/>
          <w:lang w:val="es-ES_tradnl"/>
        </w:rPr>
      </w:pPr>
    </w:p>
    <w:p w14:paraId="2FB25AD5" w14:textId="77777777" w:rsidR="004B3F30" w:rsidRPr="00D948D9" w:rsidRDefault="004B3F30" w:rsidP="004B3F30">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color w:val="000000"/>
          <w:sz w:val="24"/>
          <w:szCs w:val="24"/>
          <w:lang w:val="es-ES_tradnl"/>
        </w:rPr>
      </w:pPr>
      <w:r w:rsidRPr="00D948D9">
        <w:rPr>
          <w:rFonts w:ascii="Palatino Linotype" w:eastAsiaTheme="minorEastAsia" w:hAnsi="Palatino Linotype"/>
          <w:color w:val="000000"/>
          <w:sz w:val="24"/>
          <w:szCs w:val="24"/>
          <w:lang w:val="es-ES_tradnl"/>
        </w:rPr>
        <w:t xml:space="preserve">El </w:t>
      </w:r>
      <w:r w:rsidRPr="00D948D9">
        <w:rPr>
          <w:rFonts w:ascii="Palatino Linotype" w:eastAsiaTheme="minorEastAsia" w:hAnsi="Palatino Linotype"/>
          <w:b/>
          <w:color w:val="000000"/>
          <w:sz w:val="24"/>
          <w:szCs w:val="24"/>
          <w:lang w:val="es-ES_tradnl"/>
        </w:rPr>
        <w:t xml:space="preserve">SUJETO OBLIGADO </w:t>
      </w:r>
      <w:r w:rsidRPr="00D948D9">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D948D9">
        <w:rPr>
          <w:rFonts w:ascii="Palatino Linotype" w:eastAsiaTheme="minorEastAsia" w:hAnsi="Palatino Linotype"/>
          <w:b/>
          <w:color w:val="000000"/>
          <w:sz w:val="24"/>
          <w:szCs w:val="24"/>
          <w:lang w:val="es-ES_tradnl"/>
        </w:rPr>
        <w:t xml:space="preserve">RECURRENTE </w:t>
      </w:r>
      <w:r w:rsidRPr="00D948D9">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Pr="00D948D9">
        <w:rPr>
          <w:rFonts w:ascii="Palatino Linotype" w:eastAsiaTheme="minorEastAsia" w:hAnsi="Palatino Linotype"/>
          <w:b/>
          <w:color w:val="000000"/>
          <w:sz w:val="24"/>
          <w:szCs w:val="24"/>
          <w:lang w:val="es-ES_tradnl"/>
        </w:rPr>
        <w:t xml:space="preserve">SAIMEX, </w:t>
      </w:r>
      <w:r w:rsidRPr="00D948D9">
        <w:rPr>
          <w:rFonts w:ascii="Palatino Linotype" w:eastAsiaTheme="minorEastAsia" w:hAnsi="Palatino Linotype"/>
          <w:bCs/>
          <w:color w:val="000000"/>
          <w:sz w:val="24"/>
          <w:szCs w:val="24"/>
          <w:lang w:val="es-ES_tradnl"/>
        </w:rPr>
        <w:t>se inserta imagen de referencia.</w:t>
      </w:r>
    </w:p>
    <w:p w14:paraId="68535FFD" w14:textId="07BD7585" w:rsidR="004B3F30" w:rsidRPr="00D948D9" w:rsidRDefault="004B3F30" w:rsidP="004B3F30">
      <w:pPr>
        <w:spacing w:before="240" w:after="240" w:line="360" w:lineRule="auto"/>
        <w:jc w:val="both"/>
        <w:rPr>
          <w:rFonts w:ascii="Palatino Linotype" w:hAnsi="Palatino Linotype"/>
          <w:i/>
          <w:color w:val="000000"/>
          <w:sz w:val="24"/>
        </w:rPr>
      </w:pPr>
      <w:r w:rsidRPr="00D948D9">
        <w:rPr>
          <w:rFonts w:ascii="Palatino Linotype" w:hAnsi="Palatino Linotype"/>
          <w:i/>
          <w:noProof/>
          <w:color w:val="000000"/>
          <w:sz w:val="24"/>
          <w:lang w:eastAsia="es-MX"/>
        </w:rPr>
        <w:lastRenderedPageBreak/>
        <w:drawing>
          <wp:inline distT="0" distB="0" distL="0" distR="0" wp14:anchorId="0A521E60" wp14:editId="5930C0A8">
            <wp:extent cx="5742940" cy="1892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1892300"/>
                    </a:xfrm>
                    <a:prstGeom prst="rect">
                      <a:avLst/>
                    </a:prstGeom>
                  </pic:spPr>
                </pic:pic>
              </a:graphicData>
            </a:graphic>
          </wp:inline>
        </w:drawing>
      </w:r>
    </w:p>
    <w:p w14:paraId="6196591B" w14:textId="77777777" w:rsidR="004B3F30" w:rsidRPr="00D948D9" w:rsidRDefault="004B3F30" w:rsidP="004B3F30">
      <w:pPr>
        <w:pStyle w:val="Prrafodelista"/>
        <w:numPr>
          <w:ilvl w:val="0"/>
          <w:numId w:val="2"/>
        </w:numPr>
        <w:tabs>
          <w:tab w:val="left" w:pos="284"/>
        </w:tabs>
        <w:spacing w:line="360" w:lineRule="auto"/>
        <w:ind w:left="0" w:firstLine="0"/>
        <w:jc w:val="both"/>
        <w:rPr>
          <w:rFonts w:ascii="Palatino Linotype" w:hAnsi="Palatino Linotype" w:cs="Arial"/>
          <w:sz w:val="24"/>
        </w:rPr>
      </w:pPr>
      <w:r w:rsidRPr="00D948D9">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FE545BC" w14:textId="77777777" w:rsidR="004B3F30" w:rsidRPr="00D948D9" w:rsidRDefault="004B3F30" w:rsidP="004B3F30">
      <w:pPr>
        <w:pStyle w:val="Prrafodelista"/>
        <w:tabs>
          <w:tab w:val="left" w:pos="284"/>
        </w:tabs>
        <w:spacing w:line="360" w:lineRule="auto"/>
        <w:ind w:left="0"/>
        <w:jc w:val="both"/>
        <w:rPr>
          <w:rFonts w:ascii="Palatino Linotype" w:hAnsi="Palatino Linotype" w:cs="Arial"/>
        </w:rPr>
      </w:pPr>
    </w:p>
    <w:p w14:paraId="79B130D5" w14:textId="77777777" w:rsidR="004B3F30" w:rsidRPr="00D948D9" w:rsidRDefault="004B3F30" w:rsidP="004B3F30">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D948D9">
        <w:rPr>
          <w:rFonts w:ascii="Palatino Linotype" w:hAnsi="Palatino Linotype" w:cs="Arial"/>
          <w:b/>
          <w:bCs/>
          <w:i/>
          <w:iCs/>
          <w:color w:val="222222"/>
          <w:sz w:val="22"/>
          <w:lang w:val="es-ES_tradnl"/>
        </w:rPr>
        <w:t>QUEJA, RECURSO DE. LA OMISION DE RENDIR EL INFORME RESPECTIVO NO IMPIDE QUE SE RESUELV</w:t>
      </w:r>
      <w:r w:rsidRPr="00D948D9">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w:t>
      </w:r>
      <w:r w:rsidRPr="00D948D9">
        <w:rPr>
          <w:rFonts w:ascii="Palatino Linotype" w:hAnsi="Palatino Linotype" w:cs="Arial"/>
          <w:i/>
          <w:iCs/>
          <w:color w:val="222222"/>
          <w:sz w:val="22"/>
          <w:lang w:val="es-ES_tradnl"/>
        </w:rPr>
        <w:lastRenderedPageBreak/>
        <w:t>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DAB5F08" w14:textId="77777777" w:rsidR="004B3F30" w:rsidRPr="00D948D9" w:rsidRDefault="004B3F30" w:rsidP="004B3F30">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52696EED" w14:textId="77777777" w:rsidR="004B3F30" w:rsidRPr="00D948D9" w:rsidRDefault="004B3F30" w:rsidP="004B3F30">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D948D9">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D948D9">
        <w:rPr>
          <w:rFonts w:ascii="Palatino Linotype" w:hAnsi="Palatino Linotype" w:cs="Arial"/>
          <w:b/>
          <w:bCs/>
          <w:color w:val="222222"/>
          <w:sz w:val="24"/>
        </w:rPr>
        <w:t>SUJETO OBLIGADO</w:t>
      </w:r>
      <w:r w:rsidRPr="00D948D9">
        <w:rPr>
          <w:rFonts w:ascii="Palatino Linotype" w:hAnsi="Palatino Linotype" w:cs="Arial"/>
          <w:color w:val="222222"/>
          <w:sz w:val="24"/>
        </w:rPr>
        <w:t> pierda la oportunidad de justificar su falta de respuesta y manifestar lo que a su derecho convenga.</w:t>
      </w:r>
    </w:p>
    <w:p w14:paraId="5358651A" w14:textId="77777777" w:rsidR="003E4CA3" w:rsidRPr="00D948D9" w:rsidRDefault="003E4CA3" w:rsidP="003E4CA3">
      <w:pPr>
        <w:spacing w:line="360" w:lineRule="auto"/>
        <w:jc w:val="both"/>
        <w:rPr>
          <w:rFonts w:ascii="Palatino Linotype" w:hAnsi="Palatino Linotype" w:cs="Tahoma"/>
          <w:sz w:val="24"/>
        </w:rPr>
      </w:pPr>
    </w:p>
    <w:p w14:paraId="04016115" w14:textId="2A2DCFD5" w:rsidR="00BC6FDD" w:rsidRPr="00D948D9" w:rsidRDefault="00DD7DC3" w:rsidP="008A06D7">
      <w:pPr>
        <w:pStyle w:val="Prrafodelista"/>
        <w:numPr>
          <w:ilvl w:val="0"/>
          <w:numId w:val="3"/>
        </w:numPr>
        <w:spacing w:line="360" w:lineRule="auto"/>
        <w:ind w:left="0" w:firstLine="0"/>
        <w:jc w:val="both"/>
        <w:rPr>
          <w:rFonts w:ascii="Palatino Linotype" w:hAnsi="Palatino Linotype" w:cs="Tahoma"/>
          <w:sz w:val="24"/>
        </w:rPr>
      </w:pPr>
      <w:r w:rsidRPr="00D948D9">
        <w:rPr>
          <w:rFonts w:ascii="Palatino Linotype" w:eastAsia="Calibri" w:hAnsi="Palatino Linotype" w:cs="Arial"/>
          <w:sz w:val="24"/>
          <w:lang w:val="es-ES"/>
        </w:rPr>
        <w:t xml:space="preserve">El </w:t>
      </w:r>
      <w:r w:rsidR="004B3F30" w:rsidRPr="00D948D9">
        <w:rPr>
          <w:rFonts w:ascii="Palatino Linotype" w:eastAsia="Calibri" w:hAnsi="Palatino Linotype" w:cs="Arial"/>
          <w:sz w:val="24"/>
          <w:lang w:val="es-ES"/>
        </w:rPr>
        <w:t xml:space="preserve">treinta y </w:t>
      </w:r>
      <w:r w:rsidR="00D604FD" w:rsidRPr="00D948D9">
        <w:rPr>
          <w:rFonts w:ascii="Palatino Linotype" w:eastAsia="Calibri" w:hAnsi="Palatino Linotype" w:cs="Arial"/>
          <w:sz w:val="24"/>
          <w:lang w:val="es-ES"/>
        </w:rPr>
        <w:t>uno</w:t>
      </w:r>
      <w:r w:rsidR="004F1E2D" w:rsidRPr="00D948D9">
        <w:rPr>
          <w:rFonts w:ascii="Palatino Linotype" w:eastAsia="Calibri" w:hAnsi="Palatino Linotype" w:cs="Arial"/>
          <w:sz w:val="24"/>
          <w:lang w:val="es-ES"/>
        </w:rPr>
        <w:t xml:space="preserve"> (</w:t>
      </w:r>
      <w:r w:rsidR="004B3F30" w:rsidRPr="00D948D9">
        <w:rPr>
          <w:rFonts w:ascii="Palatino Linotype" w:eastAsia="Calibri" w:hAnsi="Palatino Linotype" w:cs="Arial"/>
          <w:sz w:val="24"/>
          <w:lang w:val="es-ES"/>
        </w:rPr>
        <w:t>3</w:t>
      </w:r>
      <w:r w:rsidR="00D604FD" w:rsidRPr="00D948D9">
        <w:rPr>
          <w:rFonts w:ascii="Palatino Linotype" w:eastAsia="Calibri" w:hAnsi="Palatino Linotype" w:cs="Arial"/>
          <w:sz w:val="24"/>
          <w:lang w:val="es-ES"/>
        </w:rPr>
        <w:t>1</w:t>
      </w:r>
      <w:r w:rsidR="004F1E2D" w:rsidRPr="00D948D9">
        <w:rPr>
          <w:rFonts w:ascii="Palatino Linotype" w:eastAsia="Calibri" w:hAnsi="Palatino Linotype" w:cs="Arial"/>
          <w:sz w:val="24"/>
          <w:lang w:val="es-ES"/>
        </w:rPr>
        <w:t xml:space="preserve">) </w:t>
      </w:r>
      <w:r w:rsidR="0012305A" w:rsidRPr="00D948D9">
        <w:rPr>
          <w:rFonts w:ascii="Palatino Linotype" w:eastAsia="Calibri" w:hAnsi="Palatino Linotype" w:cs="Arial"/>
          <w:sz w:val="24"/>
          <w:lang w:val="es-ES"/>
        </w:rPr>
        <w:t xml:space="preserve">de </w:t>
      </w:r>
      <w:r w:rsidR="004B3F30" w:rsidRPr="00D948D9">
        <w:rPr>
          <w:rFonts w:ascii="Palatino Linotype" w:eastAsia="Calibri" w:hAnsi="Palatino Linotype" w:cs="Arial"/>
          <w:sz w:val="24"/>
          <w:lang w:val="es-ES"/>
        </w:rPr>
        <w:t>octubre de dos mil veintidós</w:t>
      </w:r>
      <w:r w:rsidR="00D73603" w:rsidRPr="00D948D9">
        <w:rPr>
          <w:rFonts w:ascii="Palatino Linotype" w:eastAsia="Calibri" w:hAnsi="Palatino Linotype" w:cs="Arial"/>
          <w:sz w:val="24"/>
          <w:lang w:val="es-ES"/>
        </w:rPr>
        <w:t>, la</w:t>
      </w:r>
      <w:r w:rsidR="005000AA" w:rsidRPr="00D948D9">
        <w:rPr>
          <w:rFonts w:ascii="Palatino Linotype" w:hAnsi="Palatino Linotype"/>
          <w:sz w:val="24"/>
        </w:rPr>
        <w:t xml:space="preserve"> Comisionad</w:t>
      </w:r>
      <w:r w:rsidR="00D73603" w:rsidRPr="00D948D9">
        <w:rPr>
          <w:rFonts w:ascii="Palatino Linotype" w:hAnsi="Palatino Linotype"/>
          <w:sz w:val="24"/>
        </w:rPr>
        <w:t>a</w:t>
      </w:r>
      <w:r w:rsidR="005000AA" w:rsidRPr="00D948D9">
        <w:rPr>
          <w:rFonts w:ascii="Palatino Linotype" w:hAnsi="Palatino Linotype"/>
          <w:sz w:val="24"/>
        </w:rPr>
        <w:t xml:space="preserve"> Ponente decretó el cierre de instrucción</w:t>
      </w:r>
      <w:r w:rsidR="00B83EE1" w:rsidRPr="00D948D9">
        <w:rPr>
          <w:rFonts w:ascii="Palatino Linotype" w:hAnsi="Palatino Linotype" w:cs="Arial"/>
          <w:sz w:val="24"/>
        </w:rPr>
        <w:t>,</w:t>
      </w:r>
      <w:r w:rsidR="001A0283" w:rsidRPr="00D948D9">
        <w:rPr>
          <w:rFonts w:ascii="Palatino Linotype" w:hAnsi="Palatino Linotype" w:cs="Arial"/>
          <w:sz w:val="24"/>
        </w:rPr>
        <w:t xml:space="preserve"> </w:t>
      </w:r>
      <w:r w:rsidR="00B83EE1" w:rsidRPr="00D948D9">
        <w:rPr>
          <w:rFonts w:ascii="Palatino Linotype" w:hAnsi="Palatino Linotype" w:cs="Arial"/>
          <w:sz w:val="24"/>
        </w:rPr>
        <w:t>p</w:t>
      </w:r>
      <w:r w:rsidR="003C497F" w:rsidRPr="00D948D9">
        <w:rPr>
          <w:rFonts w:ascii="Palatino Linotype" w:hAnsi="Palatino Linotype" w:cs="Tahoma"/>
          <w:sz w:val="24"/>
        </w:rPr>
        <w:t xml:space="preserve">or lo que turnó la presente resolución </w:t>
      </w:r>
      <w:r w:rsidR="003C5753" w:rsidRPr="00D948D9">
        <w:rPr>
          <w:rFonts w:ascii="Palatino Linotype" w:hAnsi="Palatino Linotype" w:cs="Tahoma"/>
          <w:sz w:val="24"/>
        </w:rPr>
        <w:t>para su aprobación.</w:t>
      </w:r>
    </w:p>
    <w:p w14:paraId="6C0D6D85" w14:textId="77777777" w:rsidR="004B3F30" w:rsidRPr="00D948D9" w:rsidRDefault="004B3F30" w:rsidP="004B3F30">
      <w:pPr>
        <w:pStyle w:val="Prrafodelista"/>
        <w:spacing w:line="360" w:lineRule="auto"/>
        <w:ind w:left="0"/>
        <w:jc w:val="both"/>
        <w:rPr>
          <w:rFonts w:ascii="Palatino Linotype" w:hAnsi="Palatino Linotype" w:cs="Tahoma"/>
          <w:sz w:val="24"/>
        </w:rPr>
      </w:pPr>
    </w:p>
    <w:p w14:paraId="1B6AD22B" w14:textId="2827BE18" w:rsidR="004B3F30" w:rsidRPr="00D948D9" w:rsidRDefault="004B3F30" w:rsidP="004B3F30">
      <w:pPr>
        <w:pStyle w:val="Prrafodelista"/>
        <w:numPr>
          <w:ilvl w:val="0"/>
          <w:numId w:val="3"/>
        </w:numPr>
        <w:spacing w:line="360" w:lineRule="auto"/>
        <w:ind w:left="0" w:firstLine="0"/>
        <w:jc w:val="both"/>
        <w:rPr>
          <w:rFonts w:ascii="Palatino Linotype" w:hAnsi="Palatino Linotype" w:cs="Tahoma"/>
          <w:sz w:val="24"/>
        </w:rPr>
      </w:pPr>
      <w:r w:rsidRPr="00D948D9">
        <w:rPr>
          <w:rFonts w:ascii="Palatino Linotype" w:hAnsi="Palatino Linotype" w:cs="Tahoma"/>
          <w:sz w:val="24"/>
        </w:rPr>
        <w:t>El siete (7) de diciembre de dos mil veintidós se notificó el acuerdo de ampliación de plazo para emitir resolución.</w:t>
      </w:r>
    </w:p>
    <w:p w14:paraId="42247110" w14:textId="77777777" w:rsidR="003E4CA3" w:rsidRPr="00D948D9" w:rsidRDefault="003E4CA3" w:rsidP="003E4CA3">
      <w:pPr>
        <w:pStyle w:val="Prrafodelista"/>
        <w:spacing w:line="360" w:lineRule="auto"/>
        <w:ind w:left="0"/>
        <w:jc w:val="both"/>
        <w:rPr>
          <w:rFonts w:ascii="Palatino Linotype" w:eastAsia="Calibri" w:hAnsi="Palatino Linotype" w:cs="Arial"/>
          <w:sz w:val="24"/>
          <w:lang w:val="es-ES"/>
        </w:rPr>
      </w:pPr>
    </w:p>
    <w:p w14:paraId="561F4AD7" w14:textId="77777777" w:rsidR="003E4CA3" w:rsidRPr="00D948D9" w:rsidRDefault="003E4CA3" w:rsidP="003E4CA3">
      <w:pPr>
        <w:pStyle w:val="Prrafodelista"/>
        <w:numPr>
          <w:ilvl w:val="0"/>
          <w:numId w:val="2"/>
        </w:numPr>
        <w:spacing w:before="240" w:after="240" w:line="360" w:lineRule="auto"/>
        <w:ind w:left="0" w:hanging="11"/>
        <w:jc w:val="both"/>
        <w:rPr>
          <w:rFonts w:ascii="Palatino Linotype" w:hAnsi="Palatino Linotype"/>
          <w:b/>
          <w:sz w:val="36"/>
          <w:u w:val="single"/>
        </w:rPr>
      </w:pPr>
      <w:r w:rsidRPr="00D948D9">
        <w:rPr>
          <w:rFonts w:ascii="Palatino Linotype" w:hAnsi="Palatino Linotype"/>
          <w:sz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w:t>
      </w:r>
      <w:r w:rsidRPr="00D948D9">
        <w:rPr>
          <w:rFonts w:ascii="Palatino Linotype" w:hAnsi="Palatino Linotype"/>
          <w:sz w:val="24"/>
        </w:rPr>
        <w:lastRenderedPageBreak/>
        <w:t>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9870E06" w14:textId="77777777" w:rsidR="003E4CA3" w:rsidRPr="00D948D9" w:rsidRDefault="003E4CA3" w:rsidP="003E4CA3">
      <w:pPr>
        <w:pStyle w:val="Prrafodelista"/>
        <w:rPr>
          <w:rFonts w:ascii="Palatino Linotype" w:hAnsi="Palatino Linotype"/>
          <w:sz w:val="24"/>
        </w:rPr>
      </w:pPr>
    </w:p>
    <w:p w14:paraId="1D31AF95"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629B1D6" w14:textId="77777777" w:rsidR="003E4CA3" w:rsidRPr="00D948D9" w:rsidRDefault="003E4CA3" w:rsidP="003E4CA3">
      <w:pPr>
        <w:pStyle w:val="Prrafodelista"/>
        <w:spacing w:before="240" w:after="240" w:line="360" w:lineRule="auto"/>
        <w:ind w:left="0"/>
        <w:jc w:val="both"/>
        <w:rPr>
          <w:rFonts w:ascii="Palatino Linotype" w:hAnsi="Palatino Linotype"/>
          <w:sz w:val="24"/>
        </w:rPr>
      </w:pPr>
    </w:p>
    <w:p w14:paraId="589815E3"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D8C99AD" w14:textId="77777777" w:rsidR="003E4CA3" w:rsidRPr="00D948D9" w:rsidRDefault="003E4CA3" w:rsidP="003E4CA3">
      <w:pPr>
        <w:pStyle w:val="Prrafodelista"/>
        <w:rPr>
          <w:rFonts w:ascii="Palatino Linotype" w:hAnsi="Palatino Linotype"/>
          <w:sz w:val="24"/>
        </w:rPr>
      </w:pPr>
    </w:p>
    <w:p w14:paraId="75F0777B"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24B0A2" w14:textId="77777777" w:rsidR="003E4CA3" w:rsidRPr="00D948D9" w:rsidRDefault="003E4CA3" w:rsidP="003E4CA3">
      <w:pPr>
        <w:pStyle w:val="Prrafodelista"/>
        <w:spacing w:before="240" w:after="240" w:line="360" w:lineRule="auto"/>
        <w:ind w:left="0"/>
        <w:jc w:val="both"/>
        <w:rPr>
          <w:rFonts w:ascii="Palatino Linotype" w:hAnsi="Palatino Linotype"/>
          <w:sz w:val="24"/>
        </w:rPr>
      </w:pPr>
    </w:p>
    <w:p w14:paraId="0B98EF93"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 xml:space="preserve">Por ello, excepcionalmente, si un asunto es resuelto con posterioridad a los plazos señalados por la norma debe analizarse la razonabilidad del tiempo necesario para su resolución, atentos a los siguientes criterios:   </w:t>
      </w:r>
    </w:p>
    <w:p w14:paraId="052BA123" w14:textId="77777777" w:rsidR="003E4CA3" w:rsidRPr="00D948D9" w:rsidRDefault="003E4CA3" w:rsidP="003E4CA3">
      <w:pPr>
        <w:pStyle w:val="Prrafodelista"/>
        <w:spacing w:before="240" w:after="240" w:line="360" w:lineRule="auto"/>
        <w:ind w:left="0"/>
        <w:jc w:val="both"/>
        <w:rPr>
          <w:rFonts w:ascii="Palatino Linotype" w:hAnsi="Palatino Linotype"/>
          <w:sz w:val="24"/>
        </w:rPr>
      </w:pPr>
    </w:p>
    <w:p w14:paraId="75D1812C" w14:textId="77777777" w:rsidR="003E4CA3" w:rsidRPr="00D948D9" w:rsidRDefault="003E4CA3" w:rsidP="003E4CA3">
      <w:pPr>
        <w:pStyle w:val="Prrafodelista"/>
        <w:spacing w:before="240" w:after="240" w:line="360" w:lineRule="auto"/>
        <w:ind w:left="284"/>
        <w:jc w:val="both"/>
        <w:rPr>
          <w:rFonts w:ascii="Palatino Linotype" w:hAnsi="Palatino Linotype"/>
          <w:sz w:val="24"/>
        </w:rPr>
      </w:pPr>
      <w:r w:rsidRPr="00D948D9">
        <w:rPr>
          <w:rFonts w:ascii="Palatino Linotype" w:hAnsi="Palatino Linotype"/>
          <w:sz w:val="24"/>
        </w:rPr>
        <w:t>a)      Complejidad del asunto: La complejidad de la prueba, la pluralidad de sujetos procesales, el tiempo transcurrido, las características y contexto del recurso.</w:t>
      </w:r>
    </w:p>
    <w:p w14:paraId="01555D70" w14:textId="77777777" w:rsidR="003E4CA3" w:rsidRPr="00D948D9" w:rsidRDefault="003E4CA3" w:rsidP="003E4CA3">
      <w:pPr>
        <w:pStyle w:val="Prrafodelista"/>
        <w:spacing w:before="240" w:after="240" w:line="360" w:lineRule="auto"/>
        <w:ind w:left="284"/>
        <w:jc w:val="both"/>
        <w:rPr>
          <w:rFonts w:ascii="Palatino Linotype" w:hAnsi="Palatino Linotype"/>
          <w:sz w:val="24"/>
        </w:rPr>
      </w:pPr>
      <w:r w:rsidRPr="00D948D9">
        <w:rPr>
          <w:rFonts w:ascii="Palatino Linotype" w:hAnsi="Palatino Linotype"/>
          <w:sz w:val="24"/>
        </w:rPr>
        <w:t>b)     Actividad Procesal del interesado: Acciones u omisiones del interesado.</w:t>
      </w:r>
    </w:p>
    <w:p w14:paraId="42EE4D41" w14:textId="77777777" w:rsidR="003E4CA3" w:rsidRPr="00D948D9" w:rsidRDefault="003E4CA3" w:rsidP="003E4CA3">
      <w:pPr>
        <w:pStyle w:val="Prrafodelista"/>
        <w:spacing w:before="240" w:after="240" w:line="360" w:lineRule="auto"/>
        <w:ind w:left="284"/>
        <w:jc w:val="both"/>
        <w:rPr>
          <w:rFonts w:ascii="Palatino Linotype" w:hAnsi="Palatino Linotype"/>
          <w:sz w:val="24"/>
        </w:rPr>
      </w:pPr>
      <w:r w:rsidRPr="00D948D9">
        <w:rPr>
          <w:rFonts w:ascii="Palatino Linotype" w:hAnsi="Palatino Linotype"/>
          <w:sz w:val="24"/>
        </w:rPr>
        <w:t>c)      Conducta de la Autoridad: Las Acciones u omisiones realizadas en el procedimiento. Así como si la autoridad actuó con la debida diligencia.</w:t>
      </w:r>
    </w:p>
    <w:p w14:paraId="4B169FF7" w14:textId="77777777" w:rsidR="003E4CA3" w:rsidRPr="00D948D9" w:rsidRDefault="003E4CA3" w:rsidP="003E4CA3">
      <w:pPr>
        <w:pStyle w:val="Prrafodelista"/>
        <w:spacing w:before="240" w:after="240" w:line="360" w:lineRule="auto"/>
        <w:ind w:left="284"/>
        <w:jc w:val="both"/>
        <w:rPr>
          <w:rFonts w:ascii="Palatino Linotype" w:hAnsi="Palatino Linotype"/>
          <w:sz w:val="24"/>
        </w:rPr>
      </w:pPr>
      <w:r w:rsidRPr="00D948D9">
        <w:rPr>
          <w:rFonts w:ascii="Palatino Linotype" w:hAnsi="Palatino Linotype"/>
          <w:sz w:val="24"/>
        </w:rPr>
        <w:t>d) La afectación generada en la situación jurídica de la persona involucrada en el proceso: Violación a sus derechos humanos.</w:t>
      </w:r>
    </w:p>
    <w:p w14:paraId="3E039482" w14:textId="77777777" w:rsidR="003E4CA3" w:rsidRPr="00D948D9" w:rsidRDefault="003E4CA3" w:rsidP="003E4CA3">
      <w:pPr>
        <w:pStyle w:val="Prrafodelista"/>
        <w:spacing w:before="240" w:after="240" w:line="360" w:lineRule="auto"/>
        <w:ind w:left="0"/>
        <w:jc w:val="both"/>
        <w:rPr>
          <w:rFonts w:ascii="Palatino Linotype" w:hAnsi="Palatino Linotype"/>
          <w:sz w:val="24"/>
        </w:rPr>
      </w:pPr>
    </w:p>
    <w:p w14:paraId="2A650789"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DED11D" w14:textId="77777777" w:rsidR="003E4CA3" w:rsidRPr="00D948D9" w:rsidRDefault="003E4CA3" w:rsidP="003E4CA3">
      <w:pPr>
        <w:pStyle w:val="Prrafodelista"/>
        <w:spacing w:before="240" w:after="240" w:line="360" w:lineRule="auto"/>
        <w:ind w:left="0"/>
        <w:jc w:val="both"/>
        <w:rPr>
          <w:rFonts w:ascii="Palatino Linotype" w:hAnsi="Palatino Linotype"/>
          <w:sz w:val="24"/>
        </w:rPr>
      </w:pPr>
    </w:p>
    <w:p w14:paraId="7F08FDCE"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 xml:space="preserve">Argumento que encuentra sustento en la jurisprudencia P./J. 32/92 emitida por el Pleno de la Suprema Corte de Justicia de la Nación de rubro “TÉRMINOS </w:t>
      </w:r>
      <w:r w:rsidRPr="00D948D9">
        <w:rPr>
          <w:rFonts w:ascii="Palatino Linotype" w:hAnsi="Palatino Linotype"/>
          <w:sz w:val="24"/>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FDB17D" w14:textId="77777777" w:rsidR="003E4CA3" w:rsidRPr="00D948D9" w:rsidRDefault="003E4CA3" w:rsidP="003E4CA3">
      <w:pPr>
        <w:pStyle w:val="Prrafodelista"/>
        <w:rPr>
          <w:rFonts w:ascii="Palatino Linotype" w:hAnsi="Palatino Linotype"/>
          <w:sz w:val="24"/>
        </w:rPr>
      </w:pPr>
    </w:p>
    <w:p w14:paraId="1D8ECBC6"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2C29B9" w14:textId="77777777" w:rsidR="003E4CA3" w:rsidRPr="00D948D9" w:rsidRDefault="003E4CA3" w:rsidP="003E4CA3">
      <w:pPr>
        <w:pStyle w:val="Prrafodelista"/>
        <w:spacing w:before="240" w:after="240" w:line="360" w:lineRule="auto"/>
        <w:ind w:left="0"/>
        <w:jc w:val="both"/>
        <w:rPr>
          <w:rFonts w:ascii="Palatino Linotype" w:hAnsi="Palatino Linotype"/>
          <w:sz w:val="24"/>
        </w:rPr>
      </w:pPr>
    </w:p>
    <w:p w14:paraId="5B4959EC" w14:textId="77777777" w:rsidR="003E4CA3" w:rsidRPr="00D948D9" w:rsidRDefault="003E4CA3" w:rsidP="003E4CA3">
      <w:pPr>
        <w:pStyle w:val="Prrafodelista"/>
        <w:numPr>
          <w:ilvl w:val="0"/>
          <w:numId w:val="2"/>
        </w:numPr>
        <w:spacing w:before="240" w:after="240" w:line="360" w:lineRule="auto"/>
        <w:ind w:left="0" w:firstLine="0"/>
        <w:jc w:val="both"/>
        <w:rPr>
          <w:rFonts w:ascii="Palatino Linotype" w:hAnsi="Palatino Linotype"/>
          <w:sz w:val="24"/>
        </w:rPr>
      </w:pPr>
      <w:r w:rsidRPr="00D948D9">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280BAA06" w14:textId="77777777" w:rsidR="003E4CA3" w:rsidRPr="00D948D9" w:rsidRDefault="003E4CA3" w:rsidP="003E4CA3">
      <w:pPr>
        <w:pStyle w:val="Prrafodelista"/>
        <w:rPr>
          <w:rFonts w:ascii="Palatino Linotype" w:hAnsi="Palatino Linotype"/>
          <w:sz w:val="24"/>
        </w:rPr>
      </w:pPr>
    </w:p>
    <w:p w14:paraId="6286623F" w14:textId="77777777" w:rsidR="003E4CA3" w:rsidRPr="00D948D9" w:rsidRDefault="003E4CA3" w:rsidP="003E4CA3">
      <w:pPr>
        <w:pStyle w:val="Prrafodelista"/>
        <w:spacing w:before="240" w:after="240" w:line="360" w:lineRule="auto"/>
        <w:ind w:left="567"/>
        <w:jc w:val="both"/>
        <w:rPr>
          <w:rFonts w:ascii="Palatino Linotype" w:hAnsi="Palatino Linotype"/>
          <w:sz w:val="24"/>
        </w:rPr>
      </w:pPr>
      <w:r w:rsidRPr="00D948D9">
        <w:rPr>
          <w:rFonts w:ascii="Palatino Linotype" w:hAnsi="Palatino Linotype"/>
          <w:sz w:val="24"/>
        </w:rPr>
        <w:lastRenderedPageBreak/>
        <w:t>“PLAZO RAZONABLE PARA RESOLVER. DIMENSIÓN Y EFECTOS DE ESTE CONCEPTO CUANDO SE ADUCE EXCESIVA CARGA DE TRABAJO.” consultable en el Seminario Judicial de la Federación y su gaceta, con el registro digital 2002351.</w:t>
      </w:r>
    </w:p>
    <w:p w14:paraId="58740252" w14:textId="77777777" w:rsidR="003E4CA3" w:rsidRPr="00D948D9" w:rsidRDefault="003E4CA3" w:rsidP="003E4CA3">
      <w:pPr>
        <w:pStyle w:val="Prrafodelista"/>
        <w:spacing w:before="240" w:after="240" w:line="360" w:lineRule="auto"/>
        <w:ind w:left="567"/>
        <w:jc w:val="both"/>
        <w:rPr>
          <w:rFonts w:ascii="Palatino Linotype" w:hAnsi="Palatino Linotype"/>
          <w:sz w:val="24"/>
        </w:rPr>
      </w:pPr>
      <w:r w:rsidRPr="00D948D9">
        <w:rPr>
          <w:rFonts w:ascii="Palatino Linotype" w:hAnsi="Palatino Linotype"/>
          <w:sz w:val="24"/>
        </w:rPr>
        <w:t>“PLAZO RAZONABLE PARA RESOLVER. CONCEPTO Y ELEMENTOS QUE LO INTEGRAN A LA LUZ DEL DERECHO INTERNACIONAL DE LOS DERECHOS HUMANOS.”, visible en el Seminario Judicial de la Federación y su gaceta, con el registro digital 2002350.</w:t>
      </w:r>
    </w:p>
    <w:p w14:paraId="7589F228" w14:textId="77777777" w:rsidR="003E4CA3" w:rsidRPr="00D948D9" w:rsidRDefault="003E4CA3" w:rsidP="003E4CA3">
      <w:pPr>
        <w:pStyle w:val="Prrafodelista"/>
        <w:spacing w:before="240" w:after="240" w:line="360" w:lineRule="auto"/>
        <w:ind w:left="708"/>
        <w:jc w:val="both"/>
        <w:rPr>
          <w:rFonts w:ascii="Palatino Linotype" w:hAnsi="Palatino Linotype"/>
          <w:sz w:val="24"/>
        </w:rPr>
      </w:pPr>
    </w:p>
    <w:p w14:paraId="0B123F9E" w14:textId="16652F4E" w:rsidR="003E4CA3" w:rsidRPr="00D948D9" w:rsidRDefault="003E4CA3" w:rsidP="003E4CA3">
      <w:pPr>
        <w:pStyle w:val="Prrafodelista"/>
        <w:numPr>
          <w:ilvl w:val="0"/>
          <w:numId w:val="2"/>
        </w:numPr>
        <w:spacing w:line="360" w:lineRule="auto"/>
        <w:ind w:left="0" w:firstLine="0"/>
        <w:jc w:val="both"/>
        <w:rPr>
          <w:rFonts w:ascii="Palatino Linotype" w:hAnsi="Palatino Linotype" w:cs="Tahoma"/>
          <w:sz w:val="28"/>
        </w:rPr>
      </w:pPr>
      <w:r w:rsidRPr="00D948D9">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1FF83D7C" w14:textId="77777777" w:rsidR="001D2908" w:rsidRPr="00D948D9" w:rsidRDefault="001D2908" w:rsidP="001D2908">
      <w:pPr>
        <w:pStyle w:val="Prrafodelista"/>
        <w:rPr>
          <w:rFonts w:ascii="Palatino Linotype" w:hAnsi="Palatino Linotype" w:cs="Tahoma"/>
          <w:sz w:val="24"/>
        </w:rPr>
      </w:pPr>
    </w:p>
    <w:p w14:paraId="0F9176A0" w14:textId="77777777" w:rsidR="005000AA" w:rsidRPr="00D948D9" w:rsidRDefault="005000AA" w:rsidP="005000AA">
      <w:pPr>
        <w:pStyle w:val="Ttulo1"/>
        <w:jc w:val="center"/>
        <w:rPr>
          <w:rFonts w:ascii="Palatino Linotype" w:hAnsi="Palatino Linotype"/>
          <w:b/>
          <w:color w:val="auto"/>
          <w:sz w:val="24"/>
          <w:szCs w:val="24"/>
        </w:rPr>
      </w:pPr>
      <w:bookmarkStart w:id="4" w:name="_Toc87549672"/>
      <w:r w:rsidRPr="00D948D9">
        <w:rPr>
          <w:rFonts w:ascii="Palatino Linotype" w:hAnsi="Palatino Linotype"/>
          <w:b/>
          <w:color w:val="auto"/>
          <w:sz w:val="24"/>
          <w:szCs w:val="24"/>
        </w:rPr>
        <w:t>CONSIDERANDO</w:t>
      </w:r>
      <w:bookmarkEnd w:id="4"/>
      <w:r w:rsidRPr="00D948D9">
        <w:rPr>
          <w:rFonts w:ascii="Palatino Linotype" w:hAnsi="Palatino Linotype"/>
          <w:b/>
          <w:color w:val="auto"/>
          <w:sz w:val="24"/>
          <w:szCs w:val="24"/>
        </w:rPr>
        <w:t xml:space="preserve"> </w:t>
      </w:r>
    </w:p>
    <w:p w14:paraId="5A808AC6" w14:textId="77777777" w:rsidR="005000AA" w:rsidRPr="00D948D9" w:rsidRDefault="005000AA" w:rsidP="005000AA">
      <w:pPr>
        <w:rPr>
          <w:rFonts w:ascii="Palatino Linotype" w:hAnsi="Palatino Linotype"/>
          <w:sz w:val="24"/>
          <w:szCs w:val="24"/>
          <w:lang w:eastAsia="en-US"/>
        </w:rPr>
      </w:pPr>
    </w:p>
    <w:p w14:paraId="1058C60B" w14:textId="77777777" w:rsidR="005000AA" w:rsidRPr="00D948D9" w:rsidRDefault="005000AA" w:rsidP="005000AA">
      <w:pPr>
        <w:pStyle w:val="Ttulo2"/>
        <w:rPr>
          <w:rFonts w:ascii="Palatino Linotype" w:hAnsi="Palatino Linotype"/>
          <w:b/>
          <w:bCs/>
          <w:color w:val="auto"/>
          <w:spacing w:val="60"/>
          <w:sz w:val="24"/>
          <w:szCs w:val="24"/>
          <w:lang w:eastAsia="en-US"/>
        </w:rPr>
      </w:pPr>
      <w:bookmarkStart w:id="5" w:name="_Toc87549673"/>
      <w:r w:rsidRPr="00D948D9">
        <w:rPr>
          <w:rFonts w:ascii="Palatino Linotype" w:hAnsi="Palatino Linotype"/>
          <w:b/>
          <w:color w:val="auto"/>
          <w:sz w:val="24"/>
          <w:szCs w:val="24"/>
        </w:rPr>
        <w:t>PRIMERO. De la competencia</w:t>
      </w:r>
      <w:bookmarkEnd w:id="5"/>
    </w:p>
    <w:p w14:paraId="38B24DFE" w14:textId="3BFE7192" w:rsidR="005000AA" w:rsidRPr="00D948D9"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D948D9">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948D9">
        <w:rPr>
          <w:rFonts w:ascii="Palatino Linotype" w:eastAsia="Calibri" w:hAnsi="Palatino Linotype"/>
          <w:b/>
          <w:sz w:val="24"/>
          <w:lang w:val="es-ES"/>
        </w:rPr>
        <w:t>Constitución Política de los Estados Unidos Mexicanos</w:t>
      </w:r>
      <w:r w:rsidRPr="00D948D9">
        <w:rPr>
          <w:rFonts w:ascii="Palatino Linotype" w:eastAsia="Calibri" w:hAnsi="Palatino Linotype"/>
          <w:sz w:val="24"/>
          <w:lang w:val="es-ES"/>
        </w:rPr>
        <w:t xml:space="preserve">; 5, párrafos </w:t>
      </w:r>
      <w:r w:rsidRPr="00D948D9">
        <w:rPr>
          <w:rFonts w:ascii="Palatino Linotype" w:hAnsi="Palatino Linotype" w:cs="Arial"/>
          <w:bCs/>
          <w:color w:val="222222"/>
          <w:sz w:val="24"/>
          <w:lang w:val="es-ES"/>
        </w:rPr>
        <w:t>trigésimo y trigésimo primero fracciones</w:t>
      </w:r>
      <w:r w:rsidRPr="00D948D9">
        <w:rPr>
          <w:rFonts w:ascii="Palatino Linotype" w:eastAsia="Calibri" w:hAnsi="Palatino Linotype"/>
          <w:sz w:val="24"/>
          <w:lang w:val="es-ES"/>
        </w:rPr>
        <w:t xml:space="preserve"> IV y V de la </w:t>
      </w:r>
      <w:r w:rsidRPr="00D948D9">
        <w:rPr>
          <w:rFonts w:ascii="Palatino Linotype" w:eastAsia="Calibri" w:hAnsi="Palatino Linotype"/>
          <w:b/>
          <w:sz w:val="24"/>
          <w:lang w:val="es-ES"/>
        </w:rPr>
        <w:t xml:space="preserve">Constitución Política del Estado Libre y </w:t>
      </w:r>
      <w:r w:rsidRPr="00D948D9">
        <w:rPr>
          <w:rFonts w:ascii="Palatino Linotype" w:eastAsia="Calibri" w:hAnsi="Palatino Linotype"/>
          <w:b/>
          <w:sz w:val="24"/>
          <w:lang w:val="es-ES"/>
        </w:rPr>
        <w:lastRenderedPageBreak/>
        <w:t>Soberano de México</w:t>
      </w:r>
      <w:r w:rsidRPr="00D948D9">
        <w:rPr>
          <w:rFonts w:ascii="Palatino Linotype" w:eastAsia="Calibri" w:hAnsi="Palatino Linotype"/>
          <w:sz w:val="24"/>
          <w:lang w:val="es-ES"/>
        </w:rPr>
        <w:t xml:space="preserve">; artículos 1, 2 fracción II, 13, 29, 36 fracciones I y II, 176, 178, 179, 181 párrafo tercero y 185 </w:t>
      </w:r>
      <w:r w:rsidRPr="00D948D9">
        <w:rPr>
          <w:rFonts w:ascii="Palatino Linotype" w:eastAsia="Calibri" w:hAnsi="Palatino Linotype" w:cs="Arial"/>
          <w:sz w:val="24"/>
          <w:lang w:val="es-ES"/>
        </w:rPr>
        <w:t xml:space="preserve">de la </w:t>
      </w:r>
      <w:r w:rsidRPr="00D948D9">
        <w:rPr>
          <w:rFonts w:ascii="Palatino Linotype" w:eastAsia="Calibri" w:hAnsi="Palatino Linotype" w:cs="Arial"/>
          <w:b/>
          <w:sz w:val="24"/>
          <w:lang w:val="es-ES"/>
        </w:rPr>
        <w:t>Ley de Transparencia y Acceso a la Información Pública del Estado de México y Municipios</w:t>
      </w:r>
      <w:r w:rsidRPr="00D948D9">
        <w:rPr>
          <w:rFonts w:ascii="Palatino Linotype" w:eastAsia="Calibri" w:hAnsi="Palatino Linotype" w:cs="Arial"/>
          <w:sz w:val="24"/>
          <w:lang w:val="es-ES"/>
        </w:rPr>
        <w:t xml:space="preserve">; y 7, 9 fracciones I y XXIV, y 11 del </w:t>
      </w:r>
      <w:r w:rsidRPr="00D948D9">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D948D9">
        <w:rPr>
          <w:rFonts w:ascii="Palatino Linotype" w:hAnsi="Palatino Linotype"/>
          <w:sz w:val="24"/>
        </w:rPr>
        <w:t>.</w:t>
      </w:r>
    </w:p>
    <w:p w14:paraId="6D296A9A" w14:textId="77777777" w:rsidR="005000AA" w:rsidRPr="00D948D9" w:rsidRDefault="005000AA" w:rsidP="005000AA">
      <w:pPr>
        <w:pStyle w:val="Ttulo2"/>
        <w:rPr>
          <w:rFonts w:ascii="Palatino Linotype" w:hAnsi="Palatino Linotype"/>
          <w:b/>
          <w:color w:val="auto"/>
          <w:sz w:val="24"/>
          <w:szCs w:val="24"/>
        </w:rPr>
      </w:pPr>
      <w:bookmarkStart w:id="6" w:name="_Toc87549674"/>
      <w:r w:rsidRPr="00D948D9">
        <w:rPr>
          <w:rFonts w:ascii="Palatino Linotype" w:hAnsi="Palatino Linotype"/>
          <w:b/>
          <w:color w:val="auto"/>
          <w:sz w:val="24"/>
          <w:szCs w:val="24"/>
        </w:rPr>
        <w:t>SEGUNDO. De la oportunidad y procedencia.</w:t>
      </w:r>
      <w:bookmarkEnd w:id="6"/>
    </w:p>
    <w:p w14:paraId="34A6A51D" w14:textId="77777777" w:rsidR="00DA420D" w:rsidRPr="00D948D9" w:rsidRDefault="00DA420D" w:rsidP="00DA420D">
      <w:pPr>
        <w:rPr>
          <w:rFonts w:ascii="Palatino Linotype" w:hAnsi="Palatino Linotype"/>
        </w:rPr>
      </w:pPr>
    </w:p>
    <w:p w14:paraId="7736B178" w14:textId="592E3CA4" w:rsidR="00D604FD" w:rsidRPr="00D948D9"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7" w:name="_Toc87549675"/>
      <w:r w:rsidRPr="00D948D9">
        <w:rPr>
          <w:rFonts w:ascii="Palatino Linotype" w:eastAsia="Calibri" w:hAnsi="Palatino Linotype" w:cs="Arial"/>
          <w:color w:val="000000" w:themeColor="text1"/>
          <w:sz w:val="24"/>
        </w:rPr>
        <w:t xml:space="preserve">El medio de impugnación fue presentado a través del </w:t>
      </w:r>
      <w:r w:rsidRPr="00D948D9">
        <w:rPr>
          <w:rFonts w:ascii="Palatino Linotype" w:eastAsia="Calibri" w:hAnsi="Palatino Linotype" w:cs="Arial"/>
          <w:bCs/>
          <w:iCs/>
          <w:color w:val="000000" w:themeColor="text1"/>
          <w:sz w:val="24"/>
        </w:rPr>
        <w:t>SAIMEX</w:t>
      </w:r>
      <w:r w:rsidRPr="00D948D9">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D948D9">
        <w:rPr>
          <w:rFonts w:ascii="Palatino Linotype" w:eastAsia="Calibri" w:hAnsi="Palatino Linotype" w:cs="Arial"/>
          <w:b/>
          <w:color w:val="000000" w:themeColor="text1"/>
          <w:sz w:val="24"/>
        </w:rPr>
        <w:t>SUJETO OBLIGADO</w:t>
      </w:r>
      <w:r w:rsidRPr="00D948D9">
        <w:rPr>
          <w:rFonts w:ascii="Palatino Linotype" w:eastAsia="Calibri" w:hAnsi="Palatino Linotype" w:cs="Arial"/>
          <w:color w:val="000000" w:themeColor="text1"/>
          <w:sz w:val="24"/>
        </w:rPr>
        <w:t xml:space="preserve"> entregó respuesta el </w:t>
      </w:r>
      <w:r w:rsidR="004B3F30" w:rsidRPr="00D948D9">
        <w:rPr>
          <w:rFonts w:ascii="Palatino Linotype" w:eastAsia="Calibri" w:hAnsi="Palatino Linotype" w:cs="Arial"/>
          <w:color w:val="000000" w:themeColor="text1"/>
          <w:sz w:val="24"/>
        </w:rPr>
        <w:t>diez</w:t>
      </w:r>
      <w:r w:rsidRPr="00D948D9">
        <w:rPr>
          <w:rFonts w:ascii="Palatino Linotype" w:eastAsia="Calibri" w:hAnsi="Palatino Linotype" w:cs="Arial"/>
          <w:color w:val="000000" w:themeColor="text1"/>
          <w:sz w:val="24"/>
        </w:rPr>
        <w:t xml:space="preserve"> (</w:t>
      </w:r>
      <w:r w:rsidR="004B3F30" w:rsidRPr="00D948D9">
        <w:rPr>
          <w:rFonts w:ascii="Palatino Linotype" w:eastAsia="Calibri" w:hAnsi="Palatino Linotype" w:cs="Arial"/>
          <w:color w:val="000000" w:themeColor="text1"/>
          <w:sz w:val="24"/>
        </w:rPr>
        <w:t>10</w:t>
      </w:r>
      <w:r w:rsidRPr="00D948D9">
        <w:rPr>
          <w:rFonts w:ascii="Palatino Linotype" w:eastAsia="Calibri" w:hAnsi="Palatino Linotype" w:cs="Arial"/>
          <w:color w:val="000000" w:themeColor="text1"/>
          <w:sz w:val="24"/>
        </w:rPr>
        <w:t xml:space="preserve">) de </w:t>
      </w:r>
      <w:r w:rsidR="004B3F30" w:rsidRPr="00D948D9">
        <w:rPr>
          <w:rFonts w:ascii="Palatino Linotype" w:eastAsia="Calibri" w:hAnsi="Palatino Linotype" w:cs="Arial"/>
          <w:color w:val="000000" w:themeColor="text1"/>
          <w:sz w:val="24"/>
        </w:rPr>
        <w:t>agosto</w:t>
      </w:r>
      <w:r w:rsidRPr="00D948D9">
        <w:rPr>
          <w:rFonts w:ascii="Palatino Linotype" w:eastAsia="Calibri" w:hAnsi="Palatino Linotype" w:cs="Arial"/>
          <w:color w:val="000000" w:themeColor="text1"/>
          <w:sz w:val="24"/>
        </w:rPr>
        <w:t xml:space="preserve"> de dos mil veintidós, de tal forma que el plazo para interponer el recurso de revisión transcurrió del </w:t>
      </w:r>
      <w:r w:rsidR="004B3F30" w:rsidRPr="00D948D9">
        <w:rPr>
          <w:rFonts w:ascii="Palatino Linotype" w:eastAsia="Calibri" w:hAnsi="Palatino Linotype" w:cs="Arial"/>
          <w:color w:val="000000" w:themeColor="text1"/>
          <w:sz w:val="24"/>
        </w:rPr>
        <w:t>once</w:t>
      </w:r>
      <w:r w:rsidRPr="00D948D9">
        <w:rPr>
          <w:rFonts w:ascii="Palatino Linotype" w:eastAsia="Calibri" w:hAnsi="Palatino Linotype" w:cs="Arial"/>
          <w:color w:val="000000" w:themeColor="text1"/>
          <w:sz w:val="24"/>
        </w:rPr>
        <w:t xml:space="preserve"> (</w:t>
      </w:r>
      <w:r w:rsidR="004B3F30" w:rsidRPr="00D948D9">
        <w:rPr>
          <w:rFonts w:ascii="Palatino Linotype" w:eastAsia="Calibri" w:hAnsi="Palatino Linotype" w:cs="Arial"/>
          <w:color w:val="000000" w:themeColor="text1"/>
          <w:sz w:val="24"/>
        </w:rPr>
        <w:t>11</w:t>
      </w:r>
      <w:r w:rsidRPr="00D948D9">
        <w:rPr>
          <w:rFonts w:ascii="Palatino Linotype" w:eastAsia="Calibri" w:hAnsi="Palatino Linotype" w:cs="Arial"/>
          <w:color w:val="000000" w:themeColor="text1"/>
          <w:sz w:val="24"/>
        </w:rPr>
        <w:t xml:space="preserve">) </w:t>
      </w:r>
      <w:r w:rsidR="004B3F30" w:rsidRPr="00D948D9">
        <w:rPr>
          <w:rFonts w:ascii="Palatino Linotype" w:eastAsia="Calibri" w:hAnsi="Palatino Linotype" w:cs="Arial"/>
          <w:color w:val="000000" w:themeColor="text1"/>
          <w:sz w:val="24"/>
        </w:rPr>
        <w:t xml:space="preserve">al treinta y uno (31) </w:t>
      </w:r>
      <w:r w:rsidRPr="00D948D9">
        <w:rPr>
          <w:rFonts w:ascii="Palatino Linotype" w:eastAsia="Calibri" w:hAnsi="Palatino Linotype" w:cs="Arial"/>
          <w:color w:val="000000" w:themeColor="text1"/>
          <w:sz w:val="24"/>
        </w:rPr>
        <w:t xml:space="preserve">de </w:t>
      </w:r>
      <w:r w:rsidR="004B3F30" w:rsidRPr="00D948D9">
        <w:rPr>
          <w:rFonts w:ascii="Palatino Linotype" w:eastAsia="Calibri" w:hAnsi="Palatino Linotype" w:cs="Arial"/>
          <w:color w:val="000000" w:themeColor="text1"/>
          <w:sz w:val="24"/>
        </w:rPr>
        <w:t>agosto</w:t>
      </w:r>
      <w:r w:rsidRPr="00D948D9">
        <w:rPr>
          <w:rFonts w:ascii="Palatino Linotype" w:eastAsia="Calibri" w:hAnsi="Palatino Linotype" w:cs="Arial"/>
          <w:color w:val="000000" w:themeColor="text1"/>
          <w:sz w:val="24"/>
        </w:rPr>
        <w:t xml:space="preserve"> de dos mil veintidós, el recurso de revisión </w:t>
      </w:r>
      <w:r w:rsidRPr="00D948D9">
        <w:rPr>
          <w:rFonts w:ascii="Palatino Linotype" w:hAnsi="Palatino Linotype"/>
          <w:color w:val="000000" w:themeColor="text1"/>
          <w:sz w:val="24"/>
        </w:rPr>
        <w:t xml:space="preserve">fue interpuesto el </w:t>
      </w:r>
      <w:r w:rsidR="004B3F30" w:rsidRPr="00D948D9">
        <w:rPr>
          <w:rFonts w:ascii="Palatino Linotype" w:hAnsi="Palatino Linotype"/>
          <w:color w:val="000000" w:themeColor="text1"/>
          <w:sz w:val="24"/>
        </w:rPr>
        <w:t>catorce</w:t>
      </w:r>
      <w:r w:rsidRPr="00D948D9">
        <w:rPr>
          <w:rFonts w:ascii="Palatino Linotype" w:hAnsi="Palatino Linotype"/>
          <w:color w:val="000000" w:themeColor="text1"/>
          <w:sz w:val="24"/>
        </w:rPr>
        <w:t xml:space="preserve"> (</w:t>
      </w:r>
      <w:r w:rsidR="004B3F30" w:rsidRPr="00D948D9">
        <w:rPr>
          <w:rFonts w:ascii="Palatino Linotype" w:hAnsi="Palatino Linotype"/>
          <w:color w:val="000000" w:themeColor="text1"/>
          <w:sz w:val="24"/>
        </w:rPr>
        <w:t>14</w:t>
      </w:r>
      <w:r w:rsidRPr="00D948D9">
        <w:rPr>
          <w:rFonts w:ascii="Palatino Linotype" w:hAnsi="Palatino Linotype"/>
          <w:color w:val="000000" w:themeColor="text1"/>
          <w:sz w:val="24"/>
        </w:rPr>
        <w:t xml:space="preserve">) de </w:t>
      </w:r>
      <w:r w:rsidR="004B3F30" w:rsidRPr="00D948D9">
        <w:rPr>
          <w:rFonts w:ascii="Palatino Linotype" w:hAnsi="Palatino Linotype"/>
          <w:color w:val="000000" w:themeColor="text1"/>
          <w:sz w:val="24"/>
        </w:rPr>
        <w:t>agosto</w:t>
      </w:r>
      <w:r w:rsidRPr="00D948D9">
        <w:rPr>
          <w:rFonts w:ascii="Palatino Linotype" w:hAnsi="Palatino Linotype"/>
          <w:color w:val="000000" w:themeColor="text1"/>
          <w:sz w:val="24"/>
        </w:rPr>
        <w:t xml:space="preserve"> de dos mil veintidós, éste</w:t>
      </w:r>
      <w:r w:rsidRPr="00D948D9">
        <w:rPr>
          <w:rFonts w:ascii="Palatino Linotype" w:hAnsi="Palatino Linotype" w:cs="Arial"/>
          <w:color w:val="000000" w:themeColor="text1"/>
          <w:sz w:val="24"/>
        </w:rPr>
        <w:t xml:space="preserve"> se encuentra dentro de los márgenes temporales previstos en el artículo 178 de la Ley de Transparencia y Acceso a la Información Pública del Estado de México y Municipios</w:t>
      </w:r>
      <w:r w:rsidRPr="00D948D9">
        <w:rPr>
          <w:rFonts w:ascii="Palatino Linotype" w:hAnsi="Palatino Linotype" w:cs="Arial"/>
          <w:b/>
          <w:color w:val="000000" w:themeColor="text1"/>
          <w:sz w:val="24"/>
        </w:rPr>
        <w:t xml:space="preserve"> </w:t>
      </w:r>
      <w:r w:rsidRPr="00D948D9">
        <w:rPr>
          <w:rFonts w:ascii="Palatino Linotype" w:hAnsi="Palatino Linotype" w:cs="Arial"/>
          <w:color w:val="000000" w:themeColor="text1"/>
          <w:sz w:val="24"/>
        </w:rPr>
        <w:t xml:space="preserve">vigente. </w:t>
      </w:r>
    </w:p>
    <w:p w14:paraId="08433B63" w14:textId="77777777" w:rsidR="00D604FD" w:rsidRPr="00D948D9" w:rsidRDefault="00D604FD" w:rsidP="00D604FD">
      <w:pPr>
        <w:tabs>
          <w:tab w:val="left" w:pos="426"/>
        </w:tabs>
        <w:spacing w:line="360" w:lineRule="auto"/>
        <w:ind w:right="49"/>
        <w:jc w:val="both"/>
        <w:rPr>
          <w:rFonts w:ascii="Palatino Linotype" w:hAnsi="Palatino Linotype" w:cs="Arial"/>
          <w:bCs/>
          <w:color w:val="000000" w:themeColor="text1"/>
          <w:sz w:val="22"/>
          <w:lang w:eastAsia="es-MX"/>
        </w:rPr>
      </w:pPr>
    </w:p>
    <w:p w14:paraId="164A02EF" w14:textId="77777777" w:rsidR="00D604FD" w:rsidRPr="00D948D9" w:rsidRDefault="00D604FD" w:rsidP="00D604FD">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D948D9">
        <w:rPr>
          <w:rFonts w:ascii="Palatino Linotype" w:eastAsia="Calibri" w:hAnsi="Palatino Linotype" w:cs="Arial"/>
          <w:color w:val="000000" w:themeColor="text1"/>
          <w:sz w:val="24"/>
        </w:rPr>
        <w:t xml:space="preserve">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w:t>
      </w:r>
      <w:r w:rsidRPr="00D948D9">
        <w:rPr>
          <w:rFonts w:ascii="Palatino Linotype" w:eastAsia="Calibri" w:hAnsi="Palatino Linotype" w:cs="Arial"/>
          <w:color w:val="000000" w:themeColor="text1"/>
          <w:sz w:val="24"/>
        </w:rPr>
        <w:lastRenderedPageBreak/>
        <w:t>Pública y Protección de Datos Personales del Estado de México y Municipios, conozca y resuelva el presente recurso.</w:t>
      </w:r>
    </w:p>
    <w:p w14:paraId="12851EBB" w14:textId="415C1767" w:rsidR="005000AA" w:rsidRPr="00D948D9" w:rsidRDefault="005000AA" w:rsidP="005000AA">
      <w:pPr>
        <w:pStyle w:val="Ttulo1"/>
        <w:rPr>
          <w:rFonts w:ascii="Palatino Linotype" w:eastAsia="MS Mincho" w:hAnsi="Palatino Linotype" w:cs="Times New Roman"/>
          <w:b/>
          <w:color w:val="auto"/>
          <w:sz w:val="24"/>
          <w:szCs w:val="24"/>
        </w:rPr>
      </w:pPr>
      <w:r w:rsidRPr="00D948D9">
        <w:rPr>
          <w:rFonts w:ascii="Palatino Linotype" w:hAnsi="Palatino Linotype"/>
          <w:b/>
          <w:color w:val="auto"/>
          <w:sz w:val="24"/>
          <w:szCs w:val="24"/>
        </w:rPr>
        <w:t>TERCERO. Planteamiento de la Litis</w:t>
      </w:r>
      <w:bookmarkEnd w:id="7"/>
      <w:r w:rsidRPr="00D948D9">
        <w:rPr>
          <w:rFonts w:ascii="Palatino Linotype" w:hAnsi="Palatino Linotype"/>
          <w:b/>
          <w:color w:val="auto"/>
          <w:sz w:val="24"/>
          <w:szCs w:val="24"/>
        </w:rPr>
        <w:t xml:space="preserve"> </w:t>
      </w:r>
    </w:p>
    <w:p w14:paraId="2F059F0C" w14:textId="77777777" w:rsidR="00601054" w:rsidRPr="00D948D9"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D948D9">
        <w:rPr>
          <w:rFonts w:ascii="Palatino Linotype" w:hAnsi="Palatino Linotype"/>
          <w:bCs/>
          <w:sz w:val="24"/>
        </w:rPr>
        <w:t>El recurrente solicitó</w:t>
      </w:r>
      <w:r w:rsidR="00030C87" w:rsidRPr="00D948D9">
        <w:rPr>
          <w:rFonts w:ascii="Palatino Linotype" w:hAnsi="Palatino Linotype"/>
          <w:bCs/>
          <w:sz w:val="24"/>
        </w:rPr>
        <w:t xml:space="preserve"> </w:t>
      </w:r>
      <w:r w:rsidR="00601054" w:rsidRPr="00D948D9">
        <w:rPr>
          <w:rFonts w:ascii="Palatino Linotype" w:hAnsi="Palatino Linotype"/>
          <w:bCs/>
          <w:sz w:val="24"/>
        </w:rPr>
        <w:t>lo siguiente:</w:t>
      </w:r>
    </w:p>
    <w:p w14:paraId="76A4DC92" w14:textId="77777777" w:rsidR="004B3F30" w:rsidRPr="00D948D9" w:rsidRDefault="004B3F30" w:rsidP="004B3F30">
      <w:pPr>
        <w:pStyle w:val="Prrafodelista"/>
        <w:spacing w:before="240" w:after="240" w:line="360" w:lineRule="auto"/>
        <w:ind w:left="0" w:right="49"/>
        <w:jc w:val="both"/>
        <w:rPr>
          <w:rFonts w:ascii="Palatino Linotype" w:hAnsi="Palatino Linotype"/>
          <w:i/>
          <w:sz w:val="24"/>
          <w:lang w:eastAsia="es-MX"/>
        </w:rPr>
      </w:pPr>
    </w:p>
    <w:p w14:paraId="4038A42B" w14:textId="77777777" w:rsidR="004B3F30" w:rsidRPr="00D948D9" w:rsidRDefault="004B3F30" w:rsidP="004B3F30">
      <w:pPr>
        <w:pStyle w:val="Prrafodelista"/>
        <w:numPr>
          <w:ilvl w:val="0"/>
          <w:numId w:val="13"/>
        </w:numPr>
        <w:spacing w:line="360" w:lineRule="auto"/>
        <w:jc w:val="both"/>
        <w:rPr>
          <w:rFonts w:ascii="Palatino Linotype" w:hAnsi="Palatino Linotype"/>
          <w:sz w:val="24"/>
        </w:rPr>
      </w:pPr>
      <w:r w:rsidRPr="00D948D9">
        <w:rPr>
          <w:rFonts w:ascii="Palatino Linotype" w:hAnsi="Palatino Linotype"/>
          <w:sz w:val="24"/>
        </w:rPr>
        <w:t>Las bases de datos actualizadas;</w:t>
      </w:r>
    </w:p>
    <w:p w14:paraId="7BDE62DD" w14:textId="77777777" w:rsidR="004B3F30" w:rsidRPr="00D948D9" w:rsidRDefault="004B3F30" w:rsidP="004B3F30">
      <w:pPr>
        <w:pStyle w:val="Prrafodelista"/>
        <w:numPr>
          <w:ilvl w:val="0"/>
          <w:numId w:val="13"/>
        </w:numPr>
        <w:spacing w:line="360" w:lineRule="auto"/>
        <w:jc w:val="both"/>
        <w:rPr>
          <w:rFonts w:ascii="Palatino Linotype" w:hAnsi="Palatino Linotype"/>
          <w:sz w:val="24"/>
        </w:rPr>
      </w:pPr>
      <w:r w:rsidRPr="00D948D9">
        <w:rPr>
          <w:rFonts w:ascii="Palatino Linotype" w:hAnsi="Palatino Linotype"/>
          <w:sz w:val="24"/>
        </w:rPr>
        <w:t>Documento de seguridad;</w:t>
      </w:r>
    </w:p>
    <w:p w14:paraId="0DE2335F" w14:textId="77777777" w:rsidR="004B3F30" w:rsidRPr="00D948D9" w:rsidRDefault="004B3F30" w:rsidP="004B3F30">
      <w:pPr>
        <w:pStyle w:val="Prrafodelista"/>
        <w:numPr>
          <w:ilvl w:val="0"/>
          <w:numId w:val="13"/>
        </w:numPr>
        <w:spacing w:line="360" w:lineRule="auto"/>
        <w:jc w:val="both"/>
        <w:rPr>
          <w:rFonts w:ascii="Palatino Linotype" w:hAnsi="Palatino Linotype"/>
          <w:sz w:val="24"/>
        </w:rPr>
      </w:pPr>
      <w:r w:rsidRPr="00D948D9">
        <w:rPr>
          <w:rFonts w:ascii="Palatino Linotype" w:hAnsi="Palatino Linotype"/>
          <w:sz w:val="24"/>
        </w:rPr>
        <w:t>Avisos de privacidad; y,</w:t>
      </w:r>
    </w:p>
    <w:p w14:paraId="7203C077" w14:textId="1D0EFBC8" w:rsidR="004B3F30" w:rsidRPr="00D948D9" w:rsidRDefault="004B3F30" w:rsidP="004B3F30">
      <w:pPr>
        <w:pStyle w:val="Prrafodelista"/>
        <w:numPr>
          <w:ilvl w:val="0"/>
          <w:numId w:val="13"/>
        </w:numPr>
        <w:spacing w:line="360" w:lineRule="auto"/>
        <w:jc w:val="both"/>
        <w:rPr>
          <w:rFonts w:ascii="Palatino Linotype" w:hAnsi="Palatino Linotype"/>
          <w:sz w:val="24"/>
        </w:rPr>
      </w:pPr>
      <w:r w:rsidRPr="00D948D9">
        <w:rPr>
          <w:rFonts w:ascii="Palatino Linotype" w:hAnsi="Palatino Linotype"/>
          <w:sz w:val="24"/>
        </w:rPr>
        <w:t>Sistemas de Gestión.</w:t>
      </w:r>
    </w:p>
    <w:p w14:paraId="62DDEB9D" w14:textId="77777777" w:rsidR="004B3F30" w:rsidRPr="00D948D9" w:rsidRDefault="004B3F30" w:rsidP="004B3F30">
      <w:pPr>
        <w:pStyle w:val="Prrafodelista"/>
        <w:tabs>
          <w:tab w:val="left" w:pos="284"/>
        </w:tabs>
        <w:spacing w:before="240" w:after="240" w:line="360" w:lineRule="auto"/>
        <w:ind w:left="0"/>
        <w:jc w:val="both"/>
        <w:rPr>
          <w:rFonts w:ascii="Palatino Linotype" w:eastAsiaTheme="minorEastAsia" w:hAnsi="Palatino Linotype"/>
          <w:iCs/>
          <w:sz w:val="24"/>
          <w:lang w:val="es-ES_tradnl"/>
        </w:rPr>
      </w:pPr>
    </w:p>
    <w:p w14:paraId="77FCABCB" w14:textId="2453C859" w:rsidR="00030C87" w:rsidRPr="00D948D9" w:rsidRDefault="00030C87" w:rsidP="00C13112">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D948D9">
        <w:rPr>
          <w:rFonts w:ascii="Palatino Linotype" w:eastAsiaTheme="minorEastAsia" w:hAnsi="Palatino Linotype"/>
          <w:iCs/>
          <w:sz w:val="24"/>
          <w:lang w:val="es-ES_tradnl"/>
        </w:rPr>
        <w:t>El Sujeto Obligado</w:t>
      </w:r>
      <w:r w:rsidR="00601054" w:rsidRPr="00D948D9">
        <w:rPr>
          <w:rFonts w:ascii="Palatino Linotype" w:eastAsiaTheme="minorEastAsia" w:hAnsi="Palatino Linotype"/>
          <w:iCs/>
          <w:sz w:val="24"/>
          <w:lang w:val="es-ES_tradnl"/>
        </w:rPr>
        <w:t xml:space="preserve"> </w:t>
      </w:r>
      <w:r w:rsidR="004B3F30" w:rsidRPr="00D948D9">
        <w:rPr>
          <w:rFonts w:ascii="Palatino Linotype" w:eastAsiaTheme="minorEastAsia" w:hAnsi="Palatino Linotype"/>
          <w:iCs/>
          <w:sz w:val="24"/>
          <w:lang w:val="es-ES_tradnl"/>
        </w:rPr>
        <w:t xml:space="preserve">entregó </w:t>
      </w:r>
      <w:r w:rsidR="00E73BC5" w:rsidRPr="00D948D9">
        <w:rPr>
          <w:rFonts w:ascii="Palatino Linotype" w:eastAsiaTheme="minorEastAsia" w:hAnsi="Palatino Linotype"/>
          <w:iCs/>
          <w:sz w:val="24"/>
          <w:lang w:val="es-ES_tradnl"/>
        </w:rPr>
        <w:t>el Sistema de Gestión, una relación de bases de datos que administra, una dirección electrónica donde se encuentran los avisos de privacidad y clasificó como información confidencial el documento de seguridad.</w:t>
      </w:r>
      <w:r w:rsidR="004E24D9" w:rsidRPr="00D948D9">
        <w:rPr>
          <w:rFonts w:ascii="Palatino Linotype" w:eastAsiaTheme="minorEastAsia" w:hAnsi="Palatino Linotype"/>
          <w:iCs/>
          <w:sz w:val="24"/>
          <w:lang w:val="es-ES_tradnl"/>
        </w:rPr>
        <w:t xml:space="preserve"> </w:t>
      </w:r>
    </w:p>
    <w:p w14:paraId="46653142" w14:textId="51519190" w:rsidR="00B30557" w:rsidRPr="00D948D9" w:rsidRDefault="00B30557" w:rsidP="00B3055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D948D9">
        <w:rPr>
          <w:rFonts w:ascii="Palatino Linotype" w:eastAsiaTheme="minorEastAsia" w:hAnsi="Palatino Linotype" w:cs="Arial"/>
          <w:sz w:val="24"/>
          <w:szCs w:val="24"/>
          <w:lang w:val="es-ES_tradnl"/>
        </w:rPr>
        <w:t xml:space="preserve">Por lo tanto, el presente recurso de revisión se circunscribe en determinar si se </w:t>
      </w:r>
      <w:r w:rsidRPr="00D948D9">
        <w:rPr>
          <w:rFonts w:ascii="Palatino Linotype" w:hAnsi="Palatino Linotype"/>
          <w:sz w:val="24"/>
          <w:szCs w:val="24"/>
          <w:lang w:val="es-ES_tradnl"/>
        </w:rPr>
        <w:t>actualiza las causales de procedencia</w:t>
      </w:r>
      <w:r w:rsidRPr="00D948D9">
        <w:rPr>
          <w:rFonts w:ascii="Palatino Linotype" w:hAnsi="Palatino Linotype"/>
          <w:b/>
          <w:sz w:val="24"/>
          <w:szCs w:val="24"/>
          <w:lang w:val="es-ES_tradnl"/>
        </w:rPr>
        <w:t xml:space="preserve"> </w:t>
      </w:r>
      <w:r w:rsidRPr="00D948D9">
        <w:rPr>
          <w:rFonts w:ascii="Palatino Linotype" w:hAnsi="Palatino Linotype" w:cs="Arial"/>
          <w:sz w:val="24"/>
          <w:szCs w:val="24"/>
          <w:lang w:val="es-ES_tradnl" w:eastAsia="es-MX"/>
        </w:rPr>
        <w:t xml:space="preserve">contenidas en </w:t>
      </w:r>
      <w:r w:rsidR="00E73BC5" w:rsidRPr="00D948D9">
        <w:rPr>
          <w:rFonts w:ascii="Palatino Linotype" w:hAnsi="Palatino Linotype" w:cs="Arial"/>
          <w:sz w:val="24"/>
          <w:szCs w:val="24"/>
          <w:lang w:val="es-ES" w:eastAsia="es-MX"/>
        </w:rPr>
        <w:t>el artículo 179, fracción</w:t>
      </w:r>
      <w:r w:rsidRPr="00D948D9">
        <w:rPr>
          <w:rFonts w:ascii="Palatino Linotype" w:hAnsi="Palatino Linotype" w:cs="Arial"/>
          <w:sz w:val="24"/>
          <w:szCs w:val="24"/>
          <w:lang w:val="es-ES" w:eastAsia="es-MX"/>
        </w:rPr>
        <w:t xml:space="preserve"> </w:t>
      </w:r>
      <w:r w:rsidR="00D604FD" w:rsidRPr="00D948D9">
        <w:rPr>
          <w:rFonts w:ascii="Palatino Linotype" w:hAnsi="Palatino Linotype" w:cs="Arial"/>
          <w:sz w:val="24"/>
          <w:szCs w:val="24"/>
          <w:lang w:val="es-ES" w:eastAsia="es-MX"/>
        </w:rPr>
        <w:t>I</w:t>
      </w:r>
      <w:r w:rsidR="00B35B3B" w:rsidRPr="00D948D9">
        <w:rPr>
          <w:rFonts w:ascii="Palatino Linotype" w:hAnsi="Palatino Linotype" w:cs="Arial"/>
          <w:sz w:val="24"/>
          <w:szCs w:val="24"/>
          <w:lang w:val="es-ES" w:eastAsia="es-MX"/>
        </w:rPr>
        <w:t xml:space="preserve">, relativo a la </w:t>
      </w:r>
      <w:r w:rsidR="00D604FD" w:rsidRPr="00D948D9">
        <w:rPr>
          <w:rFonts w:ascii="Palatino Linotype" w:hAnsi="Palatino Linotype" w:cs="Arial"/>
          <w:sz w:val="24"/>
          <w:szCs w:val="24"/>
          <w:lang w:val="es-ES" w:eastAsia="es-MX"/>
        </w:rPr>
        <w:t xml:space="preserve">negativa </w:t>
      </w:r>
      <w:r w:rsidR="00E73BC5" w:rsidRPr="00D948D9">
        <w:rPr>
          <w:rFonts w:ascii="Palatino Linotype" w:hAnsi="Palatino Linotype" w:cs="Arial"/>
          <w:sz w:val="24"/>
          <w:szCs w:val="24"/>
          <w:lang w:val="es-ES" w:eastAsia="es-MX"/>
        </w:rPr>
        <w:t>d</w:t>
      </w:r>
      <w:r w:rsidR="00D604FD" w:rsidRPr="00D948D9">
        <w:rPr>
          <w:rFonts w:ascii="Palatino Linotype" w:hAnsi="Palatino Linotype" w:cs="Arial"/>
          <w:sz w:val="24"/>
          <w:szCs w:val="24"/>
          <w:lang w:val="es-ES" w:eastAsia="es-MX"/>
        </w:rPr>
        <w:t>e la información</w:t>
      </w:r>
      <w:r w:rsidR="00B35B3B" w:rsidRPr="00D948D9">
        <w:rPr>
          <w:rFonts w:ascii="Palatino Linotype" w:hAnsi="Palatino Linotype" w:cs="Arial"/>
          <w:sz w:val="24"/>
          <w:szCs w:val="24"/>
          <w:lang w:val="es-ES" w:eastAsia="es-MX"/>
        </w:rPr>
        <w:t>,</w:t>
      </w:r>
      <w:r w:rsidRPr="00D948D9">
        <w:rPr>
          <w:rFonts w:ascii="Palatino Linotype" w:hAnsi="Palatino Linotype" w:cs="Arial"/>
          <w:sz w:val="24"/>
          <w:szCs w:val="24"/>
          <w:lang w:val="es-ES" w:eastAsia="es-MX"/>
        </w:rPr>
        <w:t xml:space="preserve"> de la </w:t>
      </w:r>
      <w:r w:rsidRPr="00D948D9">
        <w:rPr>
          <w:rFonts w:ascii="Palatino Linotype" w:eastAsia="Calibri" w:hAnsi="Palatino Linotype" w:cs="Arial"/>
          <w:b/>
          <w:sz w:val="24"/>
          <w:szCs w:val="24"/>
          <w:lang w:val="es-ES"/>
        </w:rPr>
        <w:t>Ley de Transparencia y Acceso a la Información Pública del Estado de México y Municipios</w:t>
      </w:r>
      <w:r w:rsidRPr="00D948D9">
        <w:rPr>
          <w:rFonts w:ascii="Palatino Linotype" w:hAnsi="Palatino Linotype" w:cs="Arial"/>
          <w:sz w:val="24"/>
          <w:szCs w:val="24"/>
          <w:lang w:val="es-ES" w:eastAsia="es-MX"/>
        </w:rPr>
        <w:t>.</w:t>
      </w:r>
    </w:p>
    <w:p w14:paraId="7F7546DD" w14:textId="77777777" w:rsidR="00601054" w:rsidRPr="00D948D9" w:rsidRDefault="00601054" w:rsidP="00030C87">
      <w:pPr>
        <w:tabs>
          <w:tab w:val="left" w:pos="426"/>
        </w:tabs>
        <w:spacing w:line="360" w:lineRule="auto"/>
        <w:ind w:left="567" w:right="616"/>
        <w:jc w:val="both"/>
        <w:rPr>
          <w:rFonts w:ascii="Palatino Linotype" w:hAnsi="Palatino Linotype" w:cs="Arial"/>
          <w:i/>
          <w:iCs/>
          <w:color w:val="000000" w:themeColor="text1"/>
          <w:sz w:val="22"/>
          <w:szCs w:val="22"/>
        </w:rPr>
      </w:pPr>
    </w:p>
    <w:p w14:paraId="5A5C4D9D" w14:textId="77777777" w:rsidR="00030C87" w:rsidRPr="00D948D9" w:rsidRDefault="00030C87" w:rsidP="00030C87">
      <w:pPr>
        <w:pStyle w:val="Ttulo2"/>
        <w:tabs>
          <w:tab w:val="left" w:pos="426"/>
        </w:tabs>
        <w:rPr>
          <w:rFonts w:ascii="Palatino Linotype" w:hAnsi="Palatino Linotype" w:cs="Arial"/>
          <w:b/>
          <w:color w:val="000000" w:themeColor="text1"/>
          <w:sz w:val="24"/>
          <w:szCs w:val="24"/>
        </w:rPr>
      </w:pPr>
      <w:bookmarkStart w:id="8" w:name="_Toc87456489"/>
      <w:bookmarkStart w:id="9" w:name="_Toc34911390"/>
      <w:r w:rsidRPr="00D948D9">
        <w:rPr>
          <w:rFonts w:ascii="Palatino Linotype" w:hAnsi="Palatino Linotype" w:cs="Arial"/>
          <w:b/>
          <w:color w:val="000000" w:themeColor="text1"/>
          <w:sz w:val="24"/>
          <w:szCs w:val="24"/>
        </w:rPr>
        <w:t>CUARTO. Estudio y Resolución del asunto.</w:t>
      </w:r>
      <w:bookmarkEnd w:id="8"/>
    </w:p>
    <w:p w14:paraId="221A5442" w14:textId="77777777" w:rsidR="00030C87" w:rsidRPr="00D948D9" w:rsidRDefault="00030C87" w:rsidP="00030C87">
      <w:pPr>
        <w:pStyle w:val="Prrafodelista"/>
        <w:tabs>
          <w:tab w:val="left" w:pos="426"/>
        </w:tabs>
        <w:spacing w:line="360" w:lineRule="auto"/>
        <w:ind w:left="0" w:right="51"/>
        <w:jc w:val="both"/>
        <w:rPr>
          <w:rFonts w:ascii="Palatino Linotype" w:hAnsi="Palatino Linotype"/>
          <w:color w:val="000000" w:themeColor="text1"/>
          <w:sz w:val="24"/>
        </w:rPr>
      </w:pPr>
    </w:p>
    <w:p w14:paraId="671F21BF" w14:textId="77777777" w:rsidR="00030C87" w:rsidRPr="00D948D9" w:rsidRDefault="00030C87" w:rsidP="00030C87">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10" w:name="_Toc87456490"/>
      <w:r w:rsidRPr="00D948D9">
        <w:rPr>
          <w:rFonts w:ascii="Palatino Linotype" w:hAnsi="Palatino Linotype"/>
          <w:b/>
          <w:bCs/>
          <w:color w:val="000000" w:themeColor="text1"/>
          <w:sz w:val="24"/>
        </w:rPr>
        <w:lastRenderedPageBreak/>
        <w:t>I. De la atención a la solicitud de información.</w:t>
      </w:r>
      <w:bookmarkEnd w:id="10"/>
    </w:p>
    <w:p w14:paraId="305E77F3" w14:textId="77777777" w:rsidR="00030C87" w:rsidRPr="00D948D9" w:rsidRDefault="00030C87" w:rsidP="00030C87">
      <w:pPr>
        <w:pStyle w:val="Ttulo2"/>
        <w:numPr>
          <w:ilvl w:val="1"/>
          <w:numId w:val="2"/>
        </w:numPr>
        <w:spacing w:line="259" w:lineRule="auto"/>
        <w:ind w:left="993" w:hanging="360"/>
        <w:rPr>
          <w:rFonts w:ascii="Palatino Linotype" w:hAnsi="Palatino Linotype"/>
          <w:b/>
          <w:color w:val="auto"/>
          <w:sz w:val="24"/>
          <w:szCs w:val="24"/>
        </w:rPr>
      </w:pPr>
      <w:bookmarkStart w:id="11" w:name="_Toc59195561"/>
      <w:bookmarkStart w:id="12" w:name="_Toc83830727"/>
      <w:bookmarkStart w:id="13" w:name="_Toc85112350"/>
      <w:bookmarkStart w:id="14" w:name="_Toc27141117"/>
      <w:bookmarkStart w:id="15" w:name="_Toc4061684"/>
      <w:r w:rsidRPr="00D948D9">
        <w:rPr>
          <w:rFonts w:ascii="Palatino Linotype" w:hAnsi="Palatino Linotype"/>
          <w:b/>
          <w:color w:val="auto"/>
          <w:sz w:val="24"/>
          <w:szCs w:val="24"/>
        </w:rPr>
        <w:t>De la fuente obligacional</w:t>
      </w:r>
      <w:bookmarkEnd w:id="11"/>
      <w:bookmarkEnd w:id="12"/>
      <w:bookmarkEnd w:id="13"/>
    </w:p>
    <w:bookmarkEnd w:id="14"/>
    <w:bookmarkEnd w:id="15"/>
    <w:p w14:paraId="332C7DC5" w14:textId="77777777" w:rsidR="00030C87" w:rsidRPr="00D948D9" w:rsidRDefault="00030C87" w:rsidP="00030C87">
      <w:pPr>
        <w:rPr>
          <w:rFonts w:ascii="Palatino Linotype" w:hAnsi="Palatino Linotype"/>
          <w:sz w:val="24"/>
          <w:szCs w:val="24"/>
          <w:lang w:val="es-ES"/>
        </w:rPr>
      </w:pPr>
    </w:p>
    <w:p w14:paraId="4CE1B5E6" w14:textId="77777777" w:rsidR="00030C87" w:rsidRPr="00D948D9" w:rsidRDefault="00030C87" w:rsidP="00030C87">
      <w:pPr>
        <w:numPr>
          <w:ilvl w:val="0"/>
          <w:numId w:val="2"/>
        </w:numPr>
        <w:spacing w:line="360" w:lineRule="auto"/>
        <w:ind w:left="0" w:right="34" w:firstLine="0"/>
        <w:contextualSpacing/>
        <w:jc w:val="both"/>
        <w:rPr>
          <w:rFonts w:ascii="Palatino Linotype" w:eastAsia="MS Mincho" w:hAnsi="Palatino Linotype" w:cs="Arial"/>
          <w:sz w:val="24"/>
          <w:szCs w:val="24"/>
        </w:rPr>
      </w:pPr>
      <w:r w:rsidRPr="00D948D9">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948D9">
        <w:rPr>
          <w:rFonts w:ascii="Palatino Linotype" w:hAnsi="Palatino Linotype" w:cs="Arial"/>
          <w:color w:val="000000"/>
          <w:sz w:val="24"/>
          <w:szCs w:val="24"/>
        </w:rPr>
        <w:t xml:space="preserve"> </w:t>
      </w:r>
      <w:r w:rsidRPr="00D948D9">
        <w:rPr>
          <w:rFonts w:ascii="Palatino Linotype" w:hAnsi="Palatino Linotype" w:cs="Arial"/>
          <w:b/>
          <w:color w:val="000000"/>
          <w:sz w:val="24"/>
          <w:szCs w:val="24"/>
        </w:rPr>
        <w:t>SUJETO OBLIGADO</w:t>
      </w:r>
      <w:r w:rsidRPr="00D948D9">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948D9">
        <w:rPr>
          <w:rFonts w:ascii="Palatino Linotype" w:hAnsi="Palatino Linotype" w:cs="Arial"/>
          <w:b/>
          <w:color w:val="000000"/>
          <w:sz w:val="24"/>
          <w:szCs w:val="24"/>
        </w:rPr>
        <w:t xml:space="preserve">Constitución Política de los Estados Unidos Mexicanos </w:t>
      </w:r>
      <w:r w:rsidRPr="00D948D9">
        <w:rPr>
          <w:rFonts w:ascii="Palatino Linotype" w:hAnsi="Palatino Linotype" w:cs="Arial"/>
          <w:color w:val="000000"/>
          <w:sz w:val="24"/>
          <w:szCs w:val="24"/>
        </w:rPr>
        <w:t xml:space="preserve">al señalar la obligación de “promover, </w:t>
      </w:r>
      <w:r w:rsidRPr="00D948D9">
        <w:rPr>
          <w:rFonts w:ascii="Palatino Linotype" w:hAnsi="Palatino Linotype" w:cs="Arial"/>
          <w:b/>
          <w:color w:val="000000"/>
          <w:sz w:val="24"/>
          <w:szCs w:val="24"/>
        </w:rPr>
        <w:t>respetar</w:t>
      </w:r>
      <w:r w:rsidRPr="00D948D9">
        <w:rPr>
          <w:rFonts w:ascii="Palatino Linotype" w:hAnsi="Palatino Linotype" w:cs="Arial"/>
          <w:color w:val="000000"/>
          <w:sz w:val="24"/>
          <w:szCs w:val="24"/>
        </w:rPr>
        <w:t xml:space="preserve">, proteger y </w:t>
      </w:r>
      <w:r w:rsidRPr="00D948D9">
        <w:rPr>
          <w:rFonts w:ascii="Palatino Linotype" w:hAnsi="Palatino Linotype" w:cs="Arial"/>
          <w:b/>
          <w:color w:val="000000"/>
          <w:sz w:val="24"/>
          <w:szCs w:val="24"/>
        </w:rPr>
        <w:t>garantizar</w:t>
      </w:r>
      <w:r w:rsidRPr="00D948D9">
        <w:rPr>
          <w:rFonts w:ascii="Palatino Linotype" w:hAnsi="Palatino Linotype" w:cs="Arial"/>
          <w:color w:val="000000"/>
          <w:sz w:val="24"/>
          <w:szCs w:val="24"/>
        </w:rPr>
        <w:t xml:space="preserve"> los derechos humanos”, entre los cuales se encuentra dicho derecho. </w:t>
      </w:r>
    </w:p>
    <w:p w14:paraId="0A0C0F66" w14:textId="77777777" w:rsidR="00030C87" w:rsidRPr="00D948D9" w:rsidRDefault="00030C87" w:rsidP="00030C87">
      <w:pPr>
        <w:tabs>
          <w:tab w:val="left" w:pos="284"/>
        </w:tabs>
        <w:spacing w:before="240" w:after="240" w:line="360" w:lineRule="auto"/>
        <w:ind w:right="49"/>
        <w:contextualSpacing/>
        <w:jc w:val="both"/>
        <w:rPr>
          <w:rFonts w:ascii="Palatino Linotype" w:eastAsia="MS Mincho" w:hAnsi="Palatino Linotype"/>
          <w:color w:val="000000"/>
          <w:sz w:val="24"/>
          <w:szCs w:val="24"/>
        </w:rPr>
      </w:pPr>
    </w:p>
    <w:p w14:paraId="0BB7838A" w14:textId="77777777" w:rsidR="00030C87" w:rsidRPr="00D948D9"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D948D9">
        <w:rPr>
          <w:rFonts w:ascii="Palatino Linotype" w:hAnsi="Palatino Linotype"/>
          <w:sz w:val="24"/>
          <w:szCs w:val="24"/>
        </w:rPr>
        <w:t xml:space="preserve">Definiendo el Derecho de Acceso a la Información Pública como: </w:t>
      </w:r>
      <w:r w:rsidRPr="00D948D9">
        <w:rPr>
          <w:rFonts w:ascii="Palatino Linotype" w:hAnsi="Palatino Linotype"/>
          <w:i/>
          <w:color w:val="000000"/>
          <w:sz w:val="24"/>
          <w:szCs w:val="24"/>
        </w:rPr>
        <w:t>La igualdad de oportunidades para recibir, buscar e impartir información</w:t>
      </w:r>
      <w:r w:rsidRPr="00D948D9">
        <w:rPr>
          <w:rFonts w:ascii="Palatino Linotype" w:hAnsi="Palatino Linotype"/>
          <w:i/>
          <w:color w:val="000000"/>
          <w:sz w:val="24"/>
          <w:szCs w:val="24"/>
          <w:vertAlign w:val="superscript"/>
        </w:rPr>
        <w:footnoteReference w:id="1"/>
      </w:r>
      <w:r w:rsidRPr="00D948D9">
        <w:rPr>
          <w:rFonts w:ascii="Palatino Linotype" w:hAnsi="Palatino Linotype"/>
          <w:i/>
          <w:color w:val="000000"/>
          <w:sz w:val="24"/>
          <w:szCs w:val="24"/>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D948D9">
        <w:rPr>
          <w:rFonts w:ascii="Palatino Linotype" w:hAnsi="Palatino Linotype"/>
          <w:i/>
          <w:color w:val="000000"/>
          <w:sz w:val="24"/>
          <w:szCs w:val="24"/>
        </w:rPr>
        <w:lastRenderedPageBreak/>
        <w:t>ámbito federal, estatal y municipal,</w:t>
      </w:r>
      <w:r w:rsidRPr="00D948D9">
        <w:rPr>
          <w:rFonts w:ascii="Palatino Linotype" w:hAnsi="Palatino Linotype"/>
          <w:i/>
          <w:color w:val="000000"/>
          <w:sz w:val="24"/>
          <w:szCs w:val="24"/>
          <w:vertAlign w:val="superscript"/>
        </w:rPr>
        <w:footnoteReference w:id="2"/>
      </w:r>
      <w:r w:rsidRPr="00D948D9">
        <w:rPr>
          <w:rFonts w:ascii="Palatino Linotype" w:hAnsi="Palatino Linotype"/>
          <w:color w:val="000000"/>
          <w:sz w:val="24"/>
          <w:szCs w:val="24"/>
        </w:rPr>
        <w:t>que se constituye como una herramienta fundamental para ejercer</w:t>
      </w:r>
      <w:r w:rsidRPr="00D948D9">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D948D9">
        <w:rPr>
          <w:rFonts w:ascii="Palatino Linotype" w:hAnsi="Palatino Linotype"/>
          <w:i/>
          <w:color w:val="000000"/>
          <w:sz w:val="24"/>
          <w:szCs w:val="24"/>
          <w:vertAlign w:val="superscript"/>
        </w:rPr>
        <w:footnoteReference w:id="3"/>
      </w:r>
      <w:r w:rsidRPr="00D948D9">
        <w:rPr>
          <w:rFonts w:ascii="Palatino Linotype" w:hAnsi="Palatino Linotype"/>
          <w:color w:val="000000"/>
          <w:sz w:val="24"/>
          <w:szCs w:val="24"/>
        </w:rPr>
        <w:t>fomentando</w:t>
      </w:r>
      <w:r w:rsidRPr="00D948D9">
        <w:rPr>
          <w:rFonts w:ascii="Palatino Linotype" w:hAnsi="Palatino Linotype"/>
          <w:i/>
          <w:color w:val="000000"/>
          <w:sz w:val="24"/>
          <w:szCs w:val="24"/>
        </w:rPr>
        <w:t xml:space="preserve"> la transparencia de las actividades estatales y </w:t>
      </w:r>
      <w:r w:rsidRPr="00D948D9">
        <w:rPr>
          <w:rFonts w:ascii="Palatino Linotype" w:hAnsi="Palatino Linotype"/>
          <w:color w:val="000000"/>
          <w:sz w:val="24"/>
          <w:szCs w:val="24"/>
        </w:rPr>
        <w:t>promoviendo</w:t>
      </w:r>
      <w:r w:rsidRPr="00D948D9">
        <w:rPr>
          <w:rFonts w:ascii="Palatino Linotype" w:hAnsi="Palatino Linotype"/>
          <w:i/>
          <w:color w:val="000000"/>
          <w:sz w:val="24"/>
          <w:szCs w:val="24"/>
        </w:rPr>
        <w:t xml:space="preserve"> la responsabilidad de los funcionarios sobre su gestión pública,</w:t>
      </w:r>
      <w:r w:rsidRPr="00D948D9">
        <w:rPr>
          <w:rFonts w:ascii="Palatino Linotype" w:hAnsi="Palatino Linotype"/>
          <w:i/>
          <w:color w:val="000000"/>
          <w:sz w:val="24"/>
          <w:szCs w:val="24"/>
          <w:vertAlign w:val="superscript"/>
        </w:rPr>
        <w:footnoteReference w:id="4"/>
      </w:r>
      <w:r w:rsidRPr="00D948D9">
        <w:rPr>
          <w:rFonts w:ascii="Palatino Linotype" w:hAnsi="Palatino Linotype"/>
          <w:color w:val="000000"/>
          <w:sz w:val="24"/>
          <w:szCs w:val="24"/>
        </w:rPr>
        <w:t>que permite</w:t>
      </w:r>
      <w:r w:rsidRPr="00D948D9">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D948D9" w:rsidRDefault="00030C87" w:rsidP="00030C87">
      <w:pPr>
        <w:tabs>
          <w:tab w:val="left" w:pos="284"/>
        </w:tabs>
        <w:contextualSpacing/>
        <w:rPr>
          <w:rFonts w:ascii="Palatino Linotype" w:hAnsi="Palatino Linotype"/>
          <w:sz w:val="24"/>
          <w:szCs w:val="24"/>
        </w:rPr>
      </w:pPr>
    </w:p>
    <w:p w14:paraId="581AF776" w14:textId="77777777" w:rsidR="00030C87" w:rsidRPr="00D948D9"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i/>
          <w:sz w:val="24"/>
          <w:szCs w:val="24"/>
        </w:rPr>
      </w:pPr>
      <w:r w:rsidRPr="00D948D9">
        <w:rPr>
          <w:rFonts w:ascii="Palatino Linotype" w:hAnsi="Palatino Linotype"/>
          <w:sz w:val="24"/>
          <w:szCs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D948D9" w:rsidRDefault="00030C87" w:rsidP="00030C87">
      <w:pPr>
        <w:tabs>
          <w:tab w:val="left" w:pos="284"/>
        </w:tabs>
        <w:spacing w:before="240" w:after="240" w:line="360" w:lineRule="auto"/>
        <w:contextualSpacing/>
        <w:jc w:val="both"/>
        <w:rPr>
          <w:rFonts w:ascii="Palatino Linotype" w:hAnsi="Palatino Linotype"/>
          <w:i/>
          <w:sz w:val="24"/>
          <w:szCs w:val="24"/>
        </w:rPr>
      </w:pPr>
      <w:r w:rsidRPr="00D948D9">
        <w:rPr>
          <w:rFonts w:ascii="Palatino Linotype" w:hAnsi="Palatino Linotype"/>
          <w:i/>
          <w:sz w:val="24"/>
          <w:szCs w:val="24"/>
        </w:rPr>
        <w:t xml:space="preserve"> </w:t>
      </w:r>
    </w:p>
    <w:p w14:paraId="5DB6B440" w14:textId="77777777" w:rsidR="00030C87" w:rsidRPr="00D948D9" w:rsidRDefault="00030C87" w:rsidP="00030C87">
      <w:pPr>
        <w:numPr>
          <w:ilvl w:val="0"/>
          <w:numId w:val="2"/>
        </w:numPr>
        <w:tabs>
          <w:tab w:val="left" w:pos="284"/>
        </w:tabs>
        <w:spacing w:before="240" w:line="360" w:lineRule="auto"/>
        <w:ind w:left="0" w:firstLine="0"/>
        <w:contextualSpacing/>
        <w:jc w:val="both"/>
        <w:rPr>
          <w:rFonts w:ascii="Palatino Linotype" w:hAnsi="Palatino Linotype"/>
          <w:sz w:val="24"/>
          <w:szCs w:val="24"/>
        </w:rPr>
      </w:pPr>
      <w:r w:rsidRPr="00D948D9">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948D9">
        <w:rPr>
          <w:rFonts w:ascii="Palatino Linotype" w:hAnsi="Palatino Linotype" w:cs="Arial"/>
          <w:i/>
          <w:sz w:val="24"/>
          <w:szCs w:val="24"/>
        </w:rPr>
        <w:t xml:space="preserve">por los principios de simplicidad, rapidez gratuidad del procedimiento, auxilio y orientación a </w:t>
      </w:r>
      <w:r w:rsidRPr="00D948D9">
        <w:rPr>
          <w:rFonts w:ascii="Palatino Linotype" w:hAnsi="Palatino Linotype" w:cs="Arial"/>
          <w:i/>
          <w:sz w:val="24"/>
          <w:szCs w:val="24"/>
        </w:rPr>
        <w:lastRenderedPageBreak/>
        <w:t>los particulares</w:t>
      </w:r>
      <w:r w:rsidRPr="00D948D9">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D948D9" w:rsidRDefault="00030C87" w:rsidP="00030C87">
      <w:pPr>
        <w:tabs>
          <w:tab w:val="left" w:pos="284"/>
        </w:tabs>
        <w:spacing w:before="240" w:after="240" w:line="360" w:lineRule="auto"/>
        <w:contextualSpacing/>
        <w:jc w:val="both"/>
        <w:rPr>
          <w:rFonts w:ascii="Palatino Linotype" w:hAnsi="Palatino Linotype"/>
          <w:sz w:val="24"/>
          <w:szCs w:val="24"/>
        </w:rPr>
      </w:pPr>
    </w:p>
    <w:p w14:paraId="0BA7D5C5" w14:textId="77777777" w:rsidR="00030C87" w:rsidRPr="00D948D9" w:rsidRDefault="00030C87" w:rsidP="00030C87">
      <w:pPr>
        <w:numPr>
          <w:ilvl w:val="0"/>
          <w:numId w:val="2"/>
        </w:numPr>
        <w:tabs>
          <w:tab w:val="left" w:pos="284"/>
        </w:tabs>
        <w:spacing w:before="240" w:after="240" w:line="360" w:lineRule="auto"/>
        <w:ind w:left="0" w:firstLine="0"/>
        <w:contextualSpacing/>
        <w:jc w:val="both"/>
        <w:rPr>
          <w:rFonts w:ascii="Palatino Linotype" w:hAnsi="Palatino Linotype"/>
          <w:sz w:val="24"/>
          <w:szCs w:val="24"/>
        </w:rPr>
      </w:pPr>
      <w:r w:rsidRPr="00D948D9">
        <w:rPr>
          <w:rFonts w:ascii="Palatino Linotype" w:hAnsi="Palatino Linotype"/>
          <w:sz w:val="24"/>
          <w:szCs w:val="24"/>
        </w:rPr>
        <w:t xml:space="preserve">Es así que la </w:t>
      </w:r>
      <w:r w:rsidRPr="00D948D9">
        <w:rPr>
          <w:rFonts w:ascii="Palatino Linotype" w:hAnsi="Palatino Linotype"/>
          <w:b/>
          <w:sz w:val="24"/>
          <w:szCs w:val="24"/>
        </w:rPr>
        <w:t xml:space="preserve">Ley de Transparencia y Acceso a la Información Pública del Estado de México y Municipios, </w:t>
      </w:r>
      <w:r w:rsidRPr="00D948D9">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D948D9">
        <w:rPr>
          <w:rFonts w:ascii="Palatino Linotype" w:hAnsi="Palatino Linotype"/>
          <w:b/>
          <w:sz w:val="24"/>
          <w:szCs w:val="24"/>
        </w:rPr>
        <w:t xml:space="preserve"> </w:t>
      </w:r>
      <w:r w:rsidRPr="00D948D9">
        <w:rPr>
          <w:rFonts w:ascii="Palatino Linotype" w:hAnsi="Palatino Linotype"/>
          <w:sz w:val="24"/>
          <w:szCs w:val="24"/>
        </w:rPr>
        <w:t xml:space="preserve">establece que </w:t>
      </w:r>
      <w:r w:rsidRPr="00D948D9">
        <w:rPr>
          <w:rFonts w:ascii="Palatino Linotype" w:hAnsi="Palatino Linotype"/>
          <w:b/>
          <w:i/>
          <w:sz w:val="24"/>
          <w:szCs w:val="24"/>
          <w:u w:val="single"/>
        </w:rPr>
        <w:t>el recurso de revisión es la garantía secundaria</w:t>
      </w:r>
      <w:r w:rsidRPr="00D948D9">
        <w:rPr>
          <w:rFonts w:ascii="Palatino Linotype" w:hAnsi="Palatino Linotype"/>
          <w:b/>
          <w:i/>
          <w:sz w:val="24"/>
          <w:szCs w:val="24"/>
        </w:rPr>
        <w:t xml:space="preserve"> mediante la cual se pretende reparar cualquier posible afectación al derecho de acceso a la información pública</w:t>
      </w:r>
      <w:r w:rsidRPr="00D948D9">
        <w:rPr>
          <w:rFonts w:ascii="Palatino Linotype" w:hAnsi="Palatino Linotype"/>
          <w:b/>
          <w:sz w:val="24"/>
          <w:szCs w:val="24"/>
        </w:rPr>
        <w:t>, s</w:t>
      </w:r>
      <w:r w:rsidRPr="00D948D9">
        <w:rPr>
          <w:rFonts w:ascii="Palatino Linotype" w:hAnsi="Palatino Linotype"/>
          <w:sz w:val="24"/>
          <w:szCs w:val="24"/>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0C0A608" w14:textId="77777777" w:rsidR="00030C87" w:rsidRPr="00D948D9" w:rsidRDefault="00030C87" w:rsidP="00030C87">
      <w:pPr>
        <w:tabs>
          <w:tab w:val="left" w:pos="284"/>
        </w:tabs>
        <w:rPr>
          <w:rFonts w:ascii="Palatino Linotype" w:eastAsia="MS Mincho" w:hAnsi="Palatino Linotype" w:cs="Arial"/>
          <w:sz w:val="24"/>
          <w:szCs w:val="24"/>
        </w:rPr>
      </w:pPr>
    </w:p>
    <w:p w14:paraId="39AE54FA" w14:textId="77777777" w:rsidR="00030C87" w:rsidRPr="00D948D9" w:rsidRDefault="00030C87" w:rsidP="00030C8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D948D9">
        <w:rPr>
          <w:rFonts w:ascii="Palatino Linotype" w:eastAsia="Calibri" w:hAnsi="Palatino Linotype"/>
          <w:sz w:val="24"/>
          <w:szCs w:val="24"/>
        </w:rPr>
        <w:t xml:space="preserve">Establecido lo anterior, resulta evidente que las razones o motivos de inconformidad hechos valer en el recurso de revisión resultan </w:t>
      </w:r>
      <w:r w:rsidRPr="00D948D9">
        <w:rPr>
          <w:rFonts w:ascii="Palatino Linotype" w:eastAsia="Calibri" w:hAnsi="Palatino Linotype"/>
          <w:b/>
          <w:sz w:val="24"/>
          <w:szCs w:val="24"/>
        </w:rPr>
        <w:t>fundadas y procedentes</w:t>
      </w:r>
      <w:r w:rsidRPr="00D948D9">
        <w:rPr>
          <w:rFonts w:ascii="Palatino Linotype" w:eastAsia="Calibri" w:hAnsi="Palatino Linotype"/>
          <w:sz w:val="24"/>
          <w:szCs w:val="24"/>
        </w:rPr>
        <w:t xml:space="preserve">, debido a que el </w:t>
      </w:r>
      <w:r w:rsidRPr="00D948D9">
        <w:rPr>
          <w:rFonts w:ascii="Palatino Linotype" w:eastAsia="Calibri" w:hAnsi="Palatino Linotype"/>
          <w:b/>
          <w:sz w:val="24"/>
          <w:szCs w:val="24"/>
        </w:rPr>
        <w:t>SUJETO OBLIGADO</w:t>
      </w:r>
      <w:r w:rsidRPr="00D948D9">
        <w:rPr>
          <w:rFonts w:ascii="Palatino Linotype" w:eastAsia="Calibri" w:hAnsi="Palatino Linotype"/>
          <w:sz w:val="24"/>
          <w:szCs w:val="24"/>
        </w:rPr>
        <w:t xml:space="preserve"> proporcionó información que no corresponde con lo solicitado.</w:t>
      </w:r>
    </w:p>
    <w:p w14:paraId="6FFECD04" w14:textId="77777777" w:rsidR="00030C87" w:rsidRPr="00D948D9" w:rsidRDefault="00030C87" w:rsidP="00030C87">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D948D9">
        <w:rPr>
          <w:rFonts w:ascii="Palatino Linotype" w:hAnsi="Palatino Linotype" w:cs="Arial"/>
          <w:sz w:val="24"/>
        </w:rPr>
        <w:t xml:space="preserve">Ahora bien, para entender los alcances de la información pública se considera importante citar el criterio </w:t>
      </w:r>
      <w:r w:rsidRPr="00D948D9">
        <w:rPr>
          <w:rFonts w:ascii="Palatino Linotype" w:hAnsi="Palatino Linotype" w:cs="Arial"/>
          <w:bCs/>
          <w:sz w:val="24"/>
          <w:lang w:eastAsia="es-MX"/>
        </w:rPr>
        <w:t xml:space="preserve">de interpretación en el orden administrativo número 0002-11, emitido por Acuerdo del Pleno de este Instituto de Transparencia y Acceso a la </w:t>
      </w:r>
      <w:r w:rsidRPr="00D948D9">
        <w:rPr>
          <w:rFonts w:ascii="Palatino Linotype" w:hAnsi="Palatino Linotype" w:cs="Arial"/>
          <w:bCs/>
          <w:sz w:val="24"/>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D948D9">
        <w:rPr>
          <w:rFonts w:ascii="Palatino Linotype" w:hAnsi="Palatino Linotype" w:cs="Arial"/>
          <w:sz w:val="24"/>
        </w:rPr>
        <w:t>cuyo rubro y texto dispone:</w:t>
      </w:r>
    </w:p>
    <w:p w14:paraId="1D0BF643" w14:textId="77777777" w:rsidR="00030C87" w:rsidRPr="00D948D9" w:rsidRDefault="00030C87" w:rsidP="00030C87">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D948D9" w:rsidRDefault="00030C87" w:rsidP="00030C87">
      <w:pPr>
        <w:autoSpaceDE w:val="0"/>
        <w:autoSpaceDN w:val="0"/>
        <w:adjustRightInd w:val="0"/>
        <w:ind w:left="567" w:right="567"/>
        <w:jc w:val="both"/>
        <w:rPr>
          <w:rFonts w:ascii="Palatino Linotype" w:hAnsi="Palatino Linotype" w:cs="Arial"/>
          <w:b/>
          <w:i/>
          <w:sz w:val="22"/>
          <w:szCs w:val="24"/>
          <w:lang w:eastAsia="es-MX"/>
        </w:rPr>
      </w:pPr>
      <w:r w:rsidRPr="00D948D9">
        <w:rPr>
          <w:rFonts w:ascii="Palatino Linotype" w:hAnsi="Palatino Linotype" w:cs="Arial"/>
          <w:b/>
          <w:i/>
          <w:sz w:val="22"/>
          <w:szCs w:val="24"/>
          <w:lang w:eastAsia="es-MX"/>
        </w:rPr>
        <w:t>“CRITERIO 0002-11</w:t>
      </w:r>
    </w:p>
    <w:p w14:paraId="7F2E7637" w14:textId="77777777" w:rsidR="00030C87" w:rsidRPr="00D948D9"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948D9">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D948D9">
        <w:rPr>
          <w:rFonts w:ascii="Palatino Linotype" w:hAnsi="Palatino Linotype" w:cs="Arial"/>
          <w:b/>
          <w:bCs/>
          <w:i/>
          <w:sz w:val="22"/>
          <w:szCs w:val="24"/>
          <w:lang w:eastAsia="es-MX"/>
        </w:rPr>
        <w:t xml:space="preserve">V, XV, Y XVI, </w:t>
      </w:r>
      <w:r w:rsidRPr="00D948D9">
        <w:rPr>
          <w:rFonts w:ascii="Palatino Linotype" w:hAnsi="Palatino Linotype" w:cs="Arial"/>
          <w:b/>
          <w:i/>
          <w:sz w:val="22"/>
          <w:szCs w:val="24"/>
          <w:lang w:eastAsia="es-MX"/>
        </w:rPr>
        <w:t>3, 4,11 Y 41.</w:t>
      </w:r>
      <w:r w:rsidRPr="00D948D9">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7A1C2F" w14:textId="77777777" w:rsidR="00030C87" w:rsidRPr="00D948D9"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948D9">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D948D9"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948D9">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D948D9" w:rsidRDefault="00030C87" w:rsidP="00030C87">
      <w:pPr>
        <w:autoSpaceDE w:val="0"/>
        <w:autoSpaceDN w:val="0"/>
        <w:adjustRightInd w:val="0"/>
        <w:ind w:left="567" w:right="567"/>
        <w:jc w:val="both"/>
        <w:rPr>
          <w:rFonts w:ascii="Palatino Linotype" w:hAnsi="Palatino Linotype" w:cs="Arial"/>
          <w:i/>
          <w:sz w:val="22"/>
          <w:szCs w:val="24"/>
          <w:lang w:eastAsia="es-MX"/>
        </w:rPr>
      </w:pPr>
      <w:r w:rsidRPr="00D948D9">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D948D9" w:rsidRDefault="00030C87" w:rsidP="00030C87">
      <w:pPr>
        <w:ind w:left="567" w:right="567"/>
        <w:jc w:val="both"/>
        <w:rPr>
          <w:rFonts w:ascii="Palatino Linotype" w:hAnsi="Palatino Linotype" w:cs="Arial"/>
          <w:i/>
          <w:color w:val="000000" w:themeColor="text1"/>
          <w:sz w:val="22"/>
          <w:szCs w:val="24"/>
        </w:rPr>
      </w:pPr>
      <w:r w:rsidRPr="00D948D9">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D948D9"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D948D9" w:rsidRDefault="00030C87" w:rsidP="00030C87">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24"/>
          <w:lang w:val="es-ES"/>
        </w:rPr>
      </w:pPr>
      <w:r w:rsidRPr="00D948D9">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3773BBD" w14:textId="77777777" w:rsidR="00030C87" w:rsidRPr="00D948D9" w:rsidRDefault="00030C87" w:rsidP="00030C87">
      <w:pPr>
        <w:autoSpaceDE w:val="0"/>
        <w:autoSpaceDN w:val="0"/>
        <w:adjustRightInd w:val="0"/>
        <w:ind w:left="567" w:right="567"/>
        <w:jc w:val="both"/>
        <w:rPr>
          <w:rFonts w:ascii="Palatino Linotype" w:hAnsi="Palatino Linotype"/>
          <w:i/>
          <w:sz w:val="22"/>
          <w:szCs w:val="24"/>
          <w:lang w:val="es-ES"/>
        </w:rPr>
      </w:pPr>
      <w:r w:rsidRPr="00D948D9">
        <w:rPr>
          <w:rFonts w:ascii="Palatino Linotype" w:eastAsiaTheme="minorHAnsi" w:hAnsi="Palatino Linotype" w:cs="Bookman Old Style,Bold"/>
          <w:b/>
          <w:bCs/>
          <w:i/>
          <w:sz w:val="22"/>
          <w:szCs w:val="24"/>
          <w:lang w:eastAsia="en-US"/>
        </w:rPr>
        <w:t xml:space="preserve">XI. Documento: </w:t>
      </w:r>
      <w:r w:rsidRPr="00D948D9">
        <w:rPr>
          <w:rFonts w:ascii="Palatino Linotype" w:eastAsiaTheme="minorHAnsi" w:hAnsi="Palatino Linotype" w:cs="Bookman Old Style"/>
          <w:i/>
          <w:sz w:val="22"/>
          <w:szCs w:val="24"/>
          <w:lang w:eastAsia="en-US"/>
        </w:rPr>
        <w:t xml:space="preserve">Los expedientes, reportes, estudios, actas, resoluciones, </w:t>
      </w:r>
      <w:r w:rsidRPr="00D948D9">
        <w:rPr>
          <w:rFonts w:ascii="Palatino Linotype" w:eastAsiaTheme="minorHAnsi" w:hAnsi="Palatino Linotype" w:cs="Bookman Old Style"/>
          <w:b/>
          <w:i/>
          <w:sz w:val="22"/>
          <w:szCs w:val="24"/>
          <w:lang w:eastAsia="en-US"/>
        </w:rPr>
        <w:t>oficios,</w:t>
      </w:r>
      <w:r w:rsidRPr="00D948D9">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D948D9">
        <w:rPr>
          <w:rFonts w:ascii="Palatino Linotype" w:eastAsiaTheme="minorHAnsi" w:hAnsi="Palatino Linotype" w:cs="Bookman Old Style"/>
          <w:b/>
          <w:i/>
          <w:sz w:val="22"/>
          <w:szCs w:val="24"/>
          <w:lang w:eastAsia="en-US"/>
        </w:rPr>
        <w:t>cualquier otro registro</w:t>
      </w:r>
      <w:r w:rsidRPr="00D948D9">
        <w:rPr>
          <w:rFonts w:ascii="Palatino Linotype" w:eastAsiaTheme="minorHAnsi" w:hAnsi="Palatino Linotype" w:cs="Bookman Old Style"/>
          <w:i/>
          <w:sz w:val="22"/>
          <w:szCs w:val="24"/>
          <w:lang w:eastAsia="en-US"/>
        </w:rPr>
        <w:t xml:space="preserve"> que documente el ejercicio de las facultades, funciones y competencias de los sujetos obligados, </w:t>
      </w:r>
      <w:r w:rsidRPr="00D948D9">
        <w:rPr>
          <w:rFonts w:ascii="Palatino Linotype" w:eastAsiaTheme="minorHAnsi" w:hAnsi="Palatino Linotype" w:cs="Bookman Old Style"/>
          <w:i/>
          <w:sz w:val="22"/>
          <w:szCs w:val="24"/>
          <w:lang w:eastAsia="en-US"/>
        </w:rPr>
        <w:lastRenderedPageBreak/>
        <w:t>sus servidores públicos e integrantes, sin importar su fuente o fecha de elaboración. Los documentos podrán estar en cualquier medio, sea escrito, impreso,  sonoro, visual, electrónico, informático u holográfico;</w:t>
      </w:r>
    </w:p>
    <w:p w14:paraId="703BBE6A" w14:textId="77777777" w:rsidR="00030C87" w:rsidRPr="00D948D9" w:rsidRDefault="00030C87" w:rsidP="00030C87">
      <w:pPr>
        <w:pStyle w:val="Prrafodelista"/>
        <w:tabs>
          <w:tab w:val="left" w:pos="851"/>
        </w:tabs>
        <w:spacing w:line="360" w:lineRule="auto"/>
        <w:ind w:left="0" w:right="49"/>
        <w:jc w:val="both"/>
        <w:rPr>
          <w:rFonts w:ascii="Palatino Linotype" w:hAnsi="Palatino Linotype"/>
          <w:lang w:val="es-ES"/>
        </w:rPr>
      </w:pPr>
    </w:p>
    <w:p w14:paraId="3F04D2E8" w14:textId="77777777" w:rsidR="00030C87" w:rsidRPr="00D948D9"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948D9">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71BE56C" w14:textId="77777777" w:rsidR="00030C87" w:rsidRPr="00D948D9" w:rsidRDefault="00030C87" w:rsidP="00030C87">
      <w:pPr>
        <w:pStyle w:val="Prrafodelista"/>
        <w:spacing w:line="360" w:lineRule="auto"/>
        <w:ind w:left="0"/>
        <w:jc w:val="both"/>
        <w:rPr>
          <w:rFonts w:ascii="Palatino Linotype" w:eastAsia="Calibri" w:hAnsi="Palatino Linotype" w:cs="Arial"/>
          <w:sz w:val="24"/>
        </w:rPr>
      </w:pPr>
    </w:p>
    <w:p w14:paraId="443D4397" w14:textId="77777777" w:rsidR="00030C87" w:rsidRPr="00D948D9"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D948D9">
        <w:rPr>
          <w:rFonts w:ascii="Palatino Linotype" w:hAnsi="Palatino Linotype"/>
          <w:color w:val="000000" w:themeColor="text1"/>
          <w:sz w:val="24"/>
        </w:rPr>
        <w:t xml:space="preserve">Resulta necesario referir que, el </w:t>
      </w:r>
      <w:r w:rsidRPr="00D948D9">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948D9">
        <w:rPr>
          <w:rFonts w:ascii="Palatino Linotype" w:eastAsia="Calibri" w:hAnsi="Palatino Linotype" w:cs="Arial"/>
          <w:b/>
          <w:sz w:val="24"/>
        </w:rPr>
        <w:t>los Sujetos Obligados deberán documentar todo acto que se derive del ejercicio de sus facultades, competencias o funciones,</w:t>
      </w:r>
      <w:r w:rsidRPr="00D948D9">
        <w:rPr>
          <w:rFonts w:ascii="Palatino Linotype" w:eastAsia="Calibri" w:hAnsi="Palatino Linotype" w:cs="Arial"/>
          <w:sz w:val="24"/>
        </w:rPr>
        <w:t xml:space="preserve"> considerando desde su origen la eventual publicidad y reutilización de la información que generen, posean o administren.</w:t>
      </w:r>
    </w:p>
    <w:p w14:paraId="7D56CC25" w14:textId="77777777" w:rsidR="00030C87" w:rsidRPr="00D948D9" w:rsidRDefault="00030C87" w:rsidP="00030C87">
      <w:pPr>
        <w:pStyle w:val="Prrafodelista"/>
        <w:rPr>
          <w:rFonts w:ascii="Palatino Linotype" w:eastAsia="Calibri" w:hAnsi="Palatino Linotype" w:cs="Arial"/>
          <w:sz w:val="24"/>
        </w:rPr>
      </w:pPr>
    </w:p>
    <w:p w14:paraId="05E2B4E9" w14:textId="77777777" w:rsidR="00030C87" w:rsidRPr="00D948D9" w:rsidRDefault="00030C87" w:rsidP="00030C87">
      <w:pPr>
        <w:pStyle w:val="Prrafodelista"/>
        <w:numPr>
          <w:ilvl w:val="0"/>
          <w:numId w:val="2"/>
        </w:numPr>
        <w:spacing w:line="360" w:lineRule="auto"/>
        <w:ind w:left="0" w:firstLine="0"/>
        <w:jc w:val="both"/>
        <w:rPr>
          <w:rFonts w:ascii="Palatino Linotype" w:eastAsia="Calibri" w:hAnsi="Palatino Linotype" w:cs="Arial"/>
          <w:sz w:val="24"/>
        </w:rPr>
      </w:pPr>
      <w:r w:rsidRPr="00D948D9">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6542FFB8" w14:textId="77777777" w:rsidR="00030C87" w:rsidRPr="00D948D9" w:rsidRDefault="00030C87" w:rsidP="00030C87">
      <w:pPr>
        <w:pStyle w:val="Prrafodelista"/>
        <w:spacing w:line="360" w:lineRule="auto"/>
        <w:rPr>
          <w:rFonts w:ascii="Palatino Linotype" w:hAnsi="Palatino Linotype" w:cs="Arial"/>
          <w:color w:val="000000"/>
          <w:sz w:val="24"/>
        </w:rPr>
      </w:pPr>
    </w:p>
    <w:p w14:paraId="56593512" w14:textId="77777777" w:rsidR="00030C87" w:rsidRPr="00D948D9" w:rsidRDefault="00030C87" w:rsidP="00030C87">
      <w:pPr>
        <w:autoSpaceDE w:val="0"/>
        <w:autoSpaceDN w:val="0"/>
        <w:adjustRightInd w:val="0"/>
        <w:ind w:left="567" w:right="567"/>
        <w:jc w:val="both"/>
        <w:rPr>
          <w:rFonts w:ascii="Palatino Linotype" w:hAnsi="Palatino Linotype" w:cs="Bookman Old Style"/>
          <w:i/>
          <w:sz w:val="22"/>
          <w:szCs w:val="24"/>
        </w:rPr>
      </w:pPr>
      <w:r w:rsidRPr="00D948D9">
        <w:rPr>
          <w:rFonts w:ascii="Palatino Linotype" w:hAnsi="Palatino Linotype" w:cs="Bookman Old Style,Bold"/>
          <w:b/>
          <w:bCs/>
          <w:i/>
          <w:sz w:val="22"/>
          <w:szCs w:val="24"/>
        </w:rPr>
        <w:t xml:space="preserve">Artículo 4. </w:t>
      </w:r>
      <w:r w:rsidRPr="00D948D9">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D948D9" w:rsidRDefault="00030C87" w:rsidP="00030C87">
      <w:pPr>
        <w:autoSpaceDE w:val="0"/>
        <w:autoSpaceDN w:val="0"/>
        <w:adjustRightInd w:val="0"/>
        <w:ind w:left="567" w:right="567"/>
        <w:jc w:val="both"/>
        <w:rPr>
          <w:rFonts w:ascii="Palatino Linotype" w:hAnsi="Palatino Linotype" w:cs="Bookman Old Style"/>
          <w:i/>
          <w:sz w:val="22"/>
          <w:szCs w:val="24"/>
        </w:rPr>
      </w:pPr>
    </w:p>
    <w:p w14:paraId="742777B7" w14:textId="77777777" w:rsidR="00030C87" w:rsidRPr="00D948D9" w:rsidRDefault="00030C87" w:rsidP="00030C87">
      <w:pPr>
        <w:autoSpaceDE w:val="0"/>
        <w:autoSpaceDN w:val="0"/>
        <w:adjustRightInd w:val="0"/>
        <w:ind w:left="567" w:right="567"/>
        <w:jc w:val="both"/>
        <w:rPr>
          <w:rFonts w:ascii="Palatino Linotype" w:hAnsi="Palatino Linotype" w:cs="Bookman Old Style"/>
          <w:i/>
          <w:sz w:val="22"/>
          <w:szCs w:val="24"/>
        </w:rPr>
      </w:pPr>
      <w:r w:rsidRPr="00D948D9">
        <w:rPr>
          <w:rFonts w:ascii="Palatino Linotype" w:hAnsi="Palatino Linotype" w:cs="Bookman Old Style"/>
          <w:i/>
          <w:sz w:val="22"/>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D948D9" w:rsidRDefault="00030C87" w:rsidP="00030C87">
      <w:pPr>
        <w:autoSpaceDE w:val="0"/>
        <w:autoSpaceDN w:val="0"/>
        <w:adjustRightInd w:val="0"/>
        <w:ind w:left="567" w:right="567"/>
        <w:jc w:val="both"/>
        <w:rPr>
          <w:rFonts w:ascii="Palatino Linotype" w:hAnsi="Palatino Linotype" w:cs="Bookman Old Style"/>
          <w:i/>
          <w:sz w:val="22"/>
          <w:szCs w:val="24"/>
        </w:rPr>
      </w:pPr>
    </w:p>
    <w:p w14:paraId="153D52C7" w14:textId="77777777" w:rsidR="00030C87" w:rsidRPr="00D948D9" w:rsidRDefault="00030C87" w:rsidP="00030C87">
      <w:pPr>
        <w:autoSpaceDE w:val="0"/>
        <w:autoSpaceDN w:val="0"/>
        <w:adjustRightInd w:val="0"/>
        <w:ind w:left="567" w:right="567"/>
        <w:jc w:val="both"/>
        <w:rPr>
          <w:rFonts w:ascii="Palatino Linotype" w:hAnsi="Palatino Linotype" w:cs="Bookman Old Style"/>
          <w:i/>
          <w:sz w:val="22"/>
          <w:szCs w:val="24"/>
        </w:rPr>
      </w:pPr>
      <w:r w:rsidRPr="00D948D9">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D948D9" w:rsidRDefault="00030C87" w:rsidP="00030C87">
      <w:pPr>
        <w:autoSpaceDE w:val="0"/>
        <w:autoSpaceDN w:val="0"/>
        <w:adjustRightInd w:val="0"/>
        <w:ind w:left="567" w:right="567"/>
        <w:jc w:val="both"/>
        <w:rPr>
          <w:rFonts w:ascii="Palatino Linotype" w:hAnsi="Palatino Linotype" w:cs="Arial"/>
          <w:i/>
          <w:color w:val="000000"/>
          <w:sz w:val="22"/>
          <w:szCs w:val="24"/>
        </w:rPr>
      </w:pPr>
    </w:p>
    <w:p w14:paraId="68E7B74C" w14:textId="77777777" w:rsidR="00030C87" w:rsidRPr="00D948D9" w:rsidRDefault="00030C87" w:rsidP="00030C87">
      <w:pPr>
        <w:autoSpaceDE w:val="0"/>
        <w:autoSpaceDN w:val="0"/>
        <w:adjustRightInd w:val="0"/>
        <w:ind w:left="567" w:right="567"/>
        <w:jc w:val="both"/>
        <w:rPr>
          <w:rFonts w:ascii="Palatino Linotype" w:hAnsi="Palatino Linotype" w:cs="Bookman Old Style"/>
          <w:i/>
          <w:sz w:val="22"/>
          <w:szCs w:val="24"/>
        </w:rPr>
      </w:pPr>
      <w:r w:rsidRPr="00D948D9">
        <w:rPr>
          <w:rFonts w:ascii="Palatino Linotype" w:hAnsi="Palatino Linotype" w:cs="Bookman Old Style,Bold"/>
          <w:b/>
          <w:bCs/>
          <w:i/>
          <w:sz w:val="22"/>
          <w:szCs w:val="24"/>
        </w:rPr>
        <w:t xml:space="preserve">Artículo 12. </w:t>
      </w:r>
      <w:r w:rsidRPr="00D948D9">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D948D9" w:rsidRDefault="00030C87" w:rsidP="00030C87">
      <w:pPr>
        <w:autoSpaceDE w:val="0"/>
        <w:autoSpaceDN w:val="0"/>
        <w:adjustRightInd w:val="0"/>
        <w:ind w:left="567" w:right="567"/>
        <w:jc w:val="both"/>
        <w:rPr>
          <w:rFonts w:ascii="Palatino Linotype" w:hAnsi="Palatino Linotype" w:cs="Bookman Old Style"/>
          <w:i/>
          <w:sz w:val="22"/>
          <w:szCs w:val="24"/>
        </w:rPr>
      </w:pPr>
    </w:p>
    <w:p w14:paraId="09D7EDD8" w14:textId="77777777" w:rsidR="00030C87" w:rsidRPr="00D948D9" w:rsidRDefault="00030C87" w:rsidP="00030C87">
      <w:pPr>
        <w:autoSpaceDE w:val="0"/>
        <w:autoSpaceDN w:val="0"/>
        <w:adjustRightInd w:val="0"/>
        <w:ind w:left="567" w:right="567"/>
        <w:jc w:val="both"/>
        <w:rPr>
          <w:rFonts w:ascii="Palatino Linotype" w:hAnsi="Palatino Linotype" w:cs="Bookman Old Style"/>
          <w:b/>
          <w:i/>
          <w:sz w:val="22"/>
          <w:szCs w:val="24"/>
        </w:rPr>
      </w:pPr>
      <w:r w:rsidRPr="00D948D9">
        <w:rPr>
          <w:rFonts w:ascii="Palatino Linotype" w:hAnsi="Palatino Linotype" w:cs="Bookman Old Style"/>
          <w:i/>
          <w:sz w:val="22"/>
          <w:szCs w:val="24"/>
        </w:rPr>
        <w:t xml:space="preserve">Los sujetos obligados sólo proporcionarán la información pública que se les requiera y que obre en sus archivos y en el estado en que ésta se encuentre. </w:t>
      </w:r>
      <w:r w:rsidRPr="00D948D9">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3BCC2327" w14:textId="77777777" w:rsidR="00030C87" w:rsidRPr="00D948D9" w:rsidRDefault="00030C87" w:rsidP="00030C87">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D948D9"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948D9">
        <w:rPr>
          <w:rFonts w:ascii="Palatino Linotype" w:hAnsi="Palatino Linotype"/>
          <w:sz w:val="24"/>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w:t>
      </w:r>
      <w:r w:rsidRPr="00D948D9">
        <w:rPr>
          <w:rFonts w:ascii="Palatino Linotype" w:hAnsi="Palatino Linotype"/>
          <w:sz w:val="24"/>
          <w:lang w:val="es-ES"/>
        </w:rPr>
        <w:lastRenderedPageBreak/>
        <w:t>aquella información que se encuentre en su posesión en estricto apego a los principios de eficacia</w:t>
      </w:r>
      <w:r w:rsidRPr="00D948D9">
        <w:rPr>
          <w:rStyle w:val="Refdenotaalpie"/>
          <w:rFonts w:ascii="Palatino Linotype" w:hAnsi="Palatino Linotype"/>
          <w:sz w:val="24"/>
        </w:rPr>
        <w:footnoteReference w:id="5"/>
      </w:r>
      <w:r w:rsidRPr="00D948D9">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D948D9" w:rsidRDefault="00030C87" w:rsidP="00030C87">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D948D9"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948D9">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D333DE4" w14:textId="77777777" w:rsidR="00030C87" w:rsidRPr="00D948D9" w:rsidRDefault="00030C87" w:rsidP="00030C87">
      <w:pPr>
        <w:pStyle w:val="Prrafodelista"/>
        <w:spacing w:line="360" w:lineRule="auto"/>
        <w:rPr>
          <w:rFonts w:ascii="Palatino Linotype" w:hAnsi="Palatino Linotype"/>
          <w:sz w:val="24"/>
          <w:lang w:val="es-ES"/>
        </w:rPr>
      </w:pPr>
    </w:p>
    <w:p w14:paraId="61DA40C6" w14:textId="77777777" w:rsidR="00030C87" w:rsidRPr="00D948D9" w:rsidRDefault="00030C87" w:rsidP="00030C87">
      <w:pPr>
        <w:pStyle w:val="Prrafodelista"/>
        <w:tabs>
          <w:tab w:val="left" w:pos="851"/>
        </w:tabs>
        <w:ind w:left="567" w:right="567"/>
        <w:jc w:val="both"/>
        <w:rPr>
          <w:rFonts w:ascii="Palatino Linotype" w:hAnsi="Palatino Linotype"/>
          <w:i/>
        </w:rPr>
      </w:pPr>
      <w:r w:rsidRPr="00D948D9">
        <w:rPr>
          <w:rFonts w:ascii="Palatino Linotype" w:hAnsi="Palatino Linotype"/>
          <w:b/>
          <w:i/>
        </w:rPr>
        <w:t>ACCESO A LA INFORMACIÓN. IMPLICACIÓN DEL PRINCIPIO DE MÁXIMA PUBLICIDAD EN EL DERECHO FUNDAMENTAL RELATIVO.</w:t>
      </w:r>
      <w:r w:rsidRPr="00D948D9">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w:t>
      </w:r>
      <w:r w:rsidRPr="00D948D9">
        <w:rPr>
          <w:rFonts w:ascii="Palatino Linotype" w:hAnsi="Palatino Linotype"/>
          <w:i/>
        </w:rPr>
        <w:lastRenderedPageBreak/>
        <w:t xml:space="preserve">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D948D9" w:rsidRDefault="00030C87" w:rsidP="00030C87">
      <w:pPr>
        <w:pStyle w:val="Prrafodelista"/>
        <w:tabs>
          <w:tab w:val="left" w:pos="851"/>
        </w:tabs>
        <w:ind w:left="567" w:right="567"/>
        <w:jc w:val="both"/>
        <w:rPr>
          <w:rFonts w:ascii="Palatino Linotype" w:hAnsi="Palatino Linotype"/>
          <w:i/>
        </w:rPr>
      </w:pPr>
    </w:p>
    <w:p w14:paraId="7F97E0FE" w14:textId="77777777" w:rsidR="00030C87" w:rsidRPr="00D948D9" w:rsidRDefault="00030C87" w:rsidP="00030C87">
      <w:pPr>
        <w:pStyle w:val="Prrafodelista"/>
        <w:tabs>
          <w:tab w:val="left" w:pos="851"/>
        </w:tabs>
        <w:ind w:left="567" w:right="567"/>
        <w:jc w:val="both"/>
        <w:rPr>
          <w:rFonts w:ascii="Palatino Linotype" w:hAnsi="Palatino Linotype"/>
          <w:i/>
        </w:rPr>
      </w:pPr>
      <w:r w:rsidRPr="00D948D9">
        <w:rPr>
          <w:rFonts w:ascii="Palatino Linotype" w:hAnsi="Palatino Linotype"/>
          <w:i/>
        </w:rPr>
        <w:t xml:space="preserve">CUARTO TRIBUNAL COLEGIADO EN MATERIA ADMINISTRATIVA DEL PRIMER CIRCUITO. </w:t>
      </w:r>
    </w:p>
    <w:p w14:paraId="009F6F6E" w14:textId="77777777" w:rsidR="00030C87" w:rsidRPr="00D948D9" w:rsidRDefault="00030C87" w:rsidP="00030C87">
      <w:pPr>
        <w:pStyle w:val="Prrafodelista"/>
        <w:tabs>
          <w:tab w:val="left" w:pos="851"/>
        </w:tabs>
        <w:ind w:left="567" w:right="567"/>
        <w:jc w:val="both"/>
        <w:rPr>
          <w:rFonts w:ascii="Palatino Linotype" w:hAnsi="Palatino Linotype"/>
          <w:i/>
        </w:rPr>
      </w:pPr>
    </w:p>
    <w:p w14:paraId="7F828BE0" w14:textId="77777777" w:rsidR="00030C87" w:rsidRPr="00D948D9" w:rsidRDefault="00030C87" w:rsidP="00030C87">
      <w:pPr>
        <w:pStyle w:val="Prrafodelista"/>
        <w:tabs>
          <w:tab w:val="left" w:pos="851"/>
        </w:tabs>
        <w:ind w:left="567" w:right="567"/>
        <w:jc w:val="both"/>
        <w:rPr>
          <w:rFonts w:ascii="Palatino Linotype" w:hAnsi="Palatino Linotype"/>
          <w:i/>
        </w:rPr>
      </w:pPr>
      <w:r w:rsidRPr="00D948D9">
        <w:rPr>
          <w:rFonts w:ascii="Palatino Linotype" w:hAnsi="Palatino Linotype"/>
          <w:i/>
        </w:rPr>
        <w:t>Amparo en revisión 257/2012. Ruth Corona Muñoz. 6 de diciembre de 2012. Unanimidad de votos. Ponente: Jean Claude Tron Petit. Secretaria: Mayra Susana Martínez López.</w:t>
      </w:r>
    </w:p>
    <w:p w14:paraId="4E3D0411" w14:textId="77777777" w:rsidR="00030C87" w:rsidRPr="00D948D9" w:rsidRDefault="00030C87" w:rsidP="00030C87">
      <w:pPr>
        <w:pStyle w:val="Prrafodelista"/>
        <w:tabs>
          <w:tab w:val="left" w:pos="851"/>
        </w:tabs>
        <w:ind w:left="567" w:right="567"/>
        <w:jc w:val="both"/>
        <w:rPr>
          <w:rFonts w:ascii="Palatino Linotype" w:hAnsi="Palatino Linotype"/>
          <w:i/>
          <w:sz w:val="24"/>
          <w:lang w:val="es-ES"/>
        </w:rPr>
      </w:pPr>
    </w:p>
    <w:p w14:paraId="15D1D094" w14:textId="77777777" w:rsidR="00030C87" w:rsidRPr="00D948D9" w:rsidRDefault="00030C87" w:rsidP="00030C87">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D948D9">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D948D9" w:rsidRDefault="00030C87" w:rsidP="00030C87">
      <w:pPr>
        <w:tabs>
          <w:tab w:val="left" w:pos="851"/>
        </w:tabs>
        <w:spacing w:line="360" w:lineRule="auto"/>
        <w:ind w:right="49"/>
        <w:jc w:val="both"/>
        <w:rPr>
          <w:rFonts w:ascii="Palatino Linotype" w:hAnsi="Palatino Linotype"/>
          <w:sz w:val="24"/>
          <w:szCs w:val="24"/>
          <w:lang w:val="es-ES"/>
        </w:rPr>
      </w:pPr>
    </w:p>
    <w:p w14:paraId="5BE18FCA" w14:textId="77777777" w:rsidR="00030C87" w:rsidRPr="00D948D9" w:rsidRDefault="00030C87" w:rsidP="00030C87">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D948D9">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40B29121" w14:textId="77777777" w:rsidR="00F05CCB" w:rsidRPr="00D948D9" w:rsidRDefault="00F05CCB" w:rsidP="00F05CCB">
      <w:pPr>
        <w:pStyle w:val="Prrafodelista"/>
        <w:rPr>
          <w:rFonts w:ascii="Palatino Linotype" w:hAnsi="Palatino Linotype" w:cs="Arial"/>
          <w:sz w:val="24"/>
          <w:lang w:eastAsia="es-MX"/>
        </w:rPr>
      </w:pPr>
    </w:p>
    <w:p w14:paraId="77562420"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b/>
          <w:i/>
          <w:sz w:val="22"/>
          <w:szCs w:val="24"/>
        </w:rPr>
        <w:t>“Artículo 6o.</w:t>
      </w:r>
      <w:r w:rsidRPr="00D948D9">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D948D9">
        <w:rPr>
          <w:rFonts w:ascii="Palatino Linotype" w:hAnsi="Palatino Linotype" w:cs="Arial"/>
          <w:i/>
          <w:sz w:val="22"/>
          <w:szCs w:val="24"/>
        </w:rPr>
        <w:lastRenderedPageBreak/>
        <w:t xml:space="preserve">ejercido en los términos dispuestos por la ley. </w:t>
      </w:r>
      <w:r w:rsidRPr="00D948D9">
        <w:rPr>
          <w:rFonts w:ascii="Palatino Linotype" w:hAnsi="Palatino Linotype" w:cs="Arial"/>
          <w:b/>
          <w:i/>
          <w:sz w:val="22"/>
          <w:szCs w:val="24"/>
        </w:rPr>
        <w:t>El derecho a la información será garantizado por el Estado.</w:t>
      </w:r>
      <w:r w:rsidRPr="00D948D9">
        <w:rPr>
          <w:rFonts w:ascii="Palatino Linotype" w:hAnsi="Palatino Linotype" w:cs="Arial"/>
          <w:i/>
          <w:sz w:val="22"/>
          <w:szCs w:val="24"/>
        </w:rPr>
        <w:t xml:space="preserve"> </w:t>
      </w:r>
    </w:p>
    <w:p w14:paraId="3EB4E778" w14:textId="77777777" w:rsidR="00030C87" w:rsidRPr="00D948D9" w:rsidRDefault="00030C87" w:rsidP="00030C87">
      <w:pPr>
        <w:ind w:left="567" w:right="567"/>
        <w:jc w:val="both"/>
        <w:rPr>
          <w:rFonts w:ascii="Palatino Linotype" w:hAnsi="Palatino Linotype" w:cs="Arial"/>
          <w:i/>
          <w:sz w:val="22"/>
          <w:szCs w:val="24"/>
        </w:rPr>
      </w:pPr>
    </w:p>
    <w:p w14:paraId="3D20CC92"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D948D9" w:rsidRDefault="00030C87" w:rsidP="00030C87">
      <w:pPr>
        <w:ind w:left="567" w:right="567"/>
        <w:jc w:val="both"/>
        <w:rPr>
          <w:rFonts w:ascii="Palatino Linotype" w:hAnsi="Palatino Linotype" w:cs="Arial"/>
          <w:i/>
          <w:sz w:val="22"/>
          <w:szCs w:val="24"/>
        </w:rPr>
      </w:pPr>
    </w:p>
    <w:p w14:paraId="08FD9951"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Para efectos de lo dispuesto en el presente artículo se observará lo siguiente:</w:t>
      </w:r>
    </w:p>
    <w:p w14:paraId="03EF769F" w14:textId="77777777" w:rsidR="00030C87" w:rsidRPr="00D948D9" w:rsidRDefault="00030C87" w:rsidP="00030C87">
      <w:pPr>
        <w:ind w:left="567" w:right="567"/>
        <w:jc w:val="both"/>
        <w:rPr>
          <w:rFonts w:ascii="Palatino Linotype" w:hAnsi="Palatino Linotype" w:cs="Arial"/>
          <w:i/>
          <w:sz w:val="22"/>
          <w:szCs w:val="24"/>
        </w:rPr>
      </w:pPr>
    </w:p>
    <w:p w14:paraId="14A65C19"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D948D9" w:rsidRDefault="00030C87" w:rsidP="00030C87">
      <w:pPr>
        <w:ind w:left="567" w:right="567"/>
        <w:jc w:val="both"/>
        <w:rPr>
          <w:rFonts w:ascii="Palatino Linotype" w:hAnsi="Palatino Linotype" w:cs="Arial"/>
          <w:b/>
          <w:i/>
          <w:sz w:val="22"/>
          <w:szCs w:val="24"/>
        </w:rPr>
      </w:pPr>
    </w:p>
    <w:p w14:paraId="112C9C1C"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b/>
          <w:i/>
          <w:sz w:val="22"/>
          <w:szCs w:val="24"/>
        </w:rPr>
        <w:t>I. Toda la información en posesión de</w:t>
      </w:r>
      <w:r w:rsidRPr="00D948D9">
        <w:rPr>
          <w:rFonts w:ascii="Palatino Linotype" w:hAnsi="Palatino Linotype" w:cs="Arial"/>
          <w:i/>
          <w:sz w:val="22"/>
          <w:szCs w:val="24"/>
        </w:rPr>
        <w:t xml:space="preserve"> </w:t>
      </w:r>
      <w:r w:rsidRPr="00D948D9">
        <w:rPr>
          <w:rFonts w:ascii="Palatino Linotype" w:hAnsi="Palatino Linotype" w:cs="Arial"/>
          <w:b/>
          <w:i/>
          <w:sz w:val="22"/>
          <w:szCs w:val="24"/>
        </w:rPr>
        <w:t>cualquier autoridad</w:t>
      </w:r>
      <w:r w:rsidRPr="00D948D9">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948D9">
        <w:rPr>
          <w:rFonts w:ascii="Palatino Linotype" w:hAnsi="Palatino Linotype" w:cs="Arial"/>
          <w:b/>
          <w:i/>
          <w:sz w:val="22"/>
          <w:szCs w:val="24"/>
        </w:rPr>
        <w:t>es pública</w:t>
      </w:r>
      <w:r w:rsidRPr="00D948D9">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D948D9">
        <w:rPr>
          <w:rFonts w:ascii="Palatino Linotype" w:hAnsi="Palatino Linotype" w:cs="Arial"/>
          <w:b/>
          <w:i/>
          <w:sz w:val="22"/>
          <w:szCs w:val="24"/>
        </w:rPr>
        <w:t>Los sujetos obligados deberán documentar todo acto que derive del ejercicio de sus facultades, competencias o funciones</w:t>
      </w:r>
      <w:r w:rsidRPr="00D948D9">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D948D9" w:rsidRDefault="00030C87" w:rsidP="00030C87">
      <w:pPr>
        <w:ind w:left="567" w:right="567"/>
        <w:jc w:val="both"/>
        <w:rPr>
          <w:rFonts w:ascii="Palatino Linotype" w:hAnsi="Palatino Linotype" w:cs="Arial"/>
          <w:i/>
          <w:sz w:val="22"/>
          <w:szCs w:val="24"/>
        </w:rPr>
      </w:pPr>
    </w:p>
    <w:p w14:paraId="4461DD7B"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D948D9" w:rsidRDefault="00030C87" w:rsidP="00030C87">
      <w:pPr>
        <w:ind w:left="567" w:right="567"/>
        <w:jc w:val="both"/>
        <w:rPr>
          <w:rFonts w:ascii="Palatino Linotype" w:hAnsi="Palatino Linotype" w:cs="Arial"/>
          <w:i/>
          <w:sz w:val="22"/>
          <w:szCs w:val="24"/>
        </w:rPr>
      </w:pPr>
    </w:p>
    <w:p w14:paraId="6F24C83A"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D948D9" w:rsidRDefault="00030C87" w:rsidP="00030C87">
      <w:pPr>
        <w:ind w:left="567" w:right="567"/>
        <w:jc w:val="both"/>
        <w:rPr>
          <w:rFonts w:ascii="Palatino Linotype" w:hAnsi="Palatino Linotype" w:cs="Arial"/>
          <w:i/>
          <w:sz w:val="22"/>
          <w:szCs w:val="24"/>
        </w:rPr>
      </w:pPr>
    </w:p>
    <w:p w14:paraId="4C57B4BB"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D948D9" w:rsidRDefault="00030C87" w:rsidP="00030C87">
      <w:pPr>
        <w:ind w:left="567" w:right="567"/>
        <w:jc w:val="both"/>
        <w:rPr>
          <w:rFonts w:ascii="Palatino Linotype" w:hAnsi="Palatino Linotype" w:cs="Arial"/>
          <w:b/>
          <w:i/>
          <w:sz w:val="22"/>
          <w:szCs w:val="24"/>
        </w:rPr>
      </w:pPr>
    </w:p>
    <w:p w14:paraId="066AD9C7"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b/>
          <w:i/>
          <w:sz w:val="22"/>
          <w:szCs w:val="24"/>
        </w:rPr>
        <w:t>V. Los sujetos obligados deberán preservar sus documentos en archivos administrativos actualizados y publicarán, a través de los medios electrónicos disponibles</w:t>
      </w:r>
      <w:r w:rsidRPr="00D948D9">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D948D9" w:rsidRDefault="00030C87" w:rsidP="00030C87">
      <w:pPr>
        <w:ind w:left="567" w:right="567"/>
        <w:jc w:val="both"/>
        <w:rPr>
          <w:rFonts w:ascii="Palatino Linotype" w:hAnsi="Palatino Linotype" w:cs="Arial"/>
          <w:i/>
          <w:sz w:val="22"/>
          <w:szCs w:val="24"/>
        </w:rPr>
      </w:pPr>
    </w:p>
    <w:p w14:paraId="1E17B65C"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D948D9" w:rsidRDefault="00030C87" w:rsidP="00030C87">
      <w:pPr>
        <w:ind w:left="567" w:right="567"/>
        <w:jc w:val="both"/>
        <w:rPr>
          <w:rFonts w:ascii="Palatino Linotype" w:hAnsi="Palatino Linotype" w:cs="Arial"/>
          <w:i/>
          <w:sz w:val="22"/>
          <w:szCs w:val="24"/>
        </w:rPr>
      </w:pPr>
    </w:p>
    <w:p w14:paraId="4FF2A70D"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D948D9" w:rsidRDefault="00030C87" w:rsidP="00030C87">
      <w:pPr>
        <w:ind w:left="567" w:right="567"/>
        <w:jc w:val="both"/>
        <w:rPr>
          <w:rFonts w:ascii="Palatino Linotype" w:hAnsi="Palatino Linotype" w:cs="Arial"/>
          <w:i/>
          <w:sz w:val="22"/>
          <w:szCs w:val="24"/>
        </w:rPr>
      </w:pPr>
    </w:p>
    <w:p w14:paraId="26EDD1BA"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w:t>
      </w:r>
    </w:p>
    <w:p w14:paraId="13700958"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cs="Arial"/>
          <w:i/>
          <w:sz w:val="22"/>
          <w:szCs w:val="24"/>
        </w:rPr>
        <w:t>La ley establecerá aquella información que se considere reservada o confidencial.”</w:t>
      </w:r>
    </w:p>
    <w:p w14:paraId="4C2320CD" w14:textId="77777777" w:rsidR="00030C87" w:rsidRPr="00D948D9" w:rsidRDefault="00030C87" w:rsidP="00030C87">
      <w:pPr>
        <w:ind w:left="567" w:right="567"/>
        <w:jc w:val="both"/>
        <w:rPr>
          <w:rFonts w:ascii="Palatino Linotype" w:hAnsi="Palatino Linotype"/>
          <w:i/>
          <w:sz w:val="22"/>
          <w:szCs w:val="24"/>
        </w:rPr>
      </w:pPr>
    </w:p>
    <w:p w14:paraId="7AAE3C46"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i/>
          <w:sz w:val="22"/>
          <w:szCs w:val="24"/>
        </w:rPr>
        <w:t>(Énfasis añadido)</w:t>
      </w:r>
    </w:p>
    <w:p w14:paraId="094B478A" w14:textId="77777777" w:rsidR="00030C87" w:rsidRPr="00D948D9" w:rsidRDefault="00030C87" w:rsidP="00030C87">
      <w:pPr>
        <w:spacing w:line="360" w:lineRule="auto"/>
        <w:ind w:left="709" w:right="757"/>
        <w:jc w:val="both"/>
        <w:rPr>
          <w:rFonts w:ascii="Palatino Linotype" w:hAnsi="Palatino Linotype"/>
          <w:sz w:val="24"/>
          <w:szCs w:val="24"/>
        </w:rPr>
      </w:pPr>
    </w:p>
    <w:p w14:paraId="28042139" w14:textId="77777777" w:rsidR="00030C87" w:rsidRPr="00D948D9"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948D9">
        <w:rPr>
          <w:rFonts w:ascii="Palatino Linotype" w:hAnsi="Palatino Linotype" w:cs="Arial"/>
          <w:sz w:val="24"/>
        </w:rPr>
        <w:t>Por su parte, la Constitución Política del Estado Libre y Soberano de México, en su artículo 5°, dispone en su parte conducente, lo siguiente:</w:t>
      </w:r>
    </w:p>
    <w:p w14:paraId="309FDFFB" w14:textId="77777777" w:rsidR="00030C87" w:rsidRPr="00D948D9" w:rsidRDefault="00030C87" w:rsidP="00030C87">
      <w:pPr>
        <w:ind w:left="567" w:right="567"/>
        <w:jc w:val="both"/>
        <w:rPr>
          <w:rFonts w:ascii="Palatino Linotype" w:hAnsi="Palatino Linotype" w:cs="Arial"/>
          <w:b/>
          <w:i/>
          <w:sz w:val="22"/>
          <w:szCs w:val="24"/>
        </w:rPr>
      </w:pPr>
      <w:r w:rsidRPr="00D948D9">
        <w:rPr>
          <w:rFonts w:ascii="Palatino Linotype" w:hAnsi="Palatino Linotype" w:cs="Arial"/>
          <w:b/>
          <w:i/>
          <w:sz w:val="22"/>
          <w:szCs w:val="24"/>
        </w:rPr>
        <w:t xml:space="preserve">“Artículo 5. … </w:t>
      </w:r>
    </w:p>
    <w:p w14:paraId="00605BD5"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b/>
          <w:i/>
          <w:sz w:val="22"/>
          <w:szCs w:val="24"/>
        </w:rPr>
        <w:t>El derecho a la información será garantizado por el Estado</w:t>
      </w:r>
      <w:r w:rsidRPr="00D948D9">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i/>
          <w:sz w:val="22"/>
          <w:szCs w:val="24"/>
        </w:rPr>
        <w:t xml:space="preserve">Para garantizar el ejercicio del derecho de transparencia, acceso a la información pública y protección de datos personales, los poderes públicos y los organismos autónomos, </w:t>
      </w:r>
      <w:r w:rsidRPr="00D948D9">
        <w:rPr>
          <w:rFonts w:ascii="Palatino Linotype" w:hAnsi="Palatino Linotype"/>
          <w:i/>
          <w:sz w:val="22"/>
          <w:szCs w:val="24"/>
        </w:rPr>
        <w:lastRenderedPageBreak/>
        <w:t xml:space="preserve">transparentarán sus acciones, en términos de las disposiciones aplicables, la información será oportuna, clara, veraz y de fácil acceso. </w:t>
      </w:r>
    </w:p>
    <w:p w14:paraId="6B4C17A6" w14:textId="77777777" w:rsidR="00030C87" w:rsidRPr="00D948D9" w:rsidRDefault="00030C87" w:rsidP="00030C87">
      <w:pPr>
        <w:ind w:left="567" w:right="567"/>
        <w:jc w:val="both"/>
        <w:rPr>
          <w:rFonts w:ascii="Palatino Linotype" w:hAnsi="Palatino Linotype"/>
          <w:i/>
          <w:sz w:val="22"/>
          <w:szCs w:val="24"/>
        </w:rPr>
      </w:pPr>
    </w:p>
    <w:p w14:paraId="61341A61"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i/>
          <w:sz w:val="22"/>
          <w:szCs w:val="24"/>
        </w:rPr>
        <w:t>Este derecho se regirá por los principios y bases siguientes:</w:t>
      </w:r>
    </w:p>
    <w:p w14:paraId="26E4D920" w14:textId="77777777" w:rsidR="00030C87" w:rsidRPr="00D948D9" w:rsidRDefault="00030C87" w:rsidP="00030C87">
      <w:pPr>
        <w:ind w:left="567" w:right="567"/>
        <w:jc w:val="both"/>
        <w:rPr>
          <w:rFonts w:ascii="Palatino Linotype" w:hAnsi="Palatino Linotype"/>
          <w:b/>
          <w:i/>
          <w:sz w:val="22"/>
          <w:szCs w:val="24"/>
        </w:rPr>
      </w:pPr>
    </w:p>
    <w:p w14:paraId="346A6AF4"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b/>
          <w:i/>
          <w:sz w:val="22"/>
          <w:szCs w:val="24"/>
        </w:rPr>
        <w:t xml:space="preserve">I. Toda la información en posesión </w:t>
      </w:r>
      <w:r w:rsidRPr="00D948D9">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D948D9">
        <w:rPr>
          <w:rFonts w:ascii="Palatino Linotype" w:hAnsi="Palatino Linotype"/>
          <w:b/>
          <w:i/>
          <w:sz w:val="22"/>
          <w:szCs w:val="24"/>
        </w:rPr>
        <w:t>del gobierno y de la administración pública municipal y sus organismos descentralizados</w:t>
      </w:r>
      <w:r w:rsidRPr="00D948D9">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D948D9">
        <w:rPr>
          <w:rFonts w:ascii="Palatino Linotype" w:hAnsi="Palatino Linotype"/>
          <w:b/>
          <w:i/>
          <w:sz w:val="22"/>
          <w:szCs w:val="24"/>
        </w:rPr>
        <w:t>es pública</w:t>
      </w:r>
      <w:r w:rsidRPr="00D948D9">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D948D9" w:rsidRDefault="00030C87" w:rsidP="00030C87">
      <w:pPr>
        <w:ind w:left="567" w:right="567"/>
        <w:jc w:val="both"/>
        <w:rPr>
          <w:rFonts w:ascii="Palatino Linotype" w:hAnsi="Palatino Linotype"/>
          <w:i/>
          <w:sz w:val="22"/>
          <w:szCs w:val="24"/>
        </w:rPr>
      </w:pPr>
    </w:p>
    <w:p w14:paraId="20B1EFF1"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i/>
          <w:sz w:val="22"/>
          <w:szCs w:val="24"/>
        </w:rPr>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D948D9" w:rsidRDefault="00030C87" w:rsidP="00030C87">
      <w:pPr>
        <w:ind w:left="567" w:right="567"/>
        <w:jc w:val="both"/>
        <w:rPr>
          <w:rFonts w:ascii="Palatino Linotype" w:hAnsi="Palatino Linotype"/>
          <w:i/>
          <w:sz w:val="22"/>
          <w:szCs w:val="24"/>
        </w:rPr>
      </w:pPr>
    </w:p>
    <w:p w14:paraId="18DFC536"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D948D9" w:rsidRDefault="00030C87" w:rsidP="00030C87">
      <w:pPr>
        <w:ind w:left="567" w:right="567"/>
        <w:jc w:val="both"/>
        <w:rPr>
          <w:rFonts w:ascii="Palatino Linotype" w:hAnsi="Palatino Linotype"/>
          <w:i/>
          <w:sz w:val="22"/>
          <w:szCs w:val="24"/>
        </w:rPr>
      </w:pPr>
    </w:p>
    <w:p w14:paraId="425DEE4D"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D948D9" w:rsidRDefault="00030C87" w:rsidP="00030C87">
      <w:pPr>
        <w:ind w:left="567" w:right="567"/>
        <w:jc w:val="both"/>
        <w:rPr>
          <w:rFonts w:ascii="Palatino Linotype" w:hAnsi="Palatino Linotype"/>
          <w:i/>
          <w:sz w:val="22"/>
          <w:szCs w:val="24"/>
        </w:rPr>
      </w:pPr>
    </w:p>
    <w:p w14:paraId="1663E6EE"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i/>
          <w:sz w:val="22"/>
          <w:szCs w:val="24"/>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w:t>
      </w:r>
      <w:r w:rsidRPr="00D948D9">
        <w:rPr>
          <w:rFonts w:ascii="Palatino Linotype" w:hAnsi="Palatino Linotype"/>
          <w:i/>
          <w:sz w:val="22"/>
          <w:szCs w:val="24"/>
        </w:rPr>
        <w:lastRenderedPageBreak/>
        <w:t>competencia. Las resoluciones que correspondan a estos procedimientos se sistematizarán para favorecer su consulta.</w:t>
      </w:r>
    </w:p>
    <w:p w14:paraId="119EF2AF" w14:textId="77777777" w:rsidR="00030C87" w:rsidRPr="00D948D9" w:rsidRDefault="00030C87" w:rsidP="00030C87">
      <w:pPr>
        <w:ind w:left="567" w:right="567"/>
        <w:jc w:val="both"/>
        <w:rPr>
          <w:rFonts w:ascii="Palatino Linotype" w:hAnsi="Palatino Linotype"/>
          <w:b/>
          <w:i/>
          <w:sz w:val="22"/>
          <w:szCs w:val="24"/>
        </w:rPr>
      </w:pPr>
    </w:p>
    <w:p w14:paraId="19D0DC39" w14:textId="77777777" w:rsidR="00030C87" w:rsidRPr="00D948D9" w:rsidRDefault="00030C87" w:rsidP="00030C87">
      <w:pPr>
        <w:ind w:left="567" w:right="567"/>
        <w:jc w:val="both"/>
        <w:rPr>
          <w:rFonts w:ascii="Palatino Linotype" w:hAnsi="Palatino Linotype"/>
          <w:i/>
          <w:sz w:val="22"/>
          <w:szCs w:val="24"/>
        </w:rPr>
      </w:pPr>
      <w:r w:rsidRPr="00D948D9">
        <w:rPr>
          <w:rFonts w:ascii="Palatino Linotype" w:hAnsi="Palatino Linotype"/>
          <w:b/>
          <w:i/>
          <w:sz w:val="22"/>
          <w:szCs w:val="24"/>
        </w:rPr>
        <w:t>VI. Los sujetos obligados deberán preservar sus documentos en archivos administrativos actualizados y publicarán, a través de los medios electrónicos disponibles, la información completa y actualizada sobre el ejercicio de los recursos públicos</w:t>
      </w:r>
      <w:r w:rsidRPr="00D948D9">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D948D9" w:rsidRDefault="00030C87" w:rsidP="00030C87">
      <w:pPr>
        <w:ind w:left="567" w:right="567"/>
        <w:jc w:val="both"/>
        <w:rPr>
          <w:rFonts w:ascii="Palatino Linotype" w:hAnsi="Palatino Linotype"/>
          <w:i/>
          <w:sz w:val="22"/>
          <w:szCs w:val="24"/>
        </w:rPr>
      </w:pPr>
    </w:p>
    <w:p w14:paraId="363F898A" w14:textId="77777777" w:rsidR="00030C87" w:rsidRPr="00D948D9" w:rsidRDefault="00030C87" w:rsidP="00030C87">
      <w:pPr>
        <w:ind w:left="567" w:right="567"/>
        <w:jc w:val="both"/>
        <w:rPr>
          <w:rFonts w:ascii="Palatino Linotype" w:hAnsi="Palatino Linotype" w:cs="Arial"/>
          <w:i/>
          <w:sz w:val="22"/>
          <w:szCs w:val="24"/>
        </w:rPr>
      </w:pPr>
      <w:r w:rsidRPr="00D948D9">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D948D9" w:rsidRDefault="00030C87" w:rsidP="00030C87">
      <w:pPr>
        <w:ind w:left="567" w:right="567"/>
        <w:jc w:val="both"/>
        <w:rPr>
          <w:rFonts w:ascii="Palatino Linotype" w:hAnsi="Palatino Linotype"/>
          <w:sz w:val="22"/>
          <w:szCs w:val="24"/>
        </w:rPr>
      </w:pPr>
    </w:p>
    <w:p w14:paraId="23D9E784" w14:textId="77777777" w:rsidR="00030C87" w:rsidRPr="00D948D9" w:rsidRDefault="00030C87" w:rsidP="00030C87">
      <w:pPr>
        <w:ind w:left="567" w:right="567"/>
        <w:jc w:val="both"/>
        <w:rPr>
          <w:rFonts w:ascii="Palatino Linotype" w:hAnsi="Palatino Linotype"/>
          <w:sz w:val="22"/>
          <w:szCs w:val="24"/>
        </w:rPr>
      </w:pPr>
      <w:r w:rsidRPr="00D948D9">
        <w:rPr>
          <w:rFonts w:ascii="Palatino Linotype" w:hAnsi="Palatino Linotype"/>
          <w:sz w:val="22"/>
          <w:szCs w:val="24"/>
        </w:rPr>
        <w:t>(Énfasis añadido)</w:t>
      </w:r>
    </w:p>
    <w:p w14:paraId="7993745D" w14:textId="77777777" w:rsidR="00030C87" w:rsidRPr="00D948D9" w:rsidRDefault="00030C87" w:rsidP="00030C87">
      <w:pPr>
        <w:spacing w:line="360" w:lineRule="auto"/>
        <w:ind w:left="567" w:right="567"/>
        <w:jc w:val="both"/>
        <w:rPr>
          <w:rFonts w:ascii="Palatino Linotype" w:hAnsi="Palatino Linotype"/>
          <w:sz w:val="24"/>
          <w:szCs w:val="24"/>
        </w:rPr>
      </w:pPr>
    </w:p>
    <w:p w14:paraId="28E40394" w14:textId="77777777" w:rsidR="00030C87" w:rsidRPr="00D948D9"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948D9">
        <w:rPr>
          <w:rFonts w:ascii="Palatino Linotype" w:hAnsi="Palatino Linotype" w:cs="Arial"/>
          <w:sz w:val="24"/>
        </w:rPr>
        <w:t>Adicional, tenemos que la Ley de Transparencia y Acceso a la Información Pública del Estado de México y Municipios, prevé en su artículo 23 fracción IV, lo siguiente:</w:t>
      </w:r>
    </w:p>
    <w:p w14:paraId="4E6A1EE7" w14:textId="77777777" w:rsidR="00030C87" w:rsidRPr="00D948D9" w:rsidRDefault="00030C87" w:rsidP="00030C87">
      <w:pPr>
        <w:spacing w:line="360" w:lineRule="auto"/>
        <w:jc w:val="both"/>
        <w:rPr>
          <w:rFonts w:ascii="Palatino Linotype" w:hAnsi="Palatino Linotype" w:cs="Arial"/>
          <w:sz w:val="24"/>
          <w:szCs w:val="24"/>
        </w:rPr>
      </w:pPr>
    </w:p>
    <w:p w14:paraId="58307176" w14:textId="77777777" w:rsidR="00030C87" w:rsidRPr="00D948D9" w:rsidRDefault="00030C87" w:rsidP="00030C87">
      <w:pPr>
        <w:ind w:left="567" w:right="822"/>
        <w:jc w:val="both"/>
        <w:rPr>
          <w:rFonts w:ascii="Palatino Linotype" w:eastAsia="MS Mincho" w:hAnsi="Palatino Linotype" w:cs="Arial"/>
          <w:i/>
          <w:sz w:val="22"/>
          <w:szCs w:val="24"/>
        </w:rPr>
      </w:pPr>
      <w:r w:rsidRPr="00D948D9">
        <w:rPr>
          <w:rFonts w:ascii="Palatino Linotype" w:eastAsia="MS Mincho" w:hAnsi="Palatino Linotype" w:cs="Arial"/>
          <w:b/>
          <w:i/>
          <w:sz w:val="22"/>
          <w:szCs w:val="24"/>
        </w:rPr>
        <w:t xml:space="preserve">“Artículo 23. Son sujetos obligados a transparentar y permitir el acceso a su información y </w:t>
      </w:r>
      <w:r w:rsidRPr="00D948D9">
        <w:rPr>
          <w:rFonts w:ascii="Palatino Linotype" w:eastAsia="MS Mincho" w:hAnsi="Palatino Linotype"/>
          <w:b/>
          <w:i/>
          <w:sz w:val="22"/>
          <w:szCs w:val="24"/>
        </w:rPr>
        <w:t>proteger</w:t>
      </w:r>
      <w:r w:rsidRPr="00D948D9">
        <w:rPr>
          <w:rFonts w:ascii="Palatino Linotype" w:eastAsia="MS Mincho" w:hAnsi="Palatino Linotype" w:cs="Arial"/>
          <w:b/>
          <w:i/>
          <w:sz w:val="22"/>
          <w:szCs w:val="24"/>
        </w:rPr>
        <w:t xml:space="preserve"> los datos personales que obren en su poder</w:t>
      </w:r>
      <w:r w:rsidRPr="00D948D9">
        <w:rPr>
          <w:rFonts w:ascii="Palatino Linotype" w:eastAsia="MS Mincho" w:hAnsi="Palatino Linotype" w:cs="Arial"/>
          <w:i/>
          <w:sz w:val="22"/>
          <w:szCs w:val="24"/>
        </w:rPr>
        <w:t>:</w:t>
      </w:r>
    </w:p>
    <w:p w14:paraId="557DAB22" w14:textId="77777777" w:rsidR="00030C87" w:rsidRPr="00D948D9" w:rsidRDefault="00030C87" w:rsidP="00030C87">
      <w:pPr>
        <w:ind w:left="567" w:right="822"/>
        <w:jc w:val="both"/>
        <w:rPr>
          <w:rFonts w:ascii="Palatino Linotype" w:eastAsia="MS Mincho" w:hAnsi="Palatino Linotype" w:cs="Arial"/>
          <w:i/>
          <w:sz w:val="22"/>
          <w:szCs w:val="24"/>
        </w:rPr>
      </w:pPr>
      <w:r w:rsidRPr="00D948D9">
        <w:rPr>
          <w:rFonts w:ascii="Palatino Linotype" w:eastAsia="MS Mincho" w:hAnsi="Palatino Linotype" w:cs="Arial"/>
          <w:i/>
          <w:sz w:val="22"/>
          <w:szCs w:val="24"/>
        </w:rPr>
        <w:t>…</w:t>
      </w:r>
    </w:p>
    <w:p w14:paraId="511B2D70" w14:textId="77777777" w:rsidR="00030C87" w:rsidRPr="00D948D9" w:rsidRDefault="00030C87" w:rsidP="00030C87">
      <w:pPr>
        <w:ind w:left="567" w:right="822"/>
        <w:jc w:val="both"/>
        <w:rPr>
          <w:rFonts w:ascii="Palatino Linotype" w:eastAsia="MS Mincho" w:hAnsi="Palatino Linotype" w:cs="Arial"/>
          <w:b/>
          <w:i/>
          <w:iCs/>
          <w:sz w:val="22"/>
          <w:szCs w:val="24"/>
        </w:rPr>
      </w:pPr>
      <w:r w:rsidRPr="00D948D9">
        <w:rPr>
          <w:rFonts w:ascii="Palatino Linotype" w:hAnsi="Palatino Linotype"/>
          <w:i/>
          <w:iCs/>
          <w:sz w:val="22"/>
          <w:szCs w:val="24"/>
        </w:rPr>
        <w:t>IV. Los ayuntamientos y las dependencias, organismos, órganos y entidades de la administración municipal;</w:t>
      </w:r>
      <w:r w:rsidRPr="00D948D9">
        <w:rPr>
          <w:rFonts w:ascii="Palatino Linotype" w:eastAsia="MS Mincho" w:hAnsi="Palatino Linotype" w:cs="Arial"/>
          <w:b/>
          <w:i/>
          <w:iCs/>
          <w:sz w:val="22"/>
          <w:szCs w:val="24"/>
        </w:rPr>
        <w:t xml:space="preserve"> </w:t>
      </w:r>
    </w:p>
    <w:p w14:paraId="1AAB05B8" w14:textId="77777777" w:rsidR="00030C87" w:rsidRPr="00D948D9" w:rsidRDefault="00030C87" w:rsidP="00030C87">
      <w:pPr>
        <w:ind w:left="567" w:right="822"/>
        <w:jc w:val="both"/>
        <w:rPr>
          <w:rFonts w:ascii="Palatino Linotype" w:eastAsia="MS Mincho" w:hAnsi="Palatino Linotype" w:cs="Arial"/>
          <w:b/>
          <w:i/>
          <w:sz w:val="22"/>
          <w:szCs w:val="24"/>
        </w:rPr>
      </w:pPr>
      <w:r w:rsidRPr="00D948D9">
        <w:rPr>
          <w:rFonts w:ascii="Palatino Linotype" w:eastAsia="MS Mincho" w:hAnsi="Palatino Linotype" w:cs="Arial"/>
          <w:b/>
          <w:i/>
          <w:sz w:val="22"/>
          <w:szCs w:val="24"/>
        </w:rPr>
        <w:t>…</w:t>
      </w:r>
    </w:p>
    <w:p w14:paraId="2E072A21" w14:textId="77777777" w:rsidR="00030C87" w:rsidRPr="00D948D9" w:rsidRDefault="00030C87" w:rsidP="00030C87">
      <w:pPr>
        <w:ind w:left="567" w:right="822"/>
        <w:jc w:val="both"/>
        <w:rPr>
          <w:rFonts w:ascii="Palatino Linotype" w:eastAsia="MS Mincho" w:hAnsi="Palatino Linotype"/>
          <w:b/>
          <w:i/>
          <w:sz w:val="22"/>
          <w:szCs w:val="24"/>
        </w:rPr>
      </w:pPr>
      <w:r w:rsidRPr="00D948D9">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D948D9">
        <w:rPr>
          <w:rFonts w:ascii="Palatino Linotype" w:eastAsia="MS Mincho" w:hAnsi="Palatino Linotype"/>
          <w:i/>
          <w:sz w:val="22"/>
          <w:szCs w:val="24"/>
        </w:rPr>
        <w:t xml:space="preserve">, </w:t>
      </w:r>
      <w:r w:rsidRPr="00D948D9">
        <w:rPr>
          <w:rFonts w:ascii="Palatino Linotype" w:eastAsia="MS Mincho" w:hAnsi="Palatino Linotype"/>
          <w:b/>
          <w:i/>
          <w:sz w:val="22"/>
          <w:szCs w:val="24"/>
        </w:rPr>
        <w:t>así como</w:t>
      </w:r>
      <w:r w:rsidRPr="00D948D9">
        <w:rPr>
          <w:rFonts w:ascii="Palatino Linotype" w:eastAsia="MS Mincho" w:hAnsi="Palatino Linotype"/>
          <w:i/>
          <w:sz w:val="22"/>
          <w:szCs w:val="24"/>
        </w:rPr>
        <w:t xml:space="preserve"> </w:t>
      </w:r>
      <w:r w:rsidRPr="00D948D9">
        <w:rPr>
          <w:rFonts w:ascii="Palatino Linotype" w:eastAsia="MS Mincho" w:hAnsi="Palatino Linotype"/>
          <w:b/>
          <w:i/>
          <w:sz w:val="22"/>
          <w:szCs w:val="24"/>
        </w:rPr>
        <w:t>los informes que dichas personas les entreguen sobre el uso y destino de dichos recursos.</w:t>
      </w:r>
    </w:p>
    <w:p w14:paraId="63E7F600" w14:textId="77777777" w:rsidR="00030C87" w:rsidRPr="00D948D9" w:rsidRDefault="00030C87" w:rsidP="00030C87">
      <w:pPr>
        <w:ind w:left="567" w:right="822"/>
        <w:jc w:val="both"/>
        <w:rPr>
          <w:rFonts w:ascii="Palatino Linotype" w:eastAsia="MS Mincho" w:hAnsi="Palatino Linotype"/>
          <w:b/>
          <w:i/>
          <w:sz w:val="22"/>
          <w:szCs w:val="24"/>
        </w:rPr>
      </w:pPr>
    </w:p>
    <w:p w14:paraId="54D538D0" w14:textId="77777777" w:rsidR="00030C87" w:rsidRPr="00D948D9" w:rsidRDefault="00030C87" w:rsidP="00030C87">
      <w:pPr>
        <w:ind w:left="567" w:right="822"/>
        <w:jc w:val="both"/>
        <w:rPr>
          <w:rFonts w:ascii="Palatino Linotype" w:eastAsia="MS Mincho" w:hAnsi="Palatino Linotype" w:cs="Arial"/>
          <w:i/>
          <w:sz w:val="22"/>
          <w:szCs w:val="24"/>
        </w:rPr>
      </w:pPr>
      <w:r w:rsidRPr="00D948D9">
        <w:rPr>
          <w:rFonts w:ascii="Palatino Linotype" w:eastAsia="MS Mincho" w:hAnsi="Palatino Linotype" w:cs="Arial"/>
          <w:b/>
          <w:i/>
          <w:sz w:val="22"/>
          <w:szCs w:val="24"/>
        </w:rPr>
        <w:lastRenderedPageBreak/>
        <w:t>Los servidores públicos deberán transparentar sus acciones así como garantizar y respetar el derecho de acceso a la información pública.”</w:t>
      </w:r>
    </w:p>
    <w:p w14:paraId="12F16319" w14:textId="77777777" w:rsidR="00030C87" w:rsidRPr="00D948D9" w:rsidRDefault="00030C87" w:rsidP="00030C87">
      <w:pPr>
        <w:ind w:left="567" w:right="822"/>
        <w:jc w:val="both"/>
        <w:rPr>
          <w:rFonts w:ascii="Palatino Linotype" w:eastAsia="MS Mincho" w:hAnsi="Palatino Linotype" w:cs="Arial"/>
          <w:i/>
          <w:sz w:val="22"/>
          <w:szCs w:val="24"/>
        </w:rPr>
      </w:pPr>
      <w:r w:rsidRPr="00D948D9">
        <w:rPr>
          <w:rFonts w:ascii="Palatino Linotype" w:eastAsia="MS Mincho" w:hAnsi="Palatino Linotype" w:cs="Arial"/>
          <w:i/>
          <w:sz w:val="22"/>
          <w:szCs w:val="24"/>
        </w:rPr>
        <w:t>(Énfasis añadido)</w:t>
      </w:r>
    </w:p>
    <w:p w14:paraId="51738043" w14:textId="77777777" w:rsidR="00030C87" w:rsidRPr="00D948D9" w:rsidRDefault="00030C87" w:rsidP="00030C87">
      <w:pPr>
        <w:spacing w:line="360" w:lineRule="auto"/>
        <w:jc w:val="both"/>
        <w:rPr>
          <w:rFonts w:ascii="Palatino Linotype" w:hAnsi="Palatino Linotype" w:cs="Arial"/>
          <w:sz w:val="24"/>
          <w:szCs w:val="24"/>
        </w:rPr>
      </w:pPr>
    </w:p>
    <w:p w14:paraId="570C5D6F" w14:textId="77777777" w:rsidR="00030C87" w:rsidRPr="00D948D9"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948D9">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D948D9" w:rsidRDefault="00030C87" w:rsidP="00030C87">
      <w:pPr>
        <w:pStyle w:val="Prrafodelista"/>
        <w:spacing w:line="360" w:lineRule="auto"/>
        <w:ind w:left="0"/>
        <w:jc w:val="both"/>
        <w:rPr>
          <w:rFonts w:ascii="Palatino Linotype" w:hAnsi="Palatino Linotype" w:cs="Arial"/>
          <w:sz w:val="24"/>
        </w:rPr>
      </w:pPr>
    </w:p>
    <w:p w14:paraId="3415F0D5" w14:textId="0970373D" w:rsidR="00030C87" w:rsidRPr="00D948D9" w:rsidRDefault="00030C87" w:rsidP="00030C87">
      <w:pPr>
        <w:pStyle w:val="Prrafodelista"/>
        <w:numPr>
          <w:ilvl w:val="0"/>
          <w:numId w:val="2"/>
        </w:numPr>
        <w:spacing w:line="360" w:lineRule="auto"/>
        <w:ind w:left="0" w:firstLine="0"/>
        <w:jc w:val="both"/>
        <w:rPr>
          <w:rFonts w:ascii="Palatino Linotype" w:hAnsi="Palatino Linotype" w:cs="Arial"/>
          <w:sz w:val="24"/>
        </w:rPr>
      </w:pPr>
      <w:r w:rsidRPr="00D948D9">
        <w:rPr>
          <w:rFonts w:ascii="Palatino Linotype" w:hAnsi="Palatino Linotype" w:cs="Arial"/>
          <w:sz w:val="24"/>
        </w:rPr>
        <w:t>Por lo anterior, es de referir que,</w:t>
      </w:r>
      <w:r w:rsidRPr="00D948D9">
        <w:rPr>
          <w:rFonts w:ascii="Palatino Linotype" w:hAnsi="Palatino Linotype" w:cs="Arial"/>
          <w:b/>
          <w:sz w:val="24"/>
        </w:rPr>
        <w:t xml:space="preserve"> el</w:t>
      </w:r>
      <w:r w:rsidRPr="00D948D9">
        <w:rPr>
          <w:rFonts w:ascii="Palatino Linotype" w:hAnsi="Palatino Linotype"/>
          <w:b/>
          <w:bCs/>
          <w:sz w:val="24"/>
        </w:rPr>
        <w:t xml:space="preserve"> </w:t>
      </w:r>
      <w:r w:rsidR="005F7A17" w:rsidRPr="00D948D9">
        <w:rPr>
          <w:rFonts w:ascii="Palatino Linotype" w:eastAsia="Calibri" w:hAnsi="Palatino Linotype" w:cs="Arial"/>
          <w:b/>
          <w:bCs/>
          <w:sz w:val="24"/>
          <w:lang w:val="es-ES"/>
        </w:rPr>
        <w:t>Sistema Municipal Para el Desarrollo Integral de la Familia de Toluca</w:t>
      </w:r>
      <w:r w:rsidRPr="00D948D9">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5B796CF8" w14:textId="77777777" w:rsidR="00B30557" w:rsidRPr="00D948D9" w:rsidRDefault="00B30557" w:rsidP="00B30557">
      <w:pPr>
        <w:pStyle w:val="Prrafodelista"/>
        <w:rPr>
          <w:rFonts w:ascii="Palatino Linotype" w:hAnsi="Palatino Linotype" w:cs="Arial"/>
          <w:sz w:val="24"/>
        </w:rPr>
      </w:pPr>
    </w:p>
    <w:p w14:paraId="4653FD44" w14:textId="5880B372" w:rsidR="00085010" w:rsidRPr="00D948D9" w:rsidRDefault="00030C87" w:rsidP="00085010">
      <w:pPr>
        <w:pStyle w:val="Prrafodelista"/>
        <w:tabs>
          <w:tab w:val="left" w:pos="426"/>
        </w:tabs>
        <w:spacing w:before="240" w:after="240" w:line="360" w:lineRule="auto"/>
        <w:ind w:left="0" w:right="51"/>
        <w:jc w:val="both"/>
        <w:outlineLvl w:val="2"/>
        <w:rPr>
          <w:rFonts w:ascii="Palatino Linotype" w:hAnsi="Palatino Linotype"/>
          <w:b/>
          <w:color w:val="000000" w:themeColor="text1"/>
          <w:sz w:val="24"/>
        </w:rPr>
      </w:pPr>
      <w:bookmarkStart w:id="16" w:name="_Toc87456491"/>
      <w:r w:rsidRPr="00D948D9">
        <w:rPr>
          <w:rFonts w:ascii="Palatino Linotype" w:hAnsi="Palatino Linotype"/>
          <w:b/>
          <w:color w:val="000000" w:themeColor="text1"/>
          <w:sz w:val="24"/>
        </w:rPr>
        <w:t xml:space="preserve">II. </w:t>
      </w:r>
      <w:bookmarkEnd w:id="16"/>
      <w:r w:rsidR="00085010" w:rsidRPr="00D948D9">
        <w:rPr>
          <w:rFonts w:ascii="Palatino Linotype" w:hAnsi="Palatino Linotype"/>
          <w:b/>
          <w:color w:val="000000" w:themeColor="text1"/>
          <w:sz w:val="24"/>
        </w:rPr>
        <w:t>De la</w:t>
      </w:r>
      <w:r w:rsidR="008A06D7" w:rsidRPr="00D948D9">
        <w:rPr>
          <w:rFonts w:ascii="Palatino Linotype" w:hAnsi="Palatino Linotype"/>
          <w:b/>
          <w:color w:val="000000" w:themeColor="text1"/>
          <w:sz w:val="24"/>
        </w:rPr>
        <w:t xml:space="preserve"> </w:t>
      </w:r>
      <w:r w:rsidR="00957702" w:rsidRPr="00D948D9">
        <w:rPr>
          <w:rFonts w:ascii="Palatino Linotype" w:hAnsi="Palatino Linotype"/>
          <w:b/>
          <w:color w:val="000000" w:themeColor="text1"/>
          <w:sz w:val="24"/>
        </w:rPr>
        <w:t>información solicitada</w:t>
      </w:r>
      <w:r w:rsidR="00AE265F" w:rsidRPr="00D948D9">
        <w:rPr>
          <w:rFonts w:ascii="Palatino Linotype" w:hAnsi="Palatino Linotype"/>
          <w:b/>
          <w:color w:val="000000" w:themeColor="text1"/>
          <w:sz w:val="24"/>
        </w:rPr>
        <w:t>.</w:t>
      </w:r>
    </w:p>
    <w:p w14:paraId="1F27F711" w14:textId="77777777" w:rsidR="00085010" w:rsidRPr="00D948D9" w:rsidRDefault="00085010" w:rsidP="00085010">
      <w:pPr>
        <w:pStyle w:val="Prrafodelista"/>
        <w:spacing w:line="360" w:lineRule="auto"/>
        <w:ind w:left="0"/>
        <w:jc w:val="both"/>
        <w:rPr>
          <w:rFonts w:ascii="Palatino Linotype" w:eastAsia="MS Mincho" w:hAnsi="Palatino Linotype"/>
        </w:rPr>
      </w:pPr>
    </w:p>
    <w:p w14:paraId="172FC35B" w14:textId="77777777" w:rsidR="00E73BC5" w:rsidRPr="00D948D9" w:rsidRDefault="00E73BC5"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Para tratar de ser representativos, es necesario realizar el siguiente cuadro de análisis:</w:t>
      </w:r>
    </w:p>
    <w:p w14:paraId="50B15528" w14:textId="77777777"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p>
    <w:tbl>
      <w:tblPr>
        <w:tblStyle w:val="Tablaconcuadrcula"/>
        <w:tblW w:w="0" w:type="auto"/>
        <w:tblLook w:val="04A0" w:firstRow="1" w:lastRow="0" w:firstColumn="1" w:lastColumn="0" w:noHBand="0" w:noVBand="1"/>
      </w:tblPr>
      <w:tblGrid>
        <w:gridCol w:w="3256"/>
        <w:gridCol w:w="4394"/>
        <w:gridCol w:w="1275"/>
      </w:tblGrid>
      <w:tr w:rsidR="00E73BC5" w:rsidRPr="00D948D9" w14:paraId="6B2BB655" w14:textId="77777777" w:rsidTr="00E73BC5">
        <w:tc>
          <w:tcPr>
            <w:tcW w:w="3256" w:type="dxa"/>
          </w:tcPr>
          <w:p w14:paraId="51DBC17D" w14:textId="10E950B3" w:rsidR="00E73BC5" w:rsidRPr="00D948D9" w:rsidRDefault="00E73BC5" w:rsidP="00E73BC5">
            <w:pPr>
              <w:pStyle w:val="Prrafodelista"/>
              <w:tabs>
                <w:tab w:val="left" w:pos="567"/>
              </w:tabs>
              <w:spacing w:line="360" w:lineRule="auto"/>
              <w:ind w:left="0"/>
              <w:jc w:val="center"/>
              <w:rPr>
                <w:rFonts w:ascii="Palatino Linotype" w:eastAsia="Calibri" w:hAnsi="Palatino Linotype" w:cs="Arial"/>
                <w:b/>
                <w:sz w:val="24"/>
              </w:rPr>
            </w:pPr>
            <w:r w:rsidRPr="00D948D9">
              <w:rPr>
                <w:rFonts w:ascii="Palatino Linotype" w:eastAsia="Calibri" w:hAnsi="Palatino Linotype" w:cs="Arial"/>
                <w:b/>
                <w:sz w:val="24"/>
              </w:rPr>
              <w:t>Información requerida</w:t>
            </w:r>
          </w:p>
        </w:tc>
        <w:tc>
          <w:tcPr>
            <w:tcW w:w="4394" w:type="dxa"/>
          </w:tcPr>
          <w:p w14:paraId="769AB804" w14:textId="08E7DA58" w:rsidR="00E73BC5" w:rsidRPr="00D948D9" w:rsidRDefault="00E73BC5" w:rsidP="00E73BC5">
            <w:pPr>
              <w:pStyle w:val="Prrafodelista"/>
              <w:tabs>
                <w:tab w:val="left" w:pos="567"/>
              </w:tabs>
              <w:spacing w:line="360" w:lineRule="auto"/>
              <w:ind w:left="0"/>
              <w:jc w:val="center"/>
              <w:rPr>
                <w:rFonts w:ascii="Palatino Linotype" w:eastAsia="Calibri" w:hAnsi="Palatino Linotype" w:cs="Arial"/>
                <w:b/>
                <w:sz w:val="24"/>
              </w:rPr>
            </w:pPr>
            <w:r w:rsidRPr="00D948D9">
              <w:rPr>
                <w:rFonts w:ascii="Palatino Linotype" w:eastAsia="Calibri" w:hAnsi="Palatino Linotype" w:cs="Arial"/>
                <w:b/>
                <w:sz w:val="24"/>
              </w:rPr>
              <w:t>Información proporcionada</w:t>
            </w:r>
          </w:p>
        </w:tc>
        <w:tc>
          <w:tcPr>
            <w:tcW w:w="1275" w:type="dxa"/>
          </w:tcPr>
          <w:p w14:paraId="289268F7" w14:textId="2336EDE8" w:rsidR="00E73BC5" w:rsidRPr="00D948D9" w:rsidRDefault="00E73BC5" w:rsidP="00E73BC5">
            <w:pPr>
              <w:pStyle w:val="Prrafodelista"/>
              <w:tabs>
                <w:tab w:val="left" w:pos="567"/>
              </w:tabs>
              <w:spacing w:line="360" w:lineRule="auto"/>
              <w:ind w:left="0"/>
              <w:jc w:val="center"/>
              <w:rPr>
                <w:rFonts w:ascii="Palatino Linotype" w:eastAsia="Calibri" w:hAnsi="Palatino Linotype" w:cs="Arial"/>
                <w:b/>
                <w:sz w:val="24"/>
              </w:rPr>
            </w:pPr>
            <w:r w:rsidRPr="00D948D9">
              <w:rPr>
                <w:rFonts w:ascii="Palatino Linotype" w:eastAsia="Calibri" w:hAnsi="Palatino Linotype" w:cs="Arial"/>
                <w:b/>
                <w:sz w:val="24"/>
              </w:rPr>
              <w:t>¿Colma?</w:t>
            </w:r>
          </w:p>
        </w:tc>
      </w:tr>
      <w:tr w:rsidR="00E73BC5" w:rsidRPr="00D948D9" w14:paraId="164D0D78" w14:textId="77777777" w:rsidTr="00E73BC5">
        <w:tc>
          <w:tcPr>
            <w:tcW w:w="3256" w:type="dxa"/>
          </w:tcPr>
          <w:p w14:paraId="06FEC641" w14:textId="4D817B63"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hAnsi="Palatino Linotype"/>
                <w:sz w:val="24"/>
              </w:rPr>
              <w:t>Bases de datos actualizadas;</w:t>
            </w:r>
          </w:p>
        </w:tc>
        <w:tc>
          <w:tcPr>
            <w:tcW w:w="4394" w:type="dxa"/>
          </w:tcPr>
          <w:p w14:paraId="77086A53" w14:textId="3D60A4EC"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sz w:val="24"/>
              </w:rPr>
              <w:t>Entregó un listado de bases de datos.</w:t>
            </w:r>
          </w:p>
        </w:tc>
        <w:tc>
          <w:tcPr>
            <w:tcW w:w="1275" w:type="dxa"/>
          </w:tcPr>
          <w:p w14:paraId="18E3F3A2" w14:textId="0A60D118"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sz w:val="24"/>
              </w:rPr>
              <w:t>No colma</w:t>
            </w:r>
          </w:p>
        </w:tc>
      </w:tr>
      <w:tr w:rsidR="00E73BC5" w:rsidRPr="00D948D9" w14:paraId="06394E4E" w14:textId="77777777" w:rsidTr="00E73BC5">
        <w:tc>
          <w:tcPr>
            <w:tcW w:w="3256" w:type="dxa"/>
          </w:tcPr>
          <w:p w14:paraId="250A62FA" w14:textId="65A32666"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hAnsi="Palatino Linotype"/>
                <w:sz w:val="24"/>
              </w:rPr>
              <w:lastRenderedPageBreak/>
              <w:t>Documento de seguridad;</w:t>
            </w:r>
          </w:p>
        </w:tc>
        <w:tc>
          <w:tcPr>
            <w:tcW w:w="4394" w:type="dxa"/>
          </w:tcPr>
          <w:p w14:paraId="1A83D502" w14:textId="65C314A2"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sz w:val="24"/>
              </w:rPr>
              <w:t>Refiere que es información clasificada como confidencial.</w:t>
            </w:r>
          </w:p>
        </w:tc>
        <w:tc>
          <w:tcPr>
            <w:tcW w:w="1275" w:type="dxa"/>
          </w:tcPr>
          <w:p w14:paraId="4E8F6C71" w14:textId="55FBC1D0"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sz w:val="24"/>
              </w:rPr>
              <w:t>No colma</w:t>
            </w:r>
          </w:p>
        </w:tc>
      </w:tr>
      <w:tr w:rsidR="00E73BC5" w:rsidRPr="00D948D9" w14:paraId="7A853C60" w14:textId="77777777" w:rsidTr="00E73BC5">
        <w:tc>
          <w:tcPr>
            <w:tcW w:w="3256" w:type="dxa"/>
          </w:tcPr>
          <w:p w14:paraId="5F7DC01B" w14:textId="3F050A38"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hAnsi="Palatino Linotype"/>
                <w:sz w:val="24"/>
              </w:rPr>
              <w:t>Avisos de privacidad; y,</w:t>
            </w:r>
          </w:p>
        </w:tc>
        <w:tc>
          <w:tcPr>
            <w:tcW w:w="4394" w:type="dxa"/>
          </w:tcPr>
          <w:p w14:paraId="763FA75E" w14:textId="4D915FE2"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sz w:val="24"/>
              </w:rPr>
              <w:t>Entregó una dirección electrónica donde supuestamente obran los avisos de privacidad.</w:t>
            </w:r>
          </w:p>
        </w:tc>
        <w:tc>
          <w:tcPr>
            <w:tcW w:w="1275" w:type="dxa"/>
          </w:tcPr>
          <w:p w14:paraId="0304C002" w14:textId="6E5A5CF9"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sz w:val="24"/>
              </w:rPr>
              <w:t>Si colma.</w:t>
            </w:r>
          </w:p>
        </w:tc>
      </w:tr>
      <w:tr w:rsidR="00E73BC5" w:rsidRPr="00D948D9" w14:paraId="55744E03" w14:textId="77777777" w:rsidTr="00E73BC5">
        <w:tc>
          <w:tcPr>
            <w:tcW w:w="3256" w:type="dxa"/>
          </w:tcPr>
          <w:p w14:paraId="646A2F9A" w14:textId="3F65E727"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hAnsi="Palatino Linotype"/>
                <w:sz w:val="24"/>
              </w:rPr>
              <w:t>Sistemas de Gestión.</w:t>
            </w:r>
          </w:p>
        </w:tc>
        <w:tc>
          <w:tcPr>
            <w:tcW w:w="4394" w:type="dxa"/>
          </w:tcPr>
          <w:p w14:paraId="58B1032E" w14:textId="260735D5" w:rsidR="00E73BC5" w:rsidRPr="00D948D9" w:rsidRDefault="00E73BC5" w:rsidP="00E73BC5">
            <w:pPr>
              <w:spacing w:before="240" w:after="240" w:line="360" w:lineRule="auto"/>
              <w:jc w:val="both"/>
              <w:rPr>
                <w:rFonts w:ascii="Palatino Linotype" w:eastAsia="Calibri" w:hAnsi="Palatino Linotype" w:cs="Arial"/>
                <w:sz w:val="24"/>
              </w:rPr>
            </w:pPr>
            <w:r w:rsidRPr="00D948D9">
              <w:rPr>
                <w:rFonts w:ascii="Palatino Linotype" w:eastAsia="Calibri" w:hAnsi="Palatino Linotype" w:cs="Arial"/>
                <w:sz w:val="24"/>
              </w:rPr>
              <w:t xml:space="preserve">Entregó el Sistema de Gestión </w:t>
            </w:r>
            <w:r w:rsidRPr="00D948D9">
              <w:rPr>
                <w:rFonts w:ascii="Palatino Linotype" w:hAnsi="Palatino Linotype" w:cs="Arial"/>
                <w:sz w:val="24"/>
              </w:rPr>
              <w:t>de Seguridad de Protección de Datos Personales del Sistema Municipal para el Desarrollo Integral de la Familia de Toluca.</w:t>
            </w:r>
          </w:p>
        </w:tc>
        <w:tc>
          <w:tcPr>
            <w:tcW w:w="1275" w:type="dxa"/>
          </w:tcPr>
          <w:p w14:paraId="19D3EC8E" w14:textId="533BDF3F"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sz w:val="24"/>
              </w:rPr>
              <w:t>Si colma</w:t>
            </w:r>
          </w:p>
        </w:tc>
      </w:tr>
    </w:tbl>
    <w:p w14:paraId="3E1CC2BD" w14:textId="77777777" w:rsidR="00E73BC5" w:rsidRPr="00D948D9" w:rsidRDefault="00E73BC5" w:rsidP="00E73BC5">
      <w:pPr>
        <w:pStyle w:val="Prrafodelista"/>
        <w:tabs>
          <w:tab w:val="left" w:pos="567"/>
        </w:tabs>
        <w:spacing w:line="360" w:lineRule="auto"/>
        <w:ind w:left="0"/>
        <w:jc w:val="both"/>
        <w:rPr>
          <w:rFonts w:ascii="Palatino Linotype" w:eastAsia="Calibri" w:hAnsi="Palatino Linotype" w:cs="Arial"/>
          <w:sz w:val="24"/>
        </w:rPr>
      </w:pPr>
    </w:p>
    <w:p w14:paraId="38208685" w14:textId="77777777" w:rsidR="002D2D31" w:rsidRPr="00D948D9" w:rsidRDefault="002D2D31"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Respecto a los avisos de privacidad, el Sujeto Obligado proporcionó la dirección electrónica siguiente:</w:t>
      </w:r>
    </w:p>
    <w:p w14:paraId="60092663" w14:textId="77777777" w:rsidR="002D2D31" w:rsidRPr="00D948D9" w:rsidRDefault="002D2D31" w:rsidP="002D2D31">
      <w:pPr>
        <w:pStyle w:val="Prrafodelista"/>
        <w:tabs>
          <w:tab w:val="left" w:pos="567"/>
        </w:tabs>
        <w:spacing w:line="360" w:lineRule="auto"/>
        <w:ind w:left="0"/>
        <w:jc w:val="both"/>
        <w:rPr>
          <w:rFonts w:ascii="Palatino Linotype" w:eastAsia="Calibri" w:hAnsi="Palatino Linotype" w:cs="Arial"/>
          <w:sz w:val="24"/>
        </w:rPr>
      </w:pPr>
    </w:p>
    <w:p w14:paraId="5A1280BA" w14:textId="64A68B5A" w:rsidR="002D2D31" w:rsidRPr="00D948D9" w:rsidRDefault="00B463BF" w:rsidP="002D2D31">
      <w:pPr>
        <w:pStyle w:val="Prrafodelista"/>
        <w:tabs>
          <w:tab w:val="left" w:pos="567"/>
        </w:tabs>
        <w:spacing w:line="360" w:lineRule="auto"/>
        <w:ind w:left="0"/>
        <w:jc w:val="both"/>
        <w:rPr>
          <w:rFonts w:ascii="Palatino Linotype" w:eastAsia="Calibri" w:hAnsi="Palatino Linotype" w:cs="Arial"/>
          <w:sz w:val="24"/>
        </w:rPr>
      </w:pPr>
      <w:hyperlink r:id="rId11" w:history="1">
        <w:r w:rsidR="002D2D31" w:rsidRPr="00D948D9">
          <w:rPr>
            <w:rStyle w:val="Hipervnculo"/>
            <w:rFonts w:ascii="Palatino Linotype" w:hAnsi="Palatino Linotype" w:cs="Arial"/>
            <w:b/>
            <w:i/>
            <w:sz w:val="24"/>
          </w:rPr>
          <w:t>https://diftoluca.gob.mx/Paginas/Transparencia/AvisosPrivacidad/index.php</w:t>
        </w:r>
      </w:hyperlink>
    </w:p>
    <w:p w14:paraId="12E13478" w14:textId="77777777" w:rsidR="002D2D31" w:rsidRPr="00D948D9" w:rsidRDefault="002D2D31" w:rsidP="002D2D31">
      <w:pPr>
        <w:pStyle w:val="Prrafodelista"/>
        <w:tabs>
          <w:tab w:val="left" w:pos="567"/>
        </w:tabs>
        <w:spacing w:line="360" w:lineRule="auto"/>
        <w:ind w:left="0"/>
        <w:jc w:val="both"/>
        <w:rPr>
          <w:rFonts w:ascii="Palatino Linotype" w:eastAsia="Calibri" w:hAnsi="Palatino Linotype" w:cs="Arial"/>
          <w:sz w:val="24"/>
        </w:rPr>
      </w:pPr>
    </w:p>
    <w:p w14:paraId="46AA694E" w14:textId="10A5D36D" w:rsidR="002D2D31" w:rsidRPr="00D948D9" w:rsidRDefault="002D2D31"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Al ingresar a la dirección electrónica remitida en respuesta, se obtiene la siguiente información:</w:t>
      </w:r>
    </w:p>
    <w:p w14:paraId="44ACBF95" w14:textId="77777777" w:rsidR="002D2D31" w:rsidRPr="00D948D9" w:rsidRDefault="002D2D31" w:rsidP="002D2D31">
      <w:pPr>
        <w:pStyle w:val="Prrafodelista"/>
        <w:tabs>
          <w:tab w:val="left" w:pos="567"/>
        </w:tabs>
        <w:spacing w:line="360" w:lineRule="auto"/>
        <w:ind w:left="0"/>
        <w:jc w:val="both"/>
        <w:rPr>
          <w:rFonts w:ascii="Palatino Linotype" w:eastAsia="Calibri" w:hAnsi="Palatino Linotype" w:cs="Arial"/>
          <w:sz w:val="24"/>
        </w:rPr>
      </w:pPr>
    </w:p>
    <w:p w14:paraId="323E9FCE" w14:textId="17C6EC5E" w:rsidR="002D2D31" w:rsidRPr="00D948D9" w:rsidRDefault="002D2D31" w:rsidP="002D2D31">
      <w:pPr>
        <w:pStyle w:val="Prrafodelista"/>
        <w:tabs>
          <w:tab w:val="left" w:pos="567"/>
        </w:tabs>
        <w:spacing w:line="360" w:lineRule="auto"/>
        <w:ind w:left="0"/>
        <w:jc w:val="both"/>
        <w:rPr>
          <w:rFonts w:ascii="Palatino Linotype" w:eastAsia="Calibri" w:hAnsi="Palatino Linotype" w:cs="Arial"/>
          <w:sz w:val="24"/>
        </w:rPr>
      </w:pPr>
      <w:r w:rsidRPr="00D948D9">
        <w:rPr>
          <w:rFonts w:ascii="Palatino Linotype" w:eastAsia="Calibri" w:hAnsi="Palatino Linotype" w:cs="Arial"/>
          <w:noProof/>
          <w:sz w:val="24"/>
          <w:lang w:eastAsia="es-MX"/>
        </w:rPr>
        <w:lastRenderedPageBreak/>
        <w:drawing>
          <wp:inline distT="0" distB="0" distL="0" distR="0" wp14:anchorId="456683E7" wp14:editId="74576CE8">
            <wp:extent cx="5742940" cy="30137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3013710"/>
                    </a:xfrm>
                    <a:prstGeom prst="rect">
                      <a:avLst/>
                    </a:prstGeom>
                  </pic:spPr>
                </pic:pic>
              </a:graphicData>
            </a:graphic>
          </wp:inline>
        </w:drawing>
      </w:r>
    </w:p>
    <w:p w14:paraId="27857229" w14:textId="77777777" w:rsidR="002D2D31" w:rsidRPr="00D948D9" w:rsidRDefault="002D2D31" w:rsidP="002D2D31">
      <w:pPr>
        <w:pStyle w:val="Prrafodelista"/>
        <w:tabs>
          <w:tab w:val="left" w:pos="567"/>
        </w:tabs>
        <w:spacing w:line="360" w:lineRule="auto"/>
        <w:ind w:left="0"/>
        <w:jc w:val="both"/>
        <w:rPr>
          <w:rFonts w:ascii="Palatino Linotype" w:eastAsia="Calibri" w:hAnsi="Palatino Linotype" w:cs="Arial"/>
          <w:sz w:val="24"/>
        </w:rPr>
      </w:pPr>
    </w:p>
    <w:p w14:paraId="52EFD26A" w14:textId="77777777" w:rsidR="002D2D31" w:rsidRPr="00D948D9" w:rsidRDefault="002D2D31" w:rsidP="002D2D31">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948D9">
        <w:rPr>
          <w:rFonts w:ascii="Palatino Linotype" w:hAnsi="Palatino Linotype"/>
          <w:lang w:val="es-ES"/>
        </w:rPr>
        <w:t xml:space="preserve">La Ley de Transparencia y Acceso a la Información Pública del Estado de México y Municipios establece en su artículo 11 que en </w:t>
      </w:r>
      <w:r w:rsidRPr="00D948D9">
        <w:rPr>
          <w:rFonts w:ascii="Palatino Linotype" w:hAnsi="Palatino Linotype"/>
          <w:i/>
          <w:lang w:val="es-ES"/>
        </w:rPr>
        <w:t xml:space="preserve">la entrega de la información se deberá garantizar que ésta sea accesible, actualizada, completa, congruente, confiable, verificable, veraz, integral, oportuna y expedita. </w:t>
      </w:r>
      <w:r w:rsidRPr="00D948D9">
        <w:rPr>
          <w:rFonts w:ascii="Palatino Linotype" w:hAnsi="Palatino Linotype"/>
          <w:lang w:val="es-ES"/>
        </w:rPr>
        <w:t>El artículo 161 de la Ley en comento, refiere lo siguiente:</w:t>
      </w:r>
    </w:p>
    <w:p w14:paraId="5568043F" w14:textId="77777777" w:rsidR="002D2D31" w:rsidRPr="00D948D9" w:rsidRDefault="002D2D31" w:rsidP="002D2D31">
      <w:pPr>
        <w:pStyle w:val="Prrafodelista"/>
        <w:rPr>
          <w:rFonts w:ascii="Palatino Linotype" w:hAnsi="Palatino Linotype"/>
          <w:lang w:val="es-ES"/>
        </w:rPr>
      </w:pPr>
    </w:p>
    <w:p w14:paraId="1277D9A1" w14:textId="77777777" w:rsidR="002D2D31" w:rsidRPr="00D948D9" w:rsidRDefault="002D2D31" w:rsidP="002D2D31">
      <w:pPr>
        <w:autoSpaceDE w:val="0"/>
        <w:autoSpaceDN w:val="0"/>
        <w:adjustRightInd w:val="0"/>
        <w:spacing w:line="360" w:lineRule="auto"/>
        <w:ind w:left="567" w:right="567"/>
        <w:jc w:val="both"/>
        <w:rPr>
          <w:rFonts w:ascii="Palatino Linotype" w:hAnsi="Palatino Linotype" w:cs="Bookman Old Style"/>
          <w:b/>
          <w:i/>
          <w:sz w:val="22"/>
        </w:rPr>
      </w:pPr>
      <w:r w:rsidRPr="00D948D9">
        <w:rPr>
          <w:rFonts w:ascii="Palatino Linotype" w:hAnsi="Palatino Linotype" w:cs="Bookman Old Style,Bold"/>
          <w:b/>
          <w:bCs/>
          <w:i/>
          <w:sz w:val="22"/>
        </w:rPr>
        <w:t xml:space="preserve">Artículo 161. </w:t>
      </w:r>
      <w:r w:rsidRPr="00D948D9">
        <w:rPr>
          <w:rFonts w:ascii="Palatino Linotype" w:hAnsi="Palatino Linotype" w:cs="Bookman Old Style"/>
          <w:b/>
          <w:i/>
          <w:sz w:val="22"/>
        </w:rPr>
        <w:t xml:space="preserve">Cuando la información requerida por el solicitante ya esté disponible al público </w:t>
      </w:r>
      <w:r w:rsidRPr="00D948D9">
        <w:rPr>
          <w:rFonts w:ascii="Palatino Linotype" w:hAnsi="Palatino Linotype" w:cs="Bookman Old Style"/>
          <w:i/>
          <w:sz w:val="22"/>
        </w:rPr>
        <w:t xml:space="preserve">en medios impresos, tales como libros, compendios, trípticos, registros públicos, </w:t>
      </w:r>
      <w:r w:rsidRPr="00D948D9">
        <w:rPr>
          <w:rFonts w:ascii="Palatino Linotype" w:hAnsi="Palatino Linotype" w:cs="Bookman Old Style"/>
          <w:b/>
          <w:i/>
          <w:sz w:val="22"/>
        </w:rPr>
        <w:t>en formatos electrónicos</w:t>
      </w:r>
      <w:r w:rsidRPr="00D948D9">
        <w:rPr>
          <w:rFonts w:ascii="Palatino Linotype" w:hAnsi="Palatino Linotype" w:cs="Bookman Old Style"/>
          <w:i/>
          <w:sz w:val="22"/>
        </w:rPr>
        <w:t xml:space="preserve"> disponibles en Internet o en cualquier otro medio, </w:t>
      </w:r>
      <w:r w:rsidRPr="00D948D9">
        <w:rPr>
          <w:rFonts w:ascii="Palatino Linotype" w:hAnsi="Palatino Linotype" w:cs="Bookman Old Style"/>
          <w:b/>
          <w:i/>
          <w:sz w:val="22"/>
        </w:rPr>
        <w:t xml:space="preserve">se le hará saber por el medio requerido por el solicitante la fuente, el lugar y la forma en que puede consultar, reproducir o adquirir dicha información en un plazo no mayor a cinco días hábiles. La fuente deberá ser precisa y concreta y no </w:t>
      </w:r>
      <w:r w:rsidRPr="00D948D9">
        <w:rPr>
          <w:rFonts w:ascii="Palatino Linotype" w:hAnsi="Palatino Linotype" w:cs="Bookman Old Style"/>
          <w:b/>
          <w:i/>
          <w:sz w:val="22"/>
        </w:rPr>
        <w:lastRenderedPageBreak/>
        <w:t>debe implicar que el solicitante realice una búsqueda en toda la información que se encuentre disponible.</w:t>
      </w:r>
    </w:p>
    <w:p w14:paraId="1AE4A8D1" w14:textId="77777777" w:rsidR="002D2D31" w:rsidRPr="00D948D9" w:rsidRDefault="002D2D31" w:rsidP="002D2D31">
      <w:pPr>
        <w:autoSpaceDE w:val="0"/>
        <w:autoSpaceDN w:val="0"/>
        <w:adjustRightInd w:val="0"/>
        <w:spacing w:line="360" w:lineRule="auto"/>
        <w:ind w:left="567" w:right="567"/>
        <w:jc w:val="both"/>
        <w:rPr>
          <w:rFonts w:ascii="Palatino Linotype" w:hAnsi="Palatino Linotype" w:cs="Bookman Old Style,Bold"/>
          <w:b/>
          <w:bCs/>
          <w:i/>
          <w:sz w:val="22"/>
        </w:rPr>
      </w:pPr>
      <w:r w:rsidRPr="00D948D9">
        <w:rPr>
          <w:rFonts w:ascii="Palatino Linotype" w:hAnsi="Palatino Linotype" w:cs="Bookman Old Style,Bold"/>
          <w:b/>
          <w:bCs/>
          <w:i/>
          <w:sz w:val="22"/>
        </w:rPr>
        <w:t>(Énfasis añadido)</w:t>
      </w:r>
    </w:p>
    <w:p w14:paraId="512D1DA9" w14:textId="77777777" w:rsidR="002D2D31" w:rsidRPr="00D948D9" w:rsidRDefault="002D2D31" w:rsidP="002D2D31">
      <w:pPr>
        <w:autoSpaceDE w:val="0"/>
        <w:autoSpaceDN w:val="0"/>
        <w:adjustRightInd w:val="0"/>
        <w:spacing w:line="360" w:lineRule="auto"/>
        <w:ind w:left="567" w:right="567"/>
        <w:jc w:val="both"/>
        <w:rPr>
          <w:rFonts w:ascii="Palatino Linotype" w:hAnsi="Palatino Linotype"/>
          <w:b/>
          <w:i/>
          <w:sz w:val="28"/>
          <w:lang w:val="es-ES"/>
        </w:rPr>
      </w:pPr>
    </w:p>
    <w:p w14:paraId="4AD7BE07" w14:textId="77777777" w:rsidR="002D2D31" w:rsidRPr="00D948D9" w:rsidRDefault="002D2D31" w:rsidP="002D2D31">
      <w:pPr>
        <w:pStyle w:val="Prrafodelista"/>
        <w:numPr>
          <w:ilvl w:val="0"/>
          <w:numId w:val="2"/>
        </w:numPr>
        <w:spacing w:line="360" w:lineRule="auto"/>
        <w:ind w:left="0" w:firstLine="0"/>
        <w:jc w:val="both"/>
        <w:rPr>
          <w:rFonts w:ascii="Palatino Linotype" w:hAnsi="Palatino Linotype"/>
          <w:color w:val="000000"/>
          <w:sz w:val="24"/>
          <w:szCs w:val="22"/>
        </w:rPr>
      </w:pPr>
      <w:r w:rsidRPr="00D948D9">
        <w:rPr>
          <w:rFonts w:ascii="Palatino Linotype" w:hAnsi="Palatino Linotype"/>
          <w:sz w:val="24"/>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w:t>
      </w:r>
      <w:r w:rsidRPr="00D948D9">
        <w:rPr>
          <w:rFonts w:ascii="Palatino Linotype" w:hAnsi="Palatino Linotype"/>
          <w:b/>
          <w:sz w:val="24"/>
          <w:lang w:val="es-ES"/>
        </w:rPr>
        <w:t xml:space="preserve">Esta dirección electrónica debe ser precisa, de tal modo que no implique realizar una búsqueda en toda la información que ahí se encuentre, o bien, </w:t>
      </w:r>
      <w:r w:rsidRPr="00D948D9">
        <w:rPr>
          <w:rFonts w:ascii="Palatino Linotype" w:hAnsi="Palatino Linotype"/>
          <w:sz w:val="24"/>
          <w:lang w:val="es-ES"/>
        </w:rPr>
        <w:t>acompañada del procedimiento a seguir, en caso de que la información se encuentre en distintos puntos del sitio electrónico referido.</w:t>
      </w:r>
    </w:p>
    <w:p w14:paraId="51A1E005" w14:textId="77777777" w:rsidR="002D2D31" w:rsidRPr="00D948D9" w:rsidRDefault="002D2D31" w:rsidP="002D2D31">
      <w:pPr>
        <w:pStyle w:val="Prrafodelista"/>
        <w:spacing w:line="360" w:lineRule="auto"/>
        <w:ind w:left="0"/>
        <w:jc w:val="both"/>
        <w:rPr>
          <w:rFonts w:ascii="Palatino Linotype" w:hAnsi="Palatino Linotype" w:cs="Arial"/>
          <w:sz w:val="24"/>
        </w:rPr>
      </w:pPr>
    </w:p>
    <w:p w14:paraId="55942615" w14:textId="64735827" w:rsidR="002D2D31" w:rsidRPr="00D948D9" w:rsidRDefault="002D2D31" w:rsidP="002D2D31">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De la dirección electrónica proporcionada por el Sujeto Obligado, se aprecia que contiene los avisos de privacidad requeridos. En consecuencia, la dirección electrónica se ajusta a lo dispuesto en el citado artículo 161, cumpliendo con lo dispuesto en el artículo 166 de la Ley de Transparencia y Acceso a la Información Pública del Estado de México y Municipios, el cual dispone lo siguiente:</w:t>
      </w:r>
    </w:p>
    <w:p w14:paraId="2F85E705" w14:textId="77777777" w:rsidR="002D2D31" w:rsidRPr="00D948D9" w:rsidRDefault="002D2D31" w:rsidP="002D2D31">
      <w:pPr>
        <w:pStyle w:val="Prrafodelista"/>
        <w:rPr>
          <w:rFonts w:ascii="Palatino Linotype" w:eastAsia="Calibri" w:hAnsi="Palatino Linotype" w:cs="Arial"/>
        </w:rPr>
      </w:pPr>
    </w:p>
    <w:p w14:paraId="3EFC7A2A" w14:textId="77777777" w:rsidR="002D2D31" w:rsidRPr="00D948D9" w:rsidRDefault="002D2D31" w:rsidP="002D2D31">
      <w:pPr>
        <w:pStyle w:val="Prrafodelista"/>
        <w:tabs>
          <w:tab w:val="left" w:pos="567"/>
        </w:tabs>
        <w:spacing w:line="360" w:lineRule="auto"/>
        <w:ind w:left="567" w:right="616"/>
        <w:jc w:val="both"/>
        <w:rPr>
          <w:rFonts w:ascii="Palatino Linotype" w:eastAsia="Calibri" w:hAnsi="Palatino Linotype" w:cs="Arial"/>
          <w:i/>
        </w:rPr>
      </w:pPr>
      <w:r w:rsidRPr="00D948D9">
        <w:rPr>
          <w:rFonts w:ascii="Palatino Linotype" w:hAnsi="Palatino Linotype"/>
          <w:i/>
        </w:rPr>
        <w:lastRenderedPageBreak/>
        <w:t>Artículo 166. La obligación de acceso a la información pública se tendrá por cumplida cuando el solicitante tenga a su disposición la información requerida, o cuando realice la consulta de la misma en el lugar en el que ésta se localice.</w:t>
      </w:r>
    </w:p>
    <w:p w14:paraId="76E784CE" w14:textId="77777777" w:rsidR="002D2D31" w:rsidRPr="00D948D9" w:rsidRDefault="002D2D31" w:rsidP="002D2D31">
      <w:pPr>
        <w:pStyle w:val="Prrafodelista"/>
        <w:rPr>
          <w:rFonts w:ascii="Palatino Linotype" w:eastAsia="Calibri" w:hAnsi="Palatino Linotype" w:cs="Arial"/>
        </w:rPr>
      </w:pPr>
    </w:p>
    <w:p w14:paraId="2ADED417" w14:textId="7117C440" w:rsidR="002D2D31" w:rsidRPr="00D948D9" w:rsidRDefault="002D2D31" w:rsidP="002D2D31">
      <w:pPr>
        <w:pStyle w:val="Prrafodelista"/>
        <w:numPr>
          <w:ilvl w:val="0"/>
          <w:numId w:val="2"/>
        </w:numPr>
        <w:tabs>
          <w:tab w:val="left" w:pos="567"/>
        </w:tabs>
        <w:spacing w:line="360" w:lineRule="auto"/>
        <w:ind w:left="0" w:firstLine="0"/>
        <w:jc w:val="both"/>
        <w:rPr>
          <w:rFonts w:ascii="Palatino Linotype" w:hAnsi="Palatino Linotype" w:cs="Arial"/>
        </w:rPr>
      </w:pPr>
      <w:r w:rsidRPr="00D948D9">
        <w:rPr>
          <w:rFonts w:ascii="Palatino Linotype" w:eastAsia="Calibri" w:hAnsi="Palatino Linotype" w:cs="Arial"/>
          <w:sz w:val="24"/>
        </w:rPr>
        <w:t>En el presente asunto en particular, la obligación de acceso a la información se tiene por cumplida, toda vez que la liga electrónica proporcionada por el Sujeto Obligado contiene la información peticionada.</w:t>
      </w:r>
    </w:p>
    <w:p w14:paraId="22EE9210" w14:textId="77777777" w:rsidR="002D2D31" w:rsidRPr="00D948D9" w:rsidRDefault="002D2D31" w:rsidP="002D2D31">
      <w:pPr>
        <w:tabs>
          <w:tab w:val="left" w:pos="567"/>
        </w:tabs>
        <w:spacing w:line="360" w:lineRule="auto"/>
        <w:jc w:val="both"/>
        <w:rPr>
          <w:rFonts w:ascii="Palatino Linotype" w:eastAsia="Calibri" w:hAnsi="Palatino Linotype" w:cs="Arial"/>
          <w:sz w:val="24"/>
        </w:rPr>
      </w:pPr>
    </w:p>
    <w:p w14:paraId="7A5B833F" w14:textId="0A5675BB" w:rsidR="00683543" w:rsidRPr="00D948D9" w:rsidRDefault="00683543" w:rsidP="00683543">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Ahora bien, en cuanto al Sistema de Gestión, el Sujeto Obligado entregó la siguiente información:</w:t>
      </w:r>
    </w:p>
    <w:p w14:paraId="31EF4D5E" w14:textId="2D167679" w:rsidR="00683543" w:rsidRPr="00D948D9" w:rsidRDefault="00934816" w:rsidP="00934816">
      <w:pPr>
        <w:pStyle w:val="Prrafodelista"/>
        <w:tabs>
          <w:tab w:val="left" w:pos="567"/>
        </w:tabs>
        <w:spacing w:line="360" w:lineRule="auto"/>
        <w:ind w:left="0"/>
        <w:jc w:val="center"/>
        <w:rPr>
          <w:rFonts w:ascii="Palatino Linotype" w:eastAsia="Calibri" w:hAnsi="Palatino Linotype" w:cs="Arial"/>
          <w:sz w:val="24"/>
        </w:rPr>
      </w:pPr>
      <w:r w:rsidRPr="00D948D9">
        <w:rPr>
          <w:rFonts w:ascii="Palatino Linotype" w:eastAsia="Calibri" w:hAnsi="Palatino Linotype" w:cs="Arial"/>
          <w:noProof/>
          <w:sz w:val="24"/>
          <w:lang w:eastAsia="es-MX"/>
        </w:rPr>
        <w:drawing>
          <wp:inline distT="0" distB="0" distL="0" distR="0" wp14:anchorId="51CBC63D" wp14:editId="056284AD">
            <wp:extent cx="2686050" cy="342811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6458" cy="3441394"/>
                    </a:xfrm>
                    <a:prstGeom prst="rect">
                      <a:avLst/>
                    </a:prstGeom>
                  </pic:spPr>
                </pic:pic>
              </a:graphicData>
            </a:graphic>
          </wp:inline>
        </w:drawing>
      </w:r>
    </w:p>
    <w:p w14:paraId="5BBC4F26" w14:textId="16C29BE9" w:rsidR="007F3BEB" w:rsidRPr="00D948D9" w:rsidRDefault="00934816" w:rsidP="007F3BEB">
      <w:pPr>
        <w:pStyle w:val="Prrafodelista"/>
        <w:rPr>
          <w:rFonts w:ascii="Palatino Linotype" w:eastAsia="Calibri" w:hAnsi="Palatino Linotype" w:cs="Arial"/>
          <w:sz w:val="24"/>
        </w:rPr>
      </w:pPr>
      <w:r w:rsidRPr="00D948D9">
        <w:rPr>
          <w:rFonts w:ascii="Palatino Linotype" w:eastAsia="Calibri" w:hAnsi="Palatino Linotype" w:cs="Arial"/>
          <w:noProof/>
          <w:sz w:val="24"/>
          <w:lang w:eastAsia="es-MX"/>
        </w:rPr>
        <w:lastRenderedPageBreak/>
        <w:drawing>
          <wp:inline distT="0" distB="0" distL="0" distR="0" wp14:anchorId="42E40253" wp14:editId="5FFE736E">
            <wp:extent cx="5742940" cy="63950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6395085"/>
                    </a:xfrm>
                    <a:prstGeom prst="rect">
                      <a:avLst/>
                    </a:prstGeom>
                  </pic:spPr>
                </pic:pic>
              </a:graphicData>
            </a:graphic>
          </wp:inline>
        </w:drawing>
      </w:r>
    </w:p>
    <w:p w14:paraId="683189D2" w14:textId="77777777" w:rsidR="00934816" w:rsidRPr="00D948D9" w:rsidRDefault="00934816"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lastRenderedPageBreak/>
        <w:t>En la atención al derecho de acceso a la información pública, los Sujetos Obligados deben de poner a disposición de quien lo solicite la información que obre en sus archivos y en el estado en el que se encuentre, eso según lo dispuesto en los artículos 4 y 12 de Ley de Transparencia y Acceso a la Información Pública del Estado de México y Municipios, los cuales ya fueron descritos en líneas anteriores, por lo que se omite citar su contenido en este punto de la resolución.</w:t>
      </w:r>
    </w:p>
    <w:p w14:paraId="293B3DD0" w14:textId="77777777" w:rsidR="00934816" w:rsidRPr="00D948D9" w:rsidRDefault="00934816" w:rsidP="00934816">
      <w:pPr>
        <w:pStyle w:val="Prrafodelista"/>
        <w:tabs>
          <w:tab w:val="left" w:pos="567"/>
        </w:tabs>
        <w:spacing w:line="360" w:lineRule="auto"/>
        <w:ind w:left="0"/>
        <w:jc w:val="both"/>
        <w:rPr>
          <w:rFonts w:ascii="Palatino Linotype" w:eastAsia="Calibri" w:hAnsi="Palatino Linotype" w:cs="Arial"/>
          <w:sz w:val="24"/>
        </w:rPr>
      </w:pPr>
    </w:p>
    <w:p w14:paraId="676611C3" w14:textId="77777777" w:rsidR="00934816" w:rsidRPr="00D948D9" w:rsidRDefault="00934816"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Entonces, al haber entregado el documento con la denominación “Sistema de Gestión de Seguridad de Protección de Datos Personales del Sujeto Obligado,” se entiende que es como genera, administra y posee la información que fue requerida por el Particular.</w:t>
      </w:r>
    </w:p>
    <w:p w14:paraId="73276CB9" w14:textId="77777777" w:rsidR="00934816" w:rsidRPr="00D948D9" w:rsidRDefault="00934816" w:rsidP="00934816">
      <w:pPr>
        <w:pStyle w:val="Prrafodelista"/>
        <w:rPr>
          <w:rFonts w:ascii="Palatino Linotype" w:eastAsia="Calibri" w:hAnsi="Palatino Linotype" w:cs="Arial"/>
          <w:sz w:val="24"/>
        </w:rPr>
      </w:pPr>
    </w:p>
    <w:p w14:paraId="692B8DD4" w14:textId="77777777" w:rsidR="00934816" w:rsidRPr="00D948D9" w:rsidRDefault="00934816" w:rsidP="00934816">
      <w:pPr>
        <w:pStyle w:val="Prrafodelista"/>
        <w:numPr>
          <w:ilvl w:val="0"/>
          <w:numId w:val="2"/>
        </w:numPr>
        <w:spacing w:before="100" w:beforeAutospacing="1" w:after="100" w:afterAutospacing="1" w:line="360" w:lineRule="auto"/>
        <w:ind w:left="0" w:firstLine="0"/>
        <w:jc w:val="both"/>
        <w:rPr>
          <w:rFonts w:ascii="Palatino Linotype" w:eastAsia="Calibri" w:hAnsi="Palatino Linotype" w:cs="Arial"/>
          <w:sz w:val="24"/>
        </w:rPr>
      </w:pPr>
      <w:r w:rsidRPr="00D948D9">
        <w:rPr>
          <w:rFonts w:ascii="Palatino Linotype" w:eastAsia="MS Gothic" w:hAnsi="Palatino Linotype"/>
          <w:sz w:val="24"/>
          <w:szCs w:val="26"/>
        </w:rPr>
        <w:t>En</w:t>
      </w:r>
      <w:r w:rsidRPr="00D948D9">
        <w:rPr>
          <w:rFonts w:ascii="Palatino Linotype" w:hAnsi="Palatino Linotype"/>
          <w:sz w:val="24"/>
          <w:lang w:val="es-ES"/>
        </w:rPr>
        <w:t xml:space="preserve"> ese sentido, </w:t>
      </w:r>
      <w:r w:rsidRPr="00D948D9">
        <w:rPr>
          <w:rFonts w:ascii="Palatino Linotype" w:hAnsi="Palatino Linotype"/>
          <w:sz w:val="24"/>
          <w:lang w:eastAsia="en-US"/>
        </w:rPr>
        <w:t xml:space="preserve">al haber existido un pronunciamiento por parte del área que de acuerdo a sus atribuciones, funciones y competencias debe generar la información requerida y, manifestar que se pagaron las cantidades referidas en los contratos, es que </w:t>
      </w:r>
      <w:r w:rsidRPr="00D948D9">
        <w:rPr>
          <w:rFonts w:ascii="Palatino Linotype" w:hAnsi="Palatino Linotype"/>
          <w:sz w:val="24"/>
          <w:lang w:val="es-ES"/>
        </w:rPr>
        <w:t>debemos</w:t>
      </w:r>
      <w:r w:rsidRPr="00D948D9">
        <w:rPr>
          <w:rFonts w:ascii="Palatino Linotype" w:hAnsi="Palatino Linotype"/>
          <w:i/>
          <w:sz w:val="24"/>
          <w:lang w:val="es-ES"/>
        </w:rPr>
        <w:t xml:space="preserve"> </w:t>
      </w:r>
      <w:r w:rsidRPr="00D948D9">
        <w:rPr>
          <w:rFonts w:ascii="Palatino Linotype" w:hAnsi="Palatino Linotype" w:cs="Arial"/>
          <w:sz w:val="24"/>
          <w:szCs w:val="20"/>
        </w:rPr>
        <w:t>hacer referencia a l</w:t>
      </w:r>
      <w:r w:rsidRPr="00D948D9">
        <w:rPr>
          <w:rFonts w:ascii="Palatino Linotype" w:hAnsi="Palatino Linotype"/>
          <w:sz w:val="24"/>
        </w:rPr>
        <w:t>a presunción de veracidad</w:t>
      </w:r>
      <w:r w:rsidRPr="00D948D9">
        <w:rPr>
          <w:rStyle w:val="Refdenotaalpie"/>
          <w:rFonts w:ascii="Palatino Linotype" w:hAnsi="Palatino Linotype"/>
          <w:sz w:val="24"/>
        </w:rPr>
        <w:footnoteReference w:id="6"/>
      </w:r>
      <w:r w:rsidRPr="00D948D9">
        <w:rPr>
          <w:rFonts w:ascii="Palatino Linotype" w:hAnsi="Palatino Linotype"/>
          <w:sz w:val="24"/>
        </w:rPr>
        <w:t xml:space="preserve"> supone una declaración </w:t>
      </w:r>
      <w:r w:rsidRPr="00D948D9">
        <w:rPr>
          <w:rFonts w:ascii="Palatino Linotype" w:hAnsi="Palatino Linotype"/>
          <w:i/>
          <w:sz w:val="24"/>
        </w:rPr>
        <w:t>iurus tantum</w:t>
      </w:r>
      <w:r w:rsidRPr="00D948D9">
        <w:rPr>
          <w:rFonts w:ascii="Palatino Linotype" w:hAnsi="Palatino Linotype"/>
          <w:sz w:val="24"/>
        </w:rPr>
        <w:t xml:space="preserve"> ya que admite prueba en contra, por lo que este Órgano no está facultado para pronunciarse sobre la veracidad de la información entregada.</w:t>
      </w:r>
    </w:p>
    <w:p w14:paraId="46ECFCCB" w14:textId="77777777" w:rsidR="00934816" w:rsidRPr="00D948D9" w:rsidRDefault="00934816" w:rsidP="00934816">
      <w:pPr>
        <w:pStyle w:val="Prrafodelista"/>
        <w:rPr>
          <w:rFonts w:ascii="Palatino Linotype" w:hAnsi="Palatino Linotype"/>
          <w:sz w:val="24"/>
        </w:rPr>
      </w:pPr>
    </w:p>
    <w:p w14:paraId="0CAADE7A" w14:textId="77777777" w:rsidR="00934816" w:rsidRPr="00D948D9" w:rsidRDefault="00934816" w:rsidP="00934816">
      <w:pPr>
        <w:pStyle w:val="Prrafodelista"/>
        <w:numPr>
          <w:ilvl w:val="0"/>
          <w:numId w:val="2"/>
        </w:numPr>
        <w:spacing w:line="360" w:lineRule="auto"/>
        <w:ind w:left="0" w:firstLine="0"/>
        <w:jc w:val="both"/>
        <w:rPr>
          <w:rFonts w:ascii="Palatino Linotype" w:hAnsi="Palatino Linotype"/>
          <w:sz w:val="24"/>
        </w:rPr>
      </w:pPr>
      <w:r w:rsidRPr="00D948D9">
        <w:rPr>
          <w:rFonts w:ascii="Palatino Linotype" w:hAnsi="Palatino Linotype"/>
          <w:sz w:val="24"/>
        </w:rPr>
        <w:t>Sirve de apoyo a lo anterior por analogía el criterio 31-10 emitido por el entonces Instituto Federal de Acceso a la Información y Protección de Datos, que a la letra dice:</w:t>
      </w:r>
    </w:p>
    <w:p w14:paraId="1225A2EC" w14:textId="77777777" w:rsidR="00934816" w:rsidRPr="00D948D9" w:rsidRDefault="00934816" w:rsidP="00934816">
      <w:pPr>
        <w:pStyle w:val="Prrafodelista"/>
        <w:rPr>
          <w:rFonts w:ascii="Palatino Linotype" w:hAnsi="Palatino Linotype"/>
        </w:rPr>
      </w:pPr>
    </w:p>
    <w:p w14:paraId="48E7FED7" w14:textId="77777777" w:rsidR="00934816" w:rsidRPr="00D948D9" w:rsidRDefault="00934816" w:rsidP="00934816">
      <w:pPr>
        <w:autoSpaceDE w:val="0"/>
        <w:autoSpaceDN w:val="0"/>
        <w:adjustRightInd w:val="0"/>
        <w:spacing w:line="360" w:lineRule="auto"/>
        <w:ind w:left="567" w:right="567"/>
        <w:jc w:val="both"/>
        <w:rPr>
          <w:rFonts w:ascii="Palatino Linotype" w:hAnsi="Palatino Linotype"/>
          <w:i/>
          <w:iCs/>
          <w:sz w:val="22"/>
        </w:rPr>
      </w:pPr>
      <w:r w:rsidRPr="00D948D9">
        <w:rPr>
          <w:rFonts w:ascii="Palatino Linotype" w:hAnsi="Palatino Linotype"/>
          <w:b/>
          <w:i/>
          <w:iCs/>
          <w:sz w:val="22"/>
        </w:rPr>
        <w:t>El Instituto Federal de Acceso a la Información y Protección de Datos </w:t>
      </w:r>
      <w:r w:rsidRPr="00D948D9">
        <w:rPr>
          <w:rFonts w:ascii="Palatino Linotype" w:hAnsi="Palatino Linotype"/>
          <w:b/>
          <w:bCs/>
          <w:i/>
          <w:iCs/>
          <w:sz w:val="22"/>
        </w:rPr>
        <w:t>no cuenta con facultades para pronunciarse respecto de la veracidad de los documentos proporcionados por los sujetos obligados.</w:t>
      </w:r>
      <w:r w:rsidRPr="00D948D9">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7286669" w14:textId="3ACE79A0" w:rsidR="00934816" w:rsidRPr="00D948D9" w:rsidRDefault="00934816" w:rsidP="00934816">
      <w:pPr>
        <w:pStyle w:val="Prrafodelista"/>
        <w:numPr>
          <w:ilvl w:val="0"/>
          <w:numId w:val="2"/>
        </w:numPr>
        <w:shd w:val="clear" w:color="auto" w:fill="FFFFFF"/>
        <w:spacing w:before="240" w:after="240" w:line="360" w:lineRule="auto"/>
        <w:ind w:left="0" w:firstLine="0"/>
        <w:jc w:val="both"/>
        <w:rPr>
          <w:rFonts w:ascii="Palatino Linotype" w:hAnsi="Palatino Linotype" w:cs="Arial"/>
          <w:sz w:val="24"/>
        </w:rPr>
      </w:pPr>
      <w:r w:rsidRPr="00D948D9">
        <w:rPr>
          <w:rFonts w:ascii="Palatino Linotype" w:hAnsi="Palatino Linotype" w:cs="Arial"/>
          <w:color w:val="000000"/>
          <w:sz w:val="24"/>
        </w:rPr>
        <w:t>Este Órgano Garante carece de facultades para dudar de la veracidad sobre la información proporcionada por el Sujeto Obligado, por lo que este punto de la solicitud se tiene por atendido.</w:t>
      </w:r>
    </w:p>
    <w:p w14:paraId="0F69E6EF" w14:textId="77777777" w:rsidR="00934816" w:rsidRPr="00D948D9" w:rsidRDefault="00934816" w:rsidP="00934816">
      <w:pPr>
        <w:pStyle w:val="Prrafodelista"/>
        <w:shd w:val="clear" w:color="auto" w:fill="FFFFFF"/>
        <w:spacing w:before="240" w:after="240" w:line="360" w:lineRule="auto"/>
        <w:ind w:left="0"/>
        <w:jc w:val="both"/>
        <w:rPr>
          <w:rFonts w:ascii="Palatino Linotype" w:hAnsi="Palatino Linotype" w:cs="Arial"/>
          <w:sz w:val="24"/>
        </w:rPr>
      </w:pPr>
    </w:p>
    <w:p w14:paraId="1E1CD149" w14:textId="50F8661B" w:rsidR="00934816" w:rsidRPr="00D948D9" w:rsidRDefault="00934816" w:rsidP="00934816">
      <w:pPr>
        <w:pStyle w:val="Prrafodelista"/>
        <w:numPr>
          <w:ilvl w:val="0"/>
          <w:numId w:val="2"/>
        </w:numPr>
        <w:shd w:val="clear" w:color="auto" w:fill="FFFFFF"/>
        <w:spacing w:before="240" w:after="240" w:line="360" w:lineRule="auto"/>
        <w:ind w:left="0" w:firstLine="0"/>
        <w:jc w:val="both"/>
        <w:rPr>
          <w:rFonts w:ascii="Palatino Linotype" w:hAnsi="Palatino Linotype" w:cs="Arial"/>
          <w:sz w:val="24"/>
        </w:rPr>
      </w:pPr>
      <w:r w:rsidRPr="00D948D9">
        <w:rPr>
          <w:rFonts w:ascii="Palatino Linotype" w:hAnsi="Palatino Linotype" w:cs="Arial"/>
          <w:color w:val="000000"/>
          <w:sz w:val="24"/>
        </w:rPr>
        <w:lastRenderedPageBreak/>
        <w:t xml:space="preserve">Ahora bien, por lo que respecta a las bases de datos, el Sujeto Obligado asumió generar, administrar y poseer bases de datos personales; se inserta </w:t>
      </w:r>
      <w:r w:rsidR="009666E9" w:rsidRPr="00D948D9">
        <w:rPr>
          <w:rFonts w:ascii="Palatino Linotype" w:hAnsi="Palatino Linotype" w:cs="Arial"/>
          <w:color w:val="000000"/>
          <w:sz w:val="24"/>
        </w:rPr>
        <w:t xml:space="preserve">únicamente un extracto de </w:t>
      </w:r>
      <w:r w:rsidRPr="00D948D9">
        <w:rPr>
          <w:rFonts w:ascii="Palatino Linotype" w:hAnsi="Palatino Linotype" w:cs="Arial"/>
          <w:color w:val="000000"/>
          <w:sz w:val="24"/>
        </w:rPr>
        <w:t>la respuesta emitida a la solicitud:</w:t>
      </w:r>
    </w:p>
    <w:p w14:paraId="528A3821" w14:textId="60C3D501" w:rsidR="00934816" w:rsidRPr="00D948D9" w:rsidRDefault="00934816" w:rsidP="009666E9">
      <w:pPr>
        <w:pStyle w:val="Prrafodelista"/>
        <w:shd w:val="clear" w:color="auto" w:fill="FFFFFF"/>
        <w:spacing w:before="240" w:after="240" w:line="360" w:lineRule="auto"/>
        <w:ind w:left="0"/>
        <w:jc w:val="center"/>
        <w:rPr>
          <w:rFonts w:ascii="Palatino Linotype" w:hAnsi="Palatino Linotype" w:cs="Arial"/>
          <w:sz w:val="24"/>
        </w:rPr>
      </w:pPr>
      <w:r w:rsidRPr="00D948D9">
        <w:rPr>
          <w:rFonts w:ascii="Palatino Linotype" w:hAnsi="Palatino Linotype" w:cs="Arial"/>
          <w:noProof/>
          <w:sz w:val="24"/>
          <w:lang w:eastAsia="es-MX"/>
        </w:rPr>
        <w:drawing>
          <wp:inline distT="0" distB="0" distL="0" distR="0" wp14:anchorId="53CF7030" wp14:editId="118F4CB4">
            <wp:extent cx="4384738" cy="5362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2128" cy="5383843"/>
                    </a:xfrm>
                    <a:prstGeom prst="rect">
                      <a:avLst/>
                    </a:prstGeom>
                  </pic:spPr>
                </pic:pic>
              </a:graphicData>
            </a:graphic>
          </wp:inline>
        </w:drawing>
      </w:r>
    </w:p>
    <w:p w14:paraId="33ED77A1" w14:textId="680B6A25" w:rsidR="00934816" w:rsidRPr="00D948D9" w:rsidRDefault="00934816" w:rsidP="009666E9">
      <w:pPr>
        <w:pStyle w:val="Prrafodelista"/>
        <w:shd w:val="clear" w:color="auto" w:fill="FFFFFF"/>
        <w:spacing w:before="240" w:after="240" w:line="360" w:lineRule="auto"/>
        <w:ind w:left="0"/>
        <w:jc w:val="center"/>
        <w:rPr>
          <w:rFonts w:ascii="Palatino Linotype" w:hAnsi="Palatino Linotype" w:cs="Arial"/>
          <w:sz w:val="24"/>
        </w:rPr>
      </w:pPr>
      <w:r w:rsidRPr="00D948D9">
        <w:rPr>
          <w:rFonts w:ascii="Palatino Linotype" w:hAnsi="Palatino Linotype" w:cs="Arial"/>
          <w:noProof/>
          <w:sz w:val="24"/>
          <w:lang w:eastAsia="es-MX"/>
        </w:rPr>
        <w:lastRenderedPageBreak/>
        <w:drawing>
          <wp:inline distT="0" distB="0" distL="0" distR="0" wp14:anchorId="18F40E65" wp14:editId="3368357E">
            <wp:extent cx="4248150" cy="639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1570" cy="6395145"/>
                    </a:xfrm>
                    <a:prstGeom prst="rect">
                      <a:avLst/>
                    </a:prstGeom>
                  </pic:spPr>
                </pic:pic>
              </a:graphicData>
            </a:graphic>
          </wp:inline>
        </w:drawing>
      </w:r>
    </w:p>
    <w:p w14:paraId="6A4A654D" w14:textId="31B0783E" w:rsidR="00934816" w:rsidRPr="00D948D9" w:rsidRDefault="009666E9" w:rsidP="009666E9">
      <w:pPr>
        <w:pStyle w:val="Prrafodelista"/>
        <w:tabs>
          <w:tab w:val="left" w:pos="567"/>
        </w:tabs>
        <w:spacing w:line="360" w:lineRule="auto"/>
        <w:ind w:left="0"/>
        <w:jc w:val="center"/>
        <w:rPr>
          <w:rFonts w:ascii="Palatino Linotype" w:eastAsia="Calibri" w:hAnsi="Palatino Linotype" w:cs="Arial"/>
          <w:sz w:val="24"/>
        </w:rPr>
      </w:pPr>
      <w:r w:rsidRPr="00D948D9">
        <w:rPr>
          <w:rFonts w:ascii="Palatino Linotype" w:eastAsia="Calibri" w:hAnsi="Palatino Linotype" w:cs="Arial"/>
          <w:noProof/>
          <w:sz w:val="24"/>
          <w:lang w:eastAsia="es-MX"/>
        </w:rPr>
        <w:lastRenderedPageBreak/>
        <w:drawing>
          <wp:inline distT="0" distB="0" distL="0" distR="0" wp14:anchorId="5A01B192" wp14:editId="0E499B03">
            <wp:extent cx="4438650" cy="64461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0075" cy="6448243"/>
                    </a:xfrm>
                    <a:prstGeom prst="rect">
                      <a:avLst/>
                    </a:prstGeom>
                  </pic:spPr>
                </pic:pic>
              </a:graphicData>
            </a:graphic>
          </wp:inline>
        </w:drawing>
      </w:r>
    </w:p>
    <w:p w14:paraId="431D38C7" w14:textId="0B247007" w:rsidR="00934816" w:rsidRPr="00D948D9" w:rsidRDefault="009666E9" w:rsidP="009666E9">
      <w:pPr>
        <w:pStyle w:val="Prrafodelista"/>
        <w:jc w:val="center"/>
        <w:rPr>
          <w:rFonts w:ascii="Palatino Linotype" w:eastAsia="Calibri" w:hAnsi="Palatino Linotype" w:cs="Arial"/>
          <w:sz w:val="24"/>
        </w:rPr>
      </w:pPr>
      <w:r w:rsidRPr="00D948D9">
        <w:rPr>
          <w:rFonts w:ascii="Palatino Linotype" w:eastAsia="Calibri" w:hAnsi="Palatino Linotype" w:cs="Arial"/>
          <w:noProof/>
          <w:sz w:val="24"/>
          <w:lang w:eastAsia="es-MX"/>
        </w:rPr>
        <w:lastRenderedPageBreak/>
        <w:drawing>
          <wp:inline distT="0" distB="0" distL="0" distR="0" wp14:anchorId="0FEA81A1" wp14:editId="2BBE16AE">
            <wp:extent cx="4333875" cy="6473838"/>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5587" cy="6476395"/>
                    </a:xfrm>
                    <a:prstGeom prst="rect">
                      <a:avLst/>
                    </a:prstGeom>
                  </pic:spPr>
                </pic:pic>
              </a:graphicData>
            </a:graphic>
          </wp:inline>
        </w:drawing>
      </w:r>
    </w:p>
    <w:p w14:paraId="2E50A2B5" w14:textId="5C87D525" w:rsidR="009666E9" w:rsidRPr="00D948D9" w:rsidRDefault="009666E9" w:rsidP="00CE2B44">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lastRenderedPageBreak/>
        <w:t>Tal y como se aprecia, el Sujeto Obligado asumió generar, administrar y poseer bases de datos personales, tan es así que entregó un listado de cada base de datos que se tiene por área administrativa, asimismo, señaló si estas se encuentran físicas o electrónicas.</w:t>
      </w:r>
    </w:p>
    <w:p w14:paraId="6208CE12" w14:textId="77777777" w:rsidR="00CE2B44" w:rsidRPr="00D948D9" w:rsidRDefault="00CE2B44" w:rsidP="00CE2B44">
      <w:pPr>
        <w:pStyle w:val="Prrafodelista"/>
        <w:tabs>
          <w:tab w:val="left" w:pos="567"/>
        </w:tabs>
        <w:spacing w:line="360" w:lineRule="auto"/>
        <w:ind w:left="0"/>
        <w:jc w:val="both"/>
        <w:rPr>
          <w:rFonts w:ascii="Palatino Linotype" w:eastAsia="Calibri" w:hAnsi="Palatino Linotype" w:cs="Arial"/>
          <w:sz w:val="24"/>
        </w:rPr>
      </w:pPr>
    </w:p>
    <w:p w14:paraId="667EC97A" w14:textId="32D46C7E" w:rsidR="009666E9" w:rsidRPr="00D948D9" w:rsidRDefault="00DF713B"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Es necesario traer a contexto lo que dispone la Ley de Protección de Datos Personales en Posesión de los Sujetos Obligados del Estado de México y Municipios en el artículo 4, fracción VI, el cual es lo siguiente:</w:t>
      </w:r>
    </w:p>
    <w:p w14:paraId="7793E603" w14:textId="77777777" w:rsidR="00DF713B" w:rsidRPr="00D948D9" w:rsidRDefault="00DF713B" w:rsidP="00DF713B">
      <w:pPr>
        <w:rPr>
          <w:rFonts w:ascii="Palatino Linotype" w:eastAsia="Calibri" w:hAnsi="Palatino Linotype" w:cs="Arial"/>
          <w:sz w:val="24"/>
        </w:rPr>
      </w:pPr>
    </w:p>
    <w:p w14:paraId="7B511361" w14:textId="77777777" w:rsidR="00DF713B" w:rsidRPr="00D948D9" w:rsidRDefault="00DF713B" w:rsidP="00DF713B">
      <w:pPr>
        <w:rPr>
          <w:rFonts w:ascii="Palatino Linotype" w:eastAsia="Calibri" w:hAnsi="Palatino Linotype" w:cs="Arial"/>
          <w:sz w:val="24"/>
        </w:rPr>
      </w:pPr>
    </w:p>
    <w:p w14:paraId="6BB6B04D" w14:textId="77777777" w:rsidR="00DF713B" w:rsidRPr="00D948D9" w:rsidRDefault="00DF713B" w:rsidP="00DF713B">
      <w:pPr>
        <w:ind w:left="567" w:right="822"/>
        <w:rPr>
          <w:rFonts w:ascii="Palatino Linotype" w:hAnsi="Palatino Linotype"/>
          <w:i/>
          <w:sz w:val="22"/>
          <w:szCs w:val="22"/>
        </w:rPr>
      </w:pPr>
      <w:r w:rsidRPr="00D948D9">
        <w:rPr>
          <w:rFonts w:ascii="Palatino Linotype" w:hAnsi="Palatino Linotype"/>
          <w:i/>
          <w:sz w:val="22"/>
          <w:szCs w:val="22"/>
        </w:rPr>
        <w:t xml:space="preserve">Glosario </w:t>
      </w:r>
    </w:p>
    <w:p w14:paraId="55257835" w14:textId="77777777" w:rsidR="00DF713B" w:rsidRPr="00D948D9" w:rsidRDefault="00DF713B" w:rsidP="00DF713B">
      <w:pPr>
        <w:ind w:left="567" w:right="822"/>
        <w:rPr>
          <w:rFonts w:ascii="Palatino Linotype" w:hAnsi="Palatino Linotype"/>
          <w:i/>
          <w:sz w:val="22"/>
          <w:szCs w:val="22"/>
        </w:rPr>
      </w:pPr>
    </w:p>
    <w:p w14:paraId="70615B62" w14:textId="5A965AC7" w:rsidR="00DF713B" w:rsidRPr="00D948D9" w:rsidRDefault="00DF713B" w:rsidP="00DF713B">
      <w:pPr>
        <w:ind w:left="567" w:right="822"/>
        <w:rPr>
          <w:rFonts w:ascii="Palatino Linotype" w:hAnsi="Palatino Linotype"/>
          <w:i/>
          <w:sz w:val="22"/>
          <w:szCs w:val="22"/>
        </w:rPr>
      </w:pPr>
      <w:r w:rsidRPr="00D948D9">
        <w:rPr>
          <w:rFonts w:ascii="Palatino Linotype" w:hAnsi="Palatino Linotype"/>
          <w:i/>
          <w:sz w:val="22"/>
          <w:szCs w:val="22"/>
        </w:rPr>
        <w:t>Artículo 4. Para los efectos de esta Ley se entenderá por:</w:t>
      </w:r>
    </w:p>
    <w:p w14:paraId="19816305" w14:textId="349A9ADE" w:rsidR="00DF713B" w:rsidRPr="00D948D9" w:rsidRDefault="00DF713B" w:rsidP="00DF713B">
      <w:pPr>
        <w:ind w:left="567" w:right="822"/>
        <w:rPr>
          <w:rFonts w:ascii="Palatino Linotype" w:hAnsi="Palatino Linotype"/>
          <w:i/>
          <w:sz w:val="22"/>
          <w:szCs w:val="22"/>
        </w:rPr>
      </w:pPr>
      <w:r w:rsidRPr="00D948D9">
        <w:rPr>
          <w:rFonts w:ascii="Palatino Linotype" w:hAnsi="Palatino Linotype"/>
          <w:i/>
          <w:sz w:val="22"/>
          <w:szCs w:val="22"/>
        </w:rPr>
        <w:t>…</w:t>
      </w:r>
    </w:p>
    <w:p w14:paraId="2A3405ED" w14:textId="77777777" w:rsidR="00DF713B" w:rsidRPr="00D948D9" w:rsidRDefault="00DF713B" w:rsidP="00DF713B">
      <w:pPr>
        <w:ind w:left="567" w:right="822"/>
        <w:rPr>
          <w:rFonts w:ascii="Palatino Linotype" w:eastAsia="Calibri" w:hAnsi="Palatino Linotype" w:cs="Arial"/>
          <w:i/>
          <w:sz w:val="22"/>
          <w:szCs w:val="22"/>
        </w:rPr>
      </w:pPr>
      <w:bookmarkStart w:id="17" w:name="_GoBack"/>
      <w:bookmarkEnd w:id="17"/>
    </w:p>
    <w:p w14:paraId="1A52DA78" w14:textId="7514692D" w:rsidR="00DF713B" w:rsidRPr="00D948D9" w:rsidRDefault="00DF713B" w:rsidP="00DF713B">
      <w:pPr>
        <w:pStyle w:val="Prrafodelista"/>
        <w:tabs>
          <w:tab w:val="left" w:pos="567"/>
        </w:tabs>
        <w:spacing w:line="360" w:lineRule="auto"/>
        <w:ind w:left="567" w:right="822"/>
        <w:jc w:val="both"/>
        <w:rPr>
          <w:rFonts w:ascii="Palatino Linotype" w:hAnsi="Palatino Linotype"/>
          <w:i/>
          <w:szCs w:val="22"/>
        </w:rPr>
      </w:pPr>
      <w:r w:rsidRPr="00D948D9">
        <w:rPr>
          <w:rFonts w:ascii="Palatino Linotype" w:hAnsi="Palatino Linotype"/>
          <w:i/>
          <w:szCs w:val="22"/>
        </w:rPr>
        <w:t>VI. Base de Datos: al conjunto de archivos, registros, ficheros, condicionados a criterios determinados con independencia de la forma o modalidad de su creación, tipo de soporte, procesamiento, almacenamiento, organización y acceso.</w:t>
      </w:r>
    </w:p>
    <w:p w14:paraId="28D40F52" w14:textId="670170B8" w:rsidR="00DF713B" w:rsidRPr="00D948D9" w:rsidRDefault="00DF713B" w:rsidP="00DF713B">
      <w:pPr>
        <w:pStyle w:val="Prrafodelista"/>
        <w:tabs>
          <w:tab w:val="left" w:pos="567"/>
        </w:tabs>
        <w:spacing w:line="360" w:lineRule="auto"/>
        <w:ind w:left="567" w:right="822"/>
        <w:jc w:val="both"/>
        <w:rPr>
          <w:rFonts w:ascii="Palatino Linotype" w:eastAsia="Calibri" w:hAnsi="Palatino Linotype" w:cs="Arial"/>
          <w:i/>
          <w:szCs w:val="22"/>
        </w:rPr>
      </w:pPr>
      <w:r w:rsidRPr="00D948D9">
        <w:rPr>
          <w:rFonts w:ascii="Palatino Linotype" w:hAnsi="Palatino Linotype"/>
          <w:i/>
          <w:szCs w:val="22"/>
        </w:rPr>
        <w:t>…</w:t>
      </w:r>
    </w:p>
    <w:p w14:paraId="6CEB00E8" w14:textId="77777777" w:rsidR="00CE2B44" w:rsidRPr="00D948D9" w:rsidRDefault="00CE2B44" w:rsidP="00CE2B44">
      <w:pPr>
        <w:pStyle w:val="Prrafodelista"/>
        <w:rPr>
          <w:rFonts w:ascii="Palatino Linotype" w:eastAsia="Calibri" w:hAnsi="Palatino Linotype" w:cs="Arial"/>
          <w:sz w:val="24"/>
        </w:rPr>
      </w:pPr>
    </w:p>
    <w:p w14:paraId="7D465006" w14:textId="30E9AC40" w:rsidR="0064271B" w:rsidRPr="00D948D9" w:rsidRDefault="00DF713B"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 xml:space="preserve">Entendiendo que una base de datos es un conjunto de registros que se relacionan con un tema específico. De la información proporcionada por el Sujeto Obligado, se tienen distintas bases de datos, a saber, libro de inscripciones; expedientes, </w:t>
      </w:r>
      <w:r w:rsidRPr="00D948D9">
        <w:rPr>
          <w:rFonts w:ascii="Palatino Linotype" w:eastAsia="Calibri" w:hAnsi="Palatino Linotype" w:cs="Arial"/>
          <w:b/>
          <w:sz w:val="24"/>
        </w:rPr>
        <w:t>padrón de beneficiarios</w:t>
      </w:r>
      <w:r w:rsidR="007008E9" w:rsidRPr="00D948D9">
        <w:rPr>
          <w:rFonts w:ascii="Palatino Linotype" w:eastAsia="Calibri" w:hAnsi="Palatino Linotype" w:cs="Arial"/>
          <w:sz w:val="24"/>
        </w:rPr>
        <w:t xml:space="preserve">, visitas domiciliarias, entre otras; tal y como se aprecia, son bases de </w:t>
      </w:r>
      <w:r w:rsidR="007008E9" w:rsidRPr="00D948D9">
        <w:rPr>
          <w:rFonts w:ascii="Palatino Linotype" w:eastAsia="Calibri" w:hAnsi="Palatino Linotype" w:cs="Arial"/>
          <w:sz w:val="24"/>
        </w:rPr>
        <w:lastRenderedPageBreak/>
        <w:t>datos que se derivan del ejercicio de las atribuciones, funciones y competencias del Sistema Municipal para el Desarrollo Integral de la Familia de T</w:t>
      </w:r>
      <w:r w:rsidR="00580144" w:rsidRPr="00D948D9">
        <w:rPr>
          <w:rFonts w:ascii="Palatino Linotype" w:eastAsia="Calibri" w:hAnsi="Palatino Linotype" w:cs="Arial"/>
          <w:sz w:val="24"/>
        </w:rPr>
        <w:t>oluca, en consecuencia, si pueden ser de conocimiento público, a través de una versión pública que deje a la vista la información</w:t>
      </w:r>
      <w:r w:rsidR="0064271B" w:rsidRPr="00D948D9">
        <w:rPr>
          <w:rFonts w:ascii="Palatino Linotype" w:eastAsia="Calibri" w:hAnsi="Palatino Linotype" w:cs="Arial"/>
          <w:sz w:val="24"/>
        </w:rPr>
        <w:t xml:space="preserve"> de interés para el particular, tales como:</w:t>
      </w:r>
    </w:p>
    <w:p w14:paraId="72B694C2" w14:textId="77777777" w:rsidR="0064271B" w:rsidRPr="00D948D9" w:rsidRDefault="0064271B" w:rsidP="0064271B">
      <w:pPr>
        <w:pStyle w:val="Prrafodelista"/>
        <w:tabs>
          <w:tab w:val="left" w:pos="567"/>
        </w:tabs>
        <w:spacing w:line="360" w:lineRule="auto"/>
        <w:ind w:left="0"/>
        <w:jc w:val="both"/>
        <w:rPr>
          <w:rFonts w:ascii="Palatino Linotype" w:eastAsia="Calibri" w:hAnsi="Palatino Linotype" w:cs="Arial"/>
          <w:sz w:val="24"/>
        </w:rPr>
      </w:pPr>
    </w:p>
    <w:p w14:paraId="0129BDFE" w14:textId="226D6676" w:rsidR="0064271B" w:rsidRPr="00D948D9" w:rsidRDefault="0064271B" w:rsidP="0064271B">
      <w:pPr>
        <w:pStyle w:val="Prrafodelista"/>
        <w:numPr>
          <w:ilvl w:val="0"/>
          <w:numId w:val="34"/>
        </w:numPr>
        <w:tabs>
          <w:tab w:val="left" w:pos="567"/>
        </w:tabs>
        <w:spacing w:line="360" w:lineRule="auto"/>
        <w:jc w:val="both"/>
        <w:rPr>
          <w:rFonts w:ascii="Palatino Linotype" w:eastAsia="Calibri" w:hAnsi="Palatino Linotype" w:cs="Arial"/>
          <w:sz w:val="24"/>
        </w:rPr>
      </w:pPr>
      <w:r w:rsidRPr="00D948D9">
        <w:rPr>
          <w:rFonts w:ascii="Palatino Linotype" w:eastAsia="Calibri" w:hAnsi="Palatino Linotype" w:cs="Arial"/>
          <w:sz w:val="24"/>
        </w:rPr>
        <w:t>Padrón de Beneficiarios;</w:t>
      </w:r>
    </w:p>
    <w:p w14:paraId="5A008206" w14:textId="32D61D2C" w:rsidR="0064271B" w:rsidRPr="00D948D9" w:rsidRDefault="0064271B" w:rsidP="0064271B">
      <w:pPr>
        <w:pStyle w:val="Prrafodelista"/>
        <w:numPr>
          <w:ilvl w:val="0"/>
          <w:numId w:val="34"/>
        </w:numPr>
        <w:tabs>
          <w:tab w:val="left" w:pos="567"/>
        </w:tabs>
        <w:spacing w:line="360" w:lineRule="auto"/>
        <w:jc w:val="both"/>
        <w:rPr>
          <w:rFonts w:ascii="Palatino Linotype" w:eastAsia="Calibri" w:hAnsi="Palatino Linotype" w:cs="Arial"/>
          <w:sz w:val="24"/>
        </w:rPr>
      </w:pPr>
      <w:r w:rsidRPr="00D948D9">
        <w:rPr>
          <w:rFonts w:ascii="Palatino Linotype" w:eastAsia="Calibri" w:hAnsi="Palatino Linotype" w:cs="Arial"/>
          <w:sz w:val="24"/>
        </w:rPr>
        <w:t>Apoyos otorgados;</w:t>
      </w:r>
    </w:p>
    <w:p w14:paraId="5B29F9A0" w14:textId="0DB26568" w:rsidR="0064271B" w:rsidRPr="00D948D9" w:rsidRDefault="0064271B" w:rsidP="0064271B">
      <w:pPr>
        <w:pStyle w:val="Prrafodelista"/>
        <w:numPr>
          <w:ilvl w:val="0"/>
          <w:numId w:val="34"/>
        </w:numPr>
        <w:tabs>
          <w:tab w:val="left" w:pos="567"/>
        </w:tabs>
        <w:spacing w:line="360" w:lineRule="auto"/>
        <w:jc w:val="both"/>
        <w:rPr>
          <w:rFonts w:ascii="Palatino Linotype" w:eastAsia="Calibri" w:hAnsi="Palatino Linotype" w:cs="Arial"/>
          <w:sz w:val="24"/>
        </w:rPr>
      </w:pPr>
      <w:r w:rsidRPr="00D948D9">
        <w:rPr>
          <w:rFonts w:ascii="Palatino Linotype" w:eastAsia="Calibri" w:hAnsi="Palatino Linotype" w:cs="Arial"/>
          <w:sz w:val="24"/>
        </w:rPr>
        <w:t>Apoyos Funcionales; y</w:t>
      </w:r>
    </w:p>
    <w:p w14:paraId="74574494" w14:textId="0ED1478B" w:rsidR="0064271B" w:rsidRPr="00D948D9" w:rsidRDefault="0064271B" w:rsidP="0064271B">
      <w:pPr>
        <w:pStyle w:val="Prrafodelista"/>
        <w:numPr>
          <w:ilvl w:val="0"/>
          <w:numId w:val="34"/>
        </w:numPr>
        <w:tabs>
          <w:tab w:val="left" w:pos="567"/>
        </w:tabs>
        <w:spacing w:line="360" w:lineRule="auto"/>
        <w:jc w:val="both"/>
        <w:rPr>
          <w:rFonts w:ascii="Palatino Linotype" w:eastAsia="Calibri" w:hAnsi="Palatino Linotype" w:cs="Arial"/>
          <w:sz w:val="24"/>
        </w:rPr>
      </w:pPr>
      <w:r w:rsidRPr="00D948D9">
        <w:rPr>
          <w:rFonts w:ascii="Palatino Linotype" w:eastAsia="Calibri" w:hAnsi="Palatino Linotype" w:cs="Arial"/>
          <w:sz w:val="24"/>
        </w:rPr>
        <w:t>Padrón de Beneficiarios paquetes de semilla;</w:t>
      </w:r>
    </w:p>
    <w:p w14:paraId="396A72F8" w14:textId="77777777" w:rsidR="0064271B" w:rsidRPr="00D948D9" w:rsidRDefault="0064271B" w:rsidP="0064271B">
      <w:pPr>
        <w:pStyle w:val="Prrafodelista"/>
        <w:tabs>
          <w:tab w:val="left" w:pos="567"/>
        </w:tabs>
        <w:spacing w:line="360" w:lineRule="auto"/>
        <w:ind w:left="0"/>
        <w:jc w:val="both"/>
        <w:rPr>
          <w:rFonts w:ascii="Palatino Linotype" w:eastAsia="Calibri" w:hAnsi="Palatino Linotype" w:cs="Arial"/>
          <w:sz w:val="24"/>
        </w:rPr>
      </w:pPr>
    </w:p>
    <w:p w14:paraId="06549E53" w14:textId="725BA2DF" w:rsidR="0064271B" w:rsidRPr="00D948D9" w:rsidRDefault="0064271B"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Esto, toda vez que al haber recibido algún apoyo por parte del Sujeto Obligado o estar dentro del padrón de beneficiarios, es información que se encuentra dentro de las obligaciones de transparencia común contemplada en el artíc</w:t>
      </w:r>
      <w:r w:rsidR="0026034F" w:rsidRPr="00D948D9">
        <w:rPr>
          <w:rFonts w:ascii="Palatino Linotype" w:eastAsia="Calibri" w:hAnsi="Palatino Linotype" w:cs="Arial"/>
          <w:sz w:val="24"/>
        </w:rPr>
        <w:t>ulo 92, fracción XIV inciso p) de la Ley de Transparencia y Acceso a la Información Pública del Estado de México y Municipios</w:t>
      </w:r>
      <w:r w:rsidR="007556E5" w:rsidRPr="00D948D9">
        <w:rPr>
          <w:rFonts w:ascii="Palatino Linotype" w:eastAsia="Calibri" w:hAnsi="Palatino Linotype" w:cs="Arial"/>
          <w:sz w:val="24"/>
        </w:rPr>
        <w:t xml:space="preserve">: </w:t>
      </w:r>
    </w:p>
    <w:p w14:paraId="1302ED70" w14:textId="77777777" w:rsidR="007556E5" w:rsidRPr="00D948D9" w:rsidRDefault="007556E5" w:rsidP="007556E5">
      <w:pPr>
        <w:pStyle w:val="Prrafodelista"/>
        <w:tabs>
          <w:tab w:val="left" w:pos="567"/>
        </w:tabs>
        <w:spacing w:line="360" w:lineRule="auto"/>
        <w:ind w:left="0"/>
        <w:jc w:val="both"/>
        <w:rPr>
          <w:rFonts w:ascii="Palatino Linotype" w:eastAsia="Calibri" w:hAnsi="Palatino Linotype" w:cs="Arial"/>
          <w:sz w:val="24"/>
        </w:rPr>
      </w:pPr>
    </w:p>
    <w:p w14:paraId="01EAB307" w14:textId="38A841E8" w:rsidR="0064271B" w:rsidRPr="00D948D9" w:rsidRDefault="007556E5" w:rsidP="006A469C">
      <w:pPr>
        <w:tabs>
          <w:tab w:val="left" w:pos="567"/>
        </w:tabs>
        <w:spacing w:line="360" w:lineRule="auto"/>
        <w:ind w:left="567" w:right="822"/>
        <w:jc w:val="both"/>
        <w:rPr>
          <w:rFonts w:ascii="Palatino Linotype" w:hAnsi="Palatino Linotype"/>
          <w:i/>
          <w:sz w:val="22"/>
        </w:rPr>
      </w:pPr>
      <w:r w:rsidRPr="00D948D9">
        <w:rPr>
          <w:rFonts w:ascii="Palatino Linotype" w:hAnsi="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9F53B92" w14:textId="007E7C6D" w:rsidR="007556E5" w:rsidRPr="00D948D9" w:rsidRDefault="007556E5" w:rsidP="006A469C">
      <w:pPr>
        <w:tabs>
          <w:tab w:val="left" w:pos="567"/>
        </w:tabs>
        <w:spacing w:line="360" w:lineRule="auto"/>
        <w:ind w:left="567" w:right="822"/>
        <w:jc w:val="both"/>
        <w:rPr>
          <w:rFonts w:ascii="Palatino Linotype" w:eastAsia="Calibri" w:hAnsi="Palatino Linotype" w:cs="Arial"/>
          <w:i/>
          <w:sz w:val="28"/>
        </w:rPr>
      </w:pPr>
      <w:r w:rsidRPr="00D948D9">
        <w:rPr>
          <w:rFonts w:ascii="Palatino Linotype" w:hAnsi="Palatino Linotype"/>
          <w:i/>
          <w:sz w:val="22"/>
        </w:rPr>
        <w:lastRenderedPageBreak/>
        <w:t>…</w:t>
      </w:r>
    </w:p>
    <w:p w14:paraId="40844643" w14:textId="52FA6630" w:rsidR="007556E5" w:rsidRPr="00D948D9" w:rsidRDefault="007556E5" w:rsidP="006A469C">
      <w:pPr>
        <w:tabs>
          <w:tab w:val="left" w:pos="567"/>
        </w:tabs>
        <w:spacing w:line="360" w:lineRule="auto"/>
        <w:ind w:left="567" w:right="822"/>
        <w:jc w:val="both"/>
        <w:rPr>
          <w:rFonts w:ascii="Palatino Linotype" w:hAnsi="Palatino Linotype"/>
          <w:i/>
          <w:sz w:val="22"/>
        </w:rPr>
      </w:pPr>
      <w:r w:rsidRPr="00D948D9">
        <w:rPr>
          <w:rFonts w:ascii="Palatino Linotype" w:hAnsi="Palatino Linotype"/>
          <w:i/>
          <w:sz w:val="22"/>
        </w:rPr>
        <w:t>XIV. La información de los programas de subsidios, estímulos y apoyos, en el que se deberá informar respecto de los programas de transferencia, de servicios, de infraestructura social y de subsidio, en los que se deberá contener lo siguiente:</w:t>
      </w:r>
    </w:p>
    <w:p w14:paraId="6B2F2616" w14:textId="1759A489" w:rsidR="007556E5" w:rsidRPr="00D948D9" w:rsidRDefault="007556E5" w:rsidP="006A469C">
      <w:pPr>
        <w:tabs>
          <w:tab w:val="left" w:pos="567"/>
        </w:tabs>
        <w:spacing w:line="360" w:lineRule="auto"/>
        <w:ind w:left="567" w:right="822"/>
        <w:jc w:val="both"/>
        <w:rPr>
          <w:rFonts w:ascii="Palatino Linotype" w:hAnsi="Palatino Linotype"/>
          <w:i/>
          <w:sz w:val="22"/>
        </w:rPr>
      </w:pPr>
      <w:r w:rsidRPr="00D948D9">
        <w:rPr>
          <w:rFonts w:ascii="Palatino Linotype" w:hAnsi="Palatino Linotype"/>
          <w:i/>
          <w:sz w:val="22"/>
        </w:rPr>
        <w:t>…</w:t>
      </w:r>
    </w:p>
    <w:p w14:paraId="6509C8A6" w14:textId="13CF2D58" w:rsidR="007556E5" w:rsidRPr="00D948D9" w:rsidRDefault="007556E5" w:rsidP="006A469C">
      <w:pPr>
        <w:tabs>
          <w:tab w:val="left" w:pos="567"/>
        </w:tabs>
        <w:spacing w:line="360" w:lineRule="auto"/>
        <w:ind w:left="567" w:right="822"/>
        <w:jc w:val="both"/>
        <w:rPr>
          <w:rFonts w:ascii="Palatino Linotype" w:hAnsi="Palatino Linotype"/>
          <w:i/>
          <w:sz w:val="22"/>
        </w:rPr>
      </w:pPr>
      <w:r w:rsidRPr="00D948D9">
        <w:rPr>
          <w:rFonts w:ascii="Palatino Linotype" w:hAnsi="Palatino Linotype"/>
          <w:i/>
          <w:sz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0E0B44D7" w14:textId="77777777" w:rsidR="007556E5" w:rsidRPr="00D948D9" w:rsidRDefault="007556E5" w:rsidP="0064271B">
      <w:pPr>
        <w:tabs>
          <w:tab w:val="left" w:pos="567"/>
        </w:tabs>
        <w:spacing w:line="360" w:lineRule="auto"/>
        <w:jc w:val="both"/>
        <w:rPr>
          <w:rFonts w:ascii="Palatino Linotype" w:eastAsia="Calibri" w:hAnsi="Palatino Linotype" w:cs="Arial"/>
          <w:sz w:val="24"/>
        </w:rPr>
      </w:pPr>
    </w:p>
    <w:p w14:paraId="3CB11236" w14:textId="7144BAA3" w:rsidR="006A469C" w:rsidRPr="00D948D9" w:rsidRDefault="006A469C"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Asimismo, el artículo 23 fracción X y penúltimo párrafo de la citada Ley, refiere  los siguiente:</w:t>
      </w:r>
    </w:p>
    <w:p w14:paraId="5C0D91F8" w14:textId="77777777" w:rsidR="006A469C" w:rsidRPr="00D948D9" w:rsidRDefault="006A469C" w:rsidP="006A469C">
      <w:pPr>
        <w:pStyle w:val="Prrafodelista"/>
        <w:tabs>
          <w:tab w:val="left" w:pos="567"/>
        </w:tabs>
        <w:spacing w:line="360" w:lineRule="auto"/>
        <w:ind w:left="0"/>
        <w:jc w:val="both"/>
        <w:rPr>
          <w:rFonts w:ascii="Palatino Linotype" w:eastAsia="Calibri" w:hAnsi="Palatino Linotype" w:cs="Arial"/>
          <w:sz w:val="24"/>
        </w:rPr>
      </w:pPr>
    </w:p>
    <w:p w14:paraId="5883C0B9" w14:textId="77777777" w:rsidR="006A469C" w:rsidRPr="00D948D9" w:rsidRDefault="006A469C" w:rsidP="006A469C">
      <w:pPr>
        <w:pStyle w:val="Prrafodelista"/>
        <w:tabs>
          <w:tab w:val="left" w:pos="567"/>
        </w:tabs>
        <w:spacing w:line="360" w:lineRule="auto"/>
        <w:ind w:left="567" w:right="822"/>
        <w:jc w:val="center"/>
        <w:rPr>
          <w:rFonts w:ascii="Palatino Linotype" w:hAnsi="Palatino Linotype"/>
          <w:b/>
          <w:i/>
        </w:rPr>
      </w:pPr>
      <w:r w:rsidRPr="00D948D9">
        <w:rPr>
          <w:rFonts w:ascii="Palatino Linotype" w:hAnsi="Palatino Linotype"/>
          <w:b/>
          <w:i/>
        </w:rPr>
        <w:t>Capítulo III</w:t>
      </w:r>
    </w:p>
    <w:p w14:paraId="6D2C2303" w14:textId="46B96018" w:rsidR="006A469C" w:rsidRPr="00D948D9" w:rsidRDefault="006A469C" w:rsidP="006A469C">
      <w:pPr>
        <w:pStyle w:val="Prrafodelista"/>
        <w:tabs>
          <w:tab w:val="left" w:pos="567"/>
        </w:tabs>
        <w:spacing w:line="360" w:lineRule="auto"/>
        <w:ind w:left="567" w:right="822"/>
        <w:jc w:val="center"/>
        <w:rPr>
          <w:rFonts w:ascii="Palatino Linotype" w:hAnsi="Palatino Linotype"/>
          <w:b/>
          <w:i/>
        </w:rPr>
      </w:pPr>
      <w:r w:rsidRPr="00D948D9">
        <w:rPr>
          <w:rFonts w:ascii="Palatino Linotype" w:hAnsi="Palatino Linotype"/>
          <w:b/>
          <w:i/>
        </w:rPr>
        <w:t>De los Sujetos Obligados</w:t>
      </w:r>
    </w:p>
    <w:p w14:paraId="568BA803" w14:textId="77777777" w:rsidR="006A469C" w:rsidRPr="00D948D9" w:rsidRDefault="006A469C" w:rsidP="006A469C">
      <w:pPr>
        <w:pStyle w:val="Prrafodelista"/>
        <w:tabs>
          <w:tab w:val="left" w:pos="567"/>
        </w:tabs>
        <w:spacing w:line="360" w:lineRule="auto"/>
        <w:ind w:left="567" w:right="822"/>
        <w:jc w:val="both"/>
        <w:rPr>
          <w:rFonts w:ascii="Palatino Linotype" w:hAnsi="Palatino Linotype"/>
          <w:i/>
        </w:rPr>
      </w:pPr>
    </w:p>
    <w:p w14:paraId="28BBF249" w14:textId="51481CF4" w:rsidR="006A469C" w:rsidRPr="00D948D9" w:rsidRDefault="006A469C" w:rsidP="006A469C">
      <w:pPr>
        <w:pStyle w:val="Prrafodelista"/>
        <w:tabs>
          <w:tab w:val="left" w:pos="567"/>
        </w:tabs>
        <w:spacing w:line="360" w:lineRule="auto"/>
        <w:ind w:left="567" w:right="822"/>
        <w:jc w:val="both"/>
        <w:rPr>
          <w:rFonts w:ascii="Palatino Linotype" w:eastAsia="Calibri" w:hAnsi="Palatino Linotype" w:cs="Arial"/>
          <w:i/>
          <w:sz w:val="24"/>
        </w:rPr>
      </w:pPr>
      <w:r w:rsidRPr="00D948D9">
        <w:rPr>
          <w:rFonts w:ascii="Palatino Linotype" w:hAnsi="Palatino Linotype"/>
          <w:i/>
        </w:rPr>
        <w:t>Artículo 23. Son sujetos obligados a transparentar y permitir el acceso a su información y proteger los datos personales que obren en su poder:</w:t>
      </w:r>
    </w:p>
    <w:p w14:paraId="4D4AAF60" w14:textId="77777777" w:rsidR="006A469C" w:rsidRPr="00D948D9" w:rsidRDefault="006A469C" w:rsidP="006A469C">
      <w:pPr>
        <w:pStyle w:val="Prrafodelista"/>
        <w:tabs>
          <w:tab w:val="left" w:pos="567"/>
        </w:tabs>
        <w:spacing w:line="360" w:lineRule="auto"/>
        <w:ind w:left="567" w:right="822"/>
        <w:jc w:val="both"/>
        <w:rPr>
          <w:rFonts w:ascii="Palatino Linotype" w:eastAsia="Calibri" w:hAnsi="Palatino Linotype" w:cs="Arial"/>
          <w:i/>
          <w:sz w:val="24"/>
        </w:rPr>
      </w:pPr>
    </w:p>
    <w:p w14:paraId="09554EC8" w14:textId="1469B9E4" w:rsidR="006A469C" w:rsidRPr="00D948D9" w:rsidRDefault="006A469C" w:rsidP="006A469C">
      <w:pPr>
        <w:pStyle w:val="Prrafodelista"/>
        <w:tabs>
          <w:tab w:val="left" w:pos="567"/>
        </w:tabs>
        <w:spacing w:line="360" w:lineRule="auto"/>
        <w:ind w:left="567" w:right="822"/>
        <w:jc w:val="both"/>
        <w:rPr>
          <w:rFonts w:ascii="Palatino Linotype" w:hAnsi="Palatino Linotype"/>
          <w:i/>
        </w:rPr>
      </w:pPr>
      <w:r w:rsidRPr="00D948D9">
        <w:rPr>
          <w:rFonts w:ascii="Palatino Linotype" w:hAnsi="Palatino Linotype"/>
          <w:b/>
          <w:i/>
        </w:rPr>
        <w:t>X. Cualquier persona física o jurídico colectiva que reciba y ejerza recursos públicos</w:t>
      </w:r>
      <w:r w:rsidRPr="00D948D9">
        <w:rPr>
          <w:rFonts w:ascii="Palatino Linotype" w:hAnsi="Palatino Linotype"/>
          <w:i/>
        </w:rPr>
        <w:t xml:space="preserve"> en el ámbito estatal o municipal; y</w:t>
      </w:r>
    </w:p>
    <w:p w14:paraId="47409736" w14:textId="1AF02201" w:rsidR="006A469C" w:rsidRPr="00D948D9" w:rsidRDefault="006A469C" w:rsidP="006A469C">
      <w:pPr>
        <w:pStyle w:val="Prrafodelista"/>
        <w:tabs>
          <w:tab w:val="left" w:pos="567"/>
        </w:tabs>
        <w:spacing w:line="360" w:lineRule="auto"/>
        <w:ind w:left="567" w:right="822"/>
        <w:jc w:val="both"/>
        <w:rPr>
          <w:rFonts w:ascii="Palatino Linotype" w:eastAsia="Calibri" w:hAnsi="Palatino Linotype" w:cs="Arial"/>
          <w:i/>
          <w:sz w:val="24"/>
        </w:rPr>
      </w:pPr>
      <w:r w:rsidRPr="00D948D9">
        <w:rPr>
          <w:rFonts w:ascii="Palatino Linotype" w:hAnsi="Palatino Linotype"/>
          <w:b/>
          <w:i/>
        </w:rPr>
        <w:lastRenderedPageBreak/>
        <w:t>Los sujetos obligados deberán hacer pública toda aquella información relativa a los montos y las personas a quienes entreguen, por cualquier motivo, recursos públicos</w:t>
      </w:r>
      <w:r w:rsidRPr="00D948D9">
        <w:rPr>
          <w:rFonts w:ascii="Palatino Linotype" w:hAnsi="Palatino Linotype"/>
          <w:i/>
        </w:rPr>
        <w:t>, así como los informes que dichas personas les entreguen sobre el uso y destino de dichos recursos.</w:t>
      </w:r>
    </w:p>
    <w:p w14:paraId="13F5DE24" w14:textId="77777777" w:rsidR="006A469C" w:rsidRPr="00D948D9" w:rsidRDefault="006A469C" w:rsidP="006A469C">
      <w:pPr>
        <w:pStyle w:val="Prrafodelista"/>
        <w:tabs>
          <w:tab w:val="left" w:pos="567"/>
        </w:tabs>
        <w:spacing w:line="360" w:lineRule="auto"/>
        <w:ind w:left="0"/>
        <w:jc w:val="both"/>
        <w:rPr>
          <w:rFonts w:ascii="Palatino Linotype" w:eastAsia="Calibri" w:hAnsi="Palatino Linotype" w:cs="Arial"/>
          <w:sz w:val="24"/>
        </w:rPr>
      </w:pPr>
    </w:p>
    <w:p w14:paraId="0FA5BC53" w14:textId="333CCC95" w:rsidR="006A469C" w:rsidRPr="00D948D9" w:rsidRDefault="006A469C"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Es imperante conocer la información de aquellas personas que reciben recursos públicos, ya sea en dinero o en especie, por lo que, al ser beneficiarios de algún programa social o al haber recibido algún apoyo, su información no es susceptible de clasificarse en totalidad, ya que existe un interés colectivo de conocer el destino de los recursos públicos y transparentar esta información favorece a la rendición de cuentas, por lo que es procedente su entrega en una correcta versión pública que deje a la vista la información que es de interés para el particular.</w:t>
      </w:r>
    </w:p>
    <w:p w14:paraId="59D38F8F" w14:textId="77777777" w:rsidR="006A469C" w:rsidRPr="00D948D9" w:rsidRDefault="006A469C" w:rsidP="006A469C">
      <w:pPr>
        <w:pStyle w:val="Prrafodelista"/>
        <w:tabs>
          <w:tab w:val="left" w:pos="567"/>
        </w:tabs>
        <w:spacing w:line="360" w:lineRule="auto"/>
        <w:ind w:left="0"/>
        <w:jc w:val="both"/>
        <w:rPr>
          <w:rFonts w:ascii="Palatino Linotype" w:eastAsia="Calibri" w:hAnsi="Palatino Linotype" w:cs="Arial"/>
          <w:sz w:val="24"/>
        </w:rPr>
      </w:pPr>
    </w:p>
    <w:p w14:paraId="3E813537" w14:textId="6CAD9254" w:rsidR="006A469C" w:rsidRPr="00D948D9" w:rsidRDefault="006A469C"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No obstante, el Sujeto Obligado deberá de clasificar como información confidencial, las bases de datos que no correspondan a los supuestos anteriormente referidos, para tal efecto deberá estar a lo dispuesto en el Considerando QUINTO de la presente resolución.</w:t>
      </w:r>
    </w:p>
    <w:p w14:paraId="440B8AF2" w14:textId="77777777" w:rsidR="006A469C" w:rsidRPr="00D948D9" w:rsidRDefault="006A469C" w:rsidP="006A469C">
      <w:pPr>
        <w:tabs>
          <w:tab w:val="left" w:pos="567"/>
        </w:tabs>
        <w:spacing w:line="360" w:lineRule="auto"/>
        <w:jc w:val="both"/>
        <w:rPr>
          <w:rFonts w:ascii="Palatino Linotype" w:eastAsia="Calibri" w:hAnsi="Palatino Linotype" w:cs="Arial"/>
          <w:sz w:val="24"/>
        </w:rPr>
      </w:pPr>
    </w:p>
    <w:p w14:paraId="257103D5" w14:textId="2A2F97D8" w:rsidR="00580144" w:rsidRPr="00D948D9" w:rsidRDefault="00580144"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 xml:space="preserve">Por último y no menos importante, el Particular solicitó el documento de seguridad del Sujeto Obligado. Este último clasificó en su totalidad el documento de </w:t>
      </w:r>
      <w:r w:rsidRPr="00D948D9">
        <w:rPr>
          <w:rFonts w:ascii="Palatino Linotype" w:eastAsia="Calibri" w:hAnsi="Palatino Linotype" w:cs="Arial"/>
          <w:sz w:val="24"/>
        </w:rPr>
        <w:lastRenderedPageBreak/>
        <w:t xml:space="preserve">seguridad, conforme al artículo 37 de la </w:t>
      </w:r>
      <w:r w:rsidRPr="00D948D9">
        <w:rPr>
          <w:rFonts w:ascii="Palatino Linotype" w:hAnsi="Palatino Linotype" w:cs="Arial"/>
          <w:sz w:val="24"/>
        </w:rPr>
        <w:t>Ley de Protección de Datos Personales en Posesión de los Sujetos Obligados del Estado de México y Municipios.</w:t>
      </w:r>
    </w:p>
    <w:p w14:paraId="2D16D53B" w14:textId="77777777" w:rsidR="00580144" w:rsidRPr="00D948D9" w:rsidRDefault="00580144" w:rsidP="00580144">
      <w:pPr>
        <w:pStyle w:val="Prrafodelista"/>
        <w:rPr>
          <w:rFonts w:ascii="Palatino Linotype" w:eastAsia="Calibri" w:hAnsi="Palatino Linotype" w:cs="Arial"/>
          <w:sz w:val="24"/>
        </w:rPr>
      </w:pPr>
    </w:p>
    <w:p w14:paraId="2677377C" w14:textId="6E4E9DF6" w:rsidR="00756202" w:rsidRPr="00D948D9" w:rsidRDefault="00756202"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La Ley General de Protección de Datos Personales en Posesión de Sujetos Obligados en el artículo 35 establece lo siguiente:</w:t>
      </w:r>
    </w:p>
    <w:p w14:paraId="2A2392A2" w14:textId="77777777" w:rsidR="00756202" w:rsidRPr="00D948D9" w:rsidRDefault="00756202" w:rsidP="00756202">
      <w:pPr>
        <w:pStyle w:val="Prrafodelista"/>
        <w:rPr>
          <w:rFonts w:ascii="Palatino Linotype" w:eastAsia="Calibri" w:hAnsi="Palatino Linotype" w:cs="Arial"/>
          <w:sz w:val="24"/>
        </w:rPr>
      </w:pPr>
    </w:p>
    <w:p w14:paraId="2811C24C"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w:t>
      </w:r>
      <w:r w:rsidRPr="00D948D9">
        <w:rPr>
          <w:rFonts w:ascii="Palatino Linotype" w:hAnsi="Palatino Linotype" w:cs="Arial"/>
          <w:b/>
          <w:i/>
          <w:sz w:val="22"/>
        </w:rPr>
        <w:t>Artículo 35.</w:t>
      </w:r>
      <w:r w:rsidRPr="00D948D9">
        <w:rPr>
          <w:rFonts w:ascii="Palatino Linotype" w:hAnsi="Palatino Linotype" w:cs="Arial"/>
          <w:i/>
          <w:sz w:val="22"/>
        </w:rPr>
        <w:t xml:space="preserve"> De manera particular, el responsable deberá elaborar un documento de seguridad que contenga, al menos, lo siguiente:</w:t>
      </w:r>
    </w:p>
    <w:p w14:paraId="4C57A5E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p>
    <w:p w14:paraId="5984E6B6"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 xml:space="preserve">I. El inventario de datos personales y de los sistemas de tratamiento; </w:t>
      </w:r>
    </w:p>
    <w:p w14:paraId="5A93B2C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II. Las funciones y obligaciones de las personas que traten datos personales;</w:t>
      </w:r>
    </w:p>
    <w:p w14:paraId="6F3D596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III. El análisis de riesgos;</w:t>
      </w:r>
    </w:p>
    <w:p w14:paraId="1F9B7C3E"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 xml:space="preserve">IV. El análisis de brecha; </w:t>
      </w:r>
    </w:p>
    <w:p w14:paraId="2AFA167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 xml:space="preserve">V. El plan de trabajo; </w:t>
      </w:r>
    </w:p>
    <w:p w14:paraId="573B9E3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 xml:space="preserve">VI. Los mecanismos de monitoreo y revisión de las medidas de seguridad, y </w:t>
      </w:r>
    </w:p>
    <w:p w14:paraId="253110B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rPr>
      </w:pPr>
      <w:r w:rsidRPr="00D948D9">
        <w:rPr>
          <w:rFonts w:ascii="Palatino Linotype" w:hAnsi="Palatino Linotype" w:cs="Arial"/>
          <w:i/>
          <w:sz w:val="22"/>
        </w:rPr>
        <w:t xml:space="preserve">VII. El programa general de capacitación.” (Sic) </w:t>
      </w:r>
    </w:p>
    <w:p w14:paraId="4F688004" w14:textId="77777777" w:rsidR="00756202" w:rsidRPr="00D948D9" w:rsidRDefault="00756202" w:rsidP="00756202">
      <w:pPr>
        <w:tabs>
          <w:tab w:val="left" w:pos="284"/>
          <w:tab w:val="left" w:pos="426"/>
        </w:tabs>
        <w:spacing w:before="240" w:after="240" w:line="360" w:lineRule="auto"/>
        <w:ind w:right="49"/>
        <w:contextualSpacing/>
        <w:jc w:val="both"/>
        <w:rPr>
          <w:rFonts w:ascii="Palatino Linotype" w:hAnsi="Palatino Linotype" w:cs="Arial"/>
        </w:rPr>
      </w:pPr>
    </w:p>
    <w:p w14:paraId="77040306" w14:textId="77E2101A" w:rsidR="00756202" w:rsidRPr="00D948D9" w:rsidRDefault="00756202" w:rsidP="00756202">
      <w:pPr>
        <w:pStyle w:val="Prrafodelista"/>
        <w:numPr>
          <w:ilvl w:val="0"/>
          <w:numId w:val="2"/>
        </w:numPr>
        <w:tabs>
          <w:tab w:val="left" w:pos="284"/>
          <w:tab w:val="left" w:pos="426"/>
        </w:tabs>
        <w:spacing w:before="240" w:after="240" w:line="360" w:lineRule="auto"/>
        <w:ind w:left="0" w:right="49" w:firstLine="0"/>
        <w:jc w:val="both"/>
        <w:rPr>
          <w:rFonts w:ascii="Palatino Linotype" w:hAnsi="Palatino Linotype" w:cs="Arial"/>
          <w:sz w:val="24"/>
          <w:lang w:eastAsia="en-US"/>
        </w:rPr>
      </w:pPr>
      <w:r w:rsidRPr="00D948D9">
        <w:rPr>
          <w:rFonts w:ascii="Palatino Linotype" w:hAnsi="Palatino Linotype" w:cs="Arial"/>
          <w:sz w:val="24"/>
          <w:lang w:eastAsia="en-US"/>
        </w:rPr>
        <w:t xml:space="preserve"> En ese contexto, se debe de entender por mediadas de seguridad al </w:t>
      </w:r>
      <w:r w:rsidRPr="00D948D9">
        <w:rPr>
          <w:rFonts w:ascii="Palatino Linotype" w:hAnsi="Palatino Linotype" w:cs="Arial"/>
          <w:i/>
          <w:sz w:val="24"/>
          <w:lang w:eastAsia="en-US"/>
        </w:rPr>
        <w:t>“conjunto de acciones y actividades, controles o mecanismos administrativos, técnicos y físicos que permitan proteger los datos personales</w:t>
      </w:r>
      <w:r w:rsidRPr="00D948D9">
        <w:rPr>
          <w:rFonts w:ascii="Palatino Linotype" w:hAnsi="Palatino Linotype" w:cs="Arial"/>
          <w:sz w:val="24"/>
          <w:lang w:eastAsia="en-US"/>
        </w:rPr>
        <w:t>” tomando en cuenta los siguientes factores:</w:t>
      </w:r>
    </w:p>
    <w:p w14:paraId="6FF4FAC2" w14:textId="77777777" w:rsidR="00756202" w:rsidRPr="00D948D9" w:rsidRDefault="00756202" w:rsidP="00756202">
      <w:pPr>
        <w:tabs>
          <w:tab w:val="left" w:pos="284"/>
          <w:tab w:val="left" w:pos="426"/>
        </w:tabs>
        <w:spacing w:before="240" w:after="240" w:line="360" w:lineRule="auto"/>
        <w:ind w:right="49"/>
        <w:contextualSpacing/>
        <w:jc w:val="both"/>
        <w:rPr>
          <w:rFonts w:ascii="Palatino Linotype" w:hAnsi="Palatino Linotype" w:cs="Arial"/>
        </w:rPr>
      </w:pPr>
    </w:p>
    <w:p w14:paraId="2444CECD" w14:textId="77777777" w:rsidR="00756202" w:rsidRPr="00D948D9" w:rsidRDefault="00756202" w:rsidP="00756202">
      <w:pPr>
        <w:tabs>
          <w:tab w:val="left" w:pos="284"/>
          <w:tab w:val="left" w:pos="426"/>
        </w:tabs>
        <w:spacing w:before="240" w:after="240" w:line="360" w:lineRule="auto"/>
        <w:ind w:right="49"/>
        <w:contextualSpacing/>
        <w:jc w:val="center"/>
        <w:rPr>
          <w:rFonts w:ascii="Palatino Linotype" w:hAnsi="Palatino Linotype" w:cs="Arial"/>
        </w:rPr>
      </w:pPr>
      <w:r w:rsidRPr="00D948D9">
        <w:rPr>
          <w:noProof/>
          <w:lang w:eastAsia="es-MX"/>
        </w:rPr>
        <w:lastRenderedPageBreak/>
        <w:drawing>
          <wp:inline distT="0" distB="0" distL="0" distR="0" wp14:anchorId="6731F421" wp14:editId="026F73E1">
            <wp:extent cx="5698490" cy="1828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063" t="28968" r="9538" b="56849"/>
                    <a:stretch/>
                  </pic:blipFill>
                  <pic:spPr bwMode="auto">
                    <a:xfrm>
                      <a:off x="0" y="0"/>
                      <a:ext cx="5711419" cy="1832949"/>
                    </a:xfrm>
                    <a:prstGeom prst="rect">
                      <a:avLst/>
                    </a:prstGeom>
                    <a:ln>
                      <a:noFill/>
                    </a:ln>
                    <a:extLst>
                      <a:ext uri="{53640926-AAD7-44D8-BBD7-CCE9431645EC}">
                        <a14:shadowObscured xmlns:a14="http://schemas.microsoft.com/office/drawing/2010/main"/>
                      </a:ext>
                    </a:extLst>
                  </pic:spPr>
                </pic:pic>
              </a:graphicData>
            </a:graphic>
          </wp:inline>
        </w:drawing>
      </w:r>
    </w:p>
    <w:p w14:paraId="7EBE5EB8" w14:textId="77777777" w:rsidR="00756202" w:rsidRPr="00D948D9" w:rsidRDefault="00756202" w:rsidP="00756202">
      <w:pPr>
        <w:tabs>
          <w:tab w:val="left" w:pos="284"/>
          <w:tab w:val="left" w:pos="426"/>
        </w:tabs>
        <w:spacing w:before="240" w:after="240" w:line="360" w:lineRule="auto"/>
        <w:ind w:right="49"/>
        <w:contextualSpacing/>
        <w:jc w:val="both"/>
        <w:rPr>
          <w:rFonts w:ascii="Palatino Linotype" w:hAnsi="Palatino Linotype" w:cs="Arial"/>
        </w:rPr>
      </w:pPr>
    </w:p>
    <w:p w14:paraId="6844A749" w14:textId="670E84A3" w:rsidR="00756202" w:rsidRPr="00D948D9" w:rsidRDefault="00756202" w:rsidP="00756202">
      <w:pPr>
        <w:pStyle w:val="Prrafodelista"/>
        <w:numPr>
          <w:ilvl w:val="0"/>
          <w:numId w:val="2"/>
        </w:numPr>
        <w:tabs>
          <w:tab w:val="left" w:pos="284"/>
          <w:tab w:val="left" w:pos="426"/>
        </w:tabs>
        <w:spacing w:before="240" w:after="240" w:line="360" w:lineRule="auto"/>
        <w:ind w:left="0" w:right="49" w:firstLine="0"/>
        <w:jc w:val="both"/>
        <w:rPr>
          <w:rFonts w:ascii="Palatino Linotype" w:hAnsi="Palatino Linotype" w:cs="Arial"/>
          <w:sz w:val="24"/>
        </w:rPr>
      </w:pPr>
      <w:r w:rsidRPr="00D948D9">
        <w:rPr>
          <w:rFonts w:ascii="Palatino Linotype" w:hAnsi="Palatino Linotype" w:cs="Arial"/>
          <w:sz w:val="24"/>
          <w:lang w:eastAsia="en-US"/>
        </w:rPr>
        <w:t xml:space="preserve">A través de los siguientes mecanismos: </w:t>
      </w:r>
    </w:p>
    <w:p w14:paraId="25316AF4"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 w:val="24"/>
          <w:szCs w:val="22"/>
          <w:lang w:eastAsia="en-US"/>
        </w:rPr>
      </w:pPr>
      <w:r w:rsidRPr="00D948D9">
        <w:rPr>
          <w:rFonts w:ascii="Palatino Linotype" w:hAnsi="Palatino Linotype" w:cs="Arial"/>
          <w:b/>
          <w:i/>
          <w:sz w:val="24"/>
          <w:lang w:eastAsia="en-US"/>
        </w:rPr>
        <w:t xml:space="preserve"> </w:t>
      </w:r>
      <w:r w:rsidRPr="00D948D9">
        <w:rPr>
          <w:rFonts w:ascii="Palatino Linotype" w:hAnsi="Palatino Linotype" w:cs="Arial"/>
          <w:b/>
          <w:i/>
          <w:sz w:val="24"/>
          <w:szCs w:val="22"/>
          <w:lang w:eastAsia="en-US"/>
        </w:rPr>
        <w:t>Políticas internas para la gestión y tratamiento de los datos personales.</w:t>
      </w:r>
    </w:p>
    <w:p w14:paraId="73E0CC8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Para crear políticas internas referentes a la gestión y tratamiento de los datos personales, se deben observar los artículos 47 y 56</w:t>
      </w:r>
      <w:r w:rsidRPr="00D948D9">
        <w:rPr>
          <w:rStyle w:val="Refdenotaalpie"/>
          <w:rFonts w:ascii="Palatino Linotype" w:hAnsi="Palatino Linotype" w:cs="Arial"/>
          <w:i/>
          <w:sz w:val="22"/>
          <w:szCs w:val="22"/>
          <w:lang w:eastAsia="en-US"/>
        </w:rPr>
        <w:footnoteReference w:id="7"/>
      </w:r>
      <w:r w:rsidRPr="00D948D9">
        <w:rPr>
          <w:rFonts w:ascii="Palatino Linotype" w:hAnsi="Palatino Linotype" w:cs="Arial"/>
          <w:i/>
          <w:sz w:val="22"/>
          <w:szCs w:val="22"/>
          <w:lang w:eastAsia="en-US"/>
        </w:rPr>
        <w:t xml:space="preserve"> de los Lineamientos Generales, en primer término se deben elaborar e implementar políticas y programas de protección de datos personales, cuyo objeto sea establecer las directrices, la operación y el control de los procesos de tratamiento de datos realizado en ejercicio de sus atribuciones y funciones, a efecto de proteger los datos personales de una manera sistemática y continua. </w:t>
      </w:r>
    </w:p>
    <w:p w14:paraId="1214737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359DD30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lastRenderedPageBreak/>
        <w:t xml:space="preserve">El Comité de Transparencia, deberá aprobar, coordinar y supervisar las políticas y el programa de protección de datos del responsable, éste a su vez deberá destinar recursos de conformidad con la normatividad que le resulte aplicable para la implementación y cumplimiento de dicho programa y las políticas. </w:t>
      </w:r>
    </w:p>
    <w:p w14:paraId="02B57BA1"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75478ED"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Entre los puntos que deben contener las políticas internas de gestión y tratamiento de los datos personales están las siguientes: </w:t>
      </w:r>
    </w:p>
    <w:p w14:paraId="4EAFE0BC"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C4D657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Cumplimiento de todos los principios, deberes, derechos y obligaciones. </w:t>
      </w:r>
    </w:p>
    <w:p w14:paraId="5039E38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Responsabilidades específicas de los involucrados en el tratamiento de los datos.</w:t>
      </w:r>
    </w:p>
    <w:p w14:paraId="57DAFB26"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Sanciones en caso de incumplimiento. </w:t>
      </w:r>
    </w:p>
    <w:p w14:paraId="06E1CEB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Identificar el ciclo de vida de los datos personales, esto debe realizarse de conformidad con la Ley General de Archivos y la normatividad aplicable a cada sujeto obligado, para lo cual deberá contar con su catálogo de disposición documental. </w:t>
      </w:r>
    </w:p>
    <w:p w14:paraId="1FC47AF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El proceso para el establecimiento de los mecanismos y medidas de seguridad. </w:t>
      </w: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La atenci</w:t>
      </w:r>
      <w:r w:rsidRPr="00D948D9">
        <w:rPr>
          <w:rFonts w:ascii="Palatino Linotype" w:hAnsi="Palatino Linotype" w:cs="Palatino Linotype"/>
          <w:i/>
          <w:sz w:val="22"/>
          <w:szCs w:val="22"/>
          <w:lang w:eastAsia="en-US"/>
        </w:rPr>
        <w:t>ó</w:t>
      </w:r>
      <w:r w:rsidRPr="00D948D9">
        <w:rPr>
          <w:rFonts w:ascii="Palatino Linotype" w:hAnsi="Palatino Linotype" w:cs="Arial"/>
          <w:i/>
          <w:sz w:val="22"/>
          <w:szCs w:val="22"/>
          <w:lang w:eastAsia="en-US"/>
        </w:rPr>
        <w:t xml:space="preserve">n de las solicitudes para el ejercicio de derechos ARCO. </w:t>
      </w:r>
    </w:p>
    <w:p w14:paraId="4FADC41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849BF2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Cabe destacar que las políticas internas para la gestión de los datos personales deben establecer el compromiso de cumplir con la legislación en la materia, por parte de todos los involucrados en el tratamiento a su vez que ésta debe ser comunicada.</w:t>
      </w:r>
    </w:p>
    <w:p w14:paraId="2037894C"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D9AF6B0"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Cs w:val="22"/>
          <w:lang w:eastAsia="en-US"/>
        </w:rPr>
      </w:pPr>
      <w:r w:rsidRPr="00D948D9">
        <w:rPr>
          <w:rFonts w:ascii="Palatino Linotype" w:hAnsi="Palatino Linotype" w:cs="Arial"/>
          <w:b/>
          <w:i/>
          <w:szCs w:val="22"/>
          <w:lang w:eastAsia="en-US"/>
        </w:rPr>
        <w:t xml:space="preserve">El inventario de datos personales y de los sistemas de tratamiento. </w:t>
      </w:r>
    </w:p>
    <w:p w14:paraId="0CF67BC2"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lastRenderedPageBreak/>
        <w:t>Es necesario elaborar un inventario</w:t>
      </w:r>
      <w:r w:rsidRPr="00D948D9">
        <w:rPr>
          <w:rStyle w:val="Refdenotaalpie"/>
          <w:rFonts w:ascii="Palatino Linotype" w:hAnsi="Palatino Linotype" w:cs="Arial"/>
          <w:i/>
          <w:sz w:val="22"/>
          <w:szCs w:val="22"/>
          <w:lang w:eastAsia="en-US"/>
        </w:rPr>
        <w:footnoteReference w:id="8"/>
      </w:r>
      <w:r w:rsidRPr="00D948D9">
        <w:rPr>
          <w:rFonts w:ascii="Palatino Linotype" w:hAnsi="Palatino Linotype" w:cs="Arial"/>
          <w:i/>
          <w:sz w:val="22"/>
          <w:szCs w:val="22"/>
          <w:lang w:eastAsia="en-US"/>
        </w:rPr>
        <w:t xml:space="preserve"> con la información de cada tratamiento de datos que realice el responsable, que contenga un catálogo de medios físicos y electrónicos, finalidades, tipo de datos tratados, formatos de almacenamiento, lista de los servidores públicos que tienen acceso al tratamiento, en su caso, nombre o razón social del encargado, así como de los destinarios de las transferencias. </w:t>
      </w:r>
    </w:p>
    <w:p w14:paraId="66F66F5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719F00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También deberá considerar el ciclo de vida de los datos personales conforme a lo siguiente:</w:t>
      </w:r>
    </w:p>
    <w:p w14:paraId="59197EA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21CA529" w14:textId="77777777" w:rsidR="00756202" w:rsidRPr="00D948D9" w:rsidRDefault="00756202" w:rsidP="00756202">
      <w:pPr>
        <w:tabs>
          <w:tab w:val="left" w:pos="284"/>
          <w:tab w:val="left" w:pos="426"/>
        </w:tabs>
        <w:spacing w:before="240" w:after="240" w:line="360" w:lineRule="auto"/>
        <w:ind w:left="567" w:right="616"/>
        <w:contextualSpacing/>
        <w:jc w:val="center"/>
        <w:rPr>
          <w:rFonts w:ascii="Palatino Linotype" w:hAnsi="Palatino Linotype" w:cs="Arial"/>
          <w:i/>
          <w:sz w:val="22"/>
          <w:szCs w:val="22"/>
          <w:lang w:eastAsia="en-US"/>
        </w:rPr>
      </w:pPr>
      <w:r w:rsidRPr="00D948D9">
        <w:rPr>
          <w:i/>
          <w:noProof/>
          <w:sz w:val="22"/>
          <w:szCs w:val="22"/>
          <w:lang w:eastAsia="es-MX"/>
        </w:rPr>
        <w:drawing>
          <wp:inline distT="0" distB="0" distL="0" distR="0" wp14:anchorId="08BD22B5" wp14:editId="5AE9346C">
            <wp:extent cx="5029200" cy="24028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573" t="31080" r="9877" b="42969"/>
                    <a:stretch/>
                  </pic:blipFill>
                  <pic:spPr bwMode="auto">
                    <a:xfrm>
                      <a:off x="0" y="0"/>
                      <a:ext cx="5069847" cy="2422260"/>
                    </a:xfrm>
                    <a:prstGeom prst="rect">
                      <a:avLst/>
                    </a:prstGeom>
                    <a:ln>
                      <a:noFill/>
                    </a:ln>
                    <a:extLst>
                      <a:ext uri="{53640926-AAD7-44D8-BBD7-CCE9431645EC}">
                        <a14:shadowObscured xmlns:a14="http://schemas.microsoft.com/office/drawing/2010/main"/>
                      </a:ext>
                    </a:extLst>
                  </pic:spPr>
                </pic:pic>
              </a:graphicData>
            </a:graphic>
          </wp:inline>
        </w:drawing>
      </w:r>
    </w:p>
    <w:p w14:paraId="5FF8DD3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En efecto, realizar el inventario de datos personales implica llevar a cabo un diagnóstico de los datos personales y sistemas de tratamiento que se encuentran bajo resguardo del sujeto obligado, identificando los siguientes elementos relevantes: </w:t>
      </w:r>
    </w:p>
    <w:p w14:paraId="694BD0E9"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1. Cada uno de los procesos en los que la unidad administrativa trata datos personales. </w:t>
      </w:r>
    </w:p>
    <w:p w14:paraId="1C9A687E"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lastRenderedPageBreak/>
        <w:t xml:space="preserve">2. La unidad administrativa que está a cargo del proceso en donde se tratan los datos personales, según las atribuciones o facultades normativas. </w:t>
      </w:r>
    </w:p>
    <w:p w14:paraId="6AA7683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3. De acuerdo con el ciclo de vida de los datos personales, se debe identificar: </w:t>
      </w:r>
    </w:p>
    <w:p w14:paraId="3354DF0B"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 ¿Cómo se obtienen los datos personales? </w:t>
      </w:r>
    </w:p>
    <w:p w14:paraId="59FD6829"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II. ¿Qué tipo de datos personales se tratan? ¿Son sensibles? </w:t>
      </w:r>
    </w:p>
    <w:p w14:paraId="6991CB7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III. ¿Dónde se almacenan los datos personales? </w:t>
      </w:r>
    </w:p>
    <w:p w14:paraId="193703D3"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IV. ¿Para qué finalidades se utilizan los datos personales? </w:t>
      </w:r>
    </w:p>
    <w:p w14:paraId="6E9A7198"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V. ¿Quién tiene acceso a la base de datos o archivos y a quién se comunican los datos personales al interior de la organización? </w:t>
      </w:r>
    </w:p>
    <w:p w14:paraId="3604BA0C"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VI. ¿Intervienen encargados en el tratamiento de los datos personales? </w:t>
      </w:r>
    </w:p>
    <w:p w14:paraId="6E62328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VII. ¿Qué transferencias se realizan o se podrían realizar de los datos personales y con qué finalidad? </w:t>
      </w:r>
    </w:p>
    <w:p w14:paraId="4838580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VIII. ¿Se difunden los datos personales? </w:t>
      </w:r>
    </w:p>
    <w:p w14:paraId="3495E461"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X. ¿Cuál es el plazo de conservación de los datos personales?</w:t>
      </w:r>
    </w:p>
    <w:p w14:paraId="75671CED"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FCD9913"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Ejemplo: </w:t>
      </w:r>
    </w:p>
    <w:p w14:paraId="5D7633C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AAE7819" w14:textId="77777777" w:rsidR="00756202" w:rsidRPr="00D948D9" w:rsidRDefault="00B463BF"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hyperlink r:id="rId21" w:history="1">
        <w:r w:rsidR="00756202" w:rsidRPr="00D948D9">
          <w:rPr>
            <w:rStyle w:val="Hipervnculo"/>
            <w:rFonts w:ascii="Palatino Linotype" w:hAnsi="Palatino Linotype" w:cs="Arial"/>
            <w:i/>
            <w:sz w:val="22"/>
            <w:szCs w:val="22"/>
            <w:lang w:eastAsia="en-US"/>
          </w:rPr>
          <w:t>http://inicio.ifai.org.mx/DocumentosdeInteres/AnexosDocumentoOrientador.zip</w:t>
        </w:r>
      </w:hyperlink>
      <w:r w:rsidR="00756202" w:rsidRPr="00D948D9">
        <w:rPr>
          <w:rFonts w:ascii="Palatino Linotype" w:hAnsi="Palatino Linotype" w:cs="Arial"/>
          <w:i/>
          <w:sz w:val="22"/>
          <w:szCs w:val="22"/>
          <w:lang w:eastAsia="en-US"/>
        </w:rPr>
        <w:t xml:space="preserve"> </w:t>
      </w:r>
    </w:p>
    <w:p w14:paraId="32422023"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2DD7BC6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 Anexo1</w:t>
      </w:r>
    </w:p>
    <w:p w14:paraId="48628AA9"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76E62CB"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30D0C0B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i/>
          <w:noProof/>
          <w:sz w:val="22"/>
          <w:szCs w:val="22"/>
          <w:lang w:eastAsia="es-MX"/>
        </w:rPr>
        <w:lastRenderedPageBreak/>
        <w:drawing>
          <wp:inline distT="0" distB="0" distL="0" distR="0" wp14:anchorId="3F8D0CAF" wp14:editId="212C70FD">
            <wp:extent cx="5019675" cy="2644738"/>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 t="21122" r="59946" b="55643"/>
                    <a:stretch/>
                  </pic:blipFill>
                  <pic:spPr bwMode="auto">
                    <a:xfrm>
                      <a:off x="0" y="0"/>
                      <a:ext cx="5085527" cy="2679434"/>
                    </a:xfrm>
                    <a:prstGeom prst="rect">
                      <a:avLst/>
                    </a:prstGeom>
                    <a:ln>
                      <a:noFill/>
                    </a:ln>
                    <a:extLst>
                      <a:ext uri="{53640926-AAD7-44D8-BBD7-CCE9431645EC}">
                        <a14:shadowObscured xmlns:a14="http://schemas.microsoft.com/office/drawing/2010/main"/>
                      </a:ext>
                    </a:extLst>
                  </pic:spPr>
                </pic:pic>
              </a:graphicData>
            </a:graphic>
          </wp:inline>
        </w:drawing>
      </w:r>
    </w:p>
    <w:p w14:paraId="537E0472"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247D6CB2"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Cs w:val="22"/>
          <w:lang w:eastAsia="en-US"/>
        </w:rPr>
      </w:pPr>
      <w:r w:rsidRPr="00D948D9">
        <w:rPr>
          <w:rFonts w:ascii="Palatino Linotype" w:hAnsi="Palatino Linotype" w:cs="Arial"/>
          <w:b/>
          <w:i/>
          <w:szCs w:val="22"/>
          <w:lang w:eastAsia="en-US"/>
        </w:rPr>
        <w:t>Las funciones y obligaciones de las personas que traten datos personales</w:t>
      </w:r>
    </w:p>
    <w:p w14:paraId="7ABFB5FD" w14:textId="77777777" w:rsidR="00756202" w:rsidRPr="00D948D9" w:rsidRDefault="00756202" w:rsidP="00756202">
      <w:pPr>
        <w:pStyle w:val="Prrafodelista"/>
        <w:tabs>
          <w:tab w:val="left" w:pos="284"/>
          <w:tab w:val="left" w:pos="426"/>
        </w:tabs>
        <w:spacing w:before="240" w:after="240" w:line="360" w:lineRule="auto"/>
        <w:ind w:left="567" w:right="616"/>
        <w:jc w:val="both"/>
        <w:rPr>
          <w:rFonts w:ascii="Palatino Linotype" w:hAnsi="Palatino Linotype" w:cs="Arial"/>
          <w:b/>
          <w:i/>
          <w:szCs w:val="22"/>
          <w:lang w:eastAsia="en-US"/>
        </w:rPr>
      </w:pPr>
    </w:p>
    <w:p w14:paraId="27B59622" w14:textId="77777777" w:rsidR="00756202" w:rsidRPr="00D948D9" w:rsidRDefault="00756202" w:rsidP="00756202">
      <w:pPr>
        <w:pStyle w:val="Prrafodelista"/>
        <w:tabs>
          <w:tab w:val="left" w:pos="284"/>
          <w:tab w:val="left" w:pos="426"/>
        </w:tabs>
        <w:spacing w:before="240" w:after="240" w:line="360" w:lineRule="auto"/>
        <w:ind w:left="567" w:right="616"/>
        <w:jc w:val="both"/>
        <w:rPr>
          <w:rFonts w:ascii="Palatino Linotype" w:hAnsi="Palatino Linotype" w:cs="Arial"/>
          <w:i/>
          <w:szCs w:val="22"/>
          <w:lang w:eastAsia="en-US"/>
        </w:rPr>
      </w:pPr>
      <w:r w:rsidRPr="00D948D9">
        <w:rPr>
          <w:rFonts w:ascii="Palatino Linotype" w:hAnsi="Palatino Linotype" w:cs="Arial"/>
          <w:i/>
          <w:szCs w:val="22"/>
          <w:lang w:eastAsia="en-US"/>
        </w:rPr>
        <w:t xml:space="preserve">Para definir las funciones y obligaciones del personal involucrado en el tratamiento de datos personales, se debe atender lo que establece el artículo 57 de Los Lineamientos Generales, que estipula que se deberán establecer y documentar los roles y responsabilidades para todos aquellos que intervienen en el tratamiento de los datos personales dentro de la organización del sujeto obligado. </w:t>
      </w:r>
    </w:p>
    <w:p w14:paraId="7C4D6D7D" w14:textId="77777777" w:rsidR="00756202" w:rsidRPr="00D948D9" w:rsidRDefault="00756202" w:rsidP="00756202">
      <w:pPr>
        <w:pStyle w:val="Prrafodelista"/>
        <w:tabs>
          <w:tab w:val="left" w:pos="284"/>
          <w:tab w:val="left" w:pos="426"/>
        </w:tabs>
        <w:spacing w:before="240" w:after="240" w:line="360" w:lineRule="auto"/>
        <w:ind w:left="567" w:right="616"/>
        <w:jc w:val="both"/>
        <w:rPr>
          <w:rFonts w:ascii="Palatino Linotype" w:hAnsi="Palatino Linotype" w:cs="Arial"/>
          <w:i/>
          <w:szCs w:val="22"/>
          <w:lang w:eastAsia="en-US"/>
        </w:rPr>
      </w:pPr>
      <w:r w:rsidRPr="00D948D9">
        <w:rPr>
          <w:rFonts w:ascii="Palatino Linotype" w:hAnsi="Palatino Linotype" w:cs="Arial"/>
          <w:i/>
          <w:szCs w:val="22"/>
          <w:lang w:eastAsia="en-US"/>
        </w:rPr>
        <w:t>Además, se debe contar con mecanismos para asegurar que todas las personas involucradas en el tratamiento conozcan sus funciones para el cumplimiento de los objetivos del sistema de gestión, y las consecuencias en caso de incumplimiento.</w:t>
      </w:r>
    </w:p>
    <w:p w14:paraId="416E5E21" w14:textId="77777777" w:rsidR="00756202" w:rsidRPr="00D948D9" w:rsidRDefault="00756202" w:rsidP="00756202">
      <w:pPr>
        <w:pStyle w:val="Prrafodelista"/>
        <w:tabs>
          <w:tab w:val="left" w:pos="284"/>
          <w:tab w:val="left" w:pos="426"/>
        </w:tabs>
        <w:spacing w:before="240" w:after="240" w:line="360" w:lineRule="auto"/>
        <w:ind w:left="567" w:right="616"/>
        <w:jc w:val="both"/>
        <w:rPr>
          <w:rFonts w:ascii="Palatino Linotype" w:hAnsi="Palatino Linotype" w:cs="Arial"/>
          <w:i/>
          <w:szCs w:val="22"/>
          <w:lang w:eastAsia="en-US"/>
        </w:rPr>
      </w:pPr>
    </w:p>
    <w:p w14:paraId="421DEC6F"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Cs w:val="22"/>
          <w:lang w:eastAsia="en-US"/>
        </w:rPr>
      </w:pPr>
      <w:r w:rsidRPr="00D948D9">
        <w:rPr>
          <w:rFonts w:ascii="Palatino Linotype" w:hAnsi="Palatino Linotype" w:cs="Arial"/>
          <w:b/>
          <w:i/>
          <w:szCs w:val="22"/>
          <w:lang w:eastAsia="en-US"/>
        </w:rPr>
        <w:lastRenderedPageBreak/>
        <w:t>El análisis de riesgos.</w:t>
      </w:r>
    </w:p>
    <w:p w14:paraId="11042D01"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Para realizar un análisis de riesgo, se deben identificar escenarios de riesgo, tomando en consideración las amenazas y vulnerabilidades existentes para los datos personales. Asimismo, el artículo 32 de la Ley General establece una serie de medidas de seguridad que debe considerar el responsable para su implementación, que por su importancia se transcriben:</w:t>
      </w:r>
    </w:p>
    <w:p w14:paraId="683F2832"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9F6062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“Artículo 32. Las medidas de seguridad adoptadas por el responsable deberán considerar: </w:t>
      </w:r>
    </w:p>
    <w:p w14:paraId="4E56763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6601B501"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I.El riesgo inherente a los datos personales tratados; </w:t>
      </w:r>
    </w:p>
    <w:p w14:paraId="6A89DAD3"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II. La sensibilidad de los datos personales tratados; </w:t>
      </w:r>
    </w:p>
    <w:p w14:paraId="459CCD5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III. El desarrollo tecnológico; </w:t>
      </w:r>
    </w:p>
    <w:p w14:paraId="2B7E194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IV. Las posibles consecuencias de una vulneración para los titulares; </w:t>
      </w:r>
    </w:p>
    <w:p w14:paraId="1F9DC6F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V. Las transferencias de datos personales que se realicen; </w:t>
      </w:r>
    </w:p>
    <w:p w14:paraId="02E6AE5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VI. El número de titulares; </w:t>
      </w:r>
    </w:p>
    <w:p w14:paraId="66BB642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VII. Las vulneraciones previas ocurridas en los sistemas de tratamiento, y </w:t>
      </w:r>
    </w:p>
    <w:p w14:paraId="3DFDDB2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VIII. El riesgo por el valor potencial cuantitativo o cualitativo que pudieran tener los datos personales tratados para una tercera persona no autorizada para su posesión.”</w:t>
      </w:r>
    </w:p>
    <w:p w14:paraId="4ECD2D6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30529D48"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lastRenderedPageBreak/>
        <w:t>Respecto del análisis de riesgo, su cumplimiento se debe realizar considerando lo establecido en los Lineamientos Generales</w:t>
      </w:r>
      <w:r w:rsidRPr="00D948D9">
        <w:rPr>
          <w:rStyle w:val="Refdenotaalpie"/>
          <w:rFonts w:ascii="Palatino Linotype" w:hAnsi="Palatino Linotype" w:cs="Arial"/>
          <w:i/>
          <w:sz w:val="22"/>
          <w:szCs w:val="22"/>
          <w:lang w:eastAsia="en-US"/>
        </w:rPr>
        <w:footnoteReference w:id="9"/>
      </w:r>
      <w:r w:rsidRPr="00D948D9">
        <w:rPr>
          <w:rFonts w:ascii="Palatino Linotype" w:hAnsi="Palatino Linotype" w:cs="Arial"/>
          <w:i/>
          <w:sz w:val="22"/>
          <w:szCs w:val="22"/>
          <w:lang w:eastAsia="en-US"/>
        </w:rPr>
        <w:t xml:space="preserve"> que establecen lo siguiente:</w:t>
      </w:r>
    </w:p>
    <w:p w14:paraId="6C68B21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784FB8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Requerimientos regulatorios, c</w:t>
      </w:r>
      <w:r w:rsidRPr="00D948D9">
        <w:rPr>
          <w:rFonts w:ascii="Palatino Linotype" w:hAnsi="Palatino Linotype" w:cs="Palatino Linotype"/>
          <w:i/>
          <w:sz w:val="22"/>
          <w:szCs w:val="22"/>
          <w:lang w:eastAsia="en-US"/>
        </w:rPr>
        <w:t>ó</w:t>
      </w:r>
      <w:r w:rsidRPr="00D948D9">
        <w:rPr>
          <w:rFonts w:ascii="Palatino Linotype" w:hAnsi="Palatino Linotype" w:cs="Arial"/>
          <w:i/>
          <w:sz w:val="22"/>
          <w:szCs w:val="22"/>
          <w:lang w:eastAsia="en-US"/>
        </w:rPr>
        <w:t>digos de conducta o mejores pr</w:t>
      </w:r>
      <w:r w:rsidRPr="00D948D9">
        <w:rPr>
          <w:rFonts w:ascii="Palatino Linotype" w:hAnsi="Palatino Linotype" w:cs="Palatino Linotype"/>
          <w:i/>
          <w:sz w:val="22"/>
          <w:szCs w:val="22"/>
          <w:lang w:eastAsia="en-US"/>
        </w:rPr>
        <w:t>á</w:t>
      </w:r>
      <w:r w:rsidRPr="00D948D9">
        <w:rPr>
          <w:rFonts w:ascii="Palatino Linotype" w:hAnsi="Palatino Linotype" w:cs="Arial"/>
          <w:i/>
          <w:sz w:val="22"/>
          <w:szCs w:val="22"/>
          <w:lang w:eastAsia="en-US"/>
        </w:rPr>
        <w:t xml:space="preserve">cticas para los diferentes sectores. </w:t>
      </w:r>
    </w:p>
    <w:p w14:paraId="13B1C4C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Definir el ciclo de vida y el valor de los datos personales. </w:t>
      </w:r>
    </w:p>
    <w:p w14:paraId="25D7E21D"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La exposici</w:t>
      </w:r>
      <w:r w:rsidRPr="00D948D9">
        <w:rPr>
          <w:rFonts w:ascii="Palatino Linotype" w:hAnsi="Palatino Linotype" w:cs="Palatino Linotype"/>
          <w:i/>
          <w:sz w:val="22"/>
          <w:szCs w:val="22"/>
          <w:lang w:eastAsia="en-US"/>
        </w:rPr>
        <w:t>ó</w:t>
      </w:r>
      <w:r w:rsidRPr="00D948D9">
        <w:rPr>
          <w:rFonts w:ascii="Palatino Linotype" w:hAnsi="Palatino Linotype" w:cs="Arial"/>
          <w:i/>
          <w:sz w:val="22"/>
          <w:szCs w:val="22"/>
          <w:lang w:eastAsia="en-US"/>
        </w:rPr>
        <w:t xml:space="preserve">n de los activos involucrados en el tratamiento de los datos. </w:t>
      </w:r>
    </w:p>
    <w:p w14:paraId="660A2CC1"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Las consecuencias en caso de una vulneraci</w:t>
      </w:r>
      <w:r w:rsidRPr="00D948D9">
        <w:rPr>
          <w:rFonts w:ascii="Palatino Linotype" w:hAnsi="Palatino Linotype" w:cs="Palatino Linotype"/>
          <w:i/>
          <w:sz w:val="22"/>
          <w:szCs w:val="22"/>
          <w:lang w:eastAsia="en-US"/>
        </w:rPr>
        <w:t>ó</w:t>
      </w:r>
      <w:r w:rsidRPr="00D948D9">
        <w:rPr>
          <w:rFonts w:ascii="Palatino Linotype" w:hAnsi="Palatino Linotype" w:cs="Arial"/>
          <w:i/>
          <w:sz w:val="22"/>
          <w:szCs w:val="22"/>
          <w:lang w:eastAsia="en-US"/>
        </w:rPr>
        <w:t xml:space="preserve">n de seguridad. </w:t>
      </w:r>
    </w:p>
    <w:p w14:paraId="2F63C72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21DAD66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De manera que, el an</w:t>
      </w:r>
      <w:r w:rsidRPr="00D948D9">
        <w:rPr>
          <w:rFonts w:ascii="Palatino Linotype" w:hAnsi="Palatino Linotype" w:cs="Palatino Linotype"/>
          <w:i/>
          <w:sz w:val="22"/>
          <w:szCs w:val="22"/>
          <w:lang w:eastAsia="en-US"/>
        </w:rPr>
        <w:t>á</w:t>
      </w:r>
      <w:r w:rsidRPr="00D948D9">
        <w:rPr>
          <w:rFonts w:ascii="Palatino Linotype" w:hAnsi="Palatino Linotype" w:cs="Arial"/>
          <w:i/>
          <w:sz w:val="22"/>
          <w:szCs w:val="22"/>
          <w:lang w:eastAsia="en-US"/>
        </w:rPr>
        <w:t>lisis de riesgo implica que el sujeto obligado plantee directrices para tratar el riesgo, considerando los factores citados anteriormente, en funci</w:t>
      </w:r>
      <w:r w:rsidRPr="00D948D9">
        <w:rPr>
          <w:rFonts w:ascii="Palatino Linotype" w:hAnsi="Palatino Linotype" w:cs="Palatino Linotype"/>
          <w:i/>
          <w:sz w:val="22"/>
          <w:szCs w:val="22"/>
          <w:lang w:eastAsia="en-US"/>
        </w:rPr>
        <w:t>ó</w:t>
      </w:r>
      <w:r w:rsidRPr="00D948D9">
        <w:rPr>
          <w:rFonts w:ascii="Palatino Linotype" w:hAnsi="Palatino Linotype" w:cs="Arial"/>
          <w:i/>
          <w:sz w:val="22"/>
          <w:szCs w:val="22"/>
          <w:lang w:eastAsia="en-US"/>
        </w:rPr>
        <w:t xml:space="preserve">n del alcance y objetivos del Sistema de Gestión. Esta actividad incluye realizar una ponderación de los escenarios de riesgo identificados a través de los siguientes pasos: </w:t>
      </w:r>
    </w:p>
    <w:p w14:paraId="635F83E8"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6254435B"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Identificar activos </w:t>
      </w:r>
    </w:p>
    <w:p w14:paraId="55A8DF5C"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Identificar amenazas </w:t>
      </w:r>
    </w:p>
    <w:p w14:paraId="4A8DBC7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Identificar vulnerabilidades </w:t>
      </w:r>
    </w:p>
    <w:p w14:paraId="3A8303BB"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Cs w:val="22"/>
          <w:lang w:eastAsia="en-US"/>
        </w:rPr>
      </w:pPr>
      <w:r w:rsidRPr="00D948D9">
        <w:rPr>
          <w:rFonts w:ascii="Palatino Linotype" w:hAnsi="Palatino Linotype" w:cs="Arial"/>
          <w:b/>
          <w:i/>
          <w:szCs w:val="22"/>
          <w:lang w:eastAsia="en-US"/>
        </w:rPr>
        <w:t>El análisis de brecha.</w:t>
      </w:r>
    </w:p>
    <w:p w14:paraId="4F32FE1D"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Es importante que los sujetos obligados en su carácter de responsables, establezcan y mantengan medidas de seguridad de carácter administrativo, físico y técnico para la </w:t>
      </w:r>
      <w:r w:rsidRPr="00D948D9">
        <w:rPr>
          <w:rFonts w:ascii="Palatino Linotype" w:hAnsi="Palatino Linotype" w:cs="Arial"/>
          <w:i/>
          <w:sz w:val="22"/>
          <w:szCs w:val="22"/>
          <w:lang w:eastAsia="en-US"/>
        </w:rPr>
        <w:lastRenderedPageBreak/>
        <w:t xml:space="preserve">protección de los datos personales, con la finalidad de garantizar la confidencialidad, integridad y disponibilidad de los datos, protegiendo los mismos contra </w:t>
      </w:r>
      <w:r w:rsidRPr="00D948D9">
        <w:rPr>
          <w:rFonts w:ascii="Palatino Linotype" w:hAnsi="Palatino Linotype" w:cs="Arial"/>
          <w:b/>
          <w:i/>
          <w:sz w:val="22"/>
          <w:szCs w:val="22"/>
          <w:lang w:eastAsia="en-US"/>
        </w:rPr>
        <w:t>daño, perdida, alteración, destrucción</w:t>
      </w:r>
      <w:r w:rsidRPr="00D948D9">
        <w:rPr>
          <w:rFonts w:ascii="Palatino Linotype" w:hAnsi="Palatino Linotype" w:cs="Arial"/>
          <w:i/>
          <w:sz w:val="22"/>
          <w:szCs w:val="22"/>
          <w:lang w:eastAsia="en-US"/>
        </w:rPr>
        <w:t xml:space="preserve"> o una utilización no autorizada de los mismos.</w:t>
      </w:r>
    </w:p>
    <w:p w14:paraId="724B8EED"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57B7059E"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La Ley General define las medidas de seguridad como el conjunto de acciones y actividades, controles o mecanismos administrativos, técnicos y físicos que permitan proteger los datos personales; cada una de estas medidas de seguridad se definen legalmente de la siguiente manera:</w:t>
      </w:r>
    </w:p>
    <w:p w14:paraId="235F716A" w14:textId="77777777" w:rsidR="00756202" w:rsidRPr="00D948D9" w:rsidRDefault="00756202" w:rsidP="00756202">
      <w:pPr>
        <w:pStyle w:val="Prrafodelista"/>
        <w:tabs>
          <w:tab w:val="left" w:pos="284"/>
          <w:tab w:val="left" w:pos="426"/>
        </w:tabs>
        <w:spacing w:before="240" w:after="240" w:line="360" w:lineRule="auto"/>
        <w:ind w:left="567" w:right="616"/>
        <w:jc w:val="center"/>
        <w:rPr>
          <w:rFonts w:ascii="Palatino Linotype" w:hAnsi="Palatino Linotype" w:cs="Arial"/>
          <w:i/>
          <w:szCs w:val="22"/>
          <w:lang w:eastAsia="en-US"/>
        </w:rPr>
      </w:pPr>
      <w:r w:rsidRPr="00D948D9">
        <w:rPr>
          <w:i/>
          <w:noProof/>
          <w:szCs w:val="22"/>
          <w:lang w:eastAsia="es-MX"/>
        </w:rPr>
        <w:drawing>
          <wp:inline distT="0" distB="0" distL="0" distR="0" wp14:anchorId="40F76477" wp14:editId="5CFDA39F">
            <wp:extent cx="3150029" cy="332406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233" t="23839" r="10048" b="18527"/>
                    <a:stretch/>
                  </pic:blipFill>
                  <pic:spPr bwMode="auto">
                    <a:xfrm>
                      <a:off x="0" y="0"/>
                      <a:ext cx="3174509" cy="3349896"/>
                    </a:xfrm>
                    <a:prstGeom prst="rect">
                      <a:avLst/>
                    </a:prstGeom>
                    <a:ln>
                      <a:noFill/>
                    </a:ln>
                    <a:extLst>
                      <a:ext uri="{53640926-AAD7-44D8-BBD7-CCE9431645EC}">
                        <a14:shadowObscured xmlns:a14="http://schemas.microsoft.com/office/drawing/2010/main"/>
                      </a:ext>
                    </a:extLst>
                  </pic:spPr>
                </pic:pic>
              </a:graphicData>
            </a:graphic>
          </wp:inline>
        </w:drawing>
      </w:r>
    </w:p>
    <w:p w14:paraId="1F8EC261"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2C3D908"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lastRenderedPageBreak/>
        <w:t>➢</w:t>
      </w:r>
      <w:r w:rsidRPr="00D948D9">
        <w:rPr>
          <w:rFonts w:ascii="Palatino Linotype" w:hAnsi="Palatino Linotype" w:cs="Arial"/>
          <w:i/>
          <w:sz w:val="22"/>
          <w:szCs w:val="22"/>
          <w:lang w:eastAsia="en-US"/>
        </w:rPr>
        <w:t xml:space="preserve"> Medidas de seguridad existentes y efectivas </w:t>
      </w:r>
    </w:p>
    <w:p w14:paraId="6E69E0EB"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Medidas de seguridad faltante </w:t>
      </w:r>
    </w:p>
    <w:p w14:paraId="6EE68F7B"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La existencia de nuevas medidas de seguridad que pudieran remplazar a las actuales. </w:t>
      </w:r>
    </w:p>
    <w:p w14:paraId="1E1B421E"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6C44A0C"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Visto lo anterior, cabe destacar que el an</w:t>
      </w:r>
      <w:r w:rsidRPr="00D948D9">
        <w:rPr>
          <w:rFonts w:ascii="Palatino Linotype" w:hAnsi="Palatino Linotype" w:cs="Palatino Linotype"/>
          <w:i/>
          <w:sz w:val="22"/>
          <w:szCs w:val="22"/>
          <w:lang w:eastAsia="en-US"/>
        </w:rPr>
        <w:t>á</w:t>
      </w:r>
      <w:r w:rsidRPr="00D948D9">
        <w:rPr>
          <w:rFonts w:ascii="Palatino Linotype" w:hAnsi="Palatino Linotype" w:cs="Arial"/>
          <w:i/>
          <w:sz w:val="22"/>
          <w:szCs w:val="22"/>
          <w:lang w:eastAsia="en-US"/>
        </w:rPr>
        <w:t>lisis de brecha se refiere al proceso de evaluación de las medidas de seguridad administrativas, físicas y técnicas, existentes y las que operan correctamente en la organización, contra las que serían necesarias tener para mitigar los riesgos de seguridad identificados en el análisis previo, así como las nuevas medidas de seguridad que podrían reemplazar a uno o más controles implementados actualmente.</w:t>
      </w:r>
    </w:p>
    <w:p w14:paraId="03597D56"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B2A10F4"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Cs w:val="22"/>
          <w:lang w:eastAsia="en-US"/>
        </w:rPr>
      </w:pPr>
      <w:r w:rsidRPr="00D948D9">
        <w:rPr>
          <w:rFonts w:ascii="Palatino Linotype" w:hAnsi="Palatino Linotype" w:cs="Arial"/>
          <w:b/>
          <w:i/>
          <w:szCs w:val="22"/>
          <w:lang w:eastAsia="en-US"/>
        </w:rPr>
        <w:t>El plan de trabajo.</w:t>
      </w:r>
    </w:p>
    <w:p w14:paraId="37D929C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Una vez realizados los análisis correspondientes entre los que se encuentran los de riesgos y de brecha, se debe elaborar un plan de trabajo con la finalidad de implementar las medidas de seguridad faltantes, así como para el cumplimiento cotidiano de las políticas de tratamiento de los datos personales. </w:t>
      </w:r>
    </w:p>
    <w:p w14:paraId="21244F33"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8FF08D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Para ello, se deben priorizar las medidas de seguridad más relevantes e inmediatas a establecer, habrá de considerarse los recursos económicos y humanos con los que cuenta el responsable para el cumplimiento, como todo plan de trabajo es indispensable que se fijen fechas compromiso, personas a cargo de su cumplimiento y para su implementación.</w:t>
      </w:r>
    </w:p>
    <w:p w14:paraId="3B029AC9"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6DF8EED4"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Cs w:val="22"/>
          <w:lang w:eastAsia="en-US"/>
        </w:rPr>
      </w:pPr>
      <w:r w:rsidRPr="00D948D9">
        <w:rPr>
          <w:rFonts w:ascii="Palatino Linotype" w:hAnsi="Palatino Linotype" w:cs="Arial"/>
          <w:b/>
          <w:i/>
          <w:szCs w:val="22"/>
          <w:lang w:eastAsia="en-US"/>
        </w:rPr>
        <w:lastRenderedPageBreak/>
        <w:t>Los mecanismos de monitoreo y revisión de las medidas de seguridad.</w:t>
      </w:r>
    </w:p>
    <w:p w14:paraId="01EF24BE"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Como parte de la evaluación de las políticas implementadas en materia de seguridad y tratamiento de los datos personales, debe monitorearse y revisarse las medidas de seguridad, al respecto los Lineamientos Generales</w:t>
      </w:r>
      <w:r w:rsidRPr="00D948D9">
        <w:rPr>
          <w:rStyle w:val="Refdenotaalpie"/>
          <w:rFonts w:ascii="Palatino Linotype" w:hAnsi="Palatino Linotype" w:cs="Arial"/>
          <w:i/>
          <w:sz w:val="22"/>
          <w:szCs w:val="22"/>
          <w:lang w:eastAsia="en-US"/>
        </w:rPr>
        <w:footnoteReference w:id="10"/>
      </w:r>
      <w:r w:rsidRPr="00D948D9">
        <w:rPr>
          <w:rFonts w:ascii="Palatino Linotype" w:hAnsi="Palatino Linotype" w:cs="Arial"/>
          <w:i/>
          <w:sz w:val="22"/>
          <w:szCs w:val="22"/>
          <w:lang w:eastAsia="en-US"/>
        </w:rPr>
        <w:t xml:space="preserve"> establecen que debe supervisarse lo siguiente: </w:t>
      </w:r>
    </w:p>
    <w:p w14:paraId="4E614BE3"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Nuevos activos gestionados; </w:t>
      </w:r>
    </w:p>
    <w:p w14:paraId="05A92C8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Modificaciones necesarias; </w:t>
      </w:r>
    </w:p>
    <w:p w14:paraId="461DA7C2"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Nuevas amenazas dentro o fuera de la organizaci</w:t>
      </w:r>
      <w:r w:rsidRPr="00D948D9">
        <w:rPr>
          <w:rFonts w:ascii="Palatino Linotype" w:hAnsi="Palatino Linotype" w:cs="Palatino Linotype"/>
          <w:i/>
          <w:sz w:val="22"/>
          <w:szCs w:val="22"/>
          <w:lang w:eastAsia="en-US"/>
        </w:rPr>
        <w:t>ó</w:t>
      </w:r>
      <w:r w:rsidRPr="00D948D9">
        <w:rPr>
          <w:rFonts w:ascii="Palatino Linotype" w:hAnsi="Palatino Linotype" w:cs="Arial"/>
          <w:i/>
          <w:sz w:val="22"/>
          <w:szCs w:val="22"/>
          <w:lang w:eastAsia="en-US"/>
        </w:rPr>
        <w:t xml:space="preserve">n; </w:t>
      </w:r>
    </w:p>
    <w:p w14:paraId="7AB9953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Posibilidad de nuevas vulneraciones, por las amenazas correspondientes; </w:t>
      </w:r>
    </w:p>
    <w:p w14:paraId="3C9E53B8"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Vulneraciones identificadas para determinar amenazas nuevas; </w:t>
      </w:r>
    </w:p>
    <w:p w14:paraId="20FE93A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Impacto de amenazas valoradas, vulnerabilidades y riesgos en conjunto; </w:t>
      </w:r>
    </w:p>
    <w:p w14:paraId="6174723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Segoe UI Symbol" w:hAnsi="Segoe UI Symbol" w:cs="Segoe UI Symbol"/>
          <w:i/>
          <w:sz w:val="22"/>
          <w:szCs w:val="22"/>
          <w:lang w:eastAsia="en-US"/>
        </w:rPr>
        <w:t>➢</w:t>
      </w:r>
      <w:r w:rsidRPr="00D948D9">
        <w:rPr>
          <w:rFonts w:ascii="Palatino Linotype" w:hAnsi="Palatino Linotype" w:cs="Arial"/>
          <w:i/>
          <w:sz w:val="22"/>
          <w:szCs w:val="22"/>
          <w:lang w:eastAsia="en-US"/>
        </w:rPr>
        <w:t xml:space="preserve"> Incidentes y vulneraciones de seguridad ocurridas. </w:t>
      </w:r>
    </w:p>
    <w:p w14:paraId="4B4FB447"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4BC3D60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De conformidad con la Ley General se consideran como vulneraciones de seguridad las siguientes:</w:t>
      </w:r>
    </w:p>
    <w:p w14:paraId="32F64992"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2D713205" w14:textId="77777777" w:rsidR="00756202" w:rsidRPr="00D948D9" w:rsidRDefault="00756202" w:rsidP="00756202">
      <w:pPr>
        <w:tabs>
          <w:tab w:val="left" w:pos="2445"/>
        </w:tabs>
        <w:spacing w:before="240" w:after="240" w:line="360" w:lineRule="auto"/>
        <w:ind w:left="567" w:right="616"/>
        <w:contextualSpacing/>
        <w:jc w:val="center"/>
        <w:rPr>
          <w:rFonts w:ascii="Palatino Linotype" w:hAnsi="Palatino Linotype" w:cs="Arial"/>
          <w:i/>
          <w:sz w:val="22"/>
          <w:szCs w:val="22"/>
          <w:lang w:eastAsia="en-US"/>
        </w:rPr>
      </w:pPr>
      <w:r w:rsidRPr="00D948D9">
        <w:rPr>
          <w:i/>
          <w:noProof/>
          <w:sz w:val="22"/>
          <w:szCs w:val="22"/>
          <w:lang w:eastAsia="es-MX"/>
        </w:rPr>
        <w:lastRenderedPageBreak/>
        <w:drawing>
          <wp:inline distT="0" distB="0" distL="0" distR="0" wp14:anchorId="44B6CCEE" wp14:editId="33E09510">
            <wp:extent cx="2800350" cy="17777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572" t="37418" r="10217" b="28485"/>
                    <a:stretch/>
                  </pic:blipFill>
                  <pic:spPr bwMode="auto">
                    <a:xfrm>
                      <a:off x="0" y="0"/>
                      <a:ext cx="2814754" cy="1786895"/>
                    </a:xfrm>
                    <a:prstGeom prst="rect">
                      <a:avLst/>
                    </a:prstGeom>
                    <a:ln>
                      <a:noFill/>
                    </a:ln>
                    <a:extLst>
                      <a:ext uri="{53640926-AAD7-44D8-BBD7-CCE9431645EC}">
                        <a14:shadowObscured xmlns:a14="http://schemas.microsoft.com/office/drawing/2010/main"/>
                      </a:ext>
                    </a:extLst>
                  </pic:spPr>
                </pic:pic>
              </a:graphicData>
            </a:graphic>
          </wp:inline>
        </w:drawing>
      </w:r>
    </w:p>
    <w:p w14:paraId="6A98A455"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7CE54BC2"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Dicho lo anterior, el monitoreo y revisión de las medidas de seguridad es el proceso de supervisar el funcionamiento del sistema de gestión y evaluar los objetivos, políticas, procesos y procedimientos establecidos en el mismo, con el fin de cumplir con la legislación en protección de datos personales. </w:t>
      </w:r>
    </w:p>
    <w:p w14:paraId="03984D7D"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04E15934"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 xml:space="preserve">De igual forma, para llevar a cabo dicha revisión de manera efectiva, es necesario monitorear continuamente los eventos que señala el artículo 63 de los Lineamientos Generales. </w:t>
      </w:r>
    </w:p>
    <w:p w14:paraId="5427DA7C"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17F5A289"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r w:rsidRPr="00D948D9">
        <w:rPr>
          <w:rFonts w:ascii="Palatino Linotype" w:hAnsi="Palatino Linotype" w:cs="Arial"/>
          <w:i/>
          <w:sz w:val="22"/>
          <w:szCs w:val="22"/>
          <w:lang w:eastAsia="en-US"/>
        </w:rPr>
        <w:t>De tal manera que, cuando el sujeto obligado sufra alguna vulneración a la seguridad, éste deberá actuar conforme a lo dispuesto en los artículos 37, 38, 39, 40 y 41 de la Ley General. Asimismo, para el caso de las notificaciones sobre vulneraciones, deberá observar los artículos 66, 67 y 68 de los Lineamientos Generales.</w:t>
      </w:r>
    </w:p>
    <w:p w14:paraId="4569334B"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cs="Arial"/>
          <w:i/>
          <w:sz w:val="22"/>
          <w:szCs w:val="22"/>
          <w:lang w:eastAsia="en-US"/>
        </w:rPr>
      </w:pPr>
    </w:p>
    <w:p w14:paraId="6FE18FB2" w14:textId="77777777" w:rsidR="00756202" w:rsidRPr="00D948D9" w:rsidRDefault="00756202" w:rsidP="00756202">
      <w:pPr>
        <w:pStyle w:val="Prrafodelista"/>
        <w:numPr>
          <w:ilvl w:val="0"/>
          <w:numId w:val="39"/>
        </w:numPr>
        <w:tabs>
          <w:tab w:val="left" w:pos="284"/>
          <w:tab w:val="left" w:pos="426"/>
        </w:tabs>
        <w:spacing w:before="240" w:after="240" w:line="360" w:lineRule="auto"/>
        <w:ind w:left="567" w:right="616" w:firstLine="0"/>
        <w:jc w:val="both"/>
        <w:rPr>
          <w:rFonts w:ascii="Palatino Linotype" w:hAnsi="Palatino Linotype" w:cs="Arial"/>
          <w:b/>
          <w:i/>
          <w:szCs w:val="22"/>
          <w:lang w:eastAsia="en-US"/>
        </w:rPr>
      </w:pPr>
      <w:r w:rsidRPr="00D948D9">
        <w:rPr>
          <w:rFonts w:ascii="Palatino Linotype" w:hAnsi="Palatino Linotype" w:cs="Arial"/>
          <w:b/>
          <w:i/>
          <w:szCs w:val="22"/>
          <w:lang w:eastAsia="en-US"/>
        </w:rPr>
        <w:t>El programa general de capacitación.</w:t>
      </w:r>
    </w:p>
    <w:p w14:paraId="3B529C7F"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D948D9">
        <w:rPr>
          <w:rFonts w:ascii="Palatino Linotype" w:hAnsi="Palatino Linotype"/>
          <w:i/>
          <w:sz w:val="22"/>
          <w:szCs w:val="22"/>
        </w:rPr>
        <w:lastRenderedPageBreak/>
        <w:t xml:space="preserve">Como parte de las actividades interrelacionadas también se encuentra la capacitación, el diseñar e implementar programas a corto, mediano y largo plazo, para los involucrados en el tratamiento de los datos personales, atendiendo a sus roles, funciones y responsabilidades asignados. </w:t>
      </w:r>
    </w:p>
    <w:p w14:paraId="6B4A7F4A"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i/>
          <w:sz w:val="22"/>
          <w:szCs w:val="22"/>
        </w:rPr>
      </w:pPr>
    </w:p>
    <w:p w14:paraId="24021AD8"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D948D9">
        <w:rPr>
          <w:rFonts w:ascii="Palatino Linotype" w:hAnsi="Palatino Linotype"/>
          <w:i/>
          <w:sz w:val="22"/>
          <w:szCs w:val="22"/>
        </w:rPr>
        <w:t xml:space="preserve">Por lo tanto, a fin de contar con personal consciente de sus responsabilidades y deberes respecto de la protección de datos personales, se deben establecer y mantener programas de capacitación considerando las siguientes etapas: </w:t>
      </w:r>
    </w:p>
    <w:p w14:paraId="7FCC85BD"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i/>
          <w:sz w:val="22"/>
          <w:szCs w:val="22"/>
        </w:rPr>
      </w:pPr>
    </w:p>
    <w:p w14:paraId="6433A97B"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D948D9">
        <w:rPr>
          <w:rFonts w:ascii="Palatino Linotype" w:hAnsi="Palatino Linotype"/>
          <w:i/>
          <w:sz w:val="22"/>
          <w:szCs w:val="22"/>
        </w:rPr>
        <w:t xml:space="preserve">1. Concienciación: programas a corto plazo para la difusión en general de la protección de datos personales en la organización. </w:t>
      </w:r>
    </w:p>
    <w:p w14:paraId="2CF9BD69"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D948D9">
        <w:rPr>
          <w:rFonts w:ascii="Palatino Linotype" w:hAnsi="Palatino Linotype"/>
          <w:i/>
          <w:sz w:val="22"/>
          <w:szCs w:val="22"/>
        </w:rPr>
        <w:t xml:space="preserve">2. Entrenamiento: programas a mediano plazo que tienen por objetivo capacitar al personal de manera específica respecto a sus funciones y responsabilidades en el tratamiento y seguridad de los datos personales. </w:t>
      </w:r>
    </w:p>
    <w:p w14:paraId="03E423F0" w14:textId="77777777" w:rsidR="00756202" w:rsidRPr="00D948D9" w:rsidRDefault="00756202" w:rsidP="00756202">
      <w:pPr>
        <w:tabs>
          <w:tab w:val="left" w:pos="284"/>
          <w:tab w:val="left" w:pos="426"/>
        </w:tabs>
        <w:spacing w:before="240" w:after="240" w:line="360" w:lineRule="auto"/>
        <w:ind w:left="567" w:right="616"/>
        <w:contextualSpacing/>
        <w:jc w:val="both"/>
        <w:rPr>
          <w:rFonts w:ascii="Palatino Linotype" w:hAnsi="Palatino Linotype"/>
          <w:i/>
          <w:sz w:val="22"/>
          <w:szCs w:val="22"/>
        </w:rPr>
      </w:pPr>
      <w:r w:rsidRPr="00D948D9">
        <w:rPr>
          <w:rFonts w:ascii="Palatino Linotype" w:hAnsi="Palatino Linotype"/>
          <w:i/>
          <w:sz w:val="22"/>
          <w:szCs w:val="22"/>
        </w:rPr>
        <w:t>3. Educación: programa general a largo plazo que tiene por objetivo incluir la seguridad en el tratamiento de los datos personales dentro de la cultura de la organización.</w:t>
      </w:r>
    </w:p>
    <w:p w14:paraId="624369E7" w14:textId="77777777" w:rsidR="00756202" w:rsidRPr="00D948D9" w:rsidRDefault="00756202" w:rsidP="00756202">
      <w:pPr>
        <w:tabs>
          <w:tab w:val="left" w:pos="284"/>
          <w:tab w:val="left" w:pos="426"/>
        </w:tabs>
        <w:spacing w:before="240" w:after="240" w:line="360" w:lineRule="auto"/>
        <w:ind w:right="49"/>
        <w:contextualSpacing/>
        <w:jc w:val="both"/>
        <w:rPr>
          <w:rFonts w:ascii="Palatino Linotype" w:hAnsi="Palatino Linotype"/>
          <w:i/>
        </w:rPr>
      </w:pPr>
    </w:p>
    <w:p w14:paraId="4F42BA34" w14:textId="77777777" w:rsidR="00756202" w:rsidRPr="00D948D9" w:rsidRDefault="00756202" w:rsidP="00756202">
      <w:pPr>
        <w:pStyle w:val="Prrafodelista"/>
        <w:numPr>
          <w:ilvl w:val="0"/>
          <w:numId w:val="2"/>
        </w:numPr>
        <w:tabs>
          <w:tab w:val="left" w:pos="284"/>
          <w:tab w:val="left" w:pos="426"/>
        </w:tabs>
        <w:spacing w:before="240" w:after="240" w:line="360" w:lineRule="auto"/>
        <w:ind w:left="0" w:right="49" w:firstLine="0"/>
        <w:jc w:val="both"/>
        <w:rPr>
          <w:rFonts w:ascii="Palatino Linotype" w:hAnsi="Palatino Linotype"/>
          <w:i/>
          <w:sz w:val="24"/>
        </w:rPr>
      </w:pPr>
      <w:r w:rsidRPr="00D948D9">
        <w:rPr>
          <w:rFonts w:ascii="Palatino Linotype" w:hAnsi="Palatino Linotype"/>
          <w:sz w:val="24"/>
        </w:rPr>
        <w:t xml:space="preserve">Así, por cuanto hace al Documento de Seguridad solicitado, es necesario establecer que se entiende “como el </w:t>
      </w:r>
      <w:r w:rsidRPr="00D948D9">
        <w:rPr>
          <w:rFonts w:ascii="Palatino Linotype" w:hAnsi="Palatino Linotype"/>
          <w:i/>
          <w:sz w:val="24"/>
        </w:rPr>
        <w:t xml:space="preserve">instrumento que describe y da cuenta de manera general sobre las medidas de seguridad técnicas, físicas y administrativas adoptadas por el </w:t>
      </w:r>
      <w:r w:rsidRPr="00D948D9">
        <w:rPr>
          <w:rFonts w:ascii="Palatino Linotype" w:hAnsi="Palatino Linotype"/>
          <w:i/>
          <w:sz w:val="24"/>
        </w:rPr>
        <w:lastRenderedPageBreak/>
        <w:t>responsable para garantizar la confidencialidad, integridad y disponibilidad de los datos personales”</w:t>
      </w:r>
      <w:r w:rsidRPr="00D948D9">
        <w:rPr>
          <w:rStyle w:val="Refdenotaalpie"/>
          <w:rFonts w:ascii="Palatino Linotype" w:hAnsi="Palatino Linotype"/>
          <w:i/>
          <w:sz w:val="24"/>
        </w:rPr>
        <w:footnoteReference w:id="11"/>
      </w:r>
    </w:p>
    <w:p w14:paraId="4DEE3D53" w14:textId="77777777" w:rsidR="00756202" w:rsidRPr="00D948D9" w:rsidRDefault="00756202" w:rsidP="00756202">
      <w:pPr>
        <w:pStyle w:val="Prrafodelista"/>
        <w:tabs>
          <w:tab w:val="left" w:pos="5280"/>
        </w:tabs>
        <w:spacing w:before="240" w:after="240" w:line="360" w:lineRule="auto"/>
        <w:ind w:left="0" w:right="49"/>
        <w:jc w:val="both"/>
        <w:rPr>
          <w:rFonts w:ascii="Palatino Linotype" w:hAnsi="Palatino Linotype"/>
          <w:i/>
        </w:rPr>
      </w:pPr>
      <w:r w:rsidRPr="00D948D9">
        <w:rPr>
          <w:rFonts w:ascii="Palatino Linotype" w:hAnsi="Palatino Linotype"/>
          <w:i/>
        </w:rPr>
        <w:tab/>
      </w:r>
    </w:p>
    <w:p w14:paraId="47B36A3A" w14:textId="05310AEB" w:rsidR="00756202" w:rsidRPr="00D948D9" w:rsidRDefault="00756202" w:rsidP="00756202">
      <w:pPr>
        <w:pStyle w:val="Prrafodelista"/>
        <w:numPr>
          <w:ilvl w:val="0"/>
          <w:numId w:val="2"/>
        </w:numPr>
        <w:tabs>
          <w:tab w:val="left" w:pos="284"/>
          <w:tab w:val="left" w:pos="426"/>
        </w:tabs>
        <w:spacing w:before="240" w:after="240" w:line="360" w:lineRule="auto"/>
        <w:ind w:left="0" w:right="49" w:firstLine="0"/>
        <w:jc w:val="both"/>
        <w:rPr>
          <w:rFonts w:ascii="Palatino Linotype" w:hAnsi="Palatino Linotype"/>
          <w:i/>
          <w:sz w:val="24"/>
        </w:rPr>
      </w:pPr>
      <w:r w:rsidRPr="00D948D9">
        <w:rPr>
          <w:rFonts w:ascii="Palatino Linotype" w:hAnsi="Palatino Linotype"/>
          <w:sz w:val="24"/>
        </w:rPr>
        <w:t xml:space="preserve">Es así </w:t>
      </w:r>
      <w:r w:rsidRPr="00D948D9">
        <w:rPr>
          <w:rFonts w:ascii="Palatino Linotype" w:hAnsi="Palatino Linotype" w:cs="Arial"/>
          <w:sz w:val="24"/>
        </w:rPr>
        <w:t>que</w:t>
      </w:r>
      <w:r w:rsidRPr="00D948D9">
        <w:rPr>
          <w:rFonts w:ascii="Palatino Linotype" w:hAnsi="Palatino Linotype"/>
          <w:sz w:val="24"/>
        </w:rPr>
        <w:t xml:space="preserve">, es importante precisar que las medidas de seguridad aplicables a los sistemas de datos personales por parte de los sujetos obligados, son información de carácter confidencial </w:t>
      </w:r>
      <w:r w:rsidRPr="00D948D9">
        <w:rPr>
          <w:rFonts w:ascii="Palatino Linotype" w:hAnsi="Palatino Linotype"/>
          <w:b/>
          <w:sz w:val="24"/>
        </w:rPr>
        <w:t>por mandato expreso</w:t>
      </w:r>
      <w:r w:rsidRPr="00D948D9">
        <w:rPr>
          <w:rFonts w:ascii="Palatino Linotype" w:hAnsi="Palatino Linotype"/>
          <w:sz w:val="24"/>
        </w:rPr>
        <w:t xml:space="preserve"> del artículo 43 de la Ley de Protección de Datos Personales en Posesión de Sujetos Obligados del Estado de México y Municipios, toda vez que la puesta a disposición de las mismas pueden causar una alteración, perdida, destrucción o el uso, transferencia, acceso o cualquier tratamiento no autorizado o ilícito a la información que se encuentra en tratamiento en las bases y sistemas de datos personales del Sujeto Obligado. </w:t>
      </w:r>
    </w:p>
    <w:p w14:paraId="48FEFB14" w14:textId="77777777" w:rsidR="00756202" w:rsidRPr="00D948D9" w:rsidRDefault="00756202" w:rsidP="00756202">
      <w:pPr>
        <w:pStyle w:val="Prrafodelista"/>
        <w:rPr>
          <w:rFonts w:ascii="Palatino Linotype" w:hAnsi="Palatino Linotype"/>
          <w:i/>
          <w:sz w:val="24"/>
        </w:rPr>
      </w:pPr>
    </w:p>
    <w:p w14:paraId="1BFE42D7" w14:textId="4A1FF031" w:rsidR="00756202" w:rsidRPr="00D948D9" w:rsidRDefault="00756202" w:rsidP="0064271B">
      <w:pPr>
        <w:pStyle w:val="Prrafodelista"/>
        <w:numPr>
          <w:ilvl w:val="0"/>
          <w:numId w:val="2"/>
        </w:numPr>
        <w:tabs>
          <w:tab w:val="left" w:pos="284"/>
          <w:tab w:val="left" w:pos="426"/>
        </w:tabs>
        <w:spacing w:before="240" w:after="240" w:line="360" w:lineRule="auto"/>
        <w:ind w:left="0" w:right="49" w:firstLine="0"/>
        <w:jc w:val="both"/>
        <w:rPr>
          <w:rFonts w:ascii="Palatino Linotype" w:hAnsi="Palatino Linotype"/>
          <w:sz w:val="24"/>
        </w:rPr>
      </w:pPr>
      <w:r w:rsidRPr="00D948D9">
        <w:rPr>
          <w:rFonts w:ascii="Palatino Linotype" w:hAnsi="Palatino Linotype"/>
          <w:sz w:val="24"/>
        </w:rPr>
        <w:t xml:space="preserve">En ese contexto,  es de señalar que si bien es cierto, el </w:t>
      </w:r>
      <w:r w:rsidRPr="00D948D9">
        <w:rPr>
          <w:rFonts w:ascii="Palatino Linotype" w:hAnsi="Palatino Linotype"/>
          <w:b/>
          <w:sz w:val="24"/>
        </w:rPr>
        <w:t xml:space="preserve">SUJETO OBLIGADO </w:t>
      </w:r>
      <w:r w:rsidRPr="00D948D9">
        <w:rPr>
          <w:rFonts w:ascii="Palatino Linotype" w:hAnsi="Palatino Linotype"/>
          <w:sz w:val="24"/>
        </w:rPr>
        <w:t xml:space="preserve">en la respuesta inicial señaló que era información confidencial, </w:t>
      </w:r>
      <w:r w:rsidRPr="00D948D9">
        <w:rPr>
          <w:rFonts w:ascii="Palatino Linotype" w:hAnsi="Palatino Linotype"/>
          <w:b/>
          <w:sz w:val="24"/>
        </w:rPr>
        <w:t>lo cierto es que este Órgano Garante determina que no es procedente la clasificación total del documento de seguridad, ya que el sustento legal que fundamenta el Sujeto Obligado, es aplicable únicamente para las medidas de seguridad, siendo estas sólo un componente del Documento de Seguridad.</w:t>
      </w:r>
    </w:p>
    <w:p w14:paraId="464E622A" w14:textId="77777777" w:rsidR="00756202" w:rsidRPr="00D948D9" w:rsidRDefault="00756202" w:rsidP="00756202">
      <w:pPr>
        <w:pStyle w:val="Prrafodelista"/>
        <w:rPr>
          <w:rFonts w:ascii="Palatino Linotype" w:hAnsi="Palatino Linotype"/>
          <w:sz w:val="24"/>
        </w:rPr>
      </w:pPr>
    </w:p>
    <w:p w14:paraId="4D883ADE" w14:textId="77777777" w:rsidR="00756202" w:rsidRPr="00D948D9" w:rsidRDefault="00756202" w:rsidP="00756202">
      <w:pPr>
        <w:numPr>
          <w:ilvl w:val="0"/>
          <w:numId w:val="2"/>
        </w:numPr>
        <w:autoSpaceDE w:val="0"/>
        <w:autoSpaceDN w:val="0"/>
        <w:adjustRightInd w:val="0"/>
        <w:spacing w:line="360" w:lineRule="auto"/>
        <w:ind w:left="0" w:firstLine="0"/>
        <w:jc w:val="both"/>
        <w:rPr>
          <w:rFonts w:ascii="Palatino Linotype" w:eastAsia="MS Mincho" w:hAnsi="Palatino Linotype" w:cs="PalatinoLinotype-Roman"/>
          <w:sz w:val="24"/>
          <w:szCs w:val="24"/>
        </w:rPr>
      </w:pPr>
      <w:r w:rsidRPr="00D948D9">
        <w:rPr>
          <w:rFonts w:ascii="Palatino Linotype" w:eastAsia="MS Mincho" w:hAnsi="Palatino Linotype" w:cs="PalatinoLinotype-Roman"/>
          <w:sz w:val="24"/>
          <w:szCs w:val="24"/>
        </w:rPr>
        <w:lastRenderedPageBreak/>
        <w:t>Atento a lo anterior la el Artículo 49 de la Ley de Protección de Datos Personales en Posesión de Sujetos Obligados del Estado de México y Municipios, que habla del contenido del documento de seguridad, estipula lo siguiente:</w:t>
      </w:r>
    </w:p>
    <w:p w14:paraId="7E474670" w14:textId="77777777" w:rsidR="00756202" w:rsidRPr="00D948D9" w:rsidRDefault="00756202" w:rsidP="00756202">
      <w:pPr>
        <w:autoSpaceDE w:val="0"/>
        <w:autoSpaceDN w:val="0"/>
        <w:adjustRightInd w:val="0"/>
        <w:spacing w:line="360" w:lineRule="auto"/>
        <w:rPr>
          <w:rFonts w:ascii="Palatino Linotype" w:eastAsia="MS Mincho" w:hAnsi="Palatino Linotype" w:cs="PalatinoLinotype-Bold"/>
          <w:b/>
          <w:bCs/>
        </w:rPr>
      </w:pPr>
    </w:p>
    <w:p w14:paraId="5F601A0E" w14:textId="6C8B4BFC" w:rsidR="00756202" w:rsidRPr="00D948D9" w:rsidRDefault="00756202" w:rsidP="00FF110F">
      <w:pPr>
        <w:autoSpaceDE w:val="0"/>
        <w:autoSpaceDN w:val="0"/>
        <w:adjustRightInd w:val="0"/>
        <w:spacing w:line="360" w:lineRule="auto"/>
        <w:ind w:left="567" w:right="822"/>
        <w:rPr>
          <w:rFonts w:ascii="Palatino Linotype" w:eastAsia="MS Mincho" w:hAnsi="Palatino Linotype" w:cs="PalatinoLinotype-Roman"/>
          <w:i/>
          <w:sz w:val="22"/>
        </w:rPr>
      </w:pPr>
      <w:r w:rsidRPr="00D948D9">
        <w:rPr>
          <w:rFonts w:ascii="Palatino Linotype" w:eastAsia="MS Mincho" w:hAnsi="Palatino Linotype" w:cs="PalatinoLinotype-Bold"/>
          <w:b/>
          <w:bCs/>
          <w:i/>
          <w:sz w:val="22"/>
        </w:rPr>
        <w:t xml:space="preserve">“Artículo 49. </w:t>
      </w:r>
      <w:r w:rsidRPr="00D948D9">
        <w:rPr>
          <w:rFonts w:ascii="Palatino Linotype" w:eastAsia="MS Mincho" w:hAnsi="Palatino Linotype" w:cs="PalatinoLinotype-Roman"/>
          <w:i/>
          <w:sz w:val="22"/>
        </w:rPr>
        <w:t xml:space="preserve">El </w:t>
      </w:r>
      <w:r w:rsidRPr="00D948D9">
        <w:rPr>
          <w:rFonts w:ascii="Palatino Linotype" w:eastAsia="MS Mincho" w:hAnsi="Palatino Linotype" w:cs="PalatinoLinotype-Bold"/>
          <w:b/>
          <w:bCs/>
          <w:i/>
          <w:sz w:val="22"/>
        </w:rPr>
        <w:t xml:space="preserve">documento de seguridad </w:t>
      </w:r>
      <w:r w:rsidRPr="00D948D9">
        <w:rPr>
          <w:rFonts w:ascii="Palatino Linotype" w:eastAsia="MS Mincho" w:hAnsi="Palatino Linotype" w:cs="PalatinoLinotype-Roman"/>
          <w:i/>
          <w:sz w:val="22"/>
        </w:rPr>
        <w:t>deberá contener como mínimo lo</w:t>
      </w:r>
      <w:r w:rsidR="00FF110F" w:rsidRPr="00D948D9">
        <w:rPr>
          <w:rFonts w:ascii="Palatino Linotype" w:eastAsia="MS Mincho" w:hAnsi="Palatino Linotype" w:cs="PalatinoLinotype-Roman"/>
          <w:i/>
          <w:sz w:val="22"/>
        </w:rPr>
        <w:t xml:space="preserve"> </w:t>
      </w:r>
      <w:r w:rsidRPr="00D948D9">
        <w:rPr>
          <w:rFonts w:ascii="Palatino Linotype" w:eastAsia="MS Mincho" w:hAnsi="Palatino Linotype" w:cs="PalatinoLinotype-Roman"/>
          <w:i/>
          <w:sz w:val="22"/>
        </w:rPr>
        <w:t>siguiente:</w:t>
      </w:r>
    </w:p>
    <w:p w14:paraId="04D48154" w14:textId="77777777" w:rsidR="00756202" w:rsidRPr="00D948D9" w:rsidRDefault="00756202" w:rsidP="00FF110F">
      <w:pPr>
        <w:autoSpaceDE w:val="0"/>
        <w:autoSpaceDN w:val="0"/>
        <w:adjustRightInd w:val="0"/>
        <w:spacing w:line="360" w:lineRule="auto"/>
        <w:ind w:left="567" w:right="822"/>
        <w:rPr>
          <w:rFonts w:ascii="Palatino Linotype" w:eastAsia="MS Mincho" w:hAnsi="Palatino Linotype" w:cs="PalatinoLinotype-Roman"/>
          <w:i/>
          <w:sz w:val="22"/>
        </w:rPr>
      </w:pPr>
      <w:r w:rsidRPr="00D948D9">
        <w:rPr>
          <w:rFonts w:ascii="Palatino Linotype" w:eastAsia="MS Mincho" w:hAnsi="Palatino Linotype" w:cs="PalatinoLinotype-Roman"/>
          <w:i/>
          <w:sz w:val="22"/>
        </w:rPr>
        <w:t>…</w:t>
      </w:r>
    </w:p>
    <w:p w14:paraId="1F2C8885" w14:textId="061921D0" w:rsidR="00756202" w:rsidRPr="00D948D9" w:rsidRDefault="00756202" w:rsidP="00FF110F">
      <w:pPr>
        <w:autoSpaceDE w:val="0"/>
        <w:autoSpaceDN w:val="0"/>
        <w:adjustRightInd w:val="0"/>
        <w:spacing w:line="360" w:lineRule="auto"/>
        <w:ind w:left="567" w:right="822"/>
        <w:rPr>
          <w:rFonts w:ascii="Palatino Linotype" w:eastAsia="MS Mincho" w:hAnsi="Palatino Linotype" w:cs="PalatinoLinotype-Roman"/>
          <w:b/>
          <w:i/>
          <w:sz w:val="22"/>
        </w:rPr>
      </w:pPr>
      <w:r w:rsidRPr="00D948D9">
        <w:rPr>
          <w:rFonts w:ascii="Palatino Linotype" w:eastAsia="MS Mincho" w:hAnsi="Palatino Linotype" w:cs="PalatinoLinotype-Bold"/>
          <w:b/>
          <w:bCs/>
          <w:i/>
          <w:sz w:val="22"/>
        </w:rPr>
        <w:t xml:space="preserve">II. </w:t>
      </w:r>
      <w:r w:rsidRPr="00D948D9">
        <w:rPr>
          <w:rFonts w:ascii="Palatino Linotype" w:eastAsia="MS Mincho" w:hAnsi="Palatino Linotype" w:cs="PalatinoLinotype-Roman"/>
          <w:b/>
          <w:i/>
          <w:sz w:val="22"/>
        </w:rPr>
        <w:t>Respecto de las medidas de seguridad implementadas deberá incluir lo</w:t>
      </w:r>
      <w:r w:rsidR="00FF110F" w:rsidRPr="00D948D9">
        <w:rPr>
          <w:rFonts w:ascii="Palatino Linotype" w:eastAsia="MS Mincho" w:hAnsi="Palatino Linotype" w:cs="PalatinoLinotype-Roman"/>
          <w:b/>
          <w:i/>
          <w:sz w:val="22"/>
        </w:rPr>
        <w:t xml:space="preserve"> </w:t>
      </w:r>
      <w:r w:rsidRPr="00D948D9">
        <w:rPr>
          <w:rFonts w:ascii="Palatino Linotype" w:eastAsia="MS Mincho" w:hAnsi="Palatino Linotype" w:cs="PalatinoLinotype-Roman"/>
          <w:b/>
          <w:i/>
          <w:sz w:val="22"/>
        </w:rPr>
        <w:t>siguiente:</w:t>
      </w:r>
    </w:p>
    <w:p w14:paraId="0A7E1915" w14:textId="77777777" w:rsidR="00756202" w:rsidRPr="00D948D9" w:rsidRDefault="00756202" w:rsidP="00FF110F">
      <w:pPr>
        <w:autoSpaceDE w:val="0"/>
        <w:autoSpaceDN w:val="0"/>
        <w:adjustRightInd w:val="0"/>
        <w:spacing w:line="360" w:lineRule="auto"/>
        <w:ind w:left="567" w:right="822"/>
        <w:rPr>
          <w:rFonts w:ascii="Palatino Linotype" w:eastAsia="MS Mincho" w:hAnsi="Palatino Linotype" w:cs="PalatinoLinotype-Roman"/>
          <w:i/>
          <w:sz w:val="22"/>
        </w:rPr>
      </w:pPr>
      <w:r w:rsidRPr="00D948D9">
        <w:rPr>
          <w:rFonts w:ascii="Palatino Linotype" w:eastAsia="MS Mincho" w:hAnsi="Palatino Linotype" w:cs="PalatinoLinotype-Roman"/>
          <w:i/>
          <w:sz w:val="22"/>
        </w:rPr>
        <w:t>…</w:t>
      </w:r>
    </w:p>
    <w:p w14:paraId="45967DF5" w14:textId="759A417F" w:rsidR="00756202" w:rsidRPr="00D948D9" w:rsidRDefault="00756202" w:rsidP="00FF110F">
      <w:pPr>
        <w:autoSpaceDE w:val="0"/>
        <w:autoSpaceDN w:val="0"/>
        <w:adjustRightInd w:val="0"/>
        <w:spacing w:line="360" w:lineRule="auto"/>
        <w:ind w:left="567" w:right="822"/>
        <w:rPr>
          <w:rFonts w:ascii="Palatino Linotype" w:eastAsia="MS Mincho" w:hAnsi="Palatino Linotype" w:cs="PalatinoLinotype-Bold"/>
          <w:b/>
          <w:bCs/>
          <w:i/>
          <w:sz w:val="22"/>
        </w:rPr>
      </w:pPr>
      <w:r w:rsidRPr="00D948D9">
        <w:rPr>
          <w:rFonts w:ascii="Palatino Linotype" w:eastAsia="MS Mincho" w:hAnsi="Palatino Linotype" w:cs="PalatinoLinotype-Bold"/>
          <w:b/>
          <w:bCs/>
          <w:i/>
          <w:sz w:val="22"/>
        </w:rPr>
        <w:t xml:space="preserve">c) Bitácoras para </w:t>
      </w:r>
      <w:r w:rsidRPr="00D948D9">
        <w:rPr>
          <w:rFonts w:ascii="Palatino Linotype" w:eastAsia="MS Mincho" w:hAnsi="Palatino Linotype" w:cs="PalatinoLinotype-Roman"/>
          <w:b/>
          <w:i/>
          <w:sz w:val="22"/>
        </w:rPr>
        <w:t>acceso</w:t>
      </w:r>
      <w:r w:rsidRPr="00D948D9">
        <w:rPr>
          <w:rFonts w:ascii="Palatino Linotype" w:eastAsia="MS Mincho" w:hAnsi="Palatino Linotype" w:cs="PalatinoLinotype-Roman"/>
          <w:i/>
          <w:sz w:val="22"/>
        </w:rPr>
        <w:t xml:space="preserve">, operación cotidiana y </w:t>
      </w:r>
      <w:r w:rsidRPr="00D948D9">
        <w:rPr>
          <w:rFonts w:ascii="Palatino Linotype" w:eastAsia="MS Mincho" w:hAnsi="Palatino Linotype" w:cs="PalatinoLinotype-Bold"/>
          <w:b/>
          <w:bCs/>
          <w:i/>
          <w:sz w:val="22"/>
        </w:rPr>
        <w:t>violaciones a la seguridad</w:t>
      </w:r>
      <w:r w:rsidR="00FF110F" w:rsidRPr="00D948D9">
        <w:rPr>
          <w:rFonts w:ascii="Palatino Linotype" w:eastAsia="MS Mincho" w:hAnsi="Palatino Linotype" w:cs="PalatinoLinotype-Bold"/>
          <w:b/>
          <w:bCs/>
          <w:i/>
          <w:sz w:val="22"/>
        </w:rPr>
        <w:t xml:space="preserve"> </w:t>
      </w:r>
      <w:r w:rsidRPr="00D948D9">
        <w:rPr>
          <w:rFonts w:ascii="Palatino Linotype" w:eastAsia="MS Mincho" w:hAnsi="Palatino Linotype" w:cs="PalatinoLinotype-Roman"/>
          <w:i/>
          <w:sz w:val="22"/>
        </w:rPr>
        <w:t>de los datos personales.</w:t>
      </w:r>
    </w:p>
    <w:p w14:paraId="396AEDEE" w14:textId="77777777" w:rsidR="00756202" w:rsidRPr="00D948D9" w:rsidRDefault="00756202" w:rsidP="00FF110F">
      <w:pPr>
        <w:autoSpaceDE w:val="0"/>
        <w:autoSpaceDN w:val="0"/>
        <w:adjustRightInd w:val="0"/>
        <w:spacing w:line="360" w:lineRule="auto"/>
        <w:ind w:left="567" w:right="822"/>
        <w:rPr>
          <w:rFonts w:ascii="Palatino Linotype" w:eastAsia="MS Mincho" w:hAnsi="Palatino Linotype" w:cs="PalatinoLinotype-Roman"/>
          <w:i/>
          <w:sz w:val="22"/>
        </w:rPr>
      </w:pPr>
      <w:r w:rsidRPr="00D948D9">
        <w:rPr>
          <w:rFonts w:ascii="Palatino Linotype" w:eastAsia="MS Mincho" w:hAnsi="Palatino Linotype" w:cs="PalatinoLinotype-Roman"/>
          <w:i/>
          <w:sz w:val="22"/>
        </w:rPr>
        <w:t>…”</w:t>
      </w:r>
    </w:p>
    <w:p w14:paraId="563699B4" w14:textId="77777777" w:rsidR="00756202" w:rsidRPr="00D948D9" w:rsidRDefault="00756202" w:rsidP="00FF110F">
      <w:pPr>
        <w:autoSpaceDE w:val="0"/>
        <w:autoSpaceDN w:val="0"/>
        <w:adjustRightInd w:val="0"/>
        <w:spacing w:line="360" w:lineRule="auto"/>
        <w:ind w:left="567" w:right="822"/>
        <w:rPr>
          <w:rFonts w:ascii="Palatino Linotype" w:eastAsia="MS Mincho" w:hAnsi="Palatino Linotype" w:cs="PalatinoLinotype-Italic"/>
          <w:b/>
          <w:iCs/>
          <w:sz w:val="22"/>
        </w:rPr>
      </w:pPr>
      <w:r w:rsidRPr="00D948D9">
        <w:rPr>
          <w:rFonts w:ascii="Palatino Linotype" w:eastAsia="MS Mincho" w:hAnsi="Palatino Linotype" w:cs="PalatinoLinotype-Italic"/>
          <w:b/>
          <w:iCs/>
          <w:sz w:val="22"/>
        </w:rPr>
        <w:t>Énfasis añadido</w:t>
      </w:r>
    </w:p>
    <w:p w14:paraId="07B36ADB" w14:textId="77777777" w:rsidR="00756202" w:rsidRPr="00D948D9" w:rsidRDefault="00756202" w:rsidP="00756202">
      <w:pPr>
        <w:autoSpaceDE w:val="0"/>
        <w:autoSpaceDN w:val="0"/>
        <w:adjustRightInd w:val="0"/>
        <w:spacing w:line="360" w:lineRule="auto"/>
        <w:rPr>
          <w:rFonts w:ascii="Palatino Linotype" w:eastAsia="MS Mincho" w:hAnsi="Palatino Linotype" w:cs="PalatinoLinotype-Roman"/>
        </w:rPr>
      </w:pPr>
    </w:p>
    <w:p w14:paraId="09170C95" w14:textId="77777777" w:rsidR="00756202" w:rsidRPr="00D948D9" w:rsidRDefault="00756202" w:rsidP="00756202">
      <w:pPr>
        <w:numPr>
          <w:ilvl w:val="0"/>
          <w:numId w:val="2"/>
        </w:numPr>
        <w:autoSpaceDE w:val="0"/>
        <w:autoSpaceDN w:val="0"/>
        <w:adjustRightInd w:val="0"/>
        <w:spacing w:line="360" w:lineRule="auto"/>
        <w:ind w:left="0" w:firstLine="0"/>
        <w:jc w:val="both"/>
        <w:rPr>
          <w:rFonts w:ascii="Palatino Linotype" w:eastAsia="MS Mincho" w:hAnsi="Palatino Linotype" w:cs="PalatinoLinotype-Roman"/>
          <w:sz w:val="24"/>
        </w:rPr>
      </w:pPr>
      <w:r w:rsidRPr="00D948D9">
        <w:rPr>
          <w:rFonts w:ascii="Palatino Linotype" w:eastAsia="MS Mincho" w:hAnsi="Palatino Linotype" w:cs="PalatinoLinotype-Roman"/>
          <w:sz w:val="24"/>
        </w:rPr>
        <w:t>En este sentido, la Ley estatal en la materia describe el contenido de la Bitácora de Violaciones a la Seguridad de los Datos Personales, en su artículo 53, que a continuación se menciona:</w:t>
      </w:r>
    </w:p>
    <w:p w14:paraId="544A6C5F" w14:textId="77777777" w:rsidR="00756202" w:rsidRPr="00D948D9" w:rsidRDefault="00756202" w:rsidP="00756202">
      <w:pPr>
        <w:autoSpaceDE w:val="0"/>
        <w:autoSpaceDN w:val="0"/>
        <w:adjustRightInd w:val="0"/>
        <w:spacing w:line="360" w:lineRule="auto"/>
        <w:rPr>
          <w:rFonts w:ascii="Palatino Linotype" w:eastAsia="MS Mincho" w:hAnsi="Palatino Linotype" w:cs="PalatinoLinotype-Roman"/>
        </w:rPr>
      </w:pPr>
    </w:p>
    <w:p w14:paraId="462C53D9" w14:textId="77777777" w:rsidR="00756202" w:rsidRPr="00D948D9" w:rsidRDefault="00756202" w:rsidP="00756202">
      <w:pPr>
        <w:autoSpaceDE w:val="0"/>
        <w:autoSpaceDN w:val="0"/>
        <w:adjustRightInd w:val="0"/>
        <w:spacing w:line="360" w:lineRule="auto"/>
        <w:ind w:left="426" w:right="333"/>
        <w:jc w:val="both"/>
        <w:rPr>
          <w:rFonts w:ascii="Palatino Linotype" w:eastAsia="MS Mincho" w:hAnsi="Palatino Linotype" w:cs="PalatinoLinotype-Roman"/>
          <w:i/>
          <w:sz w:val="22"/>
        </w:rPr>
      </w:pPr>
      <w:r w:rsidRPr="00D948D9">
        <w:rPr>
          <w:rFonts w:ascii="Palatino Linotype" w:eastAsia="MS Mincho" w:hAnsi="Palatino Linotype" w:cs="PalatinoLinotype-Bold"/>
          <w:b/>
          <w:bCs/>
          <w:i/>
          <w:sz w:val="22"/>
        </w:rPr>
        <w:t xml:space="preserve">Artículo 53. </w:t>
      </w:r>
      <w:r w:rsidRPr="00D948D9">
        <w:rPr>
          <w:rFonts w:ascii="Palatino Linotype" w:eastAsia="MS Mincho" w:hAnsi="Palatino Linotype" w:cs="PalatinoLinotype-Roman"/>
          <w:i/>
          <w:sz w:val="22"/>
        </w:rPr>
        <w:t xml:space="preserve">El responsable llevará una bitácora de las violaciones a la seguridad, de manera conjunta o separada con la bitácora de incidentes, en la que se describa la violación, la fecha en </w:t>
      </w:r>
      <w:r w:rsidRPr="00D948D9">
        <w:rPr>
          <w:rFonts w:ascii="Palatino Linotype" w:eastAsia="MS Mincho" w:hAnsi="Palatino Linotype" w:cs="PalatinoLinotype-Roman"/>
          <w:i/>
          <w:sz w:val="22"/>
        </w:rPr>
        <w:lastRenderedPageBreak/>
        <w:t>que ocurrió, el motivo de ésta y las acciones correctivas implementadas de forma inmediata y definitiva.”</w:t>
      </w:r>
    </w:p>
    <w:p w14:paraId="2D9995C8" w14:textId="77777777" w:rsidR="00756202" w:rsidRPr="00D948D9" w:rsidRDefault="00756202" w:rsidP="00756202">
      <w:pPr>
        <w:autoSpaceDE w:val="0"/>
        <w:autoSpaceDN w:val="0"/>
        <w:adjustRightInd w:val="0"/>
        <w:spacing w:line="360" w:lineRule="auto"/>
        <w:rPr>
          <w:rFonts w:ascii="Palatino Linotype" w:eastAsia="MS Mincho" w:hAnsi="Palatino Linotype" w:cs="PalatinoLinotype-Roman"/>
        </w:rPr>
      </w:pPr>
    </w:p>
    <w:p w14:paraId="7813ED59" w14:textId="77777777" w:rsidR="00756202" w:rsidRPr="00D948D9" w:rsidRDefault="00756202" w:rsidP="00756202">
      <w:pPr>
        <w:numPr>
          <w:ilvl w:val="0"/>
          <w:numId w:val="2"/>
        </w:numPr>
        <w:autoSpaceDE w:val="0"/>
        <w:autoSpaceDN w:val="0"/>
        <w:adjustRightInd w:val="0"/>
        <w:spacing w:line="360" w:lineRule="auto"/>
        <w:ind w:left="0" w:firstLine="0"/>
        <w:jc w:val="both"/>
        <w:rPr>
          <w:rFonts w:ascii="Palatino Linotype" w:eastAsia="MS Mincho" w:hAnsi="Palatino Linotype" w:cs="Arial"/>
          <w:sz w:val="24"/>
        </w:rPr>
      </w:pPr>
      <w:r w:rsidRPr="00D948D9">
        <w:rPr>
          <w:rFonts w:ascii="Palatino Linotype" w:eastAsia="MS Mincho" w:hAnsi="Palatino Linotype" w:cs="PalatinoLinotype-Roman"/>
          <w:sz w:val="24"/>
        </w:rPr>
        <w:t>A su vez, es de destacar que, en términos de lo dispuesto por los artículos 4, fracciones XVIII, XXX y XXXI de la Ley de Protección de Datos Personales en Posesión de Sujetos Obligados del Estado de México y Municipios, las medidas de seguridad técnicas, físicas y administrativas son las políticas y procedimientos que permiten proteger los datos personales que se encuentran bajo resguardo, dichas medidas se encuentran contenidas en el documento de seguridad.</w:t>
      </w:r>
    </w:p>
    <w:p w14:paraId="2F856B6A" w14:textId="77777777" w:rsidR="00756202" w:rsidRPr="00D948D9" w:rsidRDefault="00756202" w:rsidP="00756202">
      <w:pPr>
        <w:spacing w:line="360" w:lineRule="auto"/>
        <w:jc w:val="both"/>
        <w:rPr>
          <w:rFonts w:ascii="Palatino Linotype" w:hAnsi="Palatino Linotype"/>
          <w:color w:val="000000" w:themeColor="text1"/>
          <w:sz w:val="24"/>
        </w:rPr>
      </w:pPr>
    </w:p>
    <w:p w14:paraId="266D2890" w14:textId="7E86A9F5" w:rsidR="00756202" w:rsidRPr="00D948D9" w:rsidRDefault="00756202" w:rsidP="00756202">
      <w:pPr>
        <w:numPr>
          <w:ilvl w:val="0"/>
          <w:numId w:val="2"/>
        </w:numPr>
        <w:autoSpaceDE w:val="0"/>
        <w:autoSpaceDN w:val="0"/>
        <w:adjustRightInd w:val="0"/>
        <w:spacing w:line="360" w:lineRule="auto"/>
        <w:ind w:left="0" w:firstLine="0"/>
        <w:jc w:val="both"/>
        <w:rPr>
          <w:rFonts w:ascii="Palatino Linotype" w:eastAsia="MS Mincho" w:hAnsi="Palatino Linotype" w:cs="PalatinoLinotype-Roman"/>
          <w:sz w:val="24"/>
        </w:rPr>
      </w:pPr>
      <w:r w:rsidRPr="00D948D9">
        <w:rPr>
          <w:rFonts w:ascii="Palatino Linotype" w:eastAsia="MS Mincho" w:hAnsi="Palatino Linotype" w:cs="PalatinoLinotype-Roman"/>
          <w:sz w:val="24"/>
        </w:rPr>
        <w:t>Derivado de esta normatividad, queda especificado que las bitácoras para acceso, operación cotidiana y violaciones a la seguridad de los datos personales es un documento que, a su vez, forma parte del Documento de Seguridad, motivo por el cual se invoca nuevamente lo estipulado en el Artículo 43, segundo párrafo, que fue anteriormente citado y que deja por sentado que dicha información cuenta con carácter de confidencial, en consecuencia, no es viable que se clasifique en su totalidad el documento de seguridad, toda vez que se ha determinado que este puede ser proporcionado a través de una versión pública, para lo cual, el Sujeto Obligado estará a lo dispuesto en el C</w:t>
      </w:r>
      <w:r w:rsidR="00FF110F" w:rsidRPr="00D948D9">
        <w:rPr>
          <w:rFonts w:ascii="Palatino Linotype" w:eastAsia="MS Mincho" w:hAnsi="Palatino Linotype" w:cs="PalatinoLinotype-Roman"/>
          <w:sz w:val="24"/>
        </w:rPr>
        <w:t>onsiderando Quinto de la presente resolución.</w:t>
      </w:r>
    </w:p>
    <w:p w14:paraId="44B9D449" w14:textId="77777777" w:rsidR="00756202" w:rsidRPr="00D948D9" w:rsidRDefault="00756202" w:rsidP="00756202">
      <w:pPr>
        <w:pStyle w:val="Prrafodelista"/>
        <w:tabs>
          <w:tab w:val="left" w:pos="567"/>
        </w:tabs>
        <w:spacing w:line="360" w:lineRule="auto"/>
        <w:ind w:left="0"/>
        <w:jc w:val="both"/>
        <w:rPr>
          <w:rFonts w:ascii="Palatino Linotype" w:eastAsia="Calibri" w:hAnsi="Palatino Linotype" w:cs="Arial"/>
          <w:sz w:val="24"/>
        </w:rPr>
      </w:pPr>
    </w:p>
    <w:p w14:paraId="1F166447" w14:textId="78131762" w:rsidR="005C4E3D" w:rsidRPr="00D948D9" w:rsidRDefault="00FF110F" w:rsidP="005C4E3D">
      <w:pPr>
        <w:pStyle w:val="Prrafodelista"/>
        <w:numPr>
          <w:ilvl w:val="0"/>
          <w:numId w:val="2"/>
        </w:numPr>
        <w:spacing w:before="120" w:after="120" w:line="360" w:lineRule="auto"/>
        <w:ind w:left="0" w:firstLine="0"/>
        <w:jc w:val="both"/>
        <w:rPr>
          <w:rFonts w:ascii="Palatino Linotype" w:hAnsi="Palatino Linotype"/>
          <w:sz w:val="24"/>
        </w:rPr>
      </w:pPr>
      <w:r w:rsidRPr="00D948D9">
        <w:rPr>
          <w:rFonts w:ascii="Palatino Linotype" w:hAnsi="Palatino Linotype"/>
          <w:sz w:val="24"/>
        </w:rPr>
        <w:lastRenderedPageBreak/>
        <w:t xml:space="preserve">Entonces, </w:t>
      </w:r>
      <w:r w:rsidR="00957702" w:rsidRPr="00D948D9">
        <w:rPr>
          <w:rFonts w:ascii="Palatino Linotype" w:hAnsi="Palatino Linotype"/>
          <w:sz w:val="24"/>
        </w:rPr>
        <w:t xml:space="preserve">la manifestación del Sujeto Obligado, a través de su respuesta, se aprecia que restringió el derecho del particular a acceder a la información que obra en sus archivos, incumpliendo </w:t>
      </w:r>
      <w:r w:rsidR="005C4E3D" w:rsidRPr="00D948D9">
        <w:rPr>
          <w:rFonts w:ascii="Palatino Linotype" w:hAnsi="Palatino Linotype"/>
          <w:sz w:val="24"/>
        </w:rPr>
        <w:t xml:space="preserve">con lo dispuesto en el artículo 11 de la Ley de Transparencia Local </w:t>
      </w:r>
    </w:p>
    <w:p w14:paraId="2BAC45ED" w14:textId="77777777" w:rsidR="00945B7E" w:rsidRPr="00D948D9" w:rsidRDefault="00945B7E" w:rsidP="00732408">
      <w:pPr>
        <w:rPr>
          <w:rFonts w:ascii="Palatino Linotype" w:eastAsia="Calibri" w:hAnsi="Palatino Linotype" w:cs="Arial"/>
          <w:sz w:val="24"/>
        </w:rPr>
      </w:pPr>
    </w:p>
    <w:p w14:paraId="19B4E1E0" w14:textId="77777777" w:rsidR="00732408" w:rsidRPr="00D948D9" w:rsidRDefault="00732408" w:rsidP="00732408">
      <w:pPr>
        <w:ind w:left="567" w:right="822"/>
        <w:jc w:val="both"/>
        <w:rPr>
          <w:rFonts w:ascii="Palatino Linotype" w:hAnsi="Palatino Linotype"/>
          <w:b/>
          <w:i/>
          <w:sz w:val="22"/>
        </w:rPr>
      </w:pPr>
      <w:r w:rsidRPr="00D948D9">
        <w:rPr>
          <w:rFonts w:ascii="Palatino Linotype" w:hAnsi="Palatino Linotype"/>
          <w:i/>
          <w:sz w:val="22"/>
        </w:rPr>
        <w:t xml:space="preserve">Artículo 11. En la generación, publicación y entrega de información se deberá garantizar que ésta sea accesible, actualizada, completa, </w:t>
      </w:r>
      <w:r w:rsidRPr="00D948D9">
        <w:rPr>
          <w:rFonts w:ascii="Palatino Linotype" w:hAnsi="Palatino Linotype"/>
          <w:b/>
          <w:i/>
          <w:sz w:val="22"/>
        </w:rPr>
        <w:t>congruente</w:t>
      </w:r>
      <w:r w:rsidRPr="00D948D9">
        <w:rPr>
          <w:rFonts w:ascii="Palatino Linotype" w:hAnsi="Palatino Linotype"/>
          <w:i/>
          <w:sz w:val="22"/>
        </w:rPr>
        <w:t xml:space="preserve">, confiable, verificable, veraz, integral, oportuna y expedita, </w:t>
      </w:r>
      <w:r w:rsidRPr="00D948D9">
        <w:rPr>
          <w:rFonts w:ascii="Palatino Linotype" w:hAnsi="Palatino Linotype"/>
          <w:b/>
          <w:i/>
          <w:sz w:val="22"/>
        </w:rPr>
        <w:t xml:space="preserve">sujeta a un claro régimen de excepciones que deberá estar definido y ser además legítima y estrictamente necesaria en una sociedad democrática, por lo que atenderá las necesidades del derecho de acceso a la información de toda persona. </w:t>
      </w:r>
    </w:p>
    <w:p w14:paraId="75016E27" w14:textId="77777777" w:rsidR="00732408" w:rsidRPr="00D948D9" w:rsidRDefault="00732408" w:rsidP="00732408">
      <w:pPr>
        <w:ind w:left="567" w:right="822"/>
        <w:jc w:val="both"/>
        <w:rPr>
          <w:rFonts w:ascii="Palatino Linotype" w:hAnsi="Palatino Linotype"/>
          <w:i/>
          <w:sz w:val="22"/>
        </w:rPr>
      </w:pPr>
    </w:p>
    <w:p w14:paraId="4B1D0A89" w14:textId="4B4A1B2D" w:rsidR="00732408" w:rsidRPr="00D948D9" w:rsidRDefault="00732408" w:rsidP="00732408">
      <w:pPr>
        <w:ind w:left="567" w:right="822"/>
        <w:jc w:val="both"/>
        <w:rPr>
          <w:rFonts w:ascii="Palatino Linotype" w:eastAsia="Calibri" w:hAnsi="Palatino Linotype" w:cs="Arial"/>
          <w:i/>
          <w:sz w:val="28"/>
        </w:rPr>
      </w:pPr>
      <w:r w:rsidRPr="00D948D9">
        <w:rPr>
          <w:rFonts w:ascii="Palatino Linotype" w:hAnsi="Palatino Linotype"/>
          <w:i/>
          <w:sz w:val="22"/>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p>
    <w:p w14:paraId="342A1631" w14:textId="77777777" w:rsidR="00732408" w:rsidRPr="00D948D9" w:rsidRDefault="00732408" w:rsidP="00732408">
      <w:pPr>
        <w:rPr>
          <w:rFonts w:ascii="Palatino Linotype" w:eastAsia="Calibri" w:hAnsi="Palatino Linotype" w:cs="Arial"/>
          <w:sz w:val="24"/>
        </w:rPr>
      </w:pPr>
    </w:p>
    <w:p w14:paraId="1BBCA3BB" w14:textId="056EC987" w:rsidR="00C13112" w:rsidRPr="00D948D9" w:rsidRDefault="00957702" w:rsidP="008A06D7">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D948D9">
        <w:rPr>
          <w:rFonts w:ascii="Palatino Linotype" w:eastAsia="Calibri" w:hAnsi="Palatino Linotype" w:cs="Arial"/>
          <w:sz w:val="24"/>
        </w:rPr>
        <w:t>Asimismo, dicho ordenamiento legal, en el artículo 91 refiere que el acceso a la información pública será restringido excepcionalmente, cuando ésta sea clasificada</w:t>
      </w:r>
      <w:r w:rsidR="00FF110F" w:rsidRPr="00D948D9">
        <w:rPr>
          <w:rFonts w:ascii="Palatino Linotype" w:eastAsia="Calibri" w:hAnsi="Palatino Linotype" w:cs="Arial"/>
          <w:sz w:val="24"/>
        </w:rPr>
        <w:t xml:space="preserve"> como reservada o confidencial, en el presente asunto en particular, la restricción que realizó el Sujeto Obligado a la información requerida no se ajusta a un claro régimen de excepciones, toda vez que se ha demostrado que el documento de seguridad puede ser proporcionado a través de una versión pública, clasificando únicamente las medidas de seguridad como información confidencial.</w:t>
      </w:r>
    </w:p>
    <w:p w14:paraId="79577BBB" w14:textId="77777777" w:rsidR="00167567" w:rsidRPr="00D948D9" w:rsidRDefault="00167567" w:rsidP="00167567">
      <w:pPr>
        <w:pStyle w:val="Prrafodelista"/>
        <w:spacing w:line="360" w:lineRule="auto"/>
        <w:ind w:left="0" w:right="-93"/>
        <w:jc w:val="both"/>
        <w:rPr>
          <w:rFonts w:ascii="Palatino Linotype" w:eastAsia="Calibri" w:hAnsi="Palatino Linotype" w:cs="Tahoma"/>
          <w:bCs/>
          <w:sz w:val="24"/>
          <w:lang w:eastAsia="en-US"/>
        </w:rPr>
      </w:pPr>
    </w:p>
    <w:p w14:paraId="22F26A18" w14:textId="77777777" w:rsidR="00CB2836" w:rsidRPr="00D948D9" w:rsidRDefault="00CB2836" w:rsidP="00CB2836">
      <w:pPr>
        <w:pStyle w:val="Ttulo1"/>
        <w:rPr>
          <w:rFonts w:ascii="Palatino Linotype" w:hAnsi="Palatino Linotype"/>
          <w:b/>
          <w:color w:val="auto"/>
          <w:sz w:val="24"/>
          <w:lang w:val="es-ES_tradnl"/>
        </w:rPr>
      </w:pPr>
      <w:bookmarkStart w:id="18" w:name="_Toc87549682"/>
      <w:r w:rsidRPr="00D948D9">
        <w:rPr>
          <w:rFonts w:ascii="Palatino Linotype" w:hAnsi="Palatino Linotype"/>
          <w:b/>
          <w:color w:val="auto"/>
          <w:sz w:val="24"/>
          <w:lang w:val="es-ES_tradnl"/>
        </w:rPr>
        <w:lastRenderedPageBreak/>
        <w:t>QUINTO. De la versión pública.</w:t>
      </w:r>
      <w:bookmarkEnd w:id="18"/>
    </w:p>
    <w:p w14:paraId="48DCD071" w14:textId="77777777" w:rsidR="00CB2836" w:rsidRPr="00D948D9" w:rsidRDefault="00CB2836" w:rsidP="00CB2836">
      <w:pPr>
        <w:rPr>
          <w:rFonts w:ascii="Palatino Linotype" w:hAnsi="Palatino Linotype"/>
          <w:lang w:val="es-ES_tradnl"/>
        </w:rPr>
      </w:pPr>
    </w:p>
    <w:p w14:paraId="5A3561F4" w14:textId="77777777" w:rsidR="00CB2836" w:rsidRPr="00D948D9" w:rsidRDefault="00CB2836" w:rsidP="00CB2836">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9" w:name="_Toc48135362"/>
      <w:bookmarkStart w:id="20" w:name="_Toc72309902"/>
      <w:bookmarkStart w:id="21" w:name="_Toc73643041"/>
      <w:bookmarkStart w:id="22" w:name="_Toc73911519"/>
      <w:bookmarkStart w:id="23" w:name="_Toc87549683"/>
      <w:r w:rsidRPr="00D948D9">
        <w:rPr>
          <w:rFonts w:ascii="Palatino Linotype" w:hAnsi="Palatino Linotype" w:cs="Times New Roman"/>
          <w:b/>
          <w:color w:val="000000" w:themeColor="text1"/>
          <w:sz w:val="24"/>
          <w:szCs w:val="24"/>
          <w:lang w:eastAsia="es-ES_tradnl"/>
        </w:rPr>
        <w:t>Nociones generales.</w:t>
      </w:r>
      <w:bookmarkEnd w:id="19"/>
      <w:bookmarkEnd w:id="20"/>
      <w:bookmarkEnd w:id="21"/>
      <w:bookmarkEnd w:id="22"/>
      <w:bookmarkEnd w:id="23"/>
      <w:r w:rsidRPr="00D948D9">
        <w:rPr>
          <w:rFonts w:ascii="Palatino Linotype" w:hAnsi="Palatino Linotype" w:cs="Times New Roman"/>
          <w:b/>
          <w:color w:val="000000" w:themeColor="text1"/>
          <w:sz w:val="24"/>
          <w:szCs w:val="24"/>
          <w:lang w:eastAsia="es-ES_tradnl"/>
        </w:rPr>
        <w:t xml:space="preserve"> </w:t>
      </w:r>
    </w:p>
    <w:p w14:paraId="4CFBC4DA" w14:textId="77777777" w:rsidR="00CB2836" w:rsidRPr="00D948D9" w:rsidRDefault="00CB2836" w:rsidP="00CB2836">
      <w:pPr>
        <w:rPr>
          <w:rFonts w:ascii="Palatino Linotype" w:hAnsi="Palatino Linotype"/>
          <w:lang w:eastAsia="es-ES_tradnl"/>
        </w:rPr>
      </w:pPr>
    </w:p>
    <w:p w14:paraId="71BBB8A8" w14:textId="77777777" w:rsidR="00CB2836" w:rsidRPr="00D948D9" w:rsidRDefault="00CB2836" w:rsidP="00CB2836">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D948D9">
        <w:rPr>
          <w:rFonts w:ascii="Palatino Linotype" w:hAnsi="Palatino Linotype" w:cs="Arial"/>
          <w:color w:val="000000"/>
          <w:sz w:val="24"/>
        </w:rPr>
        <w:t>Debe destacarse que, debido a la naturaleza de la información solicitada</w:t>
      </w:r>
      <w:r w:rsidRPr="00D948D9">
        <w:rPr>
          <w:rFonts w:ascii="Palatino Linotype" w:hAnsi="Palatino Linotype" w:cs="Arial"/>
          <w:b/>
          <w:color w:val="000000"/>
          <w:sz w:val="24"/>
        </w:rPr>
        <w:t xml:space="preserve">, </w:t>
      </w:r>
      <w:r w:rsidRPr="00D948D9">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D948D9">
        <w:rPr>
          <w:rFonts w:ascii="Palatino Linotype" w:hAnsi="Palatino Linotype" w:cs="Arial"/>
          <w:b/>
          <w:bCs/>
          <w:color w:val="000000"/>
          <w:sz w:val="24"/>
        </w:rPr>
        <w:t xml:space="preserve">Sujeto Obligado </w:t>
      </w:r>
      <w:r w:rsidRPr="00D948D9">
        <w:rPr>
          <w:rFonts w:ascii="Palatino Linotype" w:hAnsi="Palatino Linotype" w:cs="Arial"/>
          <w:color w:val="000000"/>
          <w:sz w:val="24"/>
        </w:rPr>
        <w:t xml:space="preserve">deberá de hacer la adecuada versión pública, protegiendo los datos que no son susceptibles de ser proporcionados. </w:t>
      </w:r>
    </w:p>
    <w:p w14:paraId="49A80096" w14:textId="77777777" w:rsidR="00CB2836" w:rsidRPr="00D948D9" w:rsidRDefault="00CB2836" w:rsidP="00CB2836">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4D2B6890" w14:textId="77777777" w:rsidR="00CB2836" w:rsidRPr="00D948D9" w:rsidRDefault="00CB2836" w:rsidP="00CB2836">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D948D9">
        <w:rPr>
          <w:rFonts w:ascii="Palatino Linotype" w:hAnsi="Palatino Linotype" w:cs="Arial"/>
          <w:color w:val="000000"/>
          <w:sz w:val="24"/>
          <w:szCs w:val="24"/>
        </w:rPr>
        <w:t xml:space="preserve">No pasa desapercibido para este Órgano Garante que los </w:t>
      </w:r>
      <w:r w:rsidRPr="00D948D9">
        <w:rPr>
          <w:rFonts w:ascii="Palatino Linotype" w:hAnsi="Palatino Linotype" w:cs="Arial"/>
          <w:b/>
          <w:bCs/>
          <w:color w:val="000000"/>
          <w:sz w:val="24"/>
          <w:szCs w:val="24"/>
        </w:rPr>
        <w:t xml:space="preserve">Sujetos Obligados </w:t>
      </w:r>
      <w:r w:rsidRPr="00D948D9">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15572FA3" w14:textId="77777777" w:rsidR="00CB2836" w:rsidRPr="00D948D9" w:rsidRDefault="00CB2836" w:rsidP="00CB2836">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CB2836" w:rsidRPr="00D948D9" w14:paraId="7F8CB49D" w14:textId="77777777" w:rsidTr="003E4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CCB3317" w14:textId="77777777" w:rsidR="00CB2836" w:rsidRPr="00D948D9" w:rsidRDefault="00CB2836" w:rsidP="003E4CA3">
            <w:pPr>
              <w:tabs>
                <w:tab w:val="left" w:pos="284"/>
              </w:tabs>
              <w:spacing w:line="360" w:lineRule="auto"/>
              <w:rPr>
                <w:rFonts w:ascii="Palatino Linotype" w:hAnsi="Palatino Linotype"/>
                <w:bCs w:val="0"/>
                <w:sz w:val="20"/>
              </w:rPr>
            </w:pPr>
            <w:r w:rsidRPr="00D948D9">
              <w:rPr>
                <w:rFonts w:ascii="Palatino Linotype" w:hAnsi="Palatino Linotype" w:cstheme="majorBidi"/>
                <w:sz w:val="20"/>
              </w:rPr>
              <w:t>a) Requisitos previos.</w:t>
            </w:r>
          </w:p>
        </w:tc>
        <w:tc>
          <w:tcPr>
            <w:tcW w:w="6667" w:type="dxa"/>
            <w:hideMark/>
          </w:tcPr>
          <w:p w14:paraId="2A73E002" w14:textId="77777777" w:rsidR="00CB2836" w:rsidRPr="00D948D9" w:rsidRDefault="00CB2836" w:rsidP="003E4CA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948D9">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A6580B9" w14:textId="77777777" w:rsidR="00CB2836" w:rsidRPr="00D948D9" w:rsidRDefault="00CB2836" w:rsidP="003E4CA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948D9">
              <w:rPr>
                <w:rFonts w:ascii="Palatino Linotype" w:hAnsi="Palatino Linotype" w:cs="Arial"/>
                <w:color w:val="000000"/>
                <w:sz w:val="20"/>
              </w:rPr>
              <w:lastRenderedPageBreak/>
              <w:t>Al hacerlo tienen que precisar de qué información se trata, señalando el supuesto de clasificación (confidencialidad o reserva).</w:t>
            </w:r>
          </w:p>
          <w:p w14:paraId="6308046F" w14:textId="77777777" w:rsidR="00CB2836" w:rsidRPr="00D948D9" w:rsidRDefault="00CB2836" w:rsidP="003E4CA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D948D9">
              <w:rPr>
                <w:rFonts w:ascii="Palatino Linotype" w:hAnsi="Palatino Linotype" w:cs="Arial"/>
                <w:color w:val="000000"/>
                <w:sz w:val="20"/>
              </w:rPr>
              <w:t>Además, se debe señalar el procedimiento, de los tres que establecen los artículos 132 y 106 de la Ley Estatal y General, respectivamente.</w:t>
            </w:r>
          </w:p>
          <w:p w14:paraId="459EFE40" w14:textId="77777777" w:rsidR="00CB2836" w:rsidRPr="00D948D9" w:rsidRDefault="00CB2836" w:rsidP="003E4CA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D948D9">
              <w:rPr>
                <w:rFonts w:ascii="Palatino Linotype" w:hAnsi="Palatino Linotype" w:cs="Arial"/>
                <w:color w:val="000000"/>
                <w:sz w:val="20"/>
              </w:rPr>
              <w:t xml:space="preserve">El último de estos requisitos previos consiste en que no se pueden emitir acuerdos de carácter general ni particular, esto es, </w:t>
            </w:r>
            <w:r w:rsidRPr="00D948D9">
              <w:rPr>
                <w:rFonts w:ascii="Palatino Linotype" w:hAnsi="Palatino Linotype" w:cs="Arial"/>
                <w:color w:val="000000"/>
                <w:sz w:val="20"/>
                <w:u w:val="single"/>
              </w:rPr>
              <w:t>no se puede hacer un acuerdo para clasificar de manera general todos los documentos de un expediente o área, sin</w:t>
            </w:r>
            <w:r w:rsidRPr="00D948D9">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CB2836" w:rsidRPr="00D948D9" w14:paraId="3FD60997" w14:textId="77777777" w:rsidTr="003E4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3F9E34B" w14:textId="77777777" w:rsidR="00CB2836" w:rsidRPr="00D948D9" w:rsidRDefault="00CB2836" w:rsidP="003E4CA3">
            <w:pPr>
              <w:tabs>
                <w:tab w:val="left" w:pos="284"/>
              </w:tabs>
              <w:spacing w:line="360" w:lineRule="auto"/>
              <w:rPr>
                <w:rFonts w:ascii="Palatino Linotype" w:hAnsi="Palatino Linotype"/>
                <w:bCs w:val="0"/>
                <w:sz w:val="20"/>
              </w:rPr>
            </w:pPr>
            <w:r w:rsidRPr="00D948D9">
              <w:rPr>
                <w:rFonts w:ascii="Palatino Linotype" w:hAnsi="Palatino Linotype" w:cstheme="majorBidi"/>
                <w:sz w:val="20"/>
              </w:rPr>
              <w:lastRenderedPageBreak/>
              <w:t>b) Supuestos de clasificación.</w:t>
            </w:r>
          </w:p>
        </w:tc>
        <w:tc>
          <w:tcPr>
            <w:tcW w:w="6667" w:type="dxa"/>
            <w:hideMark/>
          </w:tcPr>
          <w:p w14:paraId="3491A29E" w14:textId="77777777" w:rsidR="00CB2836" w:rsidRPr="00D948D9" w:rsidRDefault="00CB2836" w:rsidP="003E4CA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5218503A" w14:textId="77777777" w:rsidR="00CB2836" w:rsidRPr="00D948D9" w:rsidRDefault="00CB2836" w:rsidP="003E4CA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09CAB031" w14:textId="77777777" w:rsidR="00CB2836" w:rsidRPr="00D948D9" w:rsidRDefault="00CB2836" w:rsidP="003E4CA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D948D9">
              <w:rPr>
                <w:rFonts w:ascii="Palatino Linotype" w:hAnsi="Palatino Linotype" w:cs="Arial"/>
                <w:color w:val="000000"/>
                <w:sz w:val="20"/>
              </w:rPr>
              <w:t xml:space="preserve">El </w:t>
            </w:r>
            <w:r w:rsidRPr="00D948D9">
              <w:rPr>
                <w:rFonts w:ascii="Palatino Linotype" w:hAnsi="Palatino Linotype" w:cs="Arial"/>
                <w:b/>
                <w:color w:val="000000"/>
                <w:sz w:val="20"/>
              </w:rPr>
              <w:t>Sujeto Obligado</w:t>
            </w:r>
            <w:r w:rsidRPr="00D948D9">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w:t>
            </w:r>
            <w:r w:rsidRPr="00D948D9">
              <w:rPr>
                <w:rFonts w:ascii="Palatino Linotype" w:hAnsi="Palatino Linotype" w:cs="Arial"/>
                <w:color w:val="000000"/>
                <w:sz w:val="20"/>
              </w:rPr>
              <w:lastRenderedPageBreak/>
              <w:t>debe de realizar el servidor público habilitado y el titular del área que administra la información.</w:t>
            </w:r>
          </w:p>
        </w:tc>
      </w:tr>
      <w:tr w:rsidR="00CB2836" w:rsidRPr="00D948D9" w14:paraId="708BA4DD" w14:textId="77777777" w:rsidTr="003E4CA3">
        <w:tc>
          <w:tcPr>
            <w:cnfStyle w:val="001000000000" w:firstRow="0" w:lastRow="0" w:firstColumn="1" w:lastColumn="0" w:oddVBand="0" w:evenVBand="0" w:oddHBand="0" w:evenHBand="0" w:firstRowFirstColumn="0" w:firstRowLastColumn="0" w:lastRowFirstColumn="0" w:lastRowLastColumn="0"/>
            <w:tcW w:w="1838" w:type="dxa"/>
            <w:hideMark/>
          </w:tcPr>
          <w:p w14:paraId="113AABC4" w14:textId="77777777" w:rsidR="00CB2836" w:rsidRPr="00D948D9" w:rsidRDefault="00CB2836" w:rsidP="003E4CA3">
            <w:pPr>
              <w:tabs>
                <w:tab w:val="left" w:pos="284"/>
              </w:tabs>
              <w:spacing w:line="360" w:lineRule="auto"/>
              <w:rPr>
                <w:rFonts w:ascii="Palatino Linotype" w:hAnsi="Palatino Linotype"/>
                <w:bCs w:val="0"/>
                <w:sz w:val="20"/>
              </w:rPr>
            </w:pPr>
            <w:r w:rsidRPr="00D948D9">
              <w:rPr>
                <w:rFonts w:ascii="Palatino Linotype" w:hAnsi="Palatino Linotype" w:cstheme="majorBidi"/>
                <w:sz w:val="20"/>
              </w:rPr>
              <w:lastRenderedPageBreak/>
              <w:t>c) Formalidades para emitir el acuerdo de clasificación.</w:t>
            </w:r>
          </w:p>
        </w:tc>
        <w:tc>
          <w:tcPr>
            <w:tcW w:w="6667" w:type="dxa"/>
            <w:hideMark/>
          </w:tcPr>
          <w:p w14:paraId="12DC43BD" w14:textId="77777777" w:rsidR="00CB2836" w:rsidRPr="00D948D9" w:rsidRDefault="00CB2836" w:rsidP="003E4CA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271F72B8" w14:textId="77777777" w:rsidR="00CB2836" w:rsidRPr="00D948D9" w:rsidRDefault="00CB2836" w:rsidP="003E4CA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 xml:space="preserve">Es necesario que </w:t>
            </w:r>
            <w:r w:rsidRPr="00D948D9">
              <w:rPr>
                <w:rFonts w:ascii="Palatino Linotype" w:hAnsi="Palatino Linotype" w:cs="Arial"/>
                <w:b/>
                <w:color w:val="000000"/>
                <w:sz w:val="20"/>
                <w:u w:val="single"/>
              </w:rPr>
              <w:t>el acto reúna con los requisitos elementales</w:t>
            </w:r>
            <w:r w:rsidRPr="00D948D9">
              <w:rPr>
                <w:rFonts w:ascii="Palatino Linotype" w:hAnsi="Palatino Linotype" w:cs="Arial"/>
                <w:color w:val="000000"/>
                <w:sz w:val="20"/>
              </w:rPr>
              <w:t>, entre ellos, que la autoridad que va a emitir el acto de autoridad sea la legalmente facultada para ello.</w:t>
            </w:r>
          </w:p>
          <w:p w14:paraId="7C80B423" w14:textId="77777777" w:rsidR="00CB2836" w:rsidRPr="00D948D9" w:rsidRDefault="00CB2836" w:rsidP="003E4CA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948D9">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B2836" w:rsidRPr="00D948D9" w14:paraId="5F994609" w14:textId="77777777" w:rsidTr="003E4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409FC2" w14:textId="77777777" w:rsidR="00CB2836" w:rsidRPr="00D948D9" w:rsidRDefault="00CB2836" w:rsidP="003E4CA3">
            <w:pPr>
              <w:tabs>
                <w:tab w:val="left" w:pos="284"/>
              </w:tabs>
              <w:spacing w:line="360" w:lineRule="auto"/>
              <w:rPr>
                <w:rFonts w:ascii="Palatino Linotype" w:hAnsi="Palatino Linotype"/>
                <w:b w:val="0"/>
                <w:sz w:val="20"/>
              </w:rPr>
            </w:pPr>
          </w:p>
          <w:p w14:paraId="223D977E" w14:textId="77777777" w:rsidR="00CB2836" w:rsidRPr="00D948D9" w:rsidRDefault="00CB2836" w:rsidP="003E4CA3">
            <w:pPr>
              <w:tabs>
                <w:tab w:val="left" w:pos="284"/>
              </w:tabs>
              <w:spacing w:line="360" w:lineRule="auto"/>
              <w:jc w:val="both"/>
              <w:rPr>
                <w:rFonts w:ascii="Palatino Linotype" w:hAnsi="Palatino Linotype"/>
                <w:bCs w:val="0"/>
                <w:sz w:val="20"/>
              </w:rPr>
            </w:pPr>
            <w:r w:rsidRPr="00D948D9">
              <w:rPr>
                <w:rFonts w:ascii="Palatino Linotype" w:hAnsi="Palatino Linotype" w:cs="Arial"/>
                <w:color w:val="000000"/>
                <w:sz w:val="20"/>
              </w:rPr>
              <w:t xml:space="preserve">d) Requisitos de fondo del acuerdo de clasificación. </w:t>
            </w:r>
          </w:p>
        </w:tc>
        <w:tc>
          <w:tcPr>
            <w:tcW w:w="6667" w:type="dxa"/>
            <w:hideMark/>
          </w:tcPr>
          <w:p w14:paraId="2FE97139" w14:textId="77777777" w:rsidR="00CB2836" w:rsidRPr="00D948D9" w:rsidRDefault="00CB2836" w:rsidP="003E4CA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948D9">
              <w:rPr>
                <w:rFonts w:ascii="Palatino Linotype" w:hAnsi="Palatino Linotype" w:cs="Arial"/>
                <w:b/>
                <w:color w:val="000000"/>
                <w:sz w:val="20"/>
              </w:rPr>
              <w:t>Sujetos Obligados</w:t>
            </w:r>
            <w:r w:rsidRPr="00D948D9">
              <w:rPr>
                <w:rFonts w:ascii="Palatino Linotype" w:hAnsi="Palatino Linotype" w:cs="Arial"/>
                <w:color w:val="000000"/>
                <w:sz w:val="20"/>
              </w:rPr>
              <w:t xml:space="preserve">, por lo que deberán fundar y motivar debidamente la clasificación. </w:t>
            </w:r>
          </w:p>
          <w:p w14:paraId="29A9773E" w14:textId="77777777" w:rsidR="00CB2836" w:rsidRPr="00D948D9" w:rsidRDefault="00CB2836" w:rsidP="003E4CA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lastRenderedPageBreak/>
              <w:t xml:space="preserve">De lo anterior, se desprende que para una correcta </w:t>
            </w:r>
            <w:r w:rsidRPr="00D948D9">
              <w:rPr>
                <w:rFonts w:ascii="Palatino Linotype" w:hAnsi="Palatino Linotype" w:cs="Arial"/>
                <w:b/>
                <w:color w:val="000000"/>
                <w:sz w:val="20"/>
              </w:rPr>
              <w:t>clasificación total o parcial</w:t>
            </w:r>
            <w:r w:rsidRPr="00D948D9">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5504FB3" w14:textId="77777777" w:rsidR="00CB2836" w:rsidRPr="00D948D9" w:rsidRDefault="00CB2836" w:rsidP="003E4CA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50E7F7C" w14:textId="77777777" w:rsidR="00CB2836" w:rsidRPr="00D948D9" w:rsidRDefault="00CB2836" w:rsidP="003E4CA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283DA2BF" w14:textId="77777777" w:rsidR="00CB2836" w:rsidRPr="00D948D9" w:rsidRDefault="00CB2836" w:rsidP="003E4CA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 xml:space="preserve">Ahora bien, </w:t>
            </w:r>
            <w:r w:rsidRPr="00D948D9">
              <w:rPr>
                <w:rFonts w:ascii="Palatino Linotype" w:hAnsi="Palatino Linotype" w:cs="Arial"/>
                <w:b/>
                <w:color w:val="000000"/>
                <w:sz w:val="20"/>
                <w:u w:val="single"/>
              </w:rPr>
              <w:t>para cada caso además de fundar y motivar</w:t>
            </w:r>
            <w:r w:rsidRPr="00D948D9">
              <w:rPr>
                <w:rFonts w:ascii="Palatino Linotype" w:hAnsi="Palatino Linotype" w:cs="Arial"/>
                <w:color w:val="000000"/>
                <w:sz w:val="20"/>
              </w:rPr>
              <w:t xml:space="preserve">, se debe identificar con claridad que datos contenidos en las documentales que son susceptibles de suprimirse, por ejemplo; </w:t>
            </w:r>
            <w:r w:rsidRPr="00D948D9">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B2836" w:rsidRPr="00D948D9" w14:paraId="7C8AA5AA" w14:textId="77777777" w:rsidTr="003E4CA3">
        <w:tc>
          <w:tcPr>
            <w:cnfStyle w:val="001000000000" w:firstRow="0" w:lastRow="0" w:firstColumn="1" w:lastColumn="0" w:oddVBand="0" w:evenVBand="0" w:oddHBand="0" w:evenHBand="0" w:firstRowFirstColumn="0" w:firstRowLastColumn="0" w:lastRowFirstColumn="0" w:lastRowLastColumn="0"/>
            <w:tcW w:w="1838" w:type="dxa"/>
          </w:tcPr>
          <w:p w14:paraId="1620C082" w14:textId="77777777" w:rsidR="00CB2836" w:rsidRPr="00D948D9" w:rsidRDefault="00CB2836" w:rsidP="003E4CA3">
            <w:pPr>
              <w:tabs>
                <w:tab w:val="left" w:pos="284"/>
              </w:tabs>
              <w:spacing w:line="360" w:lineRule="auto"/>
              <w:ind w:right="49"/>
              <w:jc w:val="both"/>
              <w:rPr>
                <w:rFonts w:ascii="Palatino Linotype" w:hAnsi="Palatino Linotype" w:cs="Arial"/>
                <w:bCs w:val="0"/>
                <w:sz w:val="20"/>
              </w:rPr>
            </w:pPr>
            <w:r w:rsidRPr="00D948D9">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0185EAA9" w14:textId="77777777" w:rsidR="00CB2836" w:rsidRPr="00D948D9" w:rsidRDefault="00CB2836" w:rsidP="003E4CA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 xml:space="preserve">Los artículos 148 y 120 de la Ley Estatal y de la Ley General, respectivamente, establecen que aun tratándose de datos personales, se podrán proporcionar, incluso sin solicitar el consentimiento de su titular. </w:t>
            </w:r>
          </w:p>
          <w:p w14:paraId="0988080D" w14:textId="77777777" w:rsidR="00CB2836" w:rsidRPr="00D948D9" w:rsidRDefault="00CB2836" w:rsidP="003E4CA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D948D9">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2A9861C" w14:textId="77777777" w:rsidR="00CB2836" w:rsidRPr="00D948D9" w:rsidRDefault="00CB2836" w:rsidP="003E4CA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D948D9">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E0269D5" w14:textId="77777777" w:rsidR="00CB2836" w:rsidRPr="00D948D9" w:rsidRDefault="00CB2836" w:rsidP="00CB2836">
      <w:pPr>
        <w:pStyle w:val="Prrafodelista"/>
        <w:tabs>
          <w:tab w:val="left" w:pos="284"/>
        </w:tabs>
        <w:ind w:left="0"/>
        <w:rPr>
          <w:rFonts w:ascii="Palatino Linotype" w:hAnsi="Palatino Linotype" w:cs="Arial"/>
          <w:color w:val="000000"/>
        </w:rPr>
      </w:pPr>
    </w:p>
    <w:p w14:paraId="6DA312FA" w14:textId="77777777" w:rsidR="00CB2836" w:rsidRPr="00D948D9" w:rsidRDefault="00CB2836" w:rsidP="00CB2836">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948D9">
        <w:rPr>
          <w:rFonts w:ascii="Palatino Linotype" w:hAnsi="Palatino Linotype" w:cs="Arial"/>
          <w:sz w:val="24"/>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334682BD" w14:textId="77777777" w:rsidR="003B0450" w:rsidRPr="00D948D9" w:rsidRDefault="003B0450" w:rsidP="003B0450">
      <w:pPr>
        <w:tabs>
          <w:tab w:val="left" w:pos="284"/>
        </w:tabs>
        <w:spacing w:line="360" w:lineRule="auto"/>
        <w:jc w:val="both"/>
        <w:rPr>
          <w:rFonts w:ascii="Palatino Linotype" w:hAnsi="Palatino Linotype" w:cs="Arial"/>
          <w:color w:val="000000"/>
          <w:sz w:val="24"/>
        </w:rPr>
      </w:pPr>
    </w:p>
    <w:bookmarkEnd w:id="9"/>
    <w:p w14:paraId="18814E0F" w14:textId="77777777" w:rsidR="005000AA" w:rsidRPr="00D948D9"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948D9">
        <w:rPr>
          <w:rFonts w:ascii="Palatino Linotype" w:hAnsi="Palatino Linotype" w:cs="Arial"/>
          <w:color w:val="222222"/>
          <w:sz w:val="24"/>
          <w:lang w:eastAsia="es-MX"/>
        </w:rPr>
        <w:t xml:space="preserve">Por lo anteriormente expuesto y fundado, este </w:t>
      </w:r>
      <w:r w:rsidRPr="00D948D9">
        <w:rPr>
          <w:rFonts w:ascii="Palatino Linotype" w:hAnsi="Palatino Linotype" w:cs="Arial"/>
          <w:b/>
          <w:bCs/>
          <w:color w:val="222222"/>
          <w:sz w:val="24"/>
          <w:lang w:eastAsia="es-MX"/>
        </w:rPr>
        <w:t>ÓRGANO GARANTE</w:t>
      </w:r>
      <w:r w:rsidRPr="00D948D9">
        <w:rPr>
          <w:rFonts w:ascii="Palatino Linotype" w:hAnsi="Palatino Linotype" w:cs="Arial"/>
          <w:color w:val="222222"/>
          <w:sz w:val="24"/>
          <w:lang w:eastAsia="es-MX"/>
        </w:rPr>
        <w:t xml:space="preserve"> emite los siguientes:</w:t>
      </w:r>
    </w:p>
    <w:p w14:paraId="15F72B0A" w14:textId="77777777" w:rsidR="005000AA" w:rsidRPr="00D948D9" w:rsidRDefault="005000AA" w:rsidP="00DB2180">
      <w:pPr>
        <w:pStyle w:val="Ttulo1"/>
        <w:jc w:val="center"/>
        <w:rPr>
          <w:rFonts w:ascii="Palatino Linotype" w:hAnsi="Palatino Linotype"/>
          <w:b/>
          <w:color w:val="auto"/>
          <w:sz w:val="24"/>
          <w:szCs w:val="24"/>
        </w:rPr>
      </w:pPr>
      <w:bookmarkStart w:id="24" w:name="_Toc4061692"/>
      <w:bookmarkStart w:id="25" w:name="_Toc486525261"/>
      <w:bookmarkStart w:id="26" w:name="_Toc445745148"/>
      <w:bookmarkStart w:id="27" w:name="_Toc447699324"/>
      <w:bookmarkStart w:id="28" w:name="_Toc87549684"/>
      <w:r w:rsidRPr="00D948D9">
        <w:rPr>
          <w:rFonts w:ascii="Palatino Linotype" w:hAnsi="Palatino Linotype"/>
          <w:b/>
          <w:color w:val="auto"/>
          <w:sz w:val="24"/>
          <w:szCs w:val="24"/>
        </w:rPr>
        <w:lastRenderedPageBreak/>
        <w:t>R E S O L U T I V O S</w:t>
      </w:r>
      <w:bookmarkEnd w:id="24"/>
      <w:bookmarkEnd w:id="25"/>
      <w:bookmarkEnd w:id="26"/>
      <w:bookmarkEnd w:id="27"/>
      <w:bookmarkEnd w:id="28"/>
    </w:p>
    <w:p w14:paraId="463AEB82" w14:textId="77777777" w:rsidR="005000AA" w:rsidRPr="00D948D9" w:rsidRDefault="005000AA" w:rsidP="005000AA">
      <w:pPr>
        <w:keepNext/>
        <w:keepLines/>
        <w:spacing w:line="360" w:lineRule="auto"/>
        <w:jc w:val="center"/>
        <w:outlineLvl w:val="0"/>
        <w:rPr>
          <w:rFonts w:ascii="Palatino Linotype" w:hAnsi="Palatino Linotype" w:cstheme="majorBidi"/>
          <w:b/>
          <w:bCs/>
          <w:sz w:val="24"/>
          <w:szCs w:val="24"/>
        </w:rPr>
      </w:pPr>
    </w:p>
    <w:p w14:paraId="00B13E62" w14:textId="4CF20317" w:rsidR="00CB2836" w:rsidRPr="00D948D9" w:rsidRDefault="00CB2836" w:rsidP="00946F7F">
      <w:pPr>
        <w:spacing w:line="360" w:lineRule="auto"/>
        <w:jc w:val="both"/>
        <w:rPr>
          <w:rFonts w:ascii="Palatino Linotype" w:hAnsi="Palatino Linotype"/>
          <w:sz w:val="24"/>
          <w:szCs w:val="24"/>
        </w:rPr>
      </w:pPr>
      <w:r w:rsidRPr="00D948D9">
        <w:rPr>
          <w:rFonts w:ascii="Palatino Linotype" w:hAnsi="Palatino Linotype" w:cs="Arial"/>
          <w:b/>
          <w:sz w:val="24"/>
          <w:szCs w:val="24"/>
        </w:rPr>
        <w:t xml:space="preserve">PRIMERO. </w:t>
      </w:r>
      <w:r w:rsidRPr="00D948D9">
        <w:rPr>
          <w:rFonts w:ascii="Palatino Linotype" w:hAnsi="Palatino Linotype" w:cs="Arial"/>
          <w:sz w:val="24"/>
          <w:szCs w:val="24"/>
        </w:rPr>
        <w:t xml:space="preserve">Resultan </w:t>
      </w:r>
      <w:r w:rsidR="003C0353" w:rsidRPr="00D948D9">
        <w:rPr>
          <w:rFonts w:ascii="Palatino Linotype" w:hAnsi="Palatino Linotype" w:cs="Arial"/>
          <w:sz w:val="24"/>
          <w:szCs w:val="24"/>
        </w:rPr>
        <w:t>parcialmente fund</w:t>
      </w:r>
      <w:r w:rsidRPr="00D948D9">
        <w:rPr>
          <w:rFonts w:ascii="Palatino Linotype" w:hAnsi="Palatino Linotype" w:cs="Arial"/>
          <w:sz w:val="24"/>
          <w:szCs w:val="24"/>
        </w:rPr>
        <w:t>adas las</w:t>
      </w:r>
      <w:r w:rsidRPr="00D948D9">
        <w:rPr>
          <w:rFonts w:ascii="Palatino Linotype" w:hAnsi="Palatino Linotype" w:cs="Arial"/>
          <w:b/>
          <w:sz w:val="24"/>
          <w:szCs w:val="24"/>
        </w:rPr>
        <w:t xml:space="preserve"> </w:t>
      </w:r>
      <w:r w:rsidRPr="00D948D9">
        <w:rPr>
          <w:rFonts w:ascii="Palatino Linotype" w:hAnsi="Palatino Linotype" w:cs="Arial"/>
          <w:sz w:val="24"/>
          <w:szCs w:val="24"/>
          <w:lang w:val="es-ES"/>
        </w:rPr>
        <w:t xml:space="preserve">razones o motivos de inconformidad hechos valer </w:t>
      </w:r>
      <w:r w:rsidRPr="00D948D9">
        <w:rPr>
          <w:rFonts w:ascii="Palatino Linotype" w:eastAsia="Calibri" w:hAnsi="Palatino Linotype" w:cs="Arial"/>
          <w:sz w:val="24"/>
          <w:szCs w:val="24"/>
          <w:lang w:val="es-ES"/>
        </w:rPr>
        <w:t xml:space="preserve">en </w:t>
      </w:r>
      <w:r w:rsidR="00B13121" w:rsidRPr="00D948D9">
        <w:rPr>
          <w:rFonts w:ascii="Palatino Linotype" w:eastAsia="Calibri" w:hAnsi="Palatino Linotype" w:cs="Arial"/>
          <w:sz w:val="24"/>
          <w:szCs w:val="24"/>
          <w:lang w:val="es-ES"/>
        </w:rPr>
        <w:t>el recurso</w:t>
      </w:r>
      <w:r w:rsidRPr="00D948D9">
        <w:rPr>
          <w:rFonts w:ascii="Palatino Linotype" w:eastAsia="Calibri" w:hAnsi="Palatino Linotype" w:cs="Arial"/>
          <w:sz w:val="24"/>
          <w:szCs w:val="24"/>
          <w:lang w:val="es-ES"/>
        </w:rPr>
        <w:t xml:space="preserve"> de revisión </w:t>
      </w:r>
      <w:r w:rsidR="005F7A17" w:rsidRPr="00D948D9">
        <w:rPr>
          <w:rFonts w:ascii="Palatino Linotype" w:eastAsia="Calibri" w:hAnsi="Palatino Linotype" w:cs="Tahoma"/>
          <w:b/>
          <w:sz w:val="24"/>
          <w:lang w:eastAsia="en-US"/>
        </w:rPr>
        <w:t>13313/INFOEM/IP/RR/2022</w:t>
      </w:r>
      <w:r w:rsidRPr="00D948D9">
        <w:rPr>
          <w:rFonts w:ascii="Palatino Linotype" w:hAnsi="Palatino Linotype"/>
          <w:b/>
          <w:sz w:val="24"/>
          <w:szCs w:val="24"/>
        </w:rPr>
        <w:t xml:space="preserve"> </w:t>
      </w:r>
      <w:r w:rsidRPr="00D948D9">
        <w:rPr>
          <w:rFonts w:ascii="Palatino Linotype" w:hAnsi="Palatino Linotype"/>
          <w:sz w:val="24"/>
          <w:szCs w:val="24"/>
        </w:rPr>
        <w:t>en términos de los</w:t>
      </w:r>
      <w:r w:rsidRPr="00D948D9">
        <w:rPr>
          <w:rFonts w:ascii="Palatino Linotype" w:hAnsi="Palatino Linotype"/>
          <w:b/>
          <w:bCs/>
          <w:sz w:val="24"/>
          <w:szCs w:val="24"/>
        </w:rPr>
        <w:t xml:space="preserve"> Considerandos</w:t>
      </w:r>
      <w:r w:rsidRPr="00D948D9">
        <w:rPr>
          <w:rFonts w:ascii="Palatino Linotype" w:hAnsi="Palatino Linotype"/>
          <w:sz w:val="24"/>
          <w:szCs w:val="24"/>
        </w:rPr>
        <w:t xml:space="preserve"> </w:t>
      </w:r>
      <w:r w:rsidRPr="00D948D9">
        <w:rPr>
          <w:rFonts w:ascii="Palatino Linotype" w:hAnsi="Palatino Linotype"/>
          <w:b/>
          <w:sz w:val="24"/>
          <w:szCs w:val="24"/>
        </w:rPr>
        <w:t>CUARTO y QUINTO</w:t>
      </w:r>
      <w:r w:rsidRPr="00D948D9">
        <w:rPr>
          <w:rFonts w:ascii="Palatino Linotype" w:hAnsi="Palatino Linotype"/>
          <w:sz w:val="24"/>
          <w:szCs w:val="24"/>
        </w:rPr>
        <w:t xml:space="preserve"> de la presente resolución.</w:t>
      </w:r>
    </w:p>
    <w:p w14:paraId="2AB2F298" w14:textId="77777777" w:rsidR="00CB2836" w:rsidRPr="00D948D9" w:rsidRDefault="00CB2836" w:rsidP="00946F7F">
      <w:pPr>
        <w:spacing w:line="360" w:lineRule="auto"/>
        <w:contextualSpacing/>
        <w:jc w:val="both"/>
        <w:rPr>
          <w:rFonts w:ascii="Palatino Linotype" w:eastAsia="Calibri" w:hAnsi="Palatino Linotype" w:cs="Arial"/>
          <w:b/>
          <w:bCs/>
          <w:sz w:val="24"/>
          <w:szCs w:val="24"/>
          <w:lang w:val="es-ES"/>
        </w:rPr>
      </w:pPr>
    </w:p>
    <w:p w14:paraId="2E118584" w14:textId="2FC62CB2" w:rsidR="00CB2836" w:rsidRPr="00D948D9" w:rsidRDefault="00CB2836" w:rsidP="00946F7F">
      <w:pPr>
        <w:pStyle w:val="Sinespaciado"/>
        <w:spacing w:line="360" w:lineRule="auto"/>
        <w:ind w:left="0" w:right="0"/>
        <w:rPr>
          <w:rFonts w:ascii="Palatino Linotype" w:eastAsia="Calibri" w:hAnsi="Palatino Linotype" w:cs="Arial"/>
          <w:bCs/>
          <w:sz w:val="24"/>
          <w:lang w:val="es-ES"/>
        </w:rPr>
      </w:pPr>
      <w:r w:rsidRPr="00D948D9">
        <w:rPr>
          <w:rFonts w:ascii="Palatino Linotype" w:eastAsia="Calibri" w:hAnsi="Palatino Linotype" w:cs="Arial"/>
          <w:b/>
          <w:bCs/>
          <w:sz w:val="24"/>
          <w:lang w:val="es-ES"/>
        </w:rPr>
        <w:t xml:space="preserve">SEGUNDO. </w:t>
      </w:r>
      <w:r w:rsidR="00C13112" w:rsidRPr="00D948D9">
        <w:rPr>
          <w:rFonts w:ascii="Palatino Linotype" w:eastAsia="Calibri" w:hAnsi="Palatino Linotype" w:cs="Arial"/>
          <w:bCs/>
          <w:sz w:val="24"/>
          <w:lang w:val="es-ES"/>
        </w:rPr>
        <w:t xml:space="preserve">Se </w:t>
      </w:r>
      <w:r w:rsidR="003C0353" w:rsidRPr="00D948D9">
        <w:rPr>
          <w:rFonts w:ascii="Palatino Linotype" w:eastAsia="Calibri" w:hAnsi="Palatino Linotype" w:cs="Arial"/>
          <w:b/>
          <w:bCs/>
          <w:sz w:val="24"/>
          <w:lang w:val="es-ES"/>
        </w:rPr>
        <w:t>MODIFICA</w:t>
      </w:r>
      <w:r w:rsidR="00C13112" w:rsidRPr="00D948D9">
        <w:rPr>
          <w:rFonts w:ascii="Palatino Linotype" w:eastAsia="Calibri" w:hAnsi="Palatino Linotype" w:cs="Arial"/>
          <w:bCs/>
          <w:sz w:val="24"/>
          <w:lang w:val="es-ES"/>
        </w:rPr>
        <w:t xml:space="preserve"> la respuesta y se </w:t>
      </w:r>
      <w:r w:rsidRPr="00D948D9">
        <w:rPr>
          <w:rFonts w:ascii="Palatino Linotype" w:eastAsia="Calibri" w:hAnsi="Palatino Linotype" w:cs="Arial"/>
          <w:b/>
          <w:bCs/>
          <w:sz w:val="24"/>
          <w:lang w:val="es-ES"/>
        </w:rPr>
        <w:t xml:space="preserve">ORDENA </w:t>
      </w:r>
      <w:r w:rsidRPr="00D948D9">
        <w:rPr>
          <w:rFonts w:ascii="Palatino Linotype" w:eastAsia="Calibri" w:hAnsi="Palatino Linotype" w:cs="Arial"/>
          <w:bCs/>
          <w:sz w:val="24"/>
          <w:lang w:val="es-ES"/>
        </w:rPr>
        <w:t xml:space="preserve">al </w:t>
      </w:r>
      <w:r w:rsidR="005F7A17" w:rsidRPr="00D948D9">
        <w:rPr>
          <w:rFonts w:ascii="Palatino Linotype" w:eastAsia="Calibri" w:hAnsi="Palatino Linotype" w:cs="Arial"/>
          <w:b/>
          <w:bCs/>
          <w:sz w:val="24"/>
          <w:lang w:val="es-ES"/>
        </w:rPr>
        <w:t>Sistema Municipal Para el Desarrollo Integral de la Familia de Toluca</w:t>
      </w:r>
      <w:r w:rsidRPr="00D948D9">
        <w:rPr>
          <w:rFonts w:ascii="Palatino Linotype" w:eastAsia="Calibri" w:hAnsi="Palatino Linotype" w:cs="Arial"/>
          <w:b/>
          <w:bCs/>
          <w:sz w:val="24"/>
          <w:lang w:val="es-ES"/>
        </w:rPr>
        <w:t xml:space="preserve"> </w:t>
      </w:r>
      <w:r w:rsidRPr="00D948D9">
        <w:rPr>
          <w:rFonts w:ascii="Palatino Linotype" w:eastAsia="Calibri" w:hAnsi="Palatino Linotype" w:cs="Arial"/>
          <w:bCs/>
          <w:sz w:val="24"/>
          <w:lang w:val="es-ES"/>
        </w:rPr>
        <w:t xml:space="preserve">entregar vía </w:t>
      </w:r>
      <w:r w:rsidRPr="00D948D9">
        <w:rPr>
          <w:rFonts w:ascii="Palatino Linotype" w:eastAsia="Calibri" w:hAnsi="Palatino Linotype" w:cs="Arial"/>
          <w:b/>
          <w:bCs/>
          <w:sz w:val="24"/>
          <w:lang w:val="es-ES"/>
        </w:rPr>
        <w:t xml:space="preserve">Sistema de Acceso a la Información Mexiquense (SAIMEX, </w:t>
      </w:r>
      <w:r w:rsidRPr="00D948D9">
        <w:rPr>
          <w:rFonts w:ascii="Palatino Linotype" w:eastAsia="Calibri" w:hAnsi="Palatino Linotype" w:cs="Arial"/>
          <w:bCs/>
          <w:sz w:val="24"/>
          <w:lang w:val="es-ES"/>
        </w:rPr>
        <w:t>en</w:t>
      </w:r>
      <w:r w:rsidRPr="00D948D9">
        <w:rPr>
          <w:rFonts w:ascii="Palatino Linotype" w:eastAsia="Calibri" w:hAnsi="Palatino Linotype" w:cs="Arial"/>
          <w:sz w:val="24"/>
          <w:lang w:val="es-ES"/>
        </w:rPr>
        <w:t xml:space="preserve"> versión pública, la</w:t>
      </w:r>
      <w:r w:rsidRPr="00D948D9">
        <w:rPr>
          <w:rFonts w:ascii="Palatino Linotype" w:eastAsia="Calibri" w:hAnsi="Palatino Linotype" w:cs="Arial"/>
          <w:bCs/>
          <w:sz w:val="24"/>
          <w:lang w:val="es-ES"/>
        </w:rPr>
        <w:t xml:space="preserve"> siguiente información:</w:t>
      </w:r>
    </w:p>
    <w:p w14:paraId="713BE531" w14:textId="77777777" w:rsidR="00CB2836" w:rsidRPr="00D948D9" w:rsidRDefault="00CB2836" w:rsidP="00CB2836">
      <w:pPr>
        <w:spacing w:line="360" w:lineRule="auto"/>
        <w:ind w:right="-93"/>
        <w:jc w:val="both"/>
        <w:rPr>
          <w:rFonts w:ascii="Palatino Linotype" w:hAnsi="Palatino Linotype" w:cs="Tahoma"/>
          <w:sz w:val="22"/>
          <w:szCs w:val="22"/>
          <w:lang w:val="es-ES"/>
        </w:rPr>
      </w:pPr>
    </w:p>
    <w:p w14:paraId="1D7AF04D" w14:textId="3ED98F25" w:rsidR="00FF110F" w:rsidRPr="00D948D9" w:rsidRDefault="00FF110F" w:rsidP="003B0450">
      <w:pPr>
        <w:pStyle w:val="Prrafodelista"/>
        <w:numPr>
          <w:ilvl w:val="0"/>
          <w:numId w:val="26"/>
        </w:numPr>
        <w:tabs>
          <w:tab w:val="left" w:pos="567"/>
        </w:tabs>
        <w:spacing w:line="360" w:lineRule="auto"/>
        <w:ind w:left="567"/>
        <w:jc w:val="both"/>
        <w:rPr>
          <w:rFonts w:ascii="Palatino Linotype" w:eastAsia="Calibri" w:hAnsi="Palatino Linotype" w:cs="Arial"/>
          <w:b/>
          <w:sz w:val="24"/>
        </w:rPr>
      </w:pPr>
      <w:r w:rsidRPr="00D948D9">
        <w:rPr>
          <w:rFonts w:ascii="Palatino Linotype" w:hAnsi="Palatino Linotype"/>
          <w:b/>
          <w:color w:val="000000" w:themeColor="text1"/>
          <w:sz w:val="24"/>
        </w:rPr>
        <w:t>Bases de datos actualizadas al veintiséis de junio de dos mil veintidós; y,</w:t>
      </w:r>
    </w:p>
    <w:p w14:paraId="056E5DEB" w14:textId="1D52E72B" w:rsidR="00FF110F" w:rsidRPr="00D948D9" w:rsidRDefault="00FF110F" w:rsidP="003B0450">
      <w:pPr>
        <w:pStyle w:val="Prrafodelista"/>
        <w:numPr>
          <w:ilvl w:val="0"/>
          <w:numId w:val="26"/>
        </w:numPr>
        <w:tabs>
          <w:tab w:val="left" w:pos="567"/>
        </w:tabs>
        <w:spacing w:line="360" w:lineRule="auto"/>
        <w:ind w:left="567"/>
        <w:jc w:val="both"/>
        <w:rPr>
          <w:rFonts w:ascii="Palatino Linotype" w:eastAsia="Calibri" w:hAnsi="Palatino Linotype" w:cs="Arial"/>
          <w:b/>
          <w:sz w:val="24"/>
        </w:rPr>
      </w:pPr>
      <w:r w:rsidRPr="00D948D9">
        <w:rPr>
          <w:rFonts w:ascii="Palatino Linotype" w:hAnsi="Palatino Linotype"/>
          <w:b/>
          <w:color w:val="000000" w:themeColor="text1"/>
          <w:sz w:val="24"/>
        </w:rPr>
        <w:t xml:space="preserve">Documento de seguridad </w:t>
      </w:r>
      <w:r w:rsidR="003C0353" w:rsidRPr="00D948D9">
        <w:rPr>
          <w:rFonts w:ascii="Palatino Linotype" w:hAnsi="Palatino Linotype"/>
          <w:b/>
          <w:color w:val="000000" w:themeColor="text1"/>
          <w:sz w:val="24"/>
        </w:rPr>
        <w:t>al veintiséis de junio de dos mil veintidós.</w:t>
      </w:r>
    </w:p>
    <w:p w14:paraId="3B5E55FA" w14:textId="77777777" w:rsidR="003B0450" w:rsidRPr="00D948D9" w:rsidRDefault="003B0450" w:rsidP="003B0450">
      <w:pPr>
        <w:pStyle w:val="Prrafodelista"/>
        <w:tabs>
          <w:tab w:val="left" w:pos="567"/>
        </w:tabs>
        <w:spacing w:line="360" w:lineRule="auto"/>
        <w:ind w:left="567"/>
        <w:jc w:val="both"/>
        <w:rPr>
          <w:rFonts w:ascii="Palatino Linotype" w:eastAsia="Calibri" w:hAnsi="Palatino Linotype" w:cs="Arial"/>
          <w:b/>
          <w:sz w:val="24"/>
        </w:rPr>
      </w:pPr>
    </w:p>
    <w:p w14:paraId="6CC20491" w14:textId="77777777" w:rsidR="00CB2836" w:rsidRPr="00D948D9" w:rsidRDefault="00CB2836" w:rsidP="00CB2836">
      <w:pPr>
        <w:spacing w:line="360" w:lineRule="auto"/>
        <w:jc w:val="both"/>
        <w:rPr>
          <w:rFonts w:ascii="Palatino Linotype" w:eastAsia="Calibri" w:hAnsi="Palatino Linotype" w:cs="Arial"/>
          <w:sz w:val="24"/>
        </w:rPr>
      </w:pPr>
      <w:r w:rsidRPr="00D948D9">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6A3620CA" w14:textId="77777777" w:rsidR="00CB2836" w:rsidRPr="00D948D9" w:rsidRDefault="00CB2836" w:rsidP="00CB2836">
      <w:pPr>
        <w:spacing w:line="360" w:lineRule="auto"/>
        <w:jc w:val="both"/>
        <w:rPr>
          <w:rFonts w:ascii="Palatino Linotype" w:eastAsia="Calibri" w:hAnsi="Palatino Linotype" w:cs="Arial"/>
        </w:rPr>
      </w:pPr>
    </w:p>
    <w:p w14:paraId="31BBDDAB" w14:textId="77777777" w:rsidR="00CB2836" w:rsidRPr="00D948D9" w:rsidRDefault="00CB2836" w:rsidP="00CB2836">
      <w:pPr>
        <w:tabs>
          <w:tab w:val="left" w:pos="284"/>
          <w:tab w:val="left" w:pos="8080"/>
        </w:tabs>
        <w:spacing w:line="360" w:lineRule="auto"/>
        <w:ind w:right="49"/>
        <w:contextualSpacing/>
        <w:jc w:val="both"/>
        <w:rPr>
          <w:rFonts w:ascii="Palatino Linotype" w:eastAsiaTheme="minorEastAsia" w:hAnsi="Palatino Linotype"/>
          <w:color w:val="222222"/>
          <w:sz w:val="24"/>
          <w:szCs w:val="24"/>
          <w:shd w:val="clear" w:color="auto" w:fill="FFFFFF"/>
          <w:lang w:val="es-ES_tradnl"/>
        </w:rPr>
      </w:pPr>
      <w:r w:rsidRPr="00D948D9">
        <w:rPr>
          <w:rFonts w:ascii="Palatino Linotype" w:eastAsia="Palatino Linotype" w:hAnsi="Palatino Linotype" w:cs="Palatino Linotype"/>
          <w:b/>
          <w:sz w:val="24"/>
          <w:szCs w:val="24"/>
          <w:lang w:val="es-ES_tradnl"/>
        </w:rPr>
        <w:lastRenderedPageBreak/>
        <w:t xml:space="preserve">TERCERO. Notifíquese </w:t>
      </w:r>
      <w:r w:rsidRPr="00D948D9">
        <w:rPr>
          <w:rFonts w:ascii="Palatino Linotype" w:eastAsia="Palatino Linotype" w:hAnsi="Palatino Linotype" w:cs="Palatino Linotype"/>
          <w:sz w:val="24"/>
          <w:szCs w:val="24"/>
          <w:lang w:val="es-ES_tradnl"/>
        </w:rPr>
        <w:t xml:space="preserve">al Titular de la Unidad de Transparencia del </w:t>
      </w:r>
      <w:r w:rsidRPr="00D948D9">
        <w:rPr>
          <w:rFonts w:ascii="Palatino Linotype" w:eastAsia="Palatino Linotype" w:hAnsi="Palatino Linotype" w:cs="Palatino Linotype"/>
          <w:b/>
          <w:sz w:val="24"/>
          <w:szCs w:val="24"/>
          <w:lang w:val="es-ES_tradnl"/>
        </w:rPr>
        <w:t>SUJETO OBLIGADO</w:t>
      </w:r>
      <w:r w:rsidRPr="00D948D9">
        <w:rPr>
          <w:rFonts w:ascii="Palatino Linotype" w:eastAsia="Palatino Linotype" w:hAnsi="Palatino Linotype" w:cs="Palatino Linotype"/>
          <w:sz w:val="24"/>
          <w:szCs w:val="24"/>
          <w:lang w:val="es-ES_tradnl"/>
        </w:rPr>
        <w:t xml:space="preserve">, para que conforme a los artículos 186 último párrafo, 189 párrafo segundo y 199 de la Ley de Transparencia y Acceso a la Información Pública del Estado de México y Municipios, </w:t>
      </w:r>
      <w:r w:rsidRPr="00D948D9">
        <w:rPr>
          <w:rFonts w:ascii="Palatino Linotype" w:eastAsiaTheme="minorEastAsia" w:hAnsi="Palatino Linotype"/>
          <w:color w:val="222222"/>
          <w:sz w:val="24"/>
          <w:szCs w:val="24"/>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0F33B507" w14:textId="77777777" w:rsidR="00CB2836" w:rsidRPr="00D948D9" w:rsidRDefault="00CB2836" w:rsidP="00CB2836">
      <w:pPr>
        <w:tabs>
          <w:tab w:val="left" w:pos="284"/>
          <w:tab w:val="left" w:pos="8080"/>
        </w:tabs>
        <w:spacing w:line="360" w:lineRule="auto"/>
        <w:ind w:right="49"/>
        <w:contextualSpacing/>
        <w:jc w:val="both"/>
        <w:rPr>
          <w:rFonts w:ascii="Palatino Linotype" w:eastAsiaTheme="minorEastAsia" w:hAnsi="Palatino Linotype"/>
          <w:color w:val="222222"/>
          <w:sz w:val="24"/>
          <w:szCs w:val="24"/>
          <w:shd w:val="clear" w:color="auto" w:fill="FFFFFF"/>
          <w:lang w:val="es-ES_tradnl"/>
        </w:rPr>
      </w:pPr>
    </w:p>
    <w:p w14:paraId="65CFF4B0" w14:textId="5DC3504A" w:rsidR="00CB2836" w:rsidRPr="00D948D9" w:rsidRDefault="00BA1D50" w:rsidP="00CB2836">
      <w:pPr>
        <w:shd w:val="clear" w:color="auto" w:fill="FFFFFF"/>
        <w:tabs>
          <w:tab w:val="left" w:pos="284"/>
        </w:tabs>
        <w:spacing w:line="360" w:lineRule="auto"/>
        <w:jc w:val="both"/>
        <w:rPr>
          <w:rFonts w:ascii="Palatino Linotype" w:eastAsia="MS Mincho" w:hAnsi="Palatino Linotype"/>
          <w:sz w:val="24"/>
          <w:szCs w:val="24"/>
          <w:lang w:val="es-ES_tradnl"/>
        </w:rPr>
      </w:pPr>
      <w:r w:rsidRPr="00D948D9">
        <w:rPr>
          <w:rFonts w:ascii="Palatino Linotype" w:hAnsi="Palatino Linotype" w:cs="Arial"/>
          <w:b/>
          <w:sz w:val="24"/>
          <w:szCs w:val="24"/>
          <w:lang w:val="es-ES_tradnl"/>
        </w:rPr>
        <w:t>CUARTO</w:t>
      </w:r>
      <w:r w:rsidR="00CB2836" w:rsidRPr="00D948D9">
        <w:rPr>
          <w:rFonts w:ascii="Palatino Linotype" w:hAnsi="Palatino Linotype" w:cs="Arial"/>
          <w:b/>
          <w:sz w:val="24"/>
          <w:szCs w:val="24"/>
          <w:lang w:val="es-ES_tradnl"/>
        </w:rPr>
        <w:t xml:space="preserve">. </w:t>
      </w:r>
      <w:r w:rsidR="00CB2836" w:rsidRPr="00D948D9">
        <w:rPr>
          <w:rFonts w:ascii="Palatino Linotype" w:hAnsi="Palatino Linotype"/>
          <w:b/>
          <w:bCs/>
          <w:color w:val="222222"/>
          <w:sz w:val="24"/>
          <w:szCs w:val="24"/>
          <w:lang w:val="es-ES"/>
        </w:rPr>
        <w:t xml:space="preserve">Notifíquese </w:t>
      </w:r>
      <w:r w:rsidR="00CB2836" w:rsidRPr="00D948D9">
        <w:rPr>
          <w:rFonts w:ascii="Palatino Linotype" w:hAnsi="Palatino Linotype"/>
          <w:bCs/>
          <w:color w:val="222222"/>
          <w:sz w:val="24"/>
          <w:szCs w:val="24"/>
          <w:lang w:val="es-ES"/>
        </w:rPr>
        <w:t xml:space="preserve">al </w:t>
      </w:r>
      <w:r w:rsidR="00CB2836" w:rsidRPr="00D948D9">
        <w:rPr>
          <w:rFonts w:ascii="Palatino Linotype" w:hAnsi="Palatino Linotype"/>
          <w:b/>
          <w:bCs/>
          <w:color w:val="222222"/>
          <w:sz w:val="24"/>
          <w:szCs w:val="24"/>
          <w:lang w:val="es-ES"/>
        </w:rPr>
        <w:t>RECURRENTE</w:t>
      </w:r>
      <w:r w:rsidR="00CB2836" w:rsidRPr="00D948D9">
        <w:rPr>
          <w:rFonts w:ascii="Palatino Linotype" w:hAnsi="Palatino Linotype"/>
          <w:b/>
          <w:color w:val="222222"/>
          <w:sz w:val="24"/>
          <w:szCs w:val="24"/>
          <w:lang w:val="es-ES"/>
        </w:rPr>
        <w:t xml:space="preserve"> </w:t>
      </w:r>
      <w:r w:rsidR="00CB2836" w:rsidRPr="00D948D9">
        <w:rPr>
          <w:rFonts w:ascii="Palatino Linotype" w:eastAsiaTheme="minorEastAsia" w:hAnsi="Palatino Linotype"/>
          <w:sz w:val="24"/>
          <w:szCs w:val="24"/>
          <w:lang w:val="es-ES_tradnl"/>
        </w:rPr>
        <w:t>la presente resolución</w:t>
      </w:r>
      <w:r w:rsidR="00CB2836" w:rsidRPr="00D948D9">
        <w:rPr>
          <w:rFonts w:ascii="Palatino Linotype" w:eastAsia="MS Mincho" w:hAnsi="Palatino Linotype"/>
          <w:sz w:val="24"/>
          <w:szCs w:val="24"/>
          <w:lang w:val="es-ES_tradnl"/>
        </w:rPr>
        <w:t xml:space="preserve"> a través del Sistema de Acceso a la Información Mexiquense (SAIMEX)</w:t>
      </w:r>
    </w:p>
    <w:p w14:paraId="75EAF8E6" w14:textId="77777777" w:rsidR="00CB2836" w:rsidRPr="00D948D9" w:rsidRDefault="00CB2836" w:rsidP="00CB2836">
      <w:pPr>
        <w:shd w:val="clear" w:color="auto" w:fill="FFFFFF"/>
        <w:tabs>
          <w:tab w:val="left" w:pos="284"/>
        </w:tabs>
        <w:spacing w:line="360" w:lineRule="auto"/>
        <w:jc w:val="both"/>
        <w:rPr>
          <w:rFonts w:ascii="Palatino Linotype" w:eastAsia="MS Mincho" w:hAnsi="Palatino Linotype"/>
          <w:sz w:val="24"/>
          <w:szCs w:val="24"/>
          <w:lang w:val="es-ES_tradnl"/>
        </w:rPr>
      </w:pPr>
    </w:p>
    <w:p w14:paraId="525B7E26" w14:textId="0092E60E" w:rsidR="00CB2836" w:rsidRPr="00D948D9" w:rsidRDefault="00BA1D50" w:rsidP="00CB2836">
      <w:pPr>
        <w:shd w:val="clear" w:color="auto" w:fill="FFFFFF"/>
        <w:tabs>
          <w:tab w:val="left" w:pos="284"/>
        </w:tabs>
        <w:spacing w:line="360" w:lineRule="auto"/>
        <w:jc w:val="both"/>
        <w:rPr>
          <w:rFonts w:ascii="Palatino Linotype" w:eastAsia="MS Mincho" w:hAnsi="Palatino Linotype"/>
          <w:sz w:val="24"/>
          <w:szCs w:val="24"/>
          <w:lang w:val="es-ES"/>
        </w:rPr>
      </w:pPr>
      <w:r w:rsidRPr="00D948D9">
        <w:rPr>
          <w:rFonts w:ascii="Palatino Linotype" w:eastAsia="MS Mincho" w:hAnsi="Palatino Linotype"/>
          <w:b/>
          <w:sz w:val="24"/>
          <w:szCs w:val="24"/>
        </w:rPr>
        <w:t>QUINTO.</w:t>
      </w:r>
      <w:r w:rsidR="00CB2836" w:rsidRPr="00D948D9">
        <w:rPr>
          <w:rFonts w:ascii="Palatino Linotype" w:eastAsia="MS Mincho" w:hAnsi="Palatino Linotype"/>
          <w:sz w:val="24"/>
          <w:szCs w:val="24"/>
        </w:rPr>
        <w:t xml:space="preserve"> </w:t>
      </w:r>
      <w:r w:rsidR="00CB2836" w:rsidRPr="00D948D9">
        <w:rPr>
          <w:rFonts w:ascii="Palatino Linotype" w:eastAsia="MS Mincho" w:hAnsi="Palatino Linotype"/>
          <w:sz w:val="24"/>
          <w:szCs w:val="24"/>
          <w:lang w:val="es-ES"/>
        </w:rPr>
        <w:t>Se hace del conocimiento del</w:t>
      </w:r>
      <w:r w:rsidR="00CB2836" w:rsidRPr="00D948D9">
        <w:rPr>
          <w:rFonts w:ascii="Palatino Linotype" w:eastAsiaTheme="minorEastAsia" w:hAnsi="Palatino Linotype"/>
          <w:b/>
          <w:sz w:val="24"/>
          <w:szCs w:val="24"/>
          <w:lang w:val="es-ES_tradnl"/>
        </w:rPr>
        <w:t xml:space="preserve"> RECURRENTE </w:t>
      </w:r>
      <w:r w:rsidR="00CB2836" w:rsidRPr="00D948D9">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CB2836" w:rsidRPr="00D948D9">
        <w:rPr>
          <w:rFonts w:ascii="Palatino Linotype" w:eastAsia="MS Mincho" w:hAnsi="Palatino Linotype"/>
          <w:bCs/>
          <w:sz w:val="24"/>
          <w:szCs w:val="24"/>
          <w:lang w:val="es-ES"/>
        </w:rPr>
        <w:t>vía juicio de amparo</w:t>
      </w:r>
      <w:r w:rsidR="00CB2836" w:rsidRPr="00D948D9">
        <w:rPr>
          <w:rFonts w:ascii="Palatino Linotype" w:eastAsia="MS Mincho" w:hAnsi="Palatino Linotype"/>
          <w:sz w:val="24"/>
          <w:szCs w:val="24"/>
          <w:lang w:val="es-ES"/>
        </w:rPr>
        <w:t> en los términos de las leyes aplicables.</w:t>
      </w:r>
    </w:p>
    <w:p w14:paraId="4EACE23E" w14:textId="77777777" w:rsidR="00EE13A9" w:rsidRPr="00F74362" w:rsidRDefault="00EE13A9" w:rsidP="00EE13A9">
      <w:pPr>
        <w:spacing w:before="240" w:after="240" w:line="360" w:lineRule="auto"/>
        <w:ind w:firstLine="1"/>
        <w:jc w:val="both"/>
        <w:rPr>
          <w:rFonts w:ascii="Palatino Linotype" w:hAnsi="Palatino Linotype"/>
          <w:smallCaps/>
        </w:rPr>
      </w:pPr>
      <w:bookmarkStart w:id="29" w:name="_Hlk129792997"/>
      <w:r w:rsidRPr="00D948D9">
        <w:rPr>
          <w:rStyle w:val="Referenciasutil"/>
          <w:rFonts w:ascii="Palatino Linotype" w:hAnsi="Palatino Linotype"/>
          <w:color w:val="auto"/>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D948D9">
        <w:rPr>
          <w:rStyle w:val="Referenciasutil"/>
          <w:rFonts w:ascii="Palatino Linotype" w:hAnsi="Palatino Linotype"/>
          <w:color w:val="auto"/>
          <w:sz w:val="24"/>
        </w:rPr>
        <w:lastRenderedPageBreak/>
        <w:t>GUSTAVO PARRA NORIEGA Y GUADALUPE RAMÍREZ PEÑA, EN LA DÉCIMA SEGUNDA SESIÓN ORDINARIA CELEBRADA EL VEINTINUEVE (29) DE MARZO DE DOS MIL VEINTITRÉS, ANTE EL SECRETARIO TÉCNICO DEL PLENO ALEXIS TAPIA RAMÍREZ.</w:t>
      </w:r>
      <w:r w:rsidRPr="00F74362">
        <w:rPr>
          <w:rStyle w:val="Referenciasutil"/>
          <w:rFonts w:ascii="Palatino Linotype" w:hAnsi="Palatino Linotype"/>
          <w:color w:val="auto"/>
          <w:sz w:val="24"/>
        </w:rPr>
        <w:t xml:space="preserve"> </w:t>
      </w:r>
      <w:bookmarkEnd w:id="29"/>
    </w:p>
    <w:p w14:paraId="6D10D57F" w14:textId="77777777" w:rsidR="005000AA" w:rsidRPr="00030C87"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030C87" w:rsidRDefault="00DF54E4" w:rsidP="005000AA">
      <w:pPr>
        <w:spacing w:before="240" w:after="360" w:line="360" w:lineRule="auto"/>
        <w:jc w:val="both"/>
        <w:rPr>
          <w:rFonts w:ascii="Palatino Linotype" w:hAnsi="Palatino Linotype"/>
          <w:color w:val="222222"/>
          <w:sz w:val="24"/>
          <w:szCs w:val="24"/>
          <w:lang w:val="es-ES" w:eastAsia="es-MX"/>
        </w:rPr>
      </w:pPr>
    </w:p>
    <w:sectPr w:rsidR="00DF54E4" w:rsidRPr="00030C87">
      <w:headerReference w:type="even" r:id="rId25"/>
      <w:headerReference w:type="default" r:id="rId26"/>
      <w:footerReference w:type="default" r:id="rId27"/>
      <w:headerReference w:type="first" r:id="rId28"/>
      <w:footerReference w:type="first" r:id="rId29"/>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805FF" w14:textId="77777777" w:rsidR="00B463BF" w:rsidRDefault="00B463BF">
      <w:r>
        <w:separator/>
      </w:r>
    </w:p>
  </w:endnote>
  <w:endnote w:type="continuationSeparator" w:id="0">
    <w:p w14:paraId="67A06D4A" w14:textId="77777777" w:rsidR="00B463BF" w:rsidRDefault="00B46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alatinoLinotype-Roman">
    <w:panose1 w:val="00000000000000000000"/>
    <w:charset w:val="00"/>
    <w:family w:val="auto"/>
    <w:notTrueType/>
    <w:pitch w:val="default"/>
    <w:sig w:usb0="00000003" w:usb1="00000000" w:usb2="00000000" w:usb3="00000000" w:csb0="00000001" w:csb1="00000000"/>
  </w:font>
  <w:font w:name="PalatinoLinotype-Bold">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64271B" w:rsidRDefault="0064271B">
            <w:pPr>
              <w:pStyle w:val="Piedepgina"/>
              <w:jc w:val="right"/>
            </w:pPr>
          </w:p>
          <w:p w14:paraId="1F7A191C" w14:textId="2A69F491" w:rsidR="0064271B" w:rsidRDefault="0064271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948D9">
              <w:rPr>
                <w:b/>
                <w:bCs/>
                <w:noProof/>
              </w:rPr>
              <w:t>55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948D9">
              <w:rPr>
                <w:b/>
                <w:bCs/>
                <w:noProof/>
              </w:rPr>
              <w:t>66</w:t>
            </w:r>
            <w:r>
              <w:rPr>
                <w:b/>
                <w:bCs/>
                <w:sz w:val="24"/>
                <w:szCs w:val="24"/>
              </w:rPr>
              <w:fldChar w:fldCharType="end"/>
            </w:r>
          </w:p>
        </w:sdtContent>
      </w:sdt>
    </w:sdtContent>
  </w:sdt>
  <w:p w14:paraId="2A221972" w14:textId="77777777" w:rsidR="0064271B" w:rsidRDefault="0064271B">
    <w:pPr>
      <w:pStyle w:val="Piedepgina"/>
    </w:pPr>
  </w:p>
  <w:p w14:paraId="1D6FF208" w14:textId="77777777" w:rsidR="0064271B" w:rsidRDefault="0064271B"/>
  <w:p w14:paraId="70055CD7" w14:textId="77777777" w:rsidR="0064271B" w:rsidRDefault="0064271B"/>
  <w:p w14:paraId="5452645F" w14:textId="77777777" w:rsidR="0064271B" w:rsidRDefault="006427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64271B" w:rsidRDefault="0064271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948D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948D9">
              <w:rPr>
                <w:b/>
                <w:bCs/>
                <w:noProof/>
              </w:rPr>
              <w:t>66</w:t>
            </w:r>
            <w:r>
              <w:rPr>
                <w:b/>
                <w:bCs/>
                <w:sz w:val="24"/>
                <w:szCs w:val="24"/>
              </w:rPr>
              <w:fldChar w:fldCharType="end"/>
            </w:r>
          </w:p>
        </w:sdtContent>
      </w:sdt>
    </w:sdtContent>
  </w:sdt>
  <w:p w14:paraId="2D12AEB2" w14:textId="77777777" w:rsidR="0064271B" w:rsidRDefault="0064271B">
    <w:pPr>
      <w:pStyle w:val="Piedepgina"/>
    </w:pPr>
  </w:p>
  <w:p w14:paraId="54227169" w14:textId="77777777" w:rsidR="0064271B" w:rsidRDefault="0064271B"/>
  <w:p w14:paraId="7DE40FB1" w14:textId="77777777" w:rsidR="0064271B" w:rsidRDefault="0064271B"/>
  <w:p w14:paraId="33755E87" w14:textId="77777777" w:rsidR="0064271B" w:rsidRDefault="006427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CD0C6" w14:textId="77777777" w:rsidR="00B463BF" w:rsidRDefault="00B463BF">
      <w:r>
        <w:separator/>
      </w:r>
    </w:p>
  </w:footnote>
  <w:footnote w:type="continuationSeparator" w:id="0">
    <w:p w14:paraId="4253EBE1" w14:textId="77777777" w:rsidR="00B463BF" w:rsidRDefault="00B463BF">
      <w:r>
        <w:continuationSeparator/>
      </w:r>
    </w:p>
  </w:footnote>
  <w:footnote w:id="1">
    <w:p w14:paraId="625BCC19" w14:textId="77777777" w:rsidR="0064271B" w:rsidRDefault="0064271B" w:rsidP="00030C87">
      <w:pPr>
        <w:pStyle w:val="Textonotapie"/>
      </w:pPr>
      <w:r>
        <w:rPr>
          <w:rStyle w:val="Refdenotaalpie"/>
        </w:rPr>
        <w:footnoteRef/>
      </w:r>
      <w:r>
        <w:t xml:space="preserve"> Convención Americana sobre Derechos Humanos. Artículo 13.</w:t>
      </w:r>
    </w:p>
  </w:footnote>
  <w:footnote w:id="2">
    <w:p w14:paraId="76B1CB8C" w14:textId="77777777" w:rsidR="0064271B" w:rsidRDefault="0064271B" w:rsidP="00030C87">
      <w:pPr>
        <w:pStyle w:val="Textonotapie"/>
      </w:pPr>
      <w:r>
        <w:rPr>
          <w:rStyle w:val="Refdenotaalpie"/>
        </w:rPr>
        <w:footnoteRef/>
      </w:r>
      <w:r>
        <w:t xml:space="preserve"> Constitución Política de los Estados Unidos Mexicanos. Artículo sexto, sección A, fracción I.</w:t>
      </w:r>
    </w:p>
  </w:footnote>
  <w:footnote w:id="3">
    <w:p w14:paraId="1DDAAC5A" w14:textId="77777777" w:rsidR="0064271B" w:rsidRDefault="0064271B"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912C126" w14:textId="77777777" w:rsidR="0064271B" w:rsidRDefault="0064271B" w:rsidP="00030C87">
      <w:pPr>
        <w:pStyle w:val="Textonotapie"/>
      </w:pPr>
      <w:r>
        <w:rPr>
          <w:rStyle w:val="Refdenotaalpie"/>
        </w:rPr>
        <w:footnoteRef/>
      </w:r>
      <w:r>
        <w:t xml:space="preserve"> Ibídem. Parr. 87.</w:t>
      </w:r>
    </w:p>
  </w:footnote>
  <w:footnote w:id="5">
    <w:p w14:paraId="0F88C173" w14:textId="77777777" w:rsidR="0064271B" w:rsidRDefault="0064271B"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64271B" w:rsidRDefault="0064271B" w:rsidP="00030C87">
      <w:pPr>
        <w:pStyle w:val="Textonotapie"/>
      </w:pPr>
      <w:r>
        <w:t>II. Eficacia: Obligación del Instituto para tutelar, de manera efectiva, el derecho de acceso a la información;</w:t>
      </w:r>
    </w:p>
    <w:p w14:paraId="0DC8B13D" w14:textId="77777777" w:rsidR="0064271B" w:rsidRDefault="0064271B" w:rsidP="00030C87">
      <w:pPr>
        <w:pStyle w:val="Textonotapie"/>
      </w:pPr>
      <w:r>
        <w:t xml:space="preserve">… </w:t>
      </w:r>
    </w:p>
  </w:footnote>
  <w:footnote w:id="6">
    <w:p w14:paraId="381318C8" w14:textId="77777777" w:rsidR="0064271B" w:rsidRPr="00952F10" w:rsidRDefault="0064271B" w:rsidP="00934816">
      <w:pPr>
        <w:jc w:val="both"/>
        <w:rPr>
          <w:i/>
        </w:rPr>
      </w:pPr>
      <w:r>
        <w:rPr>
          <w:rStyle w:val="Refdenotaalpie"/>
        </w:rPr>
        <w:footnoteRef/>
      </w:r>
      <w:r>
        <w:t xml:space="preserve"> </w:t>
      </w:r>
      <w:r w:rsidRPr="00952F10">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4FAA7A76" w14:textId="77777777" w:rsidR="0064271B" w:rsidRDefault="0064271B" w:rsidP="00934816">
      <w:pPr>
        <w:pStyle w:val="Textonotapie"/>
      </w:pPr>
    </w:p>
  </w:footnote>
  <w:footnote w:id="7">
    <w:p w14:paraId="49C34F0B" w14:textId="77777777" w:rsidR="0064271B" w:rsidRDefault="0064271B" w:rsidP="00756202">
      <w:pPr>
        <w:pStyle w:val="Textonotapie"/>
        <w:jc w:val="both"/>
        <w:rPr>
          <w:lang w:val="es-ES"/>
        </w:rPr>
      </w:pPr>
      <w:r>
        <w:rPr>
          <w:rStyle w:val="Refdenotaalpie"/>
        </w:rPr>
        <w:footnoteRef/>
      </w:r>
      <w:r>
        <w:t xml:space="preserve"> </w:t>
      </w:r>
      <w:r>
        <w:rPr>
          <w:lang w:val="es-ES"/>
        </w:rPr>
        <w:t xml:space="preserve">Artículo 47 y 56 de los Lineamientos Generales de Protección de Datos Personales para el Sector Público.  </w:t>
      </w:r>
      <w:hyperlink r:id="rId1" w:history="1">
        <w:r w:rsidRPr="00AC21B9">
          <w:rPr>
            <w:rStyle w:val="Hipervnculo"/>
            <w:lang w:val="es-ES"/>
          </w:rPr>
          <w:t>https://colaboracion.uv.mx/rept/files/2018/08/066/LinamientosGeneralesDatosPersonales.pdf</w:t>
        </w:r>
      </w:hyperlink>
    </w:p>
    <w:p w14:paraId="64BC36BB" w14:textId="77777777" w:rsidR="0064271B" w:rsidRDefault="0064271B" w:rsidP="00756202">
      <w:pPr>
        <w:pStyle w:val="Textonotapie"/>
        <w:jc w:val="both"/>
        <w:rPr>
          <w:lang w:val="es-ES"/>
        </w:rPr>
      </w:pPr>
    </w:p>
    <w:p w14:paraId="238C86B1" w14:textId="77777777" w:rsidR="0064271B" w:rsidRDefault="0064271B" w:rsidP="00756202">
      <w:pPr>
        <w:pStyle w:val="Textonotapie"/>
        <w:jc w:val="both"/>
        <w:rPr>
          <w:lang w:val="es-ES"/>
        </w:rPr>
      </w:pPr>
    </w:p>
    <w:p w14:paraId="6117F736" w14:textId="77777777" w:rsidR="0064271B" w:rsidRPr="000A570C" w:rsidRDefault="0064271B" w:rsidP="00756202">
      <w:pPr>
        <w:pStyle w:val="Textonotapie"/>
        <w:jc w:val="both"/>
        <w:rPr>
          <w:lang w:val="es-ES"/>
        </w:rPr>
      </w:pPr>
    </w:p>
  </w:footnote>
  <w:footnote w:id="8">
    <w:p w14:paraId="6F73B452" w14:textId="77777777" w:rsidR="0064271B" w:rsidRPr="00B378BC" w:rsidRDefault="0064271B" w:rsidP="00756202">
      <w:pPr>
        <w:pStyle w:val="Textonotapie"/>
        <w:rPr>
          <w:lang w:val="es-ES"/>
        </w:rPr>
      </w:pPr>
      <w:r>
        <w:rPr>
          <w:rStyle w:val="Refdenotaalpie"/>
        </w:rPr>
        <w:footnoteRef/>
      </w:r>
      <w:r>
        <w:t xml:space="preserve"> </w:t>
      </w:r>
      <w:r w:rsidRPr="00B378BC">
        <w:rPr>
          <w:lang w:val="es-ES"/>
        </w:rPr>
        <w:t xml:space="preserve">Artículos 58 y 59 de los </w:t>
      </w:r>
      <w:r w:rsidRPr="000028B3">
        <w:rPr>
          <w:lang w:val="es-ES"/>
        </w:rPr>
        <w:t xml:space="preserve">de los Lineamientos Generales de Protección de Datos Personales para el Sector Público.  </w:t>
      </w:r>
      <w:hyperlink r:id="rId2" w:history="1">
        <w:r w:rsidRPr="000028B3">
          <w:rPr>
            <w:rStyle w:val="Hipervnculo"/>
            <w:lang w:val="es-ES"/>
          </w:rPr>
          <w:t>https://colaboracion.uv.mx/rept/files/2018/08/066/LinamientosGeneralesDatosPersonales.pdf</w:t>
        </w:r>
      </w:hyperlink>
    </w:p>
  </w:footnote>
  <w:footnote w:id="9">
    <w:p w14:paraId="44D9A899" w14:textId="77777777" w:rsidR="0064271B" w:rsidRPr="00D30CDE" w:rsidRDefault="0064271B" w:rsidP="00756202">
      <w:pPr>
        <w:pStyle w:val="Textonotapie"/>
        <w:rPr>
          <w:lang w:val="es-ES"/>
        </w:rPr>
      </w:pPr>
      <w:r>
        <w:rPr>
          <w:rStyle w:val="Refdenotaalpie"/>
        </w:rPr>
        <w:footnoteRef/>
      </w:r>
      <w:r>
        <w:t xml:space="preserve"> </w:t>
      </w:r>
      <w:r w:rsidRPr="00D30CDE">
        <w:rPr>
          <w:lang w:val="es-ES"/>
        </w:rPr>
        <w:t xml:space="preserve">Artículo 60 de los </w:t>
      </w:r>
      <w:r w:rsidRPr="000028B3">
        <w:rPr>
          <w:lang w:val="es-ES"/>
        </w:rPr>
        <w:t xml:space="preserve">de los Lineamientos Generales de Protección de Datos Personales para el Sector Público.  </w:t>
      </w:r>
      <w:hyperlink r:id="rId3" w:history="1">
        <w:r w:rsidRPr="000028B3">
          <w:rPr>
            <w:rStyle w:val="Hipervnculo"/>
            <w:lang w:val="es-ES"/>
          </w:rPr>
          <w:t>https://colaboracion.uv.mx/rept/files/2018/08/066/LinamientosGeneralesDatosPersonales.pdf</w:t>
        </w:r>
      </w:hyperlink>
    </w:p>
  </w:footnote>
  <w:footnote w:id="10">
    <w:p w14:paraId="6D25C454" w14:textId="77777777" w:rsidR="0064271B" w:rsidRPr="00D30CDE" w:rsidRDefault="0064271B" w:rsidP="00756202">
      <w:pPr>
        <w:pStyle w:val="Textonotapie"/>
        <w:rPr>
          <w:lang w:val="es-ES"/>
        </w:rPr>
      </w:pPr>
      <w:r>
        <w:rPr>
          <w:rStyle w:val="Refdenotaalpie"/>
        </w:rPr>
        <w:footnoteRef/>
      </w:r>
      <w:r>
        <w:t xml:space="preserve"> </w:t>
      </w:r>
      <w:r w:rsidRPr="00D30CDE">
        <w:rPr>
          <w:lang w:val="es-ES"/>
        </w:rPr>
        <w:t>Artículo 63 de los Lineamientos Generales</w:t>
      </w:r>
    </w:p>
  </w:footnote>
  <w:footnote w:id="11">
    <w:p w14:paraId="5CE9C70C" w14:textId="77777777" w:rsidR="0064271B" w:rsidRPr="000028B3" w:rsidRDefault="0064271B" w:rsidP="00756202">
      <w:pPr>
        <w:pStyle w:val="Textonotapie"/>
        <w:rPr>
          <w:lang w:val="es-ES"/>
        </w:rPr>
      </w:pPr>
      <w:r>
        <w:rPr>
          <w:rStyle w:val="Refdenotaalpie"/>
        </w:rPr>
        <w:footnoteRef/>
      </w:r>
      <w:r>
        <w:t xml:space="preserve"> </w:t>
      </w:r>
      <w:r w:rsidRPr="000028B3">
        <w:t>https://home.inai.org.mx/wp-content/documentos/DocumentosSectorPublico/_GuiaPrincipiosDeberes.pdf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64271B" w:rsidRDefault="00B463BF">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64271B" w:rsidRDefault="0064271B"/>
  <w:p w14:paraId="77B719CE" w14:textId="77777777" w:rsidR="0064271B" w:rsidRDefault="0064271B"/>
  <w:p w14:paraId="50A3AAAA" w14:textId="77777777" w:rsidR="0064271B" w:rsidRDefault="006427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64271B" w14:paraId="6255E3A4" w14:textId="77777777" w:rsidTr="00814079">
      <w:trPr>
        <w:trHeight w:val="1435"/>
      </w:trPr>
      <w:tc>
        <w:tcPr>
          <w:tcW w:w="1843" w:type="dxa"/>
          <w:shd w:val="clear" w:color="auto" w:fill="auto"/>
        </w:tcPr>
        <w:p w14:paraId="3E05202F" w14:textId="4A7C9DF8" w:rsidR="0064271B" w:rsidRDefault="0064271B">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64271B" w:rsidRDefault="0064271B"/>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64271B" w14:paraId="727F90BF" w14:textId="77777777" w:rsidTr="007441D8">
            <w:trPr>
              <w:trHeight w:val="338"/>
            </w:trPr>
            <w:tc>
              <w:tcPr>
                <w:tcW w:w="2551" w:type="dxa"/>
              </w:tcPr>
              <w:p w14:paraId="23087CD5" w14:textId="77777777" w:rsidR="0064271B" w:rsidRDefault="0064271B">
                <w:pPr>
                  <w:tabs>
                    <w:tab w:val="right" w:pos="8838"/>
                  </w:tabs>
                  <w:ind w:right="-105"/>
                  <w:rPr>
                    <w:rFonts w:ascii="Palatino Linotype" w:eastAsia="Calibri" w:hAnsi="Palatino Linotype" w:cs="Tahoma"/>
                    <w:b/>
                    <w:sz w:val="22"/>
                    <w:szCs w:val="22"/>
                    <w:lang w:eastAsia="en-US"/>
                  </w:rPr>
                </w:pPr>
              </w:p>
              <w:p w14:paraId="410A3741" w14:textId="535C9D39" w:rsidR="0064271B" w:rsidRDefault="0064271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64271B" w:rsidRDefault="0064271B" w:rsidP="00427B6E">
                <w:pPr>
                  <w:tabs>
                    <w:tab w:val="right" w:pos="8838"/>
                  </w:tabs>
                  <w:ind w:right="-105" w:hanging="101"/>
                  <w:jc w:val="both"/>
                  <w:rPr>
                    <w:rFonts w:ascii="Palatino Linotype" w:eastAsia="Calibri" w:hAnsi="Palatino Linotype" w:cs="Tahoma"/>
                    <w:bCs/>
                    <w:sz w:val="22"/>
                    <w:szCs w:val="22"/>
                    <w:lang w:eastAsia="en-US"/>
                  </w:rPr>
                </w:pPr>
              </w:p>
              <w:p w14:paraId="3FF69A05" w14:textId="147AACC1" w:rsidR="0064271B" w:rsidRDefault="0064271B" w:rsidP="00B13121">
                <w:pPr>
                  <w:tabs>
                    <w:tab w:val="right" w:pos="8838"/>
                  </w:tabs>
                  <w:ind w:right="-105" w:hanging="101"/>
                  <w:jc w:val="both"/>
                  <w:rPr>
                    <w:rFonts w:ascii="Palatino Linotype" w:eastAsia="Calibri" w:hAnsi="Palatino Linotype" w:cs="Tahoma"/>
                    <w:bCs/>
                    <w:sz w:val="22"/>
                    <w:szCs w:val="22"/>
                    <w:lang w:eastAsia="en-US"/>
                  </w:rPr>
                </w:pPr>
                <w:r w:rsidRPr="00B13121">
                  <w:rPr>
                    <w:rFonts w:ascii="Palatino Linotype" w:eastAsia="Calibri" w:hAnsi="Palatino Linotype" w:cs="Tahoma"/>
                    <w:sz w:val="22"/>
                    <w:lang w:eastAsia="en-US"/>
                  </w:rPr>
                  <w:t>1</w:t>
                </w:r>
                <w:r>
                  <w:rPr>
                    <w:rFonts w:ascii="Palatino Linotype" w:eastAsia="Calibri" w:hAnsi="Palatino Linotype" w:cs="Tahoma"/>
                    <w:sz w:val="22"/>
                    <w:lang w:eastAsia="en-US"/>
                  </w:rPr>
                  <w:t>3313</w:t>
                </w:r>
                <w:r w:rsidRPr="00B13121">
                  <w:rPr>
                    <w:rFonts w:ascii="Palatino Linotype" w:eastAsia="Calibri" w:hAnsi="Palatino Linotype" w:cs="Tahoma"/>
                    <w:sz w:val="22"/>
                    <w:lang w:eastAsia="en-US"/>
                  </w:rPr>
                  <w:t>/INFOEM/IP/RR/2022</w:t>
                </w:r>
              </w:p>
            </w:tc>
          </w:tr>
          <w:tr w:rsidR="0064271B" w14:paraId="1389436A" w14:textId="128385F2" w:rsidTr="007441D8">
            <w:trPr>
              <w:trHeight w:val="283"/>
            </w:trPr>
            <w:tc>
              <w:tcPr>
                <w:tcW w:w="2551" w:type="dxa"/>
              </w:tcPr>
              <w:p w14:paraId="22E0F4E9" w14:textId="77777777" w:rsidR="0064271B" w:rsidRDefault="0064271B">
                <w:pPr>
                  <w:tabs>
                    <w:tab w:val="right" w:pos="8838"/>
                  </w:tabs>
                  <w:ind w:right="-105"/>
                  <w:rPr>
                    <w:rFonts w:ascii="Palatino Linotype" w:eastAsia="Calibri" w:hAnsi="Palatino Linotype" w:cs="Tahoma"/>
                    <w:b/>
                    <w:sz w:val="22"/>
                    <w:szCs w:val="22"/>
                    <w:lang w:eastAsia="en-US"/>
                  </w:rPr>
                </w:pPr>
                <w:bookmarkStart w:id="30" w:name="_Hlk33010189"/>
                <w:r>
                  <w:rPr>
                    <w:rFonts w:ascii="Palatino Linotype" w:eastAsia="Calibri" w:hAnsi="Palatino Linotype" w:cs="Tahoma"/>
                    <w:b/>
                    <w:sz w:val="22"/>
                    <w:szCs w:val="22"/>
                    <w:lang w:eastAsia="en-US"/>
                  </w:rPr>
                  <w:t>Sujeto Obligado:</w:t>
                </w:r>
              </w:p>
            </w:tc>
            <w:tc>
              <w:tcPr>
                <w:tcW w:w="2977" w:type="dxa"/>
              </w:tcPr>
              <w:p w14:paraId="2B205C7F" w14:textId="32FE27EA" w:rsidR="0064271B" w:rsidRPr="005F7A17" w:rsidRDefault="0064271B" w:rsidP="007451C1">
                <w:pPr>
                  <w:tabs>
                    <w:tab w:val="left" w:pos="2834"/>
                    <w:tab w:val="right" w:pos="8838"/>
                  </w:tabs>
                  <w:ind w:left="-113" w:right="-107"/>
                  <w:jc w:val="both"/>
                  <w:rPr>
                    <w:rFonts w:ascii="Palatino Linotype" w:eastAsia="Calibri" w:hAnsi="Palatino Linotype" w:cs="Tahoma"/>
                    <w:sz w:val="22"/>
                    <w:szCs w:val="22"/>
                    <w:lang w:eastAsia="en-US"/>
                  </w:rPr>
                </w:pPr>
                <w:r w:rsidRPr="005F7A17">
                  <w:rPr>
                    <w:rFonts w:ascii="Palatino Linotype" w:eastAsia="Calibri" w:hAnsi="Palatino Linotype" w:cs="Arial"/>
                    <w:bCs/>
                    <w:sz w:val="22"/>
                  </w:rPr>
                  <w:t>Sistema Municipal Para el Desarrollo Integral de la Familia de Toluca</w:t>
                </w:r>
              </w:p>
            </w:tc>
          </w:tr>
          <w:bookmarkEnd w:id="30"/>
          <w:tr w:rsidR="0064271B" w14:paraId="28CCE4E5" w14:textId="77777777" w:rsidTr="007441D8">
            <w:trPr>
              <w:trHeight w:val="283"/>
            </w:trPr>
            <w:tc>
              <w:tcPr>
                <w:tcW w:w="2551" w:type="dxa"/>
              </w:tcPr>
              <w:p w14:paraId="13EBF3BB" w14:textId="6E4ECE4B" w:rsidR="0064271B" w:rsidRDefault="0064271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64271B" w:rsidRDefault="0064271B"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64271B" w:rsidRDefault="0064271B">
          <w:pPr>
            <w:tabs>
              <w:tab w:val="right" w:pos="8838"/>
            </w:tabs>
            <w:ind w:left="-28"/>
            <w:jc w:val="both"/>
            <w:rPr>
              <w:rFonts w:ascii="Arial" w:eastAsia="Calibri" w:hAnsi="Arial" w:cs="Arial"/>
              <w:b/>
              <w:sz w:val="22"/>
              <w:szCs w:val="22"/>
              <w:lang w:eastAsia="en-US"/>
            </w:rPr>
          </w:pPr>
        </w:p>
      </w:tc>
    </w:tr>
  </w:tbl>
  <w:p w14:paraId="07EF2D29" w14:textId="1620A8B4" w:rsidR="0064271B" w:rsidRDefault="00B463BF"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64271B" w:rsidRDefault="0064271B"/>
  <w:p w14:paraId="104386EF" w14:textId="77777777" w:rsidR="0064271B" w:rsidRDefault="0064271B"/>
  <w:p w14:paraId="60A3E393" w14:textId="77777777" w:rsidR="0064271B" w:rsidRDefault="006427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64271B" w14:paraId="61517A1D" w14:textId="77777777" w:rsidTr="003A6126">
      <w:trPr>
        <w:trHeight w:val="1435"/>
      </w:trPr>
      <w:tc>
        <w:tcPr>
          <w:tcW w:w="1560" w:type="dxa"/>
          <w:shd w:val="clear" w:color="auto" w:fill="auto"/>
        </w:tcPr>
        <w:p w14:paraId="4B74E846" w14:textId="1E0D62B9" w:rsidR="0064271B" w:rsidRDefault="0064271B">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64271B" w14:paraId="7F59E1EF" w14:textId="77777777" w:rsidTr="007441D8">
            <w:trPr>
              <w:trHeight w:val="144"/>
            </w:trPr>
            <w:tc>
              <w:tcPr>
                <w:tcW w:w="2444" w:type="dxa"/>
              </w:tcPr>
              <w:p w14:paraId="5EFF942E" w14:textId="77777777" w:rsidR="0064271B" w:rsidRDefault="0064271B" w:rsidP="000D485D">
                <w:pPr>
                  <w:tabs>
                    <w:tab w:val="right" w:pos="8838"/>
                  </w:tabs>
                  <w:ind w:left="-74" w:right="-105"/>
                  <w:rPr>
                    <w:rFonts w:ascii="Palatino Linotype" w:eastAsia="Calibri" w:hAnsi="Palatino Linotype" w:cs="Tahoma"/>
                    <w:b/>
                    <w:sz w:val="22"/>
                    <w:szCs w:val="22"/>
                    <w:lang w:eastAsia="en-US"/>
                  </w:rPr>
                </w:pPr>
                <w:bookmarkStart w:id="31" w:name="_Hlk12526980"/>
                <w:r>
                  <w:rPr>
                    <w:rFonts w:ascii="Palatino Linotype" w:eastAsia="Calibri" w:hAnsi="Palatino Linotype" w:cs="Tahoma"/>
                    <w:b/>
                    <w:sz w:val="22"/>
                    <w:szCs w:val="22"/>
                    <w:lang w:eastAsia="en-US"/>
                  </w:rPr>
                  <w:t>Recurso de Revisión:</w:t>
                </w:r>
              </w:p>
            </w:tc>
            <w:tc>
              <w:tcPr>
                <w:tcW w:w="3084" w:type="dxa"/>
              </w:tcPr>
              <w:p w14:paraId="0DE47EE2" w14:textId="2CE5D283" w:rsidR="0064271B" w:rsidRPr="002B2042" w:rsidRDefault="0064271B" w:rsidP="005F7A17">
                <w:pPr>
                  <w:tabs>
                    <w:tab w:val="right" w:pos="8838"/>
                  </w:tabs>
                  <w:ind w:left="-3" w:right="-105"/>
                  <w:jc w:val="both"/>
                  <w:rPr>
                    <w:rFonts w:ascii="Palatino Linotype" w:eastAsia="Calibri" w:hAnsi="Palatino Linotype" w:cs="Tahoma"/>
                    <w:sz w:val="22"/>
                    <w:szCs w:val="22"/>
                    <w:lang w:eastAsia="en-US"/>
                  </w:rPr>
                </w:pPr>
                <w:r w:rsidRPr="00B13121">
                  <w:rPr>
                    <w:rFonts w:ascii="Palatino Linotype" w:eastAsia="Calibri" w:hAnsi="Palatino Linotype" w:cs="Tahoma"/>
                    <w:sz w:val="22"/>
                    <w:lang w:eastAsia="en-US"/>
                  </w:rPr>
                  <w:t>1</w:t>
                </w:r>
                <w:r>
                  <w:rPr>
                    <w:rFonts w:ascii="Palatino Linotype" w:eastAsia="Calibri" w:hAnsi="Palatino Linotype" w:cs="Tahoma"/>
                    <w:sz w:val="22"/>
                    <w:lang w:eastAsia="en-US"/>
                  </w:rPr>
                  <w:t>3313</w:t>
                </w:r>
                <w:r w:rsidRPr="00B13121">
                  <w:rPr>
                    <w:rFonts w:ascii="Palatino Linotype" w:eastAsia="Calibri" w:hAnsi="Palatino Linotype" w:cs="Tahoma"/>
                    <w:sz w:val="22"/>
                    <w:lang w:eastAsia="en-US"/>
                  </w:rPr>
                  <w:t>/INFOEM/IP/RR/2022</w:t>
                </w:r>
                <w:r w:rsidRPr="00B13121">
                  <w:rPr>
                    <w:rFonts w:ascii="Palatino Linotype" w:eastAsia="Calibri" w:hAnsi="Palatino Linotype" w:cs="Tahoma"/>
                    <w:lang w:eastAsia="en-US"/>
                  </w:rPr>
                  <w:t xml:space="preserve"> </w:t>
                </w:r>
              </w:p>
            </w:tc>
            <w:tc>
              <w:tcPr>
                <w:tcW w:w="3402" w:type="dxa"/>
              </w:tcPr>
              <w:p w14:paraId="11E4533C" w14:textId="3B21362A" w:rsidR="0064271B" w:rsidRDefault="0064271B">
                <w:pPr>
                  <w:tabs>
                    <w:tab w:val="right" w:pos="8838"/>
                  </w:tabs>
                  <w:ind w:left="-74" w:right="-105"/>
                  <w:jc w:val="both"/>
                  <w:rPr>
                    <w:rFonts w:ascii="Palatino Linotype" w:eastAsia="Calibri" w:hAnsi="Palatino Linotype" w:cs="Tahoma"/>
                    <w:bCs/>
                    <w:sz w:val="22"/>
                    <w:szCs w:val="22"/>
                    <w:lang w:eastAsia="en-US"/>
                  </w:rPr>
                </w:pPr>
              </w:p>
            </w:tc>
          </w:tr>
          <w:tr w:rsidR="0064271B" w14:paraId="3FC4FA7D" w14:textId="77777777" w:rsidTr="007441D8">
            <w:trPr>
              <w:trHeight w:val="144"/>
            </w:trPr>
            <w:tc>
              <w:tcPr>
                <w:tcW w:w="2444" w:type="dxa"/>
              </w:tcPr>
              <w:p w14:paraId="363D966B" w14:textId="77777777" w:rsidR="0064271B" w:rsidRDefault="0064271B" w:rsidP="000D485D">
                <w:pPr>
                  <w:tabs>
                    <w:tab w:val="right" w:pos="8838"/>
                  </w:tabs>
                  <w:ind w:left="-74" w:right="-105"/>
                  <w:rPr>
                    <w:rFonts w:ascii="Palatino Linotype" w:eastAsia="Calibri" w:hAnsi="Palatino Linotype" w:cs="Tahoma"/>
                    <w:b/>
                    <w:sz w:val="22"/>
                    <w:szCs w:val="22"/>
                    <w:lang w:eastAsia="en-US"/>
                  </w:rPr>
                </w:pPr>
                <w:bookmarkStart w:id="32" w:name="_Hlk10641523"/>
                <w:bookmarkEnd w:id="31"/>
                <w:r>
                  <w:rPr>
                    <w:rFonts w:ascii="Palatino Linotype" w:eastAsia="Calibri" w:hAnsi="Palatino Linotype" w:cs="Tahoma"/>
                    <w:b/>
                    <w:sz w:val="22"/>
                    <w:szCs w:val="22"/>
                    <w:lang w:eastAsia="en-US"/>
                  </w:rPr>
                  <w:t>Recurrente:</w:t>
                </w:r>
              </w:p>
            </w:tc>
            <w:tc>
              <w:tcPr>
                <w:tcW w:w="3084" w:type="dxa"/>
              </w:tcPr>
              <w:p w14:paraId="73C065CD" w14:textId="154A09BE" w:rsidR="0064271B" w:rsidRPr="000A7E5D" w:rsidRDefault="00D948D9" w:rsidP="00573C5F">
                <w:pPr>
                  <w:tabs>
                    <w:tab w:val="left" w:pos="3122"/>
                    <w:tab w:val="right" w:pos="8838"/>
                  </w:tabs>
                  <w:ind w:right="74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XXXXXXX</w:t>
                </w:r>
              </w:p>
            </w:tc>
            <w:tc>
              <w:tcPr>
                <w:tcW w:w="3402" w:type="dxa"/>
              </w:tcPr>
              <w:p w14:paraId="370E6EFF" w14:textId="4050217D" w:rsidR="0064271B" w:rsidRDefault="0064271B" w:rsidP="003037E1">
                <w:pPr>
                  <w:tabs>
                    <w:tab w:val="left" w:pos="3122"/>
                    <w:tab w:val="right" w:pos="8838"/>
                  </w:tabs>
                  <w:ind w:right="-105"/>
                  <w:jc w:val="both"/>
                  <w:rPr>
                    <w:rFonts w:ascii="Palatino Linotype" w:eastAsia="Calibri" w:hAnsi="Palatino Linotype" w:cs="Tahoma"/>
                    <w:sz w:val="22"/>
                    <w:szCs w:val="22"/>
                    <w:lang w:eastAsia="en-US"/>
                  </w:rPr>
                </w:pPr>
              </w:p>
            </w:tc>
          </w:tr>
          <w:bookmarkEnd w:id="32"/>
          <w:tr w:rsidR="0064271B" w14:paraId="4D832A43" w14:textId="77777777" w:rsidTr="007441D8">
            <w:trPr>
              <w:trHeight w:val="283"/>
            </w:trPr>
            <w:tc>
              <w:tcPr>
                <w:tcW w:w="2444" w:type="dxa"/>
              </w:tcPr>
              <w:p w14:paraId="02CA5CB0" w14:textId="77777777" w:rsidR="0064271B" w:rsidRDefault="0064271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0D3598A7" w:rsidR="0064271B" w:rsidRPr="00396CF5" w:rsidRDefault="0064271B" w:rsidP="00C56D1A">
                <w:pPr>
                  <w:tabs>
                    <w:tab w:val="left" w:pos="2834"/>
                    <w:tab w:val="right" w:pos="8838"/>
                  </w:tabs>
                  <w:ind w:left="-3" w:right="-105"/>
                  <w:jc w:val="both"/>
                  <w:rPr>
                    <w:rFonts w:ascii="Palatino Linotype" w:eastAsia="Calibri" w:hAnsi="Palatino Linotype" w:cs="Tahoma"/>
                    <w:sz w:val="22"/>
                    <w:szCs w:val="22"/>
                    <w:lang w:eastAsia="en-US"/>
                  </w:rPr>
                </w:pPr>
                <w:r w:rsidRPr="005F7A17">
                  <w:rPr>
                    <w:rFonts w:ascii="Palatino Linotype" w:eastAsia="Calibri" w:hAnsi="Palatino Linotype" w:cs="Arial"/>
                    <w:bCs/>
                    <w:sz w:val="22"/>
                  </w:rPr>
                  <w:t>Sistema Municipal Para el Desarrollo Integral de la Familia de Toluca</w:t>
                </w:r>
              </w:p>
            </w:tc>
            <w:tc>
              <w:tcPr>
                <w:tcW w:w="3402" w:type="dxa"/>
              </w:tcPr>
              <w:p w14:paraId="00F18B8C" w14:textId="77777777" w:rsidR="0064271B" w:rsidRDefault="0064271B">
                <w:pPr>
                  <w:tabs>
                    <w:tab w:val="left" w:pos="2834"/>
                    <w:tab w:val="right" w:pos="8838"/>
                  </w:tabs>
                  <w:ind w:left="-74" w:right="-105"/>
                  <w:jc w:val="both"/>
                  <w:rPr>
                    <w:rFonts w:ascii="Palatino Linotype" w:eastAsia="Calibri" w:hAnsi="Palatino Linotype" w:cs="Tahoma"/>
                    <w:sz w:val="22"/>
                    <w:szCs w:val="22"/>
                    <w:lang w:eastAsia="en-US"/>
                  </w:rPr>
                </w:pPr>
              </w:p>
            </w:tc>
          </w:tr>
          <w:tr w:rsidR="0064271B" w14:paraId="7BC74D7A" w14:textId="77777777" w:rsidTr="007441D8">
            <w:trPr>
              <w:trHeight w:val="283"/>
            </w:trPr>
            <w:tc>
              <w:tcPr>
                <w:tcW w:w="2444" w:type="dxa"/>
              </w:tcPr>
              <w:p w14:paraId="3BF93338" w14:textId="01E84F2D" w:rsidR="0064271B" w:rsidRDefault="0064271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64271B" w:rsidRPr="003037E1" w:rsidRDefault="0064271B"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64271B" w:rsidRDefault="0064271B">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64271B" w:rsidRDefault="0064271B">
          <w:pPr>
            <w:tabs>
              <w:tab w:val="right" w:pos="8838"/>
            </w:tabs>
            <w:ind w:left="-28"/>
            <w:jc w:val="both"/>
            <w:rPr>
              <w:rFonts w:ascii="Arial" w:eastAsia="Calibri" w:hAnsi="Arial" w:cs="Arial"/>
              <w:b/>
              <w:sz w:val="22"/>
              <w:szCs w:val="22"/>
              <w:lang w:eastAsia="en-US"/>
            </w:rPr>
          </w:pPr>
        </w:p>
      </w:tc>
    </w:tr>
  </w:tbl>
  <w:p w14:paraId="5F654A99" w14:textId="6CB7D4AE" w:rsidR="0064271B" w:rsidRDefault="00B463BF"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64271B" w:rsidRDefault="0064271B"/>
  <w:p w14:paraId="69AC6122" w14:textId="77777777" w:rsidR="0064271B" w:rsidRDefault="0064271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24B16B8"/>
    <w:multiLevelType w:val="hybridMultilevel"/>
    <w:tmpl w:val="1FD0F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CBA75CF"/>
    <w:multiLevelType w:val="hybridMultilevel"/>
    <w:tmpl w:val="A3E63724"/>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0E0A389D"/>
    <w:multiLevelType w:val="hybridMultilevel"/>
    <w:tmpl w:val="3AAE9552"/>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8">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9AD3ECA"/>
    <w:multiLevelType w:val="hybridMultilevel"/>
    <w:tmpl w:val="2E781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A15179"/>
    <w:multiLevelType w:val="hybridMultilevel"/>
    <w:tmpl w:val="C3320DC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1B0459"/>
    <w:multiLevelType w:val="hybridMultilevel"/>
    <w:tmpl w:val="D996D9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nsid w:val="3D89032F"/>
    <w:multiLevelType w:val="hybridMultilevel"/>
    <w:tmpl w:val="B97A1F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404D0FA7"/>
    <w:multiLevelType w:val="hybridMultilevel"/>
    <w:tmpl w:val="7F10F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42CD7416"/>
    <w:multiLevelType w:val="hybridMultilevel"/>
    <w:tmpl w:val="6150A5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nsid w:val="4A7D67DC"/>
    <w:multiLevelType w:val="hybridMultilevel"/>
    <w:tmpl w:val="65F6F47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4C517B70"/>
    <w:multiLevelType w:val="hybridMultilevel"/>
    <w:tmpl w:val="BE2668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4DE50D85"/>
    <w:multiLevelType w:val="hybridMultilevel"/>
    <w:tmpl w:val="9618B5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F536EE4"/>
    <w:multiLevelType w:val="hybridMultilevel"/>
    <w:tmpl w:val="7B6090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2415893"/>
    <w:multiLevelType w:val="hybridMultilevel"/>
    <w:tmpl w:val="6F349E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DE5AC9"/>
    <w:multiLevelType w:val="hybridMultilevel"/>
    <w:tmpl w:val="11AE9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611F4C"/>
    <w:multiLevelType w:val="hybridMultilevel"/>
    <w:tmpl w:val="D33C4E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E1E3B3F"/>
    <w:multiLevelType w:val="hybridMultilevel"/>
    <w:tmpl w:val="B6068E44"/>
    <w:lvl w:ilvl="0" w:tplc="6556F56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5422B96"/>
    <w:multiLevelType w:val="hybridMultilevel"/>
    <w:tmpl w:val="D9D67B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1"/>
  </w:num>
  <w:num w:numId="7">
    <w:abstractNumId w:val="4"/>
  </w:num>
  <w:num w:numId="8">
    <w:abstractNumId w:val="29"/>
  </w:num>
  <w:num w:numId="9">
    <w:abstractNumId w:val="33"/>
  </w:num>
  <w:num w:numId="10">
    <w:abstractNumId w:val="28"/>
  </w:num>
  <w:num w:numId="11">
    <w:abstractNumId w:val="5"/>
  </w:num>
  <w:num w:numId="12">
    <w:abstractNumId w:val="17"/>
  </w:num>
  <w:num w:numId="13">
    <w:abstractNumId w:val="36"/>
  </w:num>
  <w:num w:numId="14">
    <w:abstractNumId w:val="3"/>
  </w:num>
  <w:num w:numId="15">
    <w:abstractNumId w:val="20"/>
  </w:num>
  <w:num w:numId="16">
    <w:abstractNumId w:val="18"/>
  </w:num>
  <w:num w:numId="17">
    <w:abstractNumId w:val="25"/>
  </w:num>
  <w:num w:numId="18">
    <w:abstractNumId w:val="24"/>
  </w:num>
  <w:num w:numId="19">
    <w:abstractNumId w:val="19"/>
  </w:num>
  <w:num w:numId="20">
    <w:abstractNumId w:val="12"/>
  </w:num>
  <w:num w:numId="21">
    <w:abstractNumId w:val="15"/>
  </w:num>
  <w:num w:numId="22">
    <w:abstractNumId w:val="34"/>
  </w:num>
  <w:num w:numId="23">
    <w:abstractNumId w:val="21"/>
  </w:num>
  <w:num w:numId="24">
    <w:abstractNumId w:val="26"/>
  </w:num>
  <w:num w:numId="25">
    <w:abstractNumId w:val="32"/>
  </w:num>
  <w:num w:numId="26">
    <w:abstractNumId w:val="30"/>
  </w:num>
  <w:num w:numId="27">
    <w:abstractNumId w:val="37"/>
  </w:num>
  <w:num w:numId="28">
    <w:abstractNumId w:val="27"/>
  </w:num>
  <w:num w:numId="29">
    <w:abstractNumId w:val="10"/>
  </w:num>
  <w:num w:numId="30">
    <w:abstractNumId w:val="11"/>
  </w:num>
  <w:num w:numId="31">
    <w:abstractNumId w:val="23"/>
  </w:num>
  <w:num w:numId="32">
    <w:abstractNumId w:val="16"/>
  </w:num>
  <w:num w:numId="33">
    <w:abstractNumId w:val="35"/>
  </w:num>
  <w:num w:numId="34">
    <w:abstractNumId w:val="2"/>
  </w:num>
  <w:num w:numId="35">
    <w:abstractNumId w:val="7"/>
  </w:num>
  <w:num w:numId="36">
    <w:abstractNumId w:val="6"/>
  </w:num>
  <w:num w:numId="37">
    <w:abstractNumId w:val="22"/>
  </w:num>
  <w:num w:numId="38">
    <w:abstractNumId w:val="31"/>
  </w:num>
  <w:num w:numId="3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AF6"/>
    <w:rsid w:val="000016AA"/>
    <w:rsid w:val="00001EA7"/>
    <w:rsid w:val="00002485"/>
    <w:rsid w:val="000027EB"/>
    <w:rsid w:val="00002B33"/>
    <w:rsid w:val="0000485A"/>
    <w:rsid w:val="000048DD"/>
    <w:rsid w:val="00006543"/>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4CE"/>
    <w:rsid w:val="000446B3"/>
    <w:rsid w:val="0004646B"/>
    <w:rsid w:val="00050224"/>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169"/>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0E0"/>
    <w:rsid w:val="001133D5"/>
    <w:rsid w:val="001139FD"/>
    <w:rsid w:val="00114068"/>
    <w:rsid w:val="00114BD2"/>
    <w:rsid w:val="001150E9"/>
    <w:rsid w:val="001166C8"/>
    <w:rsid w:val="00116F92"/>
    <w:rsid w:val="001171BD"/>
    <w:rsid w:val="00117E18"/>
    <w:rsid w:val="001221B8"/>
    <w:rsid w:val="0012305A"/>
    <w:rsid w:val="00123091"/>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567"/>
    <w:rsid w:val="001679B4"/>
    <w:rsid w:val="00170545"/>
    <w:rsid w:val="00171ADD"/>
    <w:rsid w:val="00172D4F"/>
    <w:rsid w:val="00174363"/>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96DD3"/>
    <w:rsid w:val="001A0283"/>
    <w:rsid w:val="001A0C96"/>
    <w:rsid w:val="001A1B94"/>
    <w:rsid w:val="001A22F5"/>
    <w:rsid w:val="001A32CB"/>
    <w:rsid w:val="001A3EA6"/>
    <w:rsid w:val="001A3EE2"/>
    <w:rsid w:val="001A4B83"/>
    <w:rsid w:val="001A6DA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2908"/>
    <w:rsid w:val="001D43DB"/>
    <w:rsid w:val="001D4965"/>
    <w:rsid w:val="001D4A5C"/>
    <w:rsid w:val="001D51A3"/>
    <w:rsid w:val="001D67AC"/>
    <w:rsid w:val="001D6F55"/>
    <w:rsid w:val="001D7012"/>
    <w:rsid w:val="001D7BD2"/>
    <w:rsid w:val="001E0C62"/>
    <w:rsid w:val="001E1AF6"/>
    <w:rsid w:val="001E2A4D"/>
    <w:rsid w:val="001E53C2"/>
    <w:rsid w:val="001E57C1"/>
    <w:rsid w:val="001E6927"/>
    <w:rsid w:val="001E6CF0"/>
    <w:rsid w:val="001E6FC5"/>
    <w:rsid w:val="001E756F"/>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ED8"/>
    <w:rsid w:val="002207D3"/>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6DC9"/>
    <w:rsid w:val="002475C7"/>
    <w:rsid w:val="00247B17"/>
    <w:rsid w:val="00250389"/>
    <w:rsid w:val="00251439"/>
    <w:rsid w:val="00251FF7"/>
    <w:rsid w:val="00252669"/>
    <w:rsid w:val="00254209"/>
    <w:rsid w:val="00254288"/>
    <w:rsid w:val="0025469C"/>
    <w:rsid w:val="00254BE7"/>
    <w:rsid w:val="0025667F"/>
    <w:rsid w:val="00256ED9"/>
    <w:rsid w:val="002579CE"/>
    <w:rsid w:val="0026034F"/>
    <w:rsid w:val="00260492"/>
    <w:rsid w:val="00260FEC"/>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930"/>
    <w:rsid w:val="00296AE5"/>
    <w:rsid w:val="00296D46"/>
    <w:rsid w:val="00297D7D"/>
    <w:rsid w:val="002A0FB8"/>
    <w:rsid w:val="002A19D4"/>
    <w:rsid w:val="002A1B97"/>
    <w:rsid w:val="002A1FC1"/>
    <w:rsid w:val="002A3A25"/>
    <w:rsid w:val="002A42EA"/>
    <w:rsid w:val="002A4AE4"/>
    <w:rsid w:val="002A5191"/>
    <w:rsid w:val="002A57D2"/>
    <w:rsid w:val="002A6193"/>
    <w:rsid w:val="002A623C"/>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D15E8"/>
    <w:rsid w:val="002D1819"/>
    <w:rsid w:val="002D1BE4"/>
    <w:rsid w:val="002D1D6C"/>
    <w:rsid w:val="002D2D31"/>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14A"/>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5D8"/>
    <w:rsid w:val="00334811"/>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C37"/>
    <w:rsid w:val="00394D7E"/>
    <w:rsid w:val="003956E9"/>
    <w:rsid w:val="00395809"/>
    <w:rsid w:val="00395EB4"/>
    <w:rsid w:val="003963CA"/>
    <w:rsid w:val="003965EC"/>
    <w:rsid w:val="00396BA0"/>
    <w:rsid w:val="00396CF5"/>
    <w:rsid w:val="00397543"/>
    <w:rsid w:val="00397BC9"/>
    <w:rsid w:val="003A009D"/>
    <w:rsid w:val="003A0927"/>
    <w:rsid w:val="003A0E17"/>
    <w:rsid w:val="003A0EBA"/>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450"/>
    <w:rsid w:val="003B0B01"/>
    <w:rsid w:val="003B0C50"/>
    <w:rsid w:val="003B0D09"/>
    <w:rsid w:val="003B0EDD"/>
    <w:rsid w:val="003B14CB"/>
    <w:rsid w:val="003B165A"/>
    <w:rsid w:val="003B1A7B"/>
    <w:rsid w:val="003B2140"/>
    <w:rsid w:val="003B26CD"/>
    <w:rsid w:val="003B5897"/>
    <w:rsid w:val="003B5AD4"/>
    <w:rsid w:val="003B5D41"/>
    <w:rsid w:val="003B6BEF"/>
    <w:rsid w:val="003B794E"/>
    <w:rsid w:val="003C0353"/>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4CA3"/>
    <w:rsid w:val="003E58C9"/>
    <w:rsid w:val="003E5AD4"/>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CE7"/>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504F"/>
    <w:rsid w:val="00456223"/>
    <w:rsid w:val="00460032"/>
    <w:rsid w:val="0046048A"/>
    <w:rsid w:val="00460BA0"/>
    <w:rsid w:val="00461357"/>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3F30"/>
    <w:rsid w:val="004B591D"/>
    <w:rsid w:val="004B6078"/>
    <w:rsid w:val="004B63BD"/>
    <w:rsid w:val="004B6D60"/>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BFF"/>
    <w:rsid w:val="004D7B0B"/>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0AB7"/>
    <w:rsid w:val="0051276F"/>
    <w:rsid w:val="00512D06"/>
    <w:rsid w:val="005130AC"/>
    <w:rsid w:val="005130CC"/>
    <w:rsid w:val="0051676E"/>
    <w:rsid w:val="005178F8"/>
    <w:rsid w:val="00520212"/>
    <w:rsid w:val="005220BE"/>
    <w:rsid w:val="00522CC8"/>
    <w:rsid w:val="005244D0"/>
    <w:rsid w:val="0052453F"/>
    <w:rsid w:val="005248FB"/>
    <w:rsid w:val="00526575"/>
    <w:rsid w:val="00531DFA"/>
    <w:rsid w:val="00532546"/>
    <w:rsid w:val="00532842"/>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7F"/>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3C5F"/>
    <w:rsid w:val="005740F6"/>
    <w:rsid w:val="005743D2"/>
    <w:rsid w:val="00575905"/>
    <w:rsid w:val="005770FE"/>
    <w:rsid w:val="00577102"/>
    <w:rsid w:val="005774D1"/>
    <w:rsid w:val="00580144"/>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8E6"/>
    <w:rsid w:val="005B0D7C"/>
    <w:rsid w:val="005B0E86"/>
    <w:rsid w:val="005B1914"/>
    <w:rsid w:val="005B1ADD"/>
    <w:rsid w:val="005B2307"/>
    <w:rsid w:val="005B290B"/>
    <w:rsid w:val="005B3306"/>
    <w:rsid w:val="005B34BE"/>
    <w:rsid w:val="005B5CB1"/>
    <w:rsid w:val="005B5CC4"/>
    <w:rsid w:val="005B6585"/>
    <w:rsid w:val="005B6854"/>
    <w:rsid w:val="005B7D18"/>
    <w:rsid w:val="005B7EA6"/>
    <w:rsid w:val="005C1943"/>
    <w:rsid w:val="005C2452"/>
    <w:rsid w:val="005C2EF8"/>
    <w:rsid w:val="005C2FFD"/>
    <w:rsid w:val="005C37A0"/>
    <w:rsid w:val="005C3851"/>
    <w:rsid w:val="005C4034"/>
    <w:rsid w:val="005C483A"/>
    <w:rsid w:val="005C4E3D"/>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C8A"/>
    <w:rsid w:val="005F3B37"/>
    <w:rsid w:val="005F48F1"/>
    <w:rsid w:val="005F5564"/>
    <w:rsid w:val="005F605D"/>
    <w:rsid w:val="005F6158"/>
    <w:rsid w:val="005F71AB"/>
    <w:rsid w:val="005F761F"/>
    <w:rsid w:val="005F7A17"/>
    <w:rsid w:val="0060008D"/>
    <w:rsid w:val="0060077A"/>
    <w:rsid w:val="00601011"/>
    <w:rsid w:val="00601054"/>
    <w:rsid w:val="00601DD1"/>
    <w:rsid w:val="00601DEF"/>
    <w:rsid w:val="00601E59"/>
    <w:rsid w:val="00602CC0"/>
    <w:rsid w:val="006034C1"/>
    <w:rsid w:val="00603A46"/>
    <w:rsid w:val="00604E52"/>
    <w:rsid w:val="00606194"/>
    <w:rsid w:val="0061115C"/>
    <w:rsid w:val="00611550"/>
    <w:rsid w:val="00611A49"/>
    <w:rsid w:val="00613017"/>
    <w:rsid w:val="00613A54"/>
    <w:rsid w:val="00614819"/>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D3A"/>
    <w:rsid w:val="006407AA"/>
    <w:rsid w:val="00640BD8"/>
    <w:rsid w:val="00640EF8"/>
    <w:rsid w:val="00641804"/>
    <w:rsid w:val="006418ED"/>
    <w:rsid w:val="00641C5F"/>
    <w:rsid w:val="0064271B"/>
    <w:rsid w:val="00642A9E"/>
    <w:rsid w:val="00642B13"/>
    <w:rsid w:val="006431FF"/>
    <w:rsid w:val="0064345F"/>
    <w:rsid w:val="00643C2B"/>
    <w:rsid w:val="00645F7D"/>
    <w:rsid w:val="00646100"/>
    <w:rsid w:val="006476CA"/>
    <w:rsid w:val="006520BC"/>
    <w:rsid w:val="006544EC"/>
    <w:rsid w:val="00654855"/>
    <w:rsid w:val="00654967"/>
    <w:rsid w:val="00654D3C"/>
    <w:rsid w:val="006552AE"/>
    <w:rsid w:val="00655773"/>
    <w:rsid w:val="00656364"/>
    <w:rsid w:val="006563CA"/>
    <w:rsid w:val="0065686E"/>
    <w:rsid w:val="00656A7B"/>
    <w:rsid w:val="006578FC"/>
    <w:rsid w:val="00657AAB"/>
    <w:rsid w:val="006608AB"/>
    <w:rsid w:val="00660E52"/>
    <w:rsid w:val="0066143F"/>
    <w:rsid w:val="006620DA"/>
    <w:rsid w:val="00662C42"/>
    <w:rsid w:val="0066370E"/>
    <w:rsid w:val="00664587"/>
    <w:rsid w:val="00666BD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3543"/>
    <w:rsid w:val="0068455C"/>
    <w:rsid w:val="00684887"/>
    <w:rsid w:val="006850CE"/>
    <w:rsid w:val="006867FA"/>
    <w:rsid w:val="00687C4D"/>
    <w:rsid w:val="00691804"/>
    <w:rsid w:val="00691B69"/>
    <w:rsid w:val="00692778"/>
    <w:rsid w:val="00692779"/>
    <w:rsid w:val="00692F47"/>
    <w:rsid w:val="00693AAD"/>
    <w:rsid w:val="00693BD3"/>
    <w:rsid w:val="00693C8E"/>
    <w:rsid w:val="006969BA"/>
    <w:rsid w:val="00696C0F"/>
    <w:rsid w:val="00697FF1"/>
    <w:rsid w:val="006A026A"/>
    <w:rsid w:val="006A0425"/>
    <w:rsid w:val="006A1D62"/>
    <w:rsid w:val="006A2CD8"/>
    <w:rsid w:val="006A469C"/>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28CC"/>
    <w:rsid w:val="006C32BB"/>
    <w:rsid w:val="006C3747"/>
    <w:rsid w:val="006C3DED"/>
    <w:rsid w:val="006C41A8"/>
    <w:rsid w:val="006C6AD3"/>
    <w:rsid w:val="006C7015"/>
    <w:rsid w:val="006C713F"/>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260B"/>
    <w:rsid w:val="006F3C5E"/>
    <w:rsid w:val="006F70DE"/>
    <w:rsid w:val="006F785E"/>
    <w:rsid w:val="006F7EB8"/>
    <w:rsid w:val="007003A9"/>
    <w:rsid w:val="007008E9"/>
    <w:rsid w:val="0070094A"/>
    <w:rsid w:val="00700AA4"/>
    <w:rsid w:val="00702DD7"/>
    <w:rsid w:val="007047D3"/>
    <w:rsid w:val="00705663"/>
    <w:rsid w:val="00705C40"/>
    <w:rsid w:val="007102EC"/>
    <w:rsid w:val="00710757"/>
    <w:rsid w:val="0071087E"/>
    <w:rsid w:val="00710E1B"/>
    <w:rsid w:val="00711898"/>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408"/>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048"/>
    <w:rsid w:val="00741683"/>
    <w:rsid w:val="007416C6"/>
    <w:rsid w:val="00741AC4"/>
    <w:rsid w:val="007421DC"/>
    <w:rsid w:val="00742CA5"/>
    <w:rsid w:val="007433E5"/>
    <w:rsid w:val="007441D8"/>
    <w:rsid w:val="00744DE1"/>
    <w:rsid w:val="007451C1"/>
    <w:rsid w:val="007460D7"/>
    <w:rsid w:val="00746730"/>
    <w:rsid w:val="00750566"/>
    <w:rsid w:val="007513F0"/>
    <w:rsid w:val="007515BC"/>
    <w:rsid w:val="00752606"/>
    <w:rsid w:val="0075402E"/>
    <w:rsid w:val="007556E5"/>
    <w:rsid w:val="00756202"/>
    <w:rsid w:val="00756B83"/>
    <w:rsid w:val="00756D3D"/>
    <w:rsid w:val="007573B2"/>
    <w:rsid w:val="007574BB"/>
    <w:rsid w:val="0075764C"/>
    <w:rsid w:val="00757897"/>
    <w:rsid w:val="007616E5"/>
    <w:rsid w:val="0076204C"/>
    <w:rsid w:val="00762198"/>
    <w:rsid w:val="00762D65"/>
    <w:rsid w:val="00763B8F"/>
    <w:rsid w:val="00763CE8"/>
    <w:rsid w:val="00765E5E"/>
    <w:rsid w:val="007705F9"/>
    <w:rsid w:val="00770792"/>
    <w:rsid w:val="007709DD"/>
    <w:rsid w:val="007737B5"/>
    <w:rsid w:val="00774BF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4DF6"/>
    <w:rsid w:val="007A5398"/>
    <w:rsid w:val="007A5B6E"/>
    <w:rsid w:val="007A5D0E"/>
    <w:rsid w:val="007A5D9B"/>
    <w:rsid w:val="007A5E69"/>
    <w:rsid w:val="007A75DF"/>
    <w:rsid w:val="007B0CD9"/>
    <w:rsid w:val="007B0E33"/>
    <w:rsid w:val="007B0E89"/>
    <w:rsid w:val="007B1272"/>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BEB"/>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079E5"/>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328"/>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6D7"/>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2B86"/>
    <w:rsid w:val="0093364D"/>
    <w:rsid w:val="009337E6"/>
    <w:rsid w:val="0093395C"/>
    <w:rsid w:val="009340E4"/>
    <w:rsid w:val="0093429F"/>
    <w:rsid w:val="009347EC"/>
    <w:rsid w:val="00934816"/>
    <w:rsid w:val="00935ED9"/>
    <w:rsid w:val="00936574"/>
    <w:rsid w:val="00937EC5"/>
    <w:rsid w:val="00937EE1"/>
    <w:rsid w:val="00940C2D"/>
    <w:rsid w:val="00943BCE"/>
    <w:rsid w:val="00944EB0"/>
    <w:rsid w:val="00945902"/>
    <w:rsid w:val="00945B7E"/>
    <w:rsid w:val="00945DBE"/>
    <w:rsid w:val="00946F7F"/>
    <w:rsid w:val="009508A0"/>
    <w:rsid w:val="00953EDC"/>
    <w:rsid w:val="00953FF0"/>
    <w:rsid w:val="00954950"/>
    <w:rsid w:val="009566A5"/>
    <w:rsid w:val="00957702"/>
    <w:rsid w:val="00960346"/>
    <w:rsid w:val="009617D3"/>
    <w:rsid w:val="009629BE"/>
    <w:rsid w:val="00962C63"/>
    <w:rsid w:val="00964061"/>
    <w:rsid w:val="0096463B"/>
    <w:rsid w:val="009666E9"/>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41F"/>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A7B89"/>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613C"/>
    <w:rsid w:val="009E70E7"/>
    <w:rsid w:val="009F074A"/>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6FAC"/>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15BA"/>
    <w:rsid w:val="00A437EC"/>
    <w:rsid w:val="00A43816"/>
    <w:rsid w:val="00A43CD2"/>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077"/>
    <w:rsid w:val="00A571CD"/>
    <w:rsid w:val="00A57C3D"/>
    <w:rsid w:val="00A60A2E"/>
    <w:rsid w:val="00A612EB"/>
    <w:rsid w:val="00A62ED6"/>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5765"/>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1B90"/>
    <w:rsid w:val="00AE265F"/>
    <w:rsid w:val="00AE3BE3"/>
    <w:rsid w:val="00AE47BF"/>
    <w:rsid w:val="00AE489D"/>
    <w:rsid w:val="00AE4BD1"/>
    <w:rsid w:val="00AE552E"/>
    <w:rsid w:val="00AE7132"/>
    <w:rsid w:val="00AF085A"/>
    <w:rsid w:val="00AF08DA"/>
    <w:rsid w:val="00AF0A77"/>
    <w:rsid w:val="00AF19F2"/>
    <w:rsid w:val="00AF28C8"/>
    <w:rsid w:val="00AF3B03"/>
    <w:rsid w:val="00AF3DDB"/>
    <w:rsid w:val="00AF4C29"/>
    <w:rsid w:val="00AF51A8"/>
    <w:rsid w:val="00AF550F"/>
    <w:rsid w:val="00AF6432"/>
    <w:rsid w:val="00AF6D3D"/>
    <w:rsid w:val="00AF6DED"/>
    <w:rsid w:val="00AF7502"/>
    <w:rsid w:val="00AF79BD"/>
    <w:rsid w:val="00AF7DB8"/>
    <w:rsid w:val="00B007F7"/>
    <w:rsid w:val="00B01191"/>
    <w:rsid w:val="00B01BB6"/>
    <w:rsid w:val="00B03392"/>
    <w:rsid w:val="00B04CD6"/>
    <w:rsid w:val="00B06882"/>
    <w:rsid w:val="00B077ED"/>
    <w:rsid w:val="00B07F12"/>
    <w:rsid w:val="00B07FE3"/>
    <w:rsid w:val="00B103D7"/>
    <w:rsid w:val="00B10BAE"/>
    <w:rsid w:val="00B116CC"/>
    <w:rsid w:val="00B13121"/>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0557"/>
    <w:rsid w:val="00B31222"/>
    <w:rsid w:val="00B318C9"/>
    <w:rsid w:val="00B31FDB"/>
    <w:rsid w:val="00B330C9"/>
    <w:rsid w:val="00B33258"/>
    <w:rsid w:val="00B35B3B"/>
    <w:rsid w:val="00B37DE4"/>
    <w:rsid w:val="00B40EE4"/>
    <w:rsid w:val="00B4114B"/>
    <w:rsid w:val="00B41DF3"/>
    <w:rsid w:val="00B42006"/>
    <w:rsid w:val="00B4291A"/>
    <w:rsid w:val="00B42C7F"/>
    <w:rsid w:val="00B42E81"/>
    <w:rsid w:val="00B4329D"/>
    <w:rsid w:val="00B44FF5"/>
    <w:rsid w:val="00B45BEE"/>
    <w:rsid w:val="00B463BF"/>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3EE1"/>
    <w:rsid w:val="00B8408A"/>
    <w:rsid w:val="00B84F85"/>
    <w:rsid w:val="00B85DF3"/>
    <w:rsid w:val="00B86C19"/>
    <w:rsid w:val="00B87167"/>
    <w:rsid w:val="00B90737"/>
    <w:rsid w:val="00B90F3B"/>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D50"/>
    <w:rsid w:val="00BA206A"/>
    <w:rsid w:val="00BA4CE5"/>
    <w:rsid w:val="00BA688A"/>
    <w:rsid w:val="00BB18B8"/>
    <w:rsid w:val="00BB1B3C"/>
    <w:rsid w:val="00BB2848"/>
    <w:rsid w:val="00BB375D"/>
    <w:rsid w:val="00BB391B"/>
    <w:rsid w:val="00BB3D85"/>
    <w:rsid w:val="00BB40A3"/>
    <w:rsid w:val="00BB49A0"/>
    <w:rsid w:val="00BB515F"/>
    <w:rsid w:val="00BB532B"/>
    <w:rsid w:val="00BB545D"/>
    <w:rsid w:val="00BB7D70"/>
    <w:rsid w:val="00BC0924"/>
    <w:rsid w:val="00BC1FA5"/>
    <w:rsid w:val="00BC2592"/>
    <w:rsid w:val="00BC2C0C"/>
    <w:rsid w:val="00BC3C5F"/>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6AEE"/>
    <w:rsid w:val="00C076CE"/>
    <w:rsid w:val="00C10FCF"/>
    <w:rsid w:val="00C12810"/>
    <w:rsid w:val="00C13112"/>
    <w:rsid w:val="00C145CF"/>
    <w:rsid w:val="00C14B76"/>
    <w:rsid w:val="00C14EE1"/>
    <w:rsid w:val="00C1588B"/>
    <w:rsid w:val="00C15903"/>
    <w:rsid w:val="00C16B4B"/>
    <w:rsid w:val="00C16D1C"/>
    <w:rsid w:val="00C16E51"/>
    <w:rsid w:val="00C17427"/>
    <w:rsid w:val="00C20A16"/>
    <w:rsid w:val="00C20C00"/>
    <w:rsid w:val="00C210FD"/>
    <w:rsid w:val="00C21A0D"/>
    <w:rsid w:val="00C22183"/>
    <w:rsid w:val="00C22901"/>
    <w:rsid w:val="00C25238"/>
    <w:rsid w:val="00C26B6F"/>
    <w:rsid w:val="00C2734F"/>
    <w:rsid w:val="00C305F2"/>
    <w:rsid w:val="00C31AF4"/>
    <w:rsid w:val="00C32A89"/>
    <w:rsid w:val="00C3345C"/>
    <w:rsid w:val="00C3426A"/>
    <w:rsid w:val="00C3678D"/>
    <w:rsid w:val="00C36A0F"/>
    <w:rsid w:val="00C36BB3"/>
    <w:rsid w:val="00C40653"/>
    <w:rsid w:val="00C407E5"/>
    <w:rsid w:val="00C40D52"/>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6D1A"/>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2DDB"/>
    <w:rsid w:val="00C939E8"/>
    <w:rsid w:val="00C93F1B"/>
    <w:rsid w:val="00C94EF0"/>
    <w:rsid w:val="00C95093"/>
    <w:rsid w:val="00C95AB0"/>
    <w:rsid w:val="00C96DFE"/>
    <w:rsid w:val="00C9709F"/>
    <w:rsid w:val="00C976D1"/>
    <w:rsid w:val="00C97851"/>
    <w:rsid w:val="00CA123D"/>
    <w:rsid w:val="00CA2419"/>
    <w:rsid w:val="00CA2DFC"/>
    <w:rsid w:val="00CA308F"/>
    <w:rsid w:val="00CA3902"/>
    <w:rsid w:val="00CA41D3"/>
    <w:rsid w:val="00CA69DB"/>
    <w:rsid w:val="00CA6F0D"/>
    <w:rsid w:val="00CA71D4"/>
    <w:rsid w:val="00CA7CCC"/>
    <w:rsid w:val="00CA7D7D"/>
    <w:rsid w:val="00CB1A0D"/>
    <w:rsid w:val="00CB2836"/>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BB6"/>
    <w:rsid w:val="00CC7D3E"/>
    <w:rsid w:val="00CD0214"/>
    <w:rsid w:val="00CD049D"/>
    <w:rsid w:val="00CD1770"/>
    <w:rsid w:val="00CD397D"/>
    <w:rsid w:val="00CD3A5D"/>
    <w:rsid w:val="00CD51ED"/>
    <w:rsid w:val="00CD5FD4"/>
    <w:rsid w:val="00CD6A36"/>
    <w:rsid w:val="00CE0A60"/>
    <w:rsid w:val="00CE0DCE"/>
    <w:rsid w:val="00CE1B6A"/>
    <w:rsid w:val="00CE1BC9"/>
    <w:rsid w:val="00CE2B44"/>
    <w:rsid w:val="00CE321D"/>
    <w:rsid w:val="00CE33C1"/>
    <w:rsid w:val="00CE4DD6"/>
    <w:rsid w:val="00CE597A"/>
    <w:rsid w:val="00CE6763"/>
    <w:rsid w:val="00CE70BC"/>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EF0"/>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4D5"/>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4FD"/>
    <w:rsid w:val="00D60578"/>
    <w:rsid w:val="00D61A0E"/>
    <w:rsid w:val="00D62751"/>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8D9"/>
    <w:rsid w:val="00D949A3"/>
    <w:rsid w:val="00D95B5F"/>
    <w:rsid w:val="00D96FC3"/>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01"/>
    <w:rsid w:val="00DB4B8A"/>
    <w:rsid w:val="00DB52C3"/>
    <w:rsid w:val="00DB5454"/>
    <w:rsid w:val="00DB5CBE"/>
    <w:rsid w:val="00DB5DA3"/>
    <w:rsid w:val="00DB7E5F"/>
    <w:rsid w:val="00DC10B0"/>
    <w:rsid w:val="00DC1246"/>
    <w:rsid w:val="00DC1594"/>
    <w:rsid w:val="00DC2884"/>
    <w:rsid w:val="00DC2B02"/>
    <w:rsid w:val="00DC4770"/>
    <w:rsid w:val="00DC4BCD"/>
    <w:rsid w:val="00DC4C30"/>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39C6"/>
    <w:rsid w:val="00DF54E4"/>
    <w:rsid w:val="00DF6537"/>
    <w:rsid w:val="00DF6A00"/>
    <w:rsid w:val="00DF6F8B"/>
    <w:rsid w:val="00DF713B"/>
    <w:rsid w:val="00DF72D9"/>
    <w:rsid w:val="00DF7C06"/>
    <w:rsid w:val="00DF7DF3"/>
    <w:rsid w:val="00DF7EC8"/>
    <w:rsid w:val="00E00EC3"/>
    <w:rsid w:val="00E028ED"/>
    <w:rsid w:val="00E02901"/>
    <w:rsid w:val="00E02A5D"/>
    <w:rsid w:val="00E0499F"/>
    <w:rsid w:val="00E04AA7"/>
    <w:rsid w:val="00E0682E"/>
    <w:rsid w:val="00E06E31"/>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3BC5"/>
    <w:rsid w:val="00E75472"/>
    <w:rsid w:val="00E75AF7"/>
    <w:rsid w:val="00E773B4"/>
    <w:rsid w:val="00E77E5E"/>
    <w:rsid w:val="00E80DA7"/>
    <w:rsid w:val="00E8155D"/>
    <w:rsid w:val="00E816C6"/>
    <w:rsid w:val="00E82615"/>
    <w:rsid w:val="00E82F06"/>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1A47"/>
    <w:rsid w:val="00ED1B09"/>
    <w:rsid w:val="00ED2AC0"/>
    <w:rsid w:val="00ED30E8"/>
    <w:rsid w:val="00ED36D0"/>
    <w:rsid w:val="00ED3892"/>
    <w:rsid w:val="00ED3B69"/>
    <w:rsid w:val="00ED3CF9"/>
    <w:rsid w:val="00ED3ECA"/>
    <w:rsid w:val="00ED3F39"/>
    <w:rsid w:val="00ED4492"/>
    <w:rsid w:val="00ED63AE"/>
    <w:rsid w:val="00ED646D"/>
    <w:rsid w:val="00ED6CD1"/>
    <w:rsid w:val="00ED6EE7"/>
    <w:rsid w:val="00ED737F"/>
    <w:rsid w:val="00ED76D1"/>
    <w:rsid w:val="00ED7A42"/>
    <w:rsid w:val="00EE0395"/>
    <w:rsid w:val="00EE13A9"/>
    <w:rsid w:val="00EE1D80"/>
    <w:rsid w:val="00EE1EE0"/>
    <w:rsid w:val="00EE2BFB"/>
    <w:rsid w:val="00EE2EEA"/>
    <w:rsid w:val="00EE5F2E"/>
    <w:rsid w:val="00EE5F55"/>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5CCB"/>
    <w:rsid w:val="00F061A6"/>
    <w:rsid w:val="00F06B3A"/>
    <w:rsid w:val="00F0710C"/>
    <w:rsid w:val="00F07A3A"/>
    <w:rsid w:val="00F07A69"/>
    <w:rsid w:val="00F07C58"/>
    <w:rsid w:val="00F11AB3"/>
    <w:rsid w:val="00F11E70"/>
    <w:rsid w:val="00F1286E"/>
    <w:rsid w:val="00F12B32"/>
    <w:rsid w:val="00F14017"/>
    <w:rsid w:val="00F14D17"/>
    <w:rsid w:val="00F15243"/>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2ACB"/>
    <w:rsid w:val="00F33758"/>
    <w:rsid w:val="00F33D92"/>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47677"/>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394"/>
    <w:rsid w:val="00F6497E"/>
    <w:rsid w:val="00F65227"/>
    <w:rsid w:val="00F65512"/>
    <w:rsid w:val="00F66047"/>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0D79"/>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110F"/>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styleId="Referenciasutil">
    <w:name w:val="Subtle Reference"/>
    <w:basedOn w:val="Fuentedeprrafopredeter"/>
    <w:uiPriority w:val="31"/>
    <w:qFormat/>
    <w:rsid w:val="00EE13A9"/>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0330046">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3695522">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573472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38178860">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25546537">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6787027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1852855">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7964487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05143397">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1477600">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83075729">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6473537">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48963214">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798990704">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37188521">
      <w:bodyDiv w:val="1"/>
      <w:marLeft w:val="0"/>
      <w:marRight w:val="0"/>
      <w:marTop w:val="0"/>
      <w:marBottom w:val="0"/>
      <w:divBdr>
        <w:top w:val="none" w:sz="0" w:space="0" w:color="auto"/>
        <w:left w:val="none" w:sz="0" w:space="0" w:color="auto"/>
        <w:bottom w:val="none" w:sz="0" w:space="0" w:color="auto"/>
        <w:right w:val="none" w:sz="0" w:space="0" w:color="auto"/>
      </w:divBdr>
    </w:div>
    <w:div w:id="1847477546">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102784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83063394">
      <w:bodyDiv w:val="1"/>
      <w:marLeft w:val="0"/>
      <w:marRight w:val="0"/>
      <w:marTop w:val="0"/>
      <w:marBottom w:val="0"/>
      <w:divBdr>
        <w:top w:val="none" w:sz="0" w:space="0" w:color="auto"/>
        <w:left w:val="none" w:sz="0" w:space="0" w:color="auto"/>
        <w:bottom w:val="none" w:sz="0" w:space="0" w:color="auto"/>
        <w:right w:val="none" w:sz="0" w:space="0" w:color="auto"/>
      </w:divBdr>
    </w:div>
    <w:div w:id="2084178195">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0986753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inicio.ifai.org.mx/DocumentosdeInteres/AnexosDocumentoOrientador.zip"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ftoluca.gob.mx/Paginas/Transparencia/AvisosPrivacidad/index.php"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diftoluca.gob.mx/Paginas/Transparencia/AvisosPrivacidad/index.php"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colaboracion.uv.mx/rept/files/2018/08/066/LinamientosGeneralesDatosPersonales.pdf" TargetMode="External"/><Relationship Id="rId2" Type="http://schemas.openxmlformats.org/officeDocument/2006/relationships/hyperlink" Target="https://colaboracion.uv.mx/rept/files/2018/08/066/LinamientosGeneralesDatosPersonales.pdf" TargetMode="External"/><Relationship Id="rId1" Type="http://schemas.openxmlformats.org/officeDocument/2006/relationships/hyperlink" Target="https://colaboracion.uv.mx/rept/files/2018/08/066/LinamientosGeneralesDatosPersonal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E42EE5-D6BD-4DFC-A950-40F85E9A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66</Pages>
  <Words>11387</Words>
  <Characters>62633</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5</cp:revision>
  <cp:lastPrinted>2021-08-18T17:12:00Z</cp:lastPrinted>
  <dcterms:created xsi:type="dcterms:W3CDTF">2023-03-29T18:59:00Z</dcterms:created>
  <dcterms:modified xsi:type="dcterms:W3CDTF">2023-04-11T01:01:00Z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