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B0A0"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uno de noviembre de dos mil veintitrés.</w:t>
      </w:r>
    </w:p>
    <w:p w14:paraId="5A39E7B4"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7A7ACEB6"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bookmarkStart w:id="0" w:name="_heading=h.gjdgxs" w:colFirst="0" w:colLast="0"/>
      <w:bookmarkEnd w:id="0"/>
      <w:r w:rsidRPr="007D449B">
        <w:rPr>
          <w:rFonts w:ascii="Palatino Linotype" w:eastAsia="Palatino Linotype" w:hAnsi="Palatino Linotype" w:cs="Palatino Linotype"/>
          <w:b/>
        </w:rPr>
        <w:t xml:space="preserve">Vistos </w:t>
      </w:r>
      <w:r w:rsidRPr="007D449B">
        <w:rPr>
          <w:rFonts w:ascii="Palatino Linotype" w:eastAsia="Palatino Linotype" w:hAnsi="Palatino Linotype" w:cs="Palatino Linotype"/>
        </w:rPr>
        <w:t xml:space="preserve">los expedientes relativos a los recursos de revisión </w:t>
      </w:r>
      <w:r w:rsidRPr="007D449B">
        <w:rPr>
          <w:rFonts w:ascii="Palatino Linotype" w:eastAsia="Palatino Linotype" w:hAnsi="Palatino Linotype" w:cs="Palatino Linotype"/>
          <w:b/>
        </w:rPr>
        <w:t>00844/INFOEM/IP/RR/2023 y 01043/INFOEM/IP/RR/</w:t>
      </w:r>
      <w:proofErr w:type="gramStart"/>
      <w:r w:rsidRPr="007D449B">
        <w:rPr>
          <w:rFonts w:ascii="Palatino Linotype" w:eastAsia="Palatino Linotype" w:hAnsi="Palatino Linotype" w:cs="Palatino Linotype"/>
          <w:b/>
        </w:rPr>
        <w:t>2023  acumulados</w:t>
      </w:r>
      <w:proofErr w:type="gramEnd"/>
      <w:r w:rsidRPr="007D449B">
        <w:rPr>
          <w:rFonts w:ascii="Palatino Linotype" w:eastAsia="Palatino Linotype" w:hAnsi="Palatino Linotype" w:cs="Palatino Linotype"/>
        </w:rPr>
        <w:t xml:space="preserve">, interpuestos por </w:t>
      </w:r>
      <w:r w:rsidRPr="007D449B">
        <w:rPr>
          <w:rFonts w:ascii="Palatino Linotype" w:eastAsia="Palatino Linotype" w:hAnsi="Palatino Linotype" w:cs="Palatino Linotype"/>
          <w:b/>
        </w:rPr>
        <w:t>una persona usuaria del Sistema de Acceso a la Información Mexiquense</w:t>
      </w:r>
      <w:r w:rsidRPr="007D449B">
        <w:rPr>
          <w:rFonts w:ascii="Palatino Linotype" w:eastAsia="Palatino Linotype" w:hAnsi="Palatino Linotype" w:cs="Palatino Linotype"/>
        </w:rPr>
        <w:t xml:space="preserve">, quien en lo sucesivo será identificada como la parte </w:t>
      </w:r>
      <w:r w:rsidRPr="007D449B">
        <w:rPr>
          <w:rFonts w:ascii="Palatino Linotype" w:eastAsia="Palatino Linotype" w:hAnsi="Palatino Linotype" w:cs="Palatino Linotype"/>
          <w:b/>
        </w:rPr>
        <w:t>RECURRENTE</w:t>
      </w:r>
      <w:r w:rsidRPr="007D449B">
        <w:rPr>
          <w:rFonts w:ascii="Palatino Linotype" w:eastAsia="Palatino Linotype" w:hAnsi="Palatino Linotype" w:cs="Palatino Linotype"/>
        </w:rPr>
        <w:t xml:space="preserve"> en contra de las respuestas de la </w:t>
      </w:r>
      <w:r w:rsidRPr="007D449B">
        <w:rPr>
          <w:rFonts w:ascii="Palatino Linotype" w:eastAsia="Palatino Linotype" w:hAnsi="Palatino Linotype" w:cs="Palatino Linotype"/>
          <w:b/>
        </w:rPr>
        <w:t>Secretaría de Movilidad</w:t>
      </w:r>
      <w:r w:rsidRPr="007D449B">
        <w:rPr>
          <w:rFonts w:ascii="Palatino Linotype" w:eastAsia="Palatino Linotype" w:hAnsi="Palatino Linotype" w:cs="Palatino Linotype"/>
        </w:rPr>
        <w:t xml:space="preserve">, en lo sucesivo el </w:t>
      </w:r>
      <w:r w:rsidRPr="007D449B">
        <w:rPr>
          <w:rFonts w:ascii="Palatino Linotype" w:eastAsia="Palatino Linotype" w:hAnsi="Palatino Linotype" w:cs="Palatino Linotype"/>
          <w:b/>
        </w:rPr>
        <w:t>SUJETO OBLIGADO</w:t>
      </w:r>
      <w:r w:rsidRPr="007D449B">
        <w:rPr>
          <w:rFonts w:ascii="Palatino Linotype" w:eastAsia="Palatino Linotype" w:hAnsi="Palatino Linotype" w:cs="Palatino Linotype"/>
        </w:rPr>
        <w:t>;</w:t>
      </w:r>
      <w:r w:rsidRPr="007D449B">
        <w:rPr>
          <w:rFonts w:ascii="Palatino Linotype" w:eastAsia="Palatino Linotype" w:hAnsi="Palatino Linotype" w:cs="Palatino Linotype"/>
          <w:b/>
        </w:rPr>
        <w:t xml:space="preserve"> </w:t>
      </w:r>
      <w:r w:rsidRPr="007D449B">
        <w:rPr>
          <w:rFonts w:ascii="Palatino Linotype" w:eastAsia="Palatino Linotype" w:hAnsi="Palatino Linotype" w:cs="Palatino Linotype"/>
        </w:rPr>
        <w:t>se procede a dictar la presente resolución, con base en lo siguiente.</w:t>
      </w:r>
    </w:p>
    <w:p w14:paraId="545912A7"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782D784A" w14:textId="77777777" w:rsidR="000C236F" w:rsidRPr="007D449B" w:rsidRDefault="00A17FA6" w:rsidP="007D449B">
      <w:pPr>
        <w:numPr>
          <w:ilvl w:val="0"/>
          <w:numId w:val="7"/>
        </w:numPr>
        <w:pBdr>
          <w:top w:val="nil"/>
          <w:left w:val="nil"/>
          <w:bottom w:val="nil"/>
          <w:right w:val="nil"/>
          <w:between w:val="nil"/>
        </w:pBdr>
        <w:shd w:val="clear" w:color="auto" w:fill="FFFFFF" w:themeFill="background1"/>
        <w:spacing w:line="360" w:lineRule="auto"/>
        <w:ind w:left="1077"/>
        <w:jc w:val="center"/>
        <w:rPr>
          <w:rFonts w:ascii="Palatino Linotype" w:eastAsia="Palatino Linotype" w:hAnsi="Palatino Linotype" w:cs="Palatino Linotype"/>
          <w:b/>
        </w:rPr>
      </w:pPr>
      <w:r w:rsidRPr="007D449B">
        <w:rPr>
          <w:rFonts w:ascii="Palatino Linotype" w:eastAsia="Palatino Linotype" w:hAnsi="Palatino Linotype" w:cs="Palatino Linotype"/>
          <w:b/>
        </w:rPr>
        <w:t>A N T E C E D E N T E S:</w:t>
      </w:r>
    </w:p>
    <w:p w14:paraId="036CB71B" w14:textId="77777777" w:rsidR="000C236F" w:rsidRPr="007D449B" w:rsidRDefault="000C236F" w:rsidP="007D449B">
      <w:pPr>
        <w:pBdr>
          <w:top w:val="nil"/>
          <w:left w:val="nil"/>
          <w:bottom w:val="nil"/>
          <w:right w:val="nil"/>
          <w:between w:val="nil"/>
        </w:pBdr>
        <w:shd w:val="clear" w:color="auto" w:fill="FFFFFF" w:themeFill="background1"/>
        <w:spacing w:line="360" w:lineRule="auto"/>
        <w:ind w:left="1077"/>
        <w:jc w:val="center"/>
        <w:rPr>
          <w:rFonts w:ascii="Palatino Linotype" w:eastAsia="Palatino Linotype" w:hAnsi="Palatino Linotype" w:cs="Palatino Linotype"/>
          <w:b/>
        </w:rPr>
      </w:pPr>
    </w:p>
    <w:p w14:paraId="7CB942F9" w14:textId="77777777" w:rsidR="000C236F" w:rsidRPr="007D449B" w:rsidRDefault="00A17FA6" w:rsidP="007D449B">
      <w:pPr>
        <w:numPr>
          <w:ilvl w:val="3"/>
          <w:numId w:val="7"/>
        </w:numPr>
        <w:pBdr>
          <w:top w:val="nil"/>
          <w:left w:val="nil"/>
          <w:bottom w:val="nil"/>
          <w:right w:val="nil"/>
          <w:between w:val="nil"/>
        </w:pBdr>
        <w:shd w:val="clear" w:color="auto" w:fill="FFFFFF" w:themeFill="background1"/>
        <w:tabs>
          <w:tab w:val="left" w:pos="284"/>
        </w:tabs>
        <w:spacing w:line="360" w:lineRule="auto"/>
        <w:ind w:left="0" w:firstLine="0"/>
        <w:jc w:val="both"/>
        <w:rPr>
          <w:rFonts w:ascii="Palatino Linotype" w:eastAsia="Palatino Linotype" w:hAnsi="Palatino Linotype" w:cs="Palatino Linotype"/>
        </w:rPr>
      </w:pPr>
      <w:bookmarkStart w:id="1" w:name="_heading=h.30j0zll" w:colFirst="0" w:colLast="0"/>
      <w:bookmarkEnd w:id="1"/>
      <w:r w:rsidRPr="007D449B">
        <w:rPr>
          <w:rFonts w:ascii="Palatino Linotype" w:eastAsia="Palatino Linotype" w:hAnsi="Palatino Linotype" w:cs="Palatino Linotype"/>
          <w:b/>
        </w:rPr>
        <w:t xml:space="preserve">Solicitudes de acceso a la información. </w:t>
      </w:r>
      <w:r w:rsidRPr="007D449B">
        <w:rPr>
          <w:rFonts w:ascii="Palatino Linotype" w:eastAsia="Palatino Linotype" w:hAnsi="Palatino Linotype" w:cs="Palatino Linotype"/>
        </w:rPr>
        <w:t xml:space="preserve">El </w:t>
      </w:r>
      <w:r w:rsidRPr="007D449B">
        <w:rPr>
          <w:rFonts w:ascii="Palatino Linotype" w:eastAsia="Palatino Linotype" w:hAnsi="Palatino Linotype" w:cs="Palatino Linotype"/>
          <w:b/>
        </w:rPr>
        <w:t>doce de enero y dos de febrero de dos mil veintitrés</w:t>
      </w:r>
      <w:r w:rsidRPr="007D449B">
        <w:rPr>
          <w:rFonts w:ascii="Palatino Linotype" w:eastAsia="Palatino Linotype" w:hAnsi="Palatino Linotype" w:cs="Palatino Linotype"/>
        </w:rPr>
        <w:t xml:space="preserve">, la parte </w:t>
      </w:r>
      <w:r w:rsidRPr="007D449B">
        <w:rPr>
          <w:rFonts w:ascii="Palatino Linotype" w:eastAsia="Palatino Linotype" w:hAnsi="Palatino Linotype" w:cs="Palatino Linotype"/>
          <w:b/>
        </w:rPr>
        <w:t>RECURRENTE</w:t>
      </w:r>
      <w:r w:rsidRPr="007D449B">
        <w:rPr>
          <w:rFonts w:ascii="Palatino Linotype" w:eastAsia="Palatino Linotype" w:hAnsi="Palatino Linotype" w:cs="Palatino Linotype"/>
        </w:rPr>
        <w:t xml:space="preserve"> formuló solicitudes de acceso a información pública a través del </w:t>
      </w:r>
      <w:r w:rsidRPr="007D449B">
        <w:rPr>
          <w:rFonts w:ascii="Palatino Linotype" w:eastAsia="Palatino Linotype" w:hAnsi="Palatino Linotype" w:cs="Palatino Linotype"/>
          <w:b/>
        </w:rPr>
        <w:t>SAIMEX</w:t>
      </w:r>
      <w:r w:rsidRPr="007D449B">
        <w:rPr>
          <w:rFonts w:ascii="Palatino Linotype" w:eastAsia="Palatino Linotype" w:hAnsi="Palatino Linotype" w:cs="Palatino Linotype"/>
        </w:rPr>
        <w:t>, en las que requirió lo siguiente:</w:t>
      </w:r>
    </w:p>
    <w:p w14:paraId="6A4B4530"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tbl>
      <w:tblPr>
        <w:tblStyle w:val="aff2"/>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7D449B" w:rsidRPr="007D449B" w14:paraId="1D0EADE2" w14:textId="77777777">
        <w:tc>
          <w:tcPr>
            <w:tcW w:w="3256" w:type="dxa"/>
            <w:shd w:val="clear" w:color="auto" w:fill="D9D9D9"/>
          </w:tcPr>
          <w:p w14:paraId="64AA30A8" w14:textId="77777777" w:rsidR="000C236F" w:rsidRPr="007D449B" w:rsidRDefault="00A17FA6" w:rsidP="007D449B">
            <w:pPr>
              <w:shd w:val="clear" w:color="auto" w:fill="FFFFFF" w:themeFill="background1"/>
              <w:tabs>
                <w:tab w:val="right" w:pos="3026"/>
              </w:tabs>
              <w:spacing w:line="360" w:lineRule="auto"/>
              <w:jc w:val="center"/>
              <w:rPr>
                <w:rFonts w:ascii="Palatino Linotype" w:eastAsia="Palatino Linotype" w:hAnsi="Palatino Linotype" w:cs="Palatino Linotype"/>
                <w:b/>
                <w:sz w:val="20"/>
                <w:szCs w:val="20"/>
              </w:rPr>
            </w:pPr>
            <w:bookmarkStart w:id="2" w:name="_heading=h.1fob9te" w:colFirst="0" w:colLast="0"/>
            <w:bookmarkEnd w:id="2"/>
            <w:r w:rsidRPr="007D449B">
              <w:rPr>
                <w:rFonts w:ascii="Palatino Linotype" w:eastAsia="Palatino Linotype" w:hAnsi="Palatino Linotype" w:cs="Palatino Linotype"/>
                <w:b/>
                <w:sz w:val="20"/>
                <w:szCs w:val="20"/>
              </w:rPr>
              <w:t>Número de solicitud</w:t>
            </w:r>
          </w:p>
        </w:tc>
        <w:tc>
          <w:tcPr>
            <w:tcW w:w="5670" w:type="dxa"/>
            <w:shd w:val="clear" w:color="auto" w:fill="D9D9D9"/>
          </w:tcPr>
          <w:p w14:paraId="70197E49" w14:textId="77777777" w:rsidR="000C236F" w:rsidRPr="007D449B" w:rsidRDefault="00A17FA6" w:rsidP="007D449B">
            <w:pPr>
              <w:shd w:val="clear" w:color="auto" w:fill="FFFFFF" w:themeFill="background1"/>
              <w:spacing w:line="360" w:lineRule="auto"/>
              <w:jc w:val="center"/>
              <w:rPr>
                <w:rFonts w:ascii="Palatino Linotype" w:eastAsia="Palatino Linotype" w:hAnsi="Palatino Linotype" w:cs="Palatino Linotype"/>
                <w:b/>
                <w:sz w:val="20"/>
                <w:szCs w:val="20"/>
              </w:rPr>
            </w:pPr>
            <w:r w:rsidRPr="007D449B">
              <w:rPr>
                <w:rFonts w:ascii="Palatino Linotype" w:eastAsia="Palatino Linotype" w:hAnsi="Palatino Linotype" w:cs="Palatino Linotype"/>
                <w:b/>
                <w:sz w:val="20"/>
                <w:szCs w:val="20"/>
              </w:rPr>
              <w:t>Información requerida.</w:t>
            </w:r>
          </w:p>
        </w:tc>
      </w:tr>
      <w:tr w:rsidR="007D449B" w:rsidRPr="007D449B" w14:paraId="45A4F565" w14:textId="77777777">
        <w:tc>
          <w:tcPr>
            <w:tcW w:w="3256" w:type="dxa"/>
          </w:tcPr>
          <w:p w14:paraId="57317837"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bookmarkStart w:id="3" w:name="_heading=h.3znysh7" w:colFirst="0" w:colLast="0"/>
            <w:bookmarkEnd w:id="3"/>
            <w:r w:rsidRPr="007D449B">
              <w:rPr>
                <w:rFonts w:ascii="Palatino Linotype" w:eastAsia="Palatino Linotype" w:hAnsi="Palatino Linotype" w:cs="Palatino Linotype"/>
                <w:b/>
                <w:i/>
                <w:sz w:val="20"/>
                <w:szCs w:val="20"/>
              </w:rPr>
              <w:t>00058/SMOV/IP/2023</w:t>
            </w:r>
          </w:p>
          <w:p w14:paraId="1FDDA9E7"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00844/INFOEM/IP/RR/2023</w:t>
            </w:r>
          </w:p>
        </w:tc>
        <w:tc>
          <w:tcPr>
            <w:tcW w:w="5670" w:type="dxa"/>
          </w:tcPr>
          <w:p w14:paraId="15CBC72E" w14:textId="77777777" w:rsidR="000C236F" w:rsidRPr="007D449B" w:rsidRDefault="00A17FA6" w:rsidP="007D449B">
            <w:pP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Todos los convenios firmados por el Titular de la Secretaría de Movilidad en 2021, 2022 y 2023.</w:t>
            </w:r>
          </w:p>
        </w:tc>
      </w:tr>
      <w:tr w:rsidR="000C236F" w:rsidRPr="007D449B" w14:paraId="1C06878E" w14:textId="77777777">
        <w:tc>
          <w:tcPr>
            <w:tcW w:w="3256" w:type="dxa"/>
          </w:tcPr>
          <w:p w14:paraId="6466FAAE"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00024/SMOV/IP/2023</w:t>
            </w:r>
          </w:p>
          <w:p w14:paraId="5DABE0FE"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01043/INFOEM/IP/RR/2023</w:t>
            </w:r>
          </w:p>
        </w:tc>
        <w:tc>
          <w:tcPr>
            <w:tcW w:w="5670" w:type="dxa"/>
          </w:tcPr>
          <w:p w14:paraId="25E34CD0" w14:textId="77777777" w:rsidR="000C236F" w:rsidRPr="007D449B" w:rsidRDefault="00A17FA6" w:rsidP="007D449B">
            <w:pP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De conformidad con el artículo 5 de la Constitución se solicitan todos los convenios firmados por el </w:t>
            </w:r>
            <w:proofErr w:type="gramStart"/>
            <w:r w:rsidRPr="007D449B">
              <w:rPr>
                <w:rFonts w:ascii="Palatino Linotype" w:eastAsia="Palatino Linotype" w:hAnsi="Palatino Linotype" w:cs="Palatino Linotype"/>
                <w:i/>
                <w:sz w:val="20"/>
                <w:szCs w:val="20"/>
              </w:rPr>
              <w:t>Secretario</w:t>
            </w:r>
            <w:proofErr w:type="gramEnd"/>
            <w:r w:rsidRPr="007D449B">
              <w:rPr>
                <w:rFonts w:ascii="Palatino Linotype" w:eastAsia="Palatino Linotype" w:hAnsi="Palatino Linotype" w:cs="Palatino Linotype"/>
                <w:i/>
                <w:sz w:val="20"/>
                <w:szCs w:val="20"/>
              </w:rPr>
              <w:t xml:space="preserve"> de Movilidad y Secretario antes de </w:t>
            </w:r>
            <w:proofErr w:type="spellStart"/>
            <w:r w:rsidRPr="007D449B">
              <w:rPr>
                <w:rFonts w:ascii="Palatino Linotype" w:eastAsia="Palatino Linotype" w:hAnsi="Palatino Linotype" w:cs="Palatino Linotype"/>
                <w:i/>
                <w:sz w:val="20"/>
                <w:szCs w:val="20"/>
              </w:rPr>
              <w:t>comuniciaciones</w:t>
            </w:r>
            <w:proofErr w:type="spellEnd"/>
            <w:r w:rsidRPr="007D449B">
              <w:rPr>
                <w:rFonts w:ascii="Palatino Linotype" w:eastAsia="Palatino Linotype" w:hAnsi="Palatino Linotype" w:cs="Palatino Linotype"/>
                <w:i/>
                <w:sz w:val="20"/>
                <w:szCs w:val="20"/>
              </w:rPr>
              <w:t xml:space="preserve"> en los últimos 5 años</w:t>
            </w:r>
          </w:p>
        </w:tc>
      </w:tr>
    </w:tbl>
    <w:p w14:paraId="418B0AB5"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b/>
        </w:rPr>
      </w:pPr>
    </w:p>
    <w:p w14:paraId="0E269D78"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bookmarkStart w:id="4" w:name="_heading=h.2et92p0" w:colFirst="0" w:colLast="0"/>
      <w:bookmarkEnd w:id="4"/>
      <w:r w:rsidRPr="007D449B">
        <w:rPr>
          <w:rFonts w:ascii="Palatino Linotype" w:eastAsia="Palatino Linotype" w:hAnsi="Palatino Linotype" w:cs="Palatino Linotype"/>
          <w:b/>
        </w:rPr>
        <w:lastRenderedPageBreak/>
        <w:t xml:space="preserve">Modalidad elegida para la entrega de la información: </w:t>
      </w:r>
      <w:r w:rsidRPr="007D449B">
        <w:rPr>
          <w:rFonts w:ascii="Palatino Linotype" w:eastAsia="Palatino Linotype" w:hAnsi="Palatino Linotype" w:cs="Palatino Linotype"/>
        </w:rPr>
        <w:t>a través del Sistema de Acceso a la Información Mexiquense.</w:t>
      </w:r>
    </w:p>
    <w:p w14:paraId="7A73C4A7"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sz w:val="22"/>
          <w:szCs w:val="22"/>
        </w:rPr>
      </w:pPr>
    </w:p>
    <w:p w14:paraId="464C467C" w14:textId="77777777" w:rsidR="000C236F" w:rsidRPr="007D449B" w:rsidRDefault="00A17FA6" w:rsidP="007D449B">
      <w:pPr>
        <w:numPr>
          <w:ilvl w:val="3"/>
          <w:numId w:val="7"/>
        </w:numPr>
        <w:pBdr>
          <w:top w:val="nil"/>
          <w:left w:val="nil"/>
          <w:bottom w:val="nil"/>
          <w:right w:val="nil"/>
          <w:between w:val="nil"/>
        </w:pBdr>
        <w:shd w:val="clear" w:color="auto" w:fill="FFFFFF" w:themeFill="background1"/>
        <w:tabs>
          <w:tab w:val="left" w:pos="284"/>
        </w:tabs>
        <w:spacing w:line="360" w:lineRule="auto"/>
        <w:ind w:left="0" w:firstLine="0"/>
        <w:jc w:val="both"/>
        <w:rPr>
          <w:rFonts w:ascii="Palatino Linotype" w:eastAsia="Palatino Linotype" w:hAnsi="Palatino Linotype" w:cs="Palatino Linotype"/>
        </w:rPr>
      </w:pPr>
      <w:r w:rsidRPr="007D449B">
        <w:rPr>
          <w:rFonts w:ascii="Palatino Linotype" w:eastAsia="Palatino Linotype" w:hAnsi="Palatino Linotype" w:cs="Palatino Linotype"/>
          <w:b/>
        </w:rPr>
        <w:t>Respuesta.</w:t>
      </w:r>
      <w:r w:rsidRPr="007D449B">
        <w:rPr>
          <w:rFonts w:ascii="Palatino Linotype" w:eastAsia="Palatino Linotype" w:hAnsi="Palatino Linotype" w:cs="Palatino Linotype"/>
        </w:rPr>
        <w:t xml:space="preserve"> En fecha </w:t>
      </w:r>
      <w:r w:rsidRPr="007D449B">
        <w:rPr>
          <w:rFonts w:ascii="Palatino Linotype" w:eastAsia="Palatino Linotype" w:hAnsi="Palatino Linotype" w:cs="Palatino Linotype"/>
          <w:b/>
        </w:rPr>
        <w:t>dos y</w:t>
      </w:r>
      <w:r w:rsidRPr="007D449B">
        <w:rPr>
          <w:rFonts w:ascii="Palatino Linotype" w:eastAsia="Palatino Linotype" w:hAnsi="Palatino Linotype" w:cs="Palatino Linotype"/>
        </w:rPr>
        <w:t xml:space="preserve"> </w:t>
      </w:r>
      <w:r w:rsidRPr="007D449B">
        <w:rPr>
          <w:rFonts w:ascii="Palatino Linotype" w:eastAsia="Palatino Linotype" w:hAnsi="Palatino Linotype" w:cs="Palatino Linotype"/>
          <w:b/>
        </w:rPr>
        <w:t>trece de febrero de dos mil veintitrés</w:t>
      </w:r>
      <w:r w:rsidRPr="007D449B">
        <w:rPr>
          <w:rFonts w:ascii="Palatino Linotype" w:eastAsia="Palatino Linotype" w:hAnsi="Palatino Linotype" w:cs="Palatino Linotype"/>
        </w:rPr>
        <w:t xml:space="preserve">, el Sujeto Obligado emitió respuestas a las solicitudes de información, precisando lo siguiente: </w:t>
      </w:r>
    </w:p>
    <w:p w14:paraId="7738DAC9" w14:textId="77777777" w:rsidR="000C236F" w:rsidRPr="007D449B" w:rsidRDefault="000C236F" w:rsidP="007D449B">
      <w:pPr>
        <w:pBdr>
          <w:top w:val="nil"/>
          <w:left w:val="nil"/>
          <w:bottom w:val="nil"/>
          <w:right w:val="nil"/>
          <w:between w:val="nil"/>
        </w:pBdr>
        <w:shd w:val="clear" w:color="auto" w:fill="FFFFFF" w:themeFill="background1"/>
        <w:tabs>
          <w:tab w:val="left" w:pos="284"/>
        </w:tabs>
        <w:spacing w:line="360" w:lineRule="auto"/>
        <w:jc w:val="both"/>
        <w:rPr>
          <w:rFonts w:ascii="Palatino Linotype" w:eastAsia="Palatino Linotype" w:hAnsi="Palatino Linotype" w:cs="Palatino Linotype"/>
        </w:rPr>
      </w:pPr>
    </w:p>
    <w:tbl>
      <w:tblPr>
        <w:tblStyle w:val="aff3"/>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7D449B" w:rsidRPr="007D449B" w14:paraId="6DA0DE18" w14:textId="77777777">
        <w:tc>
          <w:tcPr>
            <w:tcW w:w="3256" w:type="dxa"/>
            <w:shd w:val="clear" w:color="auto" w:fill="D9D9D9"/>
          </w:tcPr>
          <w:p w14:paraId="5B2E45C2" w14:textId="77777777" w:rsidR="000C236F" w:rsidRPr="007D449B" w:rsidRDefault="00A17FA6" w:rsidP="007D449B">
            <w:pPr>
              <w:shd w:val="clear" w:color="auto" w:fill="FFFFFF" w:themeFill="background1"/>
              <w:tabs>
                <w:tab w:val="right" w:pos="3026"/>
              </w:tabs>
              <w:spacing w:line="360" w:lineRule="auto"/>
              <w:jc w:val="center"/>
              <w:rPr>
                <w:rFonts w:ascii="Palatino Linotype" w:eastAsia="Palatino Linotype" w:hAnsi="Palatino Linotype" w:cs="Palatino Linotype"/>
                <w:b/>
                <w:sz w:val="20"/>
                <w:szCs w:val="20"/>
              </w:rPr>
            </w:pPr>
            <w:r w:rsidRPr="007D449B">
              <w:rPr>
                <w:rFonts w:ascii="Palatino Linotype" w:eastAsia="Palatino Linotype" w:hAnsi="Palatino Linotype" w:cs="Palatino Linotype"/>
                <w:b/>
                <w:sz w:val="20"/>
                <w:szCs w:val="20"/>
              </w:rPr>
              <w:t>Número de solicitud</w:t>
            </w:r>
          </w:p>
        </w:tc>
        <w:tc>
          <w:tcPr>
            <w:tcW w:w="5670" w:type="dxa"/>
            <w:shd w:val="clear" w:color="auto" w:fill="D9D9D9"/>
          </w:tcPr>
          <w:p w14:paraId="1936FD51" w14:textId="77777777" w:rsidR="000C236F" w:rsidRPr="007D449B" w:rsidRDefault="00A17FA6" w:rsidP="007D449B">
            <w:pPr>
              <w:shd w:val="clear" w:color="auto" w:fill="FFFFFF" w:themeFill="background1"/>
              <w:spacing w:line="360" w:lineRule="auto"/>
              <w:jc w:val="center"/>
              <w:rPr>
                <w:rFonts w:ascii="Palatino Linotype" w:eastAsia="Palatino Linotype" w:hAnsi="Palatino Linotype" w:cs="Palatino Linotype"/>
                <w:b/>
                <w:sz w:val="20"/>
                <w:szCs w:val="20"/>
              </w:rPr>
            </w:pPr>
            <w:r w:rsidRPr="007D449B">
              <w:rPr>
                <w:rFonts w:ascii="Palatino Linotype" w:eastAsia="Palatino Linotype" w:hAnsi="Palatino Linotype" w:cs="Palatino Linotype"/>
                <w:b/>
                <w:sz w:val="20"/>
                <w:szCs w:val="20"/>
              </w:rPr>
              <w:t>Respuesta</w:t>
            </w:r>
          </w:p>
        </w:tc>
      </w:tr>
      <w:tr w:rsidR="007D449B" w:rsidRPr="007D449B" w14:paraId="07B2BD41" w14:textId="77777777">
        <w:tc>
          <w:tcPr>
            <w:tcW w:w="3256" w:type="dxa"/>
          </w:tcPr>
          <w:p w14:paraId="4F753E79"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00058/SMOV/IP/2023</w:t>
            </w:r>
          </w:p>
          <w:p w14:paraId="5FEA7641"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00844/INFOEM/IP/RR/2023</w:t>
            </w:r>
          </w:p>
        </w:tc>
        <w:tc>
          <w:tcPr>
            <w:tcW w:w="5670" w:type="dxa"/>
          </w:tcPr>
          <w:p w14:paraId="40C794B3"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Primer convenio modificatorio y adicional al convenio de colaboración que celebra el gobierno federal y la secretaría de movilidad del </w:t>
            </w:r>
            <w:r w:rsidRPr="007D449B">
              <w:rPr>
                <w:rFonts w:ascii="Palatino Linotype" w:eastAsia="Palatino Linotype" w:hAnsi="Palatino Linotype" w:cs="Palatino Linotype"/>
                <w:b/>
                <w:i/>
                <w:sz w:val="20"/>
                <w:szCs w:val="20"/>
              </w:rPr>
              <w:t xml:space="preserve">veintinueve de octubre de dos mil veintiuno. </w:t>
            </w:r>
          </w:p>
          <w:p w14:paraId="43A05EE2"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Convenio marco de coordinación de acciones, que celebra el Bando Nacional de Obras, el Gobierno del Estado de México y el Gobierno de la Ciudad de México del </w:t>
            </w:r>
            <w:r w:rsidRPr="007D449B">
              <w:rPr>
                <w:rFonts w:ascii="Palatino Linotype" w:eastAsia="Palatino Linotype" w:hAnsi="Palatino Linotype" w:cs="Palatino Linotype"/>
                <w:b/>
                <w:i/>
                <w:sz w:val="20"/>
                <w:szCs w:val="20"/>
              </w:rPr>
              <w:t xml:space="preserve">veinticuatro de septiembre de dos mil veintiuno. </w:t>
            </w:r>
          </w:p>
          <w:p w14:paraId="7A64E55B"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Convenio Marco de Coordinación de Acciones que celebran el Ejecutivo Federal, la Secretaría de Movilidad y el Gobierno de la Ciudad de México de fecha </w:t>
            </w:r>
            <w:r w:rsidRPr="007D449B">
              <w:rPr>
                <w:rFonts w:ascii="Palatino Linotype" w:eastAsia="Palatino Linotype" w:hAnsi="Palatino Linotype" w:cs="Palatino Linotype"/>
                <w:b/>
                <w:i/>
                <w:sz w:val="20"/>
                <w:szCs w:val="20"/>
              </w:rPr>
              <w:t xml:space="preserve">veintidós de marzo de dos mil veintiuno. </w:t>
            </w:r>
            <w:r w:rsidRPr="007D449B">
              <w:rPr>
                <w:rFonts w:ascii="Palatino Linotype" w:eastAsia="Palatino Linotype" w:hAnsi="Palatino Linotype" w:cs="Palatino Linotype"/>
                <w:i/>
                <w:sz w:val="20"/>
                <w:szCs w:val="20"/>
              </w:rPr>
              <w:t xml:space="preserve"> </w:t>
            </w:r>
          </w:p>
          <w:p w14:paraId="0BBFCB6C"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Convenio de colaboración que celebra el Ejecutivo Federal y el Gobierno del Estado de México el </w:t>
            </w:r>
            <w:r w:rsidRPr="007D449B">
              <w:rPr>
                <w:rFonts w:ascii="Palatino Linotype" w:eastAsia="Palatino Linotype" w:hAnsi="Palatino Linotype" w:cs="Palatino Linotype"/>
                <w:b/>
                <w:i/>
                <w:sz w:val="20"/>
                <w:szCs w:val="20"/>
              </w:rPr>
              <w:t xml:space="preserve">dieciocho de febrero de dos mil veintidós. </w:t>
            </w:r>
          </w:p>
          <w:p w14:paraId="57EBAF59"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Convenio General de Coordinación de Acciones para la Construcción, Operación y Mantenimiento del Proyecto denominado “Ciclovía Metropolitana” el </w:t>
            </w:r>
            <w:r w:rsidRPr="007D449B">
              <w:rPr>
                <w:rFonts w:ascii="Palatino Linotype" w:eastAsia="Palatino Linotype" w:hAnsi="Palatino Linotype" w:cs="Palatino Linotype"/>
                <w:b/>
                <w:i/>
                <w:sz w:val="20"/>
                <w:szCs w:val="20"/>
              </w:rPr>
              <w:t xml:space="preserve">veinte de octubre de dos mil veintidós. </w:t>
            </w:r>
          </w:p>
        </w:tc>
      </w:tr>
      <w:tr w:rsidR="000C236F" w:rsidRPr="007D449B" w14:paraId="2BE92BBF" w14:textId="77777777">
        <w:tc>
          <w:tcPr>
            <w:tcW w:w="3256" w:type="dxa"/>
          </w:tcPr>
          <w:p w14:paraId="6F132ADF"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00024/SMOV/IP/2023</w:t>
            </w:r>
          </w:p>
          <w:p w14:paraId="4D60990F"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01043/INFOEM/IP/RR/2023</w:t>
            </w:r>
          </w:p>
        </w:tc>
        <w:tc>
          <w:tcPr>
            <w:tcW w:w="5670" w:type="dxa"/>
          </w:tcPr>
          <w:p w14:paraId="0DDCAB98"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Archivo ZIP que contiene diversos convenios de los años solicitados. </w:t>
            </w:r>
          </w:p>
          <w:p w14:paraId="65AFA335"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Acta de la Décima Cuarta Sesión Extraordinaria del año dos mil veintitrés. </w:t>
            </w:r>
          </w:p>
          <w:p w14:paraId="1E1522EA"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Oficio de fecha dos de febrero de dos mil veintitrés, signado por el Titular de la Unidad de Transparencia, mediante el cual informa que, derivado de una búsqueda en los archivos y registros del Departamento de Contratos, Convenios y Acuerdos adscrito a la Dirección Consultivo de la Dirección General de Asuntos Jurídicos e Igualdad de Género se localizaron un total de noventa convenios suscritos por las </w:t>
            </w:r>
            <w:r w:rsidRPr="007D449B">
              <w:rPr>
                <w:rFonts w:ascii="Palatino Linotype" w:eastAsia="Palatino Linotype" w:hAnsi="Palatino Linotype" w:cs="Palatino Linotype"/>
                <w:i/>
                <w:sz w:val="20"/>
                <w:szCs w:val="20"/>
              </w:rPr>
              <w:lastRenderedPageBreak/>
              <w:t>personas titulares de la Secretaría de Comunicaciones y Secretaría de Movilidad durante los años 2018, 2019, 2020, 2021 y 2022</w:t>
            </w:r>
          </w:p>
        </w:tc>
      </w:tr>
    </w:tbl>
    <w:p w14:paraId="2B4015D4"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b/>
        </w:rPr>
      </w:pPr>
    </w:p>
    <w:p w14:paraId="54923EE1" w14:textId="77777777" w:rsidR="000C236F" w:rsidRPr="007D449B" w:rsidRDefault="00A17FA6" w:rsidP="007D449B">
      <w:pPr>
        <w:numPr>
          <w:ilvl w:val="3"/>
          <w:numId w:val="7"/>
        </w:numPr>
        <w:pBdr>
          <w:top w:val="nil"/>
          <w:left w:val="nil"/>
          <w:bottom w:val="nil"/>
          <w:right w:val="nil"/>
          <w:between w:val="nil"/>
        </w:pBdr>
        <w:shd w:val="clear" w:color="auto" w:fill="FFFFFF" w:themeFill="background1"/>
        <w:tabs>
          <w:tab w:val="left" w:pos="284"/>
        </w:tabs>
        <w:spacing w:line="360" w:lineRule="auto"/>
        <w:ind w:left="0" w:firstLine="0"/>
        <w:jc w:val="both"/>
        <w:rPr>
          <w:rFonts w:ascii="Palatino Linotype" w:eastAsia="Palatino Linotype" w:hAnsi="Palatino Linotype" w:cs="Palatino Linotype"/>
        </w:rPr>
      </w:pPr>
      <w:r w:rsidRPr="007D449B">
        <w:rPr>
          <w:rFonts w:ascii="Palatino Linotype" w:eastAsia="Palatino Linotype" w:hAnsi="Palatino Linotype" w:cs="Palatino Linotype"/>
          <w:b/>
        </w:rPr>
        <w:t xml:space="preserve">Interposición de los recursos de revisión. </w:t>
      </w:r>
      <w:r w:rsidRPr="007D449B">
        <w:rPr>
          <w:rFonts w:ascii="Palatino Linotype" w:eastAsia="Palatino Linotype" w:hAnsi="Palatino Linotype" w:cs="Palatino Linotype"/>
        </w:rPr>
        <w:t xml:space="preserve">En fecha </w:t>
      </w:r>
      <w:r w:rsidRPr="007D449B">
        <w:rPr>
          <w:rFonts w:ascii="Palatino Linotype" w:eastAsia="Palatino Linotype" w:hAnsi="Palatino Linotype" w:cs="Palatino Linotype"/>
          <w:b/>
        </w:rPr>
        <w:t>catorce y veintidós de febrero de dos mil veintitrés</w:t>
      </w:r>
      <w:r w:rsidRPr="007D449B">
        <w:rPr>
          <w:rFonts w:ascii="Palatino Linotype" w:eastAsia="Palatino Linotype" w:hAnsi="Palatino Linotype" w:cs="Palatino Linotype"/>
        </w:rPr>
        <w:t xml:space="preserve">, la parte </w:t>
      </w:r>
      <w:r w:rsidRPr="007D449B">
        <w:rPr>
          <w:rFonts w:ascii="Palatino Linotype" w:eastAsia="Palatino Linotype" w:hAnsi="Palatino Linotype" w:cs="Palatino Linotype"/>
          <w:b/>
        </w:rPr>
        <w:t xml:space="preserve">RECURRENTE </w:t>
      </w:r>
      <w:r w:rsidRPr="007D449B">
        <w:rPr>
          <w:rFonts w:ascii="Palatino Linotype" w:eastAsia="Palatino Linotype" w:hAnsi="Palatino Linotype" w:cs="Palatino Linotype"/>
        </w:rPr>
        <w:t xml:space="preserve">interpuso los Recursos de Revisión, en los que expresó los siguientes motivos de inconformidad: </w:t>
      </w:r>
    </w:p>
    <w:p w14:paraId="098327EA"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tbl>
      <w:tblPr>
        <w:tblStyle w:val="aff4"/>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7D449B" w:rsidRPr="007D449B" w14:paraId="1E209DB2" w14:textId="77777777">
        <w:tc>
          <w:tcPr>
            <w:tcW w:w="3256" w:type="dxa"/>
            <w:shd w:val="clear" w:color="auto" w:fill="D9D9D9"/>
          </w:tcPr>
          <w:p w14:paraId="079EFE40" w14:textId="77777777" w:rsidR="000C236F" w:rsidRPr="007D449B" w:rsidRDefault="00A17FA6" w:rsidP="007D449B">
            <w:pPr>
              <w:shd w:val="clear" w:color="auto" w:fill="FFFFFF" w:themeFill="background1"/>
              <w:tabs>
                <w:tab w:val="right" w:pos="3026"/>
              </w:tabs>
              <w:spacing w:line="360" w:lineRule="auto"/>
              <w:jc w:val="center"/>
              <w:rPr>
                <w:rFonts w:ascii="Palatino Linotype" w:eastAsia="Palatino Linotype" w:hAnsi="Palatino Linotype" w:cs="Palatino Linotype"/>
                <w:b/>
                <w:sz w:val="20"/>
                <w:szCs w:val="20"/>
              </w:rPr>
            </w:pPr>
            <w:r w:rsidRPr="007D449B">
              <w:rPr>
                <w:rFonts w:ascii="Palatino Linotype" w:eastAsia="Palatino Linotype" w:hAnsi="Palatino Linotype" w:cs="Palatino Linotype"/>
                <w:b/>
                <w:sz w:val="20"/>
                <w:szCs w:val="20"/>
              </w:rPr>
              <w:t>Número de solicitud</w:t>
            </w:r>
          </w:p>
        </w:tc>
        <w:tc>
          <w:tcPr>
            <w:tcW w:w="5670" w:type="dxa"/>
            <w:shd w:val="clear" w:color="auto" w:fill="D9D9D9"/>
          </w:tcPr>
          <w:p w14:paraId="798C803D" w14:textId="77777777" w:rsidR="000C236F" w:rsidRPr="007D449B" w:rsidRDefault="00A17FA6" w:rsidP="007D449B">
            <w:pPr>
              <w:shd w:val="clear" w:color="auto" w:fill="FFFFFF" w:themeFill="background1"/>
              <w:spacing w:line="360" w:lineRule="auto"/>
              <w:jc w:val="center"/>
              <w:rPr>
                <w:rFonts w:ascii="Palatino Linotype" w:eastAsia="Palatino Linotype" w:hAnsi="Palatino Linotype" w:cs="Palatino Linotype"/>
                <w:b/>
                <w:sz w:val="20"/>
                <w:szCs w:val="20"/>
              </w:rPr>
            </w:pPr>
            <w:r w:rsidRPr="007D449B">
              <w:rPr>
                <w:rFonts w:ascii="Palatino Linotype" w:eastAsia="Palatino Linotype" w:hAnsi="Palatino Linotype" w:cs="Palatino Linotype"/>
                <w:b/>
                <w:sz w:val="20"/>
                <w:szCs w:val="20"/>
              </w:rPr>
              <w:t>Motivos de Inconformidad</w:t>
            </w:r>
          </w:p>
        </w:tc>
      </w:tr>
      <w:tr w:rsidR="007D449B" w:rsidRPr="007D449B" w14:paraId="05E9AA31" w14:textId="77777777">
        <w:tc>
          <w:tcPr>
            <w:tcW w:w="3256" w:type="dxa"/>
          </w:tcPr>
          <w:p w14:paraId="644E811D"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00058/SMOV/IP/2023</w:t>
            </w:r>
          </w:p>
          <w:p w14:paraId="32BC325E"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00844/INFOEM/IP/RR/2023</w:t>
            </w:r>
          </w:p>
        </w:tc>
        <w:tc>
          <w:tcPr>
            <w:tcW w:w="5670" w:type="dxa"/>
          </w:tcPr>
          <w:p w14:paraId="78E50B26" w14:textId="77777777" w:rsidR="000C236F" w:rsidRPr="007D449B" w:rsidRDefault="00A17FA6" w:rsidP="007D449B">
            <w:pP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“Faltan contratos de los años solicitados”. </w:t>
            </w:r>
          </w:p>
        </w:tc>
      </w:tr>
      <w:tr w:rsidR="000C236F" w:rsidRPr="007D449B" w14:paraId="73B943DD" w14:textId="77777777">
        <w:trPr>
          <w:trHeight w:val="401"/>
        </w:trPr>
        <w:tc>
          <w:tcPr>
            <w:tcW w:w="3256" w:type="dxa"/>
          </w:tcPr>
          <w:p w14:paraId="7032D72A"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00024/SMOV/IP/2023</w:t>
            </w:r>
          </w:p>
          <w:p w14:paraId="69755D64"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01043/INFOEM/IP/RR/2023</w:t>
            </w:r>
          </w:p>
        </w:tc>
        <w:tc>
          <w:tcPr>
            <w:tcW w:w="5670" w:type="dxa"/>
          </w:tcPr>
          <w:p w14:paraId="568CBE56" w14:textId="77777777" w:rsidR="000C236F" w:rsidRPr="007D449B" w:rsidRDefault="00A17FA6" w:rsidP="007D449B">
            <w:pP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“Se ve que no se entregan todos los convenios ya que nosotros participamos en unos </w:t>
            </w:r>
            <w:proofErr w:type="spellStart"/>
            <w:r w:rsidRPr="007D449B">
              <w:rPr>
                <w:rFonts w:ascii="Palatino Linotype" w:eastAsia="Palatino Linotype" w:hAnsi="Palatino Linotype" w:cs="Palatino Linotype"/>
                <w:i/>
                <w:sz w:val="20"/>
                <w:szCs w:val="20"/>
              </w:rPr>
              <w:t>de el</w:t>
            </w:r>
            <w:proofErr w:type="spellEnd"/>
            <w:r w:rsidRPr="007D449B">
              <w:rPr>
                <w:rFonts w:ascii="Palatino Linotype" w:eastAsia="Palatino Linotype" w:hAnsi="Palatino Linotype" w:cs="Palatino Linotype"/>
                <w:i/>
                <w:sz w:val="20"/>
                <w:szCs w:val="20"/>
              </w:rPr>
              <w:t xml:space="preserve"> año 2020 y no los entregan claro se ve que no </w:t>
            </w:r>
            <w:proofErr w:type="spellStart"/>
            <w:r w:rsidRPr="007D449B">
              <w:rPr>
                <w:rFonts w:ascii="Palatino Linotype" w:eastAsia="Palatino Linotype" w:hAnsi="Palatino Linotype" w:cs="Palatino Linotype"/>
                <w:i/>
                <w:sz w:val="20"/>
                <w:szCs w:val="20"/>
              </w:rPr>
              <w:t>esta</w:t>
            </w:r>
            <w:proofErr w:type="spellEnd"/>
            <w:r w:rsidRPr="007D449B">
              <w:rPr>
                <w:rFonts w:ascii="Palatino Linotype" w:eastAsia="Palatino Linotype" w:hAnsi="Palatino Linotype" w:cs="Palatino Linotype"/>
                <w:i/>
                <w:sz w:val="20"/>
                <w:szCs w:val="20"/>
              </w:rPr>
              <w:t xml:space="preserve"> completo lo que entregan en esta </w:t>
            </w:r>
            <w:proofErr w:type="spellStart"/>
            <w:r w:rsidRPr="007D449B">
              <w:rPr>
                <w:rFonts w:ascii="Palatino Linotype" w:eastAsia="Palatino Linotype" w:hAnsi="Palatino Linotype" w:cs="Palatino Linotype"/>
                <w:i/>
                <w:sz w:val="20"/>
                <w:szCs w:val="20"/>
              </w:rPr>
              <w:t>solciitud</w:t>
            </w:r>
            <w:proofErr w:type="spellEnd"/>
            <w:r w:rsidRPr="007D449B">
              <w:rPr>
                <w:rFonts w:ascii="Palatino Linotype" w:eastAsia="Palatino Linotype" w:hAnsi="Palatino Linotype" w:cs="Palatino Linotype"/>
                <w:i/>
                <w:sz w:val="20"/>
                <w:szCs w:val="20"/>
              </w:rPr>
              <w:t xml:space="preserve">. y se entrega con </w:t>
            </w:r>
            <w:proofErr w:type="gramStart"/>
            <w:r w:rsidRPr="007D449B">
              <w:rPr>
                <w:rFonts w:ascii="Palatino Linotype" w:eastAsia="Palatino Linotype" w:hAnsi="Palatino Linotype" w:cs="Palatino Linotype"/>
                <w:i/>
                <w:sz w:val="20"/>
                <w:szCs w:val="20"/>
              </w:rPr>
              <w:t>una acta</w:t>
            </w:r>
            <w:proofErr w:type="gramEnd"/>
            <w:r w:rsidRPr="007D449B">
              <w:rPr>
                <w:rFonts w:ascii="Palatino Linotype" w:eastAsia="Palatino Linotype" w:hAnsi="Palatino Linotype" w:cs="Palatino Linotype"/>
                <w:i/>
                <w:sz w:val="20"/>
                <w:szCs w:val="20"/>
              </w:rPr>
              <w:t xml:space="preserve"> sin validez que no </w:t>
            </w:r>
            <w:proofErr w:type="spellStart"/>
            <w:r w:rsidRPr="007D449B">
              <w:rPr>
                <w:rFonts w:ascii="Palatino Linotype" w:eastAsia="Palatino Linotype" w:hAnsi="Palatino Linotype" w:cs="Palatino Linotype"/>
                <w:i/>
                <w:sz w:val="20"/>
                <w:szCs w:val="20"/>
              </w:rPr>
              <w:t>esta</w:t>
            </w:r>
            <w:proofErr w:type="spellEnd"/>
            <w:r w:rsidRPr="007D449B">
              <w:rPr>
                <w:rFonts w:ascii="Palatino Linotype" w:eastAsia="Palatino Linotype" w:hAnsi="Palatino Linotype" w:cs="Palatino Linotype"/>
                <w:i/>
                <w:sz w:val="20"/>
                <w:szCs w:val="20"/>
              </w:rPr>
              <w:t xml:space="preserve"> firmada”. </w:t>
            </w:r>
          </w:p>
          <w:p w14:paraId="706ED07E" w14:textId="77777777" w:rsidR="000C236F" w:rsidRPr="007D449B" w:rsidRDefault="000C236F" w:rsidP="007D449B">
            <w:pPr>
              <w:shd w:val="clear" w:color="auto" w:fill="FFFFFF" w:themeFill="background1"/>
              <w:jc w:val="both"/>
              <w:rPr>
                <w:rFonts w:ascii="Palatino Linotype" w:eastAsia="Palatino Linotype" w:hAnsi="Palatino Linotype" w:cs="Palatino Linotype"/>
                <w:i/>
                <w:sz w:val="20"/>
                <w:szCs w:val="20"/>
              </w:rPr>
            </w:pPr>
          </w:p>
          <w:p w14:paraId="66415726" w14:textId="77777777" w:rsidR="000C236F" w:rsidRPr="007D449B" w:rsidRDefault="00A17FA6" w:rsidP="007D449B">
            <w:pP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“No entrega la información completa”. </w:t>
            </w:r>
          </w:p>
        </w:tc>
      </w:tr>
    </w:tbl>
    <w:p w14:paraId="256D672E"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b/>
        </w:rPr>
      </w:pPr>
      <w:bookmarkStart w:id="5" w:name="_heading=h.3dy6vkm" w:colFirst="0" w:colLast="0"/>
      <w:bookmarkEnd w:id="5"/>
    </w:p>
    <w:p w14:paraId="711C06C8" w14:textId="77777777" w:rsidR="000C236F" w:rsidRPr="007D449B" w:rsidRDefault="00A17FA6" w:rsidP="007D449B">
      <w:pPr>
        <w:numPr>
          <w:ilvl w:val="3"/>
          <w:numId w:val="7"/>
        </w:numPr>
        <w:pBdr>
          <w:top w:val="nil"/>
          <w:left w:val="nil"/>
          <w:bottom w:val="nil"/>
          <w:right w:val="nil"/>
          <w:between w:val="nil"/>
        </w:pBdr>
        <w:shd w:val="clear" w:color="auto" w:fill="FFFFFF" w:themeFill="background1"/>
        <w:tabs>
          <w:tab w:val="left" w:pos="284"/>
        </w:tabs>
        <w:spacing w:line="360" w:lineRule="auto"/>
        <w:ind w:left="0" w:firstLine="0"/>
        <w:jc w:val="both"/>
        <w:rPr>
          <w:rFonts w:ascii="Palatino Linotype" w:eastAsia="Palatino Linotype" w:hAnsi="Palatino Linotype" w:cs="Palatino Linotype"/>
        </w:rPr>
      </w:pPr>
      <w:r w:rsidRPr="007D449B">
        <w:rPr>
          <w:rFonts w:ascii="Palatino Linotype" w:eastAsia="Palatino Linotype" w:hAnsi="Palatino Linotype" w:cs="Palatino Linotype"/>
          <w:b/>
        </w:rPr>
        <w:t xml:space="preserve">Turno. </w:t>
      </w:r>
      <w:r w:rsidRPr="007D449B">
        <w:rPr>
          <w:rFonts w:ascii="Palatino Linotype" w:eastAsia="Palatino Linotype" w:hAnsi="Palatino Linotype" w:cs="Palatino Linotype"/>
        </w:rPr>
        <w:t xml:space="preserve">De conformidad con el artículo 185 fracción I de la Ley Transparencia y Acceso a la Información Pública, los recursos de revisión números </w:t>
      </w:r>
      <w:r w:rsidRPr="007D449B">
        <w:rPr>
          <w:rFonts w:ascii="Palatino Linotype" w:eastAsia="Palatino Linotype" w:hAnsi="Palatino Linotype" w:cs="Palatino Linotype"/>
          <w:b/>
        </w:rPr>
        <w:t>00844/INFOEM/IP/RR/2023</w:t>
      </w:r>
      <w:r w:rsidRPr="007D449B">
        <w:rPr>
          <w:rFonts w:ascii="Palatino Linotype" w:eastAsia="Palatino Linotype" w:hAnsi="Palatino Linotype" w:cs="Palatino Linotype"/>
        </w:rPr>
        <w:t xml:space="preserve"> </w:t>
      </w:r>
      <w:r w:rsidRPr="007D449B">
        <w:rPr>
          <w:rFonts w:ascii="Palatino Linotype" w:eastAsia="Palatino Linotype" w:hAnsi="Palatino Linotype" w:cs="Palatino Linotype"/>
          <w:b/>
        </w:rPr>
        <w:t xml:space="preserve">y 01043/INFOEM/IP/RR/2023 </w:t>
      </w:r>
      <w:r w:rsidRPr="007D449B">
        <w:rPr>
          <w:rFonts w:ascii="Palatino Linotype" w:eastAsia="Palatino Linotype" w:hAnsi="Palatino Linotype" w:cs="Palatino Linotype"/>
        </w:rPr>
        <w:t>fueron turnados a la Comisionada Guadalupe Ramírez Peña y a la Comisionada María del Rosario Mejía Ayala a efecto de presentar al Pleno los proyectos de resolución correspondientes.</w:t>
      </w:r>
    </w:p>
    <w:p w14:paraId="5B3D13E6" w14:textId="77777777" w:rsidR="000C236F" w:rsidRPr="007D449B" w:rsidRDefault="000C236F" w:rsidP="007D449B">
      <w:pPr>
        <w:pBdr>
          <w:top w:val="nil"/>
          <w:left w:val="nil"/>
          <w:bottom w:val="nil"/>
          <w:right w:val="nil"/>
          <w:between w:val="nil"/>
        </w:pBdr>
        <w:shd w:val="clear" w:color="auto" w:fill="FFFFFF" w:themeFill="background1"/>
        <w:tabs>
          <w:tab w:val="left" w:pos="284"/>
        </w:tabs>
        <w:spacing w:line="360" w:lineRule="auto"/>
        <w:jc w:val="both"/>
        <w:rPr>
          <w:rFonts w:ascii="Palatino Linotype" w:eastAsia="Palatino Linotype" w:hAnsi="Palatino Linotype" w:cs="Palatino Linotype"/>
        </w:rPr>
      </w:pPr>
    </w:p>
    <w:p w14:paraId="51315876" w14:textId="77777777" w:rsidR="000C236F" w:rsidRPr="007D449B" w:rsidRDefault="00A17FA6" w:rsidP="007D449B">
      <w:pPr>
        <w:numPr>
          <w:ilvl w:val="3"/>
          <w:numId w:val="7"/>
        </w:numPr>
        <w:pBdr>
          <w:top w:val="nil"/>
          <w:left w:val="nil"/>
          <w:bottom w:val="nil"/>
          <w:right w:val="nil"/>
          <w:between w:val="nil"/>
        </w:pBdr>
        <w:shd w:val="clear" w:color="auto" w:fill="FFFFFF" w:themeFill="background1"/>
        <w:tabs>
          <w:tab w:val="left" w:pos="284"/>
        </w:tabs>
        <w:spacing w:line="360" w:lineRule="auto"/>
        <w:ind w:left="0" w:firstLine="0"/>
        <w:jc w:val="both"/>
        <w:rPr>
          <w:rFonts w:ascii="Palatino Linotype" w:eastAsia="Palatino Linotype" w:hAnsi="Palatino Linotype" w:cs="Palatino Linotype"/>
        </w:rPr>
      </w:pPr>
      <w:r w:rsidRPr="007D449B">
        <w:rPr>
          <w:rFonts w:ascii="Palatino Linotype" w:eastAsia="Palatino Linotype" w:hAnsi="Palatino Linotype" w:cs="Palatino Linotype"/>
          <w:b/>
        </w:rPr>
        <w:t xml:space="preserve">Admisión. </w:t>
      </w:r>
      <w:r w:rsidRPr="007D449B">
        <w:rPr>
          <w:rFonts w:ascii="Palatino Linotype" w:eastAsia="Palatino Linotype" w:hAnsi="Palatino Linotype" w:cs="Palatino Linotype"/>
        </w:rPr>
        <w:t xml:space="preserve">En fecha </w:t>
      </w:r>
      <w:r w:rsidRPr="007D449B">
        <w:rPr>
          <w:rFonts w:ascii="Palatino Linotype" w:eastAsia="Palatino Linotype" w:hAnsi="Palatino Linotype" w:cs="Palatino Linotype"/>
          <w:b/>
        </w:rPr>
        <w:t>diecisiete de febrero y seis de marzo de dos mil veintitrés</w:t>
      </w:r>
      <w:r w:rsidRPr="007D449B">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admitieron a trámite los recursos de revisión.</w:t>
      </w:r>
    </w:p>
    <w:p w14:paraId="6D1B9502" w14:textId="77777777" w:rsidR="000C236F" w:rsidRPr="007D449B" w:rsidRDefault="00A17FA6" w:rsidP="007D449B">
      <w:pPr>
        <w:numPr>
          <w:ilvl w:val="3"/>
          <w:numId w:val="7"/>
        </w:numPr>
        <w:pBdr>
          <w:top w:val="nil"/>
          <w:left w:val="nil"/>
          <w:bottom w:val="nil"/>
          <w:right w:val="nil"/>
          <w:between w:val="nil"/>
        </w:pBdr>
        <w:shd w:val="clear" w:color="auto" w:fill="FFFFFF" w:themeFill="background1"/>
        <w:tabs>
          <w:tab w:val="left" w:pos="284"/>
        </w:tabs>
        <w:spacing w:line="360" w:lineRule="auto"/>
        <w:ind w:left="0" w:firstLine="0"/>
        <w:jc w:val="both"/>
        <w:rPr>
          <w:rFonts w:ascii="Palatino Linotype" w:eastAsia="Palatino Linotype" w:hAnsi="Palatino Linotype" w:cs="Palatino Linotype"/>
          <w:sz w:val="28"/>
          <w:szCs w:val="28"/>
        </w:rPr>
      </w:pPr>
      <w:r w:rsidRPr="007D449B">
        <w:rPr>
          <w:rFonts w:ascii="Palatino Linotype" w:eastAsia="Palatino Linotype" w:hAnsi="Palatino Linotype" w:cs="Palatino Linotype"/>
          <w:b/>
        </w:rPr>
        <w:lastRenderedPageBreak/>
        <w:t xml:space="preserve">Acumulación. </w:t>
      </w:r>
      <w:r w:rsidRPr="007D449B">
        <w:rPr>
          <w:rFonts w:ascii="Palatino Linotype" w:eastAsia="Palatino Linotype" w:hAnsi="Palatino Linotype" w:cs="Palatino Linotype"/>
        </w:rPr>
        <w:t xml:space="preserve">En la </w:t>
      </w:r>
      <w:r w:rsidRPr="007D449B">
        <w:rPr>
          <w:rFonts w:ascii="Palatino Linotype" w:eastAsia="Palatino Linotype" w:hAnsi="Palatino Linotype" w:cs="Palatino Linotype"/>
          <w:b/>
        </w:rPr>
        <w:t>Novena Sesión Ordinaria</w:t>
      </w:r>
      <w:r w:rsidRPr="007D449B">
        <w:rPr>
          <w:rFonts w:ascii="Palatino Linotype" w:eastAsia="Palatino Linotype" w:hAnsi="Palatino Linotype" w:cs="Palatino Linotype"/>
        </w:rPr>
        <w:t xml:space="preserve"> celebradas </w:t>
      </w:r>
      <w:r w:rsidRPr="007D449B">
        <w:rPr>
          <w:rFonts w:ascii="Palatino Linotype" w:eastAsia="Palatino Linotype" w:hAnsi="Palatino Linotype" w:cs="Palatino Linotype"/>
          <w:b/>
        </w:rPr>
        <w:t>ocho de marzo de dos mil veintitrés</w:t>
      </w:r>
      <w:r w:rsidRPr="007D449B">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sidRPr="007D449B">
        <w:rPr>
          <w:rFonts w:ascii="Palatino Linotype" w:eastAsia="Palatino Linotype" w:hAnsi="Palatino Linotype" w:cs="Palatino Linotype"/>
          <w:b/>
        </w:rPr>
        <w:t>Guadalupe Ramírez Peña</w:t>
      </w:r>
      <w:r w:rsidRPr="007D449B">
        <w:rPr>
          <w:rFonts w:ascii="Palatino Linotype" w:eastAsia="Palatino Linotype" w:hAnsi="Palatino Linotype" w:cs="Palatino Linotype"/>
        </w:rPr>
        <w:t>.</w:t>
      </w:r>
    </w:p>
    <w:p w14:paraId="56306E61"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1B07546F" w14:textId="77777777" w:rsidR="000C236F" w:rsidRPr="007D449B" w:rsidRDefault="00A17FA6" w:rsidP="007D449B">
      <w:pPr>
        <w:widowControl w:val="0"/>
        <w:shd w:val="clear" w:color="auto" w:fill="FFFFFF" w:themeFill="background1"/>
        <w:ind w:left="851" w:right="902"/>
        <w:jc w:val="center"/>
        <w:rPr>
          <w:rFonts w:ascii="Palatino Linotype" w:eastAsia="Palatino Linotype" w:hAnsi="Palatino Linotype" w:cs="Palatino Linotype"/>
          <w:b/>
          <w:i/>
          <w:sz w:val="22"/>
          <w:szCs w:val="22"/>
        </w:rPr>
      </w:pPr>
      <w:r w:rsidRPr="007D449B">
        <w:rPr>
          <w:rFonts w:ascii="Palatino Linotype" w:eastAsia="Palatino Linotype" w:hAnsi="Palatino Linotype" w:cs="Palatino Linotype"/>
          <w:b/>
          <w:i/>
          <w:sz w:val="22"/>
          <w:szCs w:val="22"/>
        </w:rPr>
        <w:t>Código de Procedimientos Administrativos del Estado de México</w:t>
      </w:r>
    </w:p>
    <w:p w14:paraId="033EEDF6" w14:textId="77777777" w:rsidR="000C236F" w:rsidRPr="007D449B" w:rsidRDefault="000C236F" w:rsidP="007D449B">
      <w:pPr>
        <w:widowControl w:val="0"/>
        <w:shd w:val="clear" w:color="auto" w:fill="FFFFFF" w:themeFill="background1"/>
        <w:ind w:left="851" w:right="902"/>
        <w:jc w:val="both"/>
        <w:rPr>
          <w:rFonts w:ascii="Palatino Linotype" w:eastAsia="Palatino Linotype" w:hAnsi="Palatino Linotype" w:cs="Palatino Linotype"/>
          <w:i/>
          <w:sz w:val="22"/>
          <w:szCs w:val="22"/>
        </w:rPr>
      </w:pPr>
    </w:p>
    <w:p w14:paraId="203B9C5C" w14:textId="77777777" w:rsidR="000C236F" w:rsidRPr="007D449B" w:rsidRDefault="00A17FA6" w:rsidP="007D449B">
      <w:pPr>
        <w:widowControl w:val="0"/>
        <w:shd w:val="clear" w:color="auto" w:fill="FFFFFF" w:themeFill="background1"/>
        <w:ind w:left="851" w:right="902"/>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r w:rsidRPr="007D449B">
        <w:rPr>
          <w:rFonts w:ascii="Palatino Linotype" w:eastAsia="Palatino Linotype" w:hAnsi="Palatino Linotype" w:cs="Palatino Linotype"/>
          <w:b/>
          <w:i/>
          <w:sz w:val="22"/>
          <w:szCs w:val="22"/>
        </w:rPr>
        <w:t>Artículo 18.-</w:t>
      </w:r>
      <w:r w:rsidRPr="007D449B">
        <w:rPr>
          <w:rFonts w:ascii="Palatino Linotype" w:eastAsia="Palatino Linotype" w:hAnsi="Palatino Linotype" w:cs="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29EA2C6C" w14:textId="77777777" w:rsidR="000C236F" w:rsidRPr="007D449B" w:rsidRDefault="00A17FA6" w:rsidP="007D449B">
      <w:pPr>
        <w:widowControl w:val="0"/>
        <w:shd w:val="clear" w:color="auto" w:fill="FFFFFF" w:themeFill="background1"/>
        <w:ind w:left="851" w:right="902"/>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Ley de Transparencia y Acceso a la Información Pública del Estado de México y Municipios</w:t>
      </w:r>
    </w:p>
    <w:p w14:paraId="17B70227" w14:textId="77777777" w:rsidR="000C236F" w:rsidRPr="007D449B" w:rsidRDefault="000C236F" w:rsidP="007D449B">
      <w:pPr>
        <w:widowControl w:val="0"/>
        <w:shd w:val="clear" w:color="auto" w:fill="FFFFFF" w:themeFill="background1"/>
        <w:ind w:left="851" w:right="902"/>
        <w:jc w:val="both"/>
        <w:rPr>
          <w:rFonts w:ascii="Palatino Linotype" w:eastAsia="Palatino Linotype" w:hAnsi="Palatino Linotype" w:cs="Palatino Linotype"/>
          <w:i/>
          <w:sz w:val="22"/>
          <w:szCs w:val="22"/>
        </w:rPr>
      </w:pPr>
    </w:p>
    <w:p w14:paraId="62DA609E" w14:textId="77777777" w:rsidR="000C236F" w:rsidRPr="007D449B" w:rsidRDefault="00A17FA6" w:rsidP="007D449B">
      <w:pPr>
        <w:widowControl w:val="0"/>
        <w:shd w:val="clear" w:color="auto" w:fill="FFFFFF" w:themeFill="background1"/>
        <w:ind w:left="851" w:right="902"/>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r w:rsidRPr="007D449B">
        <w:rPr>
          <w:rFonts w:ascii="Palatino Linotype" w:eastAsia="Palatino Linotype" w:hAnsi="Palatino Linotype" w:cs="Palatino Linotype"/>
          <w:b/>
          <w:i/>
          <w:sz w:val="22"/>
          <w:szCs w:val="22"/>
        </w:rPr>
        <w:t>Artículo 195.-</w:t>
      </w:r>
      <w:r w:rsidRPr="007D449B">
        <w:rPr>
          <w:rFonts w:ascii="Palatino Linotype" w:eastAsia="Palatino Linotype" w:hAnsi="Palatino Linotype" w:cs="Palatino Linotype"/>
          <w:i/>
          <w:sz w:val="22"/>
          <w:szCs w:val="22"/>
        </w:rPr>
        <w:t xml:space="preserve"> En la tramitación del recurso de revisión se aplicará supletoriamente las disposiciones contenidas en el Código de Procedimientos Administrativos del Estado de México.”</w:t>
      </w:r>
    </w:p>
    <w:p w14:paraId="6EB96E0E"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5ABFF510" w14:textId="77777777" w:rsidR="000C236F" w:rsidRPr="007D449B" w:rsidRDefault="00A17FA6" w:rsidP="007D449B">
      <w:pPr>
        <w:numPr>
          <w:ilvl w:val="3"/>
          <w:numId w:val="7"/>
        </w:numPr>
        <w:pBdr>
          <w:top w:val="nil"/>
          <w:left w:val="nil"/>
          <w:bottom w:val="nil"/>
          <w:right w:val="nil"/>
          <w:between w:val="nil"/>
        </w:pBdr>
        <w:shd w:val="clear" w:color="auto" w:fill="FFFFFF" w:themeFill="background1"/>
        <w:tabs>
          <w:tab w:val="left" w:pos="284"/>
        </w:tabs>
        <w:spacing w:line="360" w:lineRule="auto"/>
        <w:ind w:left="0" w:firstLine="0"/>
        <w:jc w:val="both"/>
        <w:rPr>
          <w:rFonts w:ascii="Palatino Linotype" w:eastAsia="Palatino Linotype" w:hAnsi="Palatino Linotype" w:cs="Palatino Linotype"/>
        </w:rPr>
      </w:pPr>
      <w:bookmarkStart w:id="6" w:name="_heading=h.tyjcwt" w:colFirst="0" w:colLast="0"/>
      <w:bookmarkEnd w:id="6"/>
      <w:r w:rsidRPr="007D449B">
        <w:rPr>
          <w:rFonts w:ascii="Palatino Linotype" w:eastAsia="Palatino Linotype" w:hAnsi="Palatino Linotype" w:cs="Palatino Linotype"/>
          <w:b/>
        </w:rPr>
        <w:t xml:space="preserve">Manifestaciones. </w:t>
      </w:r>
      <w:r w:rsidRPr="007D449B">
        <w:rPr>
          <w:rFonts w:ascii="Palatino Linotype" w:eastAsia="Palatino Linotype" w:hAnsi="Palatino Linotype" w:cs="Palatino Linotype"/>
        </w:rPr>
        <w:t xml:space="preserve"> En fecha </w:t>
      </w:r>
      <w:r w:rsidRPr="007D449B">
        <w:rPr>
          <w:rFonts w:ascii="Palatino Linotype" w:eastAsia="Palatino Linotype" w:hAnsi="Palatino Linotype" w:cs="Palatino Linotype"/>
          <w:b/>
        </w:rPr>
        <w:t>veinticuatro de febrero y nueve de marzo de dos mil veintitrés</w:t>
      </w:r>
      <w:r w:rsidRPr="007D449B">
        <w:rPr>
          <w:rFonts w:ascii="Palatino Linotype" w:eastAsia="Palatino Linotype" w:hAnsi="Palatino Linotype" w:cs="Palatino Linotype"/>
        </w:rPr>
        <w:t xml:space="preserve">, el </w:t>
      </w:r>
      <w:r w:rsidRPr="007D449B">
        <w:rPr>
          <w:rFonts w:ascii="Palatino Linotype" w:eastAsia="Palatino Linotype" w:hAnsi="Palatino Linotype" w:cs="Palatino Linotype"/>
          <w:b/>
        </w:rPr>
        <w:t xml:space="preserve">SUJETO OBLIGADO </w:t>
      </w:r>
      <w:r w:rsidRPr="007D449B">
        <w:rPr>
          <w:rFonts w:ascii="Palatino Linotype" w:eastAsia="Palatino Linotype" w:hAnsi="Palatino Linotype" w:cs="Palatino Linotype"/>
        </w:rPr>
        <w:t xml:space="preserve">rindió sus informes justificados, al tenor de lo siguiente: </w:t>
      </w:r>
    </w:p>
    <w:p w14:paraId="112948E6" w14:textId="77777777" w:rsidR="000C236F" w:rsidRPr="007D449B" w:rsidRDefault="000C236F" w:rsidP="007D449B">
      <w:pPr>
        <w:widowControl w:val="0"/>
        <w:pBdr>
          <w:top w:val="nil"/>
          <w:left w:val="nil"/>
          <w:bottom w:val="nil"/>
          <w:right w:val="nil"/>
          <w:between w:val="nil"/>
        </w:pBdr>
        <w:shd w:val="clear" w:color="auto" w:fill="FFFFFF" w:themeFill="background1"/>
        <w:tabs>
          <w:tab w:val="left" w:pos="851"/>
        </w:tabs>
        <w:spacing w:line="360" w:lineRule="auto"/>
        <w:jc w:val="both"/>
        <w:rPr>
          <w:rFonts w:ascii="Palatino Linotype" w:eastAsia="Palatino Linotype" w:hAnsi="Palatino Linotype" w:cs="Palatino Linotype"/>
          <w:sz w:val="22"/>
          <w:szCs w:val="22"/>
        </w:rPr>
      </w:pPr>
    </w:p>
    <w:p w14:paraId="77DE4A1C" w14:textId="77777777" w:rsidR="000C236F" w:rsidRPr="007D449B" w:rsidRDefault="000C236F" w:rsidP="007D449B">
      <w:pPr>
        <w:widowControl w:val="0"/>
        <w:pBdr>
          <w:top w:val="nil"/>
          <w:left w:val="nil"/>
          <w:bottom w:val="nil"/>
          <w:right w:val="nil"/>
          <w:between w:val="nil"/>
        </w:pBdr>
        <w:shd w:val="clear" w:color="auto" w:fill="FFFFFF" w:themeFill="background1"/>
        <w:tabs>
          <w:tab w:val="left" w:pos="851"/>
        </w:tabs>
        <w:spacing w:line="360" w:lineRule="auto"/>
        <w:jc w:val="both"/>
        <w:rPr>
          <w:rFonts w:ascii="Palatino Linotype" w:eastAsia="Palatino Linotype" w:hAnsi="Palatino Linotype" w:cs="Palatino Linotype"/>
          <w:sz w:val="22"/>
          <w:szCs w:val="22"/>
        </w:rPr>
      </w:pPr>
    </w:p>
    <w:p w14:paraId="25CE1AF8" w14:textId="77777777" w:rsidR="000C236F" w:rsidRPr="007D449B" w:rsidRDefault="000C236F" w:rsidP="007D449B">
      <w:pPr>
        <w:widowControl w:val="0"/>
        <w:pBdr>
          <w:top w:val="nil"/>
          <w:left w:val="nil"/>
          <w:bottom w:val="nil"/>
          <w:right w:val="nil"/>
          <w:between w:val="nil"/>
        </w:pBdr>
        <w:shd w:val="clear" w:color="auto" w:fill="FFFFFF" w:themeFill="background1"/>
        <w:tabs>
          <w:tab w:val="left" w:pos="851"/>
        </w:tabs>
        <w:spacing w:line="360" w:lineRule="auto"/>
        <w:jc w:val="both"/>
        <w:rPr>
          <w:rFonts w:ascii="Palatino Linotype" w:eastAsia="Palatino Linotype" w:hAnsi="Palatino Linotype" w:cs="Palatino Linotype"/>
          <w:sz w:val="22"/>
          <w:szCs w:val="22"/>
        </w:rPr>
      </w:pPr>
    </w:p>
    <w:tbl>
      <w:tblPr>
        <w:tblStyle w:val="aff5"/>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670"/>
      </w:tblGrid>
      <w:tr w:rsidR="007D449B" w:rsidRPr="007D449B" w14:paraId="6EC09D5B" w14:textId="77777777">
        <w:tc>
          <w:tcPr>
            <w:tcW w:w="3256" w:type="dxa"/>
            <w:shd w:val="clear" w:color="auto" w:fill="D9D9D9"/>
          </w:tcPr>
          <w:p w14:paraId="6EED6D3D" w14:textId="77777777" w:rsidR="000C236F" w:rsidRPr="007D449B" w:rsidRDefault="00A17FA6" w:rsidP="007D449B">
            <w:pPr>
              <w:shd w:val="clear" w:color="auto" w:fill="FFFFFF" w:themeFill="background1"/>
              <w:tabs>
                <w:tab w:val="right" w:pos="3026"/>
              </w:tabs>
              <w:spacing w:line="360" w:lineRule="auto"/>
              <w:jc w:val="center"/>
              <w:rPr>
                <w:rFonts w:ascii="Palatino Linotype" w:eastAsia="Palatino Linotype" w:hAnsi="Palatino Linotype" w:cs="Palatino Linotype"/>
                <w:b/>
                <w:sz w:val="20"/>
                <w:szCs w:val="20"/>
              </w:rPr>
            </w:pPr>
            <w:r w:rsidRPr="007D449B">
              <w:rPr>
                <w:rFonts w:ascii="Palatino Linotype" w:eastAsia="Palatino Linotype" w:hAnsi="Palatino Linotype" w:cs="Palatino Linotype"/>
                <w:b/>
                <w:sz w:val="20"/>
                <w:szCs w:val="20"/>
              </w:rPr>
              <w:lastRenderedPageBreak/>
              <w:t>Número de solicitud</w:t>
            </w:r>
          </w:p>
        </w:tc>
        <w:tc>
          <w:tcPr>
            <w:tcW w:w="5670" w:type="dxa"/>
            <w:shd w:val="clear" w:color="auto" w:fill="D9D9D9"/>
          </w:tcPr>
          <w:p w14:paraId="2584B280" w14:textId="77777777" w:rsidR="000C236F" w:rsidRPr="007D449B" w:rsidRDefault="00A17FA6" w:rsidP="007D449B">
            <w:pPr>
              <w:shd w:val="clear" w:color="auto" w:fill="FFFFFF" w:themeFill="background1"/>
              <w:spacing w:line="360" w:lineRule="auto"/>
              <w:jc w:val="center"/>
              <w:rPr>
                <w:rFonts w:ascii="Palatino Linotype" w:eastAsia="Palatino Linotype" w:hAnsi="Palatino Linotype" w:cs="Palatino Linotype"/>
                <w:b/>
                <w:sz w:val="20"/>
                <w:szCs w:val="20"/>
              </w:rPr>
            </w:pPr>
            <w:r w:rsidRPr="007D449B">
              <w:rPr>
                <w:rFonts w:ascii="Palatino Linotype" w:eastAsia="Palatino Linotype" w:hAnsi="Palatino Linotype" w:cs="Palatino Linotype"/>
                <w:b/>
                <w:sz w:val="20"/>
                <w:szCs w:val="20"/>
              </w:rPr>
              <w:t>Informe Justificado</w:t>
            </w:r>
          </w:p>
        </w:tc>
      </w:tr>
      <w:tr w:rsidR="007D449B" w:rsidRPr="007D449B" w14:paraId="7BE0D00A" w14:textId="77777777">
        <w:tc>
          <w:tcPr>
            <w:tcW w:w="3256" w:type="dxa"/>
          </w:tcPr>
          <w:p w14:paraId="6E61A97C"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bookmarkStart w:id="7" w:name="_heading=h.17dp8vu" w:colFirst="0" w:colLast="0"/>
            <w:bookmarkEnd w:id="7"/>
            <w:r w:rsidRPr="007D449B">
              <w:rPr>
                <w:rFonts w:ascii="Palatino Linotype" w:eastAsia="Palatino Linotype" w:hAnsi="Palatino Linotype" w:cs="Palatino Linotype"/>
                <w:b/>
                <w:i/>
                <w:sz w:val="20"/>
                <w:szCs w:val="20"/>
              </w:rPr>
              <w:t>00058/SMOV/IP/2023</w:t>
            </w:r>
          </w:p>
          <w:p w14:paraId="33AFFCF3"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00844/INFOEM/IP/RR/2023</w:t>
            </w:r>
          </w:p>
        </w:tc>
        <w:tc>
          <w:tcPr>
            <w:tcW w:w="5670" w:type="dxa"/>
          </w:tcPr>
          <w:p w14:paraId="0187B658"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Oficio de fecha veinticuatro de febrero de dos mil veintitrés, signado por el titular de la Unidad de Transparencia, mediante el cual ratificó su respuesta inicial. </w:t>
            </w:r>
          </w:p>
          <w:p w14:paraId="4E6B0D0F"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Oficio de fecha veintiuno de febrero de dos mil veintitrés, signado por el </w:t>
            </w:r>
            <w:proofErr w:type="gramStart"/>
            <w:r w:rsidRPr="007D449B">
              <w:rPr>
                <w:rFonts w:ascii="Palatino Linotype" w:eastAsia="Palatino Linotype" w:hAnsi="Palatino Linotype" w:cs="Palatino Linotype"/>
                <w:i/>
                <w:sz w:val="20"/>
                <w:szCs w:val="20"/>
              </w:rPr>
              <w:t>Director</w:t>
            </w:r>
            <w:proofErr w:type="gramEnd"/>
            <w:r w:rsidRPr="007D449B">
              <w:rPr>
                <w:rFonts w:ascii="Palatino Linotype" w:eastAsia="Palatino Linotype" w:hAnsi="Palatino Linotype" w:cs="Palatino Linotype"/>
                <w:i/>
                <w:sz w:val="20"/>
                <w:szCs w:val="20"/>
              </w:rPr>
              <w:t xml:space="preserve"> de Asuntos Jurídicos de la Dirección General de Asuntos Jurídicos e Igualdad de Género, mediante el cual informa que se proporcionaron los convenios que firmó el Secretario de Movilidad durante los años 2021, 2022 y a hasta el 2023.  </w:t>
            </w:r>
          </w:p>
        </w:tc>
      </w:tr>
      <w:tr w:rsidR="000C236F" w:rsidRPr="007D449B" w14:paraId="5729D259" w14:textId="77777777">
        <w:trPr>
          <w:trHeight w:val="401"/>
        </w:trPr>
        <w:tc>
          <w:tcPr>
            <w:tcW w:w="3256" w:type="dxa"/>
          </w:tcPr>
          <w:p w14:paraId="7A9A01E5"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00024/SMOV/IP/2023</w:t>
            </w:r>
          </w:p>
          <w:p w14:paraId="0147AE8C"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i/>
                <w:sz w:val="20"/>
                <w:szCs w:val="20"/>
              </w:rPr>
            </w:pPr>
            <w:r w:rsidRPr="007D449B">
              <w:rPr>
                <w:rFonts w:ascii="Palatino Linotype" w:eastAsia="Palatino Linotype" w:hAnsi="Palatino Linotype" w:cs="Palatino Linotype"/>
                <w:b/>
                <w:i/>
                <w:sz w:val="20"/>
                <w:szCs w:val="20"/>
              </w:rPr>
              <w:t>01043/INFOEM/IP/RR/2023</w:t>
            </w:r>
          </w:p>
        </w:tc>
        <w:tc>
          <w:tcPr>
            <w:tcW w:w="5670" w:type="dxa"/>
          </w:tcPr>
          <w:p w14:paraId="35FFEA2E"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Oficio de fecha nueve de marzo de dos mil veintitrés, signado por el Titular de la Unidad de Transparencia, mediante el cual informa que el servidor público habilitado de la Dirección General de Asuntos Jurídicos y de Gestión Documental, refirió que encontró cuatro convenios adicionales a los ya entregados en su respuesta. </w:t>
            </w:r>
          </w:p>
          <w:p w14:paraId="35C7BED4" w14:textId="77777777" w:rsidR="000C236F" w:rsidRPr="007D449B" w:rsidRDefault="00A17FA6" w:rsidP="007D449B">
            <w:pPr>
              <w:pBdr>
                <w:top w:val="nil"/>
                <w:left w:val="nil"/>
                <w:bottom w:val="nil"/>
                <w:right w:val="nil"/>
                <w:between w:val="nil"/>
              </w:pBdr>
              <w:shd w:val="clear" w:color="auto" w:fill="FFFFFF" w:themeFill="background1"/>
              <w:ind w:left="720"/>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Asimismo, refiere que en lo que respecta el acta, se remite el Acta de la Décimo Cuarta Sesión Extraordinaria del Comité de Transparencia. </w:t>
            </w:r>
          </w:p>
          <w:p w14:paraId="4AF0A155"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Archivo en formato ZIP que contiene cuatro convenios. </w:t>
            </w:r>
          </w:p>
          <w:p w14:paraId="0C6A1D50"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Acta de la Décima Cuarta Sesión Extraordinaria del año 2023. </w:t>
            </w:r>
          </w:p>
          <w:p w14:paraId="5DF33AF6"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jc w:val="both"/>
              <w:rPr>
                <w:rFonts w:ascii="Palatino Linotype" w:eastAsia="Palatino Linotype" w:hAnsi="Palatino Linotype" w:cs="Palatino Linotype"/>
                <w:i/>
                <w:sz w:val="20"/>
                <w:szCs w:val="20"/>
              </w:rPr>
            </w:pPr>
            <w:r w:rsidRPr="007D449B">
              <w:rPr>
                <w:rFonts w:ascii="Palatino Linotype" w:eastAsia="Palatino Linotype" w:hAnsi="Palatino Linotype" w:cs="Palatino Linotype"/>
                <w:i/>
                <w:sz w:val="20"/>
                <w:szCs w:val="20"/>
              </w:rPr>
              <w:t xml:space="preserve">Oficio de fecha seis de marzo de dos mil veintitrés, signada por el </w:t>
            </w:r>
            <w:proofErr w:type="gramStart"/>
            <w:r w:rsidRPr="007D449B">
              <w:rPr>
                <w:rFonts w:ascii="Palatino Linotype" w:eastAsia="Palatino Linotype" w:hAnsi="Palatino Linotype" w:cs="Palatino Linotype"/>
                <w:i/>
                <w:sz w:val="20"/>
                <w:szCs w:val="20"/>
              </w:rPr>
              <w:t>Director</w:t>
            </w:r>
            <w:proofErr w:type="gramEnd"/>
            <w:r w:rsidRPr="007D449B">
              <w:rPr>
                <w:rFonts w:ascii="Palatino Linotype" w:eastAsia="Palatino Linotype" w:hAnsi="Palatino Linotype" w:cs="Palatino Linotype"/>
                <w:i/>
                <w:sz w:val="20"/>
                <w:szCs w:val="20"/>
              </w:rPr>
              <w:t xml:space="preserve"> de Asuntos Jurídicos mediante el cual solicitan sobreseer el recurso de revisión. </w:t>
            </w:r>
          </w:p>
        </w:tc>
      </w:tr>
    </w:tbl>
    <w:p w14:paraId="7A777825" w14:textId="77777777" w:rsidR="000C236F" w:rsidRPr="007D449B" w:rsidRDefault="000C236F" w:rsidP="007D449B">
      <w:pPr>
        <w:widowControl w:val="0"/>
        <w:pBdr>
          <w:top w:val="nil"/>
          <w:left w:val="nil"/>
          <w:bottom w:val="nil"/>
          <w:right w:val="nil"/>
          <w:between w:val="nil"/>
        </w:pBdr>
        <w:shd w:val="clear" w:color="auto" w:fill="FFFFFF" w:themeFill="background1"/>
        <w:tabs>
          <w:tab w:val="left" w:pos="851"/>
        </w:tabs>
        <w:spacing w:line="360" w:lineRule="auto"/>
        <w:jc w:val="both"/>
        <w:rPr>
          <w:rFonts w:ascii="Palatino Linotype" w:eastAsia="Palatino Linotype" w:hAnsi="Palatino Linotype" w:cs="Palatino Linotype"/>
          <w:sz w:val="22"/>
          <w:szCs w:val="22"/>
        </w:rPr>
      </w:pPr>
    </w:p>
    <w:p w14:paraId="54491F26"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851"/>
        </w:tabs>
        <w:spacing w:line="360" w:lineRule="auto"/>
        <w:jc w:val="both"/>
        <w:rPr>
          <w:rFonts w:ascii="Palatino Linotype" w:eastAsia="Palatino Linotype" w:hAnsi="Palatino Linotype" w:cs="Palatino Linotype"/>
          <w:b/>
          <w:sz w:val="22"/>
          <w:szCs w:val="22"/>
        </w:rPr>
      </w:pPr>
      <w:r w:rsidRPr="007D449B">
        <w:rPr>
          <w:rFonts w:ascii="Palatino Linotype" w:eastAsia="Palatino Linotype" w:hAnsi="Palatino Linotype" w:cs="Palatino Linotype"/>
          <w:sz w:val="22"/>
          <w:szCs w:val="22"/>
        </w:rPr>
        <w:t xml:space="preserve">Documentos que se hicieron del conocimiento de la parte Recurrente el </w:t>
      </w:r>
      <w:r w:rsidRPr="007D449B">
        <w:rPr>
          <w:rFonts w:ascii="Palatino Linotype" w:eastAsia="Palatino Linotype" w:hAnsi="Palatino Linotype" w:cs="Palatino Linotype"/>
          <w:b/>
          <w:sz w:val="22"/>
          <w:szCs w:val="22"/>
        </w:rPr>
        <w:t xml:space="preserve">veinticuatro de octubre de dos mil veintitrés. </w:t>
      </w:r>
    </w:p>
    <w:p w14:paraId="143CCA73" w14:textId="77777777" w:rsidR="000C236F" w:rsidRPr="007D449B" w:rsidRDefault="000C236F" w:rsidP="007D449B">
      <w:pPr>
        <w:widowControl w:val="0"/>
        <w:pBdr>
          <w:top w:val="nil"/>
          <w:left w:val="nil"/>
          <w:bottom w:val="nil"/>
          <w:right w:val="nil"/>
          <w:between w:val="nil"/>
        </w:pBdr>
        <w:shd w:val="clear" w:color="auto" w:fill="FFFFFF" w:themeFill="background1"/>
        <w:tabs>
          <w:tab w:val="left" w:pos="851"/>
        </w:tabs>
        <w:spacing w:line="360" w:lineRule="auto"/>
        <w:jc w:val="both"/>
        <w:rPr>
          <w:rFonts w:ascii="Palatino Linotype" w:eastAsia="Palatino Linotype" w:hAnsi="Palatino Linotype" w:cs="Palatino Linotype"/>
          <w:b/>
          <w:sz w:val="22"/>
          <w:szCs w:val="22"/>
        </w:rPr>
      </w:pPr>
    </w:p>
    <w:p w14:paraId="7B2F68DA"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851"/>
        </w:tabs>
        <w:spacing w:line="360"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La parte Recurrente fue omisa en rendir manifestaciones. </w:t>
      </w:r>
    </w:p>
    <w:p w14:paraId="64D6738C" w14:textId="77777777" w:rsidR="000C236F" w:rsidRPr="007D449B" w:rsidRDefault="000C236F" w:rsidP="007D449B">
      <w:pPr>
        <w:widowControl w:val="0"/>
        <w:pBdr>
          <w:top w:val="nil"/>
          <w:left w:val="nil"/>
          <w:bottom w:val="nil"/>
          <w:right w:val="nil"/>
          <w:between w:val="nil"/>
        </w:pBdr>
        <w:shd w:val="clear" w:color="auto" w:fill="FFFFFF" w:themeFill="background1"/>
        <w:tabs>
          <w:tab w:val="left" w:pos="851"/>
        </w:tabs>
        <w:spacing w:line="360" w:lineRule="auto"/>
        <w:jc w:val="both"/>
        <w:rPr>
          <w:rFonts w:ascii="Palatino Linotype" w:eastAsia="Palatino Linotype" w:hAnsi="Palatino Linotype" w:cs="Palatino Linotype"/>
          <w:sz w:val="22"/>
          <w:szCs w:val="22"/>
        </w:rPr>
      </w:pPr>
    </w:p>
    <w:p w14:paraId="121BA18C" w14:textId="77777777" w:rsidR="000C236F" w:rsidRPr="007D449B" w:rsidRDefault="00A17FA6" w:rsidP="007D449B">
      <w:pPr>
        <w:widowControl w:val="0"/>
        <w:numPr>
          <w:ilvl w:val="3"/>
          <w:numId w:val="7"/>
        </w:numPr>
        <w:pBdr>
          <w:top w:val="nil"/>
          <w:left w:val="nil"/>
          <w:bottom w:val="nil"/>
          <w:right w:val="nil"/>
          <w:between w:val="nil"/>
        </w:pBdr>
        <w:shd w:val="clear" w:color="auto" w:fill="FFFFFF" w:themeFill="background1"/>
        <w:tabs>
          <w:tab w:val="left" w:pos="284"/>
          <w:tab w:val="left" w:pos="851"/>
        </w:tabs>
        <w:spacing w:line="360" w:lineRule="auto"/>
        <w:ind w:left="0" w:firstLine="0"/>
        <w:jc w:val="both"/>
        <w:rPr>
          <w:rFonts w:ascii="Palatino Linotype" w:eastAsia="Palatino Linotype" w:hAnsi="Palatino Linotype" w:cs="Palatino Linotype"/>
        </w:rPr>
      </w:pPr>
      <w:r w:rsidRPr="007D449B">
        <w:rPr>
          <w:rFonts w:ascii="Palatino Linotype" w:eastAsia="Palatino Linotype" w:hAnsi="Palatino Linotype" w:cs="Palatino Linotype"/>
          <w:b/>
        </w:rPr>
        <w:t xml:space="preserve">Ampliación del plazo para emitir resolución. </w:t>
      </w:r>
      <w:r w:rsidRPr="007D449B">
        <w:rPr>
          <w:rFonts w:ascii="Palatino Linotype" w:eastAsia="Palatino Linotype" w:hAnsi="Palatino Linotype" w:cs="Palatino Linotype"/>
        </w:rPr>
        <w:t xml:space="preserve">El </w:t>
      </w:r>
      <w:r w:rsidRPr="007D449B">
        <w:rPr>
          <w:rFonts w:ascii="Palatino Linotype" w:eastAsia="Palatino Linotype" w:hAnsi="Palatino Linotype" w:cs="Palatino Linotype"/>
          <w:b/>
        </w:rPr>
        <w:t>veinticuatro de octubre de dos mil veintitrés|</w:t>
      </w:r>
      <w:r w:rsidRPr="007D449B">
        <w:rPr>
          <w:rFonts w:ascii="Palatino Linotype" w:eastAsia="Palatino Linotype" w:hAnsi="Palatino Linotype" w:cs="Palatino Linotype"/>
        </w:rPr>
        <w:t xml:space="preserve">, se notificó a las partes el Acuerdo de Ampliación de Plazo para resolver el medio de impugnación que nos ocupa, en términos de lo dispuesto por el artículo 181, párrafo tercero de la Ley de Transparencia y Acceso a la Información </w:t>
      </w:r>
      <w:r w:rsidRPr="007D449B">
        <w:rPr>
          <w:rFonts w:ascii="Palatino Linotype" w:eastAsia="Palatino Linotype" w:hAnsi="Palatino Linotype" w:cs="Palatino Linotype"/>
        </w:rPr>
        <w:lastRenderedPageBreak/>
        <w:t>Pública del Estado de México y Municipios.</w:t>
      </w:r>
    </w:p>
    <w:p w14:paraId="4911299D" w14:textId="77777777" w:rsidR="000C236F" w:rsidRPr="007D449B" w:rsidRDefault="000C236F"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p>
    <w:p w14:paraId="327636E4" w14:textId="77777777" w:rsidR="000C236F" w:rsidRPr="007D449B" w:rsidRDefault="00A17FA6" w:rsidP="007D449B">
      <w:pPr>
        <w:pBdr>
          <w:top w:val="nil"/>
          <w:left w:val="nil"/>
          <w:bottom w:val="nil"/>
          <w:right w:val="nil"/>
          <w:between w:val="nil"/>
        </w:pBdr>
        <w:shd w:val="clear" w:color="auto" w:fill="FFFFFF" w:themeFill="background1"/>
        <w:tabs>
          <w:tab w:val="left" w:pos="360"/>
        </w:tabs>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7C248DE9" w14:textId="77777777" w:rsidR="000C236F" w:rsidRPr="007D449B" w:rsidRDefault="000C236F" w:rsidP="007D449B">
      <w:pPr>
        <w:pBdr>
          <w:top w:val="nil"/>
          <w:left w:val="nil"/>
          <w:bottom w:val="nil"/>
          <w:right w:val="nil"/>
          <w:between w:val="nil"/>
        </w:pBdr>
        <w:shd w:val="clear" w:color="auto" w:fill="FFFFFF" w:themeFill="background1"/>
        <w:tabs>
          <w:tab w:val="left" w:pos="360"/>
        </w:tabs>
        <w:spacing w:line="360" w:lineRule="auto"/>
        <w:ind w:right="49"/>
        <w:jc w:val="both"/>
        <w:rPr>
          <w:rFonts w:ascii="Palatino Linotype" w:eastAsia="Palatino Linotype" w:hAnsi="Palatino Linotype" w:cs="Palatino Linotype"/>
        </w:rPr>
      </w:pPr>
    </w:p>
    <w:p w14:paraId="21650F9E" w14:textId="77777777" w:rsidR="000C236F" w:rsidRPr="007D449B" w:rsidRDefault="00A17FA6"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D14F07F" w14:textId="77777777" w:rsidR="000C236F" w:rsidRPr="007D449B" w:rsidRDefault="000C236F"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p>
    <w:p w14:paraId="675B18A4" w14:textId="77777777" w:rsidR="000C236F" w:rsidRPr="007D449B" w:rsidRDefault="00A17FA6"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w:t>
      </w:r>
    </w:p>
    <w:p w14:paraId="2CCD49FC" w14:textId="77777777" w:rsidR="000C236F" w:rsidRPr="007D449B" w:rsidRDefault="000C236F"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p>
    <w:p w14:paraId="5A9C0C6E" w14:textId="77777777" w:rsidR="000C236F" w:rsidRPr="007D449B" w:rsidRDefault="00A17FA6"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w:t>
      </w:r>
      <w:r w:rsidRPr="007D449B">
        <w:rPr>
          <w:rFonts w:ascii="Palatino Linotype" w:eastAsia="Palatino Linotype" w:hAnsi="Palatino Linotype" w:cs="Palatino Linotype"/>
        </w:rPr>
        <w:lastRenderedPageBreak/>
        <w:t>órganos jurisdiccionales o cuasi jurisdiccionales, tanto por la complejidad de los hechos, como por el número de casos que conocen.</w:t>
      </w:r>
    </w:p>
    <w:p w14:paraId="2F95C788"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709"/>
        </w:tabs>
        <w:spacing w:line="360" w:lineRule="auto"/>
        <w:ind w:left="708"/>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 </w:t>
      </w:r>
    </w:p>
    <w:p w14:paraId="201471A4" w14:textId="77777777" w:rsidR="000C236F" w:rsidRPr="007D449B" w:rsidRDefault="00A17FA6"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B58741F" w14:textId="77777777" w:rsidR="000C236F" w:rsidRPr="007D449B" w:rsidRDefault="000C236F"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p>
    <w:p w14:paraId="1B6BB769"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993"/>
        </w:tabs>
        <w:spacing w:line="360" w:lineRule="auto"/>
        <w:ind w:left="567" w:right="567"/>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b/>
          <w:sz w:val="22"/>
          <w:szCs w:val="22"/>
        </w:rPr>
        <w:t>a)      Complejidad del asunto:</w:t>
      </w:r>
      <w:r w:rsidRPr="007D449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0E67EB13"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993"/>
        </w:tabs>
        <w:spacing w:line="360" w:lineRule="auto"/>
        <w:ind w:left="567" w:right="567"/>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b/>
          <w:sz w:val="22"/>
          <w:szCs w:val="22"/>
        </w:rPr>
        <w:t>b)     Actividad Procesal del interesado:</w:t>
      </w:r>
      <w:r w:rsidRPr="007D449B">
        <w:rPr>
          <w:rFonts w:ascii="Palatino Linotype" w:eastAsia="Palatino Linotype" w:hAnsi="Palatino Linotype" w:cs="Palatino Linotype"/>
          <w:sz w:val="22"/>
          <w:szCs w:val="22"/>
        </w:rPr>
        <w:t xml:space="preserve"> Acciones u omisiones del interesado.</w:t>
      </w:r>
    </w:p>
    <w:p w14:paraId="43B1E6A8"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993"/>
        </w:tabs>
        <w:spacing w:line="360" w:lineRule="auto"/>
        <w:ind w:left="567" w:right="567"/>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b/>
          <w:sz w:val="22"/>
          <w:szCs w:val="22"/>
        </w:rPr>
        <w:t>c)      Conducta de la Autoridad</w:t>
      </w:r>
      <w:r w:rsidRPr="007D449B">
        <w:rPr>
          <w:rFonts w:ascii="Palatino Linotype" w:eastAsia="Palatino Linotype" w:hAnsi="Palatino Linotype" w:cs="Palatino Linotype"/>
          <w:sz w:val="22"/>
          <w:szCs w:val="22"/>
        </w:rPr>
        <w:t>: Las Acciones u omisiones realizadas en el procedimiento. Así como si la autoridad actuó con la debida diligencia.</w:t>
      </w:r>
    </w:p>
    <w:p w14:paraId="1AEAA20F"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993"/>
        </w:tabs>
        <w:spacing w:line="360" w:lineRule="auto"/>
        <w:ind w:left="567" w:right="567"/>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b/>
          <w:sz w:val="22"/>
          <w:szCs w:val="22"/>
        </w:rPr>
        <w:t>d) La afectación generada en la situación jurídica de la persona involucrada en el proceso</w:t>
      </w:r>
      <w:r w:rsidRPr="007D449B">
        <w:rPr>
          <w:rFonts w:ascii="Palatino Linotype" w:eastAsia="Palatino Linotype" w:hAnsi="Palatino Linotype" w:cs="Palatino Linotype"/>
          <w:sz w:val="22"/>
          <w:szCs w:val="22"/>
        </w:rPr>
        <w:t>: Violación a sus derechos humanos.</w:t>
      </w:r>
    </w:p>
    <w:p w14:paraId="3657E9EC" w14:textId="77777777" w:rsidR="000C236F" w:rsidRPr="007D449B" w:rsidRDefault="000C236F" w:rsidP="007D449B">
      <w:pPr>
        <w:widowControl w:val="0"/>
        <w:pBdr>
          <w:top w:val="nil"/>
          <w:left w:val="nil"/>
          <w:bottom w:val="nil"/>
          <w:right w:val="nil"/>
          <w:between w:val="nil"/>
        </w:pBdr>
        <w:shd w:val="clear" w:color="auto" w:fill="FFFFFF" w:themeFill="background1"/>
        <w:tabs>
          <w:tab w:val="left" w:pos="709"/>
        </w:tabs>
        <w:spacing w:line="360" w:lineRule="auto"/>
        <w:ind w:left="708"/>
        <w:jc w:val="both"/>
        <w:rPr>
          <w:rFonts w:ascii="Palatino Linotype" w:eastAsia="Palatino Linotype" w:hAnsi="Palatino Linotype" w:cs="Palatino Linotype"/>
        </w:rPr>
      </w:pPr>
    </w:p>
    <w:p w14:paraId="65B5DFB8" w14:textId="77777777" w:rsidR="000C236F" w:rsidRPr="007D449B" w:rsidRDefault="00A17FA6"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D547FA5"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709"/>
        </w:tabs>
        <w:spacing w:line="360" w:lineRule="auto"/>
        <w:ind w:left="708"/>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 </w:t>
      </w:r>
    </w:p>
    <w:p w14:paraId="7DB1A2B2" w14:textId="77777777" w:rsidR="000C236F" w:rsidRPr="007D449B" w:rsidRDefault="00A17FA6"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D449B">
        <w:rPr>
          <w:rFonts w:ascii="Palatino Linotype" w:eastAsia="Palatino Linotype" w:hAnsi="Palatino Linotype" w:cs="Palatino Linotype"/>
          <w:b/>
          <w:sz w:val="22"/>
          <w:szCs w:val="22"/>
        </w:rPr>
        <w:t xml:space="preserve">“TÉRMINOS </w:t>
      </w:r>
      <w:r w:rsidRPr="007D449B">
        <w:rPr>
          <w:rFonts w:ascii="Palatino Linotype" w:eastAsia="Palatino Linotype" w:hAnsi="Palatino Linotype" w:cs="Palatino Linotype"/>
          <w:b/>
          <w:sz w:val="22"/>
          <w:szCs w:val="22"/>
        </w:rPr>
        <w:lastRenderedPageBreak/>
        <w:t>PROCESALES. PARA DETERMINAR SI UN FUNCIONARIO JUDICIAL ACTUÓ INDEBIDAMENTE POR NO RESPETARLOS SE DEBE ATENDER AL PRESUPUESTO QUE CONSIDERÓ EL LEGISLADOR AL FIJARLOS Y LAS CARACTERÍSTICAS DEL CASO.”,</w:t>
      </w:r>
      <w:r w:rsidRPr="007D449B">
        <w:rPr>
          <w:rFonts w:ascii="Palatino Linotype" w:eastAsia="Palatino Linotype" w:hAnsi="Palatino Linotype" w:cs="Palatino Linotype"/>
          <w:sz w:val="22"/>
          <w:szCs w:val="22"/>
        </w:rPr>
        <w:t xml:space="preserve"> </w:t>
      </w:r>
      <w:r w:rsidRPr="007D449B">
        <w:rPr>
          <w:rFonts w:ascii="Palatino Linotype" w:eastAsia="Palatino Linotype" w:hAnsi="Palatino Linotype" w:cs="Palatino Linotype"/>
        </w:rPr>
        <w:t>visible en la Gaceta del Seminario Judicial de la Federación con el registro digital 205635.</w:t>
      </w:r>
    </w:p>
    <w:p w14:paraId="22BB8AFD" w14:textId="77777777" w:rsidR="000C236F" w:rsidRPr="007D449B" w:rsidRDefault="000C236F"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p>
    <w:p w14:paraId="0FCFDD5C" w14:textId="77777777" w:rsidR="000C236F" w:rsidRPr="007D449B" w:rsidRDefault="00A17FA6"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46BD6E8" w14:textId="77777777" w:rsidR="000C236F" w:rsidRPr="007D449B" w:rsidRDefault="000C236F"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p>
    <w:p w14:paraId="28205CDF" w14:textId="77777777" w:rsidR="000C236F" w:rsidRPr="007D449B" w:rsidRDefault="00A17FA6"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C97A1A3" w14:textId="77777777" w:rsidR="000C236F" w:rsidRPr="007D449B" w:rsidRDefault="000C236F" w:rsidP="007D449B">
      <w:pPr>
        <w:widowControl w:val="0"/>
        <w:shd w:val="clear" w:color="auto" w:fill="FFFFFF" w:themeFill="background1"/>
        <w:tabs>
          <w:tab w:val="left" w:pos="709"/>
        </w:tabs>
        <w:spacing w:line="360" w:lineRule="auto"/>
        <w:jc w:val="both"/>
        <w:rPr>
          <w:rFonts w:ascii="Palatino Linotype" w:eastAsia="Palatino Linotype" w:hAnsi="Palatino Linotype" w:cs="Palatino Linotype"/>
        </w:rPr>
      </w:pPr>
    </w:p>
    <w:p w14:paraId="6020E71E"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851"/>
        </w:tabs>
        <w:spacing w:line="360" w:lineRule="auto"/>
        <w:ind w:left="567" w:right="567"/>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 “</w:t>
      </w:r>
      <w:r w:rsidRPr="007D449B">
        <w:rPr>
          <w:rFonts w:ascii="Palatino Linotype" w:eastAsia="Palatino Linotype" w:hAnsi="Palatino Linotype" w:cs="Palatino Linotype"/>
          <w:b/>
          <w:sz w:val="22"/>
          <w:szCs w:val="22"/>
        </w:rPr>
        <w:t>PLAZO RAZONABLE PARA RESOLVER. DIMENSIÓN Y EFECTOS DE ESTE CONCEPTO CUANDO SE ADUCE EXCESIVA CARGA DE TRABAJO</w:t>
      </w:r>
      <w:r w:rsidRPr="007D449B">
        <w:rPr>
          <w:rFonts w:ascii="Palatino Linotype" w:eastAsia="Palatino Linotype" w:hAnsi="Palatino Linotype" w:cs="Palatino Linotype"/>
          <w:sz w:val="22"/>
          <w:szCs w:val="22"/>
        </w:rPr>
        <w:t xml:space="preserve">.” consultable en el Seminario Judicial de la Federación y su gaceta, </w:t>
      </w:r>
      <w:r w:rsidRPr="007D449B">
        <w:rPr>
          <w:rFonts w:ascii="Palatino Linotype" w:eastAsia="Palatino Linotype" w:hAnsi="Palatino Linotype" w:cs="Palatino Linotype"/>
          <w:sz w:val="22"/>
          <w:szCs w:val="22"/>
        </w:rPr>
        <w:lastRenderedPageBreak/>
        <w:t>con el registro digital 2002351.</w:t>
      </w:r>
    </w:p>
    <w:p w14:paraId="694F624E" w14:textId="77777777" w:rsidR="000C236F" w:rsidRPr="007D449B" w:rsidRDefault="000C236F" w:rsidP="007D449B">
      <w:pPr>
        <w:widowControl w:val="0"/>
        <w:pBdr>
          <w:top w:val="nil"/>
          <w:left w:val="nil"/>
          <w:bottom w:val="nil"/>
          <w:right w:val="nil"/>
          <w:between w:val="nil"/>
        </w:pBdr>
        <w:shd w:val="clear" w:color="auto" w:fill="FFFFFF" w:themeFill="background1"/>
        <w:tabs>
          <w:tab w:val="left" w:pos="851"/>
        </w:tabs>
        <w:spacing w:line="360" w:lineRule="auto"/>
        <w:ind w:left="567" w:right="567"/>
        <w:jc w:val="both"/>
        <w:rPr>
          <w:rFonts w:ascii="Palatino Linotype" w:eastAsia="Palatino Linotype" w:hAnsi="Palatino Linotype" w:cs="Palatino Linotype"/>
          <w:sz w:val="22"/>
          <w:szCs w:val="22"/>
        </w:rPr>
      </w:pPr>
    </w:p>
    <w:p w14:paraId="257B4692"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851"/>
        </w:tabs>
        <w:spacing w:line="360" w:lineRule="auto"/>
        <w:ind w:left="567" w:right="567"/>
        <w:jc w:val="both"/>
        <w:rPr>
          <w:rFonts w:ascii="Palatino Linotype" w:eastAsia="Palatino Linotype" w:hAnsi="Palatino Linotype" w:cs="Palatino Linotype"/>
          <w:b/>
          <w:sz w:val="22"/>
          <w:szCs w:val="22"/>
        </w:rPr>
      </w:pPr>
      <w:r w:rsidRPr="007D449B">
        <w:rPr>
          <w:rFonts w:ascii="Palatino Linotype" w:eastAsia="Palatino Linotype" w:hAnsi="Palatino Linotype" w:cs="Palatino Linotype"/>
          <w:sz w:val="22"/>
          <w:szCs w:val="22"/>
        </w:rPr>
        <w:t>“</w:t>
      </w:r>
      <w:r w:rsidRPr="007D449B">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7D449B">
        <w:rPr>
          <w:rFonts w:ascii="Palatino Linotype" w:eastAsia="Palatino Linotype" w:hAnsi="Palatino Linotype" w:cs="Palatino Linotype"/>
          <w:sz w:val="22"/>
          <w:szCs w:val="22"/>
        </w:rPr>
        <w:t xml:space="preserve"> visible en el Seminario Judicial de la Federación y su gaceta, con el registro digital 2002350.</w:t>
      </w:r>
    </w:p>
    <w:p w14:paraId="054F08AA" w14:textId="77777777" w:rsidR="000C236F" w:rsidRPr="007D449B" w:rsidRDefault="000C236F" w:rsidP="007D449B">
      <w:pPr>
        <w:widowControl w:val="0"/>
        <w:pBdr>
          <w:top w:val="nil"/>
          <w:left w:val="nil"/>
          <w:bottom w:val="nil"/>
          <w:right w:val="nil"/>
          <w:between w:val="nil"/>
        </w:pBdr>
        <w:shd w:val="clear" w:color="auto" w:fill="FFFFFF" w:themeFill="background1"/>
        <w:tabs>
          <w:tab w:val="left" w:pos="709"/>
        </w:tabs>
        <w:spacing w:line="360" w:lineRule="auto"/>
        <w:ind w:left="708"/>
        <w:jc w:val="both"/>
        <w:rPr>
          <w:rFonts w:ascii="Palatino Linotype" w:eastAsia="Palatino Linotype" w:hAnsi="Palatino Linotype" w:cs="Palatino Linotype"/>
        </w:rPr>
      </w:pPr>
    </w:p>
    <w:p w14:paraId="440C0905"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CC2E58D" w14:textId="77777777" w:rsidR="000C236F" w:rsidRPr="007D449B" w:rsidRDefault="000C236F" w:rsidP="007D449B">
      <w:pPr>
        <w:widowControl w:val="0"/>
        <w:pBdr>
          <w:top w:val="nil"/>
          <w:left w:val="nil"/>
          <w:bottom w:val="nil"/>
          <w:right w:val="nil"/>
          <w:between w:val="nil"/>
        </w:pBdr>
        <w:shd w:val="clear" w:color="auto" w:fill="FFFFFF" w:themeFill="background1"/>
        <w:tabs>
          <w:tab w:val="left" w:pos="709"/>
        </w:tabs>
        <w:spacing w:line="360" w:lineRule="auto"/>
        <w:jc w:val="both"/>
        <w:rPr>
          <w:rFonts w:ascii="Palatino Linotype" w:eastAsia="Palatino Linotype" w:hAnsi="Palatino Linotype" w:cs="Palatino Linotype"/>
        </w:rPr>
      </w:pPr>
    </w:p>
    <w:p w14:paraId="7BED18CD" w14:textId="77777777" w:rsidR="000C236F" w:rsidRPr="007D449B" w:rsidRDefault="00A17FA6" w:rsidP="007D449B">
      <w:pPr>
        <w:widowControl w:val="0"/>
        <w:numPr>
          <w:ilvl w:val="3"/>
          <w:numId w:val="7"/>
        </w:numPr>
        <w:pBdr>
          <w:top w:val="nil"/>
          <w:left w:val="nil"/>
          <w:bottom w:val="nil"/>
          <w:right w:val="nil"/>
          <w:between w:val="nil"/>
        </w:pBdr>
        <w:shd w:val="clear" w:color="auto" w:fill="FFFFFF" w:themeFill="background1"/>
        <w:spacing w:line="360" w:lineRule="auto"/>
        <w:ind w:left="0" w:firstLine="0"/>
        <w:jc w:val="both"/>
        <w:rPr>
          <w:rFonts w:ascii="Palatino Linotype" w:eastAsia="Palatino Linotype" w:hAnsi="Palatino Linotype" w:cs="Palatino Linotype"/>
        </w:rPr>
      </w:pPr>
      <w:r w:rsidRPr="007D449B">
        <w:rPr>
          <w:rFonts w:ascii="Palatino Linotype" w:eastAsia="Palatino Linotype" w:hAnsi="Palatino Linotype" w:cs="Palatino Linotype"/>
          <w:b/>
        </w:rPr>
        <w:t xml:space="preserve">Cierre de Instrucción. </w:t>
      </w:r>
      <w:r w:rsidRPr="007D449B">
        <w:rPr>
          <w:rFonts w:ascii="Palatino Linotype" w:eastAsia="Palatino Linotype" w:hAnsi="Palatino Linotype" w:cs="Palatino Linotype"/>
        </w:rPr>
        <w:t xml:space="preserve">El </w:t>
      </w:r>
      <w:r w:rsidRPr="007D449B">
        <w:rPr>
          <w:rFonts w:ascii="Palatino Linotype" w:eastAsia="Palatino Linotype" w:hAnsi="Palatino Linotype" w:cs="Palatino Linotype"/>
          <w:b/>
        </w:rPr>
        <w:t>treinta y uno de octubre de dos mil veintitrés</w:t>
      </w:r>
      <w:r w:rsidRPr="007D449B">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51DD74B8"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37D3A79D"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Debido a que fueron debidamente sustanciados los expedientes electrónicos y no existe diligencia pendiente de desahogo, se emite la Resolución que conforme a Derecho proceda, de acuerdo con los siguientes: </w:t>
      </w:r>
    </w:p>
    <w:p w14:paraId="4DD1F3AC"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0A7DEBD3"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1BCCA511"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14E5457C" w14:textId="77777777" w:rsidR="000C236F" w:rsidRPr="007D449B" w:rsidRDefault="00A17FA6" w:rsidP="007D449B">
      <w:pPr>
        <w:shd w:val="clear" w:color="auto" w:fill="FFFFFF" w:themeFill="background1"/>
        <w:spacing w:line="360" w:lineRule="auto"/>
        <w:jc w:val="center"/>
        <w:rPr>
          <w:rFonts w:ascii="Palatino Linotype" w:eastAsia="Palatino Linotype" w:hAnsi="Palatino Linotype" w:cs="Palatino Linotype"/>
          <w:b/>
        </w:rPr>
      </w:pPr>
      <w:r w:rsidRPr="007D449B">
        <w:rPr>
          <w:rFonts w:ascii="Palatino Linotype" w:eastAsia="Palatino Linotype" w:hAnsi="Palatino Linotype" w:cs="Palatino Linotype"/>
          <w:b/>
        </w:rPr>
        <w:lastRenderedPageBreak/>
        <w:t>C O N S I D E R A N D O:</w:t>
      </w:r>
    </w:p>
    <w:p w14:paraId="3AA76463"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42C30899"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rPr>
      </w:pPr>
      <w:r w:rsidRPr="007D449B">
        <w:rPr>
          <w:rFonts w:ascii="Palatino Linotype" w:eastAsia="Palatino Linotype" w:hAnsi="Palatino Linotype" w:cs="Palatino Linotype"/>
          <w:b/>
        </w:rPr>
        <w:t xml:space="preserve">Primero. Competencia. </w:t>
      </w:r>
      <w:r w:rsidRPr="007D449B">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F2DBF3B"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290E189F"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b/>
        </w:rPr>
        <w:t>Segundo. Oportunidad y Procedibilidad del Recurso de Revisión</w:t>
      </w:r>
      <w:r w:rsidRPr="007D449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CD34B9A"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7108237E"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Los recurso de revisión fueron interpuestos dentro del plazo de quince días hábiles, previsto en el artículo 178 de la Ley de Transparencia y Acceso a la Información Pública del Estado de México y Municipios, ya que el </w:t>
      </w:r>
      <w:r w:rsidRPr="007D449B">
        <w:rPr>
          <w:rFonts w:ascii="Palatino Linotype" w:eastAsia="Palatino Linotype" w:hAnsi="Palatino Linotype" w:cs="Palatino Linotype"/>
          <w:b/>
        </w:rPr>
        <w:t>Sujeto Obligado</w:t>
      </w:r>
      <w:r w:rsidRPr="007D449B">
        <w:rPr>
          <w:rFonts w:ascii="Palatino Linotype" w:eastAsia="Palatino Linotype" w:hAnsi="Palatino Linotype" w:cs="Palatino Linotype"/>
        </w:rPr>
        <w:t xml:space="preserve"> proporcionó sus respuestas a las solicitudes de información el </w:t>
      </w:r>
      <w:r w:rsidRPr="007D449B">
        <w:rPr>
          <w:rFonts w:ascii="Palatino Linotype" w:eastAsia="Palatino Linotype" w:hAnsi="Palatino Linotype" w:cs="Palatino Linotype"/>
          <w:b/>
        </w:rPr>
        <w:t>dos y trece de febrero</w:t>
      </w:r>
      <w:r w:rsidRPr="007D449B">
        <w:rPr>
          <w:rFonts w:ascii="Palatino Linotype" w:eastAsia="Palatino Linotype" w:hAnsi="Palatino Linotype" w:cs="Palatino Linotype"/>
        </w:rPr>
        <w:t xml:space="preserve"> </w:t>
      </w:r>
      <w:r w:rsidRPr="007D449B">
        <w:rPr>
          <w:rFonts w:ascii="Palatino Linotype" w:eastAsia="Palatino Linotype" w:hAnsi="Palatino Linotype" w:cs="Palatino Linotype"/>
          <w:b/>
        </w:rPr>
        <w:t xml:space="preserve">de dos mil </w:t>
      </w:r>
      <w:r w:rsidRPr="007D449B">
        <w:rPr>
          <w:rFonts w:ascii="Palatino Linotype" w:eastAsia="Palatino Linotype" w:hAnsi="Palatino Linotype" w:cs="Palatino Linotype"/>
          <w:b/>
        </w:rPr>
        <w:lastRenderedPageBreak/>
        <w:t>veintitrés</w:t>
      </w:r>
      <w:r w:rsidRPr="007D449B">
        <w:rPr>
          <w:rFonts w:ascii="Palatino Linotype" w:eastAsia="Palatino Linotype" w:hAnsi="Palatino Linotype" w:cs="Palatino Linotype"/>
        </w:rPr>
        <w:t xml:space="preserve">, y la parte </w:t>
      </w:r>
      <w:r w:rsidRPr="007D449B">
        <w:rPr>
          <w:rFonts w:ascii="Palatino Linotype" w:eastAsia="Palatino Linotype" w:hAnsi="Palatino Linotype" w:cs="Palatino Linotype"/>
          <w:b/>
        </w:rPr>
        <w:t xml:space="preserve">Recurrente </w:t>
      </w:r>
      <w:r w:rsidRPr="007D449B">
        <w:rPr>
          <w:rFonts w:ascii="Palatino Linotype" w:eastAsia="Palatino Linotype" w:hAnsi="Palatino Linotype" w:cs="Palatino Linotype"/>
        </w:rPr>
        <w:t xml:space="preserve">presentó sus Recursos de Revisión el </w:t>
      </w:r>
      <w:r w:rsidRPr="007D449B">
        <w:rPr>
          <w:rFonts w:ascii="Palatino Linotype" w:eastAsia="Palatino Linotype" w:hAnsi="Palatino Linotype" w:cs="Palatino Linotype"/>
          <w:b/>
        </w:rPr>
        <w:t>veintidós de febrero de dos mil veintitrés y el catorce de febrero de dos mil veintitrés, respectivamente</w:t>
      </w:r>
      <w:r w:rsidRPr="007D449B">
        <w:rPr>
          <w:rFonts w:ascii="Palatino Linotype" w:eastAsia="Palatino Linotype" w:hAnsi="Palatino Linotype" w:cs="Palatino Linotype"/>
        </w:rPr>
        <w:t xml:space="preserve">,  esto es al décimo cuarto día y al siguiente día hábil, en que se tuvo conocimiento de las respuestas. </w:t>
      </w:r>
    </w:p>
    <w:p w14:paraId="60467CBA"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0B2BD167"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Es de suma importancia mencionar que si bien, la parte Solicitante no proporcionó nombre o seudónimo</w:t>
      </w:r>
      <w:r w:rsidRPr="007D449B">
        <w:rPr>
          <w:rFonts w:ascii="Palatino Linotype" w:eastAsia="Palatino Linotype" w:hAnsi="Palatino Linotype" w:cs="Palatino Linotype"/>
          <w:b/>
        </w:rPr>
        <w:t xml:space="preserve"> </w:t>
      </w:r>
      <w:r w:rsidRPr="007D449B">
        <w:rPr>
          <w:rFonts w:ascii="Palatino Linotype" w:eastAsia="Palatino Linotype" w:hAnsi="Palatino Linotype" w:cs="Palatino Linotype"/>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B0D0A20"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2E4A3FD3" w14:textId="77777777" w:rsidR="000C236F" w:rsidRPr="007D449B" w:rsidRDefault="00A17FA6" w:rsidP="007D449B">
      <w:pPr>
        <w:shd w:val="clear" w:color="auto" w:fill="FFFFFF" w:themeFill="background1"/>
        <w:spacing w:line="276" w:lineRule="auto"/>
        <w:ind w:left="567" w:right="843"/>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"Las solicitudes</w:t>
      </w:r>
      <w:r w:rsidRPr="007D449B">
        <w:rPr>
          <w:rFonts w:ascii="Palatino Linotype" w:eastAsia="Palatino Linotype" w:hAnsi="Palatino Linotype" w:cs="Palatino Linotype"/>
          <w:b/>
          <w:i/>
          <w:sz w:val="22"/>
          <w:szCs w:val="22"/>
        </w:rPr>
        <w:t xml:space="preserve"> anónimas</w:t>
      </w:r>
      <w:r w:rsidRPr="007D449B">
        <w:rPr>
          <w:rFonts w:ascii="Palatino Linotype" w:eastAsia="Palatino Linotype" w:hAnsi="Palatino Linotype" w:cs="Palatino Linotype"/>
          <w:i/>
          <w:sz w:val="22"/>
          <w:szCs w:val="22"/>
        </w:rPr>
        <w:t>, con nombre incompleto o seudónimo serán procedentes para su trámite por parte del sujeto obligado ante quien se presente. No podrá requerirse información adicional con motivo del nombre proporcionado por el solicitante."</w:t>
      </w:r>
    </w:p>
    <w:p w14:paraId="717F3F17" w14:textId="77777777" w:rsidR="000C236F" w:rsidRPr="007D449B" w:rsidRDefault="000C236F" w:rsidP="007D449B">
      <w:pPr>
        <w:shd w:val="clear" w:color="auto" w:fill="FFFFFF" w:themeFill="background1"/>
        <w:spacing w:line="276" w:lineRule="auto"/>
        <w:ind w:left="567" w:right="843"/>
        <w:jc w:val="both"/>
        <w:rPr>
          <w:rFonts w:ascii="Palatino Linotype" w:eastAsia="Palatino Linotype" w:hAnsi="Palatino Linotype" w:cs="Palatino Linotype"/>
          <w:i/>
          <w:sz w:val="22"/>
          <w:szCs w:val="22"/>
        </w:rPr>
      </w:pPr>
    </w:p>
    <w:p w14:paraId="39A45376"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Asimismo, resulta procedente la interposición de los recursos de revisión al rubro anotado, toda vez que se actualiza la hipótesis prevista en el artículo 179, fracción V de la ley de la materia, que a la letra dice:</w:t>
      </w:r>
    </w:p>
    <w:p w14:paraId="7022A451"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7C069814"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r w:rsidRPr="007D449B">
        <w:rPr>
          <w:rFonts w:ascii="Palatino Linotype" w:eastAsia="Palatino Linotype" w:hAnsi="Palatino Linotype" w:cs="Palatino Linotype"/>
          <w:b/>
          <w:i/>
          <w:sz w:val="22"/>
          <w:szCs w:val="22"/>
        </w:rPr>
        <w:t xml:space="preserve">Artículo 179. </w:t>
      </w:r>
      <w:r w:rsidRPr="007D449B">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7D449B">
        <w:rPr>
          <w:rFonts w:ascii="Palatino Linotype" w:eastAsia="Palatino Linotype" w:hAnsi="Palatino Linotype" w:cs="Palatino Linotype"/>
          <w:i/>
        </w:rPr>
        <w:t>causas</w:t>
      </w:r>
      <w:r w:rsidRPr="007D449B">
        <w:rPr>
          <w:rFonts w:ascii="Palatino Linotype" w:eastAsia="Palatino Linotype" w:hAnsi="Palatino Linotype" w:cs="Palatino Linotype"/>
          <w:i/>
          <w:sz w:val="22"/>
          <w:szCs w:val="22"/>
        </w:rPr>
        <w:t>:</w:t>
      </w:r>
    </w:p>
    <w:p w14:paraId="240543C2"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79053321" w14:textId="77777777" w:rsidR="000C236F" w:rsidRPr="007D449B" w:rsidRDefault="00A17FA6" w:rsidP="007D449B">
      <w:pPr>
        <w:shd w:val="clear" w:color="auto" w:fill="FFFFFF" w:themeFill="background1"/>
        <w:spacing w:line="360" w:lineRule="auto"/>
        <w:ind w:left="567" w:right="616"/>
        <w:jc w:val="both"/>
        <w:rPr>
          <w:rFonts w:ascii="Palatino Linotype" w:eastAsia="Palatino Linotype" w:hAnsi="Palatino Linotype" w:cs="Palatino Linotype"/>
          <w:b/>
          <w:i/>
          <w:sz w:val="22"/>
          <w:szCs w:val="22"/>
        </w:rPr>
      </w:pPr>
      <w:r w:rsidRPr="007D449B">
        <w:rPr>
          <w:rFonts w:ascii="Palatino Linotype" w:eastAsia="Palatino Linotype" w:hAnsi="Palatino Linotype" w:cs="Palatino Linotype"/>
          <w:b/>
          <w:i/>
          <w:sz w:val="22"/>
          <w:szCs w:val="22"/>
        </w:rPr>
        <w:t xml:space="preserve">V. La entrega de información incompleta. </w:t>
      </w:r>
    </w:p>
    <w:p w14:paraId="57876808" w14:textId="77777777" w:rsidR="000C236F" w:rsidRPr="007D449B" w:rsidRDefault="00A17FA6" w:rsidP="007D449B">
      <w:pPr>
        <w:shd w:val="clear" w:color="auto" w:fill="FFFFFF" w:themeFill="background1"/>
        <w:spacing w:line="360"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lastRenderedPageBreak/>
        <w:t>…</w:t>
      </w:r>
    </w:p>
    <w:p w14:paraId="00AEDC3E" w14:textId="77777777" w:rsidR="000C236F" w:rsidRPr="007D449B" w:rsidRDefault="000C236F" w:rsidP="007D449B">
      <w:pPr>
        <w:shd w:val="clear" w:color="auto" w:fill="FFFFFF" w:themeFill="background1"/>
        <w:spacing w:line="360" w:lineRule="auto"/>
        <w:ind w:left="567" w:right="616"/>
        <w:jc w:val="both"/>
        <w:rPr>
          <w:rFonts w:ascii="Palatino Linotype" w:eastAsia="Palatino Linotype" w:hAnsi="Palatino Linotype" w:cs="Palatino Linotype"/>
          <w:i/>
          <w:sz w:val="22"/>
          <w:szCs w:val="22"/>
        </w:rPr>
      </w:pPr>
    </w:p>
    <w:p w14:paraId="4F43E820"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b/>
        </w:rPr>
        <w:t>Tercero. Materia de Revisión</w:t>
      </w:r>
      <w:r w:rsidRPr="007D449B">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7D449B">
        <w:rPr>
          <w:rFonts w:ascii="Palatino Linotype" w:eastAsia="Palatino Linotype" w:hAnsi="Palatino Linotype" w:cs="Palatino Linotype"/>
          <w:b/>
        </w:rPr>
        <w:t xml:space="preserve">verificar si las respuestas otorgadas por el SUJETO OBLIGADO son adecuadas y suficientes para satisfacer el derecho de acceso a la información pública </w:t>
      </w:r>
      <w:r w:rsidRPr="007D449B">
        <w:rPr>
          <w:rFonts w:ascii="Palatino Linotype" w:eastAsia="Palatino Linotype" w:hAnsi="Palatino Linotype" w:cs="Palatino Linotype"/>
        </w:rPr>
        <w:t xml:space="preserve">del </w:t>
      </w:r>
      <w:r w:rsidRPr="007D449B">
        <w:rPr>
          <w:rFonts w:ascii="Palatino Linotype" w:eastAsia="Palatino Linotype" w:hAnsi="Palatino Linotype" w:cs="Palatino Linotype"/>
          <w:b/>
        </w:rPr>
        <w:t>RECURRENTE</w:t>
      </w:r>
      <w:r w:rsidRPr="007D449B">
        <w:rPr>
          <w:rFonts w:ascii="Palatino Linotype" w:eastAsia="Palatino Linotype" w:hAnsi="Palatino Linotype" w:cs="Palatino Linotype"/>
        </w:rPr>
        <w:t>, o en su defecto, en caso de ser procedente, ordenar la entrega de información.</w:t>
      </w:r>
    </w:p>
    <w:p w14:paraId="7B2CF6E7"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0708FB13"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b/>
        </w:rPr>
        <w:t xml:space="preserve">CUARTO. Estudio del asunto. </w:t>
      </w:r>
      <w:r w:rsidRPr="007D449B">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E94C4D1"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2C4F799E" w14:textId="77777777" w:rsidR="000C236F" w:rsidRPr="007D449B" w:rsidRDefault="00A17FA6" w:rsidP="007D449B">
      <w:pPr>
        <w:shd w:val="clear" w:color="auto" w:fill="FFFFFF" w:themeFill="background1"/>
        <w:tabs>
          <w:tab w:val="left" w:pos="709"/>
        </w:tabs>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7D449B">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7FF96741" w14:textId="77777777" w:rsidR="000C236F" w:rsidRPr="007D449B" w:rsidRDefault="00A17FA6" w:rsidP="007D449B">
      <w:pPr>
        <w:shd w:val="clear" w:color="auto" w:fill="FFFFFF" w:themeFill="background1"/>
        <w:tabs>
          <w:tab w:val="left" w:pos="709"/>
        </w:tabs>
        <w:spacing w:line="276" w:lineRule="auto"/>
        <w:ind w:left="567" w:right="709"/>
        <w:jc w:val="both"/>
        <w:rPr>
          <w:rFonts w:ascii="Palatino Linotype" w:eastAsia="Palatino Linotype" w:hAnsi="Palatino Linotype" w:cs="Palatino Linotype"/>
          <w:b/>
          <w:i/>
          <w:sz w:val="22"/>
          <w:szCs w:val="22"/>
        </w:rPr>
      </w:pPr>
      <w:r w:rsidRPr="007D449B">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DFB260C" w14:textId="77777777" w:rsidR="000C236F" w:rsidRPr="007D449B" w:rsidRDefault="00A17FA6" w:rsidP="007D449B">
      <w:pPr>
        <w:shd w:val="clear" w:color="auto" w:fill="FFFFFF" w:themeFill="background1"/>
        <w:tabs>
          <w:tab w:val="left" w:pos="709"/>
        </w:tabs>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u w:val="single"/>
        </w:rPr>
        <w:t xml:space="preserve">Todas las autoridades, en el ámbito de sus competencias, tienen la obligación de promover, respetar, proteger y garantizar los derechos humanos de </w:t>
      </w:r>
      <w:r w:rsidRPr="007D449B">
        <w:rPr>
          <w:rFonts w:ascii="Palatino Linotype" w:eastAsia="Palatino Linotype" w:hAnsi="Palatino Linotype" w:cs="Palatino Linotype"/>
          <w:b/>
          <w:i/>
          <w:sz w:val="22"/>
          <w:szCs w:val="22"/>
          <w:u w:val="single"/>
        </w:rPr>
        <w:lastRenderedPageBreak/>
        <w:t>conformidad con los principios de universalidad, interdependencia, indivisibilidad y progresividad.</w:t>
      </w:r>
      <w:r w:rsidRPr="007D449B">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6EF5088" w14:textId="77777777" w:rsidR="000C236F" w:rsidRPr="007D449B" w:rsidRDefault="00A17FA6" w:rsidP="007D449B">
      <w:pPr>
        <w:shd w:val="clear" w:color="auto" w:fill="FFFFFF" w:themeFill="background1"/>
        <w:tabs>
          <w:tab w:val="left" w:pos="709"/>
        </w:tabs>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65F157C2"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“Artículo 6o.</w:t>
      </w:r>
    </w:p>
    <w:p w14:paraId="76C08BF5"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53C63814"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 xml:space="preserve">A. Para el ejercicio del derecho de acceso a la información, la Federación y </w:t>
      </w:r>
      <w:r w:rsidRPr="007D449B">
        <w:rPr>
          <w:rFonts w:ascii="Palatino Linotype" w:eastAsia="Palatino Linotype" w:hAnsi="Palatino Linotype" w:cs="Palatino Linotype"/>
          <w:b/>
          <w:i/>
          <w:sz w:val="22"/>
          <w:szCs w:val="22"/>
          <w:u w:val="single"/>
        </w:rPr>
        <w:t>las entidades federativas</w:t>
      </w:r>
      <w:r w:rsidRPr="007D449B">
        <w:rPr>
          <w:rFonts w:ascii="Palatino Linotype" w:eastAsia="Palatino Linotype" w:hAnsi="Palatino Linotype" w:cs="Palatino Linotype"/>
          <w:b/>
          <w:i/>
          <w:sz w:val="22"/>
          <w:szCs w:val="22"/>
        </w:rPr>
        <w:t>,</w:t>
      </w:r>
      <w:r w:rsidRPr="007D449B">
        <w:rPr>
          <w:rFonts w:ascii="Palatino Linotype" w:eastAsia="Palatino Linotype" w:hAnsi="Palatino Linotype" w:cs="Palatino Linotype"/>
          <w:i/>
          <w:sz w:val="22"/>
          <w:szCs w:val="22"/>
        </w:rPr>
        <w:t xml:space="preserve"> en el ámbito de sus respectivas competencias, se regirán por los siguientes principios y bases:</w:t>
      </w:r>
    </w:p>
    <w:p w14:paraId="76623DB1"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w:t>
      </w:r>
    </w:p>
    <w:p w14:paraId="31E594C1"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 xml:space="preserve">I. </w:t>
      </w:r>
      <w:r w:rsidRPr="007D449B">
        <w:rPr>
          <w:rFonts w:ascii="Palatino Linotype" w:eastAsia="Palatino Linotype" w:hAnsi="Palatino Linotype" w:cs="Palatino Linotype"/>
          <w:b/>
          <w:i/>
          <w:sz w:val="22"/>
          <w:szCs w:val="22"/>
          <w:u w:val="single"/>
        </w:rPr>
        <w:t>Toda la información en posesión de cualquier autoridad, entidad, órgano y organismo de los Poderes</w:t>
      </w:r>
      <w:r w:rsidRPr="007D449B">
        <w:rPr>
          <w:rFonts w:ascii="Palatino Linotype" w:eastAsia="Palatino Linotype" w:hAnsi="Palatino Linotype" w:cs="Palatino Linotype"/>
          <w:i/>
          <w:sz w:val="22"/>
          <w:szCs w:val="22"/>
        </w:rPr>
        <w:t xml:space="preserve"> Ejecutivo, Legislativo </w:t>
      </w:r>
      <w:r w:rsidRPr="007D449B">
        <w:rPr>
          <w:rFonts w:ascii="Palatino Linotype" w:eastAsia="Palatino Linotype" w:hAnsi="Palatino Linotype" w:cs="Palatino Linotype"/>
          <w:b/>
          <w:i/>
          <w:sz w:val="22"/>
          <w:szCs w:val="22"/>
          <w:u w:val="single"/>
        </w:rPr>
        <w:t>y Judicial</w:t>
      </w:r>
      <w:r w:rsidRPr="007D449B">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D449B">
        <w:rPr>
          <w:rFonts w:ascii="Palatino Linotype" w:eastAsia="Palatino Linotype" w:hAnsi="Palatino Linotype" w:cs="Palatino Linotype"/>
          <w:b/>
          <w:i/>
          <w:sz w:val="22"/>
          <w:szCs w:val="22"/>
        </w:rPr>
        <w:t>es pública y sólo podrá ser reservada temporalmente por razones de interés público y seguridad nacional,</w:t>
      </w:r>
      <w:r w:rsidRPr="007D449B">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F8887DB"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w:t>
      </w:r>
    </w:p>
    <w:p w14:paraId="43D0AAEF"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b/>
          <w:i/>
          <w:sz w:val="22"/>
          <w:szCs w:val="22"/>
        </w:rPr>
      </w:pPr>
      <w:r w:rsidRPr="007D449B">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73A6C84"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w:t>
      </w:r>
    </w:p>
    <w:p w14:paraId="5761C7B0"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 xml:space="preserve">III. </w:t>
      </w:r>
      <w:r w:rsidRPr="007D449B">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7D449B">
        <w:rPr>
          <w:rFonts w:ascii="Palatino Linotype" w:eastAsia="Palatino Linotype" w:hAnsi="Palatino Linotype" w:cs="Palatino Linotype"/>
          <w:i/>
          <w:sz w:val="22"/>
          <w:szCs w:val="22"/>
        </w:rPr>
        <w:t xml:space="preserve"> a sus datos personales o a la rectificación de éstos.</w:t>
      </w:r>
    </w:p>
    <w:p w14:paraId="5D368C91"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 xml:space="preserve">IV. </w:t>
      </w:r>
      <w:r w:rsidRPr="007D449B">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10BB8A85" w14:textId="77777777" w:rsidR="000C236F" w:rsidRPr="007D449B" w:rsidRDefault="000C236F"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p>
    <w:p w14:paraId="05BDBCC1"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lastRenderedPageBreak/>
        <w:t xml:space="preserve">V. </w:t>
      </w:r>
      <w:r w:rsidRPr="007D449B">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AFEE093"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w:t>
      </w:r>
    </w:p>
    <w:p w14:paraId="7EFA4489"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 xml:space="preserve">VI. </w:t>
      </w:r>
      <w:r w:rsidRPr="007D449B">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62243381"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w:t>
      </w:r>
    </w:p>
    <w:p w14:paraId="21D8BFE5"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 xml:space="preserve">VII. </w:t>
      </w:r>
      <w:r w:rsidRPr="007D449B">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13467A7A" w14:textId="77777777" w:rsidR="000C236F" w:rsidRPr="007D449B" w:rsidRDefault="000C236F" w:rsidP="007D449B">
      <w:pPr>
        <w:shd w:val="clear" w:color="auto" w:fill="FFFFFF" w:themeFill="background1"/>
        <w:spacing w:line="360" w:lineRule="auto"/>
        <w:ind w:right="851"/>
        <w:jc w:val="both"/>
        <w:rPr>
          <w:rFonts w:ascii="Palatino Linotype" w:eastAsia="Palatino Linotype" w:hAnsi="Palatino Linotype" w:cs="Palatino Linotype"/>
          <w:i/>
          <w:sz w:val="22"/>
          <w:szCs w:val="22"/>
        </w:rPr>
      </w:pPr>
    </w:p>
    <w:p w14:paraId="11D55C56" w14:textId="77777777" w:rsidR="000C236F" w:rsidRPr="007D449B" w:rsidRDefault="00A17FA6" w:rsidP="007D449B">
      <w:pPr>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Así,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414403B1" w14:textId="77777777" w:rsidR="000C236F" w:rsidRPr="007D449B" w:rsidRDefault="000C236F" w:rsidP="007D449B">
      <w:pPr>
        <w:shd w:val="clear" w:color="auto" w:fill="FFFFFF" w:themeFill="background1"/>
        <w:spacing w:line="360" w:lineRule="auto"/>
        <w:ind w:left="709" w:right="760"/>
        <w:jc w:val="both"/>
        <w:rPr>
          <w:rFonts w:ascii="Palatino Linotype" w:eastAsia="Palatino Linotype" w:hAnsi="Palatino Linotype" w:cs="Palatino Linotype"/>
          <w:i/>
        </w:rPr>
      </w:pPr>
    </w:p>
    <w:p w14:paraId="694E7CD5"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Del mismo modo, es de precisar que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317E7ED"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47291BD4" w14:textId="77777777" w:rsidR="000C236F" w:rsidRPr="007D449B" w:rsidRDefault="00A17FA6" w:rsidP="007D449B">
      <w:pPr>
        <w:shd w:val="clear" w:color="auto" w:fill="FFFFFF" w:themeFill="background1"/>
        <w:spacing w:line="276" w:lineRule="auto"/>
        <w:ind w:left="567" w:right="758"/>
        <w:jc w:val="both"/>
        <w:rPr>
          <w:rFonts w:ascii="Palatino Linotype" w:eastAsia="Palatino Linotype" w:hAnsi="Palatino Linotype" w:cs="Palatino Linotype"/>
          <w:b/>
          <w:i/>
          <w:sz w:val="22"/>
          <w:szCs w:val="22"/>
        </w:rPr>
      </w:pPr>
      <w:r w:rsidRPr="007D449B">
        <w:rPr>
          <w:rFonts w:ascii="Palatino Linotype" w:eastAsia="Palatino Linotype" w:hAnsi="Palatino Linotype" w:cs="Palatino Linotype"/>
          <w:i/>
          <w:sz w:val="22"/>
          <w:szCs w:val="22"/>
        </w:rPr>
        <w:lastRenderedPageBreak/>
        <w:t>“</w:t>
      </w:r>
      <w:r w:rsidRPr="007D449B">
        <w:rPr>
          <w:rFonts w:ascii="Palatino Linotype" w:eastAsia="Palatino Linotype" w:hAnsi="Palatino Linotype" w:cs="Palatino Linotype"/>
          <w:b/>
          <w:i/>
          <w:sz w:val="22"/>
          <w:szCs w:val="22"/>
        </w:rPr>
        <w:t>Artículo12.-</w:t>
      </w:r>
      <w:r w:rsidRPr="007D449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F1D7EB8" w14:textId="77777777" w:rsidR="000C236F" w:rsidRPr="007D449B" w:rsidRDefault="00A17FA6" w:rsidP="007D449B">
      <w:pPr>
        <w:shd w:val="clear" w:color="auto" w:fill="FFFFFF" w:themeFill="background1"/>
        <w:spacing w:line="276" w:lineRule="auto"/>
        <w:ind w:left="567" w:right="758"/>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D449B">
        <w:rPr>
          <w:rFonts w:ascii="Palatino Linotype" w:eastAsia="Palatino Linotype" w:hAnsi="Palatino Linotype" w:cs="Palatino Linotype"/>
          <w:i/>
          <w:sz w:val="22"/>
          <w:szCs w:val="22"/>
        </w:rPr>
        <w:t xml:space="preserve">. </w:t>
      </w:r>
      <w:r w:rsidRPr="007D449B">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79931622" w14:textId="77777777" w:rsidR="000C236F" w:rsidRPr="007D449B" w:rsidRDefault="000C236F" w:rsidP="007D449B">
      <w:pPr>
        <w:shd w:val="clear" w:color="auto" w:fill="FFFFFF" w:themeFill="background1"/>
        <w:spacing w:line="360" w:lineRule="auto"/>
        <w:ind w:right="-93"/>
        <w:jc w:val="both"/>
        <w:rPr>
          <w:rFonts w:ascii="Palatino Linotype" w:eastAsia="Palatino Linotype" w:hAnsi="Palatino Linotype" w:cs="Palatino Linotype"/>
        </w:rPr>
      </w:pPr>
    </w:p>
    <w:p w14:paraId="1AC50686"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1397F303"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Por otra parte, conviene mencionar que la Ley de Transparencia vigente en el Estado de México refiere: </w:t>
      </w:r>
    </w:p>
    <w:p w14:paraId="475273A2"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412AFADF"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Artículo 18.</w:t>
      </w:r>
      <w:r w:rsidRPr="007D449B">
        <w:rPr>
          <w:rFonts w:ascii="Palatino Linotype" w:eastAsia="Palatino Linotype" w:hAnsi="Palatino Linotype" w:cs="Palatino Linotype"/>
          <w:i/>
          <w:sz w:val="22"/>
          <w:szCs w:val="22"/>
        </w:rPr>
        <w:t xml:space="preserve"> </w:t>
      </w:r>
      <w:r w:rsidRPr="007D449B">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7D449B">
        <w:rPr>
          <w:rFonts w:ascii="Palatino Linotype" w:eastAsia="Palatino Linotype" w:hAnsi="Palatino Linotype" w:cs="Palatino Linotype"/>
          <w:i/>
          <w:sz w:val="22"/>
          <w:szCs w:val="22"/>
        </w:rPr>
        <w:t xml:space="preserve"> y reutilización de la información que generen.</w:t>
      </w:r>
    </w:p>
    <w:p w14:paraId="28E721DE" w14:textId="77777777" w:rsidR="000C236F" w:rsidRPr="007D449B" w:rsidRDefault="000C236F" w:rsidP="007D449B">
      <w:pPr>
        <w:shd w:val="clear" w:color="auto" w:fill="FFFFFF" w:themeFill="background1"/>
        <w:spacing w:line="276" w:lineRule="auto"/>
        <w:ind w:left="567" w:right="709"/>
        <w:jc w:val="both"/>
        <w:rPr>
          <w:rFonts w:ascii="Palatino Linotype" w:eastAsia="Palatino Linotype" w:hAnsi="Palatino Linotype" w:cs="Palatino Linotype"/>
          <w:b/>
          <w:i/>
          <w:sz w:val="22"/>
          <w:szCs w:val="22"/>
        </w:rPr>
      </w:pPr>
    </w:p>
    <w:p w14:paraId="460B07DB"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 xml:space="preserve">Artículo 19. </w:t>
      </w:r>
      <w:r w:rsidRPr="007D449B">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7D449B">
        <w:rPr>
          <w:rFonts w:ascii="Palatino Linotype" w:eastAsia="Palatino Linotype" w:hAnsi="Palatino Linotype" w:cs="Palatino Linotype"/>
          <w:i/>
          <w:sz w:val="22"/>
          <w:szCs w:val="22"/>
        </w:rPr>
        <w:t>.</w:t>
      </w:r>
    </w:p>
    <w:p w14:paraId="30393DF7" w14:textId="77777777" w:rsidR="000C236F" w:rsidRPr="007D449B" w:rsidRDefault="000C236F"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p>
    <w:p w14:paraId="1F0B0BAB"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05CB57EC" w14:textId="77777777" w:rsidR="000C236F" w:rsidRPr="007D449B" w:rsidRDefault="000C236F"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p>
    <w:p w14:paraId="64F8A012"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121BA3E"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75F29EFB"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en términos del artículo 3 de la Ley de Transparencia y Acceso a la Información Pública del Estado de México y Municipios.  </w:t>
      </w:r>
    </w:p>
    <w:p w14:paraId="77CA07CE"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1C9A5729"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r w:rsidRPr="007D449B">
        <w:rPr>
          <w:rFonts w:ascii="Palatino Linotype" w:eastAsia="Palatino Linotype" w:hAnsi="Palatino Linotype" w:cs="Palatino Linotype"/>
          <w:b/>
          <w:i/>
          <w:sz w:val="22"/>
          <w:szCs w:val="22"/>
        </w:rPr>
        <w:t xml:space="preserve">Artículo 3. </w:t>
      </w:r>
      <w:r w:rsidRPr="007D449B">
        <w:rPr>
          <w:rFonts w:ascii="Palatino Linotype" w:eastAsia="Palatino Linotype" w:hAnsi="Palatino Linotype" w:cs="Palatino Linotype"/>
          <w:i/>
          <w:sz w:val="22"/>
          <w:szCs w:val="22"/>
        </w:rPr>
        <w:t>Para los efectos de la presente Ley se entenderá por:</w:t>
      </w:r>
    </w:p>
    <w:p w14:paraId="680E73F8"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0D83D427"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XI. Documento:</w:t>
      </w:r>
      <w:r w:rsidRPr="007D449B">
        <w:rPr>
          <w:rFonts w:ascii="Palatino Linotype" w:eastAsia="Palatino Linotype" w:hAnsi="Palatino Linotype" w:cs="Palatino Linotype"/>
          <w:i/>
          <w:sz w:val="22"/>
          <w:szCs w:val="22"/>
        </w:rPr>
        <w:t xml:space="preserve"> Los expedientes, reportes, estudios, actas</w:t>
      </w:r>
      <w:r w:rsidRPr="007D449B">
        <w:rPr>
          <w:rFonts w:ascii="Palatino Linotype" w:eastAsia="Palatino Linotype" w:hAnsi="Palatino Linotype" w:cs="Palatino Linotype"/>
          <w:b/>
          <w:i/>
          <w:sz w:val="22"/>
          <w:szCs w:val="22"/>
        </w:rPr>
        <w:t>,</w:t>
      </w:r>
      <w:r w:rsidRPr="007D449B">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56E9498" w14:textId="77777777" w:rsidR="000C236F" w:rsidRPr="007D449B" w:rsidRDefault="000C236F" w:rsidP="007D449B">
      <w:pPr>
        <w:shd w:val="clear" w:color="auto" w:fill="FFFFFF" w:themeFill="background1"/>
        <w:spacing w:line="360" w:lineRule="auto"/>
        <w:ind w:left="851" w:right="899"/>
        <w:jc w:val="both"/>
        <w:rPr>
          <w:rFonts w:ascii="Palatino Linotype" w:eastAsia="Palatino Linotype" w:hAnsi="Palatino Linotype" w:cs="Palatino Linotype"/>
          <w:i/>
        </w:rPr>
      </w:pPr>
    </w:p>
    <w:p w14:paraId="4E473614"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De ahí que el </w:t>
      </w:r>
      <w:r w:rsidRPr="007D449B">
        <w:rPr>
          <w:rFonts w:ascii="Palatino Linotype" w:eastAsia="Palatino Linotype" w:hAnsi="Palatino Linotype" w:cs="Palatino Linotype"/>
          <w:b/>
        </w:rPr>
        <w:t>SUJETO OBLIGADO</w:t>
      </w:r>
      <w:r w:rsidRPr="007D449B">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w:t>
      </w:r>
      <w:r w:rsidRPr="007D449B">
        <w:rPr>
          <w:rFonts w:ascii="Palatino Linotype" w:eastAsia="Palatino Linotype" w:hAnsi="Palatino Linotype" w:cs="Palatino Linotype"/>
        </w:rPr>
        <w:lastRenderedPageBreak/>
        <w:t>resulta relevante o beneficiosa para la sociedad y no simplemente de interés individual, y cuya divulgación resulta útil para que el público comprenda las actividades que llevan a cabo los Sujetos Obligados, como pudiera tratarse de aquella relacionada con las obligaciones de trasparencia señaladas en los artículos 92 y 100 de la Ley de la Materia.</w:t>
      </w:r>
    </w:p>
    <w:p w14:paraId="1CF27336"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1C3A9F35"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Dicho lo anterior, es de recordar que la pretensión de la parte Recurrente es obtener lo siguiente: </w:t>
      </w:r>
    </w:p>
    <w:p w14:paraId="0FFA7DC3"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17B75C96" w14:textId="77777777" w:rsidR="000C236F" w:rsidRPr="007D449B" w:rsidRDefault="00A17FA6" w:rsidP="007D449B">
      <w:pPr>
        <w:numPr>
          <w:ilvl w:val="0"/>
          <w:numId w:val="4"/>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Los convenios firmados por el Titular de la Secretaría de Movilidad en 2021, 2022 y 2023. </w:t>
      </w:r>
    </w:p>
    <w:p w14:paraId="7067A98D" w14:textId="77777777" w:rsidR="000C236F" w:rsidRPr="007D449B" w:rsidRDefault="00A17FA6" w:rsidP="007D449B">
      <w:pPr>
        <w:numPr>
          <w:ilvl w:val="0"/>
          <w:numId w:val="4"/>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Los convenios firmados por el </w:t>
      </w:r>
      <w:proofErr w:type="gramStart"/>
      <w:r w:rsidRPr="007D449B">
        <w:rPr>
          <w:rFonts w:ascii="Palatino Linotype" w:eastAsia="Palatino Linotype" w:hAnsi="Palatino Linotype" w:cs="Palatino Linotype"/>
          <w:sz w:val="22"/>
          <w:szCs w:val="22"/>
        </w:rPr>
        <w:t>Secretario</w:t>
      </w:r>
      <w:proofErr w:type="gramEnd"/>
      <w:r w:rsidRPr="007D449B">
        <w:rPr>
          <w:rFonts w:ascii="Palatino Linotype" w:eastAsia="Palatino Linotype" w:hAnsi="Palatino Linotype" w:cs="Palatino Linotype"/>
          <w:sz w:val="22"/>
          <w:szCs w:val="22"/>
        </w:rPr>
        <w:t xml:space="preserve"> de Movilidad y Secretario de Comunicaciones en los últimos cinco años. </w:t>
      </w:r>
    </w:p>
    <w:p w14:paraId="53E075DD"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65169200"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En respuesta, el Sujeto Obligado remitió lo siguiente: </w:t>
      </w:r>
    </w:p>
    <w:p w14:paraId="2DEBE75D"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4E179AB3" w14:textId="77777777" w:rsidR="000C236F" w:rsidRPr="007D449B" w:rsidRDefault="00A17FA6" w:rsidP="007D449B">
      <w:pPr>
        <w:shd w:val="clear" w:color="auto" w:fill="FFFFFF" w:themeFill="background1"/>
        <w:spacing w:line="276" w:lineRule="auto"/>
        <w:jc w:val="center"/>
        <w:rPr>
          <w:rFonts w:ascii="Palatino Linotype" w:eastAsia="Palatino Linotype" w:hAnsi="Palatino Linotype" w:cs="Palatino Linotype"/>
          <w:b/>
          <w:sz w:val="22"/>
          <w:szCs w:val="22"/>
        </w:rPr>
      </w:pPr>
      <w:r w:rsidRPr="007D449B">
        <w:rPr>
          <w:rFonts w:ascii="Palatino Linotype" w:eastAsia="Palatino Linotype" w:hAnsi="Palatino Linotype" w:cs="Palatino Linotype"/>
          <w:b/>
          <w:sz w:val="22"/>
          <w:szCs w:val="22"/>
        </w:rPr>
        <w:t>00844/INFOEM/IP/RR/2023</w:t>
      </w:r>
    </w:p>
    <w:p w14:paraId="7A969C8A" w14:textId="77777777" w:rsidR="000C236F" w:rsidRPr="007D449B" w:rsidRDefault="000C236F" w:rsidP="007D449B">
      <w:pPr>
        <w:shd w:val="clear" w:color="auto" w:fill="FFFFFF" w:themeFill="background1"/>
        <w:spacing w:line="276" w:lineRule="auto"/>
        <w:jc w:val="center"/>
        <w:rPr>
          <w:rFonts w:ascii="Palatino Linotype" w:eastAsia="Palatino Linotype" w:hAnsi="Palatino Linotype" w:cs="Palatino Linotype"/>
          <w:sz w:val="28"/>
          <w:szCs w:val="28"/>
        </w:rPr>
      </w:pPr>
    </w:p>
    <w:p w14:paraId="7F006053"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Primer convenio modificatorio y adicional al convenio de colaboración que celebra el gobierno federal y la secretaría de movilidad del </w:t>
      </w:r>
      <w:r w:rsidRPr="007D449B">
        <w:rPr>
          <w:rFonts w:ascii="Palatino Linotype" w:eastAsia="Palatino Linotype" w:hAnsi="Palatino Linotype" w:cs="Palatino Linotype"/>
          <w:b/>
          <w:sz w:val="22"/>
          <w:szCs w:val="22"/>
        </w:rPr>
        <w:t xml:space="preserve">veintinueve de octubre de dos mil veintiuno. </w:t>
      </w:r>
    </w:p>
    <w:p w14:paraId="4C7C5CA4"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Convenio marco de coordinación de acciones, que celebra el Bando Nacional de Obras, el Gobierno del Estado de México y el Gobierno de la Ciudad de México del </w:t>
      </w:r>
      <w:r w:rsidRPr="007D449B">
        <w:rPr>
          <w:rFonts w:ascii="Palatino Linotype" w:eastAsia="Palatino Linotype" w:hAnsi="Palatino Linotype" w:cs="Palatino Linotype"/>
          <w:b/>
          <w:sz w:val="22"/>
          <w:szCs w:val="22"/>
        </w:rPr>
        <w:t xml:space="preserve">veinticuatro de septiembre de dos mil veintiuno. </w:t>
      </w:r>
    </w:p>
    <w:p w14:paraId="59FAEF98"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Convenio Marco de Coordinación de Acciones que celebran el Ejecutivo Federal, la Secretaría de Movilidad y el Gobierno de la Ciudad de México de fecha </w:t>
      </w:r>
      <w:r w:rsidRPr="007D449B">
        <w:rPr>
          <w:rFonts w:ascii="Palatino Linotype" w:eastAsia="Palatino Linotype" w:hAnsi="Palatino Linotype" w:cs="Palatino Linotype"/>
          <w:b/>
          <w:sz w:val="22"/>
          <w:szCs w:val="22"/>
        </w:rPr>
        <w:t xml:space="preserve">veintidós de marzo de dos mil veintiuno. </w:t>
      </w:r>
      <w:r w:rsidRPr="007D449B">
        <w:rPr>
          <w:rFonts w:ascii="Palatino Linotype" w:eastAsia="Palatino Linotype" w:hAnsi="Palatino Linotype" w:cs="Palatino Linotype"/>
          <w:sz w:val="22"/>
          <w:szCs w:val="22"/>
        </w:rPr>
        <w:t xml:space="preserve"> </w:t>
      </w:r>
    </w:p>
    <w:p w14:paraId="0AC68944"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lastRenderedPageBreak/>
        <w:t xml:space="preserve">Convenio de colaboración que celebra el Ejecutivo Federal y el Gobierno del Estado de México el </w:t>
      </w:r>
      <w:r w:rsidRPr="007D449B">
        <w:rPr>
          <w:rFonts w:ascii="Palatino Linotype" w:eastAsia="Palatino Linotype" w:hAnsi="Palatino Linotype" w:cs="Palatino Linotype"/>
          <w:b/>
          <w:sz w:val="22"/>
          <w:szCs w:val="22"/>
        </w:rPr>
        <w:t xml:space="preserve">dieciocho de febrero de dos mil veintidós. </w:t>
      </w:r>
    </w:p>
    <w:p w14:paraId="7D8CB085"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sz w:val="22"/>
          <w:szCs w:val="22"/>
        </w:rPr>
        <w:t xml:space="preserve">Convenio General de Coordinación de Acciones para la Construcción, Operación y Mantenimiento del Proyecto denominado “Ciclovía Metropolitana” el </w:t>
      </w:r>
      <w:r w:rsidRPr="007D449B">
        <w:rPr>
          <w:rFonts w:ascii="Palatino Linotype" w:eastAsia="Palatino Linotype" w:hAnsi="Palatino Linotype" w:cs="Palatino Linotype"/>
          <w:b/>
          <w:sz w:val="22"/>
          <w:szCs w:val="22"/>
        </w:rPr>
        <w:t>veinte de octubre de dos mil veintidós</w:t>
      </w:r>
      <w:r w:rsidRPr="007D449B">
        <w:rPr>
          <w:rFonts w:ascii="Palatino Linotype" w:eastAsia="Palatino Linotype" w:hAnsi="Palatino Linotype" w:cs="Palatino Linotype"/>
          <w:b/>
          <w:i/>
          <w:sz w:val="22"/>
          <w:szCs w:val="22"/>
        </w:rPr>
        <w:t>.</w:t>
      </w:r>
    </w:p>
    <w:p w14:paraId="195CCEB6" w14:textId="77777777" w:rsidR="000C236F" w:rsidRPr="007D449B" w:rsidRDefault="000C236F" w:rsidP="007D449B">
      <w:pPr>
        <w:shd w:val="clear" w:color="auto" w:fill="FFFFFF" w:themeFill="background1"/>
        <w:spacing w:line="276" w:lineRule="auto"/>
        <w:jc w:val="both"/>
        <w:rPr>
          <w:rFonts w:ascii="Palatino Linotype" w:eastAsia="Palatino Linotype" w:hAnsi="Palatino Linotype" w:cs="Palatino Linotype"/>
        </w:rPr>
      </w:pPr>
    </w:p>
    <w:p w14:paraId="1872E147" w14:textId="77777777" w:rsidR="000C236F" w:rsidRPr="007D449B" w:rsidRDefault="00A17FA6" w:rsidP="007D449B">
      <w:pPr>
        <w:shd w:val="clear" w:color="auto" w:fill="FFFFFF" w:themeFill="background1"/>
        <w:spacing w:line="276" w:lineRule="auto"/>
        <w:jc w:val="center"/>
        <w:rPr>
          <w:rFonts w:ascii="Palatino Linotype" w:eastAsia="Palatino Linotype" w:hAnsi="Palatino Linotype" w:cs="Palatino Linotype"/>
          <w:b/>
          <w:sz w:val="22"/>
          <w:szCs w:val="22"/>
        </w:rPr>
      </w:pPr>
      <w:r w:rsidRPr="007D449B">
        <w:rPr>
          <w:rFonts w:ascii="Palatino Linotype" w:eastAsia="Palatino Linotype" w:hAnsi="Palatino Linotype" w:cs="Palatino Linotype"/>
          <w:b/>
          <w:sz w:val="22"/>
          <w:szCs w:val="22"/>
        </w:rPr>
        <w:t>01043/INFOEM/IP/RR/2023</w:t>
      </w:r>
    </w:p>
    <w:p w14:paraId="0A392D60" w14:textId="77777777" w:rsidR="000C236F" w:rsidRPr="007D449B" w:rsidRDefault="000C236F" w:rsidP="007D449B">
      <w:pPr>
        <w:shd w:val="clear" w:color="auto" w:fill="FFFFFF" w:themeFill="background1"/>
        <w:spacing w:line="276" w:lineRule="auto"/>
        <w:jc w:val="center"/>
        <w:rPr>
          <w:rFonts w:ascii="Palatino Linotype" w:eastAsia="Palatino Linotype" w:hAnsi="Palatino Linotype" w:cs="Palatino Linotype"/>
          <w:b/>
          <w:sz w:val="22"/>
          <w:szCs w:val="22"/>
        </w:rPr>
      </w:pPr>
    </w:p>
    <w:p w14:paraId="4E8E616A"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Archivo ZIP que contiene diversos convenios de los años solicitados. </w:t>
      </w:r>
    </w:p>
    <w:p w14:paraId="473BF96C"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Acta de la Décima Cuarta Sesión Extraordinaria del año dos mil veintitrés. </w:t>
      </w:r>
    </w:p>
    <w:p w14:paraId="62DC7CDF"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Oficio de fecha dos de febrero de dos mil veintitrés, signado por el Titular de la Unidad de Transparencia, mediante el cual informa que, derivado de una búsqueda en los archivos y registros del Departamento de Contratos, Convenios y Acuerdos adscrito a la Dirección Consultivo de la Dirección General de Asuntos Jurídicos e Igualdad de Género se localizaron un total de noventa convenios suscritos por las personas titulares de la Secretaría de Comunicaciones y Secretaría de Movilidad durante los años 2018, 2019, 2020, 2021 y 2022.</w:t>
      </w:r>
    </w:p>
    <w:p w14:paraId="3FAF72A5"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48CDF28A"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Derivado de ello, la parte Solicitante se inconformó arguyendo la entrega de información incompleta, aunado a que el acta remitida no se encuentra firmada.  </w:t>
      </w:r>
    </w:p>
    <w:p w14:paraId="1FDE86BB"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36E36B4E"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Posteriormente, el Sujeto Obligado, rindió sus informes justificados, al tenor de lo siguiente: </w:t>
      </w:r>
    </w:p>
    <w:p w14:paraId="4D987217"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6C5DC5A1" w14:textId="77777777" w:rsidR="000C236F" w:rsidRPr="007D449B" w:rsidRDefault="00A17FA6" w:rsidP="007D449B">
      <w:pPr>
        <w:shd w:val="clear" w:color="auto" w:fill="FFFFFF" w:themeFill="background1"/>
        <w:spacing w:line="276" w:lineRule="auto"/>
        <w:ind w:right="49"/>
        <w:jc w:val="center"/>
        <w:rPr>
          <w:rFonts w:ascii="Palatino Linotype" w:eastAsia="Palatino Linotype" w:hAnsi="Palatino Linotype" w:cs="Palatino Linotype"/>
          <w:sz w:val="28"/>
          <w:szCs w:val="28"/>
        </w:rPr>
      </w:pPr>
      <w:r w:rsidRPr="007D449B">
        <w:rPr>
          <w:rFonts w:ascii="Palatino Linotype" w:eastAsia="Palatino Linotype" w:hAnsi="Palatino Linotype" w:cs="Palatino Linotype"/>
          <w:b/>
          <w:sz w:val="22"/>
          <w:szCs w:val="22"/>
        </w:rPr>
        <w:t>00844/INFOEM/IP/RR/2023</w:t>
      </w:r>
    </w:p>
    <w:p w14:paraId="64739331" w14:textId="77777777" w:rsidR="000C236F" w:rsidRPr="007D449B" w:rsidRDefault="000C236F" w:rsidP="007D449B">
      <w:pPr>
        <w:shd w:val="clear" w:color="auto" w:fill="FFFFFF" w:themeFill="background1"/>
        <w:spacing w:line="276" w:lineRule="auto"/>
        <w:ind w:right="709"/>
        <w:jc w:val="both"/>
        <w:rPr>
          <w:rFonts w:ascii="Palatino Linotype" w:eastAsia="Palatino Linotype" w:hAnsi="Palatino Linotype" w:cs="Palatino Linotype"/>
          <w:sz w:val="28"/>
          <w:szCs w:val="28"/>
        </w:rPr>
      </w:pPr>
    </w:p>
    <w:p w14:paraId="40E2B99C"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ind w:right="709"/>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Oficio de fecha veinticuatro de febrero de dos mil veintitrés, signado por el titular de la Unidad de Transparencia, mediante el cual ratificó su respuesta inicial. </w:t>
      </w:r>
    </w:p>
    <w:p w14:paraId="54F76458"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ind w:right="709"/>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lastRenderedPageBreak/>
        <w:t xml:space="preserve">Oficio de fecha veintiuno de febrero de dos mil veintitrés, signado por el </w:t>
      </w:r>
      <w:proofErr w:type="gramStart"/>
      <w:r w:rsidRPr="007D449B">
        <w:rPr>
          <w:rFonts w:ascii="Palatino Linotype" w:eastAsia="Palatino Linotype" w:hAnsi="Palatino Linotype" w:cs="Palatino Linotype"/>
          <w:sz w:val="22"/>
          <w:szCs w:val="22"/>
        </w:rPr>
        <w:t>Director</w:t>
      </w:r>
      <w:proofErr w:type="gramEnd"/>
      <w:r w:rsidRPr="007D449B">
        <w:rPr>
          <w:rFonts w:ascii="Palatino Linotype" w:eastAsia="Palatino Linotype" w:hAnsi="Palatino Linotype" w:cs="Palatino Linotype"/>
          <w:sz w:val="22"/>
          <w:szCs w:val="22"/>
        </w:rPr>
        <w:t xml:space="preserve"> de Asuntos Jurídicos de la Dirección General de Asuntos Jurídicos e Igualdad de Género, mediante el cual informa que se proporcionaron los convenios que firmó el Secretario de Movilidad durante los años 2021, 2022 y a hasta el 2023.  </w:t>
      </w:r>
    </w:p>
    <w:p w14:paraId="31D17988" w14:textId="77777777" w:rsidR="000C236F" w:rsidRPr="007D449B" w:rsidRDefault="000C236F" w:rsidP="007D449B">
      <w:pPr>
        <w:shd w:val="clear" w:color="auto" w:fill="FFFFFF" w:themeFill="background1"/>
        <w:spacing w:line="276" w:lineRule="auto"/>
        <w:ind w:right="709"/>
        <w:jc w:val="both"/>
        <w:rPr>
          <w:rFonts w:ascii="Palatino Linotype" w:eastAsia="Palatino Linotype" w:hAnsi="Palatino Linotype" w:cs="Palatino Linotype"/>
          <w:sz w:val="22"/>
          <w:szCs w:val="22"/>
        </w:rPr>
      </w:pPr>
    </w:p>
    <w:p w14:paraId="4C303005" w14:textId="77777777" w:rsidR="000C236F" w:rsidRPr="007D449B" w:rsidRDefault="00A17FA6" w:rsidP="007D449B">
      <w:pPr>
        <w:shd w:val="clear" w:color="auto" w:fill="FFFFFF" w:themeFill="background1"/>
        <w:spacing w:line="276" w:lineRule="auto"/>
        <w:ind w:right="709"/>
        <w:jc w:val="center"/>
        <w:rPr>
          <w:rFonts w:ascii="Palatino Linotype" w:eastAsia="Palatino Linotype" w:hAnsi="Palatino Linotype" w:cs="Palatino Linotype"/>
          <w:b/>
          <w:sz w:val="22"/>
          <w:szCs w:val="22"/>
        </w:rPr>
      </w:pPr>
      <w:r w:rsidRPr="007D449B">
        <w:rPr>
          <w:rFonts w:ascii="Palatino Linotype" w:eastAsia="Palatino Linotype" w:hAnsi="Palatino Linotype" w:cs="Palatino Linotype"/>
          <w:b/>
          <w:sz w:val="22"/>
          <w:szCs w:val="22"/>
        </w:rPr>
        <w:t>01043/INFOEM/IP/RR/2023</w:t>
      </w:r>
    </w:p>
    <w:p w14:paraId="6FAF12F2" w14:textId="77777777" w:rsidR="000C236F" w:rsidRPr="007D449B" w:rsidRDefault="000C236F" w:rsidP="007D449B">
      <w:pPr>
        <w:shd w:val="clear" w:color="auto" w:fill="FFFFFF" w:themeFill="background1"/>
        <w:spacing w:line="276" w:lineRule="auto"/>
        <w:ind w:right="709"/>
        <w:jc w:val="both"/>
        <w:rPr>
          <w:rFonts w:ascii="Palatino Linotype" w:eastAsia="Palatino Linotype" w:hAnsi="Palatino Linotype" w:cs="Palatino Linotype"/>
          <w:b/>
          <w:sz w:val="22"/>
          <w:szCs w:val="22"/>
        </w:rPr>
      </w:pPr>
    </w:p>
    <w:p w14:paraId="2A76B3AB"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ind w:right="709"/>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Oficio de fecha nueve de marzo de dos mil veintitrés, signado por el Titular de la Unidad de Transparencia, mediante el cual informa que el servidor público habilitado de la Dirección General de Asuntos Jurídicos y de Gestión Documental, refirió que encontró cuatro convenios adicionales a los ya entregados en su respuesta. </w:t>
      </w:r>
    </w:p>
    <w:p w14:paraId="26D77460"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720" w:right="709"/>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Asimismo, refiere que en lo que respecta el acta, se remite el Acta de la Décimo Cuarta Sesión Extraordinaria del Comité de Transparencia. </w:t>
      </w:r>
    </w:p>
    <w:p w14:paraId="329844C4"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ind w:right="709"/>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Archivo en formato ZIP que contiene cuatro convenios. </w:t>
      </w:r>
    </w:p>
    <w:p w14:paraId="1692EE65"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ind w:right="709"/>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Acta de la Décima Cuarta Sesión Extraordinaria del año 2023. </w:t>
      </w:r>
    </w:p>
    <w:p w14:paraId="1DD04E58" w14:textId="77777777" w:rsidR="000C236F" w:rsidRPr="007D449B" w:rsidRDefault="00A17FA6" w:rsidP="007D449B">
      <w:pPr>
        <w:numPr>
          <w:ilvl w:val="0"/>
          <w:numId w:val="3"/>
        </w:numPr>
        <w:pBdr>
          <w:top w:val="nil"/>
          <w:left w:val="nil"/>
          <w:bottom w:val="nil"/>
          <w:right w:val="nil"/>
          <w:between w:val="nil"/>
        </w:pBdr>
        <w:shd w:val="clear" w:color="auto" w:fill="FFFFFF" w:themeFill="background1"/>
        <w:spacing w:line="276" w:lineRule="auto"/>
        <w:ind w:right="709"/>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Oficio de fecha seis de marzo de dos mil veintitrés, signada por el </w:t>
      </w:r>
      <w:proofErr w:type="gramStart"/>
      <w:r w:rsidRPr="007D449B">
        <w:rPr>
          <w:rFonts w:ascii="Palatino Linotype" w:eastAsia="Palatino Linotype" w:hAnsi="Palatino Linotype" w:cs="Palatino Linotype"/>
          <w:sz w:val="22"/>
          <w:szCs w:val="22"/>
        </w:rPr>
        <w:t>Director</w:t>
      </w:r>
      <w:proofErr w:type="gramEnd"/>
      <w:r w:rsidRPr="007D449B">
        <w:rPr>
          <w:rFonts w:ascii="Palatino Linotype" w:eastAsia="Palatino Linotype" w:hAnsi="Palatino Linotype" w:cs="Palatino Linotype"/>
          <w:sz w:val="22"/>
          <w:szCs w:val="22"/>
        </w:rPr>
        <w:t xml:space="preserve"> de Asuntos Jurídicos mediante el cual solicitan sobreseer el recurso de revisión.</w:t>
      </w:r>
    </w:p>
    <w:p w14:paraId="5B5A3B8B"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i/>
        </w:rPr>
      </w:pPr>
    </w:p>
    <w:p w14:paraId="2FAB1877" w14:textId="77777777" w:rsidR="000C236F" w:rsidRPr="007D449B" w:rsidRDefault="00A17FA6" w:rsidP="007D449B">
      <w:pPr>
        <w:widowControl w:val="0"/>
        <w:pBdr>
          <w:top w:val="nil"/>
          <w:left w:val="nil"/>
          <w:bottom w:val="nil"/>
          <w:right w:val="nil"/>
          <w:between w:val="nil"/>
        </w:pBdr>
        <w:shd w:val="clear" w:color="auto" w:fill="FFFFFF" w:themeFill="background1"/>
        <w:tabs>
          <w:tab w:val="left" w:pos="851"/>
        </w:tabs>
        <w:spacing w:line="360"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La parte Recurrente fue omisa en rendir manifestaciones. </w:t>
      </w:r>
    </w:p>
    <w:p w14:paraId="51D66652" w14:textId="77777777" w:rsidR="000C236F" w:rsidRPr="007D449B" w:rsidRDefault="000C236F" w:rsidP="007D449B">
      <w:pPr>
        <w:shd w:val="clear" w:color="auto" w:fill="FFFFFF" w:themeFill="background1"/>
        <w:jc w:val="both"/>
        <w:rPr>
          <w:rFonts w:ascii="Palatino Linotype" w:eastAsia="Palatino Linotype" w:hAnsi="Palatino Linotype" w:cs="Palatino Linotype"/>
          <w:sz w:val="20"/>
          <w:szCs w:val="20"/>
        </w:rPr>
      </w:pPr>
    </w:p>
    <w:p w14:paraId="29203082" w14:textId="77777777" w:rsidR="000C236F" w:rsidRPr="007D449B" w:rsidRDefault="000C236F" w:rsidP="007D449B">
      <w:pPr>
        <w:shd w:val="clear" w:color="auto" w:fill="FFFFFF" w:themeFill="background1"/>
        <w:jc w:val="both"/>
        <w:rPr>
          <w:rFonts w:ascii="Palatino Linotype" w:eastAsia="Palatino Linotype" w:hAnsi="Palatino Linotype" w:cs="Palatino Linotype"/>
          <w:i/>
          <w:sz w:val="20"/>
          <w:szCs w:val="20"/>
        </w:rPr>
      </w:pPr>
    </w:p>
    <w:p w14:paraId="52F1A119"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En atención a lo anterior, se procede a contextualizar la información solicitada, para ello, es conveniente traer a colación el Reglamento Interior de la Secretaría de Movilidad, el cual establece lo siguiente: </w:t>
      </w:r>
    </w:p>
    <w:p w14:paraId="1ABE2CED" w14:textId="77777777" w:rsidR="000C236F" w:rsidRPr="007D449B" w:rsidRDefault="000C236F"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p>
    <w:p w14:paraId="0CCE48B5"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Artículo 6.</w:t>
      </w:r>
      <w:r w:rsidRPr="007D449B">
        <w:rPr>
          <w:rFonts w:ascii="Palatino Linotype" w:eastAsia="Palatino Linotype" w:hAnsi="Palatino Linotype" w:cs="Palatino Linotype"/>
          <w:i/>
          <w:sz w:val="22"/>
          <w:szCs w:val="22"/>
        </w:rPr>
        <w:t xml:space="preserve"> La persona titular de la Secretaría tendrá las atribuciones siguientes:</w:t>
      </w:r>
    </w:p>
    <w:p w14:paraId="60C7FB9A"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730C3775"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IV. Proponer a la persona titular del Poder Ejecutivo del Estado, a través de la Secretaría de Justicia y Derechos Humanos, los proyectos de iniciativas de leyes, decretos, </w:t>
      </w:r>
      <w:r w:rsidRPr="007D449B">
        <w:rPr>
          <w:rFonts w:ascii="Palatino Linotype" w:eastAsia="Palatino Linotype" w:hAnsi="Palatino Linotype" w:cs="Palatino Linotype"/>
          <w:i/>
          <w:sz w:val="22"/>
          <w:szCs w:val="22"/>
        </w:rPr>
        <w:lastRenderedPageBreak/>
        <w:t>acuerdos, reglamentos y convenios sobre los asuntos competencia de la Secretaría y organismos auxiliares de su sector;</w:t>
      </w:r>
    </w:p>
    <w:p w14:paraId="36B86EA7"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5C79CCEA"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IX. Suscribir acuerdos, convenios y contratos con los sectores público, social y privado en los asuntos competencia de la Secretaría de conformidad con las disposiciones jurídicas aplicables;</w:t>
      </w:r>
    </w:p>
    <w:p w14:paraId="47B71B74" w14:textId="77777777" w:rsidR="000C236F" w:rsidRPr="007D449B" w:rsidRDefault="00A17FA6" w:rsidP="007D449B">
      <w:pPr>
        <w:shd w:val="clear" w:color="auto" w:fill="FFFFFF" w:themeFill="background1"/>
        <w:spacing w:line="276" w:lineRule="auto"/>
        <w:ind w:left="567" w:right="70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56A500F0"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1321E230" w14:textId="77777777" w:rsidR="000C236F" w:rsidRPr="007D449B" w:rsidRDefault="00A17FA6" w:rsidP="007D449B">
      <w:pPr>
        <w:pBdr>
          <w:top w:val="nil"/>
          <w:left w:val="nil"/>
          <w:bottom w:val="nil"/>
          <w:right w:val="nil"/>
          <w:between w:val="nil"/>
        </w:pBd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Por otra parte, es de mencionar que las atribuciones encomendadas a la Dirección General de Asuntos Jurídicos e Igualdad de Género, son las que se mencionan a continuación: </w:t>
      </w:r>
    </w:p>
    <w:p w14:paraId="15EF0D9A" w14:textId="77777777" w:rsidR="000C236F" w:rsidRPr="007D449B" w:rsidRDefault="000C236F" w:rsidP="007D449B">
      <w:pPr>
        <w:pBdr>
          <w:top w:val="nil"/>
          <w:left w:val="nil"/>
          <w:bottom w:val="nil"/>
          <w:right w:val="nil"/>
          <w:between w:val="nil"/>
        </w:pBdr>
        <w:shd w:val="clear" w:color="auto" w:fill="FFFFFF" w:themeFill="background1"/>
        <w:spacing w:line="360" w:lineRule="auto"/>
        <w:ind w:right="49"/>
        <w:jc w:val="both"/>
        <w:rPr>
          <w:rFonts w:ascii="Palatino Linotype" w:eastAsia="Palatino Linotype" w:hAnsi="Palatino Linotype" w:cs="Palatino Linotype"/>
        </w:rPr>
      </w:pPr>
    </w:p>
    <w:p w14:paraId="0EE98F56"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4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Artículo 20.</w:t>
      </w:r>
      <w:r w:rsidRPr="007D449B">
        <w:rPr>
          <w:rFonts w:ascii="Palatino Linotype" w:eastAsia="Palatino Linotype" w:hAnsi="Palatino Linotype" w:cs="Palatino Linotype"/>
          <w:i/>
          <w:sz w:val="22"/>
          <w:szCs w:val="22"/>
        </w:rPr>
        <w:t xml:space="preserve"> Corresponden a la Dirección General de Asuntos Jurídicos e Igualdad de Género las atribuciones siguientes:</w:t>
      </w:r>
    </w:p>
    <w:p w14:paraId="312C872C"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4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144A6DEA"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4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II. Revisar y en su caso, formular proyectos de iniciativas de ley y decretos, así como de reglamentos, acuerdos, convenios y demás instrumentos jurídicos que requiera la Secretaría para el cumplimiento de sus atribuciones;</w:t>
      </w:r>
    </w:p>
    <w:p w14:paraId="06677610"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4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4A29054D"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4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IV. Elaborar y validar los acuerdos, convenios y contratos, en materia de movilidad, en los que la Secretaría forme parte, a excepción de los suscritos por la Coordinación Administrativa y de Gestión Documental;</w:t>
      </w:r>
    </w:p>
    <w:p w14:paraId="22BD2B5F"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49"/>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4E35B187" w14:textId="77777777" w:rsidR="000C236F" w:rsidRPr="007D449B" w:rsidRDefault="000C236F" w:rsidP="007D449B">
      <w:pPr>
        <w:pBdr>
          <w:top w:val="nil"/>
          <w:left w:val="nil"/>
          <w:bottom w:val="nil"/>
          <w:right w:val="nil"/>
          <w:between w:val="nil"/>
        </w:pBdr>
        <w:shd w:val="clear" w:color="auto" w:fill="FFFFFF" w:themeFill="background1"/>
        <w:spacing w:line="360" w:lineRule="auto"/>
        <w:ind w:right="49"/>
        <w:jc w:val="both"/>
        <w:rPr>
          <w:rFonts w:ascii="Palatino Linotype" w:eastAsia="Palatino Linotype" w:hAnsi="Palatino Linotype" w:cs="Palatino Linotype"/>
        </w:rPr>
      </w:pPr>
    </w:p>
    <w:p w14:paraId="7CE875F6" w14:textId="77777777" w:rsidR="000C236F" w:rsidRPr="007D449B" w:rsidRDefault="00A17FA6" w:rsidP="007D449B">
      <w:pPr>
        <w:pBdr>
          <w:top w:val="nil"/>
          <w:left w:val="nil"/>
          <w:bottom w:val="nil"/>
          <w:right w:val="nil"/>
          <w:between w:val="nil"/>
        </w:pBd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Es así que, se advierte que la Secretaría de Movilidad cuenta con facultades, atribuciones y competencias, para generar, administrar y poseer la información requerida, toda vez que, remitió tanto en respuestas como en informes justificados diversos convenios solicitados. </w:t>
      </w:r>
    </w:p>
    <w:p w14:paraId="7D024A1C" w14:textId="77777777" w:rsidR="000C236F" w:rsidRPr="007D449B" w:rsidRDefault="000C236F" w:rsidP="007D449B">
      <w:pPr>
        <w:pBdr>
          <w:top w:val="nil"/>
          <w:left w:val="nil"/>
          <w:bottom w:val="nil"/>
          <w:right w:val="nil"/>
          <w:between w:val="nil"/>
        </w:pBdr>
        <w:shd w:val="clear" w:color="auto" w:fill="FFFFFF" w:themeFill="background1"/>
        <w:spacing w:line="360" w:lineRule="auto"/>
        <w:ind w:right="49"/>
        <w:jc w:val="both"/>
        <w:rPr>
          <w:rFonts w:ascii="Palatino Linotype" w:eastAsia="Palatino Linotype" w:hAnsi="Palatino Linotype" w:cs="Palatino Linotype"/>
        </w:rPr>
      </w:pPr>
    </w:p>
    <w:p w14:paraId="5BE21C2A" w14:textId="77777777" w:rsidR="000C236F" w:rsidRPr="007D449B" w:rsidRDefault="00A17FA6" w:rsidP="007D449B">
      <w:pPr>
        <w:pBdr>
          <w:top w:val="nil"/>
          <w:left w:val="nil"/>
          <w:bottom w:val="nil"/>
          <w:right w:val="nil"/>
          <w:between w:val="nil"/>
        </w:pBd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lastRenderedPageBreak/>
        <w:t xml:space="preserve">Dicho lo anterior, se procede al análisis de los Recursos de Revisión que ahora nos ocupan al tenor de lo siguiente: </w:t>
      </w:r>
    </w:p>
    <w:p w14:paraId="0C5F6B2D" w14:textId="77777777" w:rsidR="000C236F" w:rsidRPr="007D449B" w:rsidRDefault="000C236F" w:rsidP="007D449B">
      <w:pPr>
        <w:pBdr>
          <w:top w:val="nil"/>
          <w:left w:val="nil"/>
          <w:bottom w:val="nil"/>
          <w:right w:val="nil"/>
          <w:between w:val="nil"/>
        </w:pBdr>
        <w:shd w:val="clear" w:color="auto" w:fill="FFFFFF" w:themeFill="background1"/>
        <w:spacing w:line="360" w:lineRule="auto"/>
        <w:ind w:right="49"/>
        <w:jc w:val="both"/>
        <w:rPr>
          <w:rFonts w:ascii="Palatino Linotype" w:eastAsia="Palatino Linotype" w:hAnsi="Palatino Linotype" w:cs="Palatino Linotype"/>
        </w:rPr>
      </w:pPr>
    </w:p>
    <w:p w14:paraId="439F50C0" w14:textId="77777777" w:rsidR="000C236F" w:rsidRPr="007D449B" w:rsidRDefault="00A17FA6" w:rsidP="007D449B">
      <w:pPr>
        <w:numPr>
          <w:ilvl w:val="0"/>
          <w:numId w:val="1"/>
        </w:numPr>
        <w:pBdr>
          <w:top w:val="nil"/>
          <w:left w:val="nil"/>
          <w:bottom w:val="nil"/>
          <w:right w:val="nil"/>
          <w:between w:val="nil"/>
        </w:pBdr>
        <w:shd w:val="clear" w:color="auto" w:fill="FFFFFF" w:themeFill="background1"/>
        <w:spacing w:line="360" w:lineRule="auto"/>
        <w:ind w:right="49"/>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b/>
          <w:sz w:val="22"/>
          <w:szCs w:val="22"/>
        </w:rPr>
        <w:t xml:space="preserve">De los Recurso de Revisión 00844/INFOEM/IP/RR/2023 </w:t>
      </w:r>
    </w:p>
    <w:p w14:paraId="51E9A074" w14:textId="77777777" w:rsidR="000C236F" w:rsidRPr="007D449B" w:rsidRDefault="000C236F" w:rsidP="007D449B">
      <w:pPr>
        <w:pBdr>
          <w:top w:val="nil"/>
          <w:left w:val="nil"/>
          <w:bottom w:val="nil"/>
          <w:right w:val="nil"/>
          <w:between w:val="nil"/>
        </w:pBdr>
        <w:shd w:val="clear" w:color="auto" w:fill="FFFFFF" w:themeFill="background1"/>
        <w:spacing w:line="360" w:lineRule="auto"/>
        <w:ind w:right="49"/>
        <w:jc w:val="both"/>
        <w:rPr>
          <w:rFonts w:ascii="Palatino Linotype" w:eastAsia="Palatino Linotype" w:hAnsi="Palatino Linotype" w:cs="Palatino Linotype"/>
        </w:rPr>
      </w:pPr>
    </w:p>
    <w:p w14:paraId="0ABD5FA8"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rPr>
      </w:pPr>
      <w:r w:rsidRPr="007D449B">
        <w:rPr>
          <w:rFonts w:ascii="Palatino Linotype" w:eastAsia="Palatino Linotype" w:hAnsi="Palatino Linotype" w:cs="Palatino Linotype"/>
        </w:rPr>
        <w:t xml:space="preserve">En lo que respecta a este asunto, es menester recordar que la parte Solicitante requirió del Sujeto Obligado </w:t>
      </w:r>
      <w:r w:rsidRPr="007D449B">
        <w:rPr>
          <w:rFonts w:ascii="Palatino Linotype" w:eastAsia="Palatino Linotype" w:hAnsi="Palatino Linotype" w:cs="Palatino Linotype"/>
          <w:b/>
        </w:rPr>
        <w:t xml:space="preserve">los convenios firmados por el titular de la Secretaría de Movilidad en los años dos mil veintiuno, dos mil veintidós y dos mil veintitrés. </w:t>
      </w:r>
    </w:p>
    <w:p w14:paraId="1E0B5785"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34295897"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En respuesta, la Secretaría de Movilidad, remitió cinco convenios de los años dos mil veintiuno y dos mil veintidós. </w:t>
      </w:r>
    </w:p>
    <w:p w14:paraId="31387970"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5E979CB2"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Derivado de ello, la parte Solicitante se inconformó arguyendo que faltaban contratos de los años solicitados. </w:t>
      </w:r>
    </w:p>
    <w:p w14:paraId="79633ECA"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6F6CBB53"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rPr>
      </w:pPr>
      <w:r w:rsidRPr="007D449B">
        <w:rPr>
          <w:rFonts w:ascii="Palatino Linotype" w:eastAsia="Palatino Linotype" w:hAnsi="Palatino Linotype" w:cs="Palatino Linotype"/>
        </w:rPr>
        <w:t xml:space="preserve">En atención a esto, el Sujeto Obligado mediante informe justificado remitió un oficio signado por el </w:t>
      </w:r>
      <w:proofErr w:type="gramStart"/>
      <w:r w:rsidRPr="007D449B">
        <w:rPr>
          <w:rFonts w:ascii="Palatino Linotype" w:eastAsia="Palatino Linotype" w:hAnsi="Palatino Linotype" w:cs="Palatino Linotype"/>
        </w:rPr>
        <w:t>Director</w:t>
      </w:r>
      <w:proofErr w:type="gramEnd"/>
      <w:r w:rsidRPr="007D449B">
        <w:rPr>
          <w:rFonts w:ascii="Palatino Linotype" w:eastAsia="Palatino Linotype" w:hAnsi="Palatino Linotype" w:cs="Palatino Linotype"/>
        </w:rPr>
        <w:t xml:space="preserve"> de Asuntos Jurídicos adscrito a la Dirección General de Asuntos Jurídicos e Igualdad de Género, quien informó que </w:t>
      </w:r>
      <w:r w:rsidRPr="007D449B">
        <w:rPr>
          <w:rFonts w:ascii="Palatino Linotype" w:eastAsia="Palatino Linotype" w:hAnsi="Palatino Linotype" w:cs="Palatino Linotype"/>
          <w:b/>
        </w:rPr>
        <w:t xml:space="preserve">se proporcionaron los convenios que el Secretario de Movilidad había firmado durante los años dos mil veintiuno, dos mil veintidós y hasta el dos mil veintitrés. </w:t>
      </w:r>
    </w:p>
    <w:p w14:paraId="395B4761" w14:textId="77777777" w:rsidR="000C236F" w:rsidRPr="007D449B" w:rsidRDefault="000C236F"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rPr>
      </w:pPr>
    </w:p>
    <w:p w14:paraId="7DCE2130" w14:textId="77777777" w:rsidR="000C236F" w:rsidRPr="007D449B" w:rsidRDefault="00A17FA6"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b/>
          <w:u w:val="single"/>
        </w:rPr>
      </w:pPr>
      <w:r w:rsidRPr="007D449B">
        <w:rPr>
          <w:rFonts w:ascii="Palatino Linotype" w:eastAsia="Palatino Linotype" w:hAnsi="Palatino Linotype" w:cs="Palatino Linotype"/>
          <w:b/>
          <w:u w:val="single"/>
        </w:rPr>
        <w:t xml:space="preserve">Aunado a ello, este Organismo Garante procedió a consultar la plataforma de Información Pública de Oficio Mexiquense del Sujeto Obligado y no encontró otros convenios firmados por el </w:t>
      </w:r>
      <w:proofErr w:type="gramStart"/>
      <w:r w:rsidRPr="007D449B">
        <w:rPr>
          <w:rFonts w:ascii="Palatino Linotype" w:eastAsia="Palatino Linotype" w:hAnsi="Palatino Linotype" w:cs="Palatino Linotype"/>
          <w:b/>
          <w:u w:val="single"/>
        </w:rPr>
        <w:t>Secretario</w:t>
      </w:r>
      <w:proofErr w:type="gramEnd"/>
      <w:r w:rsidRPr="007D449B">
        <w:rPr>
          <w:rFonts w:ascii="Palatino Linotype" w:eastAsia="Palatino Linotype" w:hAnsi="Palatino Linotype" w:cs="Palatino Linotype"/>
          <w:b/>
          <w:u w:val="single"/>
        </w:rPr>
        <w:t xml:space="preserve"> de Movilidad a los ya proporcionados. </w:t>
      </w:r>
    </w:p>
    <w:p w14:paraId="67DC1D2E"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lastRenderedPageBreak/>
        <w:t xml:space="preserve">Por lo anterior, de acuerdo con el Criterio 31/10 de aplicación análoga para este Organismo Garante, emitido por el Instituto Nacional de Transparencia, Acceso a la Información y Protección de Datos Personales, que establece lo siguiente: </w:t>
      </w:r>
    </w:p>
    <w:p w14:paraId="02585989"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126F9EDC" w14:textId="77777777" w:rsidR="000C236F" w:rsidRPr="007D449B" w:rsidRDefault="00A17FA6" w:rsidP="007D449B">
      <w:pPr>
        <w:shd w:val="clear" w:color="auto" w:fill="FFFFFF" w:themeFill="background1"/>
        <w:spacing w:line="276" w:lineRule="auto"/>
        <w:ind w:left="567" w:right="843"/>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 xml:space="preserve">El Instituto Federal de Acceso a la Información y Protección de Datos no cuenta con facultades para pronunciarse respecto de la veracidad de los documentos proporcionados por los sujetos obligados. </w:t>
      </w:r>
      <w:r w:rsidRPr="007D449B">
        <w:rPr>
          <w:rFonts w:ascii="Palatino Linotype" w:eastAsia="Palatino Linotype" w:hAnsi="Palatino Linotype" w:cs="Palatino Linotype"/>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F2E1957"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068F1106"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b/>
          <w:strike/>
        </w:rPr>
      </w:pPr>
      <w:r w:rsidRPr="007D449B">
        <w:rPr>
          <w:rFonts w:ascii="Palatino Linotype" w:eastAsia="Palatino Linotype" w:hAnsi="Palatino Linotype" w:cs="Palatino Linotype"/>
        </w:rPr>
        <w:t xml:space="preserve">Es entonces que, se colige que este Instituto, no está facultado para dudar de la veracidad de la información que los sujetos obligados ponen a disposición de los solicitantes, es por lo que, en el presente caso, toda vez que mediante informe justificado el Sujeto Obligado, a través de su unidad administrativa competente, refirió que se habían proporcionado  los convenios que firmó el Secretario de Movilidad del dos mil veintiuno hasta el dos mil veintitrés, este requerimiento se tiene por </w:t>
      </w:r>
      <w:r w:rsidRPr="007D449B">
        <w:rPr>
          <w:rFonts w:ascii="Palatino Linotype" w:eastAsia="Palatino Linotype" w:hAnsi="Palatino Linotype" w:cs="Palatino Linotype"/>
          <w:b/>
        </w:rPr>
        <w:t xml:space="preserve">colmado, por lo que se confirma la respuesta del Sujeto Obligado. </w:t>
      </w:r>
    </w:p>
    <w:p w14:paraId="398CD4AB" w14:textId="77777777" w:rsidR="000C236F" w:rsidRPr="007D449B" w:rsidRDefault="000C236F" w:rsidP="007D449B">
      <w:pPr>
        <w:shd w:val="clear" w:color="auto" w:fill="FFFFFF" w:themeFill="background1"/>
        <w:tabs>
          <w:tab w:val="left" w:pos="1455"/>
        </w:tabs>
        <w:spacing w:line="360" w:lineRule="auto"/>
        <w:ind w:right="49"/>
        <w:jc w:val="both"/>
        <w:rPr>
          <w:rFonts w:ascii="Palatino Linotype" w:eastAsia="Palatino Linotype" w:hAnsi="Palatino Linotype" w:cs="Palatino Linotype"/>
        </w:rPr>
      </w:pPr>
    </w:p>
    <w:p w14:paraId="6AC77484" w14:textId="77777777" w:rsidR="000C236F" w:rsidRPr="007D449B" w:rsidRDefault="00A17FA6" w:rsidP="007D449B">
      <w:pPr>
        <w:numPr>
          <w:ilvl w:val="0"/>
          <w:numId w:val="2"/>
        </w:numPr>
        <w:pBdr>
          <w:top w:val="nil"/>
          <w:left w:val="nil"/>
          <w:bottom w:val="nil"/>
          <w:right w:val="nil"/>
          <w:between w:val="nil"/>
        </w:pBdr>
        <w:shd w:val="clear" w:color="auto" w:fill="FFFFFF" w:themeFill="background1"/>
        <w:tabs>
          <w:tab w:val="left" w:pos="851"/>
          <w:tab w:val="left" w:pos="1276"/>
        </w:tabs>
        <w:spacing w:line="360"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b/>
          <w:sz w:val="22"/>
          <w:szCs w:val="22"/>
        </w:rPr>
        <w:t>Del Recurso de Revisión 01043/INFOEM/IP/RR/2023</w:t>
      </w:r>
    </w:p>
    <w:p w14:paraId="00CDE857" w14:textId="77777777" w:rsidR="000C236F" w:rsidRPr="007D449B" w:rsidRDefault="000C236F"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rPr>
      </w:pPr>
    </w:p>
    <w:p w14:paraId="7656F2CC" w14:textId="77777777" w:rsidR="000C236F" w:rsidRPr="007D449B" w:rsidRDefault="00A17FA6"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En lo que hace a este Recurso de Revisión, se solicitaron </w:t>
      </w:r>
      <w:r w:rsidRPr="007D449B">
        <w:rPr>
          <w:rFonts w:ascii="Palatino Linotype" w:eastAsia="Palatino Linotype" w:hAnsi="Palatino Linotype" w:cs="Palatino Linotype"/>
          <w:b/>
        </w:rPr>
        <w:t xml:space="preserve">los convenios firmados por el </w:t>
      </w:r>
      <w:proofErr w:type="gramStart"/>
      <w:r w:rsidRPr="007D449B">
        <w:rPr>
          <w:rFonts w:ascii="Palatino Linotype" w:eastAsia="Palatino Linotype" w:hAnsi="Palatino Linotype" w:cs="Palatino Linotype"/>
          <w:b/>
        </w:rPr>
        <w:t>Secretario</w:t>
      </w:r>
      <w:proofErr w:type="gramEnd"/>
      <w:r w:rsidRPr="007D449B">
        <w:rPr>
          <w:rFonts w:ascii="Palatino Linotype" w:eastAsia="Palatino Linotype" w:hAnsi="Palatino Linotype" w:cs="Palatino Linotype"/>
          <w:b/>
        </w:rPr>
        <w:t xml:space="preserve"> de Movilidad y el Secretario de Comunicaciones en los últimos cinco años</w:t>
      </w:r>
      <w:r w:rsidRPr="007D449B">
        <w:rPr>
          <w:rFonts w:ascii="Palatino Linotype" w:eastAsia="Palatino Linotype" w:hAnsi="Palatino Linotype" w:cs="Palatino Linotype"/>
        </w:rPr>
        <w:t>, es decir, del doce de enero de dos mil dieciocho al doce de enero de dos mil veintitrés.</w:t>
      </w:r>
    </w:p>
    <w:p w14:paraId="00AD67DD" w14:textId="77777777" w:rsidR="000C236F" w:rsidRPr="007D449B" w:rsidRDefault="000C236F"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rPr>
      </w:pPr>
    </w:p>
    <w:p w14:paraId="17762995" w14:textId="77777777" w:rsidR="000C236F" w:rsidRPr="007D449B" w:rsidRDefault="00A17FA6"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En respuesta, el Sujeto Obligado a través de la Dirección General de Asuntos Jurídicos e Igualdad de Género remitió un total de noventa convenios suscritos por las personas titulares de la Secretaría de Comunicaciones y la Secretaría de Movilidad durante los años 2018, 2019, 2020, 2021 y 2022 y el Acta de la Décima Cuarta Sesión Extraordinaria del año dos mil veintitrés. </w:t>
      </w:r>
    </w:p>
    <w:p w14:paraId="2B25F79F" w14:textId="77777777" w:rsidR="000C236F" w:rsidRPr="007D449B" w:rsidRDefault="000C236F"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rPr>
      </w:pPr>
    </w:p>
    <w:p w14:paraId="6A996078" w14:textId="77777777" w:rsidR="000C236F" w:rsidRPr="007D449B" w:rsidRDefault="00A17FA6"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La parte Recurrente, se inconformó arguyendo que </w:t>
      </w:r>
      <w:r w:rsidRPr="007D449B">
        <w:rPr>
          <w:rFonts w:ascii="Palatino Linotype" w:eastAsia="Palatino Linotype" w:hAnsi="Palatino Linotype" w:cs="Palatino Linotype"/>
          <w:b/>
        </w:rPr>
        <w:t xml:space="preserve">no se habían entregado todos los convenios y tampoco se había entregado el Acta de la Décima Cuarta Sesión Extraordinaria firmada. </w:t>
      </w:r>
      <w:r w:rsidRPr="007D449B">
        <w:rPr>
          <w:rFonts w:ascii="Palatino Linotype" w:eastAsia="Palatino Linotype" w:hAnsi="Palatino Linotype" w:cs="Palatino Linotype"/>
        </w:rPr>
        <w:t xml:space="preserve"> </w:t>
      </w:r>
    </w:p>
    <w:p w14:paraId="1916CBA7" w14:textId="77777777" w:rsidR="000C236F" w:rsidRPr="007D449B" w:rsidRDefault="000C236F"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rPr>
      </w:pPr>
    </w:p>
    <w:p w14:paraId="1A8F7E9E" w14:textId="77777777" w:rsidR="000C236F" w:rsidRPr="007D449B" w:rsidRDefault="00A17FA6"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En atención a ello, mediante informe justificado, la Dirección General de Asuntos Jurídicos refirió que encontró cuatro convenios adicionales a los ya entregados </w:t>
      </w:r>
      <w:proofErr w:type="gramStart"/>
      <w:r w:rsidRPr="007D449B">
        <w:rPr>
          <w:rFonts w:ascii="Palatino Linotype" w:eastAsia="Palatino Linotype" w:hAnsi="Palatino Linotype" w:cs="Palatino Linotype"/>
        </w:rPr>
        <w:t>en  respuesta</w:t>
      </w:r>
      <w:proofErr w:type="gramEnd"/>
      <w:r w:rsidRPr="007D449B">
        <w:rPr>
          <w:rFonts w:ascii="Palatino Linotype" w:eastAsia="Palatino Linotype" w:hAnsi="Palatino Linotype" w:cs="Palatino Linotype"/>
        </w:rPr>
        <w:t xml:space="preserve"> y remitió el Acta de la Décimo Cuarta Sesión Extraordinaria del Comité de Transparencia con las firmas respectivas. </w:t>
      </w:r>
    </w:p>
    <w:p w14:paraId="0DF928AD" w14:textId="77777777" w:rsidR="000C236F" w:rsidRPr="007D449B" w:rsidRDefault="000C236F" w:rsidP="007D449B">
      <w:pPr>
        <w:shd w:val="clear" w:color="auto" w:fill="FFFFFF" w:themeFill="background1"/>
        <w:tabs>
          <w:tab w:val="left" w:pos="851"/>
          <w:tab w:val="left" w:pos="1276"/>
        </w:tabs>
        <w:spacing w:line="360" w:lineRule="auto"/>
        <w:jc w:val="both"/>
        <w:rPr>
          <w:rFonts w:ascii="Palatino Linotype" w:eastAsia="Palatino Linotype" w:hAnsi="Palatino Linotype" w:cs="Palatino Linotype"/>
        </w:rPr>
      </w:pPr>
    </w:p>
    <w:p w14:paraId="2A9A2DF2"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Dicho esto, en primera instancia, se procedió a verificar si la información remitida en respuesta por el Sujeto Obligado colmaba parte del requerimiento de información de la persona Solicitante y se advirtió lo siguiente: </w:t>
      </w:r>
    </w:p>
    <w:p w14:paraId="77E1601F"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1C3182D8" w14:textId="77777777" w:rsidR="000C236F" w:rsidRPr="007D449B" w:rsidRDefault="00A17FA6" w:rsidP="007D449B">
      <w:pPr>
        <w:numPr>
          <w:ilvl w:val="0"/>
          <w:numId w:val="2"/>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El Acta de la Décima Cuarta Sesión Extraordinaria del año dos mil veintitrés, emitida por el Comité de Transparencia del Sujeto Obligado </w:t>
      </w:r>
      <w:r w:rsidRPr="007D449B">
        <w:rPr>
          <w:rFonts w:ascii="Palatino Linotype" w:eastAsia="Palatino Linotype" w:hAnsi="Palatino Linotype" w:cs="Palatino Linotype"/>
          <w:b/>
          <w:sz w:val="22"/>
          <w:szCs w:val="22"/>
          <w:u w:val="single"/>
        </w:rPr>
        <w:t>no se encuentra firmada por sus integrantes</w:t>
      </w:r>
      <w:r w:rsidRPr="007D449B">
        <w:rPr>
          <w:rFonts w:ascii="Palatino Linotype" w:eastAsia="Palatino Linotype" w:hAnsi="Palatino Linotype" w:cs="Palatino Linotype"/>
          <w:sz w:val="22"/>
          <w:szCs w:val="22"/>
        </w:rPr>
        <w:t xml:space="preserve">, tal como se aprecia a continuación: </w:t>
      </w:r>
    </w:p>
    <w:p w14:paraId="32755C6E" w14:textId="77777777" w:rsidR="000C236F" w:rsidRPr="007D449B" w:rsidRDefault="00A17FA6" w:rsidP="007D449B">
      <w:pPr>
        <w:pBdr>
          <w:top w:val="nil"/>
          <w:left w:val="nil"/>
          <w:bottom w:val="nil"/>
          <w:right w:val="nil"/>
          <w:between w:val="nil"/>
        </w:pBdr>
        <w:shd w:val="clear" w:color="auto" w:fill="FFFFFF" w:themeFill="background1"/>
        <w:spacing w:line="360" w:lineRule="auto"/>
        <w:ind w:left="720"/>
        <w:jc w:val="center"/>
        <w:rPr>
          <w:rFonts w:ascii="Palatino Linotype" w:eastAsia="Palatino Linotype" w:hAnsi="Palatino Linotype" w:cs="Palatino Linotype"/>
          <w:sz w:val="22"/>
          <w:szCs w:val="22"/>
        </w:rPr>
      </w:pPr>
      <w:r w:rsidRPr="007D449B">
        <w:rPr>
          <w:rFonts w:ascii="Palatino Linotype" w:eastAsia="Palatino Linotype" w:hAnsi="Palatino Linotype" w:cs="Palatino Linotype"/>
          <w:noProof/>
          <w:sz w:val="22"/>
          <w:szCs w:val="22"/>
          <w:lang w:val="es-MX" w:eastAsia="es-MX"/>
        </w:rPr>
        <w:drawing>
          <wp:inline distT="0" distB="0" distL="0" distR="0" wp14:anchorId="55D4C122" wp14:editId="5E0219D4">
            <wp:extent cx="3797412" cy="1883093"/>
            <wp:effectExtent l="0" t="0" r="0" b="0"/>
            <wp:docPr id="10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3797412" cy="1883093"/>
                    </a:xfrm>
                    <a:prstGeom prst="rect">
                      <a:avLst/>
                    </a:prstGeom>
                    <a:ln/>
                  </pic:spPr>
                </pic:pic>
              </a:graphicData>
            </a:graphic>
          </wp:inline>
        </w:drawing>
      </w:r>
    </w:p>
    <w:p w14:paraId="5B67B822" w14:textId="77777777" w:rsidR="000C236F" w:rsidRPr="007D449B" w:rsidRDefault="00A17FA6" w:rsidP="007D449B">
      <w:pPr>
        <w:numPr>
          <w:ilvl w:val="0"/>
          <w:numId w:val="2"/>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b/>
          <w:sz w:val="22"/>
          <w:szCs w:val="22"/>
          <w:u w:val="single"/>
        </w:rPr>
      </w:pPr>
      <w:r w:rsidRPr="007D449B">
        <w:rPr>
          <w:rFonts w:ascii="Palatino Linotype" w:eastAsia="Palatino Linotype" w:hAnsi="Palatino Linotype" w:cs="Palatino Linotype"/>
          <w:sz w:val="22"/>
          <w:szCs w:val="22"/>
        </w:rPr>
        <w:t xml:space="preserve">Los convenios remitidos en respuesta, se encuentran en versión pública y </w:t>
      </w:r>
      <w:r w:rsidRPr="007D449B">
        <w:rPr>
          <w:rFonts w:ascii="Palatino Linotype" w:eastAsia="Palatino Linotype" w:hAnsi="Palatino Linotype" w:cs="Palatino Linotype"/>
          <w:b/>
          <w:sz w:val="22"/>
          <w:szCs w:val="22"/>
          <w:u w:val="single"/>
        </w:rPr>
        <w:t xml:space="preserve">se clasificó información como nombre y firma del representante legal de la empresa y nombre de la empresa.  </w:t>
      </w:r>
    </w:p>
    <w:p w14:paraId="350FD7D4"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3BD7B3F0"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Por lo anterior, resulta necesario realizar el análisis de los datos que fueron clasificados por el Sujeto Obligado, con la finalidad de determinar si estos actualizan alguna causal de clasificación, en términos del artículo 143 de la Ley de Transparencia y Acceso a la Información Pública del Estado de México y Municipios:</w:t>
      </w:r>
    </w:p>
    <w:p w14:paraId="5D1EC272"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00167B77" w14:textId="77777777" w:rsidR="000C236F" w:rsidRPr="007D449B" w:rsidRDefault="00A17FA6" w:rsidP="007D449B">
      <w:pPr>
        <w:numPr>
          <w:ilvl w:val="0"/>
          <w:numId w:val="5"/>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b/>
          <w:sz w:val="22"/>
          <w:szCs w:val="22"/>
        </w:rPr>
        <w:t xml:space="preserve">Nombre y firma del representante legal. </w:t>
      </w:r>
      <w:r w:rsidRPr="007D449B">
        <w:rPr>
          <w:rFonts w:ascii="Palatino Linotype" w:eastAsia="Palatino Linotype" w:hAnsi="Palatino Linotype" w:cs="Palatino Linotype"/>
          <w:sz w:val="22"/>
          <w:szCs w:val="22"/>
        </w:rPr>
        <w:t xml:space="preserve">Al respecto, resulta necesario señalar que las personas jurídico colectivas son representadas mediante personas físicas, debidamente acreditadas para realizar determinados actos a nombre de la jurídico-colectiva, por lo que, el nombre y firma de dichos individuos no puede ser objeto de clasificación, en virtud de que la representación persigue la finalidad de dar certeza </w:t>
      </w:r>
      <w:r w:rsidRPr="007D449B">
        <w:rPr>
          <w:rFonts w:ascii="Palatino Linotype" w:eastAsia="Palatino Linotype" w:hAnsi="Palatino Linotype" w:cs="Palatino Linotype"/>
          <w:sz w:val="22"/>
          <w:szCs w:val="22"/>
        </w:rPr>
        <w:lastRenderedPageBreak/>
        <w:t>jurídica a los actos que realiza. En ese sentido, el artículo 10 de la Ley General de Sociedades Mercantiles, establece que la representación de toda sociedad mercantil corresponderá a su administrador o administradores, quiénes podrán realizar todas las operaciones inherentes al objeto de la sociedad; por lo que, para que surtan efectos los poderes que otorgue dicha empresa bastará su protocolización ante notario público.</w:t>
      </w:r>
    </w:p>
    <w:p w14:paraId="798B34DB" w14:textId="77777777" w:rsidR="000C236F" w:rsidRPr="007D449B" w:rsidRDefault="00A17FA6" w:rsidP="007D449B">
      <w:pPr>
        <w:pBdr>
          <w:top w:val="nil"/>
          <w:left w:val="nil"/>
          <w:bottom w:val="nil"/>
          <w:right w:val="nil"/>
          <w:between w:val="nil"/>
        </w:pBdr>
        <w:shd w:val="clear" w:color="auto" w:fill="FFFFFF" w:themeFill="background1"/>
        <w:spacing w:line="360" w:lineRule="auto"/>
        <w:ind w:left="720"/>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En esa tesitura, la representación de las personas morales se realizará por medio de representantes o apoderados, y en el caso específico de las sociedades mercantiles, dicha representación se otorgará mediante instrumento público.</w:t>
      </w:r>
    </w:p>
    <w:p w14:paraId="6C77B157" w14:textId="77777777" w:rsidR="000C236F" w:rsidRPr="007D449B" w:rsidRDefault="00A17FA6" w:rsidP="007D449B">
      <w:pPr>
        <w:pBdr>
          <w:top w:val="nil"/>
          <w:left w:val="nil"/>
          <w:bottom w:val="nil"/>
          <w:right w:val="nil"/>
          <w:between w:val="nil"/>
        </w:pBdr>
        <w:shd w:val="clear" w:color="auto" w:fill="FFFFFF" w:themeFill="background1"/>
        <w:spacing w:line="360" w:lineRule="auto"/>
        <w:ind w:left="720"/>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Ello, toda vez que la representación legal debe ser conocida para surtir efectos ante terceros; es decir, la publicidad de la misma tiene por objeto dar certeza a quienes se relacionan con la persona jurídico-colectiva representada, que las actuaciones de su representante están previamente autorizadas y que surtirán efectos legales a que constriñe cada acto.</w:t>
      </w:r>
    </w:p>
    <w:p w14:paraId="46DB40EE" w14:textId="77777777" w:rsidR="000C236F" w:rsidRPr="007D449B" w:rsidRDefault="00A17FA6" w:rsidP="007D449B">
      <w:pPr>
        <w:pBdr>
          <w:top w:val="nil"/>
          <w:left w:val="nil"/>
          <w:bottom w:val="nil"/>
          <w:right w:val="nil"/>
          <w:between w:val="nil"/>
        </w:pBdr>
        <w:shd w:val="clear" w:color="auto" w:fill="FFFFFF" w:themeFill="background1"/>
        <w:spacing w:line="360" w:lineRule="auto"/>
        <w:ind w:left="720"/>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Lo anterior, se robustece con el criterio 01/19, emitido por el Instituto Nacional de Transparencia, Acceso a la Información Pública y Protección de Datos Personales, que establece lo siguiente:</w:t>
      </w:r>
    </w:p>
    <w:p w14:paraId="6456BAB5" w14:textId="77777777" w:rsidR="000C236F" w:rsidRPr="007D449B" w:rsidRDefault="000C236F" w:rsidP="007D449B">
      <w:pPr>
        <w:pBdr>
          <w:top w:val="nil"/>
          <w:left w:val="nil"/>
          <w:bottom w:val="nil"/>
          <w:right w:val="nil"/>
          <w:between w:val="nil"/>
        </w:pBdr>
        <w:shd w:val="clear" w:color="auto" w:fill="FFFFFF" w:themeFill="background1"/>
        <w:spacing w:line="360" w:lineRule="auto"/>
        <w:ind w:left="720"/>
        <w:jc w:val="both"/>
        <w:rPr>
          <w:rFonts w:ascii="Palatino Linotype" w:eastAsia="Palatino Linotype" w:hAnsi="Palatino Linotype" w:cs="Palatino Linotype"/>
          <w:sz w:val="22"/>
          <w:szCs w:val="22"/>
        </w:rPr>
      </w:pPr>
    </w:p>
    <w:p w14:paraId="6E45A032"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720"/>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Datos de identificación del representante o apoderado legal.</w:t>
      </w:r>
      <w:r w:rsidRPr="007D449B">
        <w:rPr>
          <w:rFonts w:ascii="Palatino Linotype" w:eastAsia="Palatino Linotype" w:hAnsi="Palatino Linotype" w:cs="Palatino Linotype"/>
          <w:i/>
          <w:sz w:val="22"/>
          <w:szCs w:val="22"/>
        </w:rPr>
        <w:t xml:space="preserve"> </w:t>
      </w:r>
      <w:r w:rsidRPr="007D449B">
        <w:rPr>
          <w:rFonts w:ascii="Palatino Linotype" w:eastAsia="Palatino Linotype" w:hAnsi="Palatino Linotype" w:cs="Palatino Linotype"/>
          <w:b/>
          <w:i/>
          <w:sz w:val="22"/>
          <w:szCs w:val="22"/>
        </w:rPr>
        <w:t xml:space="preserve">Naturaleza jurídica. </w:t>
      </w:r>
      <w:r w:rsidRPr="007D449B">
        <w:rPr>
          <w:rFonts w:ascii="Palatino Linotype" w:eastAsia="Palatino Linotype" w:hAnsi="Palatino Linotype" w:cs="Palatino Linotype"/>
          <w:i/>
          <w:sz w:val="22"/>
          <w:szCs w:val="22"/>
        </w:rPr>
        <w:t>El nombre, la firma y la rúbrica de una persona física, que actúe como representante o apoderado legal de un tercero que haya celebrado un acto jurídico, con algún sujeto obligado, es información pública, en razón de que tales datos fueron proporcionados con el objeto de expresar el consentimiento obligacional del tercero y otorgar validez a dicho instrumento jurídico.</w:t>
      </w:r>
    </w:p>
    <w:p w14:paraId="001F9455" w14:textId="77777777" w:rsidR="000C236F" w:rsidRPr="007D449B" w:rsidRDefault="000C236F" w:rsidP="007D449B">
      <w:pPr>
        <w:pBdr>
          <w:top w:val="nil"/>
          <w:left w:val="nil"/>
          <w:bottom w:val="nil"/>
          <w:right w:val="nil"/>
          <w:between w:val="nil"/>
        </w:pBdr>
        <w:shd w:val="clear" w:color="auto" w:fill="FFFFFF" w:themeFill="background1"/>
        <w:spacing w:line="276" w:lineRule="auto"/>
        <w:ind w:left="720"/>
        <w:jc w:val="both"/>
        <w:rPr>
          <w:rFonts w:ascii="Palatino Linotype" w:eastAsia="Palatino Linotype" w:hAnsi="Palatino Linotype" w:cs="Palatino Linotype"/>
          <w:i/>
          <w:sz w:val="22"/>
          <w:szCs w:val="22"/>
        </w:rPr>
      </w:pPr>
    </w:p>
    <w:p w14:paraId="568A1F39" w14:textId="77777777" w:rsidR="000C236F" w:rsidRPr="007D449B" w:rsidRDefault="00A17FA6" w:rsidP="007D449B">
      <w:pPr>
        <w:pBdr>
          <w:top w:val="nil"/>
          <w:left w:val="nil"/>
          <w:bottom w:val="nil"/>
          <w:right w:val="nil"/>
          <w:between w:val="nil"/>
        </w:pBdr>
        <w:shd w:val="clear" w:color="auto" w:fill="FFFFFF" w:themeFill="background1"/>
        <w:spacing w:line="360" w:lineRule="auto"/>
        <w:ind w:left="720"/>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Ante tales situaciones, el nombre y firma del representante legal de una persona jurídica colectiva, no es susceptible de ser clasificado como confidencial, en términos del artículo 143, fracción I de la Ley Federal de Transparencia y Acceso a la </w:t>
      </w:r>
      <w:r w:rsidRPr="007D449B">
        <w:rPr>
          <w:rFonts w:ascii="Palatino Linotype" w:eastAsia="Palatino Linotype" w:hAnsi="Palatino Linotype" w:cs="Palatino Linotype"/>
          <w:sz w:val="22"/>
          <w:szCs w:val="22"/>
        </w:rPr>
        <w:lastRenderedPageBreak/>
        <w:t>Información Pública; inclusive ayuda a rendir cuentas, de que dicha autorización fue entregada a la persona adecuada</w:t>
      </w:r>
    </w:p>
    <w:p w14:paraId="0BDCBD35" w14:textId="77777777" w:rsidR="000C236F" w:rsidRPr="007D449B" w:rsidRDefault="000C236F" w:rsidP="007D449B">
      <w:pPr>
        <w:pBdr>
          <w:top w:val="nil"/>
          <w:left w:val="nil"/>
          <w:bottom w:val="nil"/>
          <w:right w:val="nil"/>
          <w:between w:val="nil"/>
        </w:pBdr>
        <w:shd w:val="clear" w:color="auto" w:fill="FFFFFF" w:themeFill="background1"/>
        <w:spacing w:line="360" w:lineRule="auto"/>
        <w:ind w:left="720"/>
        <w:jc w:val="both"/>
        <w:rPr>
          <w:rFonts w:ascii="Palatino Linotype" w:eastAsia="Palatino Linotype" w:hAnsi="Palatino Linotype" w:cs="Palatino Linotype"/>
          <w:sz w:val="22"/>
          <w:szCs w:val="22"/>
        </w:rPr>
      </w:pPr>
    </w:p>
    <w:p w14:paraId="2E53408B" w14:textId="77777777" w:rsidR="000C236F" w:rsidRPr="007D449B" w:rsidRDefault="00A17FA6" w:rsidP="007D449B">
      <w:pPr>
        <w:numPr>
          <w:ilvl w:val="0"/>
          <w:numId w:val="6"/>
        </w:num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b/>
          <w:sz w:val="22"/>
          <w:szCs w:val="22"/>
        </w:rPr>
      </w:pPr>
      <w:r w:rsidRPr="007D449B">
        <w:rPr>
          <w:rFonts w:ascii="Palatino Linotype" w:eastAsia="Palatino Linotype" w:hAnsi="Palatino Linotype" w:cs="Palatino Linotype"/>
          <w:b/>
          <w:sz w:val="22"/>
          <w:szCs w:val="22"/>
        </w:rPr>
        <w:t xml:space="preserve">Nombre de personas jurídico-colectivas que entregan y reciben recursos. </w:t>
      </w:r>
      <w:r w:rsidRPr="007D449B">
        <w:rPr>
          <w:rFonts w:ascii="Palatino Linotype" w:eastAsia="Palatino Linotype" w:hAnsi="Palatino Linotype" w:cs="Palatino Linotype"/>
          <w:sz w:val="22"/>
          <w:szCs w:val="22"/>
        </w:rPr>
        <w:t>Para el caso de personas jurídico-colectivas, es importante resaltar que el nombre de estas carece de las finalidades que tiene el nombre de una persona física, pues no da cuenta de una filiación, por ejemplo. Además, es de conocimiento popular que las personas jurídicas colectivas comúnmente compiten por ganar espacio en el mercado del que se trate su giro, por lo que, el reconocimiento de nombre por el público es un objetivo que persiguen diariamente, de ahí que, revelar su nombre en nada perjudica a las personas jurídicas colectivas.</w:t>
      </w:r>
    </w:p>
    <w:p w14:paraId="4ADFE75E" w14:textId="77777777" w:rsidR="000C236F" w:rsidRPr="007D449B" w:rsidRDefault="00A17FA6" w:rsidP="007D449B">
      <w:pPr>
        <w:pBdr>
          <w:top w:val="nil"/>
          <w:left w:val="nil"/>
          <w:bottom w:val="nil"/>
          <w:right w:val="nil"/>
          <w:between w:val="nil"/>
        </w:pBdr>
        <w:shd w:val="clear" w:color="auto" w:fill="FFFFFF" w:themeFill="background1"/>
        <w:spacing w:line="360" w:lineRule="auto"/>
        <w:ind w:left="720"/>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Aunado a lo anterior, el Instituto Nacional de Transparencia, Acceso a la Información Pública y Protección de Datos Personales, mediante el Criterio 01-14 ha determinado que La denominación o razón social de personas morales es pública, por encontrarse inscritas en el Registro Público de Comercio. De lo que se concluye que </w:t>
      </w:r>
      <w:r w:rsidRPr="007D449B">
        <w:rPr>
          <w:rFonts w:ascii="Palatino Linotype" w:eastAsia="Palatino Linotype" w:hAnsi="Palatino Linotype" w:cs="Palatino Linotype"/>
          <w:b/>
          <w:sz w:val="22"/>
          <w:szCs w:val="22"/>
          <w:u w:val="single"/>
        </w:rPr>
        <w:t>el nombre de personas jurídicas colectivas es información pública que debe proporcionarse</w:t>
      </w:r>
      <w:r w:rsidRPr="007D449B">
        <w:rPr>
          <w:rFonts w:ascii="Palatino Linotype" w:eastAsia="Palatino Linotype" w:hAnsi="Palatino Linotype" w:cs="Palatino Linotype"/>
          <w:sz w:val="22"/>
          <w:szCs w:val="22"/>
        </w:rPr>
        <w:t xml:space="preserve">, situación por la que, no se actualiza la causal de clasificación prevista en la fracción I del artículo 143 de la Ley de Transparencia y Acceso a la Información Pública del Estado de México y Municipios. </w:t>
      </w:r>
    </w:p>
    <w:p w14:paraId="0ABBD6F2"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sz w:val="22"/>
          <w:szCs w:val="22"/>
        </w:rPr>
      </w:pPr>
    </w:p>
    <w:p w14:paraId="6331B490"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b/>
        </w:rPr>
      </w:pPr>
      <w:r w:rsidRPr="007D449B">
        <w:rPr>
          <w:rFonts w:ascii="Palatino Linotype" w:eastAsia="Palatino Linotype" w:hAnsi="Palatino Linotype" w:cs="Palatino Linotype"/>
        </w:rPr>
        <w:t xml:space="preserve">Por lo anteriormente expuesto, se colige que la versión pública de los convenios remitidos en respuesta no es correcta y, por lo tanto, </w:t>
      </w:r>
      <w:r w:rsidRPr="007D449B">
        <w:rPr>
          <w:rFonts w:ascii="Palatino Linotype" w:eastAsia="Palatino Linotype" w:hAnsi="Palatino Linotype" w:cs="Palatino Linotype"/>
          <w:b/>
        </w:rPr>
        <w:t xml:space="preserve">no se tiene por colmado el requerimiento de la parte Recurrente. </w:t>
      </w:r>
    </w:p>
    <w:p w14:paraId="04E8F06D"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775C3F97"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Ahora bien, mediante informe justificado, el </w:t>
      </w:r>
      <w:proofErr w:type="gramStart"/>
      <w:r w:rsidRPr="007D449B">
        <w:rPr>
          <w:rFonts w:ascii="Palatino Linotype" w:eastAsia="Palatino Linotype" w:hAnsi="Palatino Linotype" w:cs="Palatino Linotype"/>
        </w:rPr>
        <w:t>Director</w:t>
      </w:r>
      <w:proofErr w:type="gramEnd"/>
      <w:r w:rsidRPr="007D449B">
        <w:rPr>
          <w:rFonts w:ascii="Palatino Linotype" w:eastAsia="Palatino Linotype" w:hAnsi="Palatino Linotype" w:cs="Palatino Linotype"/>
        </w:rPr>
        <w:t xml:space="preserve"> de Asuntos Jurídicos e Igualdad de Género, informó que derivado de una nueva búsqueda exhaustiva encontró cuatro </w:t>
      </w:r>
      <w:r w:rsidRPr="007D449B">
        <w:rPr>
          <w:rFonts w:ascii="Palatino Linotype" w:eastAsia="Palatino Linotype" w:hAnsi="Palatino Linotype" w:cs="Palatino Linotype"/>
        </w:rPr>
        <w:lastRenderedPageBreak/>
        <w:t xml:space="preserve">convenios adicionales a los ya proporcionados y también remitió el Acta de la Décima Cuarta Sesión Extraordinaria del año dos mil veintitrés debidamente firmada por los integrantes del Comité de Transparencia. </w:t>
      </w:r>
    </w:p>
    <w:p w14:paraId="29007453"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117B605C"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No obstante, si bien es cierto, modificó su respuesta inicial y proporcionó convenios que no había entregado en respuesta y el acta debidamente firmada, también lo es que, </w:t>
      </w:r>
      <w:r w:rsidRPr="007D449B">
        <w:rPr>
          <w:rFonts w:ascii="Palatino Linotype" w:eastAsia="Palatino Linotype" w:hAnsi="Palatino Linotype" w:cs="Palatino Linotype"/>
          <w:b/>
          <w:u w:val="single"/>
        </w:rPr>
        <w:t>este Organismo Garante no puede avalar el Acta de la Décima Cuarta Sesión Extraordinaria enviada, debido a que en los documentos de la que esta se deriva, se clasificaron datos personales que son de naturaleza pública</w:t>
      </w:r>
      <w:r w:rsidRPr="007D449B">
        <w:rPr>
          <w:rFonts w:ascii="Palatino Linotype" w:eastAsia="Palatino Linotype" w:hAnsi="Palatino Linotype" w:cs="Palatino Linotype"/>
        </w:rPr>
        <w:t xml:space="preserve">, tal como se expuso con anterioridad. </w:t>
      </w:r>
    </w:p>
    <w:p w14:paraId="452C527C"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50652734" w14:textId="77777777" w:rsidR="000C236F" w:rsidRPr="007D449B" w:rsidRDefault="00A17FA6" w:rsidP="007D449B">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En ese orden de ideas, se determina que, toda vez que, el Sujeto Obligado clasificó datos de naturaleza pública en los convenios remitidos en respuesta y este, no proporcionó de manera completa los mismos; los agravios hechos valer por la parte Recurrente devienen </w:t>
      </w:r>
      <w:r w:rsidRPr="007D449B">
        <w:rPr>
          <w:rFonts w:ascii="Palatino Linotype" w:eastAsia="Palatino Linotype" w:hAnsi="Palatino Linotype" w:cs="Palatino Linotype"/>
          <w:b/>
        </w:rPr>
        <w:t>FUNDADOS</w:t>
      </w:r>
      <w:r w:rsidRPr="007D449B">
        <w:rPr>
          <w:rFonts w:ascii="Palatino Linotype" w:eastAsia="Palatino Linotype" w:hAnsi="Palatino Linotype" w:cs="Palatino Linotype"/>
        </w:rPr>
        <w:t xml:space="preserve">, por lo tanto, resulta procedente </w:t>
      </w:r>
      <w:r w:rsidRPr="007D449B">
        <w:rPr>
          <w:rFonts w:ascii="Palatino Linotype" w:eastAsia="Palatino Linotype" w:hAnsi="Palatino Linotype" w:cs="Palatino Linotype"/>
          <w:b/>
        </w:rPr>
        <w:t>MODIFICAR la</w:t>
      </w:r>
      <w:r w:rsidRPr="007D449B">
        <w:rPr>
          <w:rFonts w:ascii="Palatino Linotype" w:eastAsia="Palatino Linotype" w:hAnsi="Palatino Linotype" w:cs="Palatino Linotype"/>
        </w:rPr>
        <w:t xml:space="preserve"> respuesta emitida por el Sujeto Obligado, en términos de la fracción III del artículo 186 de la Ley de Transparencia y Acceso a la Información Pública del Estado de México y Municipios y, </w:t>
      </w:r>
      <w:r w:rsidRPr="007D449B">
        <w:rPr>
          <w:rFonts w:ascii="Palatino Linotype" w:eastAsia="Palatino Linotype" w:hAnsi="Palatino Linotype" w:cs="Palatino Linotype"/>
          <w:b/>
        </w:rPr>
        <w:t>ORDENAR</w:t>
      </w:r>
      <w:r w:rsidRPr="007D449B">
        <w:rPr>
          <w:rFonts w:ascii="Palatino Linotype" w:eastAsia="Palatino Linotype" w:hAnsi="Palatino Linotype" w:cs="Palatino Linotype"/>
        </w:rPr>
        <w:t xml:space="preserve"> vía Sistema de Acceso a la Información Mexiquense, en versión pública correcta,</w:t>
      </w:r>
      <w:r w:rsidRPr="007D449B">
        <w:rPr>
          <w:rFonts w:ascii="Palatino Linotype" w:eastAsia="Palatino Linotype" w:hAnsi="Palatino Linotype" w:cs="Palatino Linotype"/>
          <w:b/>
        </w:rPr>
        <w:t xml:space="preserve"> </w:t>
      </w:r>
      <w:r w:rsidRPr="007D449B">
        <w:rPr>
          <w:rFonts w:ascii="Palatino Linotype" w:eastAsia="Palatino Linotype" w:hAnsi="Palatino Linotype" w:cs="Palatino Linotype"/>
        </w:rPr>
        <w:t xml:space="preserve">la siguiente información: </w:t>
      </w:r>
    </w:p>
    <w:p w14:paraId="539DCCA8" w14:textId="77777777" w:rsidR="000C236F" w:rsidRPr="007D449B" w:rsidRDefault="000C236F" w:rsidP="007D449B">
      <w:pPr>
        <w:pBdr>
          <w:top w:val="nil"/>
          <w:left w:val="nil"/>
          <w:bottom w:val="nil"/>
          <w:right w:val="nil"/>
          <w:between w:val="nil"/>
        </w:pBdr>
        <w:shd w:val="clear" w:color="auto" w:fill="FFFFFF" w:themeFill="background1"/>
        <w:spacing w:line="360" w:lineRule="auto"/>
        <w:jc w:val="both"/>
        <w:rPr>
          <w:rFonts w:ascii="Palatino Linotype" w:eastAsia="Palatino Linotype" w:hAnsi="Palatino Linotype" w:cs="Palatino Linotype"/>
        </w:rPr>
      </w:pPr>
    </w:p>
    <w:p w14:paraId="67C12FE8" w14:textId="77777777" w:rsidR="000C236F" w:rsidRPr="007D449B" w:rsidRDefault="00A17FA6" w:rsidP="007D449B">
      <w:pPr>
        <w:numPr>
          <w:ilvl w:val="0"/>
          <w:numId w:val="6"/>
        </w:numPr>
        <w:pBdr>
          <w:top w:val="nil"/>
          <w:left w:val="nil"/>
          <w:bottom w:val="nil"/>
          <w:right w:val="nil"/>
          <w:between w:val="nil"/>
        </w:pBdr>
        <w:shd w:val="clear" w:color="auto" w:fill="FFFFFF" w:themeFill="background1"/>
        <w:spacing w:line="360" w:lineRule="auto"/>
        <w:ind w:right="567"/>
        <w:jc w:val="both"/>
        <w:rPr>
          <w:rFonts w:ascii="Palatino Linotype" w:eastAsia="Palatino Linotype" w:hAnsi="Palatino Linotype" w:cs="Palatino Linotype"/>
          <w:sz w:val="22"/>
          <w:szCs w:val="22"/>
        </w:rPr>
      </w:pPr>
      <w:r w:rsidRPr="007D449B">
        <w:rPr>
          <w:rFonts w:ascii="Palatino Linotype" w:eastAsia="Palatino Linotype" w:hAnsi="Palatino Linotype" w:cs="Palatino Linotype"/>
          <w:sz w:val="22"/>
          <w:szCs w:val="22"/>
        </w:rPr>
        <w:t xml:space="preserve">Los convenios firmados por el </w:t>
      </w:r>
      <w:proofErr w:type="gramStart"/>
      <w:r w:rsidRPr="007D449B">
        <w:rPr>
          <w:rFonts w:ascii="Palatino Linotype" w:eastAsia="Palatino Linotype" w:hAnsi="Palatino Linotype" w:cs="Palatino Linotype"/>
          <w:sz w:val="22"/>
          <w:szCs w:val="22"/>
        </w:rPr>
        <w:t>Secretario</w:t>
      </w:r>
      <w:proofErr w:type="gramEnd"/>
      <w:r w:rsidRPr="007D449B">
        <w:rPr>
          <w:rFonts w:ascii="Palatino Linotype" w:eastAsia="Palatino Linotype" w:hAnsi="Palatino Linotype" w:cs="Palatino Linotype"/>
          <w:sz w:val="22"/>
          <w:szCs w:val="22"/>
        </w:rPr>
        <w:t xml:space="preserve"> de Movilidad y el Secretario de Comunicaciones del doce de enero de dos mil dieciocho al doce de enero de dos mil veintitrés. </w:t>
      </w:r>
    </w:p>
    <w:p w14:paraId="7957C02D" w14:textId="77777777" w:rsidR="000C236F" w:rsidRPr="007D449B" w:rsidRDefault="000C236F" w:rsidP="007D449B">
      <w:pPr>
        <w:pBdr>
          <w:top w:val="nil"/>
          <w:left w:val="nil"/>
          <w:bottom w:val="nil"/>
          <w:right w:val="nil"/>
          <w:between w:val="nil"/>
        </w:pBdr>
        <w:shd w:val="clear" w:color="auto" w:fill="FFFFFF" w:themeFill="background1"/>
        <w:tabs>
          <w:tab w:val="left" w:pos="567"/>
          <w:tab w:val="left" w:pos="993"/>
        </w:tabs>
        <w:spacing w:line="276" w:lineRule="auto"/>
        <w:ind w:left="720" w:right="616"/>
        <w:jc w:val="both"/>
        <w:rPr>
          <w:rFonts w:ascii="Palatino Linotype" w:eastAsia="Palatino Linotype" w:hAnsi="Palatino Linotype" w:cs="Palatino Linotype"/>
          <w:i/>
          <w:sz w:val="22"/>
          <w:szCs w:val="22"/>
        </w:rPr>
      </w:pPr>
    </w:p>
    <w:p w14:paraId="367489F1" w14:textId="77777777" w:rsidR="000C236F" w:rsidRPr="007D449B" w:rsidRDefault="00A17FA6" w:rsidP="007D449B">
      <w:pPr>
        <w:pBdr>
          <w:top w:val="nil"/>
          <w:left w:val="nil"/>
          <w:bottom w:val="nil"/>
          <w:right w:val="nil"/>
          <w:between w:val="nil"/>
        </w:pBdr>
        <w:shd w:val="clear" w:color="auto" w:fill="FFFFFF" w:themeFill="background1"/>
        <w:tabs>
          <w:tab w:val="left" w:pos="567"/>
          <w:tab w:val="left" w:pos="993"/>
        </w:tabs>
        <w:spacing w:line="276" w:lineRule="auto"/>
        <w:ind w:left="720"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lastRenderedPageBreak/>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2FDCA550"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3EBEC1D5"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b/>
        </w:rPr>
        <w:t>Quinto. Versión Pública</w:t>
      </w:r>
      <w:r w:rsidRPr="007D449B">
        <w:rPr>
          <w:rFonts w:ascii="Palatino Linotype" w:eastAsia="Palatino Linotype" w:hAnsi="Palatino Linotype" w:cs="Palatino Linotype"/>
        </w:rPr>
        <w:t>. Finalmente, para la entrega de la información que se determina ordenar, el Sujeto Obligado deberá realizar un análisis con la finalidad de advertir si esta contiene datos que deben ser clasificados en los términos que la misma Ley en la materia señala, en ese sentido, el Sujeto Obligado tendrá que elaborar la versión pública de los documentos que vaya entregar para dar cumplimiento a esta resolución a fin de satisfacer el derecho de acceso a la información pública del recurrente sin menoscabar el derecho a la protección de los datos personales de terceros.</w:t>
      </w:r>
    </w:p>
    <w:p w14:paraId="371EE511"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37468B1A" w14:textId="77777777" w:rsidR="000C236F" w:rsidRPr="007D449B" w:rsidRDefault="00A17FA6" w:rsidP="007D449B">
      <w:pPr>
        <w:shd w:val="clear" w:color="auto" w:fill="FFFFFF" w:themeFill="background1"/>
        <w:spacing w:line="360" w:lineRule="auto"/>
        <w:ind w:right="50"/>
        <w:jc w:val="both"/>
        <w:rPr>
          <w:rFonts w:ascii="Palatino Linotype" w:eastAsia="Palatino Linotype" w:hAnsi="Palatino Linotype" w:cs="Palatino Linotype"/>
        </w:rPr>
      </w:pPr>
      <w:r w:rsidRPr="007D449B">
        <w:rPr>
          <w:rFonts w:ascii="Palatino Linotype" w:eastAsia="Palatino Linotype" w:hAnsi="Palatino Linotype" w:cs="Palatino Linotype"/>
        </w:rPr>
        <w:t>Lo anterior, de conformidad con lo que señalan los artículos 3 fracciones IX, XX, XXI y XLV, 91, 132 fracciones II y III, y 143 de la Ley de Transparencia y Acceso a la Información Pública del Estado de México y Municipios que establecen:</w:t>
      </w:r>
    </w:p>
    <w:p w14:paraId="28533AB1" w14:textId="77777777" w:rsidR="000C236F" w:rsidRPr="007D449B" w:rsidRDefault="000C236F" w:rsidP="007D449B">
      <w:pPr>
        <w:shd w:val="clear" w:color="auto" w:fill="FFFFFF" w:themeFill="background1"/>
        <w:spacing w:line="360" w:lineRule="auto"/>
        <w:ind w:right="50"/>
        <w:jc w:val="both"/>
        <w:rPr>
          <w:rFonts w:ascii="Palatino Linotype" w:eastAsia="Palatino Linotype" w:hAnsi="Palatino Linotype" w:cs="Palatino Linotype"/>
        </w:rPr>
      </w:pPr>
    </w:p>
    <w:p w14:paraId="1BFF4E67"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r w:rsidRPr="007D449B">
        <w:rPr>
          <w:rFonts w:ascii="Palatino Linotype" w:eastAsia="Palatino Linotype" w:hAnsi="Palatino Linotype" w:cs="Palatino Linotype"/>
          <w:b/>
          <w:i/>
          <w:sz w:val="22"/>
          <w:szCs w:val="22"/>
        </w:rPr>
        <w:t>Artículo 3.</w:t>
      </w:r>
      <w:r w:rsidRPr="007D449B">
        <w:rPr>
          <w:rFonts w:ascii="Palatino Linotype" w:eastAsia="Palatino Linotype" w:hAnsi="Palatino Linotype" w:cs="Palatino Linotype"/>
          <w:i/>
          <w:sz w:val="22"/>
          <w:szCs w:val="22"/>
        </w:rPr>
        <w:t xml:space="preserve"> Para los efectos de la presente Ley se entenderá por:</w:t>
      </w:r>
    </w:p>
    <w:p w14:paraId="2C6F7E71"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4C52714B"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IX. Datos personales: La información concerniente a una persona, identificada o identificable según lo dispuesto por la Ley de Protección de Datos Personales del Estado de México; </w:t>
      </w:r>
    </w:p>
    <w:p w14:paraId="11D12596"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XX. Información clasificada: Aquella considerada por la presente Ley como reservada o confidencial;</w:t>
      </w:r>
    </w:p>
    <w:p w14:paraId="1F9BAF14"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lastRenderedPageBreak/>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29865F6"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XLV. Versión pública: Documento en el que se elimine, suprime o borra la información clasificada como reservada o confidencial para permitir su acceso.</w:t>
      </w:r>
    </w:p>
    <w:p w14:paraId="1B8C6416"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73E87209"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Artículo 91.</w:t>
      </w:r>
      <w:r w:rsidRPr="007D449B">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376BBF80"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Artículo 132.</w:t>
      </w:r>
      <w:r w:rsidRPr="007D449B">
        <w:rPr>
          <w:rFonts w:ascii="Palatino Linotype" w:eastAsia="Palatino Linotype" w:hAnsi="Palatino Linotype" w:cs="Palatino Linotype"/>
          <w:i/>
          <w:sz w:val="22"/>
          <w:szCs w:val="22"/>
        </w:rPr>
        <w:t xml:space="preserve"> La clasificación de la información se llevará a cabo en el momento en que:</w:t>
      </w:r>
    </w:p>
    <w:p w14:paraId="3B9E71A2" w14:textId="77777777" w:rsidR="000C236F" w:rsidRPr="007D449B" w:rsidRDefault="00A17FA6" w:rsidP="007D449B">
      <w:pPr>
        <w:shd w:val="clear" w:color="auto" w:fill="FFFFFF" w:themeFill="background1"/>
        <w:tabs>
          <w:tab w:val="left" w:pos="1134"/>
        </w:tabs>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 Se reciba una solicitud de acceso a la información;</w:t>
      </w:r>
    </w:p>
    <w:p w14:paraId="487A2F6A" w14:textId="77777777" w:rsidR="000C236F" w:rsidRPr="007D449B" w:rsidRDefault="00A17FA6" w:rsidP="007D449B">
      <w:pPr>
        <w:shd w:val="clear" w:color="auto" w:fill="FFFFFF" w:themeFill="background1"/>
        <w:tabs>
          <w:tab w:val="left" w:pos="1134"/>
        </w:tabs>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II. Se determine mediante resolución de autoridad competente; o</w:t>
      </w:r>
    </w:p>
    <w:p w14:paraId="1279CE00" w14:textId="77777777" w:rsidR="000C236F" w:rsidRPr="007D449B" w:rsidRDefault="00A17FA6" w:rsidP="007D449B">
      <w:pPr>
        <w:shd w:val="clear" w:color="auto" w:fill="FFFFFF" w:themeFill="background1"/>
        <w:tabs>
          <w:tab w:val="left" w:pos="1134"/>
        </w:tabs>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III. Se generen versiones públicas para dar cumplimiento a las obligaciones de transparencia previstas en esta Ley.</w:t>
      </w:r>
    </w:p>
    <w:p w14:paraId="65E09D54"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75009CB8"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Artículo 143</w:t>
      </w:r>
      <w:r w:rsidRPr="007D449B">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33892CB1"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 Se refiera a la información privada y los datos personales concernientes a una persona física o jurídico colectiva identificada o identificable;</w:t>
      </w:r>
    </w:p>
    <w:p w14:paraId="308440DE"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5CB951D3"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w:t>
      </w:r>
    </w:p>
    <w:p w14:paraId="4C84E8F0"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21E91E80"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0743C9C7" w14:textId="77777777" w:rsidR="000C236F" w:rsidRPr="007D449B" w:rsidRDefault="000C236F"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p>
    <w:p w14:paraId="4EA09063"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Igualmente, los Lineamientos Generales en Materia de Clasificación y Desclasificación de la Información, así como para la elaboración de Versiones </w:t>
      </w:r>
      <w:r w:rsidRPr="007D449B">
        <w:rPr>
          <w:rFonts w:ascii="Palatino Linotype" w:eastAsia="Palatino Linotype" w:hAnsi="Palatino Linotype" w:cs="Palatino Linotype"/>
        </w:rPr>
        <w:lastRenderedPageBreak/>
        <w:t>Públicas, emitidos por el Consejo Nacional del Sistema Nacional de Transparencia, Acceso a la Información Pública y Protección de Datos Personales,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0D00F8B" w14:textId="77777777" w:rsidR="000C236F" w:rsidRPr="007D449B" w:rsidRDefault="000C236F" w:rsidP="007D449B">
      <w:pPr>
        <w:shd w:val="clear" w:color="auto" w:fill="FFFFFF" w:themeFill="background1"/>
        <w:spacing w:line="276" w:lineRule="auto"/>
        <w:jc w:val="both"/>
        <w:rPr>
          <w:rFonts w:ascii="Palatino Linotype" w:eastAsia="Palatino Linotype" w:hAnsi="Palatino Linotype" w:cs="Palatino Linotype"/>
        </w:rPr>
      </w:pPr>
    </w:p>
    <w:p w14:paraId="48F0F859"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Por otro lado, es de destacar que los artículos Quincuagésimo, Quincuagésimo primero, Quincuagésimo segundo, de los Lineamientos Generales en Materia de Clasificación y Desclasificación de la Información, así como para la Elaboración de Versiones Públicas señalan las formalidades que deberá llevar el acuerdo de clasificación que deberá emitir el Sujeto Obligado, siendo estas las siguientes:</w:t>
      </w:r>
    </w:p>
    <w:p w14:paraId="5F7458A8"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0D7A00AC"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 “</w:t>
      </w:r>
      <w:r w:rsidRPr="007D449B">
        <w:rPr>
          <w:rFonts w:ascii="Palatino Linotype" w:eastAsia="Palatino Linotype" w:hAnsi="Palatino Linotype" w:cs="Palatino Linotype"/>
          <w:b/>
          <w:i/>
          <w:sz w:val="22"/>
          <w:szCs w:val="22"/>
        </w:rPr>
        <w:t>Quincuagésimo</w:t>
      </w:r>
      <w:r w:rsidRPr="007D449B">
        <w:rPr>
          <w:rFonts w:ascii="Palatino Linotype" w:eastAsia="Palatino Linotype" w:hAnsi="Palatino Linotype" w:cs="Palatino Linotype"/>
          <w:i/>
          <w:sz w:val="22"/>
          <w:szCs w:val="22"/>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1C787F95"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Quincuagésimo primero.</w:t>
      </w:r>
      <w:r w:rsidRPr="007D449B">
        <w:rPr>
          <w:rFonts w:ascii="Palatino Linotype" w:eastAsia="Palatino Linotype" w:hAnsi="Palatino Linotype" w:cs="Palatino Linotype"/>
          <w:i/>
          <w:sz w:val="22"/>
          <w:szCs w:val="22"/>
        </w:rPr>
        <w:t xml:space="preserve"> Toda acta del Comité de Transparencia deberá contener: </w:t>
      </w:r>
    </w:p>
    <w:p w14:paraId="55C33A57"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I. El número de sesión y fecha; </w:t>
      </w:r>
    </w:p>
    <w:p w14:paraId="3DA1F2D3"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II. El nombre del área que solicitó la clasificación de información; </w:t>
      </w:r>
    </w:p>
    <w:p w14:paraId="08ED4C9E"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III. La fundamentación legal y motivación correspondiente; </w:t>
      </w:r>
    </w:p>
    <w:p w14:paraId="12A0F336"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IV. La resolución o resoluciones aprobadas; y </w:t>
      </w:r>
    </w:p>
    <w:p w14:paraId="439F1FBB"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V. La rúbrica o firma digital de cada integrante del Comité de Transparencia. </w:t>
      </w:r>
    </w:p>
    <w:p w14:paraId="4A911CDA"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C0CC1D2"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 Los motivos y razonamientos que sustenten la confirmación o modificación de la prueba de daño;</w:t>
      </w:r>
    </w:p>
    <w:p w14:paraId="50745AF9"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II. Descripción de las partes o secciones reservadas, en caso de clasificación parcial; </w:t>
      </w:r>
    </w:p>
    <w:p w14:paraId="1AD2D974"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III. El periodo por el que mantendrá su clasificación y fecha de expiración; y </w:t>
      </w:r>
    </w:p>
    <w:p w14:paraId="25ECE633"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lastRenderedPageBreak/>
        <w:t xml:space="preserve">IV. El nombre del titular y área encargada de realizar la versión pública del documento, en su caso. </w:t>
      </w:r>
    </w:p>
    <w:p w14:paraId="0C47E8B4"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3DB70161"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30BCC4B9"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Quincuagésimo segundo.</w:t>
      </w:r>
      <w:r w:rsidRPr="007D449B">
        <w:rPr>
          <w:rFonts w:ascii="Palatino Linotype" w:eastAsia="Palatino Linotype" w:hAnsi="Palatino Linotype" w:cs="Palatino Linotype"/>
          <w:i/>
          <w:sz w:val="22"/>
          <w:szCs w:val="22"/>
        </w:rPr>
        <w:t xml:space="preserve">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54D3C8EB"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BCFC5CC"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 Fijar la fecha en que se elaboró la versión pública y la fecha en la cual el Comité de Transparencia confirmó dicha versión;</w:t>
      </w:r>
    </w:p>
    <w:p w14:paraId="4CE40890"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II. Señalar dentro del documento el tipo de información confidencial que fue testada en cada caso específico, de conformidad con el lineamiento trigésimo octavo; y</w:t>
      </w:r>
    </w:p>
    <w:p w14:paraId="632953E7"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III. Señalar las personas o instancias autorizadas a acceder a la información clasificada.</w:t>
      </w:r>
    </w:p>
    <w:p w14:paraId="4384ABB8"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53BC93C6" w14:textId="77777777" w:rsidR="000C236F" w:rsidRPr="007D449B" w:rsidRDefault="000C236F"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p>
    <w:p w14:paraId="047DFC48" w14:textId="77777777" w:rsidR="000C236F" w:rsidRPr="007D449B" w:rsidRDefault="00A17FA6" w:rsidP="007D449B">
      <w:pPr>
        <w:shd w:val="clear" w:color="auto" w:fill="FFFFFF" w:themeFill="background1"/>
        <w:spacing w:line="360" w:lineRule="auto"/>
        <w:ind w:right="50"/>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Asimismo, se deberá observar el Lineamiento Quincuagésimo tercero de los Lineamientos Generales en Materia de Clasificación y Desclasificación de la Información </w:t>
      </w:r>
      <w:proofErr w:type="spellStart"/>
      <w:r w:rsidRPr="007D449B">
        <w:rPr>
          <w:rFonts w:ascii="Palatino Linotype" w:eastAsia="Palatino Linotype" w:hAnsi="Palatino Linotype" w:cs="Palatino Linotype"/>
        </w:rPr>
        <w:t>supraindicados</w:t>
      </w:r>
      <w:proofErr w:type="spellEnd"/>
      <w:r w:rsidRPr="007D449B">
        <w:rPr>
          <w:rFonts w:ascii="Palatino Linotype" w:eastAsia="Palatino Linotype" w:hAnsi="Palatino Linotype" w:cs="Palatino Linotype"/>
        </w:rPr>
        <w:t xml:space="preserve"> el cual establece los formatos para la clasificación de los documentos, conforme a lo siguiente: </w:t>
      </w:r>
    </w:p>
    <w:p w14:paraId="70441877" w14:textId="77777777" w:rsidR="000C236F" w:rsidRPr="007D449B" w:rsidRDefault="00A17FA6" w:rsidP="007D449B">
      <w:pPr>
        <w:shd w:val="clear" w:color="auto" w:fill="FFFFFF" w:themeFill="background1"/>
        <w:ind w:left="851" w:right="900"/>
        <w:jc w:val="center"/>
        <w:rPr>
          <w:rFonts w:ascii="Palatino Linotype" w:eastAsia="Palatino Linotype" w:hAnsi="Palatino Linotype" w:cs="Palatino Linotype"/>
          <w:b/>
          <w:i/>
          <w:sz w:val="22"/>
          <w:szCs w:val="22"/>
        </w:rPr>
      </w:pPr>
      <w:r w:rsidRPr="007D449B">
        <w:rPr>
          <w:rFonts w:ascii="Palatino Linotype" w:eastAsia="Palatino Linotype" w:hAnsi="Palatino Linotype" w:cs="Palatino Linotype"/>
          <w:b/>
          <w:i/>
          <w:sz w:val="22"/>
          <w:szCs w:val="22"/>
        </w:rPr>
        <w:t>CAPÍTULO VIII</w:t>
      </w:r>
    </w:p>
    <w:p w14:paraId="7F6B83EA" w14:textId="77777777" w:rsidR="000C236F" w:rsidRPr="007D449B" w:rsidRDefault="00A17FA6" w:rsidP="007D449B">
      <w:pPr>
        <w:shd w:val="clear" w:color="auto" w:fill="FFFFFF" w:themeFill="background1"/>
        <w:ind w:left="851" w:right="900"/>
        <w:jc w:val="center"/>
        <w:rPr>
          <w:rFonts w:ascii="Palatino Linotype" w:eastAsia="Palatino Linotype" w:hAnsi="Palatino Linotype" w:cs="Palatino Linotype"/>
          <w:b/>
          <w:i/>
          <w:sz w:val="22"/>
          <w:szCs w:val="22"/>
        </w:rPr>
      </w:pPr>
      <w:r w:rsidRPr="007D449B">
        <w:rPr>
          <w:rFonts w:ascii="Palatino Linotype" w:eastAsia="Palatino Linotype" w:hAnsi="Palatino Linotype" w:cs="Palatino Linotype"/>
          <w:b/>
          <w:i/>
          <w:sz w:val="22"/>
          <w:szCs w:val="22"/>
        </w:rPr>
        <w:t xml:space="preserve">DE LOS ELEMENTOS PARA LA CLASIFICACIÓN </w:t>
      </w:r>
    </w:p>
    <w:p w14:paraId="5AB09D6B" w14:textId="77777777" w:rsidR="000C236F" w:rsidRPr="007D449B" w:rsidRDefault="00A17FA6" w:rsidP="007D449B">
      <w:pPr>
        <w:shd w:val="clear" w:color="auto" w:fill="FFFFFF" w:themeFill="background1"/>
        <w:ind w:left="851" w:right="902"/>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Quincuagésimo tercero. </w:t>
      </w:r>
      <w:r w:rsidRPr="007D449B">
        <w:rPr>
          <w:rFonts w:ascii="Palatino Linotype" w:eastAsia="Palatino Linotype" w:hAnsi="Palatino Linotype" w:cs="Palatino Linotype"/>
          <w:i/>
          <w:sz w:val="22"/>
          <w:szCs w:val="22"/>
          <w:u w:val="single"/>
        </w:rPr>
        <w:t>El formato para señalar la clasificación de un documento o expediente que contenga información reservada</w:t>
      </w:r>
      <w:r w:rsidRPr="007D449B">
        <w:rPr>
          <w:rFonts w:ascii="Palatino Linotype" w:eastAsia="Palatino Linotype" w:hAnsi="Palatino Linotype" w:cs="Palatino Linotype"/>
          <w:i/>
          <w:sz w:val="22"/>
          <w:szCs w:val="22"/>
        </w:rPr>
        <w:t xml:space="preserve">, es el siguiente: </w:t>
      </w:r>
    </w:p>
    <w:p w14:paraId="449403FD" w14:textId="77777777" w:rsidR="000C236F" w:rsidRPr="007D449B" w:rsidRDefault="000C236F" w:rsidP="007D449B">
      <w:pPr>
        <w:shd w:val="clear" w:color="auto" w:fill="FFFFFF" w:themeFill="background1"/>
        <w:ind w:left="851" w:right="902"/>
        <w:jc w:val="both"/>
        <w:rPr>
          <w:rFonts w:ascii="Palatino Linotype" w:eastAsia="Palatino Linotype" w:hAnsi="Palatino Linotype" w:cs="Palatino Linotype"/>
          <w:i/>
          <w:sz w:val="22"/>
          <w:szCs w:val="22"/>
        </w:rPr>
      </w:pPr>
    </w:p>
    <w:tbl>
      <w:tblPr>
        <w:tblStyle w:val="aff6"/>
        <w:tblW w:w="765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2693"/>
        <w:gridCol w:w="3691"/>
      </w:tblGrid>
      <w:tr w:rsidR="007D449B" w:rsidRPr="007D449B" w14:paraId="66416BB5" w14:textId="77777777">
        <w:trPr>
          <w:trHeight w:val="262"/>
          <w:jc w:val="center"/>
        </w:trPr>
        <w:tc>
          <w:tcPr>
            <w:tcW w:w="1271" w:type="dxa"/>
            <w:tcBorders>
              <w:top w:val="nil"/>
              <w:left w:val="nil"/>
            </w:tcBorders>
          </w:tcPr>
          <w:p w14:paraId="7D69CCE2" w14:textId="77777777" w:rsidR="000C236F" w:rsidRPr="007D449B" w:rsidRDefault="000C236F" w:rsidP="007D449B">
            <w:pPr>
              <w:shd w:val="clear" w:color="auto" w:fill="FFFFFF" w:themeFill="background1"/>
              <w:rPr>
                <w:rFonts w:ascii="Palatino Linotype" w:eastAsia="Palatino Linotype" w:hAnsi="Palatino Linotype" w:cs="Palatino Linotype"/>
                <w:sz w:val="20"/>
                <w:szCs w:val="20"/>
              </w:rPr>
            </w:pPr>
          </w:p>
        </w:tc>
        <w:tc>
          <w:tcPr>
            <w:tcW w:w="2693" w:type="dxa"/>
            <w:shd w:val="clear" w:color="auto" w:fill="D9D9D9"/>
          </w:tcPr>
          <w:p w14:paraId="5EE60158" w14:textId="77777777" w:rsidR="000C236F" w:rsidRPr="007D449B" w:rsidRDefault="00A17FA6" w:rsidP="007D449B">
            <w:pPr>
              <w:shd w:val="clear" w:color="auto" w:fill="FFFFFF" w:themeFill="background1"/>
              <w:tabs>
                <w:tab w:val="center" w:pos="1238"/>
                <w:tab w:val="right" w:pos="2477"/>
              </w:tabs>
              <w:rPr>
                <w:rFonts w:ascii="Palatino Linotype" w:eastAsia="Palatino Linotype" w:hAnsi="Palatino Linotype" w:cs="Palatino Linotype"/>
                <w:b/>
                <w:sz w:val="20"/>
                <w:szCs w:val="20"/>
              </w:rPr>
            </w:pPr>
            <w:r w:rsidRPr="007D449B">
              <w:rPr>
                <w:rFonts w:ascii="Palatino Linotype" w:eastAsia="Palatino Linotype" w:hAnsi="Palatino Linotype" w:cs="Palatino Linotype"/>
                <w:b/>
                <w:sz w:val="20"/>
                <w:szCs w:val="20"/>
              </w:rPr>
              <w:tab/>
              <w:t>Concepto</w:t>
            </w:r>
            <w:r w:rsidRPr="007D449B">
              <w:rPr>
                <w:rFonts w:ascii="Palatino Linotype" w:eastAsia="Palatino Linotype" w:hAnsi="Palatino Linotype" w:cs="Palatino Linotype"/>
                <w:b/>
                <w:sz w:val="20"/>
                <w:szCs w:val="20"/>
              </w:rPr>
              <w:tab/>
            </w:r>
          </w:p>
        </w:tc>
        <w:tc>
          <w:tcPr>
            <w:tcW w:w="3691" w:type="dxa"/>
            <w:shd w:val="clear" w:color="auto" w:fill="D9D9D9"/>
          </w:tcPr>
          <w:p w14:paraId="38CE87ED" w14:textId="77777777" w:rsidR="000C236F" w:rsidRPr="007D449B" w:rsidRDefault="00A17FA6" w:rsidP="007D449B">
            <w:pPr>
              <w:shd w:val="clear" w:color="auto" w:fill="FFFFFF" w:themeFill="background1"/>
              <w:jc w:val="center"/>
              <w:rPr>
                <w:rFonts w:ascii="Palatino Linotype" w:eastAsia="Palatino Linotype" w:hAnsi="Palatino Linotype" w:cs="Palatino Linotype"/>
                <w:b/>
                <w:sz w:val="20"/>
                <w:szCs w:val="20"/>
              </w:rPr>
            </w:pPr>
            <w:r w:rsidRPr="007D449B">
              <w:rPr>
                <w:rFonts w:ascii="Palatino Linotype" w:eastAsia="Palatino Linotype" w:hAnsi="Palatino Linotype" w:cs="Palatino Linotype"/>
                <w:b/>
                <w:sz w:val="20"/>
                <w:szCs w:val="20"/>
              </w:rPr>
              <w:t>Dónde</w:t>
            </w:r>
          </w:p>
        </w:tc>
      </w:tr>
      <w:tr w:rsidR="007D449B" w:rsidRPr="007D449B" w14:paraId="09BF33DF" w14:textId="77777777">
        <w:trPr>
          <w:jc w:val="center"/>
        </w:trPr>
        <w:tc>
          <w:tcPr>
            <w:tcW w:w="1271" w:type="dxa"/>
            <w:vMerge w:val="restart"/>
            <w:shd w:val="clear" w:color="auto" w:fill="D9D9D9"/>
          </w:tcPr>
          <w:p w14:paraId="76CDEC12" w14:textId="77777777" w:rsidR="000C236F" w:rsidRPr="007D449B" w:rsidRDefault="000C236F" w:rsidP="007D449B">
            <w:pPr>
              <w:shd w:val="clear" w:color="auto" w:fill="FFFFFF" w:themeFill="background1"/>
              <w:jc w:val="both"/>
              <w:rPr>
                <w:rFonts w:ascii="Palatino Linotype" w:eastAsia="Palatino Linotype" w:hAnsi="Palatino Linotype" w:cs="Palatino Linotype"/>
                <w:b/>
                <w:sz w:val="20"/>
                <w:szCs w:val="20"/>
              </w:rPr>
            </w:pPr>
          </w:p>
          <w:p w14:paraId="54E66F44" w14:textId="77777777" w:rsidR="000C236F" w:rsidRPr="007D449B" w:rsidRDefault="000C236F" w:rsidP="007D449B">
            <w:pPr>
              <w:shd w:val="clear" w:color="auto" w:fill="FFFFFF" w:themeFill="background1"/>
              <w:jc w:val="both"/>
              <w:rPr>
                <w:rFonts w:ascii="Palatino Linotype" w:eastAsia="Palatino Linotype" w:hAnsi="Palatino Linotype" w:cs="Palatino Linotype"/>
                <w:b/>
                <w:sz w:val="20"/>
                <w:szCs w:val="20"/>
              </w:rPr>
            </w:pPr>
          </w:p>
          <w:p w14:paraId="27475FF1" w14:textId="77777777" w:rsidR="000C236F" w:rsidRPr="007D449B" w:rsidRDefault="000C236F" w:rsidP="007D449B">
            <w:pPr>
              <w:shd w:val="clear" w:color="auto" w:fill="FFFFFF" w:themeFill="background1"/>
              <w:jc w:val="both"/>
              <w:rPr>
                <w:rFonts w:ascii="Palatino Linotype" w:eastAsia="Palatino Linotype" w:hAnsi="Palatino Linotype" w:cs="Palatino Linotype"/>
                <w:b/>
                <w:sz w:val="20"/>
                <w:szCs w:val="20"/>
              </w:rPr>
            </w:pPr>
          </w:p>
          <w:p w14:paraId="78386B07" w14:textId="77777777" w:rsidR="000C236F" w:rsidRPr="007D449B" w:rsidRDefault="000C236F" w:rsidP="007D449B">
            <w:pPr>
              <w:shd w:val="clear" w:color="auto" w:fill="FFFFFF" w:themeFill="background1"/>
              <w:jc w:val="both"/>
              <w:rPr>
                <w:rFonts w:ascii="Palatino Linotype" w:eastAsia="Palatino Linotype" w:hAnsi="Palatino Linotype" w:cs="Palatino Linotype"/>
                <w:b/>
                <w:sz w:val="20"/>
                <w:szCs w:val="20"/>
              </w:rPr>
            </w:pPr>
          </w:p>
          <w:p w14:paraId="276EDA83" w14:textId="77777777" w:rsidR="000C236F" w:rsidRPr="007D449B" w:rsidRDefault="000C236F" w:rsidP="007D449B">
            <w:pPr>
              <w:shd w:val="clear" w:color="auto" w:fill="FFFFFF" w:themeFill="background1"/>
              <w:jc w:val="both"/>
              <w:rPr>
                <w:rFonts w:ascii="Palatino Linotype" w:eastAsia="Palatino Linotype" w:hAnsi="Palatino Linotype" w:cs="Palatino Linotype"/>
                <w:b/>
                <w:sz w:val="20"/>
                <w:szCs w:val="20"/>
              </w:rPr>
            </w:pPr>
          </w:p>
          <w:p w14:paraId="62C1ADE0" w14:textId="77777777" w:rsidR="000C236F" w:rsidRPr="007D449B" w:rsidRDefault="000C236F" w:rsidP="007D449B">
            <w:pPr>
              <w:shd w:val="clear" w:color="auto" w:fill="FFFFFF" w:themeFill="background1"/>
              <w:jc w:val="both"/>
              <w:rPr>
                <w:rFonts w:ascii="Palatino Linotype" w:eastAsia="Palatino Linotype" w:hAnsi="Palatino Linotype" w:cs="Palatino Linotype"/>
                <w:b/>
                <w:sz w:val="20"/>
                <w:szCs w:val="20"/>
              </w:rPr>
            </w:pPr>
          </w:p>
          <w:p w14:paraId="3B3865DC" w14:textId="77777777" w:rsidR="000C236F" w:rsidRPr="007D449B" w:rsidRDefault="00A17FA6" w:rsidP="007D449B">
            <w:pPr>
              <w:shd w:val="clear" w:color="auto" w:fill="FFFFFF" w:themeFill="background1"/>
              <w:jc w:val="both"/>
              <w:rPr>
                <w:rFonts w:ascii="Palatino Linotype" w:eastAsia="Palatino Linotype" w:hAnsi="Palatino Linotype" w:cs="Palatino Linotype"/>
                <w:b/>
                <w:sz w:val="20"/>
                <w:szCs w:val="20"/>
              </w:rPr>
            </w:pPr>
            <w:r w:rsidRPr="007D449B">
              <w:rPr>
                <w:rFonts w:ascii="Palatino Linotype" w:eastAsia="Palatino Linotype" w:hAnsi="Palatino Linotype" w:cs="Palatino Linotype"/>
                <w:b/>
                <w:sz w:val="20"/>
                <w:szCs w:val="20"/>
              </w:rPr>
              <w:t xml:space="preserve">Sello oficial o logotipo del sujeto obligado </w:t>
            </w:r>
          </w:p>
        </w:tc>
        <w:tc>
          <w:tcPr>
            <w:tcW w:w="2693" w:type="dxa"/>
          </w:tcPr>
          <w:p w14:paraId="7DA86995" w14:textId="77777777" w:rsidR="000C236F" w:rsidRPr="007D449B" w:rsidRDefault="00A17FA6" w:rsidP="007D449B">
            <w:pPr>
              <w:shd w:val="clear" w:color="auto" w:fill="FFFFFF" w:themeFill="background1"/>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Fecha de clasificación</w:t>
            </w:r>
          </w:p>
        </w:tc>
        <w:tc>
          <w:tcPr>
            <w:tcW w:w="3691" w:type="dxa"/>
          </w:tcPr>
          <w:p w14:paraId="40E76FF7" w14:textId="77777777" w:rsidR="000C236F" w:rsidRPr="007D449B" w:rsidRDefault="00A17FA6" w:rsidP="007D449B">
            <w:pPr>
              <w:shd w:val="clear" w:color="auto" w:fill="FFFFFF" w:themeFill="background1"/>
              <w:jc w:val="both"/>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Se anotará la fecha en la que el Comité de Transparencia confirmó la clasificación del documento o expediente, en su caso. </w:t>
            </w:r>
          </w:p>
        </w:tc>
      </w:tr>
      <w:tr w:rsidR="007D449B" w:rsidRPr="007D449B" w14:paraId="30DAB821" w14:textId="77777777">
        <w:trPr>
          <w:jc w:val="center"/>
        </w:trPr>
        <w:tc>
          <w:tcPr>
            <w:tcW w:w="1271" w:type="dxa"/>
            <w:vMerge/>
            <w:shd w:val="clear" w:color="auto" w:fill="D9D9D9"/>
          </w:tcPr>
          <w:p w14:paraId="07359D06" w14:textId="77777777" w:rsidR="000C236F" w:rsidRPr="007D449B" w:rsidRDefault="000C236F" w:rsidP="007D449B">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sz w:val="20"/>
                <w:szCs w:val="20"/>
              </w:rPr>
            </w:pPr>
          </w:p>
        </w:tc>
        <w:tc>
          <w:tcPr>
            <w:tcW w:w="2693" w:type="dxa"/>
          </w:tcPr>
          <w:p w14:paraId="2ED5ACB2" w14:textId="77777777" w:rsidR="000C236F" w:rsidRPr="007D449B" w:rsidRDefault="00A17FA6" w:rsidP="007D449B">
            <w:pPr>
              <w:shd w:val="clear" w:color="auto" w:fill="FFFFFF" w:themeFill="background1"/>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Área </w:t>
            </w:r>
          </w:p>
        </w:tc>
        <w:tc>
          <w:tcPr>
            <w:tcW w:w="3691" w:type="dxa"/>
          </w:tcPr>
          <w:p w14:paraId="564F075F" w14:textId="77777777" w:rsidR="000C236F" w:rsidRPr="007D449B" w:rsidRDefault="00A17FA6" w:rsidP="007D449B">
            <w:pPr>
              <w:shd w:val="clear" w:color="auto" w:fill="FFFFFF" w:themeFill="background1"/>
              <w:jc w:val="both"/>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Se señalará el nombre del área del cual es titular quien clasifica. </w:t>
            </w:r>
          </w:p>
        </w:tc>
      </w:tr>
      <w:tr w:rsidR="007D449B" w:rsidRPr="007D449B" w14:paraId="20FCFF5A" w14:textId="77777777">
        <w:trPr>
          <w:jc w:val="center"/>
        </w:trPr>
        <w:tc>
          <w:tcPr>
            <w:tcW w:w="1271" w:type="dxa"/>
            <w:vMerge/>
            <w:shd w:val="clear" w:color="auto" w:fill="D9D9D9"/>
          </w:tcPr>
          <w:p w14:paraId="51D6A40D" w14:textId="77777777" w:rsidR="000C236F" w:rsidRPr="007D449B" w:rsidRDefault="000C236F" w:rsidP="007D449B">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sz w:val="20"/>
                <w:szCs w:val="20"/>
              </w:rPr>
            </w:pPr>
          </w:p>
        </w:tc>
        <w:tc>
          <w:tcPr>
            <w:tcW w:w="2693" w:type="dxa"/>
          </w:tcPr>
          <w:p w14:paraId="32606D4D" w14:textId="77777777" w:rsidR="000C236F" w:rsidRPr="007D449B" w:rsidRDefault="00A17FA6" w:rsidP="007D449B">
            <w:pPr>
              <w:shd w:val="clear" w:color="auto" w:fill="FFFFFF" w:themeFill="background1"/>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Información Reservada</w:t>
            </w:r>
          </w:p>
        </w:tc>
        <w:tc>
          <w:tcPr>
            <w:tcW w:w="3691" w:type="dxa"/>
          </w:tcPr>
          <w:p w14:paraId="384DF000" w14:textId="77777777" w:rsidR="000C236F" w:rsidRPr="007D449B" w:rsidRDefault="00A17FA6" w:rsidP="007D449B">
            <w:pPr>
              <w:shd w:val="clear" w:color="auto" w:fill="FFFFFF" w:themeFill="background1"/>
              <w:jc w:val="both"/>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Se indicarán las partes o páginas del documento que se clasifican como reservadas, o, en su caso, se precisará que se ha reservado el documento o expediente en su totalidad.</w:t>
            </w:r>
          </w:p>
        </w:tc>
      </w:tr>
      <w:tr w:rsidR="007D449B" w:rsidRPr="007D449B" w14:paraId="0C491092" w14:textId="77777777">
        <w:trPr>
          <w:jc w:val="center"/>
        </w:trPr>
        <w:tc>
          <w:tcPr>
            <w:tcW w:w="1271" w:type="dxa"/>
            <w:vMerge/>
            <w:shd w:val="clear" w:color="auto" w:fill="D9D9D9"/>
          </w:tcPr>
          <w:p w14:paraId="24DCE0E3" w14:textId="77777777" w:rsidR="000C236F" w:rsidRPr="007D449B" w:rsidRDefault="000C236F" w:rsidP="007D449B">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sz w:val="20"/>
                <w:szCs w:val="20"/>
              </w:rPr>
            </w:pPr>
          </w:p>
        </w:tc>
        <w:tc>
          <w:tcPr>
            <w:tcW w:w="2693" w:type="dxa"/>
          </w:tcPr>
          <w:p w14:paraId="48AC18FD" w14:textId="77777777" w:rsidR="000C236F" w:rsidRPr="007D449B" w:rsidRDefault="00A17FA6" w:rsidP="007D449B">
            <w:pPr>
              <w:shd w:val="clear" w:color="auto" w:fill="FFFFFF" w:themeFill="background1"/>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Periodo de Reserva </w:t>
            </w:r>
          </w:p>
        </w:tc>
        <w:tc>
          <w:tcPr>
            <w:tcW w:w="3691" w:type="dxa"/>
          </w:tcPr>
          <w:p w14:paraId="0D47886A" w14:textId="77777777" w:rsidR="000C236F" w:rsidRPr="007D449B" w:rsidRDefault="00A17FA6" w:rsidP="007D449B">
            <w:pPr>
              <w:shd w:val="clear" w:color="auto" w:fill="FFFFFF" w:themeFill="background1"/>
              <w:jc w:val="both"/>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Se anotará el número de años o meses por los que se mantendrá reservado el documento, el expediente o, en su caso, las partes o secciones reservadas. </w:t>
            </w:r>
          </w:p>
        </w:tc>
      </w:tr>
      <w:tr w:rsidR="007D449B" w:rsidRPr="007D449B" w14:paraId="4F6CB0F1" w14:textId="77777777">
        <w:trPr>
          <w:jc w:val="center"/>
        </w:trPr>
        <w:tc>
          <w:tcPr>
            <w:tcW w:w="1271" w:type="dxa"/>
            <w:vMerge/>
            <w:shd w:val="clear" w:color="auto" w:fill="D9D9D9"/>
          </w:tcPr>
          <w:p w14:paraId="6A0D5E25" w14:textId="77777777" w:rsidR="000C236F" w:rsidRPr="007D449B" w:rsidRDefault="000C236F" w:rsidP="007D449B">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sz w:val="20"/>
                <w:szCs w:val="20"/>
              </w:rPr>
            </w:pPr>
          </w:p>
        </w:tc>
        <w:tc>
          <w:tcPr>
            <w:tcW w:w="2693" w:type="dxa"/>
          </w:tcPr>
          <w:p w14:paraId="1DE1989F" w14:textId="77777777" w:rsidR="000C236F" w:rsidRPr="007D449B" w:rsidRDefault="00A17FA6" w:rsidP="007D449B">
            <w:pPr>
              <w:shd w:val="clear" w:color="auto" w:fill="FFFFFF" w:themeFill="background1"/>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Fundamento legal</w:t>
            </w:r>
          </w:p>
        </w:tc>
        <w:tc>
          <w:tcPr>
            <w:tcW w:w="3691" w:type="dxa"/>
          </w:tcPr>
          <w:p w14:paraId="72A8C3CE" w14:textId="77777777" w:rsidR="000C236F" w:rsidRPr="007D449B" w:rsidRDefault="00A17FA6" w:rsidP="007D449B">
            <w:pPr>
              <w:shd w:val="clear" w:color="auto" w:fill="FFFFFF" w:themeFill="background1"/>
              <w:jc w:val="both"/>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Se señalará el nombre del ordenamiento el o los artículos, fracciones, párrafos con base en los cuales se sustente la reserva. </w:t>
            </w:r>
          </w:p>
        </w:tc>
      </w:tr>
      <w:tr w:rsidR="007D449B" w:rsidRPr="007D449B" w14:paraId="2C260DF9" w14:textId="77777777">
        <w:trPr>
          <w:jc w:val="center"/>
        </w:trPr>
        <w:tc>
          <w:tcPr>
            <w:tcW w:w="1271" w:type="dxa"/>
            <w:vMerge/>
            <w:shd w:val="clear" w:color="auto" w:fill="D9D9D9"/>
          </w:tcPr>
          <w:p w14:paraId="17CCF82D" w14:textId="77777777" w:rsidR="000C236F" w:rsidRPr="007D449B" w:rsidRDefault="000C236F" w:rsidP="007D449B">
            <w:pPr>
              <w:widowControl w:val="0"/>
              <w:pBdr>
                <w:top w:val="nil"/>
                <w:left w:val="nil"/>
                <w:bottom w:val="nil"/>
                <w:right w:val="nil"/>
                <w:between w:val="nil"/>
              </w:pBdr>
              <w:shd w:val="clear" w:color="auto" w:fill="FFFFFF" w:themeFill="background1"/>
              <w:spacing w:line="276" w:lineRule="auto"/>
              <w:rPr>
                <w:rFonts w:ascii="Palatino Linotype" w:eastAsia="Palatino Linotype" w:hAnsi="Palatino Linotype" w:cs="Palatino Linotype"/>
                <w:sz w:val="20"/>
                <w:szCs w:val="20"/>
              </w:rPr>
            </w:pPr>
          </w:p>
        </w:tc>
        <w:tc>
          <w:tcPr>
            <w:tcW w:w="2693" w:type="dxa"/>
          </w:tcPr>
          <w:p w14:paraId="2D599C08" w14:textId="77777777" w:rsidR="000C236F" w:rsidRPr="007D449B" w:rsidRDefault="00A17FA6" w:rsidP="007D449B">
            <w:pPr>
              <w:shd w:val="clear" w:color="auto" w:fill="FFFFFF" w:themeFill="background1"/>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Ampliación del periodo de reserva</w:t>
            </w:r>
          </w:p>
        </w:tc>
        <w:tc>
          <w:tcPr>
            <w:tcW w:w="3691" w:type="dxa"/>
          </w:tcPr>
          <w:p w14:paraId="61C3B5E5" w14:textId="77777777" w:rsidR="000C236F" w:rsidRPr="007D449B" w:rsidRDefault="00A17FA6" w:rsidP="007D449B">
            <w:pPr>
              <w:shd w:val="clear" w:color="auto" w:fill="FFFFFF" w:themeFill="background1"/>
              <w:jc w:val="both"/>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En caso de haber solicitado la ampliación del periodo de reserva originalmente establecido, se deberá anotar el número de años o meses por los que se amplía la reserva. </w:t>
            </w:r>
          </w:p>
        </w:tc>
      </w:tr>
      <w:tr w:rsidR="007D449B" w:rsidRPr="007D449B" w14:paraId="13F3039D" w14:textId="77777777">
        <w:trPr>
          <w:jc w:val="center"/>
        </w:trPr>
        <w:tc>
          <w:tcPr>
            <w:tcW w:w="3964" w:type="dxa"/>
            <w:gridSpan w:val="2"/>
            <w:shd w:val="clear" w:color="auto" w:fill="D9D9D9"/>
          </w:tcPr>
          <w:p w14:paraId="4AF2E5FE" w14:textId="77777777" w:rsidR="000C236F" w:rsidRPr="007D449B" w:rsidRDefault="00A17FA6" w:rsidP="007D449B">
            <w:pPr>
              <w:shd w:val="clear" w:color="auto" w:fill="FFFFFF" w:themeFill="background1"/>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Rúbrica del titular del área</w:t>
            </w:r>
          </w:p>
        </w:tc>
        <w:tc>
          <w:tcPr>
            <w:tcW w:w="3691" w:type="dxa"/>
            <w:shd w:val="clear" w:color="auto" w:fill="D9D9D9"/>
          </w:tcPr>
          <w:p w14:paraId="636E27A0" w14:textId="77777777" w:rsidR="000C236F" w:rsidRPr="007D449B" w:rsidRDefault="00A17FA6" w:rsidP="007D449B">
            <w:pPr>
              <w:shd w:val="clear" w:color="auto" w:fill="FFFFFF" w:themeFill="background1"/>
              <w:jc w:val="both"/>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Rúbrica autógrafa o firma digital de quien clasifica. </w:t>
            </w:r>
          </w:p>
        </w:tc>
      </w:tr>
      <w:tr w:rsidR="007D449B" w:rsidRPr="007D449B" w14:paraId="172D9B13" w14:textId="77777777">
        <w:trPr>
          <w:jc w:val="center"/>
        </w:trPr>
        <w:tc>
          <w:tcPr>
            <w:tcW w:w="3964" w:type="dxa"/>
            <w:gridSpan w:val="2"/>
            <w:shd w:val="clear" w:color="auto" w:fill="D9D9D9"/>
          </w:tcPr>
          <w:p w14:paraId="6CDE5362" w14:textId="77777777" w:rsidR="000C236F" w:rsidRPr="007D449B" w:rsidRDefault="00A17FA6" w:rsidP="007D449B">
            <w:pPr>
              <w:shd w:val="clear" w:color="auto" w:fill="FFFFFF" w:themeFill="background1"/>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Fecha de desclasificación </w:t>
            </w:r>
          </w:p>
        </w:tc>
        <w:tc>
          <w:tcPr>
            <w:tcW w:w="3691" w:type="dxa"/>
            <w:shd w:val="clear" w:color="auto" w:fill="D9D9D9"/>
          </w:tcPr>
          <w:p w14:paraId="2831BD08" w14:textId="77777777" w:rsidR="000C236F" w:rsidRPr="007D449B" w:rsidRDefault="00A17FA6" w:rsidP="007D449B">
            <w:pPr>
              <w:shd w:val="clear" w:color="auto" w:fill="FFFFFF" w:themeFill="background1"/>
              <w:jc w:val="both"/>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Se anotará la fecha en que se desclasifica el documento. </w:t>
            </w:r>
          </w:p>
        </w:tc>
      </w:tr>
      <w:tr w:rsidR="007D449B" w:rsidRPr="007D449B" w14:paraId="2A5C7826" w14:textId="77777777">
        <w:trPr>
          <w:jc w:val="center"/>
        </w:trPr>
        <w:tc>
          <w:tcPr>
            <w:tcW w:w="3964" w:type="dxa"/>
            <w:gridSpan w:val="2"/>
            <w:shd w:val="clear" w:color="auto" w:fill="D9D9D9"/>
          </w:tcPr>
          <w:p w14:paraId="4BA2E019" w14:textId="77777777" w:rsidR="000C236F" w:rsidRPr="007D449B" w:rsidRDefault="00A17FA6" w:rsidP="007D449B">
            <w:pPr>
              <w:shd w:val="clear" w:color="auto" w:fill="FFFFFF" w:themeFill="background1"/>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Rúbrica y cargo del servidor público </w:t>
            </w:r>
          </w:p>
        </w:tc>
        <w:tc>
          <w:tcPr>
            <w:tcW w:w="3691" w:type="dxa"/>
            <w:shd w:val="clear" w:color="auto" w:fill="D9D9D9"/>
          </w:tcPr>
          <w:p w14:paraId="427C01C3" w14:textId="77777777" w:rsidR="000C236F" w:rsidRPr="007D449B" w:rsidRDefault="00A17FA6" w:rsidP="007D449B">
            <w:pPr>
              <w:shd w:val="clear" w:color="auto" w:fill="FFFFFF" w:themeFill="background1"/>
              <w:jc w:val="both"/>
              <w:rPr>
                <w:rFonts w:ascii="Palatino Linotype" w:eastAsia="Palatino Linotype" w:hAnsi="Palatino Linotype" w:cs="Palatino Linotype"/>
                <w:sz w:val="20"/>
                <w:szCs w:val="20"/>
              </w:rPr>
            </w:pPr>
            <w:r w:rsidRPr="007D449B">
              <w:rPr>
                <w:rFonts w:ascii="Palatino Linotype" w:eastAsia="Palatino Linotype" w:hAnsi="Palatino Linotype" w:cs="Palatino Linotype"/>
                <w:sz w:val="20"/>
                <w:szCs w:val="20"/>
              </w:rPr>
              <w:t xml:space="preserve">Rúbrica autógrafa o firma digital de quien desclasifica. </w:t>
            </w:r>
          </w:p>
        </w:tc>
      </w:tr>
    </w:tbl>
    <w:p w14:paraId="387A0945" w14:textId="77777777" w:rsidR="000C236F" w:rsidRPr="007D449B" w:rsidRDefault="000C236F" w:rsidP="007D449B">
      <w:pPr>
        <w:shd w:val="clear" w:color="auto" w:fill="FFFFFF" w:themeFill="background1"/>
        <w:spacing w:line="360" w:lineRule="auto"/>
        <w:ind w:right="902"/>
        <w:rPr>
          <w:rFonts w:ascii="Palatino Linotype" w:eastAsia="Palatino Linotype" w:hAnsi="Palatino Linotype" w:cs="Palatino Linotype"/>
          <w:i/>
          <w:sz w:val="22"/>
          <w:szCs w:val="22"/>
        </w:rPr>
      </w:pPr>
    </w:p>
    <w:p w14:paraId="3CC27023" w14:textId="77777777" w:rsidR="000C236F" w:rsidRPr="007D449B" w:rsidRDefault="00A17FA6" w:rsidP="007D449B">
      <w:pPr>
        <w:shd w:val="clear" w:color="auto" w:fill="FFFFFF" w:themeFill="background1"/>
        <w:spacing w:line="276" w:lineRule="auto"/>
        <w:ind w:left="567" w:right="902"/>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Los documentos que integren un expediente reservado en su totalidad no deberán marcarse en lo individual.</w:t>
      </w:r>
    </w:p>
    <w:p w14:paraId="0A54C0EA" w14:textId="77777777" w:rsidR="000C236F" w:rsidRPr="007D449B" w:rsidRDefault="00A17FA6" w:rsidP="007D449B">
      <w:pPr>
        <w:shd w:val="clear" w:color="auto" w:fill="FFFFFF" w:themeFill="background1"/>
        <w:spacing w:line="276" w:lineRule="auto"/>
        <w:ind w:left="567" w:right="902"/>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Una vez desclasificados los expedientes, si existieren documentos que tuvieran el carácter de reservados deberán permanecer o ser marcados.”</w:t>
      </w:r>
    </w:p>
    <w:p w14:paraId="70798E72"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025AA986"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lastRenderedPageBreak/>
        <w:t>De igual forma, deberá observar los Lineamientos Quincuagésimo cuarto, Quincuagésimo quinto, Quincuagésimo séptimo y Quincuagésimo octavo, establecen lo siguiente:</w:t>
      </w:r>
    </w:p>
    <w:p w14:paraId="6B2621C4"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30EA3CDD" w14:textId="77777777" w:rsidR="000C236F" w:rsidRPr="007D449B" w:rsidRDefault="00A17FA6" w:rsidP="007D449B">
      <w:pPr>
        <w:pBdr>
          <w:top w:val="nil"/>
          <w:left w:val="nil"/>
          <w:bottom w:val="nil"/>
          <w:right w:val="nil"/>
          <w:between w:val="nil"/>
        </w:pBd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r w:rsidRPr="007D449B">
        <w:rPr>
          <w:rFonts w:ascii="Palatino Linotype" w:eastAsia="Palatino Linotype" w:hAnsi="Palatino Linotype" w:cs="Palatino Linotype"/>
          <w:b/>
          <w:i/>
          <w:sz w:val="22"/>
          <w:szCs w:val="22"/>
        </w:rPr>
        <w:t>Quincuagésimo cuarto.</w:t>
      </w:r>
      <w:r w:rsidRPr="007D449B">
        <w:rPr>
          <w:rFonts w:ascii="Palatino Linotype" w:eastAsia="Palatino Linotype" w:hAnsi="Palatino Linotype" w:cs="Palatino Linotype"/>
          <w:i/>
          <w:sz w:val="22"/>
          <w:szCs w:val="22"/>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52DC0FB"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Quincuagésimo quinto.</w:t>
      </w:r>
      <w:r w:rsidRPr="007D449B">
        <w:rPr>
          <w:rFonts w:ascii="Palatino Linotype" w:eastAsia="Palatino Linotype" w:hAnsi="Palatino Linotype" w:cs="Palatino Linotype"/>
          <w:i/>
          <w:sz w:val="22"/>
          <w:szCs w:val="22"/>
        </w:rPr>
        <w:t xml:space="preserve"> Cada área del sujeto obligado podrá designar formalmente a una o más personas como responsables del </w:t>
      </w:r>
      <w:proofErr w:type="spellStart"/>
      <w:r w:rsidRPr="007D449B">
        <w:rPr>
          <w:rFonts w:ascii="Palatino Linotype" w:eastAsia="Palatino Linotype" w:hAnsi="Palatino Linotype" w:cs="Palatino Linotype"/>
          <w:i/>
          <w:sz w:val="22"/>
          <w:szCs w:val="22"/>
        </w:rPr>
        <w:t>testado</w:t>
      </w:r>
      <w:proofErr w:type="spellEnd"/>
      <w:r w:rsidRPr="007D449B">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75116BA"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w:t>
      </w:r>
    </w:p>
    <w:p w14:paraId="2CE1CA98"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b/>
          <w:i/>
          <w:sz w:val="22"/>
          <w:szCs w:val="22"/>
        </w:rPr>
        <w:t>Quincuagésimo séptimo.</w:t>
      </w:r>
      <w:r w:rsidRPr="007D449B">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6D25E7B5"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I. La relativa a las Obligaciones de Transparencia que contempla el Título V de la Ley General y las demás disposiciones legales aplicables; </w:t>
      </w:r>
    </w:p>
    <w:p w14:paraId="6236F753"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II. El nombre de los integrantes de los sujetos obligados en los documentos, y sus firmas autógrafas o digitales, cuando sean utilizados en el ejercicio de las facultades conferidas para el desempeño del servicio público, y</w:t>
      </w:r>
    </w:p>
    <w:p w14:paraId="71BB0CA2"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2FE088C1"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53EB2F26" w14:textId="77777777" w:rsidR="000C236F" w:rsidRPr="007D449B" w:rsidRDefault="00A17FA6"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Quincuagésimo octavo. Los sujetos obligados garantizarán que los sistemas o medios empleados para eliminar la información en las versiones públicas sean irreversibles, de tal forma que no permitan su recuperación o la visualización de la misma.”</w:t>
      </w:r>
    </w:p>
    <w:p w14:paraId="007CB93F" w14:textId="77777777" w:rsidR="000C236F" w:rsidRPr="007D449B" w:rsidRDefault="000C236F" w:rsidP="007D449B">
      <w:pPr>
        <w:shd w:val="clear" w:color="auto" w:fill="FFFFFF" w:themeFill="background1"/>
        <w:spacing w:line="276" w:lineRule="auto"/>
        <w:ind w:left="567" w:right="616"/>
        <w:jc w:val="both"/>
        <w:rPr>
          <w:rFonts w:ascii="Palatino Linotype" w:eastAsia="Palatino Linotype" w:hAnsi="Palatino Linotype" w:cs="Palatino Linotype"/>
          <w:i/>
          <w:sz w:val="22"/>
          <w:szCs w:val="22"/>
        </w:rPr>
      </w:pPr>
    </w:p>
    <w:p w14:paraId="4BDB63B4"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lastRenderedPageBreak/>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3A8CC49D"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455F8045"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Es así como, en mérito de lo expuesto en líneas anteriores, se </w:t>
      </w:r>
      <w:r w:rsidRPr="007D449B">
        <w:rPr>
          <w:rFonts w:ascii="Palatino Linotype" w:eastAsia="Palatino Linotype" w:hAnsi="Palatino Linotype" w:cs="Palatino Linotype"/>
          <w:b/>
        </w:rPr>
        <w:t xml:space="preserve">CONFIRMA la respuesta emitida en </w:t>
      </w:r>
      <w:r w:rsidRPr="007D449B">
        <w:rPr>
          <w:rFonts w:ascii="Palatino Linotype" w:eastAsia="Palatino Linotype" w:hAnsi="Palatino Linotype" w:cs="Palatino Linotype"/>
        </w:rPr>
        <w:t xml:space="preserve">el Recurso de Revisión número </w:t>
      </w:r>
      <w:r w:rsidRPr="007D449B">
        <w:rPr>
          <w:rFonts w:ascii="Palatino Linotype" w:eastAsia="Palatino Linotype" w:hAnsi="Palatino Linotype" w:cs="Palatino Linotype"/>
          <w:b/>
        </w:rPr>
        <w:t>00844/INFOEM/IP/RR/2023</w:t>
      </w:r>
      <w:r w:rsidRPr="007D449B">
        <w:rPr>
          <w:rFonts w:ascii="Palatino Linotype" w:eastAsia="Palatino Linotype" w:hAnsi="Palatino Linotype" w:cs="Palatino Linotype"/>
        </w:rPr>
        <w:t xml:space="preserve">. </w:t>
      </w:r>
    </w:p>
    <w:p w14:paraId="7BC8AA9C"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5C4610D1"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Por otro lado, resultan fundadas las razones o motivos de inconformidad hechos valer por la persona Recurrente dentro del recurso de revisión </w:t>
      </w:r>
      <w:r w:rsidRPr="007D449B">
        <w:rPr>
          <w:rFonts w:ascii="Palatino Linotype" w:eastAsia="Palatino Linotype" w:hAnsi="Palatino Linotype" w:cs="Palatino Linotype"/>
          <w:b/>
        </w:rPr>
        <w:t>01043/INFOEM/IP/RR/2023</w:t>
      </w:r>
      <w:r w:rsidRPr="007D449B">
        <w:rPr>
          <w:rFonts w:ascii="Palatino Linotype" w:eastAsia="Palatino Linotype" w:hAnsi="Palatino Linotype" w:cs="Palatino Linotype"/>
        </w:rPr>
        <w:t>; por ello y, con fundamento en la fracción III del numeral 186 de la Ley de Transparencia y Acceso a la Información Pública del Estado de México y Municipios, se</w:t>
      </w:r>
      <w:r w:rsidRPr="007D449B">
        <w:rPr>
          <w:rFonts w:ascii="Palatino Linotype" w:eastAsia="Palatino Linotype" w:hAnsi="Palatino Linotype" w:cs="Palatino Linotype"/>
          <w:b/>
        </w:rPr>
        <w:t xml:space="preserve"> MODIFICA </w:t>
      </w:r>
      <w:r w:rsidRPr="007D449B">
        <w:rPr>
          <w:rFonts w:ascii="Palatino Linotype" w:eastAsia="Palatino Linotype" w:hAnsi="Palatino Linotype" w:cs="Palatino Linotype"/>
        </w:rPr>
        <w:t xml:space="preserve">la respuesta emitida por el Sujeto Obligado. </w:t>
      </w:r>
    </w:p>
    <w:p w14:paraId="06FFFC5E"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b/>
        </w:rPr>
      </w:pPr>
    </w:p>
    <w:p w14:paraId="25815ED8" w14:textId="77777777" w:rsidR="000C236F" w:rsidRPr="007D449B" w:rsidRDefault="00A17FA6" w:rsidP="007D449B">
      <w:pPr>
        <w:shd w:val="clear" w:color="auto" w:fill="FFFFFF" w:themeFill="background1"/>
        <w:tabs>
          <w:tab w:val="left" w:pos="709"/>
        </w:tabs>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rPr>
        <w:t xml:space="preserve">Así, con fundamento en lo prescrito en los artículos 5 párrafos trigésimo segundo, trigésimo tercero y trigésimo cuarto fracciones IV y V de la Constitución Política del Estado Libre y Soberano de México; 2, fracción II; 29, 36 fracciones I y II; 176, 178, 181, </w:t>
      </w:r>
      <w:r w:rsidRPr="007D449B">
        <w:rPr>
          <w:rFonts w:ascii="Palatino Linotype" w:eastAsia="Palatino Linotype" w:hAnsi="Palatino Linotype" w:cs="Palatino Linotype"/>
        </w:rPr>
        <w:lastRenderedPageBreak/>
        <w:t>185, fracción I, 186 y 188 de la Ley de Transparencia y Acceso a la Información Pública del Estado de México y Municipios, este Pleno:</w:t>
      </w:r>
    </w:p>
    <w:p w14:paraId="6F203CE3" w14:textId="77777777" w:rsidR="000C236F" w:rsidRPr="007D449B" w:rsidRDefault="000C236F" w:rsidP="007D449B">
      <w:pPr>
        <w:shd w:val="clear" w:color="auto" w:fill="FFFFFF" w:themeFill="background1"/>
        <w:tabs>
          <w:tab w:val="left" w:pos="709"/>
        </w:tabs>
        <w:spacing w:line="360" w:lineRule="auto"/>
        <w:jc w:val="both"/>
        <w:rPr>
          <w:rFonts w:ascii="Palatino Linotype" w:eastAsia="Palatino Linotype" w:hAnsi="Palatino Linotype" w:cs="Palatino Linotype"/>
        </w:rPr>
      </w:pPr>
    </w:p>
    <w:p w14:paraId="42CCC80D" w14:textId="77777777" w:rsidR="000C236F" w:rsidRPr="007D449B" w:rsidRDefault="00A17FA6" w:rsidP="007D449B">
      <w:pPr>
        <w:shd w:val="clear" w:color="auto" w:fill="FFFFFF" w:themeFill="background1"/>
        <w:spacing w:line="360" w:lineRule="auto"/>
        <w:ind w:right="49"/>
        <w:jc w:val="center"/>
        <w:rPr>
          <w:rFonts w:ascii="Palatino Linotype" w:eastAsia="Palatino Linotype" w:hAnsi="Palatino Linotype" w:cs="Palatino Linotype"/>
          <w:b/>
        </w:rPr>
      </w:pPr>
      <w:r w:rsidRPr="007D449B">
        <w:rPr>
          <w:rFonts w:ascii="Palatino Linotype" w:eastAsia="Palatino Linotype" w:hAnsi="Palatino Linotype" w:cs="Palatino Linotype"/>
          <w:b/>
        </w:rPr>
        <w:t>III. R E S U E L V E:</w:t>
      </w:r>
    </w:p>
    <w:p w14:paraId="452370AA" w14:textId="77777777" w:rsidR="000C236F" w:rsidRPr="007D449B" w:rsidRDefault="000C236F" w:rsidP="007D449B">
      <w:pPr>
        <w:shd w:val="clear" w:color="auto" w:fill="FFFFFF" w:themeFill="background1"/>
        <w:spacing w:line="360" w:lineRule="auto"/>
        <w:ind w:right="49"/>
        <w:jc w:val="center"/>
        <w:rPr>
          <w:rFonts w:ascii="Palatino Linotype" w:eastAsia="Palatino Linotype" w:hAnsi="Palatino Linotype" w:cs="Palatino Linotype"/>
          <w:b/>
        </w:rPr>
      </w:pPr>
    </w:p>
    <w:p w14:paraId="7BA610B5"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r w:rsidRPr="007D449B">
        <w:rPr>
          <w:rFonts w:ascii="Palatino Linotype" w:eastAsia="Palatino Linotype" w:hAnsi="Palatino Linotype" w:cs="Palatino Linotype"/>
          <w:b/>
        </w:rPr>
        <w:t xml:space="preserve">Primero. </w:t>
      </w:r>
      <w:r w:rsidRPr="007D449B">
        <w:rPr>
          <w:rFonts w:ascii="Palatino Linotype" w:eastAsia="Palatino Linotype" w:hAnsi="Palatino Linotype" w:cs="Palatino Linotype"/>
        </w:rPr>
        <w:t xml:space="preserve">Resultan </w:t>
      </w:r>
      <w:r w:rsidRPr="007D449B">
        <w:rPr>
          <w:rFonts w:ascii="Palatino Linotype" w:eastAsia="Palatino Linotype" w:hAnsi="Palatino Linotype" w:cs="Palatino Linotype"/>
          <w:b/>
        </w:rPr>
        <w:t>INFUNDADOS</w:t>
      </w:r>
      <w:r w:rsidRPr="007D449B">
        <w:rPr>
          <w:rFonts w:ascii="Palatino Linotype" w:eastAsia="Palatino Linotype" w:hAnsi="Palatino Linotype" w:cs="Palatino Linotype"/>
        </w:rPr>
        <w:t xml:space="preserve"> los motivos de inconformidad hechos valer por la persona </w:t>
      </w:r>
      <w:r w:rsidRPr="007D449B">
        <w:rPr>
          <w:rFonts w:ascii="Palatino Linotype" w:eastAsia="Palatino Linotype" w:hAnsi="Palatino Linotype" w:cs="Palatino Linotype"/>
          <w:b/>
        </w:rPr>
        <w:t xml:space="preserve">RECURRENTE </w:t>
      </w:r>
      <w:r w:rsidRPr="007D449B">
        <w:rPr>
          <w:rFonts w:ascii="Palatino Linotype" w:eastAsia="Palatino Linotype" w:hAnsi="Palatino Linotype" w:cs="Palatino Linotype"/>
        </w:rPr>
        <w:t xml:space="preserve">por lo que se </w:t>
      </w:r>
      <w:r w:rsidRPr="007D449B">
        <w:rPr>
          <w:rFonts w:ascii="Palatino Linotype" w:eastAsia="Palatino Linotype" w:hAnsi="Palatino Linotype" w:cs="Palatino Linotype"/>
          <w:b/>
        </w:rPr>
        <w:t xml:space="preserve">CONFIRMA </w:t>
      </w:r>
      <w:r w:rsidRPr="007D449B">
        <w:rPr>
          <w:rFonts w:ascii="Palatino Linotype" w:eastAsia="Palatino Linotype" w:hAnsi="Palatino Linotype" w:cs="Palatino Linotype"/>
        </w:rPr>
        <w:t>la respuesta emitida en</w:t>
      </w:r>
      <w:r w:rsidRPr="007D449B">
        <w:rPr>
          <w:rFonts w:ascii="Palatino Linotype" w:eastAsia="Palatino Linotype" w:hAnsi="Palatino Linotype" w:cs="Palatino Linotype"/>
          <w:b/>
        </w:rPr>
        <w:t xml:space="preserve"> </w:t>
      </w:r>
      <w:r w:rsidRPr="007D449B">
        <w:rPr>
          <w:rFonts w:ascii="Palatino Linotype" w:eastAsia="Palatino Linotype" w:hAnsi="Palatino Linotype" w:cs="Palatino Linotype"/>
        </w:rPr>
        <w:t>el recurso de revisión número</w:t>
      </w:r>
      <w:r w:rsidRPr="007D449B">
        <w:rPr>
          <w:rFonts w:ascii="Palatino Linotype" w:eastAsia="Palatino Linotype" w:hAnsi="Palatino Linotype" w:cs="Palatino Linotype"/>
          <w:b/>
        </w:rPr>
        <w:t xml:space="preserve"> 00844/INFOEM/IP/RR/2023</w:t>
      </w:r>
      <w:r w:rsidRPr="007D449B">
        <w:rPr>
          <w:rFonts w:ascii="Palatino Linotype" w:eastAsia="Palatino Linotype" w:hAnsi="Palatino Linotype" w:cs="Palatino Linotype"/>
        </w:rPr>
        <w:t xml:space="preserve">, en términos del </w:t>
      </w:r>
      <w:r w:rsidRPr="007D449B">
        <w:rPr>
          <w:rFonts w:ascii="Palatino Linotype" w:eastAsia="Palatino Linotype" w:hAnsi="Palatino Linotype" w:cs="Palatino Linotype"/>
          <w:b/>
        </w:rPr>
        <w:t xml:space="preserve">Considerando Cuarto </w:t>
      </w:r>
      <w:r w:rsidRPr="007D449B">
        <w:rPr>
          <w:rFonts w:ascii="Palatino Linotype" w:eastAsia="Palatino Linotype" w:hAnsi="Palatino Linotype" w:cs="Palatino Linotype"/>
        </w:rPr>
        <w:t>de la presente resolución.</w:t>
      </w:r>
    </w:p>
    <w:p w14:paraId="2CDBDFA0"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b/>
        </w:rPr>
      </w:pPr>
    </w:p>
    <w:p w14:paraId="0A1EB7F3"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b/>
        </w:rPr>
      </w:pPr>
      <w:r w:rsidRPr="007D449B">
        <w:rPr>
          <w:rFonts w:ascii="Palatino Linotype" w:eastAsia="Palatino Linotype" w:hAnsi="Palatino Linotype" w:cs="Palatino Linotype"/>
          <w:b/>
        </w:rPr>
        <w:t xml:space="preserve">Segundo. </w:t>
      </w:r>
      <w:r w:rsidRPr="007D449B">
        <w:rPr>
          <w:rFonts w:ascii="Palatino Linotype" w:eastAsia="Palatino Linotype" w:hAnsi="Palatino Linotype" w:cs="Palatino Linotype"/>
        </w:rPr>
        <w:t xml:space="preserve">Resultan </w:t>
      </w:r>
      <w:r w:rsidRPr="007D449B">
        <w:rPr>
          <w:rFonts w:ascii="Palatino Linotype" w:eastAsia="Palatino Linotype" w:hAnsi="Palatino Linotype" w:cs="Palatino Linotype"/>
          <w:b/>
        </w:rPr>
        <w:t>FUNDADOS</w:t>
      </w:r>
      <w:r w:rsidRPr="007D449B">
        <w:rPr>
          <w:rFonts w:ascii="Palatino Linotype" w:eastAsia="Palatino Linotype" w:hAnsi="Palatino Linotype" w:cs="Palatino Linotype"/>
        </w:rPr>
        <w:t xml:space="preserve"> los motivos de inconformidad hechos valer por la persona </w:t>
      </w:r>
      <w:r w:rsidRPr="007D449B">
        <w:rPr>
          <w:rFonts w:ascii="Palatino Linotype" w:eastAsia="Palatino Linotype" w:hAnsi="Palatino Linotype" w:cs="Palatino Linotype"/>
          <w:b/>
        </w:rPr>
        <w:t>RECURRENTE</w:t>
      </w:r>
      <w:r w:rsidRPr="007D449B">
        <w:rPr>
          <w:rFonts w:ascii="Palatino Linotype" w:eastAsia="Palatino Linotype" w:hAnsi="Palatino Linotype" w:cs="Palatino Linotype"/>
        </w:rPr>
        <w:t xml:space="preserve"> en el Recurso de Revisión </w:t>
      </w:r>
      <w:r w:rsidRPr="007D449B">
        <w:rPr>
          <w:rFonts w:ascii="Palatino Linotype" w:eastAsia="Palatino Linotype" w:hAnsi="Palatino Linotype" w:cs="Palatino Linotype"/>
          <w:b/>
        </w:rPr>
        <w:t>01043/INFOEM/IP/RR/2023</w:t>
      </w:r>
      <w:r w:rsidRPr="007D449B">
        <w:rPr>
          <w:rFonts w:ascii="Palatino Linotype" w:eastAsia="Palatino Linotype" w:hAnsi="Palatino Linotype" w:cs="Palatino Linotype"/>
        </w:rPr>
        <w:t xml:space="preserve">, por lo que, en términos del </w:t>
      </w:r>
      <w:r w:rsidRPr="007D449B">
        <w:rPr>
          <w:rFonts w:ascii="Palatino Linotype" w:eastAsia="Palatino Linotype" w:hAnsi="Palatino Linotype" w:cs="Palatino Linotype"/>
          <w:b/>
        </w:rPr>
        <w:t>Considerando Cuarto</w:t>
      </w:r>
      <w:r w:rsidRPr="007D449B">
        <w:rPr>
          <w:rFonts w:ascii="Palatino Linotype" w:eastAsia="Palatino Linotype" w:hAnsi="Palatino Linotype" w:cs="Palatino Linotype"/>
        </w:rPr>
        <w:t xml:space="preserve"> de esta resolución, se </w:t>
      </w:r>
      <w:r w:rsidRPr="007D449B">
        <w:rPr>
          <w:rFonts w:ascii="Palatino Linotype" w:eastAsia="Palatino Linotype" w:hAnsi="Palatino Linotype" w:cs="Palatino Linotype"/>
          <w:b/>
        </w:rPr>
        <w:t>MODIFICA</w:t>
      </w:r>
      <w:r w:rsidRPr="007D449B">
        <w:rPr>
          <w:rFonts w:ascii="Palatino Linotype" w:eastAsia="Palatino Linotype" w:hAnsi="Palatino Linotype" w:cs="Palatino Linotype"/>
        </w:rPr>
        <w:t xml:space="preserve"> la respuesta emitida por el </w:t>
      </w:r>
      <w:r w:rsidRPr="007D449B">
        <w:rPr>
          <w:rFonts w:ascii="Palatino Linotype" w:eastAsia="Palatino Linotype" w:hAnsi="Palatino Linotype" w:cs="Palatino Linotype"/>
          <w:b/>
        </w:rPr>
        <w:t>SUJETO OBLIGADO</w:t>
      </w:r>
      <w:r w:rsidRPr="007D449B">
        <w:rPr>
          <w:rFonts w:ascii="Palatino Linotype" w:eastAsia="Palatino Linotype" w:hAnsi="Palatino Linotype" w:cs="Palatino Linotype"/>
        </w:rPr>
        <w:t>.</w:t>
      </w:r>
    </w:p>
    <w:p w14:paraId="578388F1"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6C297112"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b/>
        </w:rPr>
        <w:t>Tercero</w:t>
      </w:r>
      <w:r w:rsidRPr="007D449B">
        <w:rPr>
          <w:rFonts w:ascii="Palatino Linotype" w:eastAsia="Palatino Linotype" w:hAnsi="Palatino Linotype" w:cs="Palatino Linotype"/>
        </w:rPr>
        <w:t xml:space="preserve">. Se </w:t>
      </w:r>
      <w:r w:rsidRPr="007D449B">
        <w:rPr>
          <w:rFonts w:ascii="Palatino Linotype" w:eastAsia="Palatino Linotype" w:hAnsi="Palatino Linotype" w:cs="Palatino Linotype"/>
          <w:b/>
        </w:rPr>
        <w:t>ORDENA</w:t>
      </w:r>
      <w:r w:rsidRPr="007D449B">
        <w:rPr>
          <w:rFonts w:ascii="Palatino Linotype" w:eastAsia="Palatino Linotype" w:hAnsi="Palatino Linotype" w:cs="Palatino Linotype"/>
        </w:rPr>
        <w:t xml:space="preserve"> al </w:t>
      </w:r>
      <w:r w:rsidRPr="007D449B">
        <w:rPr>
          <w:rFonts w:ascii="Palatino Linotype" w:eastAsia="Palatino Linotype" w:hAnsi="Palatino Linotype" w:cs="Palatino Linotype"/>
          <w:b/>
        </w:rPr>
        <w:t>SUJETO OBLIGADO</w:t>
      </w:r>
      <w:r w:rsidRPr="007D449B">
        <w:rPr>
          <w:rFonts w:ascii="Palatino Linotype" w:eastAsia="Palatino Linotype" w:hAnsi="Palatino Linotype" w:cs="Palatino Linotype"/>
        </w:rPr>
        <w:t xml:space="preserve"> a que, en términos del </w:t>
      </w:r>
      <w:r w:rsidRPr="007D449B">
        <w:rPr>
          <w:rFonts w:ascii="Palatino Linotype" w:eastAsia="Palatino Linotype" w:hAnsi="Palatino Linotype" w:cs="Palatino Linotype"/>
          <w:b/>
        </w:rPr>
        <w:t>Considerando Cuarto y Quinto</w:t>
      </w:r>
      <w:r w:rsidRPr="007D449B">
        <w:rPr>
          <w:rFonts w:ascii="Palatino Linotype" w:eastAsia="Palatino Linotype" w:hAnsi="Palatino Linotype" w:cs="Palatino Linotype"/>
        </w:rPr>
        <w:t xml:space="preserve">, haga entrega, vía Sistema de Acceso a la Información Mexiquense, en versión pública correcta, de la siguiente información: </w:t>
      </w:r>
    </w:p>
    <w:p w14:paraId="0CE3B27C"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1642E4BD" w14:textId="77777777" w:rsidR="000C236F" w:rsidRPr="007D449B" w:rsidRDefault="00A17FA6" w:rsidP="007D449B">
      <w:pPr>
        <w:numPr>
          <w:ilvl w:val="0"/>
          <w:numId w:val="6"/>
        </w:numPr>
        <w:pBdr>
          <w:top w:val="nil"/>
          <w:left w:val="nil"/>
          <w:bottom w:val="nil"/>
          <w:right w:val="nil"/>
          <w:between w:val="nil"/>
        </w:pBdr>
        <w:shd w:val="clear" w:color="auto" w:fill="FFFFFF" w:themeFill="background1"/>
        <w:spacing w:line="360" w:lineRule="auto"/>
        <w:ind w:right="567"/>
        <w:jc w:val="both"/>
        <w:rPr>
          <w:rFonts w:ascii="Palatino Linotype" w:eastAsia="Palatino Linotype" w:hAnsi="Palatino Linotype" w:cs="Palatino Linotype"/>
          <w:b/>
          <w:sz w:val="22"/>
          <w:szCs w:val="22"/>
        </w:rPr>
      </w:pPr>
      <w:r w:rsidRPr="007D449B">
        <w:rPr>
          <w:rFonts w:ascii="Palatino Linotype" w:eastAsia="Palatino Linotype" w:hAnsi="Palatino Linotype" w:cs="Palatino Linotype"/>
          <w:b/>
          <w:sz w:val="22"/>
          <w:szCs w:val="22"/>
        </w:rPr>
        <w:t xml:space="preserve">Los convenios firmados por el </w:t>
      </w:r>
      <w:proofErr w:type="gramStart"/>
      <w:r w:rsidRPr="007D449B">
        <w:rPr>
          <w:rFonts w:ascii="Palatino Linotype" w:eastAsia="Palatino Linotype" w:hAnsi="Palatino Linotype" w:cs="Palatino Linotype"/>
          <w:b/>
          <w:sz w:val="22"/>
          <w:szCs w:val="22"/>
        </w:rPr>
        <w:t>Secretario</w:t>
      </w:r>
      <w:proofErr w:type="gramEnd"/>
      <w:r w:rsidRPr="007D449B">
        <w:rPr>
          <w:rFonts w:ascii="Palatino Linotype" w:eastAsia="Palatino Linotype" w:hAnsi="Palatino Linotype" w:cs="Palatino Linotype"/>
          <w:b/>
          <w:sz w:val="22"/>
          <w:szCs w:val="22"/>
        </w:rPr>
        <w:t xml:space="preserve"> de Movilidad y el Secretario de Comunicaciones del doce de enero de dos mil dieciocho al doce de enero de dos mil veintitrés. </w:t>
      </w:r>
    </w:p>
    <w:p w14:paraId="1F4DE826" w14:textId="77777777" w:rsidR="000C236F" w:rsidRPr="007D449B" w:rsidRDefault="000C236F" w:rsidP="007D449B">
      <w:pPr>
        <w:pBdr>
          <w:top w:val="nil"/>
          <w:left w:val="nil"/>
          <w:bottom w:val="nil"/>
          <w:right w:val="nil"/>
          <w:between w:val="nil"/>
        </w:pBdr>
        <w:shd w:val="clear" w:color="auto" w:fill="FFFFFF" w:themeFill="background1"/>
        <w:tabs>
          <w:tab w:val="left" w:pos="567"/>
          <w:tab w:val="left" w:pos="993"/>
        </w:tabs>
        <w:spacing w:line="276" w:lineRule="auto"/>
        <w:ind w:left="720" w:right="616"/>
        <w:jc w:val="both"/>
        <w:rPr>
          <w:rFonts w:ascii="Palatino Linotype" w:eastAsia="Palatino Linotype" w:hAnsi="Palatino Linotype" w:cs="Palatino Linotype"/>
          <w:i/>
          <w:sz w:val="22"/>
          <w:szCs w:val="22"/>
        </w:rPr>
      </w:pPr>
    </w:p>
    <w:p w14:paraId="0ACFCA35" w14:textId="77777777" w:rsidR="000C236F" w:rsidRPr="007D449B" w:rsidRDefault="00A17FA6" w:rsidP="007D449B">
      <w:pPr>
        <w:pBdr>
          <w:top w:val="nil"/>
          <w:left w:val="nil"/>
          <w:bottom w:val="nil"/>
          <w:right w:val="nil"/>
          <w:between w:val="nil"/>
        </w:pBdr>
        <w:shd w:val="clear" w:color="auto" w:fill="FFFFFF" w:themeFill="background1"/>
        <w:tabs>
          <w:tab w:val="left" w:pos="567"/>
          <w:tab w:val="left" w:pos="993"/>
        </w:tabs>
        <w:spacing w:line="276" w:lineRule="auto"/>
        <w:ind w:left="720" w:right="616"/>
        <w:jc w:val="both"/>
        <w:rPr>
          <w:rFonts w:ascii="Palatino Linotype" w:eastAsia="Palatino Linotype" w:hAnsi="Palatino Linotype" w:cs="Palatino Linotype"/>
          <w:i/>
          <w:sz w:val="22"/>
          <w:szCs w:val="22"/>
        </w:rPr>
      </w:pPr>
      <w:r w:rsidRPr="007D449B">
        <w:rPr>
          <w:rFonts w:ascii="Palatino Linotype" w:eastAsia="Palatino Linotype" w:hAnsi="Palatino Linotype" w:cs="Palatino Linotype"/>
          <w:i/>
          <w:sz w:val="22"/>
          <w:szCs w:val="22"/>
        </w:rPr>
        <w:t xml:space="preserve">Deberá emitir el Acuerdo del Comité de Transparencia de conformidad con la Ley de Transparencia y Acceso a la Información Pública del Estado de México y Municipios, </w:t>
      </w:r>
      <w:r w:rsidRPr="007D449B">
        <w:rPr>
          <w:rFonts w:ascii="Palatino Linotype" w:eastAsia="Palatino Linotype" w:hAnsi="Palatino Linotype" w:cs="Palatino Linotype"/>
          <w:i/>
          <w:sz w:val="22"/>
          <w:szCs w:val="22"/>
        </w:rPr>
        <w:lastRenderedPageBreak/>
        <w:t>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608D02E8" w14:textId="77777777" w:rsidR="000C236F" w:rsidRPr="007D449B" w:rsidRDefault="000C236F" w:rsidP="007D449B">
      <w:pPr>
        <w:shd w:val="clear" w:color="auto" w:fill="FFFFFF" w:themeFill="background1"/>
        <w:tabs>
          <w:tab w:val="left" w:pos="8400"/>
        </w:tabs>
        <w:spacing w:line="360" w:lineRule="auto"/>
        <w:ind w:right="-28"/>
        <w:jc w:val="both"/>
        <w:rPr>
          <w:rFonts w:ascii="Palatino Linotype" w:eastAsia="Palatino Linotype" w:hAnsi="Palatino Linotype" w:cs="Palatino Linotype"/>
        </w:rPr>
      </w:pPr>
    </w:p>
    <w:p w14:paraId="1CB56C34"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b/>
        </w:rPr>
        <w:t>Cuarto.</w:t>
      </w:r>
      <w:r w:rsidRPr="007D449B">
        <w:rPr>
          <w:rFonts w:ascii="Palatino Linotype" w:eastAsia="Palatino Linotype" w:hAnsi="Palatino Linotype" w:cs="Palatino Linotype"/>
        </w:rPr>
        <w:t xml:space="preserve"> </w:t>
      </w:r>
      <w:r w:rsidRPr="007D449B">
        <w:rPr>
          <w:rFonts w:ascii="Palatino Linotype" w:eastAsia="Palatino Linotype" w:hAnsi="Palatino Linotype" w:cs="Palatino Linotype"/>
          <w:b/>
        </w:rPr>
        <w:t xml:space="preserve">Notifíquese </w:t>
      </w:r>
      <w:r w:rsidRPr="007D449B">
        <w:rPr>
          <w:rFonts w:ascii="Palatino Linotype" w:eastAsia="Palatino Linotype" w:hAnsi="Palatino Linotype" w:cs="Palatino Linotype"/>
        </w:rPr>
        <w:t>la presente resolución al T</w:t>
      </w:r>
      <w:r w:rsidRPr="007D449B">
        <w:rPr>
          <w:rFonts w:ascii="Palatino Linotype" w:eastAsia="Palatino Linotype" w:hAnsi="Palatino Linotype" w:cs="Palatino Linotype"/>
          <w:b/>
        </w:rPr>
        <w:t xml:space="preserve">itular de la Unidad de Transparencia </w:t>
      </w:r>
      <w:r w:rsidRPr="007D449B">
        <w:rPr>
          <w:rFonts w:ascii="Palatino Linotype" w:eastAsia="Palatino Linotype" w:hAnsi="Palatino Linotype" w:cs="Palatino Linotype"/>
        </w:rPr>
        <w:t xml:space="preserve">del </w:t>
      </w:r>
      <w:r w:rsidRPr="007D449B">
        <w:rPr>
          <w:rFonts w:ascii="Palatino Linotype" w:eastAsia="Palatino Linotype" w:hAnsi="Palatino Linotype" w:cs="Palatino Linotype"/>
          <w:b/>
        </w:rPr>
        <w:t>SUJETO OBLIGADO</w:t>
      </w:r>
      <w:r w:rsidRPr="007D449B">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704CC45"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b/>
        </w:rPr>
      </w:pPr>
    </w:p>
    <w:p w14:paraId="0E1D7AEA"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strike/>
        </w:rPr>
      </w:pPr>
      <w:r w:rsidRPr="007D449B">
        <w:rPr>
          <w:rFonts w:ascii="Palatino Linotype" w:eastAsia="Palatino Linotype" w:hAnsi="Palatino Linotype" w:cs="Palatino Linotype"/>
          <w:b/>
        </w:rPr>
        <w:t>Quinto.</w:t>
      </w:r>
      <w:r w:rsidRPr="007D449B">
        <w:rPr>
          <w:rFonts w:ascii="Palatino Linotype" w:eastAsia="Palatino Linotype" w:hAnsi="Palatino Linotype" w:cs="Palatino Linotype"/>
        </w:rPr>
        <w:t xml:space="preserve"> </w:t>
      </w:r>
      <w:r w:rsidRPr="007D449B">
        <w:rPr>
          <w:rFonts w:ascii="Palatino Linotype" w:eastAsia="Palatino Linotype" w:hAnsi="Palatino Linotype" w:cs="Palatino Linotype"/>
          <w:b/>
        </w:rPr>
        <w:t>Notifíquese vía SAIMEX</w:t>
      </w:r>
      <w:r w:rsidRPr="007D449B">
        <w:rPr>
          <w:rFonts w:ascii="Palatino Linotype" w:eastAsia="Palatino Linotype" w:hAnsi="Palatino Linotype" w:cs="Palatino Linotype"/>
        </w:rPr>
        <w:t xml:space="preserve"> a la parte </w:t>
      </w:r>
      <w:r w:rsidRPr="007D449B">
        <w:rPr>
          <w:rFonts w:ascii="Palatino Linotype" w:eastAsia="Palatino Linotype" w:hAnsi="Palatino Linotype" w:cs="Palatino Linotype"/>
          <w:b/>
        </w:rPr>
        <w:t xml:space="preserve">RECURRENTE </w:t>
      </w:r>
      <w:r w:rsidRPr="007D449B">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14:paraId="1C0122A0" w14:textId="77777777" w:rsidR="000C236F" w:rsidRPr="007D449B" w:rsidRDefault="000C236F" w:rsidP="007D449B">
      <w:pPr>
        <w:shd w:val="clear" w:color="auto" w:fill="FFFFFF" w:themeFill="background1"/>
        <w:spacing w:line="360" w:lineRule="auto"/>
        <w:ind w:right="49"/>
        <w:jc w:val="both"/>
        <w:rPr>
          <w:rFonts w:ascii="Palatino Linotype" w:eastAsia="Palatino Linotype" w:hAnsi="Palatino Linotype" w:cs="Palatino Linotype"/>
        </w:rPr>
      </w:pPr>
    </w:p>
    <w:p w14:paraId="729A0FC4" w14:textId="77777777" w:rsidR="000C236F" w:rsidRPr="007D449B" w:rsidRDefault="00A17FA6" w:rsidP="007D449B">
      <w:pPr>
        <w:shd w:val="clear" w:color="auto" w:fill="FFFFFF" w:themeFill="background1"/>
        <w:spacing w:line="360" w:lineRule="auto"/>
        <w:ind w:right="49"/>
        <w:jc w:val="both"/>
        <w:rPr>
          <w:rFonts w:ascii="Palatino Linotype" w:eastAsia="Palatino Linotype" w:hAnsi="Palatino Linotype" w:cs="Palatino Linotype"/>
        </w:rPr>
      </w:pPr>
      <w:r w:rsidRPr="007D449B">
        <w:rPr>
          <w:rFonts w:ascii="Palatino Linotype" w:eastAsia="Palatino Linotype" w:hAnsi="Palatino Linotype" w:cs="Palatino Linotype"/>
          <w:b/>
        </w:rPr>
        <w:t>Sexto.</w:t>
      </w:r>
      <w:r w:rsidRPr="007D449B">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w:t>
      </w:r>
      <w:r w:rsidRPr="007D449B">
        <w:rPr>
          <w:rFonts w:ascii="Palatino Linotype" w:eastAsia="Palatino Linotype" w:hAnsi="Palatino Linotype" w:cs="Palatino Linotype"/>
        </w:rPr>
        <w:lastRenderedPageBreak/>
        <w:t xml:space="preserve">el </w:t>
      </w:r>
      <w:r w:rsidRPr="007D449B">
        <w:rPr>
          <w:rFonts w:ascii="Palatino Linotype" w:eastAsia="Palatino Linotype" w:hAnsi="Palatino Linotype" w:cs="Palatino Linotype"/>
          <w:b/>
        </w:rPr>
        <w:t>SUJETO OBLIGADO</w:t>
      </w:r>
      <w:r w:rsidRPr="007D449B">
        <w:rPr>
          <w:rFonts w:ascii="Palatino Linotype" w:eastAsia="Palatino Linotype" w:hAnsi="Palatino Linotype" w:cs="Palatino Linotype"/>
        </w:rPr>
        <w:t xml:space="preserve"> de manera fundada y motivada, podrá solicitar una ampliación de plazo para el cumplimiento de la presente resolución.</w:t>
      </w:r>
    </w:p>
    <w:p w14:paraId="1B5BC286" w14:textId="77777777" w:rsidR="000C236F" w:rsidRPr="007D449B" w:rsidRDefault="000C236F" w:rsidP="007D449B">
      <w:pPr>
        <w:shd w:val="clear" w:color="auto" w:fill="FFFFFF" w:themeFill="background1"/>
        <w:spacing w:line="360" w:lineRule="auto"/>
        <w:jc w:val="both"/>
        <w:rPr>
          <w:rFonts w:ascii="Palatino Linotype" w:eastAsia="Palatino Linotype" w:hAnsi="Palatino Linotype" w:cs="Palatino Linotype"/>
        </w:rPr>
      </w:pPr>
    </w:p>
    <w:p w14:paraId="2A424CF2" w14:textId="77777777" w:rsidR="000C236F" w:rsidRPr="007D449B" w:rsidRDefault="00A17FA6" w:rsidP="007D449B">
      <w:pPr>
        <w:shd w:val="clear" w:color="auto" w:fill="FFFFFF" w:themeFill="background1"/>
        <w:spacing w:line="360" w:lineRule="auto"/>
        <w:jc w:val="both"/>
        <w:rPr>
          <w:rFonts w:ascii="Palatino Linotype" w:eastAsia="Palatino Linotype" w:hAnsi="Palatino Linotype" w:cs="Palatino Linotype"/>
        </w:rPr>
      </w:pPr>
      <w:bookmarkStart w:id="8" w:name="_heading=h.2s8eyo1" w:colFirst="0" w:colLast="0"/>
      <w:bookmarkEnd w:id="8"/>
      <w:r w:rsidRPr="007D449B">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B018F8">
        <w:rPr>
          <w:rFonts w:ascii="Palatino Linotype" w:eastAsia="Palatino Linotype" w:hAnsi="Palatino Linotype" w:cs="Palatino Linotype"/>
        </w:rPr>
        <w:t xml:space="preserve">AUSENCIA JUSTIFICADA </w:t>
      </w:r>
      <w:r w:rsidRPr="007D449B">
        <w:rPr>
          <w:rFonts w:ascii="Palatino Linotype" w:eastAsia="Palatino Linotype" w:hAnsi="Palatino Linotype" w:cs="Palatino Linotype"/>
        </w:rPr>
        <w:t>Y GUADALUPE RAMÍREZ PEÑA; EN LA TRIGÉSIMA NOVENA SESIÓN ORDINARIA CELEBRADA EL UNO DE NOVIEMBRE DE DOS MIL VEINTITRÉS, ANTE EL SECRETARIO TÉCNICO DEL PLENO, ALEXIS TAPIA RAMÍREZ.</w:t>
      </w:r>
    </w:p>
    <w:p w14:paraId="4C8EB794"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1A25968A"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2F0CE395"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1C838E7E"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7DFE368F"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1C801465"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789B37B0"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75B44256"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1F61D08F"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068AC669"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14EA5010"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7C0E25D7"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45CE9381"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20FD9302"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3AFD70B8"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27DA1724"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74B680D0"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1878A95F"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p w14:paraId="68065416" w14:textId="77777777" w:rsidR="007D449B" w:rsidRPr="007D449B" w:rsidRDefault="007D449B" w:rsidP="007D449B">
      <w:pPr>
        <w:shd w:val="clear" w:color="auto" w:fill="FFFFFF" w:themeFill="background1"/>
        <w:spacing w:line="360" w:lineRule="auto"/>
        <w:jc w:val="both"/>
        <w:rPr>
          <w:rFonts w:ascii="Palatino Linotype" w:eastAsia="Palatino Linotype" w:hAnsi="Palatino Linotype" w:cs="Palatino Linotype"/>
        </w:rPr>
      </w:pPr>
    </w:p>
    <w:sectPr w:rsidR="007D449B" w:rsidRPr="007D449B">
      <w:headerReference w:type="default" r:id="rId9"/>
      <w:footerReference w:type="default" r:id="rId10"/>
      <w:headerReference w:type="first" r:id="rId11"/>
      <w:footerReference w:type="first" r:id="rId12"/>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31E28" w14:textId="77777777" w:rsidR="00995A9D" w:rsidRDefault="00995A9D">
      <w:r>
        <w:separator/>
      </w:r>
    </w:p>
  </w:endnote>
  <w:endnote w:type="continuationSeparator" w:id="0">
    <w:p w14:paraId="3546C045" w14:textId="77777777" w:rsidR="00995A9D" w:rsidRDefault="00995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896AB" w14:textId="77777777" w:rsidR="000C236F" w:rsidRDefault="00A17FA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72CF6">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72CF6">
      <w:rPr>
        <w:rFonts w:ascii="Palatino Linotype" w:eastAsia="Palatino Linotype" w:hAnsi="Palatino Linotype" w:cs="Palatino Linotype"/>
        <w:b/>
        <w:noProof/>
        <w:color w:val="000000"/>
        <w:sz w:val="20"/>
        <w:szCs w:val="20"/>
      </w:rPr>
      <w:t>38</w:t>
    </w:r>
    <w:r>
      <w:rPr>
        <w:rFonts w:ascii="Palatino Linotype" w:eastAsia="Palatino Linotype" w:hAnsi="Palatino Linotype" w:cs="Palatino Linotype"/>
        <w:b/>
        <w:color w:val="000000"/>
        <w:sz w:val="20"/>
        <w:szCs w:val="20"/>
      </w:rPr>
      <w:fldChar w:fldCharType="end"/>
    </w:r>
  </w:p>
  <w:p w14:paraId="08C9017B" w14:textId="77777777" w:rsidR="000C236F" w:rsidRDefault="00A17FA6">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C6119" w14:textId="77777777" w:rsidR="000C236F" w:rsidRDefault="00A17FA6">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672CF6">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672CF6">
      <w:rPr>
        <w:rFonts w:ascii="Palatino Linotype" w:eastAsia="Palatino Linotype" w:hAnsi="Palatino Linotype" w:cs="Palatino Linotype"/>
        <w:b/>
        <w:noProof/>
        <w:sz w:val="20"/>
        <w:szCs w:val="20"/>
      </w:rPr>
      <w:t>38</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CA1D" w14:textId="77777777" w:rsidR="00995A9D" w:rsidRDefault="00995A9D">
      <w:r>
        <w:separator/>
      </w:r>
    </w:p>
  </w:footnote>
  <w:footnote w:type="continuationSeparator" w:id="0">
    <w:p w14:paraId="6DCD4C59" w14:textId="77777777" w:rsidR="00995A9D" w:rsidRDefault="00995A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6AAF" w14:textId="77777777" w:rsidR="000C236F" w:rsidRDefault="00A17FA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3F57B259" wp14:editId="2261CD49">
          <wp:simplePos x="0" y="0"/>
          <wp:positionH relativeFrom="column">
            <wp:posOffset>-724534</wp:posOffset>
          </wp:positionH>
          <wp:positionV relativeFrom="paragraph">
            <wp:posOffset>-306612</wp:posOffset>
          </wp:positionV>
          <wp:extent cx="7635163" cy="9944100"/>
          <wp:effectExtent l="0" t="0" r="0" b="0"/>
          <wp:wrapNone/>
          <wp:docPr id="10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8"/>
      <w:tblW w:w="5812" w:type="dxa"/>
      <w:tblInd w:w="2835" w:type="dxa"/>
      <w:tblLayout w:type="fixed"/>
      <w:tblLook w:val="0400" w:firstRow="0" w:lastRow="0" w:firstColumn="0" w:lastColumn="0" w:noHBand="0" w:noVBand="1"/>
    </w:tblPr>
    <w:tblGrid>
      <w:gridCol w:w="2551"/>
      <w:gridCol w:w="3261"/>
    </w:tblGrid>
    <w:tr w:rsidR="000C236F" w14:paraId="44838294" w14:textId="77777777">
      <w:tc>
        <w:tcPr>
          <w:tcW w:w="2551" w:type="dxa"/>
          <w:vAlign w:val="center"/>
        </w:tcPr>
        <w:p w14:paraId="7981823A" w14:textId="77777777" w:rsidR="000C236F" w:rsidRDefault="00A17FA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p w14:paraId="786DF649" w14:textId="77777777" w:rsidR="000C236F" w:rsidRDefault="000C236F">
          <w:pPr>
            <w:rPr>
              <w:rFonts w:ascii="Palatino Linotype" w:eastAsia="Palatino Linotype" w:hAnsi="Palatino Linotype" w:cs="Palatino Linotype"/>
              <w:b/>
              <w:sz w:val="21"/>
              <w:szCs w:val="21"/>
            </w:rPr>
          </w:pPr>
        </w:p>
      </w:tc>
      <w:tc>
        <w:tcPr>
          <w:tcW w:w="3261" w:type="dxa"/>
          <w:vAlign w:val="center"/>
        </w:tcPr>
        <w:p w14:paraId="2D8E3B3E" w14:textId="77777777" w:rsidR="000C236F" w:rsidRDefault="00A17FA6">
          <w:pPr>
            <w:ind w:right="30"/>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00844/INFOEM/IP/RR/2023 y acumulado</w:t>
          </w:r>
        </w:p>
      </w:tc>
    </w:tr>
    <w:tr w:rsidR="000C236F" w14:paraId="66C096FF" w14:textId="77777777">
      <w:trPr>
        <w:trHeight w:val="228"/>
      </w:trPr>
      <w:tc>
        <w:tcPr>
          <w:tcW w:w="2551" w:type="dxa"/>
          <w:vAlign w:val="center"/>
        </w:tcPr>
        <w:p w14:paraId="0435456E" w14:textId="77777777" w:rsidR="000C236F" w:rsidRDefault="00A17FA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0AB54263" w14:textId="77777777" w:rsidR="000C236F" w:rsidRDefault="00A17FA6">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Secretaría de Movilidad</w:t>
          </w:r>
        </w:p>
      </w:tc>
    </w:tr>
    <w:tr w:rsidR="000C236F" w14:paraId="3D90D9BB" w14:textId="77777777">
      <w:tc>
        <w:tcPr>
          <w:tcW w:w="2551" w:type="dxa"/>
          <w:vAlign w:val="center"/>
        </w:tcPr>
        <w:p w14:paraId="056D95F9" w14:textId="77777777" w:rsidR="000C236F" w:rsidRDefault="00A17FA6">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581F230F" w14:textId="77777777" w:rsidR="000C236F" w:rsidRDefault="00A17FA6">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78FDA842" w14:textId="77777777" w:rsidR="000C236F" w:rsidRDefault="00A17FA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22E1" w14:textId="77777777" w:rsidR="000C236F" w:rsidRDefault="00A17FA6">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1D0D31E7" wp14:editId="1E40303B">
          <wp:simplePos x="0" y="0"/>
          <wp:positionH relativeFrom="column">
            <wp:posOffset>-721356</wp:posOffset>
          </wp:positionH>
          <wp:positionV relativeFrom="paragraph">
            <wp:posOffset>-179701</wp:posOffset>
          </wp:positionV>
          <wp:extent cx="7635163" cy="9944100"/>
          <wp:effectExtent l="0" t="0" r="0" b="0"/>
          <wp:wrapNone/>
          <wp:docPr id="10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f7"/>
      <w:tblW w:w="5670" w:type="dxa"/>
      <w:tblInd w:w="3261" w:type="dxa"/>
      <w:tblLayout w:type="fixed"/>
      <w:tblLook w:val="0400" w:firstRow="0" w:lastRow="0" w:firstColumn="0" w:lastColumn="0" w:noHBand="0" w:noVBand="1"/>
    </w:tblPr>
    <w:tblGrid>
      <w:gridCol w:w="2551"/>
      <w:gridCol w:w="3119"/>
    </w:tblGrid>
    <w:tr w:rsidR="000C236F" w14:paraId="4BD0F8B3" w14:textId="77777777">
      <w:tc>
        <w:tcPr>
          <w:tcW w:w="2551" w:type="dxa"/>
          <w:shd w:val="clear" w:color="auto" w:fill="auto"/>
          <w:vAlign w:val="center"/>
        </w:tcPr>
        <w:p w14:paraId="6AFCE0EF" w14:textId="77777777" w:rsidR="000C236F" w:rsidRDefault="00A17F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p w14:paraId="024E30CE" w14:textId="77777777" w:rsidR="000C236F" w:rsidRDefault="000C236F">
          <w:pPr>
            <w:rPr>
              <w:rFonts w:ascii="Palatino Linotype" w:eastAsia="Palatino Linotype" w:hAnsi="Palatino Linotype" w:cs="Palatino Linotype"/>
              <w:b/>
              <w:sz w:val="22"/>
              <w:szCs w:val="22"/>
            </w:rPr>
          </w:pPr>
        </w:p>
      </w:tc>
      <w:tc>
        <w:tcPr>
          <w:tcW w:w="3119" w:type="dxa"/>
          <w:shd w:val="clear" w:color="auto" w:fill="auto"/>
          <w:vAlign w:val="center"/>
        </w:tcPr>
        <w:p w14:paraId="0CB30B9B" w14:textId="77777777" w:rsidR="000C236F" w:rsidRDefault="00A17FA6">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0844/INFOEM/IP/RR/2023 y acumulado</w:t>
          </w:r>
        </w:p>
      </w:tc>
    </w:tr>
    <w:tr w:rsidR="000C236F" w14:paraId="5CF6CF03" w14:textId="77777777">
      <w:trPr>
        <w:trHeight w:val="130"/>
      </w:trPr>
      <w:tc>
        <w:tcPr>
          <w:tcW w:w="2551" w:type="dxa"/>
          <w:shd w:val="clear" w:color="auto" w:fill="auto"/>
          <w:vAlign w:val="center"/>
        </w:tcPr>
        <w:p w14:paraId="2AE1CF20" w14:textId="77777777" w:rsidR="000C236F" w:rsidRDefault="00A17F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33D3BC97" w14:textId="77777777" w:rsidR="000C236F" w:rsidRDefault="000C236F">
          <w:pPr>
            <w:ind w:left="-45"/>
            <w:rPr>
              <w:rFonts w:ascii="Palatino Linotype" w:eastAsia="Palatino Linotype" w:hAnsi="Palatino Linotype" w:cs="Palatino Linotype"/>
              <w:b/>
              <w:sz w:val="22"/>
              <w:szCs w:val="22"/>
            </w:rPr>
          </w:pPr>
        </w:p>
      </w:tc>
    </w:tr>
    <w:tr w:rsidR="000C236F" w14:paraId="7D06F395" w14:textId="77777777">
      <w:trPr>
        <w:trHeight w:val="228"/>
      </w:trPr>
      <w:tc>
        <w:tcPr>
          <w:tcW w:w="2551" w:type="dxa"/>
          <w:shd w:val="clear" w:color="auto" w:fill="auto"/>
          <w:vAlign w:val="center"/>
        </w:tcPr>
        <w:p w14:paraId="03707DFC" w14:textId="77777777" w:rsidR="000C236F" w:rsidRDefault="00A17F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D9DE280" w14:textId="77777777" w:rsidR="000C236F" w:rsidRDefault="00A17FA6">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0C236F" w14:paraId="31DC2084" w14:textId="77777777">
      <w:tc>
        <w:tcPr>
          <w:tcW w:w="2551" w:type="dxa"/>
          <w:shd w:val="clear" w:color="auto" w:fill="auto"/>
          <w:vAlign w:val="center"/>
        </w:tcPr>
        <w:p w14:paraId="0EBB85FB" w14:textId="77777777" w:rsidR="000C236F" w:rsidRDefault="00A17FA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4B0FA28F" w14:textId="77777777" w:rsidR="000C236F" w:rsidRDefault="00A17FA6">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4D83640" w14:textId="77777777" w:rsidR="000C236F" w:rsidRDefault="000C236F">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25515"/>
    <w:multiLevelType w:val="multilevel"/>
    <w:tmpl w:val="A5121F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F681DAA"/>
    <w:multiLevelType w:val="multilevel"/>
    <w:tmpl w:val="88943A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0DE698E"/>
    <w:multiLevelType w:val="multilevel"/>
    <w:tmpl w:val="51D4AB7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98F119B"/>
    <w:multiLevelType w:val="multilevel"/>
    <w:tmpl w:val="405EDA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435FFC"/>
    <w:multiLevelType w:val="multilevel"/>
    <w:tmpl w:val="0F0A38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6CE3F34"/>
    <w:multiLevelType w:val="multilevel"/>
    <w:tmpl w:val="C43A6A9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66B3E00"/>
    <w:multiLevelType w:val="multilevel"/>
    <w:tmpl w:val="6C4071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36F"/>
    <w:rsid w:val="000C236F"/>
    <w:rsid w:val="00672CF6"/>
    <w:rsid w:val="007D449B"/>
    <w:rsid w:val="00853582"/>
    <w:rsid w:val="00995A9D"/>
    <w:rsid w:val="00A17FA6"/>
    <w:rsid w:val="00B018F8"/>
    <w:rsid w:val="00C23E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6D28"/>
  <w15:docId w15:val="{4EDB41FD-9D88-4CF0-BED2-3A811464D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3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4"/>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4"/>
    <w:tblPr>
      <w:tblStyleRowBandSize w:val="1"/>
      <w:tblStyleColBandSize w:val="1"/>
      <w:tblCellMar>
        <w:left w:w="115" w:type="dxa"/>
        <w:right w:w="115" w:type="dxa"/>
      </w:tblCellMar>
    </w:tblPr>
  </w:style>
  <w:style w:type="table" w:customStyle="1" w:styleId="a7">
    <w:basedOn w:val="TableNormal4"/>
    <w:tblPr>
      <w:tblStyleRowBandSize w:val="1"/>
      <w:tblStyleColBandSize w:val="1"/>
      <w:tblCellMar>
        <w:left w:w="115" w:type="dxa"/>
        <w:right w:w="115" w:type="dxa"/>
      </w:tblCellMar>
    </w:tblPr>
  </w:style>
  <w:style w:type="table" w:customStyle="1" w:styleId="a8">
    <w:basedOn w:val="TableNormal4"/>
    <w:tblPr>
      <w:tblStyleRowBandSize w:val="1"/>
      <w:tblStyleColBandSize w:val="1"/>
      <w:tblCellMar>
        <w:left w:w="115" w:type="dxa"/>
        <w:right w:w="115" w:type="dxa"/>
      </w:tblCellMar>
    </w:tblPr>
  </w:style>
  <w:style w:type="table" w:customStyle="1" w:styleId="a9">
    <w:basedOn w:val="TableNormal4"/>
    <w:tblPr>
      <w:tblStyleRowBandSize w:val="1"/>
      <w:tblStyleColBandSize w:val="1"/>
      <w:tblCellMar>
        <w:left w:w="115" w:type="dxa"/>
        <w:right w:w="115" w:type="dxa"/>
      </w:tblCellMar>
    </w:tblPr>
  </w:style>
  <w:style w:type="table" w:customStyle="1" w:styleId="aa">
    <w:basedOn w:val="TableNormal4"/>
    <w:rPr>
      <w:rFonts w:ascii="Calibri" w:eastAsia="Calibri" w:hAnsi="Calibri" w:cs="Calibri"/>
    </w:rPr>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4"/>
    <w:tblPr>
      <w:tblStyleRowBandSize w:val="1"/>
      <w:tblStyleColBandSize w:val="1"/>
      <w:tblCellMar>
        <w:left w:w="115" w:type="dxa"/>
        <w:right w:w="115" w:type="dxa"/>
      </w:tblCellMar>
    </w:tblPr>
  </w:style>
  <w:style w:type="table" w:customStyle="1" w:styleId="ac">
    <w:basedOn w:val="TableNormal4"/>
    <w:tblPr>
      <w:tblStyleRowBandSize w:val="1"/>
      <w:tblStyleColBandSize w:val="1"/>
      <w:tblCellMar>
        <w:left w:w="115" w:type="dxa"/>
        <w:right w:w="115" w:type="dxa"/>
      </w:tblCellMar>
    </w:tblPr>
  </w:style>
  <w:style w:type="table" w:customStyle="1" w:styleId="ad">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e">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0">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3">
    <w:basedOn w:val="TableNormal3"/>
    <w:rPr>
      <w:rFonts w:ascii="Calibri" w:eastAsia="Calibri" w:hAnsi="Calibri" w:cs="Calibri"/>
    </w:rPr>
    <w:tblPr>
      <w:tblStyleRowBandSize w:val="1"/>
      <w:tblStyleColBandSize w:val="1"/>
      <w:tblCellMar>
        <w:left w:w="115" w:type="dxa"/>
        <w:right w:w="115" w:type="dxa"/>
      </w:tblCellMar>
    </w:tblPr>
  </w:style>
  <w:style w:type="table" w:customStyle="1" w:styleId="af4">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5">
    <w:basedOn w:val="TableNormal2"/>
    <w:tblPr>
      <w:tblStyleRowBandSize w:val="1"/>
      <w:tblStyleColBandSize w:val="1"/>
      <w:tblCellMar>
        <w:left w:w="115" w:type="dxa"/>
        <w:right w:w="115" w:type="dxa"/>
      </w:tblCellMar>
    </w:tblPr>
  </w:style>
  <w:style w:type="table" w:customStyle="1" w:styleId="af6">
    <w:basedOn w:val="TableNormal2"/>
    <w:tblPr>
      <w:tblStyleRowBandSize w:val="1"/>
      <w:tblStyleColBandSize w:val="1"/>
      <w:tblCellMar>
        <w:left w:w="115" w:type="dxa"/>
        <w:right w:w="115" w:type="dxa"/>
      </w:tblCellMar>
    </w:tblPr>
  </w:style>
  <w:style w:type="table" w:customStyle="1" w:styleId="af7">
    <w:basedOn w:val="TableNormal2"/>
    <w:tblPr>
      <w:tblStyleRowBandSize w:val="1"/>
      <w:tblStyleColBandSize w:val="1"/>
      <w:tblCellMar>
        <w:left w:w="115" w:type="dxa"/>
        <w:right w:w="115" w:type="dxa"/>
      </w:tblCellMar>
    </w:tblPr>
  </w:style>
  <w:style w:type="table" w:customStyle="1" w:styleId="af8">
    <w:basedOn w:val="TableNormal2"/>
    <w:tblPr>
      <w:tblStyleRowBandSize w:val="1"/>
      <w:tblStyleColBandSize w:val="1"/>
      <w:tblCellMar>
        <w:left w:w="115" w:type="dxa"/>
        <w:right w:w="115" w:type="dxa"/>
      </w:tblCellMar>
    </w:tblPr>
  </w:style>
  <w:style w:type="table" w:customStyle="1" w:styleId="af9">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a">
    <w:basedOn w:val="TableNormal2"/>
    <w:rPr>
      <w:rFonts w:ascii="Calibri" w:eastAsia="Calibri" w:hAnsi="Calibri" w:cs="Calibri"/>
    </w:rPr>
    <w:tblPr>
      <w:tblStyleRowBandSize w:val="1"/>
      <w:tblStyleColBandSize w:val="1"/>
      <w:tblCellMar>
        <w:left w:w="115" w:type="dxa"/>
        <w:right w:w="115" w:type="dxa"/>
      </w:tblCellMar>
    </w:tblPr>
  </w:style>
  <w:style w:type="table" w:customStyle="1" w:styleId="afb">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c">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d">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e">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0">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1">
    <w:basedOn w:val="TableNormal1"/>
    <w:rPr>
      <w:rFonts w:ascii="Calibri" w:eastAsia="Calibri" w:hAnsi="Calibri" w:cs="Calibri"/>
    </w:rPr>
    <w:tblPr>
      <w:tblStyleRowBandSize w:val="1"/>
      <w:tblStyleColBandSize w:val="1"/>
      <w:tblCellMar>
        <w:left w:w="115" w:type="dxa"/>
        <w:right w:w="115" w:type="dxa"/>
      </w:tblCellMar>
    </w:tblPr>
  </w:style>
  <w:style w:type="table" w:customStyle="1" w:styleId="aff2">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3">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4">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5">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6">
    <w:basedOn w:val="TableNormal0"/>
    <w:rPr>
      <w:rFonts w:ascii="Calibri" w:eastAsia="Calibri" w:hAnsi="Calibri" w:cs="Calibri"/>
    </w:rPr>
    <w:tblPr>
      <w:tblStyleRowBandSize w:val="1"/>
      <w:tblStyleColBandSize w:val="1"/>
      <w:tblCellMar>
        <w:left w:w="108" w:type="dxa"/>
        <w:right w:w="108" w:type="dxa"/>
      </w:tblCellMar>
    </w:tblPr>
  </w:style>
  <w:style w:type="table" w:customStyle="1" w:styleId="aff7">
    <w:basedOn w:val="TableNormal0"/>
    <w:rPr>
      <w:rFonts w:ascii="Calibri" w:eastAsia="Calibri" w:hAnsi="Calibri" w:cs="Calibri"/>
    </w:rPr>
    <w:tblPr>
      <w:tblStyleRowBandSize w:val="1"/>
      <w:tblStyleColBandSize w:val="1"/>
      <w:tblCellMar>
        <w:left w:w="115" w:type="dxa"/>
        <w:right w:w="115" w:type="dxa"/>
      </w:tblCellMar>
    </w:tblPr>
  </w:style>
  <w:style w:type="table" w:customStyle="1" w:styleId="aff8">
    <w:basedOn w:val="TableNormal0"/>
    <w:rPr>
      <w:rFonts w:ascii="Calibri" w:eastAsia="Calibri" w:hAnsi="Calibri" w:cs="Calibri"/>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RQGlcVp532kwDsUqJIJhqRCfWA==">CgMxLjAyCGguZ2pkZ3hzMgloLjMwajB6bGwyCWguMWZvYjl0ZTIJaC4zem55c2g3MgloLjJldDkycDAyCWguM2R5NnZrbTIIaC50eWpjd3QyCWguMTdkcDh2dTIJaC4yczhleW8xOAByITFRYTF1R0ludHpPUW9zRGVZZFdrcHZKTlNFUWlmYk9MTQ==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38</Pages>
  <Words>9020</Words>
  <Characters>49610</Characters>
  <Application>Microsoft Office Word</Application>
  <DocSecurity>0</DocSecurity>
  <Lines>413</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Maricela Villagomez</cp:lastModifiedBy>
  <cp:revision>2</cp:revision>
  <cp:lastPrinted>2023-11-06T16:27:00Z</cp:lastPrinted>
  <dcterms:created xsi:type="dcterms:W3CDTF">2023-11-13T18:48:00Z</dcterms:created>
  <dcterms:modified xsi:type="dcterms:W3CDTF">2023-11-13T18:48:00Z</dcterms:modified>
</cp:coreProperties>
</file>