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7875DF22" w:rsidR="005C2E26" w:rsidRPr="00B61DF3" w:rsidRDefault="005C2E26" w:rsidP="00B61DF3">
      <w:pPr>
        <w:spacing w:before="100" w:beforeAutospacing="1" w:after="100" w:afterAutospacing="1" w:line="360" w:lineRule="auto"/>
        <w:jc w:val="both"/>
        <w:rPr>
          <w:rFonts w:ascii="Palatino Linotype" w:hAnsi="Palatino Linotype"/>
        </w:rPr>
      </w:pPr>
      <w:r w:rsidRPr="00B61DF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74751D" w:rsidRPr="00B61DF3">
        <w:rPr>
          <w:rFonts w:ascii="Palatino Linotype" w:hAnsi="Palatino Linotype"/>
        </w:rPr>
        <w:t>treinta</w:t>
      </w:r>
      <w:r w:rsidR="007D30D0" w:rsidRPr="00B61DF3">
        <w:rPr>
          <w:rFonts w:ascii="Palatino Linotype" w:hAnsi="Palatino Linotype"/>
        </w:rPr>
        <w:t xml:space="preserve"> de agosto</w:t>
      </w:r>
      <w:r w:rsidR="00F01595" w:rsidRPr="00B61DF3">
        <w:rPr>
          <w:rFonts w:ascii="Palatino Linotype" w:hAnsi="Palatino Linotype"/>
        </w:rPr>
        <w:t xml:space="preserve"> de dos mil veintitrés</w:t>
      </w:r>
      <w:r w:rsidR="00943122" w:rsidRPr="00B61DF3">
        <w:rPr>
          <w:rFonts w:ascii="Palatino Linotype" w:hAnsi="Palatino Linotype"/>
        </w:rPr>
        <w:t>.</w:t>
      </w:r>
    </w:p>
    <w:p w14:paraId="2C11FACB" w14:textId="37B5B960" w:rsidR="00457BB8" w:rsidRPr="00B61DF3" w:rsidRDefault="00457BB8" w:rsidP="00B61DF3">
      <w:pPr>
        <w:spacing w:before="100" w:beforeAutospacing="1" w:after="100" w:afterAutospacing="1" w:line="360" w:lineRule="auto"/>
        <w:jc w:val="both"/>
        <w:rPr>
          <w:rFonts w:ascii="Palatino Linotype" w:hAnsi="Palatino Linotype"/>
          <w:b/>
        </w:rPr>
      </w:pPr>
      <w:r w:rsidRPr="00B61DF3">
        <w:rPr>
          <w:rFonts w:ascii="Palatino Linotype" w:hAnsi="Palatino Linotype"/>
          <w:b/>
        </w:rPr>
        <w:t>VISTO</w:t>
      </w:r>
      <w:r w:rsidRPr="00B61DF3">
        <w:rPr>
          <w:rFonts w:ascii="Palatino Linotype" w:hAnsi="Palatino Linotype"/>
        </w:rPr>
        <w:t xml:space="preserve"> el exp</w:t>
      </w:r>
      <w:r w:rsidR="00CB5585" w:rsidRPr="00B61DF3">
        <w:rPr>
          <w:rFonts w:ascii="Palatino Linotype" w:hAnsi="Palatino Linotype"/>
        </w:rPr>
        <w:t xml:space="preserve">ediente formado con motivo del </w:t>
      </w:r>
      <w:r w:rsidR="00D86297" w:rsidRPr="00B61DF3">
        <w:rPr>
          <w:rFonts w:ascii="Palatino Linotype" w:hAnsi="Palatino Linotype"/>
        </w:rPr>
        <w:t>Recurso Revisión</w:t>
      </w:r>
      <w:r w:rsidRPr="00B61DF3">
        <w:rPr>
          <w:rFonts w:ascii="Palatino Linotype" w:hAnsi="Palatino Linotype"/>
        </w:rPr>
        <w:t xml:space="preserve"> </w:t>
      </w:r>
      <w:r w:rsidR="002E2709" w:rsidRPr="00B61DF3">
        <w:rPr>
          <w:rFonts w:ascii="Palatino Linotype" w:hAnsi="Palatino Linotype"/>
          <w:b/>
        </w:rPr>
        <w:t>17522</w:t>
      </w:r>
      <w:r w:rsidR="008834CE" w:rsidRPr="00B61DF3">
        <w:rPr>
          <w:rFonts w:ascii="Palatino Linotype" w:hAnsi="Palatino Linotype"/>
          <w:b/>
          <w:lang w:val="es-ES_tradnl"/>
        </w:rPr>
        <w:t>/INFOEM/IP/RR/2022</w:t>
      </w:r>
      <w:r w:rsidRPr="00B61DF3">
        <w:rPr>
          <w:rFonts w:ascii="Palatino Linotype" w:hAnsi="Palatino Linotype"/>
        </w:rPr>
        <w:t xml:space="preserve">, </w:t>
      </w:r>
      <w:r w:rsidR="006C52D7" w:rsidRPr="00B61DF3">
        <w:rPr>
          <w:rFonts w:ascii="Palatino Linotype" w:hAnsi="Palatino Linotype"/>
        </w:rPr>
        <w:t xml:space="preserve">promovido </w:t>
      </w:r>
      <w:r w:rsidR="005C250B" w:rsidRPr="00B61DF3">
        <w:rPr>
          <w:rFonts w:ascii="Palatino Linotype" w:hAnsi="Palatino Linotype"/>
        </w:rPr>
        <w:t>por</w:t>
      </w:r>
      <w:r w:rsidR="000B0D01" w:rsidRPr="00B61DF3">
        <w:rPr>
          <w:rFonts w:ascii="Palatino Linotype" w:hAnsi="Palatino Linotype"/>
          <w:b/>
          <w:bCs/>
        </w:rPr>
        <w:t xml:space="preserve"> </w:t>
      </w:r>
      <w:bookmarkStart w:id="0" w:name="_GoBack"/>
      <w:r w:rsidR="00312796">
        <w:rPr>
          <w:rFonts w:ascii="Palatino Linotype" w:hAnsi="Palatino Linotype"/>
          <w:b/>
          <w:bCs/>
        </w:rPr>
        <w:t>XX X</w:t>
      </w:r>
      <w:bookmarkEnd w:id="0"/>
      <w:r w:rsidR="005C250B" w:rsidRPr="00B61DF3">
        <w:rPr>
          <w:rFonts w:ascii="Palatino Linotype" w:hAnsi="Palatino Linotype"/>
        </w:rPr>
        <w:t>,</w:t>
      </w:r>
      <w:r w:rsidR="005C250B" w:rsidRPr="00B61DF3">
        <w:rPr>
          <w:rFonts w:ascii="Palatino Linotype" w:hAnsi="Palatino Linotype" w:cs="Arial"/>
          <w:b/>
          <w:lang w:val="es-ES"/>
        </w:rPr>
        <w:t xml:space="preserve"> </w:t>
      </w:r>
      <w:r w:rsidR="007E09B0" w:rsidRPr="00B61DF3">
        <w:rPr>
          <w:rFonts w:ascii="Palatino Linotype" w:hAnsi="Palatino Linotype" w:cs="Arial"/>
          <w:lang w:val="es-ES"/>
        </w:rPr>
        <w:t xml:space="preserve">a </w:t>
      </w:r>
      <w:r w:rsidR="007E09B0" w:rsidRPr="00B61DF3">
        <w:rPr>
          <w:rFonts w:ascii="Palatino Linotype" w:hAnsi="Palatino Linotype"/>
          <w:lang w:val="es-ES"/>
        </w:rPr>
        <w:t>quien</w:t>
      </w:r>
      <w:r w:rsidR="005C250B" w:rsidRPr="00B61DF3">
        <w:rPr>
          <w:rFonts w:ascii="Palatino Linotype" w:hAnsi="Palatino Linotype" w:cs="Arial"/>
          <w:b/>
          <w:lang w:val="es-ES"/>
        </w:rPr>
        <w:t xml:space="preserve"> </w:t>
      </w:r>
      <w:r w:rsidR="005C250B" w:rsidRPr="00B61DF3">
        <w:rPr>
          <w:rFonts w:ascii="Palatino Linotype" w:hAnsi="Palatino Linotype"/>
        </w:rPr>
        <w:t>en lo sucesivo se</w:t>
      </w:r>
      <w:r w:rsidR="007E09B0" w:rsidRPr="00B61DF3">
        <w:rPr>
          <w:rFonts w:ascii="Palatino Linotype" w:hAnsi="Palatino Linotype"/>
        </w:rPr>
        <w:t xml:space="preserve"> le</w:t>
      </w:r>
      <w:r w:rsidR="005C250B" w:rsidRPr="00B61DF3">
        <w:rPr>
          <w:rFonts w:ascii="Palatino Linotype" w:hAnsi="Palatino Linotype"/>
        </w:rPr>
        <w:t xml:space="preserve"> denominará </w:t>
      </w:r>
      <w:r w:rsidR="00DE32E9" w:rsidRPr="00B61DF3">
        <w:rPr>
          <w:rFonts w:ascii="Palatino Linotype" w:hAnsi="Palatino Linotype" w:cs="Arial"/>
          <w:b/>
          <w:lang w:val="es-ES"/>
        </w:rPr>
        <w:t>EL</w:t>
      </w:r>
      <w:r w:rsidR="005C250B" w:rsidRPr="00B61DF3">
        <w:rPr>
          <w:rFonts w:ascii="Palatino Linotype" w:hAnsi="Palatino Linotype" w:cs="Arial"/>
          <w:b/>
          <w:lang w:val="es-ES"/>
        </w:rPr>
        <w:t xml:space="preserve"> RECURRENTE</w:t>
      </w:r>
      <w:r w:rsidR="005C250B" w:rsidRPr="00B61DF3">
        <w:rPr>
          <w:rFonts w:ascii="Palatino Linotype" w:hAnsi="Palatino Linotype"/>
        </w:rPr>
        <w:t>,</w:t>
      </w:r>
      <w:r w:rsidRPr="00B61DF3">
        <w:rPr>
          <w:rFonts w:ascii="Palatino Linotype" w:hAnsi="Palatino Linotype"/>
        </w:rPr>
        <w:t xml:space="preserve"> </w:t>
      </w:r>
      <w:r w:rsidR="00E24730" w:rsidRPr="00B61DF3">
        <w:rPr>
          <w:rFonts w:ascii="Palatino Linotype" w:hAnsi="Palatino Linotype"/>
        </w:rPr>
        <w:t xml:space="preserve">en contra de </w:t>
      </w:r>
      <w:r w:rsidR="00DD7C89" w:rsidRPr="00B61DF3">
        <w:rPr>
          <w:rFonts w:ascii="Palatino Linotype" w:hAnsi="Palatino Linotype" w:cs="Arial"/>
          <w:lang w:val="es-ES"/>
        </w:rPr>
        <w:t>la</w:t>
      </w:r>
      <w:r w:rsidR="00E24730" w:rsidRPr="00B61DF3">
        <w:rPr>
          <w:rFonts w:ascii="Palatino Linotype" w:hAnsi="Palatino Linotype" w:cs="Arial"/>
          <w:lang w:val="es-ES"/>
        </w:rPr>
        <w:t xml:space="preserve"> respuesta</w:t>
      </w:r>
      <w:r w:rsidR="00F74502" w:rsidRPr="00B61DF3">
        <w:rPr>
          <w:rFonts w:ascii="Palatino Linotype" w:hAnsi="Palatino Linotype" w:cs="Arial"/>
          <w:lang w:val="es-ES"/>
        </w:rPr>
        <w:t xml:space="preserve"> d</w:t>
      </w:r>
      <w:r w:rsidR="000C0B7F" w:rsidRPr="00B61DF3">
        <w:rPr>
          <w:rFonts w:ascii="Palatino Linotype" w:hAnsi="Palatino Linotype" w:cs="Arial"/>
          <w:lang w:val="es-ES"/>
        </w:rPr>
        <w:t>e</w:t>
      </w:r>
      <w:r w:rsidR="00F13E79" w:rsidRPr="00B61DF3">
        <w:rPr>
          <w:rFonts w:ascii="Palatino Linotype" w:hAnsi="Palatino Linotype" w:cs="Arial"/>
          <w:lang w:val="es-ES"/>
        </w:rPr>
        <w:t>l</w:t>
      </w:r>
      <w:r w:rsidR="005C250B" w:rsidRPr="00B61DF3">
        <w:rPr>
          <w:rFonts w:ascii="Palatino Linotype" w:hAnsi="Palatino Linotype" w:cs="Arial"/>
          <w:lang w:val="es-ES"/>
        </w:rPr>
        <w:t xml:space="preserve"> </w:t>
      </w:r>
      <w:r w:rsidR="002E2709" w:rsidRPr="00B61DF3">
        <w:rPr>
          <w:rFonts w:ascii="Palatino Linotype" w:hAnsi="Palatino Linotype" w:cs="Arial"/>
          <w:b/>
        </w:rPr>
        <w:t>Poder Legislativo</w:t>
      </w:r>
      <w:r w:rsidRPr="00B61DF3">
        <w:rPr>
          <w:rFonts w:ascii="Palatino Linotype" w:hAnsi="Palatino Linotype"/>
          <w:b/>
        </w:rPr>
        <w:t xml:space="preserve">, </w:t>
      </w:r>
      <w:r w:rsidR="00A66569" w:rsidRPr="00B61DF3">
        <w:rPr>
          <w:rFonts w:ascii="Palatino Linotype" w:hAnsi="Palatino Linotype"/>
          <w:lang w:val="es-419"/>
        </w:rPr>
        <w:t xml:space="preserve">que en </w:t>
      </w:r>
      <w:r w:rsidRPr="00B61DF3">
        <w:rPr>
          <w:rFonts w:ascii="Palatino Linotype" w:hAnsi="Palatino Linotype"/>
        </w:rPr>
        <w:t xml:space="preserve">lo sucesivo </w:t>
      </w:r>
      <w:r w:rsidR="009E2E2C" w:rsidRPr="00B61DF3">
        <w:rPr>
          <w:rFonts w:ascii="Palatino Linotype" w:hAnsi="Palatino Linotype"/>
        </w:rPr>
        <w:t xml:space="preserve">se denominará </w:t>
      </w:r>
      <w:r w:rsidRPr="00B61DF3">
        <w:rPr>
          <w:rFonts w:ascii="Palatino Linotype" w:hAnsi="Palatino Linotype"/>
          <w:b/>
        </w:rPr>
        <w:t>EL SUJETO OBLIGADO</w:t>
      </w:r>
      <w:r w:rsidRPr="00B61DF3">
        <w:rPr>
          <w:rFonts w:ascii="Palatino Linotype" w:hAnsi="Palatino Linotype"/>
        </w:rPr>
        <w:t>, se procede a dictar la presente resol</w:t>
      </w:r>
      <w:r w:rsidR="009A60AC" w:rsidRPr="00B61DF3">
        <w:rPr>
          <w:rFonts w:ascii="Palatino Linotype" w:hAnsi="Palatino Linotype"/>
        </w:rPr>
        <w:t>ución con base en lo siguiente:</w:t>
      </w:r>
    </w:p>
    <w:p w14:paraId="480E521A" w14:textId="1C45FB4A" w:rsidR="00457BB8" w:rsidRPr="00B61DF3" w:rsidRDefault="003103D9" w:rsidP="00B61DF3">
      <w:pPr>
        <w:spacing w:before="480" w:after="480"/>
        <w:jc w:val="center"/>
        <w:rPr>
          <w:rFonts w:ascii="Palatino Linotype" w:hAnsi="Palatino Linotype"/>
          <w:b/>
          <w:bCs/>
          <w:spacing w:val="40"/>
          <w:sz w:val="28"/>
        </w:rPr>
      </w:pPr>
      <w:r w:rsidRPr="00B61DF3">
        <w:rPr>
          <w:rFonts w:ascii="Palatino Linotype" w:hAnsi="Palatino Linotype"/>
          <w:b/>
          <w:bCs/>
          <w:spacing w:val="40"/>
          <w:sz w:val="28"/>
        </w:rPr>
        <w:t>ANTECEDENTES</w:t>
      </w:r>
    </w:p>
    <w:p w14:paraId="27A028CA" w14:textId="38A75BD8" w:rsidR="0046481A" w:rsidRPr="00B61DF3" w:rsidRDefault="00457BB8" w:rsidP="00B61DF3">
      <w:pPr>
        <w:spacing w:before="100" w:beforeAutospacing="1" w:after="100" w:afterAutospacing="1" w:line="360" w:lineRule="auto"/>
        <w:jc w:val="both"/>
        <w:rPr>
          <w:rFonts w:ascii="Palatino Linotype" w:hAnsi="Palatino Linotype"/>
          <w:b/>
          <w:sz w:val="26"/>
          <w:szCs w:val="26"/>
        </w:rPr>
      </w:pPr>
      <w:r w:rsidRPr="00B61DF3">
        <w:rPr>
          <w:rFonts w:ascii="Palatino Linotype" w:hAnsi="Palatino Linotype"/>
          <w:b/>
          <w:sz w:val="26"/>
          <w:szCs w:val="26"/>
        </w:rPr>
        <w:t xml:space="preserve">I. </w:t>
      </w:r>
      <w:r w:rsidR="00747069" w:rsidRPr="00B61DF3">
        <w:rPr>
          <w:rFonts w:ascii="Palatino Linotype" w:hAnsi="Palatino Linotype"/>
          <w:b/>
          <w:sz w:val="26"/>
          <w:szCs w:val="26"/>
        </w:rPr>
        <w:t>De la Solicitud de Información</w:t>
      </w:r>
      <w:r w:rsidR="00E547B6" w:rsidRPr="00B61DF3">
        <w:rPr>
          <w:rFonts w:ascii="Palatino Linotype" w:hAnsi="Palatino Linotype"/>
          <w:b/>
          <w:sz w:val="26"/>
          <w:szCs w:val="26"/>
        </w:rPr>
        <w:t>.</w:t>
      </w:r>
    </w:p>
    <w:p w14:paraId="4EA39801" w14:textId="6A31B94D" w:rsidR="00F67B0E" w:rsidRPr="00B61DF3" w:rsidRDefault="00D73171" w:rsidP="00B61DF3">
      <w:pPr>
        <w:spacing w:before="100" w:beforeAutospacing="1" w:after="100" w:afterAutospacing="1" w:line="360" w:lineRule="auto"/>
        <w:jc w:val="both"/>
        <w:rPr>
          <w:rFonts w:ascii="Palatino Linotype" w:hAnsi="Palatino Linotype" w:cs="Arial"/>
          <w:b/>
          <w:bCs/>
          <w:lang w:val="es-ES"/>
        </w:rPr>
      </w:pPr>
      <w:r w:rsidRPr="00B61DF3">
        <w:rPr>
          <w:rFonts w:ascii="Palatino Linotype" w:hAnsi="Palatino Linotype" w:cs="Arial"/>
        </w:rPr>
        <w:t xml:space="preserve">En fecha </w:t>
      </w:r>
      <w:r w:rsidR="002E2709" w:rsidRPr="00B61DF3">
        <w:rPr>
          <w:rFonts w:ascii="Palatino Linotype" w:hAnsi="Palatino Linotype" w:cs="Arial"/>
          <w:b/>
          <w:bCs/>
        </w:rPr>
        <w:t>veintiocho de noviembre</w:t>
      </w:r>
      <w:r w:rsidRPr="00B61DF3">
        <w:rPr>
          <w:rFonts w:ascii="Palatino Linotype" w:hAnsi="Palatino Linotype" w:cs="Arial"/>
          <w:b/>
          <w:bCs/>
        </w:rPr>
        <w:t xml:space="preserve"> de dos mil veintidós</w:t>
      </w:r>
      <w:r w:rsidRPr="00B61DF3">
        <w:rPr>
          <w:rFonts w:ascii="Palatino Linotype" w:hAnsi="Palatino Linotype" w:cs="Arial"/>
        </w:rPr>
        <w:t xml:space="preserve">, </w:t>
      </w:r>
      <w:r w:rsidR="001B1A92" w:rsidRPr="00B61DF3">
        <w:rPr>
          <w:rFonts w:ascii="Palatino Linotype" w:hAnsi="Palatino Linotype" w:cs="Arial"/>
          <w:b/>
        </w:rPr>
        <w:t>EL</w:t>
      </w:r>
      <w:r w:rsidRPr="00B61DF3">
        <w:rPr>
          <w:rFonts w:ascii="Palatino Linotype" w:hAnsi="Palatino Linotype" w:cs="Arial"/>
          <w:b/>
        </w:rPr>
        <w:t xml:space="preserve"> RECURRENTE</w:t>
      </w:r>
      <w:r w:rsidRPr="00B61DF3">
        <w:rPr>
          <w:rFonts w:ascii="Palatino Linotype" w:hAnsi="Palatino Linotype" w:cs="Arial"/>
        </w:rPr>
        <w:t xml:space="preserve"> </w:t>
      </w:r>
      <w:r w:rsidR="001B1A92" w:rsidRPr="00B61DF3">
        <w:rPr>
          <w:rFonts w:ascii="Palatino Linotype" w:eastAsia="Palatino Linotype" w:hAnsi="Palatino Linotype" w:cs="Palatino Linotype"/>
        </w:rPr>
        <w:t xml:space="preserve">a través de la plataforma del </w:t>
      </w:r>
      <w:r w:rsidR="007D6468" w:rsidRPr="00B61DF3">
        <w:rPr>
          <w:rFonts w:ascii="Palatino Linotype" w:eastAsia="Palatino Linotype" w:hAnsi="Palatino Linotype" w:cs="Palatino Linotype"/>
        </w:rPr>
        <w:t>Sistema de Acceso a la Información Mexiquense</w:t>
      </w:r>
      <w:r w:rsidRPr="00B61DF3">
        <w:rPr>
          <w:rFonts w:ascii="Palatino Linotype" w:hAnsi="Palatino Linotype" w:cs="Arial"/>
        </w:rPr>
        <w:t xml:space="preserve">, en lo subsecuente </w:t>
      </w:r>
      <w:r w:rsidRPr="00B61DF3">
        <w:rPr>
          <w:rFonts w:ascii="Palatino Linotype" w:hAnsi="Palatino Linotype" w:cs="Arial"/>
          <w:b/>
        </w:rPr>
        <w:t>EL SAIMEX</w:t>
      </w:r>
      <w:r w:rsidRPr="00B61DF3">
        <w:rPr>
          <w:rFonts w:ascii="Palatino Linotype" w:hAnsi="Palatino Linotype" w:cs="Arial"/>
        </w:rPr>
        <w:t xml:space="preserve"> ante </w:t>
      </w:r>
      <w:r w:rsidRPr="00B61DF3">
        <w:rPr>
          <w:rFonts w:ascii="Palatino Linotype" w:hAnsi="Palatino Linotype" w:cs="Arial"/>
          <w:b/>
        </w:rPr>
        <w:t>EL SUJETO OBLIGADO</w:t>
      </w:r>
      <w:r w:rsidR="004E1571" w:rsidRPr="00B61DF3">
        <w:rPr>
          <w:rFonts w:ascii="Palatino Linotype" w:hAnsi="Palatino Linotype" w:cs="Arial"/>
          <w:b/>
        </w:rPr>
        <w:t xml:space="preserve"> </w:t>
      </w:r>
      <w:r w:rsidR="004E1571" w:rsidRPr="00B61DF3">
        <w:rPr>
          <w:rFonts w:ascii="Palatino Linotype" w:hAnsi="Palatino Linotype" w:cs="Arial"/>
        </w:rPr>
        <w:t>presento</w:t>
      </w:r>
      <w:r w:rsidRPr="00B61DF3">
        <w:rPr>
          <w:rFonts w:ascii="Palatino Linotype" w:hAnsi="Palatino Linotype" w:cs="Arial"/>
        </w:rPr>
        <w:t>, la solicitud de acceso a la Información Pública, a la que se le</w:t>
      </w:r>
      <w:r w:rsidR="00181639" w:rsidRPr="00B61DF3">
        <w:rPr>
          <w:rFonts w:ascii="Palatino Linotype" w:hAnsi="Palatino Linotype" w:cs="Arial"/>
        </w:rPr>
        <w:t xml:space="preserve"> asignó el número de </w:t>
      </w:r>
      <w:r w:rsidR="002E2709" w:rsidRPr="00B61DF3">
        <w:rPr>
          <w:rFonts w:ascii="Palatino Linotype" w:hAnsi="Palatino Linotype" w:cs="Arial"/>
        </w:rPr>
        <w:t>expediente</w:t>
      </w:r>
      <w:r w:rsidR="002E2709" w:rsidRPr="00B61DF3">
        <w:rPr>
          <w:rFonts w:ascii="Palatino Linotype" w:hAnsi="Palatino Linotype" w:cs="Arial"/>
          <w:b/>
        </w:rPr>
        <w:t xml:space="preserve"> 00733/PLEGISLA/IP/2022</w:t>
      </w:r>
      <w:r w:rsidRPr="00B61DF3">
        <w:rPr>
          <w:rFonts w:ascii="Palatino Linotype" w:hAnsi="Palatino Linotype" w:cs="Arial"/>
        </w:rPr>
        <w:t>, mediante la cual solicitó:</w:t>
      </w:r>
    </w:p>
    <w:p w14:paraId="2A3302E7" w14:textId="3FD82D02" w:rsidR="005D1CB5" w:rsidRPr="00B61DF3" w:rsidRDefault="00457BB8" w:rsidP="00B61DF3">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B61DF3">
        <w:rPr>
          <w:rFonts w:ascii="Palatino Linotype" w:hAnsi="Palatino Linotype" w:cs="Arial"/>
          <w:i/>
          <w:sz w:val="22"/>
          <w:szCs w:val="22"/>
        </w:rPr>
        <w:t>“</w:t>
      </w:r>
      <w:r w:rsidR="002E2709" w:rsidRPr="00B61DF3">
        <w:rPr>
          <w:rFonts w:ascii="Palatino Linotype" w:hAnsi="Palatino Linotype" w:cs="Arial"/>
          <w:i/>
          <w:sz w:val="22"/>
          <w:szCs w:val="22"/>
        </w:rPr>
        <w:t xml:space="preserve">1.- Solicito copia de todos los documentos, cédulas, reportes, etcétera, -incluyendo sus respectivas respuestas o seguimientos-, resultantes de auditorías, controles, </w:t>
      </w:r>
      <w:proofErr w:type="gramStart"/>
      <w:r w:rsidR="002E2709" w:rsidRPr="00B61DF3">
        <w:rPr>
          <w:rFonts w:ascii="Palatino Linotype" w:hAnsi="Palatino Linotype" w:cs="Arial"/>
          <w:i/>
          <w:sz w:val="22"/>
          <w:szCs w:val="22"/>
        </w:rPr>
        <w:t>verificaciones</w:t>
      </w:r>
      <w:proofErr w:type="gramEnd"/>
      <w:r w:rsidR="002E2709" w:rsidRPr="00B61DF3">
        <w:rPr>
          <w:rFonts w:ascii="Palatino Linotype" w:hAnsi="Palatino Linotype" w:cs="Arial"/>
          <w:i/>
          <w:sz w:val="22"/>
          <w:szCs w:val="22"/>
        </w:rPr>
        <w:t xml:space="preserve"> o vigilancia realizadas por el Órgano Superior de Fiscalización del Estado de México al programa denominado Salario Rosa, de forma general y en cada una de sus presentaciones o verticales. 2.- Indicar estatus actual de cada auditoría. El periodo por el que se solicita la información es la generada entre septiembre de 2017 y diciembre de 2020. Este Sujeto es competente de poseer y brindar dicha </w:t>
      </w:r>
      <w:r w:rsidR="002E2709" w:rsidRPr="00B61DF3">
        <w:rPr>
          <w:rFonts w:ascii="Palatino Linotype" w:hAnsi="Palatino Linotype" w:cs="Arial"/>
          <w:i/>
          <w:sz w:val="22"/>
          <w:szCs w:val="22"/>
        </w:rPr>
        <w:lastRenderedPageBreak/>
        <w:t>información tal como se establece en el numeral 17 del Acuerdo donde se emiten las reglas de operación del mismo programa.</w:t>
      </w:r>
      <w:r w:rsidR="00426951" w:rsidRPr="00B61DF3">
        <w:rPr>
          <w:rFonts w:ascii="Palatino Linotype" w:hAnsi="Palatino Linotype" w:cs="Arial"/>
          <w:i/>
          <w:sz w:val="22"/>
          <w:szCs w:val="22"/>
        </w:rPr>
        <w:t>” (</w:t>
      </w:r>
      <w:r w:rsidR="004E74D1" w:rsidRPr="00B61DF3">
        <w:rPr>
          <w:rFonts w:ascii="Palatino Linotype" w:hAnsi="Palatino Linotype" w:cs="Arial"/>
          <w:i/>
          <w:sz w:val="22"/>
          <w:szCs w:val="22"/>
        </w:rPr>
        <w:t>S</w:t>
      </w:r>
      <w:r w:rsidRPr="00B61DF3">
        <w:rPr>
          <w:rFonts w:ascii="Palatino Linotype" w:hAnsi="Palatino Linotype" w:cs="Arial"/>
          <w:i/>
          <w:sz w:val="22"/>
          <w:szCs w:val="22"/>
        </w:rPr>
        <w:t>ic)</w:t>
      </w:r>
      <w:r w:rsidR="004E74D1" w:rsidRPr="00B61DF3">
        <w:rPr>
          <w:rFonts w:ascii="Palatino Linotype" w:hAnsi="Palatino Linotype" w:cs="Arial"/>
          <w:i/>
          <w:sz w:val="22"/>
          <w:szCs w:val="22"/>
        </w:rPr>
        <w:t>.</w:t>
      </w:r>
    </w:p>
    <w:p w14:paraId="0FB2753E" w14:textId="3A25A4BD" w:rsidR="002B5838" w:rsidRPr="00B61DF3" w:rsidRDefault="00457BB8" w:rsidP="00B61DF3">
      <w:pPr>
        <w:widowControl w:val="0"/>
        <w:spacing w:before="100" w:beforeAutospacing="1" w:after="100" w:afterAutospacing="1" w:line="360" w:lineRule="auto"/>
        <w:jc w:val="both"/>
        <w:rPr>
          <w:rFonts w:ascii="Palatino Linotype" w:eastAsia="Palatino Linotype" w:hAnsi="Palatino Linotype" w:cs="Palatino Linotype"/>
        </w:rPr>
      </w:pPr>
      <w:r w:rsidRPr="00B61DF3">
        <w:rPr>
          <w:rFonts w:ascii="Palatino Linotype" w:hAnsi="Palatino Linotype" w:cs="Arial"/>
          <w:b/>
          <w:sz w:val="26"/>
          <w:szCs w:val="26"/>
        </w:rPr>
        <w:t>MODALIDAD DE ENTREGA</w:t>
      </w:r>
      <w:r w:rsidRPr="00B61DF3">
        <w:rPr>
          <w:rFonts w:ascii="Palatino Linotype" w:hAnsi="Palatino Linotype" w:cs="Arial"/>
          <w:b/>
        </w:rPr>
        <w:t>:</w:t>
      </w:r>
      <w:r w:rsidRPr="00B61DF3">
        <w:rPr>
          <w:rFonts w:ascii="Palatino Linotype" w:hAnsi="Palatino Linotype" w:cs="Arial"/>
        </w:rPr>
        <w:t xml:space="preserve"> </w:t>
      </w:r>
      <w:r w:rsidR="007D6468" w:rsidRPr="00B61DF3">
        <w:rPr>
          <w:rFonts w:ascii="Palatino Linotype" w:eastAsia="Palatino Linotype" w:hAnsi="Palatino Linotype" w:cs="Palatino Linotype"/>
        </w:rPr>
        <w:t xml:space="preserve">Sistema de Acceso a la </w:t>
      </w:r>
      <w:r w:rsidR="00302F1B" w:rsidRPr="00B61DF3">
        <w:rPr>
          <w:rFonts w:ascii="Palatino Linotype" w:eastAsia="Palatino Linotype" w:hAnsi="Palatino Linotype" w:cs="Palatino Linotype"/>
        </w:rPr>
        <w:t>I</w:t>
      </w:r>
      <w:r w:rsidR="00F43AE7" w:rsidRPr="00B61DF3">
        <w:rPr>
          <w:rFonts w:ascii="Palatino Linotype" w:eastAsia="Palatino Linotype" w:hAnsi="Palatino Linotype" w:cs="Palatino Linotype"/>
        </w:rPr>
        <w:t xml:space="preserve">nformación Mexiquense (SAIMEX). </w:t>
      </w:r>
    </w:p>
    <w:p w14:paraId="3E37F371" w14:textId="77777777" w:rsidR="00A83DDE" w:rsidRPr="00B61DF3" w:rsidRDefault="00A83DDE" w:rsidP="00B61DF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B61DF3">
        <w:rPr>
          <w:rFonts w:ascii="Palatino Linotype" w:eastAsia="Palatino Linotype" w:hAnsi="Palatino Linotype" w:cs="Palatino Linotype"/>
          <w:b/>
          <w:sz w:val="28"/>
          <w:szCs w:val="28"/>
        </w:rPr>
        <w:t xml:space="preserve">II. </w:t>
      </w:r>
      <w:r w:rsidRPr="00B61DF3">
        <w:rPr>
          <w:rFonts w:ascii="Palatino Linotype" w:eastAsia="Calibri" w:hAnsi="Palatino Linotype" w:cs="Arial"/>
          <w:b/>
          <w:sz w:val="26"/>
          <w:szCs w:val="26"/>
          <w:lang w:eastAsia="en-US"/>
        </w:rPr>
        <w:t>Turno de requerimiento del Sujeto Obligado</w:t>
      </w:r>
    </w:p>
    <w:p w14:paraId="038308C7" w14:textId="2BD86CDE" w:rsidR="00A83DDE" w:rsidRPr="00B61DF3" w:rsidRDefault="00A83DDE" w:rsidP="00B61DF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B61DF3">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4F42DB" w:rsidRPr="00B61DF3">
        <w:rPr>
          <w:rFonts w:ascii="Palatino Linotype" w:eastAsia="Calibri" w:hAnsi="Palatino Linotype" w:cs="Arial"/>
          <w:b/>
          <w:bCs/>
          <w:lang w:val="es-ES" w:eastAsia="en-US"/>
        </w:rPr>
        <w:t>veintiocho de noviembre</w:t>
      </w:r>
      <w:r w:rsidRPr="00B61DF3">
        <w:rPr>
          <w:rFonts w:ascii="Palatino Linotype" w:eastAsia="Calibri" w:hAnsi="Palatino Linotype" w:cs="Arial"/>
          <w:b/>
          <w:bCs/>
          <w:lang w:val="es-ES" w:eastAsia="en-US"/>
        </w:rPr>
        <w:t xml:space="preserve"> de dos mil veintidós</w:t>
      </w:r>
      <w:r w:rsidRPr="00B61DF3">
        <w:rPr>
          <w:rFonts w:ascii="Palatino Linotype" w:eastAsia="Calibri" w:hAnsi="Palatino Linotype" w:cs="Arial"/>
          <w:lang w:val="es-ES" w:eastAsia="en-US"/>
        </w:rPr>
        <w:t xml:space="preserve">, </w:t>
      </w:r>
      <w:r w:rsidRPr="00B61DF3">
        <w:rPr>
          <w:rFonts w:ascii="Palatino Linotype" w:eastAsia="Calibri" w:hAnsi="Palatino Linotype" w:cs="Arial"/>
          <w:b/>
          <w:lang w:val="es-ES" w:eastAsia="en-US"/>
        </w:rPr>
        <w:t>EL SUJETO OBLIGADO</w:t>
      </w:r>
      <w:r w:rsidRPr="00B61DF3">
        <w:rPr>
          <w:rFonts w:ascii="Palatino Linotype" w:eastAsia="Calibri" w:hAnsi="Palatino Linotype" w:cs="Arial"/>
          <w:lang w:val="es-ES" w:eastAsia="en-US"/>
        </w:rPr>
        <w:t xml:space="preserve"> turnó mediante requerimiento, el contenido de la solicitud de información a</w:t>
      </w:r>
      <w:r w:rsidR="004F42DB" w:rsidRPr="00B61DF3">
        <w:rPr>
          <w:rFonts w:ascii="Palatino Linotype" w:eastAsia="Calibri" w:hAnsi="Palatino Linotype" w:cs="Arial"/>
          <w:lang w:val="es-ES" w:eastAsia="en-US"/>
        </w:rPr>
        <w:t xml:space="preserve">l </w:t>
      </w:r>
      <w:r w:rsidRPr="00B61DF3">
        <w:rPr>
          <w:rFonts w:ascii="Palatino Linotype" w:eastAsia="Calibri" w:hAnsi="Palatino Linotype" w:cs="Arial"/>
          <w:lang w:val="es-ES" w:eastAsia="en-US"/>
        </w:rPr>
        <w:t>servidor público habilitado</w:t>
      </w:r>
      <w:r w:rsidR="004F42DB" w:rsidRPr="00B61DF3">
        <w:rPr>
          <w:rFonts w:ascii="Palatino Linotype" w:eastAsia="Calibri" w:hAnsi="Palatino Linotype" w:cs="Arial"/>
          <w:lang w:val="es-ES" w:eastAsia="en-US"/>
        </w:rPr>
        <w:t xml:space="preserve"> </w:t>
      </w:r>
      <w:r w:rsidRPr="00B61DF3">
        <w:rPr>
          <w:rFonts w:ascii="Palatino Linotype" w:eastAsia="Calibri" w:hAnsi="Palatino Linotype" w:cs="Arial"/>
          <w:lang w:val="es-ES" w:eastAsia="en-US"/>
        </w:rPr>
        <w:t>que consideró competente, a efecto de realizar la búsqueda y localización de la información solicitada, tal como se desprende de la imagen que se inserta a continuación:</w:t>
      </w:r>
    </w:p>
    <w:p w14:paraId="54F45BC9" w14:textId="67F3FC50" w:rsidR="00A83DDE" w:rsidRPr="00B61DF3" w:rsidRDefault="004F42DB" w:rsidP="00B61DF3">
      <w:pPr>
        <w:widowControl w:val="0"/>
        <w:tabs>
          <w:tab w:val="left" w:pos="1770"/>
        </w:tabs>
        <w:autoSpaceDE w:val="0"/>
        <w:autoSpaceDN w:val="0"/>
        <w:adjustRightInd w:val="0"/>
        <w:spacing w:before="100" w:beforeAutospacing="1" w:after="100" w:afterAutospacing="1" w:line="360" w:lineRule="auto"/>
        <w:rPr>
          <w:rFonts w:ascii="Palatino Linotype" w:eastAsia="Calibri" w:hAnsi="Palatino Linotype" w:cs="Arial"/>
          <w:lang w:val="es-ES" w:eastAsia="en-US"/>
        </w:rPr>
      </w:pPr>
      <w:r w:rsidRPr="00B61DF3">
        <w:rPr>
          <w:rFonts w:ascii="Palatino Linotype" w:eastAsia="Calibri" w:hAnsi="Palatino Linotype" w:cs="Arial"/>
          <w:noProof/>
          <w:lang w:eastAsia="es-MX"/>
        </w:rPr>
        <w:drawing>
          <wp:inline distT="0" distB="0" distL="0" distR="0" wp14:anchorId="1612217F" wp14:editId="7140E032">
            <wp:extent cx="5791835" cy="638175"/>
            <wp:effectExtent l="0" t="0" r="0" b="9525"/>
            <wp:docPr id="1773747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7494" name=""/>
                    <pic:cNvPicPr/>
                  </pic:nvPicPr>
                  <pic:blipFill>
                    <a:blip r:embed="rId8"/>
                    <a:stretch>
                      <a:fillRect/>
                    </a:stretch>
                  </pic:blipFill>
                  <pic:spPr>
                    <a:xfrm>
                      <a:off x="0" y="0"/>
                      <a:ext cx="5791835" cy="638175"/>
                    </a:xfrm>
                    <a:prstGeom prst="rect">
                      <a:avLst/>
                    </a:prstGeom>
                  </pic:spPr>
                </pic:pic>
              </a:graphicData>
            </a:graphic>
          </wp:inline>
        </w:drawing>
      </w:r>
    </w:p>
    <w:p w14:paraId="6A8E91EB" w14:textId="7E0B2299" w:rsidR="00FA5972" w:rsidRPr="00B61DF3" w:rsidRDefault="00A83DDE" w:rsidP="00B61DF3">
      <w:pPr>
        <w:widowControl w:val="0"/>
        <w:autoSpaceDE w:val="0"/>
        <w:autoSpaceDN w:val="0"/>
        <w:adjustRightInd w:val="0"/>
        <w:spacing w:before="100" w:beforeAutospacing="1" w:after="100" w:afterAutospacing="1" w:line="360" w:lineRule="auto"/>
        <w:jc w:val="both"/>
        <w:rPr>
          <w:rFonts w:ascii="Palatino Linotype" w:hAnsi="Palatino Linotype" w:cs="Arial"/>
          <w:b/>
          <w:sz w:val="26"/>
          <w:szCs w:val="26"/>
        </w:rPr>
      </w:pPr>
      <w:r w:rsidRPr="00B61DF3">
        <w:rPr>
          <w:rFonts w:ascii="Palatino Linotype" w:eastAsia="Palatino Linotype" w:hAnsi="Palatino Linotype" w:cs="Palatino Linotype"/>
          <w:b/>
          <w:sz w:val="28"/>
          <w:szCs w:val="28"/>
        </w:rPr>
        <w:t>I</w:t>
      </w:r>
      <w:r w:rsidR="00C36C86" w:rsidRPr="00B61DF3">
        <w:rPr>
          <w:rFonts w:ascii="Palatino Linotype" w:eastAsia="Palatino Linotype" w:hAnsi="Palatino Linotype" w:cs="Palatino Linotype"/>
          <w:b/>
          <w:sz w:val="28"/>
          <w:szCs w:val="28"/>
        </w:rPr>
        <w:t>II.</w:t>
      </w:r>
      <w:r w:rsidR="00773AE3" w:rsidRPr="00B61DF3">
        <w:rPr>
          <w:rFonts w:ascii="Palatino Linotype" w:eastAsia="Calibri" w:hAnsi="Palatino Linotype" w:cs="Arial"/>
          <w:sz w:val="26"/>
          <w:szCs w:val="26"/>
          <w:lang w:val="es-ES" w:eastAsia="en-US"/>
        </w:rPr>
        <w:t xml:space="preserve"> </w:t>
      </w:r>
      <w:r w:rsidR="00FA5972" w:rsidRPr="00B61DF3">
        <w:rPr>
          <w:rFonts w:ascii="Palatino Linotype" w:hAnsi="Palatino Linotype" w:cs="Arial"/>
          <w:b/>
          <w:sz w:val="26"/>
          <w:szCs w:val="26"/>
        </w:rPr>
        <w:t>Respuesta del Sujeto Obligado</w:t>
      </w:r>
      <w:r w:rsidR="00D73171" w:rsidRPr="00B61DF3">
        <w:rPr>
          <w:rFonts w:ascii="Palatino Linotype" w:hAnsi="Palatino Linotype" w:cs="Arial"/>
          <w:b/>
          <w:sz w:val="26"/>
          <w:szCs w:val="26"/>
        </w:rPr>
        <w:t>.</w:t>
      </w:r>
    </w:p>
    <w:p w14:paraId="7C3BA728" w14:textId="5B7BAA12" w:rsidR="00C9398D" w:rsidRPr="00B61DF3" w:rsidRDefault="00641A03" w:rsidP="00B61DF3">
      <w:pPr>
        <w:spacing w:before="100" w:beforeAutospacing="1" w:after="100" w:afterAutospacing="1" w:line="360" w:lineRule="auto"/>
        <w:jc w:val="both"/>
        <w:rPr>
          <w:rFonts w:ascii="Palatino Linotype" w:hAnsi="Palatino Linotype" w:cs="Arial"/>
        </w:rPr>
      </w:pPr>
      <w:r w:rsidRPr="00B61DF3">
        <w:rPr>
          <w:rFonts w:ascii="Palatino Linotype" w:hAnsi="Palatino Linotype"/>
        </w:rPr>
        <w:t xml:space="preserve">De las constancias que obran en el </w:t>
      </w:r>
      <w:r w:rsidRPr="00B61DF3">
        <w:rPr>
          <w:rFonts w:ascii="Palatino Linotype" w:hAnsi="Palatino Linotype"/>
          <w:b/>
        </w:rPr>
        <w:t>SAIMEX,</w:t>
      </w:r>
      <w:r w:rsidRPr="00B61DF3">
        <w:rPr>
          <w:rFonts w:ascii="Palatino Linotype" w:hAnsi="Palatino Linotype"/>
        </w:rPr>
        <w:t xml:space="preserve"> se advierte que</w:t>
      </w:r>
      <w:r w:rsidR="00773AE3" w:rsidRPr="00B61DF3">
        <w:rPr>
          <w:rFonts w:ascii="Palatino Linotype" w:hAnsi="Palatino Linotype"/>
        </w:rPr>
        <w:t xml:space="preserve"> el </w:t>
      </w:r>
      <w:r w:rsidR="004F42DB" w:rsidRPr="00B61DF3">
        <w:rPr>
          <w:rFonts w:ascii="Palatino Linotype" w:hAnsi="Palatino Linotype"/>
          <w:b/>
          <w:bCs/>
        </w:rPr>
        <w:t>catorce de diciembre</w:t>
      </w:r>
      <w:r w:rsidR="00D0570C" w:rsidRPr="00B61DF3">
        <w:rPr>
          <w:rFonts w:ascii="Palatino Linotype" w:hAnsi="Palatino Linotype"/>
          <w:b/>
          <w:bCs/>
        </w:rPr>
        <w:t xml:space="preserve"> de</w:t>
      </w:r>
      <w:r w:rsidR="00DF6645" w:rsidRPr="00B61DF3">
        <w:rPr>
          <w:rFonts w:ascii="Palatino Linotype" w:hAnsi="Palatino Linotype"/>
          <w:b/>
          <w:bCs/>
        </w:rPr>
        <w:t xml:space="preserve"> dos mil veintidós</w:t>
      </w:r>
      <w:r w:rsidR="00D0570C" w:rsidRPr="00B61DF3">
        <w:rPr>
          <w:rFonts w:ascii="Palatino Linotype" w:hAnsi="Palatino Linotype"/>
        </w:rPr>
        <w:t>,</w:t>
      </w:r>
      <w:r w:rsidRPr="00B61DF3">
        <w:rPr>
          <w:rFonts w:ascii="Palatino Linotype" w:hAnsi="Palatino Linotype"/>
        </w:rPr>
        <w:t xml:space="preserve"> </w:t>
      </w:r>
      <w:r w:rsidRPr="00B61DF3">
        <w:rPr>
          <w:rFonts w:ascii="Palatino Linotype" w:hAnsi="Palatino Linotype" w:cs="Arial"/>
          <w:b/>
        </w:rPr>
        <w:t>EL SUJETO OBLIGADO</w:t>
      </w:r>
      <w:r w:rsidRPr="00B61DF3">
        <w:rPr>
          <w:rFonts w:ascii="Palatino Linotype" w:hAnsi="Palatino Linotype" w:cs="Arial"/>
        </w:rPr>
        <w:t xml:space="preserve"> </w:t>
      </w:r>
      <w:r w:rsidR="0068657B" w:rsidRPr="00B61DF3">
        <w:rPr>
          <w:rFonts w:ascii="Palatino Linotype" w:hAnsi="Palatino Linotype" w:cs="Arial"/>
        </w:rPr>
        <w:t>entregó</w:t>
      </w:r>
      <w:r w:rsidRPr="00B61DF3">
        <w:rPr>
          <w:rFonts w:ascii="Palatino Linotype" w:hAnsi="Palatino Linotype" w:cs="Arial"/>
        </w:rPr>
        <w:t xml:space="preserve"> la respuesta a la solicitud de </w:t>
      </w:r>
      <w:r w:rsidR="00D86297" w:rsidRPr="00B61DF3">
        <w:rPr>
          <w:rFonts w:ascii="Palatino Linotype" w:hAnsi="Palatino Linotype" w:cs="Arial"/>
        </w:rPr>
        <w:t>Información Pública</w:t>
      </w:r>
      <w:r w:rsidR="0068657B" w:rsidRPr="00B61DF3">
        <w:rPr>
          <w:rFonts w:ascii="Palatino Linotype" w:hAnsi="Palatino Linotype" w:cs="Arial"/>
        </w:rPr>
        <w:t xml:space="preserve"> del particular</w:t>
      </w:r>
      <w:r w:rsidR="00C9398D" w:rsidRPr="00B61DF3">
        <w:rPr>
          <w:rFonts w:ascii="Palatino Linotype" w:hAnsi="Palatino Linotype" w:cs="Arial"/>
        </w:rPr>
        <w:t xml:space="preserve"> en los siguientes términos:</w:t>
      </w:r>
    </w:p>
    <w:p w14:paraId="2A0A6619" w14:textId="05ADAFBC" w:rsidR="004F42DB" w:rsidRPr="00B61DF3" w:rsidRDefault="003945BA" w:rsidP="00B61DF3">
      <w:pPr>
        <w:spacing w:before="100" w:beforeAutospacing="1" w:after="100" w:afterAutospacing="1" w:line="276" w:lineRule="auto"/>
        <w:ind w:left="851" w:right="899"/>
        <w:jc w:val="both"/>
        <w:rPr>
          <w:rFonts w:ascii="Palatino Linotype" w:hAnsi="Palatino Linotype" w:cs="Arial"/>
          <w:i/>
          <w:sz w:val="22"/>
        </w:rPr>
      </w:pPr>
      <w:r w:rsidRPr="00B61DF3">
        <w:rPr>
          <w:rFonts w:ascii="Palatino Linotype" w:hAnsi="Palatino Linotype" w:cs="Arial"/>
          <w:i/>
          <w:sz w:val="22"/>
        </w:rPr>
        <w:t>“</w:t>
      </w:r>
      <w:r w:rsidR="004F42DB" w:rsidRPr="00B61DF3">
        <w:rPr>
          <w:rFonts w:ascii="Palatino Linotype" w:hAnsi="Palatino Linotype" w:cs="Arial"/>
          <w:i/>
          <w:sz w:val="22"/>
        </w:rPr>
        <w:t xml:space="preserve">…En respuesta a la solicitud recibida, nos permitimos hacer de su conocimiento que con fundamento en el artículo 53, Fracciones: II, V y VI de la Ley de </w:t>
      </w:r>
      <w:r w:rsidR="004F42DB" w:rsidRPr="00B61DF3">
        <w:rPr>
          <w:rFonts w:ascii="Palatino Linotype" w:hAnsi="Palatino Linotype" w:cs="Arial"/>
          <w:i/>
          <w:sz w:val="22"/>
        </w:rPr>
        <w:lastRenderedPageBreak/>
        <w:t>Transparencia y Acceso a la Información Pública del Estado de México y Municipios, le contestamos que:</w:t>
      </w:r>
    </w:p>
    <w:p w14:paraId="76A9CCE0" w14:textId="667A3254" w:rsidR="00924A3A" w:rsidRPr="00B61DF3" w:rsidRDefault="004F42DB" w:rsidP="00B61DF3">
      <w:pPr>
        <w:spacing w:before="100" w:beforeAutospacing="1" w:after="100" w:afterAutospacing="1" w:line="276" w:lineRule="auto"/>
        <w:ind w:left="851" w:right="899"/>
        <w:jc w:val="both"/>
        <w:rPr>
          <w:rFonts w:ascii="Palatino Linotype" w:hAnsi="Palatino Linotype" w:cs="Arial"/>
          <w:i/>
          <w:sz w:val="22"/>
        </w:rPr>
      </w:pPr>
      <w:r w:rsidRPr="00B61DF3">
        <w:rPr>
          <w:rFonts w:ascii="Palatino Linotype" w:hAnsi="Palatino Linotype" w:cs="Arial"/>
          <w:i/>
          <w:sz w:val="22"/>
        </w:rPr>
        <w:t>Se emite respuesta…</w:t>
      </w:r>
      <w:r w:rsidR="003945BA" w:rsidRPr="00B61DF3">
        <w:rPr>
          <w:rFonts w:ascii="Palatino Linotype" w:hAnsi="Palatino Linotype" w:cs="Arial"/>
          <w:i/>
          <w:sz w:val="22"/>
        </w:rPr>
        <w:t>” (Sic)</w:t>
      </w:r>
    </w:p>
    <w:p w14:paraId="4EDD4F40" w14:textId="77777777" w:rsidR="004F42DB" w:rsidRPr="00B61DF3" w:rsidRDefault="004F42DB" w:rsidP="00B61DF3">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B61DF3">
        <w:rPr>
          <w:rFonts w:ascii="Palatino Linotype" w:hAnsi="Palatino Linotype" w:cs="Arial"/>
          <w:bCs/>
        </w:rPr>
        <w:t xml:space="preserve">Es de necesario precisar que </w:t>
      </w:r>
      <w:r w:rsidR="00314435" w:rsidRPr="00B61DF3">
        <w:rPr>
          <w:rFonts w:ascii="Palatino Linotype" w:hAnsi="Palatino Linotype" w:cs="Arial"/>
          <w:b/>
        </w:rPr>
        <w:t>EL SUJETO OBLIGADO</w:t>
      </w:r>
      <w:r w:rsidR="00314435" w:rsidRPr="00B61DF3">
        <w:rPr>
          <w:rFonts w:ascii="Palatino Linotype" w:hAnsi="Palatino Linotype" w:cs="Arial"/>
          <w:bCs/>
        </w:rPr>
        <w:t xml:space="preserve"> adjunt</w:t>
      </w:r>
      <w:r w:rsidR="0013694E" w:rsidRPr="00B61DF3">
        <w:rPr>
          <w:rFonts w:ascii="Palatino Linotype" w:hAnsi="Palatino Linotype" w:cs="Arial"/>
          <w:bCs/>
        </w:rPr>
        <w:t>ó</w:t>
      </w:r>
      <w:r w:rsidR="00314435" w:rsidRPr="00B61DF3">
        <w:rPr>
          <w:rFonts w:ascii="Palatino Linotype" w:hAnsi="Palatino Linotype" w:cs="Arial"/>
          <w:bCs/>
        </w:rPr>
        <w:t xml:space="preserve"> </w:t>
      </w:r>
      <w:r w:rsidR="004E51BF" w:rsidRPr="00B61DF3">
        <w:rPr>
          <w:rFonts w:ascii="Palatino Linotype" w:hAnsi="Palatino Linotype" w:cs="Arial"/>
          <w:bCs/>
        </w:rPr>
        <w:t>los</w:t>
      </w:r>
      <w:r w:rsidR="00A91B31" w:rsidRPr="00B61DF3">
        <w:rPr>
          <w:rFonts w:ascii="Palatino Linotype" w:hAnsi="Palatino Linotype" w:cs="Arial"/>
          <w:bCs/>
        </w:rPr>
        <w:t xml:space="preserve"> archiv</w:t>
      </w:r>
      <w:r w:rsidR="004E51BF" w:rsidRPr="00B61DF3">
        <w:rPr>
          <w:rFonts w:ascii="Palatino Linotype" w:hAnsi="Palatino Linotype" w:cs="Arial"/>
          <w:bCs/>
        </w:rPr>
        <w:t xml:space="preserve">os </w:t>
      </w:r>
      <w:r w:rsidR="00A91B31" w:rsidRPr="00B61DF3">
        <w:rPr>
          <w:rFonts w:ascii="Palatino Linotype" w:hAnsi="Palatino Linotype" w:cs="Arial"/>
          <w:bCs/>
        </w:rPr>
        <w:t>electrónico</w:t>
      </w:r>
      <w:r w:rsidR="004E51BF" w:rsidRPr="00B61DF3">
        <w:rPr>
          <w:rFonts w:ascii="Palatino Linotype" w:hAnsi="Palatino Linotype" w:cs="Arial"/>
          <w:bCs/>
        </w:rPr>
        <w:t>s</w:t>
      </w:r>
      <w:r w:rsidR="00AD7D51" w:rsidRPr="00B61DF3">
        <w:rPr>
          <w:rFonts w:ascii="Palatino Linotype" w:hAnsi="Palatino Linotype" w:cs="Arial"/>
          <w:bCs/>
        </w:rPr>
        <w:t xml:space="preserve"> </w:t>
      </w:r>
      <w:r w:rsidRPr="00B61DF3">
        <w:rPr>
          <w:rFonts w:ascii="Palatino Linotype" w:hAnsi="Palatino Linotype" w:cs="Arial"/>
          <w:bCs/>
        </w:rPr>
        <w:t>que a continuación se describen:</w:t>
      </w:r>
    </w:p>
    <w:p w14:paraId="26655CEE" w14:textId="1E9B2089" w:rsidR="004F42DB" w:rsidRPr="00B61DF3" w:rsidRDefault="004F42DB" w:rsidP="00B61DF3">
      <w:pPr>
        <w:pStyle w:val="Prrafodelista"/>
        <w:numPr>
          <w:ilvl w:val="0"/>
          <w:numId w:val="30"/>
        </w:numPr>
        <w:tabs>
          <w:tab w:val="left" w:pos="709"/>
        </w:tabs>
        <w:spacing w:before="240" w:after="240" w:line="360" w:lineRule="auto"/>
        <w:jc w:val="both"/>
        <w:rPr>
          <w:rFonts w:ascii="Palatino Linotype" w:hAnsi="Palatino Linotype" w:cs="Arial"/>
          <w:b/>
          <w:i/>
          <w:iCs/>
        </w:rPr>
      </w:pPr>
      <w:r w:rsidRPr="00B61DF3">
        <w:rPr>
          <w:rFonts w:ascii="Palatino Linotype" w:hAnsi="Palatino Linotype" w:cs="Arial"/>
          <w:b/>
          <w:i/>
          <w:iCs/>
        </w:rPr>
        <w:t xml:space="preserve">“Acta de la 34a. Sesión Extraordinaria del CT 2022.pdf”: </w:t>
      </w:r>
      <w:r w:rsidRPr="00B61DF3">
        <w:rPr>
          <w:rFonts w:ascii="Palatino Linotype" w:hAnsi="Palatino Linotype" w:cs="Arial"/>
          <w:bCs/>
        </w:rPr>
        <w:t xml:space="preserve">Documento con 16 fojas útiles, que contiene el Acta de la Trigésima Cuarta Sesión Extraordinaria del Comité de Transparencia, en el que se </w:t>
      </w:r>
      <w:r w:rsidR="003326BC" w:rsidRPr="00B61DF3">
        <w:rPr>
          <w:rFonts w:ascii="Palatino Linotype" w:hAnsi="Palatino Linotype" w:cs="Arial"/>
          <w:bCs/>
        </w:rPr>
        <w:t>clasifica como reservados los documentos proporcionados y generados con motivo de la fiscalización al programa salario rosa</w:t>
      </w:r>
      <w:r w:rsidR="00BD2F17" w:rsidRPr="00B61DF3">
        <w:rPr>
          <w:rFonts w:ascii="Palatino Linotype" w:hAnsi="Palatino Linotype" w:cs="Arial"/>
          <w:bCs/>
        </w:rPr>
        <w:t>, mismo que será de análisis en el Considerando correspondiente.</w:t>
      </w:r>
    </w:p>
    <w:p w14:paraId="19AADA6C" w14:textId="6C1A1F99" w:rsidR="004F42DB" w:rsidRPr="00B61DF3" w:rsidRDefault="004F42DB" w:rsidP="00B61DF3">
      <w:pPr>
        <w:pStyle w:val="Prrafodelista"/>
        <w:numPr>
          <w:ilvl w:val="0"/>
          <w:numId w:val="30"/>
        </w:numPr>
        <w:tabs>
          <w:tab w:val="left" w:pos="709"/>
        </w:tabs>
        <w:spacing w:before="100" w:beforeAutospacing="1" w:after="100" w:afterAutospacing="1" w:line="360" w:lineRule="auto"/>
        <w:jc w:val="both"/>
        <w:rPr>
          <w:rFonts w:ascii="Palatino Linotype" w:hAnsi="Palatino Linotype" w:cs="Arial"/>
          <w:b/>
          <w:i/>
          <w:iCs/>
        </w:rPr>
      </w:pPr>
      <w:r w:rsidRPr="00B61DF3">
        <w:rPr>
          <w:rFonts w:ascii="Palatino Linotype" w:hAnsi="Palatino Linotype" w:cs="Arial"/>
          <w:b/>
          <w:i/>
          <w:iCs/>
        </w:rPr>
        <w:t>“Respuesta a Sol 733-2022.pdf”:</w:t>
      </w:r>
      <w:r w:rsidR="00BD2F17" w:rsidRPr="00B61DF3">
        <w:rPr>
          <w:rFonts w:ascii="Palatino Linotype" w:hAnsi="Palatino Linotype" w:cs="Arial"/>
          <w:b/>
          <w:i/>
          <w:iCs/>
        </w:rPr>
        <w:t xml:space="preserve"> </w:t>
      </w:r>
      <w:r w:rsidR="00BD2F17" w:rsidRPr="00B61DF3">
        <w:rPr>
          <w:rFonts w:ascii="Palatino Linotype" w:hAnsi="Palatino Linotype" w:cs="Arial"/>
          <w:bCs/>
        </w:rPr>
        <w:t xml:space="preserve">contiene el oficio OSFEM/DJC/SPH/0189/2022, signado por el </w:t>
      </w:r>
      <w:bookmarkStart w:id="1" w:name="_Hlk138074201"/>
      <w:r w:rsidR="00BD2F17" w:rsidRPr="00B61DF3">
        <w:rPr>
          <w:rFonts w:ascii="Palatino Linotype" w:hAnsi="Palatino Linotype" w:cs="Arial"/>
          <w:bCs/>
        </w:rPr>
        <w:t>servidor público habilitado del Órgano Superior de Fiscalización del Estado de México</w:t>
      </w:r>
      <w:bookmarkEnd w:id="1"/>
      <w:r w:rsidR="00BD2F17" w:rsidRPr="00B61DF3">
        <w:rPr>
          <w:rFonts w:ascii="Palatino Linotype" w:hAnsi="Palatino Linotype" w:cs="Arial"/>
          <w:bCs/>
        </w:rPr>
        <w:t xml:space="preserve">, donde menciona que derivado de una búsqueda exhaustiva y razonable informa que en los ejercicios fiscales 2017 y 2018 no se realizaron </w:t>
      </w:r>
      <w:r w:rsidR="00764A4C" w:rsidRPr="00B61DF3">
        <w:rPr>
          <w:rFonts w:ascii="Palatino Linotype" w:hAnsi="Palatino Linotype" w:cs="Arial"/>
          <w:bCs/>
        </w:rPr>
        <w:t>auditorías</w:t>
      </w:r>
      <w:r w:rsidR="00BD2F17" w:rsidRPr="00B61DF3">
        <w:rPr>
          <w:rFonts w:ascii="Palatino Linotype" w:hAnsi="Palatino Linotype" w:cs="Arial"/>
          <w:bCs/>
        </w:rPr>
        <w:t xml:space="preserve"> al Programa Salario Rosa, sin embargo, se </w:t>
      </w:r>
      <w:r w:rsidR="00764A4C" w:rsidRPr="00B61DF3">
        <w:rPr>
          <w:rFonts w:ascii="Palatino Linotype" w:hAnsi="Palatino Linotype" w:cs="Arial"/>
          <w:bCs/>
        </w:rPr>
        <w:t>localizó</w:t>
      </w:r>
      <w:r w:rsidR="00BD2F17" w:rsidRPr="00B61DF3">
        <w:rPr>
          <w:rFonts w:ascii="Palatino Linotype" w:hAnsi="Palatino Linotype" w:cs="Arial"/>
          <w:bCs/>
        </w:rPr>
        <w:t xml:space="preserve"> información vinculada </w:t>
      </w:r>
      <w:r w:rsidR="00CA5656" w:rsidRPr="00B61DF3">
        <w:rPr>
          <w:rFonts w:ascii="Palatino Linotype" w:hAnsi="Palatino Linotype" w:cs="Arial"/>
          <w:bCs/>
        </w:rPr>
        <w:t>de los años 2019 y 2020 la cual se encuentra en trámite, es decir, existen datos que de ser divulgados pueden alterar el curso de los procedimientos correspondientes, en virtud de lo anterior, no se encuentran en posibilidad de entregar información de entregar información respecto a dichos procedimiento, ellos en razón de que a la fecha de la solicitud se encuentran en proceso.</w:t>
      </w:r>
    </w:p>
    <w:p w14:paraId="20DEE9B6" w14:textId="135EA19D" w:rsidR="004F42DB" w:rsidRPr="00B61DF3" w:rsidRDefault="004F42DB" w:rsidP="00B61DF3">
      <w:pPr>
        <w:pStyle w:val="Prrafodelista"/>
        <w:numPr>
          <w:ilvl w:val="0"/>
          <w:numId w:val="30"/>
        </w:numPr>
        <w:tabs>
          <w:tab w:val="left" w:pos="709"/>
        </w:tabs>
        <w:spacing w:before="100" w:beforeAutospacing="1" w:after="100" w:afterAutospacing="1" w:line="360" w:lineRule="auto"/>
        <w:jc w:val="both"/>
        <w:rPr>
          <w:rFonts w:ascii="Palatino Linotype" w:hAnsi="Palatino Linotype" w:cs="Arial"/>
          <w:b/>
          <w:i/>
          <w:iCs/>
        </w:rPr>
      </w:pPr>
      <w:r w:rsidRPr="00B61DF3">
        <w:rPr>
          <w:rFonts w:ascii="Palatino Linotype" w:hAnsi="Palatino Linotype" w:cs="Arial"/>
          <w:b/>
          <w:i/>
          <w:iCs/>
        </w:rPr>
        <w:lastRenderedPageBreak/>
        <w:t>“733 Respuesta OSFEM.pdf”</w:t>
      </w:r>
      <w:r w:rsidR="00764A4C" w:rsidRPr="00B61DF3">
        <w:rPr>
          <w:rFonts w:ascii="Palatino Linotype" w:hAnsi="Palatino Linotype" w:cs="Arial"/>
          <w:b/>
          <w:i/>
          <w:iCs/>
        </w:rPr>
        <w:t xml:space="preserve">: </w:t>
      </w:r>
      <w:r w:rsidR="00764A4C" w:rsidRPr="00B61DF3">
        <w:rPr>
          <w:rFonts w:ascii="Palatino Linotype" w:hAnsi="Palatino Linotype" w:cs="Arial"/>
          <w:bCs/>
        </w:rPr>
        <w:t>Contiene</w:t>
      </w:r>
      <w:r w:rsidR="00CA5656" w:rsidRPr="00B61DF3">
        <w:rPr>
          <w:rFonts w:ascii="Palatino Linotype" w:hAnsi="Palatino Linotype" w:cs="Arial"/>
          <w:bCs/>
        </w:rPr>
        <w:t xml:space="preserve"> el oficio UIPL/2006/2022, signado por el Titular de la Unidad de Transparencia</w:t>
      </w:r>
      <w:r w:rsidR="002D5417" w:rsidRPr="00B61DF3">
        <w:rPr>
          <w:rFonts w:ascii="Palatino Linotype" w:hAnsi="Palatino Linotype" w:cs="Arial"/>
          <w:bCs/>
        </w:rPr>
        <w:t xml:space="preserve"> en el cual se informa que adjunta la respuesta del servidor público habilitado del Órgano Superior de Fiscalización del Estado de México.</w:t>
      </w:r>
    </w:p>
    <w:p w14:paraId="5AF077F6" w14:textId="0DCD87C9" w:rsidR="007D38BB" w:rsidRPr="00B61DF3" w:rsidRDefault="00D44C9E" w:rsidP="00B61DF3">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B61DF3">
        <w:rPr>
          <w:rFonts w:ascii="Palatino Linotype" w:hAnsi="Palatino Linotype" w:cs="Arial"/>
          <w:b/>
          <w:sz w:val="26"/>
          <w:szCs w:val="26"/>
        </w:rPr>
        <w:t>I</w:t>
      </w:r>
      <w:r w:rsidR="00162834" w:rsidRPr="00B61DF3">
        <w:rPr>
          <w:rFonts w:ascii="Palatino Linotype" w:hAnsi="Palatino Linotype" w:cs="Arial"/>
          <w:b/>
          <w:sz w:val="26"/>
          <w:szCs w:val="26"/>
        </w:rPr>
        <w:t>V</w:t>
      </w:r>
      <w:r w:rsidR="00E24730" w:rsidRPr="00B61DF3">
        <w:rPr>
          <w:rFonts w:ascii="Palatino Linotype" w:hAnsi="Palatino Linotype" w:cs="Arial"/>
          <w:b/>
          <w:sz w:val="26"/>
          <w:szCs w:val="26"/>
        </w:rPr>
        <w:t>.</w:t>
      </w:r>
      <w:r w:rsidR="000171D8" w:rsidRPr="00B61DF3">
        <w:rPr>
          <w:rFonts w:ascii="Palatino Linotype" w:hAnsi="Palatino Linotype" w:cs="Arial"/>
          <w:b/>
          <w:sz w:val="26"/>
          <w:szCs w:val="26"/>
        </w:rPr>
        <w:t xml:space="preserve"> </w:t>
      </w:r>
      <w:r w:rsidR="007D38BB" w:rsidRPr="00B61DF3">
        <w:rPr>
          <w:rFonts w:ascii="Palatino Linotype" w:hAnsi="Palatino Linotype" w:cs="Arial"/>
          <w:b/>
          <w:bCs/>
          <w:sz w:val="26"/>
          <w:szCs w:val="26"/>
        </w:rPr>
        <w:t xml:space="preserve">Del </w:t>
      </w:r>
      <w:r w:rsidR="00D86297" w:rsidRPr="00B61DF3">
        <w:rPr>
          <w:rFonts w:ascii="Palatino Linotype" w:hAnsi="Palatino Linotype" w:cs="Arial"/>
          <w:b/>
          <w:bCs/>
          <w:sz w:val="26"/>
          <w:szCs w:val="26"/>
        </w:rPr>
        <w:t>Recurso Revisión</w:t>
      </w:r>
      <w:r w:rsidR="00D73171" w:rsidRPr="00B61DF3">
        <w:rPr>
          <w:rFonts w:ascii="Palatino Linotype" w:hAnsi="Palatino Linotype" w:cs="Arial"/>
          <w:b/>
          <w:bCs/>
          <w:sz w:val="26"/>
          <w:szCs w:val="26"/>
        </w:rPr>
        <w:t>.</w:t>
      </w:r>
    </w:p>
    <w:p w14:paraId="66BB23E8" w14:textId="73E4F286" w:rsidR="00EA6DA7" w:rsidRPr="00B61DF3" w:rsidRDefault="000171D8" w:rsidP="00B61DF3">
      <w:pPr>
        <w:spacing w:before="100" w:beforeAutospacing="1" w:after="100" w:afterAutospacing="1" w:line="360" w:lineRule="auto"/>
        <w:jc w:val="both"/>
        <w:rPr>
          <w:rFonts w:ascii="Palatino Linotype" w:hAnsi="Palatino Linotype" w:cs="Arial"/>
          <w:lang w:val="es-419"/>
        </w:rPr>
      </w:pPr>
      <w:r w:rsidRPr="00B61DF3">
        <w:rPr>
          <w:rFonts w:ascii="Palatino Linotype" w:hAnsi="Palatino Linotype" w:cs="Arial"/>
        </w:rPr>
        <w:t xml:space="preserve">Inconforme </w:t>
      </w:r>
      <w:r w:rsidR="00FA3204" w:rsidRPr="00B61DF3">
        <w:rPr>
          <w:rFonts w:ascii="Palatino Linotype" w:hAnsi="Palatino Linotype" w:cs="Arial"/>
        </w:rPr>
        <w:t xml:space="preserve">con la </w:t>
      </w:r>
      <w:r w:rsidRPr="00B61DF3">
        <w:rPr>
          <w:rFonts w:ascii="Palatino Linotype" w:hAnsi="Palatino Linotype" w:cs="Arial"/>
        </w:rPr>
        <w:t xml:space="preserve">respuesta, </w:t>
      </w:r>
      <w:bookmarkStart w:id="2" w:name="_Hlk135733870"/>
      <w:r w:rsidR="0033162F" w:rsidRPr="00B61DF3">
        <w:rPr>
          <w:rFonts w:ascii="Palatino Linotype" w:hAnsi="Palatino Linotype" w:cs="Arial"/>
        </w:rPr>
        <w:t xml:space="preserve">el </w:t>
      </w:r>
      <w:r w:rsidR="002D5417" w:rsidRPr="00B61DF3">
        <w:rPr>
          <w:rFonts w:ascii="Palatino Linotype" w:hAnsi="Palatino Linotype" w:cs="Arial"/>
          <w:b/>
          <w:bCs/>
        </w:rPr>
        <w:t>veinte de diciembre</w:t>
      </w:r>
      <w:r w:rsidR="003945BA" w:rsidRPr="00B61DF3">
        <w:rPr>
          <w:rFonts w:ascii="Palatino Linotype" w:hAnsi="Palatino Linotype" w:cs="Arial"/>
          <w:b/>
          <w:bCs/>
        </w:rPr>
        <w:t xml:space="preserve"> </w:t>
      </w:r>
      <w:r w:rsidR="00B41543" w:rsidRPr="00B61DF3">
        <w:rPr>
          <w:rFonts w:ascii="Palatino Linotype" w:hAnsi="Palatino Linotype" w:cs="Arial"/>
          <w:b/>
          <w:bCs/>
        </w:rPr>
        <w:t>de dos mil veintidós</w:t>
      </w:r>
      <w:bookmarkEnd w:id="2"/>
      <w:r w:rsidRPr="00B61DF3">
        <w:rPr>
          <w:rFonts w:ascii="Palatino Linotype" w:hAnsi="Palatino Linotype" w:cs="Arial"/>
        </w:rPr>
        <w:t xml:space="preserve">, </w:t>
      </w:r>
      <w:r w:rsidR="00554F41" w:rsidRPr="00B61DF3">
        <w:rPr>
          <w:rFonts w:ascii="Palatino Linotype" w:hAnsi="Palatino Linotype" w:cs="Arial"/>
          <w:b/>
        </w:rPr>
        <w:t>EL</w:t>
      </w:r>
      <w:r w:rsidR="00B41543" w:rsidRPr="00B61DF3">
        <w:rPr>
          <w:rFonts w:ascii="Palatino Linotype" w:hAnsi="Palatino Linotype" w:cs="Arial"/>
          <w:b/>
        </w:rPr>
        <w:t xml:space="preserve"> </w:t>
      </w:r>
      <w:r w:rsidRPr="00B61DF3">
        <w:rPr>
          <w:rFonts w:ascii="Palatino Linotype" w:hAnsi="Palatino Linotype" w:cs="Arial"/>
          <w:b/>
        </w:rPr>
        <w:t>RECURRENTE</w:t>
      </w:r>
      <w:r w:rsidRPr="00B61DF3">
        <w:rPr>
          <w:rFonts w:ascii="Palatino Linotype" w:hAnsi="Palatino Linotype" w:cs="Arial"/>
        </w:rPr>
        <w:t xml:space="preserve"> interpuso el </w:t>
      </w:r>
      <w:r w:rsidR="00D86297" w:rsidRPr="00B61DF3">
        <w:rPr>
          <w:rFonts w:ascii="Palatino Linotype" w:hAnsi="Palatino Linotype" w:cs="Arial"/>
        </w:rPr>
        <w:t>Recurso Revisión</w:t>
      </w:r>
      <w:r w:rsidRPr="00B61DF3">
        <w:rPr>
          <w:rFonts w:ascii="Palatino Linotype" w:hAnsi="Palatino Linotype" w:cs="Arial"/>
        </w:rPr>
        <w:t xml:space="preserve"> sujeto del presente estudio, el cual fue registrado en </w:t>
      </w:r>
      <w:r w:rsidRPr="00B61DF3">
        <w:rPr>
          <w:rFonts w:ascii="Palatino Linotype" w:hAnsi="Palatino Linotype" w:cs="Arial"/>
          <w:b/>
        </w:rPr>
        <w:t xml:space="preserve">EL SAIMEX, </w:t>
      </w:r>
      <w:r w:rsidRPr="00B61DF3">
        <w:rPr>
          <w:rFonts w:ascii="Palatino Linotype" w:hAnsi="Palatino Linotype" w:cs="Arial"/>
          <w:bCs/>
        </w:rPr>
        <w:t>y</w:t>
      </w:r>
      <w:r w:rsidRPr="00B61DF3">
        <w:rPr>
          <w:rFonts w:ascii="Palatino Linotype" w:hAnsi="Palatino Linotype" w:cs="Arial"/>
        </w:rPr>
        <w:t xml:space="preserve"> se le asignó el número de expediente </w:t>
      </w:r>
      <w:r w:rsidR="002D5417" w:rsidRPr="00B61DF3">
        <w:rPr>
          <w:rFonts w:ascii="Palatino Linotype" w:hAnsi="Palatino Linotype" w:cs="Arial"/>
          <w:b/>
          <w:lang w:val="es-ES"/>
        </w:rPr>
        <w:t>17522</w:t>
      </w:r>
      <w:r w:rsidR="00CD3BC9" w:rsidRPr="00B61DF3">
        <w:rPr>
          <w:rFonts w:ascii="Palatino Linotype" w:hAnsi="Palatino Linotype" w:cs="Arial"/>
          <w:b/>
          <w:lang w:val="es-ES"/>
        </w:rPr>
        <w:t>/INFOEM/IP/RR/2022</w:t>
      </w:r>
      <w:r w:rsidRPr="00B61DF3">
        <w:rPr>
          <w:rFonts w:ascii="Palatino Linotype" w:hAnsi="Palatino Linotype" w:cs="Arial"/>
          <w:b/>
        </w:rPr>
        <w:t>,</w:t>
      </w:r>
      <w:r w:rsidRPr="00B61DF3">
        <w:rPr>
          <w:rFonts w:ascii="Palatino Linotype" w:hAnsi="Palatino Linotype" w:cs="Arial"/>
        </w:rPr>
        <w:t xml:space="preserve"> en el que señaló como</w:t>
      </w:r>
      <w:r w:rsidR="00EA6DA7" w:rsidRPr="00B61DF3">
        <w:rPr>
          <w:rFonts w:ascii="Palatino Linotype" w:hAnsi="Palatino Linotype" w:cs="Arial"/>
          <w:lang w:val="es-419"/>
        </w:rPr>
        <w:t>:</w:t>
      </w:r>
    </w:p>
    <w:p w14:paraId="2FF577A5" w14:textId="38E5E446" w:rsidR="004F149E" w:rsidRPr="00B61DF3" w:rsidRDefault="00EA6DA7" w:rsidP="00B61DF3">
      <w:pPr>
        <w:pStyle w:val="Prrafodelista"/>
        <w:numPr>
          <w:ilvl w:val="0"/>
          <w:numId w:val="3"/>
        </w:numPr>
        <w:spacing w:before="100" w:beforeAutospacing="1" w:after="100" w:afterAutospacing="1" w:line="360" w:lineRule="auto"/>
        <w:ind w:left="700"/>
        <w:jc w:val="both"/>
        <w:rPr>
          <w:rFonts w:ascii="Palatino Linotype" w:hAnsi="Palatino Linotype" w:cs="Arial"/>
          <w:b/>
        </w:rPr>
      </w:pPr>
      <w:r w:rsidRPr="00B61DF3">
        <w:rPr>
          <w:rFonts w:ascii="Palatino Linotype" w:hAnsi="Palatino Linotype" w:cs="Arial"/>
          <w:b/>
          <w:lang w:val="es-419"/>
        </w:rPr>
        <w:t>A</w:t>
      </w:r>
      <w:proofErr w:type="spellStart"/>
      <w:r w:rsidR="00764A4C" w:rsidRPr="00B61DF3">
        <w:rPr>
          <w:rFonts w:ascii="Palatino Linotype" w:hAnsi="Palatino Linotype" w:cs="Arial"/>
          <w:b/>
        </w:rPr>
        <w:t>cto</w:t>
      </w:r>
      <w:proofErr w:type="spellEnd"/>
      <w:r w:rsidR="000171D8" w:rsidRPr="00B61DF3">
        <w:rPr>
          <w:rFonts w:ascii="Palatino Linotype" w:hAnsi="Palatino Linotype" w:cs="Arial"/>
          <w:b/>
        </w:rPr>
        <w:t xml:space="preserve"> impugnado</w:t>
      </w:r>
      <w:r w:rsidRPr="00B61DF3">
        <w:rPr>
          <w:rFonts w:ascii="Palatino Linotype" w:hAnsi="Palatino Linotype" w:cs="Arial"/>
          <w:b/>
        </w:rPr>
        <w:t>:</w:t>
      </w:r>
    </w:p>
    <w:p w14:paraId="5CC71C78" w14:textId="2F6DAFA7" w:rsidR="0033162F" w:rsidRPr="00B61DF3" w:rsidRDefault="00EA6DA7" w:rsidP="00B61DF3">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B61DF3">
        <w:rPr>
          <w:rFonts w:ascii="Palatino Linotype" w:hAnsi="Palatino Linotype" w:cs="Arial"/>
          <w:i/>
          <w:sz w:val="22"/>
          <w:szCs w:val="22"/>
        </w:rPr>
        <w:t>“</w:t>
      </w:r>
      <w:r w:rsidR="002D5417" w:rsidRPr="00B61DF3">
        <w:rPr>
          <w:rFonts w:ascii="Palatino Linotype" w:hAnsi="Palatino Linotype" w:cs="Arial"/>
          <w:i/>
          <w:sz w:val="22"/>
          <w:szCs w:val="22"/>
        </w:rPr>
        <w:t>Negativa de información</w:t>
      </w:r>
      <w:r w:rsidR="00BC5F28" w:rsidRPr="00B61DF3">
        <w:rPr>
          <w:rFonts w:ascii="Palatino Linotype" w:hAnsi="Palatino Linotype" w:cs="Arial"/>
          <w:i/>
          <w:sz w:val="22"/>
          <w:szCs w:val="22"/>
        </w:rPr>
        <w:t>"</w:t>
      </w:r>
      <w:r w:rsidRPr="00B61DF3">
        <w:rPr>
          <w:rFonts w:ascii="Palatino Linotype" w:hAnsi="Palatino Linotype" w:cs="Arial"/>
          <w:i/>
          <w:sz w:val="22"/>
          <w:szCs w:val="22"/>
        </w:rPr>
        <w:t xml:space="preserve"> (</w:t>
      </w:r>
      <w:r w:rsidR="008608BC" w:rsidRPr="00B61DF3">
        <w:rPr>
          <w:rFonts w:ascii="Palatino Linotype" w:hAnsi="Palatino Linotype" w:cs="Arial"/>
          <w:i/>
          <w:sz w:val="22"/>
          <w:szCs w:val="22"/>
        </w:rPr>
        <w:t>s</w:t>
      </w:r>
      <w:r w:rsidRPr="00B61DF3">
        <w:rPr>
          <w:rFonts w:ascii="Palatino Linotype" w:hAnsi="Palatino Linotype" w:cs="Arial"/>
          <w:i/>
          <w:sz w:val="22"/>
          <w:szCs w:val="22"/>
        </w:rPr>
        <w:t>ic)</w:t>
      </w:r>
    </w:p>
    <w:p w14:paraId="48FBAD77" w14:textId="72485E94" w:rsidR="000F5ABB" w:rsidRPr="00B61DF3" w:rsidRDefault="000F5ABB" w:rsidP="00B61DF3">
      <w:pPr>
        <w:pStyle w:val="Prrafodelista"/>
        <w:numPr>
          <w:ilvl w:val="0"/>
          <w:numId w:val="3"/>
        </w:numPr>
        <w:tabs>
          <w:tab w:val="left" w:pos="851"/>
        </w:tabs>
        <w:spacing w:before="100" w:beforeAutospacing="1" w:after="100" w:afterAutospacing="1" w:line="360" w:lineRule="auto"/>
        <w:ind w:left="700" w:right="901"/>
        <w:jc w:val="both"/>
        <w:rPr>
          <w:rFonts w:ascii="Palatino Linotype" w:hAnsi="Palatino Linotype" w:cs="Arial"/>
          <w:b/>
          <w:szCs w:val="22"/>
        </w:rPr>
      </w:pPr>
      <w:r w:rsidRPr="00B61DF3">
        <w:rPr>
          <w:rFonts w:ascii="Palatino Linotype" w:hAnsi="Palatino Linotype" w:cs="Arial"/>
          <w:b/>
          <w:szCs w:val="22"/>
        </w:rPr>
        <w:t>Razones o motivos de inconformidad:</w:t>
      </w:r>
    </w:p>
    <w:p w14:paraId="4DC32BEE" w14:textId="64EE78BF" w:rsidR="000F5ABB" w:rsidRPr="00B61DF3" w:rsidRDefault="000F5ABB" w:rsidP="00B61DF3">
      <w:pPr>
        <w:tabs>
          <w:tab w:val="left" w:pos="851"/>
        </w:tabs>
        <w:spacing w:before="100" w:beforeAutospacing="1" w:after="100" w:afterAutospacing="1"/>
        <w:ind w:left="794" w:right="850"/>
        <w:jc w:val="both"/>
        <w:rPr>
          <w:rFonts w:ascii="Palatino Linotype" w:hAnsi="Palatino Linotype" w:cs="Arial"/>
          <w:sz w:val="22"/>
          <w:szCs w:val="22"/>
        </w:rPr>
      </w:pPr>
      <w:bookmarkStart w:id="3" w:name="_Hlk135734944"/>
      <w:r w:rsidRPr="00B61DF3">
        <w:rPr>
          <w:rFonts w:ascii="Palatino Linotype" w:hAnsi="Palatino Linotype" w:cs="Arial"/>
          <w:i/>
          <w:sz w:val="22"/>
          <w:szCs w:val="22"/>
        </w:rPr>
        <w:t>“</w:t>
      </w:r>
      <w:r w:rsidR="002D5417" w:rsidRPr="00B61DF3">
        <w:rPr>
          <w:rFonts w:ascii="Palatino Linotype" w:hAnsi="Palatino Linotype" w:cs="Arial"/>
          <w:i/>
          <w:sz w:val="22"/>
          <w:szCs w:val="22"/>
        </w:rPr>
        <w:t>Considero que el Sujeto sí está en posibilidades de entregar la información al no tratarse de información clasificada ni de datos sensibles, de hecho, se trata de información de interés públicos relacionado con el manejo de recursos públicos</w:t>
      </w:r>
      <w:r w:rsidRPr="00B61DF3">
        <w:rPr>
          <w:rFonts w:ascii="Palatino Linotype" w:hAnsi="Palatino Linotype" w:cs="Arial"/>
          <w:i/>
          <w:sz w:val="22"/>
          <w:szCs w:val="22"/>
        </w:rPr>
        <w:t xml:space="preserve">” </w:t>
      </w:r>
      <w:r w:rsidR="005D72B3" w:rsidRPr="00B61DF3">
        <w:rPr>
          <w:rFonts w:ascii="Palatino Linotype" w:hAnsi="Palatino Linotype" w:cs="Arial"/>
          <w:sz w:val="22"/>
          <w:szCs w:val="22"/>
        </w:rPr>
        <w:t>(S</w:t>
      </w:r>
      <w:r w:rsidRPr="00B61DF3">
        <w:rPr>
          <w:rFonts w:ascii="Palatino Linotype" w:hAnsi="Palatino Linotype" w:cs="Arial"/>
          <w:sz w:val="22"/>
          <w:szCs w:val="22"/>
        </w:rPr>
        <w:t>ic).</w:t>
      </w:r>
    </w:p>
    <w:bookmarkEnd w:id="3"/>
    <w:p w14:paraId="11CDF804" w14:textId="281C4310" w:rsidR="007D38BB" w:rsidRPr="00B61DF3" w:rsidRDefault="003508A6" w:rsidP="00B61DF3">
      <w:pPr>
        <w:spacing w:before="100" w:beforeAutospacing="1" w:after="100" w:afterAutospacing="1" w:line="360" w:lineRule="auto"/>
        <w:jc w:val="both"/>
        <w:rPr>
          <w:rFonts w:ascii="Palatino Linotype" w:hAnsi="Palatino Linotype" w:cs="Arial"/>
          <w:b/>
          <w:sz w:val="26"/>
          <w:szCs w:val="26"/>
        </w:rPr>
      </w:pPr>
      <w:r w:rsidRPr="00B61DF3">
        <w:rPr>
          <w:rFonts w:ascii="Palatino Linotype" w:hAnsi="Palatino Linotype" w:cs="Arial"/>
          <w:b/>
          <w:sz w:val="26"/>
          <w:szCs w:val="26"/>
        </w:rPr>
        <w:t>V</w:t>
      </w:r>
      <w:r w:rsidR="000171D8" w:rsidRPr="00B61DF3">
        <w:rPr>
          <w:rFonts w:ascii="Palatino Linotype" w:hAnsi="Palatino Linotype" w:cs="Arial"/>
          <w:b/>
          <w:sz w:val="26"/>
          <w:szCs w:val="26"/>
        </w:rPr>
        <w:t xml:space="preserve">. </w:t>
      </w:r>
      <w:r w:rsidR="007D38BB" w:rsidRPr="00B61DF3">
        <w:rPr>
          <w:rFonts w:ascii="Palatino Linotype" w:hAnsi="Palatino Linotype" w:cs="Arial"/>
          <w:b/>
          <w:sz w:val="26"/>
          <w:szCs w:val="26"/>
        </w:rPr>
        <w:t xml:space="preserve">Del turno del </w:t>
      </w:r>
      <w:r w:rsidR="00D86297" w:rsidRPr="00B61DF3">
        <w:rPr>
          <w:rFonts w:ascii="Palatino Linotype" w:hAnsi="Palatino Linotype" w:cs="Arial"/>
          <w:b/>
          <w:sz w:val="26"/>
          <w:szCs w:val="26"/>
        </w:rPr>
        <w:t>Recurso Revisión</w:t>
      </w:r>
      <w:r w:rsidR="00D8393F" w:rsidRPr="00B61DF3">
        <w:rPr>
          <w:rFonts w:ascii="Palatino Linotype" w:hAnsi="Palatino Linotype" w:cs="Arial"/>
          <w:b/>
          <w:sz w:val="26"/>
          <w:szCs w:val="26"/>
        </w:rPr>
        <w:t>.</w:t>
      </w:r>
    </w:p>
    <w:p w14:paraId="7F32BE8B" w14:textId="3744C914" w:rsidR="001E3F54" w:rsidRPr="00B61DF3" w:rsidRDefault="004E1571" w:rsidP="00B61DF3">
      <w:pPr>
        <w:spacing w:before="100" w:beforeAutospacing="1" w:after="100" w:afterAutospacing="1" w:line="360" w:lineRule="auto"/>
        <w:jc w:val="both"/>
        <w:rPr>
          <w:rFonts w:ascii="Palatino Linotype" w:hAnsi="Palatino Linotype" w:cs="Arial"/>
        </w:rPr>
      </w:pPr>
      <w:r w:rsidRPr="00B61DF3">
        <w:rPr>
          <w:rFonts w:ascii="Palatino Linotype" w:hAnsi="Palatino Linotype" w:cs="Arial"/>
        </w:rPr>
        <w:t>El</w:t>
      </w:r>
      <w:r w:rsidR="000171D8" w:rsidRPr="00B61DF3">
        <w:rPr>
          <w:rFonts w:ascii="Palatino Linotype" w:hAnsi="Palatino Linotype" w:cs="Arial"/>
        </w:rPr>
        <w:t xml:space="preserve"> </w:t>
      </w:r>
      <w:r w:rsidR="002D5417" w:rsidRPr="00B61DF3">
        <w:rPr>
          <w:rFonts w:ascii="Palatino Linotype" w:hAnsi="Palatino Linotype" w:cs="Arial"/>
          <w:b/>
        </w:rPr>
        <w:t xml:space="preserve">veinte de diciembre </w:t>
      </w:r>
      <w:r w:rsidR="003564B4" w:rsidRPr="00B61DF3">
        <w:rPr>
          <w:rFonts w:ascii="Palatino Linotype" w:hAnsi="Palatino Linotype" w:cs="Arial"/>
          <w:b/>
        </w:rPr>
        <w:t>de dos mil veintidós</w:t>
      </w:r>
      <w:r w:rsidR="000171D8" w:rsidRPr="00B61DF3">
        <w:rPr>
          <w:rFonts w:ascii="Palatino Linotype" w:hAnsi="Palatino Linotype" w:cs="Arial"/>
        </w:rPr>
        <w:t xml:space="preserve">, el </w:t>
      </w:r>
      <w:r w:rsidR="00D8393F" w:rsidRPr="00B61DF3">
        <w:rPr>
          <w:rFonts w:ascii="Palatino Linotype" w:hAnsi="Palatino Linotype" w:cs="Arial"/>
        </w:rPr>
        <w:t>medio de impugnación</w:t>
      </w:r>
      <w:r w:rsidR="000171D8" w:rsidRPr="00B61DF3">
        <w:rPr>
          <w:rFonts w:ascii="Palatino Linotype" w:hAnsi="Palatino Linotype" w:cs="Arial"/>
        </w:rPr>
        <w:t xml:space="preserve"> que se trata se envió electrónicamente al Instituto de </w:t>
      </w:r>
      <w:r w:rsidR="000171D8" w:rsidRPr="00B61DF3">
        <w:rPr>
          <w:rFonts w:ascii="Palatino Linotype" w:eastAsia="Arial Unicode MS" w:hAnsi="Palatino Linotype" w:cs="Arial"/>
        </w:rPr>
        <w:t>Transparencia</w:t>
      </w:r>
      <w:r w:rsidR="000171D8" w:rsidRPr="00B61DF3">
        <w:rPr>
          <w:rFonts w:ascii="Palatino Linotype" w:hAnsi="Palatino Linotype" w:cs="Arial"/>
        </w:rPr>
        <w:t xml:space="preserve">, Acceso a la </w:t>
      </w:r>
      <w:r w:rsidR="00D86297" w:rsidRPr="00B61DF3">
        <w:rPr>
          <w:rFonts w:ascii="Palatino Linotype" w:hAnsi="Palatino Linotype" w:cs="Arial"/>
        </w:rPr>
        <w:t>Información Pública</w:t>
      </w:r>
      <w:r w:rsidR="000171D8" w:rsidRPr="00B61DF3">
        <w:rPr>
          <w:rFonts w:ascii="Palatino Linotype" w:hAnsi="Palatino Linotype" w:cs="Arial"/>
        </w:rPr>
        <w:t xml:space="preserve"> y Protección de Datos Personales del Estado de México y Municipios; </w:t>
      </w:r>
      <w:r w:rsidR="009E2E2C" w:rsidRPr="00B61DF3">
        <w:rPr>
          <w:rFonts w:ascii="Palatino Linotype" w:hAnsi="Palatino Linotype" w:cs="Arial"/>
        </w:rPr>
        <w:t xml:space="preserve">por lo que, </w:t>
      </w:r>
      <w:r w:rsidR="000171D8" w:rsidRPr="00B61DF3">
        <w:rPr>
          <w:rFonts w:ascii="Palatino Linotype" w:hAnsi="Palatino Linotype" w:cs="Arial"/>
        </w:rPr>
        <w:t xml:space="preserve">con fundamento en el artículo 185, fracción I de la </w:t>
      </w:r>
      <w:r w:rsidR="000171D8" w:rsidRPr="00B61DF3">
        <w:rPr>
          <w:rFonts w:ascii="Palatino Linotype" w:hAnsi="Palatino Linotype"/>
        </w:rPr>
        <w:t xml:space="preserve">Ley de Transparencia y Acceso a la </w:t>
      </w:r>
      <w:r w:rsidR="00D86297" w:rsidRPr="00B61DF3">
        <w:rPr>
          <w:rFonts w:ascii="Palatino Linotype" w:hAnsi="Palatino Linotype"/>
        </w:rPr>
        <w:lastRenderedPageBreak/>
        <w:t>Información Pública</w:t>
      </w:r>
      <w:r w:rsidR="000171D8" w:rsidRPr="00B61DF3">
        <w:rPr>
          <w:rFonts w:ascii="Palatino Linotype" w:hAnsi="Palatino Linotype"/>
        </w:rPr>
        <w:t xml:space="preserve"> del Estado de México y Municipios</w:t>
      </w:r>
      <w:r w:rsidR="000171D8" w:rsidRPr="00B61DF3">
        <w:rPr>
          <w:rFonts w:ascii="Palatino Linotype" w:hAnsi="Palatino Linotype" w:cs="Arial"/>
        </w:rPr>
        <w:t xml:space="preserve">, se turnó </w:t>
      </w:r>
      <w:r w:rsidR="00727578" w:rsidRPr="00B61DF3">
        <w:rPr>
          <w:rFonts w:ascii="Palatino Linotype" w:hAnsi="Palatino Linotype" w:cs="Arial"/>
        </w:rPr>
        <w:t xml:space="preserve">mediante </w:t>
      </w:r>
      <w:r w:rsidR="00727578" w:rsidRPr="00B61DF3">
        <w:rPr>
          <w:rFonts w:ascii="Palatino Linotype" w:hAnsi="Palatino Linotype" w:cs="Arial"/>
          <w:b/>
        </w:rPr>
        <w:t xml:space="preserve">EL </w:t>
      </w:r>
      <w:r w:rsidR="000171D8" w:rsidRPr="00B61DF3">
        <w:rPr>
          <w:rFonts w:ascii="Palatino Linotype" w:eastAsia="Arial Unicode MS" w:hAnsi="Palatino Linotype" w:cs="Arial"/>
          <w:b/>
        </w:rPr>
        <w:t>SAIMEX</w:t>
      </w:r>
      <w:r w:rsidR="00B41543" w:rsidRPr="00B61DF3">
        <w:rPr>
          <w:rFonts w:ascii="Palatino Linotype" w:hAnsi="Palatino Linotype"/>
        </w:rPr>
        <w:t xml:space="preserve">, </w:t>
      </w:r>
      <w:r w:rsidR="00A20CBF" w:rsidRPr="00B61DF3">
        <w:rPr>
          <w:rFonts w:ascii="Palatino Linotype" w:hAnsi="Palatino Linotype"/>
        </w:rPr>
        <w:t>a</w:t>
      </w:r>
      <w:r w:rsidR="00FA3204" w:rsidRPr="00B61DF3">
        <w:rPr>
          <w:rFonts w:ascii="Palatino Linotype" w:hAnsi="Palatino Linotype"/>
        </w:rPr>
        <w:t xml:space="preserve"> </w:t>
      </w:r>
      <w:r w:rsidR="0094062A" w:rsidRPr="00B61DF3">
        <w:rPr>
          <w:rFonts w:ascii="Palatino Linotype" w:hAnsi="Palatino Linotype"/>
        </w:rPr>
        <w:t>l</w:t>
      </w:r>
      <w:r w:rsidR="00FA3204" w:rsidRPr="00B61DF3">
        <w:rPr>
          <w:rFonts w:ascii="Palatino Linotype" w:hAnsi="Palatino Linotype"/>
        </w:rPr>
        <w:t>a</w:t>
      </w:r>
      <w:r w:rsidR="00CE22BE" w:rsidRPr="00B61DF3">
        <w:rPr>
          <w:rFonts w:ascii="Palatino Linotype" w:hAnsi="Palatino Linotype"/>
        </w:rPr>
        <w:t xml:space="preserve"> </w:t>
      </w:r>
      <w:r w:rsidR="0046481A" w:rsidRPr="00B61DF3">
        <w:rPr>
          <w:rFonts w:ascii="Palatino Linotype" w:hAnsi="Palatino Linotype"/>
          <w:b/>
        </w:rPr>
        <w:t>C</w:t>
      </w:r>
      <w:r w:rsidR="000171D8" w:rsidRPr="00B61DF3">
        <w:rPr>
          <w:rFonts w:ascii="Palatino Linotype" w:hAnsi="Palatino Linotype" w:cs="Arial"/>
          <w:b/>
        </w:rPr>
        <w:t>omisionad</w:t>
      </w:r>
      <w:r w:rsidR="00FA3204" w:rsidRPr="00B61DF3">
        <w:rPr>
          <w:rFonts w:ascii="Palatino Linotype" w:hAnsi="Palatino Linotype" w:cs="Arial"/>
          <w:b/>
        </w:rPr>
        <w:t>a</w:t>
      </w:r>
      <w:r w:rsidR="00F02503" w:rsidRPr="00B61DF3">
        <w:rPr>
          <w:rFonts w:ascii="Palatino Linotype" w:hAnsi="Palatino Linotype" w:cs="Arial"/>
        </w:rPr>
        <w:t xml:space="preserve"> </w:t>
      </w:r>
      <w:r w:rsidR="00FA3204" w:rsidRPr="00B61DF3">
        <w:rPr>
          <w:rFonts w:ascii="Palatino Linotype" w:hAnsi="Palatino Linotype" w:cs="Arial"/>
          <w:b/>
        </w:rPr>
        <w:t>Sharon Cristina Morales Martínez</w:t>
      </w:r>
      <w:r w:rsidR="000171D8" w:rsidRPr="00B61DF3">
        <w:rPr>
          <w:rFonts w:ascii="Palatino Linotype" w:hAnsi="Palatino Linotype" w:cs="Arial"/>
        </w:rPr>
        <w:t xml:space="preserve"> a efecto de decretar su admisión o desechamiento.</w:t>
      </w:r>
    </w:p>
    <w:p w14:paraId="6E2E972C" w14:textId="65595861" w:rsidR="007D38BB" w:rsidRPr="00B61DF3" w:rsidRDefault="007D38BB" w:rsidP="00B61DF3">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B61DF3">
        <w:rPr>
          <w:rFonts w:ascii="Palatino Linotype" w:hAnsi="Palatino Linotype" w:cs="Arial"/>
          <w:b/>
          <w:sz w:val="26"/>
          <w:szCs w:val="26"/>
        </w:rPr>
        <w:t xml:space="preserve">a) Admisión del </w:t>
      </w:r>
      <w:r w:rsidR="00D86297" w:rsidRPr="00B61DF3">
        <w:rPr>
          <w:rFonts w:ascii="Palatino Linotype" w:hAnsi="Palatino Linotype" w:cs="Arial"/>
          <w:b/>
          <w:sz w:val="26"/>
          <w:szCs w:val="26"/>
        </w:rPr>
        <w:t>Recurso Revisión</w:t>
      </w:r>
      <w:r w:rsidR="00D8393F" w:rsidRPr="00B61DF3">
        <w:rPr>
          <w:rFonts w:ascii="Palatino Linotype" w:hAnsi="Palatino Linotype" w:cs="Arial"/>
          <w:b/>
          <w:sz w:val="26"/>
          <w:szCs w:val="26"/>
        </w:rPr>
        <w:t>.</w:t>
      </w:r>
    </w:p>
    <w:p w14:paraId="700EE037" w14:textId="7F710310" w:rsidR="00F74502" w:rsidRPr="00B61DF3" w:rsidRDefault="000171D8" w:rsidP="00B61DF3">
      <w:pPr>
        <w:tabs>
          <w:tab w:val="center" w:pos="4252"/>
          <w:tab w:val="right" w:pos="8504"/>
        </w:tabs>
        <w:spacing w:before="100" w:beforeAutospacing="1" w:after="100" w:afterAutospacing="1" w:line="360" w:lineRule="auto"/>
        <w:jc w:val="both"/>
        <w:rPr>
          <w:rFonts w:ascii="Palatino Linotype" w:hAnsi="Palatino Linotype" w:cs="Arial"/>
        </w:rPr>
      </w:pPr>
      <w:r w:rsidRPr="00B61DF3">
        <w:rPr>
          <w:rFonts w:ascii="Palatino Linotype" w:hAnsi="Palatino Linotype" w:cs="Arial"/>
        </w:rPr>
        <w:t>De las constancias del expediente electrónico del</w:t>
      </w:r>
      <w:r w:rsidRPr="00B61DF3">
        <w:rPr>
          <w:rFonts w:ascii="Palatino Linotype" w:hAnsi="Palatino Linotype" w:cs="Arial"/>
          <w:b/>
        </w:rPr>
        <w:t xml:space="preserve"> SAIMEX</w:t>
      </w:r>
      <w:r w:rsidRPr="00B61DF3">
        <w:rPr>
          <w:rFonts w:ascii="Palatino Linotype" w:hAnsi="Palatino Linotype" w:cs="Arial"/>
        </w:rPr>
        <w:t xml:space="preserve">, se advierte que </w:t>
      </w:r>
      <w:r w:rsidR="0033162F" w:rsidRPr="00B61DF3">
        <w:rPr>
          <w:rFonts w:ascii="Palatino Linotype" w:hAnsi="Palatino Linotype" w:cs="Arial"/>
        </w:rPr>
        <w:t xml:space="preserve">el </w:t>
      </w:r>
      <w:r w:rsidR="002D5417" w:rsidRPr="00B61DF3">
        <w:rPr>
          <w:rFonts w:ascii="Palatino Linotype" w:hAnsi="Palatino Linotype" w:cs="Arial"/>
          <w:b/>
          <w:bCs/>
        </w:rPr>
        <w:t>nueve de enero de dos mil veintitrés</w:t>
      </w:r>
      <w:r w:rsidRPr="00B61DF3">
        <w:rPr>
          <w:rFonts w:ascii="Palatino Linotype" w:hAnsi="Palatino Linotype" w:cs="Arial"/>
        </w:rPr>
        <w:t xml:space="preserve">, se </w:t>
      </w:r>
      <w:r w:rsidR="004D1753" w:rsidRPr="00B61DF3">
        <w:rPr>
          <w:rFonts w:ascii="Palatino Linotype" w:hAnsi="Palatino Linotype" w:cs="Arial"/>
        </w:rPr>
        <w:t>notificó</w:t>
      </w:r>
      <w:r w:rsidRPr="00B61DF3">
        <w:rPr>
          <w:rFonts w:ascii="Palatino Linotype" w:hAnsi="Palatino Linotype" w:cs="Arial"/>
        </w:rPr>
        <w:t xml:space="preserve"> la admisión a trámite del </w:t>
      </w:r>
      <w:r w:rsidR="00D86297" w:rsidRPr="00B61DF3">
        <w:rPr>
          <w:rFonts w:ascii="Palatino Linotype" w:hAnsi="Palatino Linotype" w:cs="Arial"/>
        </w:rPr>
        <w:t>Recurso Revisión</w:t>
      </w:r>
      <w:r w:rsidRPr="00B61DF3">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B61DF3">
        <w:rPr>
          <w:rFonts w:ascii="Palatino Linotype" w:hAnsi="Palatino Linotype" w:cs="Arial"/>
        </w:rPr>
        <w:t>Información Pública</w:t>
      </w:r>
      <w:r w:rsidRPr="00B61DF3">
        <w:rPr>
          <w:rFonts w:ascii="Palatino Linotype" w:hAnsi="Palatino Linotype" w:cs="Arial"/>
        </w:rPr>
        <w:t xml:space="preserve"> del Estado de México y Municipios</w:t>
      </w:r>
      <w:r w:rsidR="00F74A05" w:rsidRPr="00B61DF3">
        <w:rPr>
          <w:rFonts w:ascii="Palatino Linotype" w:hAnsi="Palatino Linotype" w:cs="Arial"/>
        </w:rPr>
        <w:t>;</w:t>
      </w:r>
      <w:r w:rsidRPr="00B61DF3">
        <w:rPr>
          <w:rFonts w:ascii="Palatino Linotype" w:hAnsi="Palatino Linotype" w:cs="Arial"/>
        </w:rPr>
        <w:t xml:space="preserve"> </w:t>
      </w:r>
      <w:r w:rsidR="0094062A" w:rsidRPr="00B61DF3">
        <w:rPr>
          <w:rFonts w:ascii="Palatino Linotype" w:hAnsi="Palatino Linotype" w:cs="Arial"/>
          <w:b/>
        </w:rPr>
        <w:t>EL</w:t>
      </w:r>
      <w:r w:rsidR="00F74A05" w:rsidRPr="00B61DF3">
        <w:rPr>
          <w:rFonts w:ascii="Palatino Linotype" w:hAnsi="Palatino Linotype" w:cs="Arial"/>
          <w:b/>
        </w:rPr>
        <w:t xml:space="preserve"> RECURRENTE </w:t>
      </w:r>
      <w:r w:rsidRPr="00B61DF3">
        <w:rPr>
          <w:rFonts w:ascii="Palatino Linotype" w:hAnsi="Palatino Linotype" w:cs="Arial"/>
        </w:rPr>
        <w:t>manifestara</w:t>
      </w:r>
      <w:r w:rsidR="00F74A05" w:rsidRPr="00B61DF3">
        <w:rPr>
          <w:rFonts w:ascii="Palatino Linotype" w:hAnsi="Palatino Linotype" w:cs="Arial"/>
        </w:rPr>
        <w:t xml:space="preserve"> </w:t>
      </w:r>
      <w:r w:rsidRPr="00B61DF3">
        <w:rPr>
          <w:rFonts w:ascii="Palatino Linotype" w:hAnsi="Palatino Linotype" w:cs="Arial"/>
        </w:rPr>
        <w:t xml:space="preserve">lo que a su derecho conviniera, a efecto de presentar pruebas </w:t>
      </w:r>
      <w:r w:rsidR="00727578" w:rsidRPr="00B61DF3">
        <w:rPr>
          <w:rFonts w:ascii="Palatino Linotype" w:hAnsi="Palatino Linotype" w:cs="Arial"/>
        </w:rPr>
        <w:t>o</w:t>
      </w:r>
      <w:r w:rsidRPr="00B61DF3">
        <w:rPr>
          <w:rFonts w:ascii="Palatino Linotype" w:hAnsi="Palatino Linotype" w:cs="Arial"/>
        </w:rPr>
        <w:t xml:space="preserve"> alegatos</w:t>
      </w:r>
      <w:r w:rsidR="00727578" w:rsidRPr="00B61DF3">
        <w:rPr>
          <w:rFonts w:ascii="Palatino Linotype" w:hAnsi="Palatino Linotype" w:cs="Arial"/>
        </w:rPr>
        <w:t xml:space="preserve"> y</w:t>
      </w:r>
      <w:r w:rsidR="00D5111B" w:rsidRPr="00B61DF3">
        <w:rPr>
          <w:rFonts w:ascii="Palatino Linotype" w:hAnsi="Palatino Linotype" w:cs="Arial"/>
        </w:rPr>
        <w:t>,</w:t>
      </w:r>
      <w:r w:rsidR="00727578" w:rsidRPr="00B61DF3">
        <w:rPr>
          <w:rFonts w:ascii="Palatino Linotype" w:hAnsi="Palatino Linotype" w:cs="Arial"/>
        </w:rPr>
        <w:t xml:space="preserve"> en su caso, </w:t>
      </w:r>
      <w:r w:rsidRPr="00B61DF3">
        <w:rPr>
          <w:rFonts w:ascii="Palatino Linotype" w:hAnsi="Palatino Linotype" w:cs="Arial"/>
          <w:b/>
        </w:rPr>
        <w:t xml:space="preserve">EL SUJETO OBLIGADO </w:t>
      </w:r>
      <w:r w:rsidRPr="00B61DF3">
        <w:rPr>
          <w:rFonts w:ascii="Palatino Linotype" w:hAnsi="Palatino Linotype" w:cs="Arial"/>
        </w:rPr>
        <w:t>rindiera su</w:t>
      </w:r>
      <w:r w:rsidR="00727578" w:rsidRPr="00B61DF3">
        <w:rPr>
          <w:rFonts w:ascii="Palatino Linotype" w:hAnsi="Palatino Linotype" w:cs="Arial"/>
        </w:rPr>
        <w:t xml:space="preserve"> correspondiente </w:t>
      </w:r>
      <w:r w:rsidRPr="00B61DF3">
        <w:rPr>
          <w:rFonts w:ascii="Palatino Linotype" w:hAnsi="Palatino Linotype" w:cs="Arial"/>
        </w:rPr>
        <w:t>Informe Justificado.</w:t>
      </w:r>
    </w:p>
    <w:p w14:paraId="28CF2940" w14:textId="4370F684" w:rsidR="00F74A05" w:rsidRPr="00B61DF3" w:rsidRDefault="00FA3204" w:rsidP="00B61DF3">
      <w:pPr>
        <w:spacing w:before="100" w:beforeAutospacing="1" w:after="100" w:afterAutospacing="1" w:line="360" w:lineRule="auto"/>
        <w:jc w:val="both"/>
        <w:rPr>
          <w:rFonts w:ascii="Palatino Linotype" w:eastAsia="Arial Unicode MS" w:hAnsi="Palatino Linotype" w:cs="Arial"/>
          <w:b/>
        </w:rPr>
      </w:pPr>
      <w:r w:rsidRPr="00B61DF3">
        <w:rPr>
          <w:rFonts w:ascii="Palatino Linotype" w:eastAsia="Arial Unicode MS" w:hAnsi="Palatino Linotype" w:cs="Arial"/>
          <w:b/>
        </w:rPr>
        <w:t>b</w:t>
      </w:r>
      <w:r w:rsidR="00F74A05" w:rsidRPr="00B61DF3">
        <w:rPr>
          <w:rFonts w:ascii="Palatino Linotype" w:eastAsia="Arial Unicode MS" w:hAnsi="Palatino Linotype" w:cs="Arial"/>
          <w:b/>
        </w:rPr>
        <w:t xml:space="preserve">) </w:t>
      </w:r>
      <w:r w:rsidR="00E437E8" w:rsidRPr="00B61DF3">
        <w:rPr>
          <w:rFonts w:ascii="Palatino Linotype" w:hAnsi="Palatino Linotype" w:cs="Arial"/>
          <w:b/>
          <w:bCs/>
        </w:rPr>
        <w:t>Manifestaciones.</w:t>
      </w:r>
    </w:p>
    <w:p w14:paraId="7E5D6F63" w14:textId="1079EF96" w:rsidR="00DE648C" w:rsidRPr="00B61DF3" w:rsidRDefault="003C2C41" w:rsidP="00B61DF3">
      <w:pPr>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 xml:space="preserve">De acuerdo </w:t>
      </w:r>
      <w:r w:rsidR="000171D8" w:rsidRPr="00B61DF3">
        <w:rPr>
          <w:rFonts w:ascii="Palatino Linotype" w:eastAsia="Arial Unicode MS" w:hAnsi="Palatino Linotype" w:cs="Arial"/>
        </w:rPr>
        <w:t xml:space="preserve">a las constancias </w:t>
      </w:r>
      <w:r w:rsidRPr="00B61DF3">
        <w:rPr>
          <w:rFonts w:ascii="Palatino Linotype" w:eastAsia="Arial Unicode MS" w:hAnsi="Palatino Linotype" w:cs="Arial"/>
        </w:rPr>
        <w:t xml:space="preserve">digitales que obran en </w:t>
      </w:r>
      <w:r w:rsidRPr="00B61DF3">
        <w:rPr>
          <w:rFonts w:ascii="Palatino Linotype" w:eastAsia="Arial Unicode MS" w:hAnsi="Palatino Linotype" w:cs="Arial"/>
          <w:b/>
        </w:rPr>
        <w:t>EL</w:t>
      </w:r>
      <w:r w:rsidR="000171D8" w:rsidRPr="00B61DF3">
        <w:rPr>
          <w:rFonts w:ascii="Palatino Linotype" w:eastAsia="Arial Unicode MS" w:hAnsi="Palatino Linotype" w:cs="Arial"/>
        </w:rPr>
        <w:t xml:space="preserve"> </w:t>
      </w:r>
      <w:r w:rsidR="000171D8" w:rsidRPr="00B61DF3">
        <w:rPr>
          <w:rFonts w:ascii="Palatino Linotype" w:eastAsia="Arial Unicode MS" w:hAnsi="Palatino Linotype" w:cs="Arial"/>
          <w:b/>
        </w:rPr>
        <w:t>SAIMEX</w:t>
      </w:r>
      <w:r w:rsidR="004E1571" w:rsidRPr="00B61DF3">
        <w:rPr>
          <w:rFonts w:ascii="Palatino Linotype" w:eastAsia="Arial Unicode MS" w:hAnsi="Palatino Linotype" w:cs="Arial"/>
          <w:b/>
        </w:rPr>
        <w:t xml:space="preserve"> </w:t>
      </w:r>
      <w:r w:rsidR="004E1571" w:rsidRPr="00B61DF3">
        <w:rPr>
          <w:rFonts w:ascii="Palatino Linotype" w:eastAsia="Arial Unicode MS" w:hAnsi="Palatino Linotype" w:cs="Arial"/>
        </w:rPr>
        <w:t>del expediente materia del presente asunto</w:t>
      </w:r>
      <w:r w:rsidR="000171D8" w:rsidRPr="00B61DF3">
        <w:rPr>
          <w:rFonts w:ascii="Palatino Linotype" w:eastAsia="Arial Unicode MS" w:hAnsi="Palatino Linotype" w:cs="Arial"/>
        </w:rPr>
        <w:t xml:space="preserve"> se desprende que </w:t>
      </w:r>
      <w:r w:rsidRPr="00B61DF3">
        <w:rPr>
          <w:rFonts w:ascii="Palatino Linotype" w:eastAsia="Arial Unicode MS" w:hAnsi="Palatino Linotype" w:cs="Arial"/>
        </w:rPr>
        <w:t>conforme</w:t>
      </w:r>
      <w:r w:rsidR="000171D8" w:rsidRPr="00B61DF3">
        <w:rPr>
          <w:rFonts w:ascii="Palatino Linotype" w:eastAsia="Arial Unicode MS" w:hAnsi="Palatino Linotype" w:cs="Arial"/>
        </w:rPr>
        <w:t xml:space="preserve"> a </w:t>
      </w:r>
      <w:r w:rsidR="006951F3" w:rsidRPr="00B61DF3">
        <w:rPr>
          <w:rFonts w:ascii="Palatino Linotype" w:eastAsia="Arial Unicode MS" w:hAnsi="Palatino Linotype" w:cs="Arial"/>
        </w:rPr>
        <w:t xml:space="preserve">lo dispuesto en el artículo 185, fracciones II y IV </w:t>
      </w:r>
      <w:r w:rsidR="000171D8" w:rsidRPr="00B61DF3">
        <w:rPr>
          <w:rFonts w:ascii="Palatino Linotype" w:eastAsia="Arial Unicode MS" w:hAnsi="Palatino Linotype" w:cs="Arial"/>
        </w:rPr>
        <w:t xml:space="preserve">de la Ley de Transparencia y Acceso a la </w:t>
      </w:r>
      <w:r w:rsidR="00D86297" w:rsidRPr="00B61DF3">
        <w:rPr>
          <w:rFonts w:ascii="Palatino Linotype" w:eastAsia="Arial Unicode MS" w:hAnsi="Palatino Linotype" w:cs="Arial"/>
        </w:rPr>
        <w:t>Información Pública</w:t>
      </w:r>
      <w:r w:rsidR="000171D8" w:rsidRPr="00B61DF3">
        <w:rPr>
          <w:rFonts w:ascii="Palatino Linotype" w:eastAsia="Arial Unicode MS" w:hAnsi="Palatino Linotype" w:cs="Arial"/>
        </w:rPr>
        <w:t xml:space="preserve"> del Estado de México y Municipios, dentro del término legalmente concedido a</w:t>
      </w:r>
      <w:r w:rsidR="00B6479E" w:rsidRPr="00B61DF3">
        <w:rPr>
          <w:rFonts w:ascii="Palatino Linotype" w:eastAsia="Arial Unicode MS" w:hAnsi="Palatino Linotype" w:cs="Arial"/>
        </w:rPr>
        <w:t xml:space="preserve"> </w:t>
      </w:r>
      <w:r w:rsidR="00777ADC" w:rsidRPr="00B61DF3">
        <w:rPr>
          <w:rFonts w:ascii="Palatino Linotype" w:eastAsia="Arial Unicode MS" w:hAnsi="Palatino Linotype" w:cs="Arial"/>
          <w:b/>
        </w:rPr>
        <w:t>EL</w:t>
      </w:r>
      <w:r w:rsidR="000171D8" w:rsidRPr="00B61DF3">
        <w:rPr>
          <w:rFonts w:ascii="Palatino Linotype" w:eastAsia="Arial Unicode MS" w:hAnsi="Palatino Linotype" w:cs="Arial"/>
        </w:rPr>
        <w:t xml:space="preserve"> </w:t>
      </w:r>
      <w:r w:rsidR="000171D8" w:rsidRPr="00B61DF3">
        <w:rPr>
          <w:rFonts w:ascii="Palatino Linotype" w:eastAsia="Arial Unicode MS" w:hAnsi="Palatino Linotype" w:cs="Arial"/>
          <w:b/>
        </w:rPr>
        <w:t>RECURRENTE</w:t>
      </w:r>
      <w:r w:rsidR="000171D8" w:rsidRPr="00B61DF3">
        <w:rPr>
          <w:rFonts w:ascii="Palatino Linotype" w:eastAsia="Arial Unicode MS" w:hAnsi="Palatino Linotype" w:cs="Arial"/>
        </w:rPr>
        <w:t xml:space="preserve">, </w:t>
      </w:r>
      <w:r w:rsidR="0013694E" w:rsidRPr="00B61DF3">
        <w:rPr>
          <w:rFonts w:ascii="Palatino Linotype" w:eastAsia="Arial Unicode MS" w:hAnsi="Palatino Linotype" w:cs="Arial"/>
        </w:rPr>
        <w:t xml:space="preserve">no </w:t>
      </w:r>
      <w:r w:rsidR="006951F3" w:rsidRPr="00B61DF3">
        <w:rPr>
          <w:rFonts w:ascii="Palatino Linotype" w:eastAsia="Arial Unicode MS" w:hAnsi="Palatino Linotype" w:cs="Arial"/>
        </w:rPr>
        <w:t>realizó</w:t>
      </w:r>
      <w:r w:rsidR="00F13E79" w:rsidRPr="00B61DF3">
        <w:rPr>
          <w:rFonts w:ascii="Palatino Linotype" w:eastAsia="Arial Unicode MS" w:hAnsi="Palatino Linotype" w:cs="Arial"/>
        </w:rPr>
        <w:t xml:space="preserve"> sus</w:t>
      </w:r>
      <w:r w:rsidR="006951F3" w:rsidRPr="00B61DF3">
        <w:rPr>
          <w:rFonts w:ascii="Palatino Linotype" w:eastAsia="Arial Unicode MS" w:hAnsi="Palatino Linotype" w:cs="Arial"/>
        </w:rPr>
        <w:t xml:space="preserve"> </w:t>
      </w:r>
      <w:r w:rsidR="00F13E79" w:rsidRPr="00B61DF3">
        <w:rPr>
          <w:rFonts w:ascii="Palatino Linotype" w:eastAsia="Arial Unicode MS" w:hAnsi="Palatino Linotype" w:cs="Arial"/>
        </w:rPr>
        <w:t xml:space="preserve">manifestaciones </w:t>
      </w:r>
      <w:r w:rsidR="0013694E" w:rsidRPr="00B61DF3">
        <w:rPr>
          <w:rFonts w:ascii="Palatino Linotype" w:eastAsia="Arial Unicode MS" w:hAnsi="Palatino Linotype" w:cs="Arial"/>
        </w:rPr>
        <w:t xml:space="preserve">que le correspondían; </w:t>
      </w:r>
      <w:r w:rsidR="00B80A1B" w:rsidRPr="00B61DF3">
        <w:rPr>
          <w:rFonts w:ascii="Palatino Linotype" w:eastAsia="Arial Unicode MS" w:hAnsi="Palatino Linotype" w:cs="Arial"/>
        </w:rPr>
        <w:t>así mismo</w:t>
      </w:r>
      <w:r w:rsidR="00B6479E" w:rsidRPr="00B61DF3">
        <w:rPr>
          <w:rFonts w:ascii="Palatino Linotype" w:eastAsia="Arial Unicode MS" w:hAnsi="Palatino Linotype" w:cs="Arial"/>
        </w:rPr>
        <w:t>,</w:t>
      </w:r>
      <w:r w:rsidR="00E1073B" w:rsidRPr="00B61DF3">
        <w:rPr>
          <w:rFonts w:ascii="Palatino Linotype" w:eastAsia="Arial Unicode MS" w:hAnsi="Palatino Linotype" w:cs="Arial"/>
        </w:rPr>
        <w:t xml:space="preserve"> </w:t>
      </w:r>
      <w:r w:rsidR="00E1073B" w:rsidRPr="00B61DF3">
        <w:rPr>
          <w:rFonts w:ascii="Palatino Linotype" w:eastAsia="Arial Unicode MS" w:hAnsi="Palatino Linotype" w:cs="Arial"/>
          <w:b/>
        </w:rPr>
        <w:t xml:space="preserve">EL SUJETO OBLIGADO </w:t>
      </w:r>
      <w:r w:rsidR="003809EC" w:rsidRPr="00B61DF3">
        <w:rPr>
          <w:rFonts w:ascii="Palatino Linotype" w:eastAsia="Arial Unicode MS" w:hAnsi="Palatino Linotype" w:cs="Arial"/>
        </w:rPr>
        <w:t xml:space="preserve"> </w:t>
      </w:r>
      <w:r w:rsidR="00C8252C" w:rsidRPr="00B61DF3">
        <w:rPr>
          <w:rFonts w:ascii="Palatino Linotype" w:eastAsia="Arial Unicode MS" w:hAnsi="Palatino Linotype" w:cs="Arial"/>
        </w:rPr>
        <w:t xml:space="preserve">rindió su </w:t>
      </w:r>
      <w:r w:rsidR="00707755" w:rsidRPr="00B61DF3">
        <w:rPr>
          <w:rFonts w:ascii="Palatino Linotype" w:eastAsia="Arial Unicode MS" w:hAnsi="Palatino Linotype" w:cs="Arial"/>
        </w:rPr>
        <w:t xml:space="preserve">Informe Justificado </w:t>
      </w:r>
      <w:r w:rsidR="002D5417" w:rsidRPr="00B61DF3">
        <w:rPr>
          <w:rFonts w:ascii="Palatino Linotype" w:eastAsia="Arial Unicode MS" w:hAnsi="Palatino Linotype" w:cs="Arial"/>
        </w:rPr>
        <w:t>el diecinueve de enero de dos mil veintitrés</w:t>
      </w:r>
      <w:r w:rsidR="00C8252C" w:rsidRPr="00B61DF3">
        <w:rPr>
          <w:rFonts w:ascii="Palatino Linotype" w:eastAsia="Arial Unicode MS" w:hAnsi="Palatino Linotype" w:cs="Arial"/>
        </w:rPr>
        <w:t>,</w:t>
      </w:r>
      <w:r w:rsidR="00E1073B" w:rsidRPr="00B61DF3">
        <w:rPr>
          <w:rFonts w:ascii="Palatino Linotype" w:eastAsia="Arial Unicode MS" w:hAnsi="Palatino Linotype" w:cs="Arial"/>
        </w:rPr>
        <w:t xml:space="preserve"> </w:t>
      </w:r>
      <w:r w:rsidR="004E1571" w:rsidRPr="00B61DF3">
        <w:rPr>
          <w:rFonts w:ascii="Palatino Linotype" w:eastAsia="Arial Unicode MS" w:hAnsi="Palatino Linotype" w:cs="Arial"/>
        </w:rPr>
        <w:t>como se observa de la imagen que se anexa a continuación para mayor referencia:</w:t>
      </w:r>
    </w:p>
    <w:p w14:paraId="1FA11EBF" w14:textId="2FD7F8DD" w:rsidR="0033162F" w:rsidRPr="00B61DF3" w:rsidRDefault="002D5417" w:rsidP="00B61DF3">
      <w:pPr>
        <w:spacing w:before="100" w:beforeAutospacing="1" w:after="100" w:afterAutospacing="1" w:line="360" w:lineRule="auto"/>
        <w:jc w:val="center"/>
        <w:rPr>
          <w:rFonts w:ascii="Palatino Linotype" w:hAnsi="Palatino Linotype"/>
          <w:bCs/>
        </w:rPr>
      </w:pPr>
      <w:r w:rsidRPr="00B61DF3">
        <w:rPr>
          <w:rFonts w:ascii="Palatino Linotype" w:hAnsi="Palatino Linotype"/>
          <w:bCs/>
          <w:noProof/>
          <w:lang w:eastAsia="es-MX"/>
        </w:rPr>
        <w:lastRenderedPageBreak/>
        <w:drawing>
          <wp:inline distT="0" distB="0" distL="0" distR="0" wp14:anchorId="0B7305F0" wp14:editId="534EEEA3">
            <wp:extent cx="5791835" cy="2192655"/>
            <wp:effectExtent l="0" t="0" r="0" b="0"/>
            <wp:docPr id="1961417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17558" name=""/>
                    <pic:cNvPicPr/>
                  </pic:nvPicPr>
                  <pic:blipFill>
                    <a:blip r:embed="rId9"/>
                    <a:stretch>
                      <a:fillRect/>
                    </a:stretch>
                  </pic:blipFill>
                  <pic:spPr>
                    <a:xfrm>
                      <a:off x="0" y="0"/>
                      <a:ext cx="5791835" cy="2192655"/>
                    </a:xfrm>
                    <a:prstGeom prst="rect">
                      <a:avLst/>
                    </a:prstGeom>
                  </pic:spPr>
                </pic:pic>
              </a:graphicData>
            </a:graphic>
          </wp:inline>
        </w:drawing>
      </w:r>
    </w:p>
    <w:p w14:paraId="516C28F7" w14:textId="4173383F" w:rsidR="00720528" w:rsidRPr="00B61DF3" w:rsidRDefault="002D5417" w:rsidP="00B61DF3">
      <w:pPr>
        <w:spacing w:before="100" w:beforeAutospacing="1" w:after="100" w:afterAutospacing="1" w:line="360" w:lineRule="auto"/>
        <w:jc w:val="both"/>
        <w:rPr>
          <w:rFonts w:ascii="Palatino Linotype" w:hAnsi="Palatino Linotype"/>
          <w:bCs/>
        </w:rPr>
      </w:pPr>
      <w:r w:rsidRPr="00B61DF3">
        <w:rPr>
          <w:rFonts w:ascii="Palatino Linotype" w:hAnsi="Palatino Linotype"/>
          <w:bCs/>
        </w:rPr>
        <w:t xml:space="preserve">Es de destacar que el </w:t>
      </w:r>
      <w:r w:rsidR="00720528" w:rsidRPr="00B61DF3">
        <w:rPr>
          <w:rFonts w:ascii="Palatino Linotype" w:hAnsi="Palatino Linotype"/>
          <w:bCs/>
        </w:rPr>
        <w:t xml:space="preserve">Informe Justificado que se puso a la vista del particular el </w:t>
      </w:r>
      <w:r w:rsidR="004E51BF" w:rsidRPr="00B61DF3">
        <w:rPr>
          <w:rFonts w:ascii="Palatino Linotype" w:hAnsi="Palatino Linotype"/>
          <w:b/>
        </w:rPr>
        <w:t>tres de marzo</w:t>
      </w:r>
      <w:r w:rsidR="00720528" w:rsidRPr="00B61DF3">
        <w:rPr>
          <w:rFonts w:ascii="Palatino Linotype" w:hAnsi="Palatino Linotype"/>
          <w:b/>
        </w:rPr>
        <w:t xml:space="preserve"> de </w:t>
      </w:r>
      <w:r w:rsidR="004E51BF" w:rsidRPr="00B61DF3">
        <w:rPr>
          <w:rFonts w:ascii="Palatino Linotype" w:hAnsi="Palatino Linotype"/>
          <w:b/>
        </w:rPr>
        <w:t>veintitrés</w:t>
      </w:r>
      <w:r w:rsidR="00720528" w:rsidRPr="00B61DF3">
        <w:rPr>
          <w:rFonts w:ascii="Palatino Linotype" w:hAnsi="Palatino Linotype"/>
          <w:bCs/>
        </w:rPr>
        <w:t xml:space="preserve">, </w:t>
      </w:r>
      <w:r w:rsidR="003564B4" w:rsidRPr="00B61DF3">
        <w:rPr>
          <w:rFonts w:ascii="Palatino Linotype" w:hAnsi="Palatino Linotype"/>
          <w:bCs/>
        </w:rPr>
        <w:t xml:space="preserve">en el cual </w:t>
      </w:r>
      <w:r w:rsidR="003564B4" w:rsidRPr="00B61DF3">
        <w:rPr>
          <w:rFonts w:ascii="Palatino Linotype" w:hAnsi="Palatino Linotype"/>
          <w:b/>
        </w:rPr>
        <w:t>EL SUJETO OBLIGADO</w:t>
      </w:r>
      <w:r w:rsidR="0033162F" w:rsidRPr="00B61DF3">
        <w:rPr>
          <w:rFonts w:ascii="Palatino Linotype" w:hAnsi="Palatino Linotype"/>
          <w:b/>
        </w:rPr>
        <w:t xml:space="preserve"> </w:t>
      </w:r>
      <w:r w:rsidRPr="00B61DF3">
        <w:rPr>
          <w:rFonts w:ascii="Palatino Linotype" w:hAnsi="Palatino Linotype"/>
          <w:bCs/>
        </w:rPr>
        <w:t>ratifica su respuesta inicial.</w:t>
      </w:r>
    </w:p>
    <w:p w14:paraId="36EF9DD5" w14:textId="0F0D551B" w:rsidR="0013097E" w:rsidRPr="00B61DF3" w:rsidRDefault="0013097E" w:rsidP="00B61DF3">
      <w:pPr>
        <w:spacing w:before="100" w:beforeAutospacing="1" w:after="100" w:afterAutospacing="1" w:line="360" w:lineRule="auto"/>
        <w:jc w:val="both"/>
        <w:rPr>
          <w:rFonts w:ascii="Palatino Linotype" w:hAnsi="Palatino Linotype"/>
          <w:b/>
          <w:bCs/>
          <w:sz w:val="26"/>
          <w:szCs w:val="26"/>
        </w:rPr>
      </w:pPr>
      <w:r w:rsidRPr="00B61DF3">
        <w:rPr>
          <w:rFonts w:ascii="Palatino Linotype" w:hAnsi="Palatino Linotype"/>
          <w:b/>
          <w:sz w:val="26"/>
          <w:szCs w:val="26"/>
        </w:rPr>
        <w:t xml:space="preserve">c) </w:t>
      </w:r>
      <w:r w:rsidRPr="00B61DF3">
        <w:rPr>
          <w:rFonts w:ascii="Palatino Linotype" w:hAnsi="Palatino Linotype"/>
          <w:b/>
          <w:bCs/>
          <w:sz w:val="26"/>
          <w:szCs w:val="26"/>
        </w:rPr>
        <w:t>Ampliación del plazo para resolver el Recurso de Revisión</w:t>
      </w:r>
    </w:p>
    <w:p w14:paraId="2186D6C3" w14:textId="7462C792" w:rsidR="0013097E" w:rsidRPr="00B61DF3" w:rsidRDefault="0013097E" w:rsidP="00B61DF3">
      <w:pPr>
        <w:spacing w:before="100" w:beforeAutospacing="1" w:after="100" w:afterAutospacing="1" w:line="360" w:lineRule="auto"/>
        <w:jc w:val="both"/>
        <w:rPr>
          <w:rFonts w:ascii="Palatino Linotype" w:hAnsi="Palatino Linotype"/>
        </w:rPr>
      </w:pPr>
      <w:r w:rsidRPr="00B61DF3">
        <w:rPr>
          <w:rFonts w:ascii="Palatino Linotype" w:eastAsia="Palatino Linotype" w:hAnsi="Palatino Linotype" w:cs="Palatino Linotype"/>
          <w:lang w:val="es-ES"/>
        </w:rPr>
        <w:t xml:space="preserve">El </w:t>
      </w:r>
      <w:r w:rsidR="002D5417" w:rsidRPr="00B61DF3">
        <w:rPr>
          <w:rFonts w:ascii="Palatino Linotype" w:hAnsi="Palatino Linotype" w:cs="Arial"/>
          <w:b/>
          <w:bCs/>
        </w:rPr>
        <w:t>veintisiete de febrero de dos mil veintitrés</w:t>
      </w:r>
      <w:r w:rsidRPr="00B61DF3">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B61DF3">
        <w:rPr>
          <w:rFonts w:ascii="Palatino Linotype" w:hAnsi="Palatino Linotype"/>
        </w:rPr>
        <w:t>.</w:t>
      </w:r>
    </w:p>
    <w:p w14:paraId="3E0EF661" w14:textId="77777777" w:rsidR="0013097E"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80A99" w14:textId="77777777" w:rsidR="0013097E"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1007ABF1" w:rsidR="0013097E" w:rsidRPr="00B61DF3" w:rsidRDefault="0013097E" w:rsidP="00B61DF3">
      <w:pPr>
        <w:pStyle w:val="Prrafodelista"/>
        <w:numPr>
          <w:ilvl w:val="0"/>
          <w:numId w:val="27"/>
        </w:numPr>
        <w:spacing w:before="100" w:beforeAutospacing="1" w:after="100" w:afterAutospacing="1" w:line="360" w:lineRule="auto"/>
        <w:ind w:right="397"/>
        <w:jc w:val="both"/>
        <w:rPr>
          <w:rFonts w:ascii="Palatino Linotype" w:hAnsi="Palatino Linotype" w:cs="Arial"/>
          <w:lang w:eastAsia="es-MX"/>
        </w:rPr>
      </w:pPr>
      <w:r w:rsidRPr="00B61DF3">
        <w:rPr>
          <w:rFonts w:ascii="Palatino Linotype" w:hAnsi="Palatino Linotype" w:cs="Arial"/>
          <w:lang w:eastAsia="es-MX"/>
        </w:rPr>
        <w:t>Complejidad del asunto: La complejidad de la prueba, la pluralidad de sujetos procesales, el tiempo transcurrido, las características y contexto del recurso.</w:t>
      </w:r>
    </w:p>
    <w:p w14:paraId="7061CA0E" w14:textId="47E14B4A" w:rsidR="0013097E" w:rsidRPr="00B61DF3" w:rsidRDefault="0013097E" w:rsidP="00B61DF3">
      <w:pPr>
        <w:pStyle w:val="Prrafodelista"/>
        <w:numPr>
          <w:ilvl w:val="0"/>
          <w:numId w:val="27"/>
        </w:numPr>
        <w:spacing w:before="100" w:beforeAutospacing="1" w:after="100" w:afterAutospacing="1" w:line="360" w:lineRule="auto"/>
        <w:ind w:right="397"/>
        <w:jc w:val="both"/>
        <w:rPr>
          <w:rFonts w:ascii="Palatino Linotype" w:hAnsi="Palatino Linotype" w:cs="Arial"/>
          <w:lang w:eastAsia="es-MX"/>
        </w:rPr>
      </w:pPr>
      <w:r w:rsidRPr="00B61DF3">
        <w:rPr>
          <w:rFonts w:ascii="Palatino Linotype" w:hAnsi="Palatino Linotype" w:cs="Arial"/>
          <w:lang w:eastAsia="es-MX"/>
        </w:rPr>
        <w:t>Actividad Procesal del interesado: Acciones u omisiones del interesado.</w:t>
      </w:r>
    </w:p>
    <w:p w14:paraId="7291736B" w14:textId="4FB51BFD" w:rsidR="0013097E" w:rsidRPr="00B61DF3" w:rsidRDefault="0013097E" w:rsidP="00B61DF3">
      <w:pPr>
        <w:pStyle w:val="Prrafodelista"/>
        <w:numPr>
          <w:ilvl w:val="0"/>
          <w:numId w:val="27"/>
        </w:numPr>
        <w:spacing w:before="100" w:beforeAutospacing="1" w:after="100" w:afterAutospacing="1" w:line="360" w:lineRule="auto"/>
        <w:ind w:right="397"/>
        <w:jc w:val="both"/>
        <w:rPr>
          <w:rFonts w:ascii="Palatino Linotype" w:hAnsi="Palatino Linotype" w:cs="Arial"/>
          <w:lang w:eastAsia="es-MX"/>
        </w:rPr>
      </w:pPr>
      <w:r w:rsidRPr="00B61DF3">
        <w:rPr>
          <w:rFonts w:ascii="Palatino Linotype" w:hAnsi="Palatino Linotype" w:cs="Arial"/>
          <w:lang w:eastAsia="es-MX"/>
        </w:rPr>
        <w:t>Conducta de la Autoridad: Las Acciones u omisiones realizadas en el procedimiento. Así como si la autoridad actuó con la debida diligencia.</w:t>
      </w:r>
    </w:p>
    <w:p w14:paraId="5105C548" w14:textId="02128997" w:rsidR="0013097E" w:rsidRPr="00B61DF3" w:rsidRDefault="0013097E" w:rsidP="00B61DF3">
      <w:pPr>
        <w:pStyle w:val="Prrafodelista"/>
        <w:numPr>
          <w:ilvl w:val="0"/>
          <w:numId w:val="27"/>
        </w:numPr>
        <w:spacing w:before="100" w:beforeAutospacing="1" w:after="100" w:afterAutospacing="1" w:line="360" w:lineRule="auto"/>
        <w:ind w:right="397"/>
        <w:jc w:val="both"/>
        <w:rPr>
          <w:rFonts w:ascii="Palatino Linotype" w:hAnsi="Palatino Linotype" w:cs="Arial"/>
          <w:lang w:eastAsia="es-MX"/>
        </w:rPr>
      </w:pPr>
      <w:r w:rsidRPr="00B61DF3">
        <w:rPr>
          <w:rFonts w:ascii="Palatino Linotype" w:hAnsi="Palatino Linotype" w:cs="Arial"/>
          <w:lang w:eastAsia="es-MX"/>
        </w:rPr>
        <w:t>La afectación generada en la situación jurídica de la persona involucrada en el proceso: Violación a sus derechos humanos.</w:t>
      </w:r>
    </w:p>
    <w:p w14:paraId="194FF6DA" w14:textId="77777777" w:rsidR="0033162F"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B61DF3">
        <w:rPr>
          <w:rFonts w:ascii="Palatino Linotype" w:hAnsi="Palatino Linotype" w:cs="Arial"/>
          <w:lang w:eastAsia="es-MX"/>
        </w:rPr>
        <w:br/>
      </w:r>
      <w:r w:rsidRPr="00B61DF3">
        <w:rPr>
          <w:rFonts w:ascii="Palatino Linotype" w:hAnsi="Palatino Linotype" w:cs="Arial"/>
          <w:lang w:eastAsia="es-MX"/>
        </w:rPr>
        <w:br/>
        <w:t>Argumento que encuentra sustento en la jurisprudencia P</w:t>
      </w:r>
      <w:proofErr w:type="gramStart"/>
      <w:r w:rsidRPr="00B61DF3">
        <w:rPr>
          <w:rFonts w:ascii="Palatino Linotype" w:hAnsi="Palatino Linotype" w:cs="Arial"/>
          <w:lang w:eastAsia="es-MX"/>
        </w:rPr>
        <w:t>./</w:t>
      </w:r>
      <w:proofErr w:type="gramEnd"/>
      <w:r w:rsidRPr="00B61DF3">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B61DF3">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16AC49" w14:textId="25F7A1D1" w:rsidR="000641B2"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656E4D45" w14:textId="149C41B1" w:rsidR="0013097E"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i/>
          <w:iCs/>
          <w:lang w:eastAsia="es-MX"/>
        </w:rPr>
        <w:t>“PLAZO RAZONABLE PARA RESOLVER. DIMENSIÓN Y EFECTOS DE ESTE CONCEPTO CUANDO SE ADUCE EXCESIVA CARGA DE TRABAJO.”</w:t>
      </w:r>
      <w:r w:rsidRPr="00B61DF3">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i/>
          <w:iCs/>
          <w:lang w:eastAsia="es-MX"/>
        </w:rPr>
        <w:t>“PLAZO RAZONABLE PARA RESOLVER. CONCEPTO Y ELEMENTOS QUE LO INTEGRAN A LA LUZ DEL DERECHO INTERNACIONAL DE LOS DERECHOS HUMANOS.”,</w:t>
      </w:r>
      <w:r w:rsidRPr="00B61DF3">
        <w:rPr>
          <w:rFonts w:ascii="Palatino Linotype" w:hAnsi="Palatino Linotype" w:cs="Arial"/>
          <w:lang w:eastAsia="es-MX"/>
        </w:rPr>
        <w:t xml:space="preserve"> visible en el Seminario Judicial de la Federación y su gaceta, con el registro digital 2002350.</w:t>
      </w:r>
    </w:p>
    <w:p w14:paraId="6CDB70A9" w14:textId="56E284B6" w:rsidR="0013097E" w:rsidRPr="00B61DF3" w:rsidRDefault="0013097E"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B61DF3" w:rsidRDefault="0013097E" w:rsidP="00B61DF3">
      <w:pPr>
        <w:pStyle w:val="Prrafodelista"/>
        <w:spacing w:before="100" w:beforeAutospacing="1" w:after="100" w:afterAutospacing="1" w:line="360" w:lineRule="auto"/>
        <w:ind w:left="0"/>
        <w:jc w:val="both"/>
        <w:rPr>
          <w:rFonts w:ascii="Palatino Linotype" w:hAnsi="Palatino Linotype" w:cs="Arial"/>
          <w:b/>
          <w:bCs/>
        </w:rPr>
      </w:pPr>
      <w:r w:rsidRPr="00B61DF3">
        <w:rPr>
          <w:rFonts w:ascii="Palatino Linotype" w:hAnsi="Palatino Linotype" w:cs="Arial"/>
          <w:b/>
          <w:bCs/>
        </w:rPr>
        <w:t>d</w:t>
      </w:r>
      <w:r w:rsidR="00F74A05" w:rsidRPr="00B61DF3">
        <w:rPr>
          <w:rFonts w:ascii="Palatino Linotype" w:hAnsi="Palatino Linotype" w:cs="Arial"/>
          <w:b/>
          <w:bCs/>
        </w:rPr>
        <w:t>) Cierre de Instrucción</w:t>
      </w:r>
      <w:r w:rsidR="00D8393F" w:rsidRPr="00B61DF3">
        <w:rPr>
          <w:rFonts w:ascii="Palatino Linotype" w:hAnsi="Palatino Linotype" w:cs="Arial"/>
          <w:b/>
          <w:bCs/>
        </w:rPr>
        <w:t>.</w:t>
      </w:r>
    </w:p>
    <w:p w14:paraId="410ED933" w14:textId="178E7523" w:rsidR="00832240" w:rsidRPr="00B61DF3" w:rsidRDefault="009E2E2C" w:rsidP="00B61DF3">
      <w:pPr>
        <w:spacing w:before="100" w:beforeAutospacing="1" w:after="100" w:afterAutospacing="1" w:line="360" w:lineRule="auto"/>
        <w:jc w:val="both"/>
        <w:rPr>
          <w:rFonts w:ascii="Palatino Linotype" w:hAnsi="Palatino Linotype" w:cs="Arial"/>
        </w:rPr>
      </w:pPr>
      <w:r w:rsidRPr="00B61DF3">
        <w:rPr>
          <w:rFonts w:ascii="Palatino Linotype" w:hAnsi="Palatino Linotype"/>
        </w:rPr>
        <w:t>Una vez analizado el estado procesal que guarda el expediente, el</w:t>
      </w:r>
      <w:r w:rsidR="000171D8" w:rsidRPr="00B61DF3">
        <w:rPr>
          <w:rFonts w:ascii="Palatino Linotype" w:hAnsi="Palatino Linotype"/>
        </w:rPr>
        <w:t xml:space="preserve"> </w:t>
      </w:r>
      <w:r w:rsidR="0074751D" w:rsidRPr="00B61DF3">
        <w:rPr>
          <w:rFonts w:ascii="Palatino Linotype" w:hAnsi="Palatino Linotype"/>
          <w:b/>
        </w:rPr>
        <w:t>veintinueve</w:t>
      </w:r>
      <w:r w:rsidR="007D30D0" w:rsidRPr="00B61DF3">
        <w:rPr>
          <w:rFonts w:ascii="Palatino Linotype" w:hAnsi="Palatino Linotype"/>
          <w:b/>
        </w:rPr>
        <w:t xml:space="preserve"> de agosto</w:t>
      </w:r>
      <w:r w:rsidR="003809EC" w:rsidRPr="00B61DF3">
        <w:rPr>
          <w:rFonts w:ascii="Palatino Linotype" w:hAnsi="Palatino Linotype"/>
          <w:b/>
        </w:rPr>
        <w:t xml:space="preserve"> de dos mil veintitrés</w:t>
      </w:r>
      <w:r w:rsidR="000171D8" w:rsidRPr="00B61DF3">
        <w:rPr>
          <w:rFonts w:ascii="Palatino Linotype" w:hAnsi="Palatino Linotype"/>
        </w:rPr>
        <w:t xml:space="preserve">, </w:t>
      </w:r>
      <w:r w:rsidR="00CE22BE" w:rsidRPr="00B61DF3">
        <w:rPr>
          <w:rFonts w:ascii="Palatino Linotype" w:hAnsi="Palatino Linotype"/>
        </w:rPr>
        <w:t>la</w:t>
      </w:r>
      <w:r w:rsidR="00F74502" w:rsidRPr="00B61DF3">
        <w:rPr>
          <w:rFonts w:ascii="Palatino Linotype" w:hAnsi="Palatino Linotype"/>
        </w:rPr>
        <w:t xml:space="preserve"> </w:t>
      </w:r>
      <w:r w:rsidR="00C77536" w:rsidRPr="00B61DF3">
        <w:rPr>
          <w:rFonts w:ascii="Palatino Linotype" w:hAnsi="Palatino Linotype"/>
          <w:b/>
        </w:rPr>
        <w:t>Comisionada Sharon Cristina Morales Martínez</w:t>
      </w:r>
      <w:r w:rsidR="00C77536" w:rsidRPr="00B61DF3">
        <w:rPr>
          <w:rFonts w:ascii="Palatino Linotype" w:hAnsi="Palatino Linotype"/>
          <w:lang w:val="es-419"/>
        </w:rPr>
        <w:t xml:space="preserve"> </w:t>
      </w:r>
      <w:r w:rsidRPr="00B61DF3">
        <w:rPr>
          <w:rFonts w:ascii="Palatino Linotype" w:hAnsi="Palatino Linotype"/>
        </w:rPr>
        <w:t>acordó el cierre de instrucción;</w:t>
      </w:r>
      <w:r w:rsidR="00C2778A" w:rsidRPr="00B61DF3">
        <w:rPr>
          <w:rFonts w:ascii="Palatino Linotype" w:hAnsi="Palatino Linotype" w:cs="Arial"/>
        </w:rPr>
        <w:t xml:space="preserve"> así como</w:t>
      </w:r>
      <w:r w:rsidRPr="00B61DF3">
        <w:rPr>
          <w:rFonts w:ascii="Palatino Linotype" w:hAnsi="Palatino Linotype" w:cs="Arial"/>
        </w:rPr>
        <w:t>,</w:t>
      </w:r>
      <w:r w:rsidR="00C2778A" w:rsidRPr="00B61DF3">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B61DF3">
        <w:rPr>
          <w:rFonts w:ascii="Palatino Linotype" w:hAnsi="Palatino Linotype" w:cs="Arial"/>
        </w:rPr>
        <w:t>Información Pública</w:t>
      </w:r>
      <w:r w:rsidR="00C2778A" w:rsidRPr="00B61DF3">
        <w:rPr>
          <w:rFonts w:ascii="Palatino Linotype" w:hAnsi="Palatino Linotype" w:cs="Arial"/>
        </w:rPr>
        <w:t xml:space="preserve"> del Estado de México y Municipios</w:t>
      </w:r>
      <w:r w:rsidR="0028330F" w:rsidRPr="00B61DF3">
        <w:rPr>
          <w:rFonts w:ascii="Palatino Linotype" w:hAnsi="Palatino Linotype" w:cs="Arial"/>
        </w:rPr>
        <w:t>.</w:t>
      </w:r>
    </w:p>
    <w:p w14:paraId="3AB9D768" w14:textId="3D856E2D" w:rsidR="000171D8" w:rsidRPr="00B61DF3" w:rsidRDefault="000171D8" w:rsidP="00B61DF3">
      <w:pPr>
        <w:spacing w:before="100" w:beforeAutospacing="1" w:after="100" w:afterAutospacing="1" w:line="276" w:lineRule="auto"/>
        <w:jc w:val="center"/>
        <w:rPr>
          <w:rFonts w:ascii="Palatino Linotype" w:hAnsi="Palatino Linotype" w:cs="Arial"/>
          <w:b/>
          <w:bCs/>
          <w:spacing w:val="60"/>
          <w:sz w:val="28"/>
        </w:rPr>
      </w:pPr>
      <w:r w:rsidRPr="00B61DF3">
        <w:rPr>
          <w:rFonts w:ascii="Palatino Linotype" w:hAnsi="Palatino Linotype" w:cs="Arial"/>
          <w:b/>
          <w:bCs/>
          <w:spacing w:val="60"/>
          <w:sz w:val="28"/>
        </w:rPr>
        <w:t>CONSIDERANDO</w:t>
      </w:r>
      <w:r w:rsidR="00DC75AB" w:rsidRPr="00B61DF3">
        <w:rPr>
          <w:rFonts w:ascii="Palatino Linotype" w:hAnsi="Palatino Linotype" w:cs="Arial"/>
          <w:b/>
          <w:bCs/>
          <w:spacing w:val="60"/>
          <w:sz w:val="28"/>
        </w:rPr>
        <w:t>S</w:t>
      </w:r>
    </w:p>
    <w:p w14:paraId="7F105395" w14:textId="2EDBBF94" w:rsidR="00964F6B" w:rsidRPr="00B61DF3" w:rsidRDefault="000171D8" w:rsidP="00B61DF3">
      <w:pPr>
        <w:spacing w:before="100" w:beforeAutospacing="1" w:after="100" w:afterAutospacing="1" w:line="360" w:lineRule="auto"/>
        <w:ind w:right="50"/>
        <w:jc w:val="both"/>
        <w:rPr>
          <w:rFonts w:ascii="Palatino Linotype" w:hAnsi="Palatino Linotype"/>
          <w:b/>
          <w:sz w:val="26"/>
          <w:szCs w:val="26"/>
        </w:rPr>
      </w:pPr>
      <w:r w:rsidRPr="00B61DF3">
        <w:rPr>
          <w:rFonts w:ascii="Palatino Linotype" w:hAnsi="Palatino Linotype"/>
          <w:b/>
          <w:sz w:val="26"/>
          <w:szCs w:val="26"/>
        </w:rPr>
        <w:t>PRIMERO.</w:t>
      </w:r>
      <w:r w:rsidRPr="00B61DF3">
        <w:rPr>
          <w:rFonts w:ascii="Palatino Linotype" w:hAnsi="Palatino Linotype"/>
          <w:sz w:val="26"/>
          <w:szCs w:val="26"/>
        </w:rPr>
        <w:t xml:space="preserve"> </w:t>
      </w:r>
      <w:r w:rsidRPr="00B61DF3">
        <w:rPr>
          <w:rFonts w:ascii="Palatino Linotype" w:hAnsi="Palatino Linotype"/>
          <w:b/>
          <w:sz w:val="26"/>
          <w:szCs w:val="26"/>
        </w:rPr>
        <w:t>Competencia</w:t>
      </w:r>
      <w:r w:rsidRPr="00B61DF3">
        <w:rPr>
          <w:rFonts w:ascii="Palatino Linotype" w:hAnsi="Palatino Linotype"/>
          <w:sz w:val="26"/>
          <w:szCs w:val="26"/>
        </w:rPr>
        <w:t>.</w:t>
      </w:r>
    </w:p>
    <w:p w14:paraId="07007E92" w14:textId="704C4E21" w:rsidR="008B239D" w:rsidRPr="00B61DF3" w:rsidRDefault="008B239D" w:rsidP="00B61DF3">
      <w:pPr>
        <w:spacing w:before="100" w:beforeAutospacing="1" w:after="100" w:afterAutospacing="1" w:line="360" w:lineRule="auto"/>
        <w:ind w:right="50"/>
        <w:jc w:val="both"/>
        <w:rPr>
          <w:rFonts w:ascii="Palatino Linotype" w:hAnsi="Palatino Linotype" w:cs="Arial"/>
        </w:rPr>
      </w:pPr>
      <w:r w:rsidRPr="00B61DF3">
        <w:rPr>
          <w:rFonts w:ascii="Palatino Linotype" w:hAnsi="Palatino Linotype"/>
        </w:rPr>
        <w:t xml:space="preserve">Este Instituto de Transparencia, Acceso a la </w:t>
      </w:r>
      <w:r w:rsidR="00D86297" w:rsidRPr="00B61DF3">
        <w:rPr>
          <w:rFonts w:ascii="Palatino Linotype" w:hAnsi="Palatino Linotype"/>
        </w:rPr>
        <w:t>Información Pública</w:t>
      </w:r>
      <w:r w:rsidRPr="00B61DF3">
        <w:rPr>
          <w:rFonts w:ascii="Palatino Linotype" w:hAnsi="Palatino Linotype"/>
        </w:rPr>
        <w:t xml:space="preserve"> y Protección de Datos Personales del Estado de México y Municipios, es competente para </w:t>
      </w:r>
      <w:r w:rsidR="00CB5585" w:rsidRPr="00B61DF3">
        <w:rPr>
          <w:rFonts w:ascii="Palatino Linotype" w:hAnsi="Palatino Linotype"/>
        </w:rPr>
        <w:t xml:space="preserve">conocer y resolver el presente </w:t>
      </w:r>
      <w:r w:rsidR="00D86297" w:rsidRPr="00B61DF3">
        <w:rPr>
          <w:rFonts w:ascii="Palatino Linotype" w:hAnsi="Palatino Linotype"/>
        </w:rPr>
        <w:t>Recurso Revisión</w:t>
      </w:r>
      <w:r w:rsidRPr="00B61DF3">
        <w:rPr>
          <w:rFonts w:ascii="Palatino Linotype" w:hAnsi="Palatino Linotype"/>
        </w:rPr>
        <w:t xml:space="preserve">, conforme a lo dispuesto en los artículos 6, Apartado A de la Constitución Política de los Estados Unidos Mexicanos; 5, párrafos </w:t>
      </w:r>
      <w:r w:rsidR="00660DC1" w:rsidRPr="00B61DF3">
        <w:rPr>
          <w:rFonts w:ascii="Palatino Linotype" w:hAnsi="Palatino Linotype"/>
        </w:rPr>
        <w:t>trigésimo segundo, trigésimo tercero y trigésimo cuarto</w:t>
      </w:r>
      <w:r w:rsidRPr="00B61DF3">
        <w:rPr>
          <w:rFonts w:ascii="Palatino Linotype" w:hAnsi="Palatino Linotype"/>
        </w:rPr>
        <w:t>, fracciones IV y V de la Constitución Política del Estado Libre y Soberano de México;</w:t>
      </w:r>
      <w:r w:rsidR="00727578" w:rsidRPr="00B61DF3">
        <w:rPr>
          <w:rFonts w:ascii="Palatino Linotype" w:hAnsi="Palatino Linotype"/>
        </w:rPr>
        <w:t xml:space="preserve"> ordinal</w:t>
      </w:r>
      <w:r w:rsidRPr="00B61DF3">
        <w:rPr>
          <w:rFonts w:ascii="Palatino Linotype" w:hAnsi="Palatino Linotype"/>
        </w:rPr>
        <w:t xml:space="preserve"> 2</w:t>
      </w:r>
      <w:r w:rsidR="00727578" w:rsidRPr="00B61DF3">
        <w:rPr>
          <w:rFonts w:ascii="Palatino Linotype" w:hAnsi="Palatino Linotype"/>
        </w:rPr>
        <w:t>,</w:t>
      </w:r>
      <w:r w:rsidRPr="00B61DF3">
        <w:rPr>
          <w:rFonts w:ascii="Palatino Linotype" w:hAnsi="Palatino Linotype"/>
        </w:rPr>
        <w:t xml:space="preserve"> fracción II, 13, 29, 36, fracciones I y II, 176, 178, 179, 181 párrafo tercero y 185 de la Ley de Transparencia y Acceso a la </w:t>
      </w:r>
      <w:r w:rsidR="00D86297" w:rsidRPr="00B61DF3">
        <w:rPr>
          <w:rFonts w:ascii="Palatino Linotype" w:hAnsi="Palatino Linotype"/>
        </w:rPr>
        <w:t>Información Pública</w:t>
      </w:r>
      <w:r w:rsidRPr="00B61DF3">
        <w:rPr>
          <w:rFonts w:ascii="Palatino Linotype" w:hAnsi="Palatino Linotype"/>
        </w:rPr>
        <w:t xml:space="preserve"> del Estado de México y Municipios</w:t>
      </w:r>
      <w:r w:rsidRPr="00B61DF3">
        <w:rPr>
          <w:rFonts w:ascii="Palatino Linotype" w:hAnsi="Palatino Linotype" w:cs="Arial"/>
        </w:rPr>
        <w:t>; y 9, fracciones I y XX</w:t>
      </w:r>
      <w:r w:rsidR="00DB1F60" w:rsidRPr="00B61DF3">
        <w:rPr>
          <w:rFonts w:ascii="Palatino Linotype" w:hAnsi="Palatino Linotype" w:cs="Arial"/>
        </w:rPr>
        <w:t>III</w:t>
      </w:r>
      <w:r w:rsidRPr="00B61DF3">
        <w:rPr>
          <w:rFonts w:ascii="Palatino Linotype" w:hAnsi="Palatino Linotype" w:cs="Arial"/>
        </w:rPr>
        <w:t xml:space="preserve"> y 11 del Reglamento Interior del Instituto de Transparencia, Acceso a la </w:t>
      </w:r>
      <w:r w:rsidR="00D86297" w:rsidRPr="00B61DF3">
        <w:rPr>
          <w:rFonts w:ascii="Palatino Linotype" w:hAnsi="Palatino Linotype" w:cs="Arial"/>
        </w:rPr>
        <w:t>Información Pública</w:t>
      </w:r>
      <w:r w:rsidRPr="00B61DF3">
        <w:rPr>
          <w:rFonts w:ascii="Palatino Linotype" w:hAnsi="Palatino Linotype" w:cs="Arial"/>
        </w:rPr>
        <w:t xml:space="preserve"> y Protección de Datos Personales del Estado de México y Municipios.</w:t>
      </w:r>
    </w:p>
    <w:p w14:paraId="508C9D22" w14:textId="35439B0C" w:rsidR="004510AB" w:rsidRPr="00B61DF3" w:rsidRDefault="00E74792" w:rsidP="00B61DF3">
      <w:pPr>
        <w:spacing w:before="100" w:beforeAutospacing="1" w:after="100" w:afterAutospacing="1" w:line="360" w:lineRule="auto"/>
        <w:jc w:val="both"/>
        <w:rPr>
          <w:rFonts w:ascii="Palatino Linotype" w:hAnsi="Palatino Linotype" w:cs="Arial"/>
          <w:b/>
          <w:sz w:val="26"/>
          <w:szCs w:val="26"/>
        </w:rPr>
      </w:pPr>
      <w:r w:rsidRPr="00B61DF3">
        <w:rPr>
          <w:rFonts w:ascii="Palatino Linotype" w:hAnsi="Palatino Linotype" w:cs="Arial"/>
          <w:b/>
          <w:sz w:val="26"/>
          <w:szCs w:val="26"/>
        </w:rPr>
        <w:t>SEGUNDO. Interés.</w:t>
      </w:r>
    </w:p>
    <w:p w14:paraId="42239410" w14:textId="3F515434" w:rsidR="0028330F" w:rsidRPr="00B61DF3" w:rsidRDefault="000171D8"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bCs/>
        </w:rPr>
        <w:t xml:space="preserve">El </w:t>
      </w:r>
      <w:r w:rsidR="00D86297" w:rsidRPr="00B61DF3">
        <w:rPr>
          <w:rFonts w:ascii="Palatino Linotype" w:hAnsi="Palatino Linotype" w:cs="Arial"/>
          <w:bCs/>
        </w:rPr>
        <w:t>Recurso Revisión</w:t>
      </w:r>
      <w:r w:rsidRPr="00B61DF3">
        <w:rPr>
          <w:rFonts w:ascii="Palatino Linotype" w:hAnsi="Palatino Linotype" w:cs="Arial"/>
          <w:bCs/>
        </w:rPr>
        <w:t xml:space="preserve"> fue interpuesto por parte legítima, en atención a que se presentó por </w:t>
      </w:r>
      <w:r w:rsidR="00AE51C8" w:rsidRPr="00B61DF3">
        <w:rPr>
          <w:rFonts w:ascii="Palatino Linotype" w:hAnsi="Palatino Linotype" w:cs="Arial"/>
          <w:b/>
        </w:rPr>
        <w:t>EL</w:t>
      </w:r>
      <w:r w:rsidRPr="00B61DF3">
        <w:rPr>
          <w:rFonts w:ascii="Palatino Linotype" w:hAnsi="Palatino Linotype" w:cs="Arial"/>
          <w:b/>
          <w:bCs/>
        </w:rPr>
        <w:t xml:space="preserve"> RECURRENTE,</w:t>
      </w:r>
      <w:r w:rsidRPr="00B61DF3">
        <w:rPr>
          <w:rFonts w:ascii="Palatino Linotype" w:hAnsi="Palatino Linotype" w:cs="Arial"/>
          <w:bCs/>
        </w:rPr>
        <w:t xml:space="preserve"> quien es la misma persona que formuló la solicitud de acceso a la </w:t>
      </w:r>
      <w:r w:rsidR="00D86297" w:rsidRPr="00B61DF3">
        <w:rPr>
          <w:rFonts w:ascii="Palatino Linotype" w:hAnsi="Palatino Linotype" w:cs="Arial"/>
          <w:bCs/>
        </w:rPr>
        <w:t>Información Pública</w:t>
      </w:r>
      <w:r w:rsidRPr="00B61DF3">
        <w:rPr>
          <w:rFonts w:ascii="Palatino Linotype" w:hAnsi="Palatino Linotype" w:cs="Arial"/>
          <w:bCs/>
        </w:rPr>
        <w:t xml:space="preserve"> al </w:t>
      </w:r>
      <w:r w:rsidRPr="00B61DF3">
        <w:rPr>
          <w:rFonts w:ascii="Palatino Linotype" w:hAnsi="Palatino Linotype" w:cs="Arial"/>
          <w:b/>
          <w:bCs/>
        </w:rPr>
        <w:t>SUJETO OBLIGADO</w:t>
      </w:r>
      <w:r w:rsidR="005B5043" w:rsidRPr="00B61DF3">
        <w:rPr>
          <w:rFonts w:ascii="Palatino Linotype" w:hAnsi="Palatino Linotype" w:cs="Arial"/>
          <w:b/>
          <w:bCs/>
        </w:rPr>
        <w:t xml:space="preserve">, </w:t>
      </w:r>
      <w:r w:rsidR="005B5043" w:rsidRPr="00B61DF3">
        <w:rPr>
          <w:rFonts w:ascii="Palatino Linotype" w:hAnsi="Palatino Linotype" w:cs="Arial"/>
          <w:bCs/>
        </w:rPr>
        <w:t xml:space="preserve">pues para ello, es </w:t>
      </w:r>
      <w:r w:rsidR="005B5043" w:rsidRPr="00B61DF3">
        <w:rPr>
          <w:rFonts w:ascii="Palatino Linotype" w:hAnsi="Palatino Linotype" w:cs="Arial"/>
          <w:lang w:eastAsia="es-MX"/>
        </w:rPr>
        <w:t xml:space="preserve">necesario que el particular ingrese al </w:t>
      </w:r>
      <w:r w:rsidR="005B5043" w:rsidRPr="00B61DF3">
        <w:rPr>
          <w:rFonts w:ascii="Palatino Linotype" w:hAnsi="Palatino Linotype" w:cs="Arial"/>
          <w:b/>
          <w:lang w:eastAsia="es-MX"/>
        </w:rPr>
        <w:t xml:space="preserve">SAIMEX </w:t>
      </w:r>
      <w:r w:rsidR="005B5043" w:rsidRPr="00B61DF3">
        <w:rPr>
          <w:rFonts w:ascii="Palatino Linotype" w:hAnsi="Palatino Linotype" w:cs="Arial"/>
          <w:lang w:eastAsia="es-MX"/>
        </w:rPr>
        <w:t>mediante la utilización de su clave de usuario y contraseña.</w:t>
      </w:r>
    </w:p>
    <w:p w14:paraId="73B57685" w14:textId="77777777" w:rsidR="005C250B" w:rsidRPr="00B61DF3" w:rsidRDefault="005C250B" w:rsidP="00B61DF3">
      <w:pPr>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B61DF3">
        <w:rPr>
          <w:rFonts w:ascii="Palatino Linotype" w:hAnsi="Palatino Linotype" w:cs="Arial"/>
          <w:b/>
          <w:sz w:val="26"/>
          <w:szCs w:val="26"/>
        </w:rPr>
        <w:t xml:space="preserve">TERCERO. </w:t>
      </w:r>
      <w:r w:rsidRPr="00B61DF3">
        <w:rPr>
          <w:rFonts w:ascii="Palatino Linotype" w:hAnsi="Palatino Linotype" w:cs="Arial"/>
          <w:b/>
          <w:sz w:val="26"/>
          <w:szCs w:val="26"/>
          <w:lang w:val="es-ES"/>
        </w:rPr>
        <w:t xml:space="preserve">Oportunidad. </w:t>
      </w:r>
    </w:p>
    <w:p w14:paraId="4CAF7CD0" w14:textId="77777777" w:rsidR="0028330F" w:rsidRPr="00B61DF3" w:rsidRDefault="0028330F" w:rsidP="00B61DF3">
      <w:pPr>
        <w:spacing w:before="100" w:beforeAutospacing="1" w:after="100" w:afterAutospacing="1" w:line="360" w:lineRule="auto"/>
        <w:jc w:val="both"/>
        <w:rPr>
          <w:rFonts w:ascii="Palatino Linotype" w:hAnsi="Palatino Linotype" w:cs="Arial"/>
          <w:lang w:val="es-ES"/>
        </w:rPr>
      </w:pPr>
      <w:r w:rsidRPr="00B61DF3">
        <w:rPr>
          <w:rFonts w:ascii="Palatino Linotype" w:hAnsi="Palatino Linotype" w:cs="Arial"/>
          <w:lang w:val="es-ES"/>
        </w:rPr>
        <w:t xml:space="preserve">El Recurso de Revisión fue interpuesto dentro del plazo de quince días hábiles, contados a partir del día siguiente al en que </w:t>
      </w:r>
      <w:r w:rsidRPr="00B61DF3">
        <w:rPr>
          <w:rFonts w:ascii="Palatino Linotype" w:hAnsi="Palatino Linotype" w:cs="Arial"/>
          <w:b/>
          <w:lang w:val="es-ES"/>
        </w:rPr>
        <w:t>EL RECURRENTE</w:t>
      </w:r>
      <w:r w:rsidRPr="00B61DF3">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B61DF3" w:rsidRDefault="0028330F" w:rsidP="00B61DF3">
      <w:pPr>
        <w:spacing w:before="100" w:beforeAutospacing="1" w:after="100" w:afterAutospacing="1" w:line="276" w:lineRule="auto"/>
        <w:ind w:left="851" w:right="901"/>
        <w:jc w:val="both"/>
        <w:rPr>
          <w:rFonts w:ascii="Palatino Linotype" w:hAnsi="Palatino Linotype" w:cs="Arial"/>
          <w:i/>
          <w:sz w:val="22"/>
          <w:lang w:val="es-ES"/>
        </w:rPr>
      </w:pPr>
      <w:r w:rsidRPr="00B61DF3">
        <w:rPr>
          <w:rFonts w:ascii="Palatino Linotype" w:hAnsi="Palatino Linotype" w:cs="Arial"/>
          <w:b/>
          <w:i/>
          <w:sz w:val="22"/>
          <w:lang w:val="es-ES"/>
        </w:rPr>
        <w:t>“Artículo 178</w:t>
      </w:r>
      <w:r w:rsidRPr="00B61DF3">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B61DF3" w:rsidRDefault="0028330F" w:rsidP="00B61DF3">
      <w:pPr>
        <w:spacing w:before="100" w:beforeAutospacing="1" w:after="100" w:afterAutospacing="1" w:line="276" w:lineRule="auto"/>
        <w:ind w:left="851" w:right="901"/>
        <w:jc w:val="both"/>
        <w:rPr>
          <w:rFonts w:ascii="Palatino Linotype" w:hAnsi="Palatino Linotype" w:cs="Arial"/>
          <w:i/>
          <w:sz w:val="22"/>
          <w:lang w:val="es-ES"/>
        </w:rPr>
      </w:pPr>
      <w:r w:rsidRPr="00B61DF3">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7CEE13A0" w:rsidR="0028330F" w:rsidRPr="00B61DF3" w:rsidRDefault="0028330F" w:rsidP="00B61DF3">
      <w:pPr>
        <w:spacing w:before="100" w:beforeAutospacing="1" w:after="100" w:afterAutospacing="1" w:line="276" w:lineRule="auto"/>
        <w:ind w:left="851" w:right="901"/>
        <w:jc w:val="both"/>
        <w:rPr>
          <w:rFonts w:ascii="Palatino Linotype" w:hAnsi="Palatino Linotype" w:cs="Arial"/>
          <w:i/>
          <w:sz w:val="22"/>
          <w:lang w:val="es-ES"/>
        </w:rPr>
      </w:pPr>
      <w:r w:rsidRPr="00B61DF3">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327EEEFD" w14:textId="0B579C36" w:rsidR="00FA00A4" w:rsidRPr="00B61DF3" w:rsidRDefault="0028330F" w:rsidP="00B61DF3">
      <w:pPr>
        <w:spacing w:before="100" w:beforeAutospacing="1" w:after="100" w:afterAutospacing="1" w:line="360" w:lineRule="auto"/>
        <w:jc w:val="both"/>
        <w:rPr>
          <w:rFonts w:ascii="Palatino Linotype" w:hAnsi="Palatino Linotype" w:cs="Arial"/>
          <w:lang w:val="es-ES"/>
        </w:rPr>
      </w:pPr>
      <w:r w:rsidRPr="00B61DF3">
        <w:rPr>
          <w:rFonts w:ascii="Palatino Linotype" w:hAnsi="Palatino Linotype" w:cs="Arial"/>
          <w:lang w:val="es-ES"/>
        </w:rPr>
        <w:t xml:space="preserve">En esa tesitura, atendiendo a que </w:t>
      </w:r>
      <w:r w:rsidRPr="00B61DF3">
        <w:rPr>
          <w:rFonts w:ascii="Palatino Linotype" w:hAnsi="Palatino Linotype" w:cs="Arial"/>
          <w:b/>
          <w:lang w:val="es-ES"/>
        </w:rPr>
        <w:t>EL SUJETO OBLIGADO</w:t>
      </w:r>
      <w:r w:rsidRPr="00B61DF3">
        <w:rPr>
          <w:rFonts w:ascii="Palatino Linotype" w:hAnsi="Palatino Linotype" w:cs="Arial"/>
          <w:lang w:val="es-ES"/>
        </w:rPr>
        <w:t xml:space="preserve"> notificó la respuesta a la solicitud de Acceso a la Información Pública el </w:t>
      </w:r>
      <w:r w:rsidRPr="00B61DF3">
        <w:rPr>
          <w:rFonts w:ascii="Palatino Linotype" w:hAnsi="Palatino Linotype" w:cs="Arial"/>
          <w:bCs/>
          <w:lang w:val="es-ES"/>
        </w:rPr>
        <w:t>día</w:t>
      </w:r>
      <w:r w:rsidRPr="00B61DF3">
        <w:rPr>
          <w:rFonts w:ascii="Palatino Linotype" w:hAnsi="Palatino Linotype" w:cs="Arial"/>
          <w:b/>
          <w:lang w:val="es-ES"/>
        </w:rPr>
        <w:t xml:space="preserve"> </w:t>
      </w:r>
      <w:r w:rsidR="00315FA4" w:rsidRPr="00B61DF3">
        <w:rPr>
          <w:rFonts w:ascii="Palatino Linotype" w:hAnsi="Palatino Linotype" w:cs="Arial"/>
          <w:b/>
          <w:lang w:val="es-ES"/>
        </w:rPr>
        <w:t>catorce de diciembre</w:t>
      </w:r>
      <w:r w:rsidRPr="00B61DF3">
        <w:rPr>
          <w:rFonts w:ascii="Palatino Linotype" w:hAnsi="Palatino Linotype" w:cs="Arial"/>
          <w:b/>
          <w:lang w:val="es-ES"/>
        </w:rPr>
        <w:t xml:space="preserve"> de dos mil veintidós</w:t>
      </w:r>
      <w:r w:rsidRPr="00B61DF3">
        <w:rPr>
          <w:rFonts w:ascii="Palatino Linotype" w:hAnsi="Palatino Linotype" w:cs="Arial"/>
          <w:lang w:val="es-ES"/>
        </w:rPr>
        <w:t xml:space="preserve">, así, el plazo de quince días hábiles que el artículo 178 de la Ley de la materia otorga al hoy </w:t>
      </w:r>
      <w:r w:rsidRPr="00B61DF3">
        <w:rPr>
          <w:rFonts w:ascii="Palatino Linotype" w:hAnsi="Palatino Linotype" w:cs="Arial"/>
          <w:b/>
          <w:lang w:val="es-ES"/>
        </w:rPr>
        <w:t>RECURRENTE</w:t>
      </w:r>
      <w:r w:rsidRPr="00B61DF3">
        <w:rPr>
          <w:rFonts w:ascii="Palatino Linotype" w:hAnsi="Palatino Linotype" w:cs="Arial"/>
          <w:lang w:val="es-ES"/>
        </w:rPr>
        <w:t xml:space="preserve"> para presentar el respectivo Recurso de Revisión, transcurrió del </w:t>
      </w:r>
      <w:r w:rsidR="00315FA4" w:rsidRPr="00B61DF3">
        <w:rPr>
          <w:rFonts w:ascii="Palatino Linotype" w:hAnsi="Palatino Linotype" w:cs="Arial"/>
          <w:b/>
          <w:lang w:val="es-ES"/>
        </w:rPr>
        <w:t xml:space="preserve">quince de diciembre de </w:t>
      </w:r>
      <w:r w:rsidRPr="00B61DF3">
        <w:rPr>
          <w:rFonts w:ascii="Palatino Linotype" w:hAnsi="Palatino Linotype" w:cs="Arial"/>
          <w:b/>
          <w:lang w:val="es-ES"/>
        </w:rPr>
        <w:t>dos mil veintidós</w:t>
      </w:r>
      <w:r w:rsidR="00315FA4" w:rsidRPr="00B61DF3">
        <w:rPr>
          <w:rFonts w:ascii="Palatino Linotype" w:hAnsi="Palatino Linotype" w:cs="Arial"/>
          <w:b/>
          <w:lang w:val="es-ES"/>
        </w:rPr>
        <w:t xml:space="preserve"> al veinte de enero de dos mil veintitrés</w:t>
      </w:r>
      <w:r w:rsidRPr="00B61DF3">
        <w:rPr>
          <w:rFonts w:ascii="Palatino Linotype" w:hAnsi="Palatino Linotype" w:cs="Arial"/>
          <w:lang w:val="es-ES"/>
        </w:rPr>
        <w:t>, sin contemplar en el cómputo los días</w:t>
      </w:r>
      <w:r w:rsidR="00B24EC0" w:rsidRPr="00B61DF3">
        <w:rPr>
          <w:rFonts w:ascii="Palatino Linotype" w:hAnsi="Palatino Linotype" w:cs="Arial"/>
          <w:lang w:val="es-ES"/>
        </w:rPr>
        <w:t xml:space="preserve"> </w:t>
      </w:r>
      <w:r w:rsidR="00315FA4" w:rsidRPr="00B61DF3">
        <w:rPr>
          <w:rFonts w:ascii="Palatino Linotype" w:hAnsi="Palatino Linotype" w:cs="Arial"/>
          <w:lang w:val="es-ES"/>
        </w:rPr>
        <w:t>diecisiete, dieciocho, veinticuatro, veinticinco de diciembre de</w:t>
      </w:r>
      <w:r w:rsidR="004137C1" w:rsidRPr="00B61DF3">
        <w:rPr>
          <w:rFonts w:ascii="Palatino Linotype" w:hAnsi="Palatino Linotype" w:cs="Arial"/>
          <w:lang w:val="es-ES"/>
        </w:rPr>
        <w:t xml:space="preserve"> dos mil veintidós</w:t>
      </w:r>
      <w:r w:rsidR="00315FA4" w:rsidRPr="00B61DF3">
        <w:rPr>
          <w:rFonts w:ascii="Palatino Linotype" w:hAnsi="Palatino Linotype" w:cs="Arial"/>
          <w:lang w:val="es-ES"/>
        </w:rPr>
        <w:t>, así como, uno, siete, ocho, catorce y quince de enero de dos mil veintitrés</w:t>
      </w:r>
      <w:r w:rsidR="004137C1" w:rsidRPr="00B61DF3">
        <w:rPr>
          <w:rFonts w:ascii="Palatino Linotype" w:hAnsi="Palatino Linotype" w:cs="Arial"/>
          <w:lang w:val="es-ES"/>
        </w:rPr>
        <w:t xml:space="preserve">, </w:t>
      </w:r>
      <w:r w:rsidR="002E0907" w:rsidRPr="00B61DF3">
        <w:rPr>
          <w:rFonts w:ascii="Palatino Linotype" w:hAnsi="Palatino Linotype" w:cs="Arial"/>
          <w:lang w:val="es-ES"/>
        </w:rPr>
        <w:t xml:space="preserve">por </w:t>
      </w:r>
      <w:r w:rsidRPr="00B61DF3">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FA00A4" w:rsidRPr="00B61DF3">
        <w:rPr>
          <w:rFonts w:ascii="Palatino Linotype" w:hAnsi="Palatino Linotype" w:cs="Arial"/>
          <w:lang w:val="es-ES"/>
        </w:rPr>
        <w:t xml:space="preserve">; así como, </w:t>
      </w:r>
      <w:r w:rsidR="00DB1F60" w:rsidRPr="00B61DF3">
        <w:rPr>
          <w:rFonts w:ascii="Palatino Linotype" w:hAnsi="Palatino Linotype" w:cs="Arial"/>
          <w:lang w:val="es-ES"/>
        </w:rPr>
        <w:t>el</w:t>
      </w:r>
      <w:r w:rsidR="00144683" w:rsidRPr="00B61DF3">
        <w:rPr>
          <w:rFonts w:ascii="Palatino Linotype" w:hAnsi="Palatino Linotype" w:cs="Arial"/>
          <w:lang w:val="es-ES"/>
        </w:rPr>
        <w:t xml:space="preserve"> día </w:t>
      </w:r>
      <w:r w:rsidR="00315FA4" w:rsidRPr="00B61DF3">
        <w:rPr>
          <w:rFonts w:ascii="Palatino Linotype" w:hAnsi="Palatino Linotype" w:cs="Arial"/>
          <w:lang w:val="es-ES"/>
        </w:rPr>
        <w:t>veintidós, veintitrés, veintiséis, veintisiete veintiocho, veintinueve y treinta de diciembre</w:t>
      </w:r>
      <w:r w:rsidR="00FA00A4" w:rsidRPr="00B61DF3">
        <w:rPr>
          <w:rFonts w:ascii="Palatino Linotype" w:hAnsi="Palatino Linotype" w:cs="Arial"/>
          <w:lang w:val="es-ES"/>
        </w:rPr>
        <w:t xml:space="preserve"> de dos mil veintidós, </w:t>
      </w:r>
      <w:r w:rsidR="00315FA4" w:rsidRPr="00B61DF3">
        <w:rPr>
          <w:rFonts w:ascii="Palatino Linotype" w:hAnsi="Palatino Linotype" w:cs="Arial"/>
          <w:lang w:val="es-ES"/>
        </w:rPr>
        <w:t xml:space="preserve">así como, dos, tres, cuatro, cinco y seis de enero de dos mil veintitrés </w:t>
      </w:r>
      <w:r w:rsidR="00FA00A4" w:rsidRPr="00B61DF3">
        <w:rPr>
          <w:rFonts w:ascii="Palatino Linotype" w:hAnsi="Palatino Linotype" w:cs="Arial"/>
          <w:lang w:val="es-ES"/>
        </w:rPr>
        <w:t>por corresponder a un día de suspensión de labores de conformidad con el Calendario Oficial en materia de Transparencia aprobado por el Pleno en fecha quince de diciembre de dos mil veintiuno.</w:t>
      </w:r>
    </w:p>
    <w:p w14:paraId="0F7E0D5B" w14:textId="410FA5EE" w:rsidR="005C250B" w:rsidRPr="00B61DF3" w:rsidRDefault="0028330F" w:rsidP="00B61DF3">
      <w:pPr>
        <w:spacing w:before="100" w:beforeAutospacing="1" w:after="100" w:afterAutospacing="1" w:line="360" w:lineRule="auto"/>
        <w:jc w:val="both"/>
        <w:rPr>
          <w:rFonts w:ascii="Palatino Linotype" w:hAnsi="Palatino Linotype" w:cs="Arial"/>
          <w:lang w:val="es-ES"/>
        </w:rPr>
      </w:pPr>
      <w:r w:rsidRPr="00B61DF3">
        <w:rPr>
          <w:rFonts w:ascii="Palatino Linotype" w:hAnsi="Palatino Linotype" w:cs="Arial"/>
          <w:lang w:val="es-ES"/>
        </w:rPr>
        <w:t xml:space="preserve">Por tanto, si el Recurso de Revisión que nos ocupa, se interpuso el </w:t>
      </w:r>
      <w:r w:rsidR="007D30D0" w:rsidRPr="00B61DF3">
        <w:rPr>
          <w:rFonts w:ascii="Palatino Linotype" w:hAnsi="Palatino Linotype" w:cs="Arial"/>
          <w:b/>
          <w:lang w:val="es-ES"/>
        </w:rPr>
        <w:t>veinte de diciembre</w:t>
      </w:r>
      <w:r w:rsidR="000C2066" w:rsidRPr="00B61DF3">
        <w:rPr>
          <w:rFonts w:ascii="Palatino Linotype" w:hAnsi="Palatino Linotype" w:cs="Arial"/>
          <w:b/>
          <w:lang w:val="es-ES"/>
        </w:rPr>
        <w:t xml:space="preserve"> </w:t>
      </w:r>
      <w:r w:rsidRPr="00B61DF3">
        <w:rPr>
          <w:rFonts w:ascii="Palatino Linotype" w:hAnsi="Palatino Linotype" w:cs="Arial"/>
          <w:b/>
          <w:lang w:val="es-ES"/>
        </w:rPr>
        <w:t>de dos mil veintidós</w:t>
      </w:r>
      <w:r w:rsidRPr="00B61DF3">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B61DF3" w:rsidRDefault="005C250B" w:rsidP="00B61DF3">
      <w:pPr>
        <w:autoSpaceDE w:val="0"/>
        <w:autoSpaceDN w:val="0"/>
        <w:adjustRightInd w:val="0"/>
        <w:spacing w:before="100" w:beforeAutospacing="1" w:after="100" w:afterAutospacing="1" w:line="360" w:lineRule="auto"/>
        <w:ind w:right="49"/>
        <w:jc w:val="both"/>
        <w:rPr>
          <w:rFonts w:ascii="Palatino Linotype" w:hAnsi="Palatino Linotype"/>
          <w:b/>
          <w:sz w:val="26"/>
          <w:szCs w:val="26"/>
        </w:rPr>
      </w:pPr>
      <w:r w:rsidRPr="00B61DF3">
        <w:rPr>
          <w:rFonts w:ascii="Palatino Linotype" w:hAnsi="Palatino Linotype" w:cs="Arial"/>
          <w:b/>
          <w:sz w:val="26"/>
          <w:szCs w:val="26"/>
        </w:rPr>
        <w:t>CUARTO</w:t>
      </w:r>
      <w:r w:rsidR="0030772C" w:rsidRPr="00B61DF3">
        <w:rPr>
          <w:rFonts w:ascii="Palatino Linotype" w:hAnsi="Palatino Linotype"/>
          <w:b/>
          <w:sz w:val="26"/>
          <w:szCs w:val="26"/>
        </w:rPr>
        <w:t>. Procedibilidad.</w:t>
      </w:r>
    </w:p>
    <w:p w14:paraId="295A4189" w14:textId="77777777" w:rsidR="00295C21" w:rsidRPr="00B61DF3" w:rsidRDefault="00295C21" w:rsidP="00B61DF3">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B61DF3">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0690F3E6" w14:textId="77777777" w:rsidR="00295C21" w:rsidRPr="00B61DF3" w:rsidRDefault="00295C21" w:rsidP="00B61DF3">
      <w:pPr>
        <w:tabs>
          <w:tab w:val="left" w:pos="851"/>
        </w:tabs>
        <w:spacing w:before="100" w:beforeAutospacing="1" w:after="100" w:afterAutospacing="1"/>
        <w:ind w:left="851" w:right="901"/>
        <w:jc w:val="both"/>
        <w:rPr>
          <w:rFonts w:ascii="Palatino Linotype" w:hAnsi="Palatino Linotype"/>
          <w:b/>
          <w:i/>
          <w:sz w:val="22"/>
          <w:szCs w:val="22"/>
          <w:lang w:val="es-ES"/>
        </w:rPr>
      </w:pPr>
      <w:r w:rsidRPr="00B61DF3">
        <w:rPr>
          <w:rFonts w:ascii="Palatino Linotype" w:hAnsi="Palatino Linotype"/>
          <w:b/>
          <w:i/>
          <w:sz w:val="22"/>
          <w:szCs w:val="22"/>
          <w:lang w:val="es-ES"/>
        </w:rPr>
        <w:t xml:space="preserve">“Artículo 180. </w:t>
      </w:r>
      <w:r w:rsidRPr="00B61DF3">
        <w:rPr>
          <w:rFonts w:ascii="Palatino Linotype" w:hAnsi="Palatino Linotype"/>
          <w:i/>
          <w:sz w:val="22"/>
          <w:szCs w:val="22"/>
          <w:lang w:val="es-ES"/>
        </w:rPr>
        <w:t xml:space="preserve">El </w:t>
      </w:r>
      <w:r w:rsidRPr="00B61DF3">
        <w:rPr>
          <w:rFonts w:ascii="Palatino Linotype" w:hAnsi="Palatino Linotype" w:cs="Arial"/>
          <w:i/>
          <w:sz w:val="22"/>
          <w:szCs w:val="22"/>
          <w:lang w:val="es-ES"/>
        </w:rPr>
        <w:t>recurso</w:t>
      </w:r>
      <w:r w:rsidRPr="00B61DF3">
        <w:rPr>
          <w:rFonts w:ascii="Palatino Linotype" w:hAnsi="Palatino Linotype"/>
          <w:i/>
          <w:sz w:val="22"/>
          <w:szCs w:val="22"/>
          <w:lang w:val="es-ES"/>
        </w:rPr>
        <w:t xml:space="preserve"> </w:t>
      </w:r>
      <w:r w:rsidRPr="00B61DF3">
        <w:rPr>
          <w:rFonts w:ascii="Palatino Linotype" w:hAnsi="Palatino Linotype" w:cs="Arial"/>
          <w:i/>
          <w:sz w:val="22"/>
          <w:szCs w:val="22"/>
          <w:lang w:val="es-ES"/>
        </w:rPr>
        <w:t>de</w:t>
      </w:r>
      <w:r w:rsidRPr="00B61DF3">
        <w:rPr>
          <w:rFonts w:ascii="Palatino Linotype" w:hAnsi="Palatino Linotype"/>
          <w:i/>
          <w:sz w:val="22"/>
          <w:szCs w:val="22"/>
          <w:lang w:val="es-ES"/>
        </w:rPr>
        <w:t xml:space="preserve"> revisión contendrá:</w:t>
      </w:r>
      <w:r w:rsidRPr="00B61DF3">
        <w:rPr>
          <w:rFonts w:ascii="Palatino Linotype" w:hAnsi="Palatino Linotype"/>
          <w:b/>
          <w:i/>
          <w:sz w:val="22"/>
          <w:szCs w:val="22"/>
          <w:lang w:val="es-ES"/>
        </w:rPr>
        <w:t xml:space="preserve"> </w:t>
      </w:r>
    </w:p>
    <w:p w14:paraId="01E96AD7" w14:textId="77777777" w:rsidR="00295C21" w:rsidRPr="00B61DF3" w:rsidRDefault="00295C21" w:rsidP="00B61DF3">
      <w:pPr>
        <w:tabs>
          <w:tab w:val="left" w:pos="851"/>
        </w:tabs>
        <w:spacing w:before="100" w:beforeAutospacing="1" w:after="100" w:afterAutospacing="1"/>
        <w:ind w:left="851" w:right="901"/>
        <w:jc w:val="both"/>
        <w:rPr>
          <w:rFonts w:ascii="Palatino Linotype" w:hAnsi="Palatino Linotype"/>
          <w:b/>
          <w:i/>
          <w:sz w:val="22"/>
          <w:szCs w:val="22"/>
          <w:lang w:val="es-ES"/>
        </w:rPr>
      </w:pPr>
      <w:r w:rsidRPr="00B61DF3">
        <w:rPr>
          <w:rFonts w:ascii="Palatino Linotype" w:hAnsi="Palatino Linotype"/>
          <w:b/>
          <w:i/>
          <w:sz w:val="22"/>
          <w:szCs w:val="22"/>
          <w:lang w:val="es-ES"/>
        </w:rPr>
        <w:t>…</w:t>
      </w:r>
    </w:p>
    <w:p w14:paraId="72B47AFE" w14:textId="77777777" w:rsidR="00295C21" w:rsidRPr="00B61DF3" w:rsidRDefault="00295C21" w:rsidP="00B61DF3">
      <w:pPr>
        <w:tabs>
          <w:tab w:val="left" w:pos="851"/>
        </w:tabs>
        <w:spacing w:before="100" w:beforeAutospacing="1" w:after="100" w:afterAutospacing="1"/>
        <w:ind w:left="851" w:right="901"/>
        <w:jc w:val="both"/>
        <w:rPr>
          <w:rFonts w:ascii="Palatino Linotype" w:hAnsi="Palatino Linotype"/>
          <w:i/>
          <w:sz w:val="22"/>
          <w:szCs w:val="22"/>
          <w:lang w:val="es-ES"/>
        </w:rPr>
      </w:pPr>
      <w:r w:rsidRPr="00B61DF3">
        <w:rPr>
          <w:rFonts w:ascii="Palatino Linotype" w:hAnsi="Palatino Linotype"/>
          <w:b/>
          <w:i/>
          <w:sz w:val="22"/>
          <w:szCs w:val="22"/>
          <w:lang w:val="es-ES"/>
        </w:rPr>
        <w:t xml:space="preserve">II. El nombre del solicitante </w:t>
      </w:r>
      <w:r w:rsidRPr="00B61DF3">
        <w:rPr>
          <w:rFonts w:ascii="Palatino Linotype" w:hAnsi="Palatino Linotype" w:cs="Arial"/>
          <w:b/>
          <w:i/>
          <w:sz w:val="22"/>
          <w:szCs w:val="22"/>
          <w:lang w:val="es-ES"/>
        </w:rPr>
        <w:t>que</w:t>
      </w:r>
      <w:r w:rsidRPr="00B61DF3">
        <w:rPr>
          <w:rFonts w:ascii="Palatino Linotype" w:hAnsi="Palatino Linotype"/>
          <w:b/>
          <w:i/>
          <w:sz w:val="22"/>
          <w:szCs w:val="22"/>
          <w:lang w:val="es-ES"/>
        </w:rPr>
        <w:t xml:space="preserve"> recurre </w:t>
      </w:r>
      <w:r w:rsidRPr="00B61DF3">
        <w:rPr>
          <w:rFonts w:ascii="Palatino Linotype" w:hAnsi="Palatino Linotype"/>
          <w:i/>
          <w:sz w:val="22"/>
          <w:szCs w:val="22"/>
          <w:lang w:val="es-ES"/>
        </w:rPr>
        <w:t>o de su representante y, en su caso</w:t>
      </w:r>
      <w:proofErr w:type="gramStart"/>
      <w:r w:rsidRPr="00B61DF3">
        <w:rPr>
          <w:rFonts w:ascii="Palatino Linotype" w:hAnsi="Palatino Linotype"/>
          <w:i/>
          <w:sz w:val="22"/>
          <w:szCs w:val="22"/>
          <w:lang w:val="es-ES"/>
        </w:rPr>
        <w:t>, …</w:t>
      </w:r>
      <w:proofErr w:type="gramEnd"/>
    </w:p>
    <w:p w14:paraId="10DF47A8" w14:textId="77777777" w:rsidR="00295C21" w:rsidRPr="00B61DF3" w:rsidRDefault="00295C21" w:rsidP="00B61DF3">
      <w:pPr>
        <w:tabs>
          <w:tab w:val="left" w:pos="851"/>
        </w:tabs>
        <w:spacing w:before="100" w:beforeAutospacing="1" w:after="100" w:afterAutospacing="1"/>
        <w:ind w:left="851" w:right="901"/>
        <w:jc w:val="both"/>
        <w:rPr>
          <w:rFonts w:ascii="Palatino Linotype" w:hAnsi="Palatino Linotype"/>
          <w:b/>
          <w:i/>
          <w:sz w:val="22"/>
          <w:szCs w:val="22"/>
          <w:lang w:val="es-ES"/>
        </w:rPr>
      </w:pPr>
      <w:r w:rsidRPr="00B61DF3">
        <w:rPr>
          <w:rFonts w:ascii="Palatino Linotype" w:hAnsi="Palatino Linotype"/>
          <w:b/>
          <w:i/>
          <w:sz w:val="22"/>
          <w:szCs w:val="22"/>
          <w:lang w:val="es-ES"/>
        </w:rPr>
        <w:t xml:space="preserve">En caso de </w:t>
      </w:r>
      <w:r w:rsidRPr="00B61DF3">
        <w:rPr>
          <w:rFonts w:ascii="Palatino Linotype" w:hAnsi="Palatino Linotype" w:cs="Arial"/>
          <w:b/>
          <w:i/>
          <w:sz w:val="22"/>
          <w:szCs w:val="22"/>
          <w:lang w:val="es-ES"/>
        </w:rPr>
        <w:t>que</w:t>
      </w:r>
      <w:r w:rsidRPr="00B61DF3">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B61DF3">
        <w:rPr>
          <w:rFonts w:ascii="Palatino Linotype" w:hAnsi="Palatino Linotype"/>
          <w:i/>
          <w:sz w:val="22"/>
          <w:szCs w:val="22"/>
          <w:lang w:val="es-ES"/>
        </w:rPr>
        <w:t>, IV, VII y VIII.</w:t>
      </w:r>
      <w:r w:rsidRPr="00B61DF3">
        <w:rPr>
          <w:rFonts w:ascii="Palatino Linotype" w:hAnsi="Palatino Linotype"/>
          <w:b/>
          <w:i/>
          <w:sz w:val="22"/>
          <w:szCs w:val="22"/>
          <w:lang w:val="es-ES"/>
        </w:rPr>
        <w:t>”</w:t>
      </w:r>
    </w:p>
    <w:p w14:paraId="00081731" w14:textId="77777777" w:rsidR="0039043D" w:rsidRPr="00B61DF3" w:rsidRDefault="0039043D" w:rsidP="00B61DF3">
      <w:pPr>
        <w:spacing w:before="100" w:beforeAutospacing="1" w:after="100" w:afterAutospacing="1"/>
        <w:ind w:left="851" w:right="902"/>
        <w:jc w:val="right"/>
        <w:rPr>
          <w:rFonts w:ascii="Palatino Linotype" w:hAnsi="Palatino Linotype" w:cs="Arial"/>
          <w:i/>
          <w:sz w:val="22"/>
          <w:szCs w:val="22"/>
          <w:lang w:val="es-ES"/>
        </w:rPr>
      </w:pPr>
      <w:r w:rsidRPr="00B61DF3">
        <w:rPr>
          <w:rFonts w:ascii="Palatino Linotype" w:hAnsi="Palatino Linotype" w:cs="Arial"/>
          <w:i/>
          <w:sz w:val="22"/>
          <w:szCs w:val="22"/>
          <w:lang w:val="es-ES"/>
        </w:rPr>
        <w:t>(</w:t>
      </w:r>
      <w:r w:rsidRPr="00B61DF3">
        <w:rPr>
          <w:rFonts w:ascii="Palatino Linotype" w:hAnsi="Palatino Linotype" w:cs="Arial"/>
          <w:iCs/>
          <w:sz w:val="22"/>
          <w:szCs w:val="22"/>
          <w:lang w:val="es-ES"/>
        </w:rPr>
        <w:t>Énfasis añadido</w:t>
      </w:r>
      <w:r w:rsidRPr="00B61DF3">
        <w:rPr>
          <w:rFonts w:ascii="Palatino Linotype" w:hAnsi="Palatino Linotype" w:cs="Arial"/>
          <w:i/>
          <w:sz w:val="22"/>
          <w:szCs w:val="22"/>
          <w:lang w:val="es-ES"/>
        </w:rPr>
        <w:t>)</w:t>
      </w:r>
    </w:p>
    <w:p w14:paraId="28ED541B" w14:textId="77777777" w:rsidR="00295C21" w:rsidRPr="00B61DF3" w:rsidRDefault="00295C21" w:rsidP="00B61DF3">
      <w:pPr>
        <w:spacing w:before="100" w:beforeAutospacing="1" w:after="100" w:afterAutospacing="1" w:line="360" w:lineRule="auto"/>
        <w:jc w:val="both"/>
        <w:rPr>
          <w:rFonts w:ascii="Palatino Linotype" w:hAnsi="Palatino Linotype"/>
          <w:b/>
          <w:lang w:val="es-ES"/>
        </w:rPr>
      </w:pPr>
      <w:r w:rsidRPr="00B61DF3">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B61DF3">
        <w:rPr>
          <w:rFonts w:ascii="Palatino Linotype" w:hAnsi="Palatino Linotype" w:cs="Arial"/>
          <w:b/>
          <w:lang w:val="es-ES"/>
        </w:rPr>
        <w:t xml:space="preserve"> RECURRENTE;</w:t>
      </w:r>
      <w:r w:rsidRPr="00B61DF3">
        <w:rPr>
          <w:rFonts w:ascii="Palatino Linotype" w:hAnsi="Palatino Linotype"/>
          <w:lang w:val="es-ES"/>
        </w:rPr>
        <w:t xml:space="preserve"> por lo que, en el presente caso, al haber sido presentados los Recursos de Revisión vía </w:t>
      </w:r>
      <w:r w:rsidRPr="00B61DF3">
        <w:rPr>
          <w:rFonts w:ascii="Palatino Linotype" w:hAnsi="Palatino Linotype"/>
          <w:b/>
          <w:lang w:val="es-ES"/>
        </w:rPr>
        <w:t>SAIMEX</w:t>
      </w:r>
      <w:r w:rsidRPr="00B61DF3">
        <w:rPr>
          <w:rFonts w:ascii="Palatino Linotype" w:hAnsi="Palatino Linotype"/>
          <w:lang w:val="es-ES"/>
        </w:rPr>
        <w:t>, dicho requisito resulta innecesario.</w:t>
      </w:r>
    </w:p>
    <w:p w14:paraId="33C04BD4" w14:textId="77777777" w:rsidR="00295C21" w:rsidRPr="00B61DF3" w:rsidRDefault="00295C21" w:rsidP="00B61DF3">
      <w:pPr>
        <w:spacing w:before="100" w:beforeAutospacing="1" w:after="100" w:afterAutospacing="1" w:line="360" w:lineRule="auto"/>
        <w:jc w:val="both"/>
        <w:rPr>
          <w:rFonts w:ascii="Palatino Linotype" w:hAnsi="Palatino Linotype" w:cs="Arial"/>
          <w:lang w:val="es-ES"/>
        </w:rPr>
      </w:pPr>
      <w:r w:rsidRPr="00B61DF3">
        <w:rPr>
          <w:rFonts w:ascii="Palatino Linotype" w:hAnsi="Palatino Linotype"/>
          <w:lang w:val="es-ES"/>
        </w:rPr>
        <w:t xml:space="preserve">Lo anterior es así, pues el artículo 15 de </w:t>
      </w:r>
      <w:r w:rsidRPr="00B61DF3">
        <w:rPr>
          <w:rFonts w:ascii="Palatino Linotype" w:hAnsi="Palatino Linotype" w:cs="Arial"/>
          <w:lang w:val="es-ES"/>
        </w:rPr>
        <w:t xml:space="preserve">Ley de Transparencia y Acceso a la Información Pública del Estado de México y Municipios </w:t>
      </w:r>
      <w:r w:rsidRPr="00B61DF3">
        <w:rPr>
          <w:rFonts w:ascii="Palatino Linotype" w:hAnsi="Palatino Linotype" w:cs="Arial"/>
          <w:iCs/>
          <w:lang w:val="es-ES"/>
        </w:rPr>
        <w:t xml:space="preserve">prevé que, </w:t>
      </w:r>
      <w:r w:rsidRPr="00B61DF3">
        <w:rPr>
          <w:rFonts w:ascii="Palatino Linotype" w:hAnsi="Palatino Linotype"/>
          <w:lang w:val="es-ES"/>
        </w:rPr>
        <w:t xml:space="preserve">toda persona tendrá acceso a la información </w:t>
      </w:r>
      <w:r w:rsidRPr="00B61DF3">
        <w:rPr>
          <w:rFonts w:ascii="Palatino Linotype" w:hAnsi="Palatino Linotype" w:cs="Arial"/>
          <w:lang w:val="es-ES"/>
        </w:rPr>
        <w:t xml:space="preserve">sin necesidad de acreditar interés alguno o justificar su utilización, de lo que se infiere que para el </w:t>
      </w:r>
      <w:r w:rsidRPr="00B61DF3">
        <w:rPr>
          <w:rFonts w:ascii="Palatino Linotype" w:hAnsi="Palatino Linotype"/>
          <w:lang w:val="es-ES"/>
        </w:rPr>
        <w:t>ejercicio</w:t>
      </w:r>
      <w:r w:rsidRPr="00B61DF3">
        <w:rPr>
          <w:rFonts w:ascii="Palatino Linotype" w:hAnsi="Palatino Linotype" w:cs="Arial"/>
          <w:lang w:val="es-ES"/>
        </w:rPr>
        <w:t xml:space="preserve"> del derecho de acceso a la información pública, </w:t>
      </w:r>
      <w:r w:rsidRPr="00B61DF3">
        <w:rPr>
          <w:rFonts w:ascii="Palatino Linotype" w:hAnsi="Palatino Linotype" w:cs="Arial"/>
          <w:b/>
          <w:u w:val="single"/>
          <w:lang w:val="es-ES"/>
        </w:rPr>
        <w:t xml:space="preserve">el nombre no es un requisito </w:t>
      </w:r>
      <w:r w:rsidRPr="00B61DF3">
        <w:rPr>
          <w:rFonts w:ascii="Palatino Linotype" w:hAnsi="Palatino Linotype" w:cs="Arial"/>
          <w:b/>
          <w:i/>
          <w:u w:val="single"/>
          <w:lang w:val="es-ES"/>
        </w:rPr>
        <w:t>sine qua non</w:t>
      </w:r>
      <w:r w:rsidRPr="00B61DF3">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329CA72" w14:textId="37BCA2D7" w:rsidR="00295C21" w:rsidRPr="00B61DF3" w:rsidRDefault="00295C21" w:rsidP="00B61DF3">
      <w:pPr>
        <w:spacing w:before="100" w:beforeAutospacing="1" w:after="100" w:afterAutospacing="1" w:line="360" w:lineRule="auto"/>
        <w:jc w:val="both"/>
        <w:rPr>
          <w:rFonts w:ascii="Palatino Linotype" w:hAnsi="Palatino Linotype"/>
          <w:lang w:val="es-ES"/>
        </w:rPr>
      </w:pPr>
      <w:r w:rsidRPr="00B61DF3">
        <w:rPr>
          <w:rFonts w:ascii="Palatino Linotype" w:hAnsi="Palatino Linotype"/>
          <w:lang w:val="es-ES"/>
        </w:rPr>
        <w:t xml:space="preserve">Aunado a lo anterior, cabe precisar que los artículos 6, Apartado A, fracciones III y IV de la Constitución Política de los Estados Unidos Mexicanos y 5, párrafos </w:t>
      </w:r>
      <w:r w:rsidR="00660DC1" w:rsidRPr="00B61DF3">
        <w:rPr>
          <w:rFonts w:ascii="Palatino Linotype" w:hAnsi="Palatino Linotype"/>
          <w:lang w:val="es-ES"/>
        </w:rPr>
        <w:t>trigésimo segundo, trigésimo tercero y trigésimo cuarto</w:t>
      </w:r>
      <w:r w:rsidRPr="00B61DF3">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5486DBA" w14:textId="77777777" w:rsidR="00295C21" w:rsidRPr="00B61DF3" w:rsidRDefault="00295C21" w:rsidP="00B61DF3">
      <w:pPr>
        <w:spacing w:before="100" w:beforeAutospacing="1" w:after="100" w:afterAutospacing="1" w:line="360" w:lineRule="auto"/>
        <w:jc w:val="both"/>
        <w:rPr>
          <w:rFonts w:ascii="Palatino Linotype" w:hAnsi="Palatino Linotype"/>
          <w:lang w:val="es-ES"/>
        </w:rPr>
      </w:pPr>
      <w:r w:rsidRPr="00B61DF3">
        <w:rPr>
          <w:rFonts w:ascii="Palatino Linotype" w:hAnsi="Palatino Linotype"/>
          <w:lang w:val="es-ES"/>
        </w:rPr>
        <w:t xml:space="preserve">Asimismo, se estima que el requisito relativo al nombre del </w:t>
      </w:r>
      <w:r w:rsidRPr="00B61DF3">
        <w:rPr>
          <w:rFonts w:ascii="Palatino Linotype" w:hAnsi="Palatino Linotype" w:cs="Arial"/>
          <w:b/>
          <w:lang w:val="es-ES"/>
        </w:rPr>
        <w:t>RECURRENTE</w:t>
      </w:r>
      <w:r w:rsidRPr="00B61DF3">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61DF3">
        <w:rPr>
          <w:rFonts w:ascii="Palatino Linotype" w:hAnsi="Palatino Linotype" w:cs="Arial"/>
          <w:b/>
          <w:lang w:val="es-ES"/>
        </w:rPr>
        <w:t>EL RECURRENTE</w:t>
      </w:r>
      <w:r w:rsidRPr="00B61DF3">
        <w:rPr>
          <w:rFonts w:ascii="Palatino Linotype" w:hAnsi="Palatino Linotype"/>
          <w:lang w:val="es-ES"/>
        </w:rPr>
        <w:t xml:space="preserve"> es la misma persona que realizó las solicitudes de acceso a la información pública que ahora se impugnan.</w:t>
      </w:r>
    </w:p>
    <w:p w14:paraId="66A64B37" w14:textId="77777777" w:rsidR="00295C21" w:rsidRPr="00B61DF3" w:rsidRDefault="00295C21" w:rsidP="00B61DF3">
      <w:pPr>
        <w:spacing w:before="100" w:beforeAutospacing="1" w:after="100" w:afterAutospacing="1" w:line="360" w:lineRule="auto"/>
        <w:jc w:val="both"/>
        <w:rPr>
          <w:rFonts w:ascii="Palatino Linotype" w:hAnsi="Palatino Linotype"/>
          <w:lang w:val="es-ES"/>
        </w:rPr>
      </w:pPr>
      <w:r w:rsidRPr="00B61DF3">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B61DF3">
        <w:rPr>
          <w:rFonts w:ascii="Palatino Linotype" w:hAnsi="Palatino Linotype"/>
        </w:rPr>
        <w:t>Constitución Política de los Estados Unidos Mexicanos</w:t>
      </w:r>
      <w:r w:rsidRPr="00B61DF3">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6E224EF" w14:textId="77777777" w:rsidR="00315FA4" w:rsidRPr="00B61DF3" w:rsidRDefault="00315FA4" w:rsidP="00B61DF3">
      <w:pPr>
        <w:autoSpaceDE w:val="0"/>
        <w:autoSpaceDN w:val="0"/>
        <w:adjustRightInd w:val="0"/>
        <w:spacing w:before="100" w:beforeAutospacing="1" w:after="100" w:afterAutospacing="1" w:line="360" w:lineRule="auto"/>
        <w:ind w:right="49"/>
        <w:jc w:val="both"/>
        <w:rPr>
          <w:rFonts w:ascii="Palatino Linotype" w:hAnsi="Palatino Linotype"/>
          <w:b/>
          <w:sz w:val="26"/>
          <w:szCs w:val="26"/>
          <w:lang w:val="es-ES"/>
        </w:rPr>
      </w:pPr>
    </w:p>
    <w:p w14:paraId="1845814D" w14:textId="0A431623" w:rsidR="005B5043" w:rsidRPr="00B61DF3" w:rsidRDefault="000171D8" w:rsidP="00B61DF3">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B61DF3">
        <w:rPr>
          <w:rFonts w:ascii="Palatino Linotype" w:hAnsi="Palatino Linotype"/>
          <w:b/>
          <w:sz w:val="26"/>
          <w:szCs w:val="26"/>
          <w:lang w:eastAsia="es-MX"/>
        </w:rPr>
        <w:t>QUINTO</w:t>
      </w:r>
      <w:r w:rsidRPr="00B61DF3">
        <w:rPr>
          <w:rFonts w:ascii="Palatino Linotype" w:hAnsi="Palatino Linotype" w:cs="Arial"/>
          <w:b/>
          <w:sz w:val="26"/>
          <w:szCs w:val="26"/>
          <w:lang w:eastAsia="es-MX"/>
        </w:rPr>
        <w:t xml:space="preserve">. </w:t>
      </w:r>
      <w:r w:rsidRPr="00B61DF3">
        <w:rPr>
          <w:rFonts w:ascii="Palatino Linotype" w:hAnsi="Palatino Linotype" w:cs="Arial"/>
          <w:b/>
          <w:sz w:val="26"/>
          <w:szCs w:val="26"/>
          <w:lang w:val="es-ES" w:eastAsia="es-MX"/>
        </w:rPr>
        <w:t>Estudio y resolución del asunto.</w:t>
      </w:r>
    </w:p>
    <w:p w14:paraId="658DCB49" w14:textId="77777777" w:rsidR="0008429C" w:rsidRPr="00B61DF3" w:rsidRDefault="0008429C" w:rsidP="00B61DF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61DF3">
        <w:rPr>
          <w:rFonts w:ascii="Palatino Linotype" w:hAnsi="Palatino Linotype" w:cs="Arial"/>
        </w:rPr>
        <w:t>Del análisis efectuado, se advierte que el Recurso de Revisión de que se trata es procedente; toda vez, que se actualiza la hipótesis prevista en la fracción II del artículo 179 de la Ley de la materia, que a la letra dice:</w:t>
      </w:r>
    </w:p>
    <w:p w14:paraId="0BBC9C8B"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Cs/>
          <w:i/>
          <w:sz w:val="22"/>
          <w:szCs w:val="22"/>
        </w:rPr>
      </w:pPr>
      <w:r w:rsidRPr="00B61DF3">
        <w:rPr>
          <w:rFonts w:ascii="Palatino Linotype" w:hAnsi="Palatino Linotype" w:cs="Arial"/>
          <w:bCs/>
          <w:i/>
          <w:sz w:val="22"/>
          <w:szCs w:val="22"/>
        </w:rPr>
        <w:t>“</w:t>
      </w:r>
      <w:r w:rsidRPr="00B61DF3">
        <w:rPr>
          <w:rFonts w:ascii="Palatino Linotype" w:hAnsi="Palatino Linotype" w:cs="Arial"/>
          <w:b/>
          <w:bCs/>
          <w:i/>
          <w:sz w:val="22"/>
          <w:szCs w:val="22"/>
        </w:rPr>
        <w:t>Artículo</w:t>
      </w:r>
      <w:r w:rsidRPr="00B61DF3">
        <w:rPr>
          <w:rFonts w:ascii="Palatino Linotype" w:hAnsi="Palatino Linotype" w:cs="Arial"/>
          <w:b/>
          <w:bCs/>
          <w:i/>
        </w:rPr>
        <w:t xml:space="preserve"> </w:t>
      </w:r>
      <w:r w:rsidRPr="00B61DF3">
        <w:rPr>
          <w:rFonts w:ascii="Palatino Linotype" w:hAnsi="Palatino Linotype" w:cs="Arial"/>
          <w:b/>
          <w:bCs/>
          <w:i/>
          <w:sz w:val="22"/>
          <w:szCs w:val="22"/>
        </w:rPr>
        <w:t>179.</w:t>
      </w:r>
      <w:r w:rsidRPr="00B61DF3">
        <w:rPr>
          <w:rFonts w:ascii="Palatino Linotype" w:hAnsi="Palatino Linotype" w:cs="Arial"/>
          <w:bCs/>
          <w:i/>
        </w:rPr>
        <w:t xml:space="preserve"> </w:t>
      </w:r>
      <w:r w:rsidRPr="00B61DF3">
        <w:rPr>
          <w:rFonts w:ascii="Palatino Linotype" w:hAnsi="Palatino Linotype" w:cs="Arial"/>
          <w:bCs/>
          <w:i/>
          <w:sz w:val="22"/>
          <w:szCs w:val="22"/>
        </w:rPr>
        <w:t>El</w:t>
      </w:r>
      <w:r w:rsidRPr="00B61DF3">
        <w:rPr>
          <w:rFonts w:ascii="Palatino Linotype" w:hAnsi="Palatino Linotype" w:cs="Arial"/>
          <w:bCs/>
          <w:i/>
        </w:rPr>
        <w:t xml:space="preserve"> </w:t>
      </w:r>
      <w:r w:rsidRPr="00B61DF3">
        <w:rPr>
          <w:rFonts w:ascii="Palatino Linotype" w:hAnsi="Palatino Linotype" w:cs="Arial"/>
          <w:bCs/>
          <w:i/>
          <w:sz w:val="22"/>
          <w:szCs w:val="22"/>
        </w:rPr>
        <w:t>recurso</w:t>
      </w:r>
      <w:r w:rsidRPr="00B61DF3">
        <w:rPr>
          <w:rFonts w:ascii="Palatino Linotype" w:hAnsi="Palatino Linotype" w:cs="Arial"/>
          <w:bCs/>
          <w:i/>
        </w:rPr>
        <w:t xml:space="preserve"> </w:t>
      </w:r>
      <w:r w:rsidRPr="00B61DF3">
        <w:rPr>
          <w:rFonts w:ascii="Palatino Linotype" w:hAnsi="Palatino Linotype" w:cs="Arial"/>
          <w:bCs/>
          <w:i/>
          <w:sz w:val="22"/>
          <w:szCs w:val="22"/>
        </w:rPr>
        <w:t>de</w:t>
      </w:r>
      <w:r w:rsidRPr="00B61DF3">
        <w:rPr>
          <w:rFonts w:ascii="Palatino Linotype" w:hAnsi="Palatino Linotype" w:cs="Arial"/>
          <w:bCs/>
          <w:i/>
        </w:rPr>
        <w:t xml:space="preserve"> </w:t>
      </w:r>
      <w:r w:rsidRPr="00B61DF3">
        <w:rPr>
          <w:rFonts w:ascii="Palatino Linotype" w:hAnsi="Palatino Linotype" w:cs="Arial"/>
          <w:bCs/>
          <w:i/>
          <w:sz w:val="22"/>
          <w:szCs w:val="22"/>
        </w:rPr>
        <w:t>revisión</w:t>
      </w:r>
      <w:r w:rsidRPr="00B61DF3">
        <w:rPr>
          <w:rFonts w:ascii="Palatino Linotype" w:hAnsi="Palatino Linotype" w:cs="Arial"/>
          <w:bCs/>
          <w:i/>
        </w:rPr>
        <w:t xml:space="preserve"> </w:t>
      </w:r>
      <w:r w:rsidRPr="00B61DF3">
        <w:rPr>
          <w:rFonts w:ascii="Palatino Linotype" w:hAnsi="Palatino Linotype" w:cs="Arial"/>
          <w:bCs/>
          <w:i/>
          <w:sz w:val="22"/>
          <w:szCs w:val="22"/>
        </w:rPr>
        <w:t>es</w:t>
      </w:r>
      <w:r w:rsidRPr="00B61DF3">
        <w:rPr>
          <w:rFonts w:ascii="Palatino Linotype" w:hAnsi="Palatino Linotype" w:cs="Arial"/>
          <w:bCs/>
          <w:i/>
        </w:rPr>
        <w:t xml:space="preserve"> </w:t>
      </w:r>
      <w:r w:rsidRPr="00B61DF3">
        <w:rPr>
          <w:rFonts w:ascii="Palatino Linotype" w:hAnsi="Palatino Linotype" w:cs="Arial"/>
          <w:bCs/>
          <w:i/>
          <w:sz w:val="22"/>
          <w:szCs w:val="22"/>
        </w:rPr>
        <w:t>un</w:t>
      </w:r>
      <w:r w:rsidRPr="00B61DF3">
        <w:rPr>
          <w:rFonts w:ascii="Palatino Linotype" w:hAnsi="Palatino Linotype" w:cs="Arial"/>
          <w:bCs/>
          <w:i/>
        </w:rPr>
        <w:t xml:space="preserve"> </w:t>
      </w:r>
      <w:r w:rsidRPr="00B61DF3">
        <w:rPr>
          <w:rFonts w:ascii="Palatino Linotype" w:hAnsi="Palatino Linotype" w:cs="Arial"/>
          <w:bCs/>
          <w:i/>
          <w:sz w:val="22"/>
          <w:szCs w:val="22"/>
        </w:rPr>
        <w:t>medio</w:t>
      </w:r>
      <w:r w:rsidRPr="00B61DF3">
        <w:rPr>
          <w:rFonts w:ascii="Palatino Linotype" w:hAnsi="Palatino Linotype" w:cs="Arial"/>
          <w:bCs/>
          <w:i/>
        </w:rPr>
        <w:t xml:space="preserve"> </w:t>
      </w:r>
      <w:r w:rsidRPr="00B61DF3">
        <w:rPr>
          <w:rFonts w:ascii="Palatino Linotype" w:hAnsi="Palatino Linotype" w:cs="Arial"/>
          <w:bCs/>
          <w:i/>
          <w:sz w:val="22"/>
          <w:szCs w:val="22"/>
        </w:rPr>
        <w:t>de</w:t>
      </w:r>
      <w:r w:rsidRPr="00B61DF3">
        <w:rPr>
          <w:rFonts w:ascii="Palatino Linotype" w:hAnsi="Palatino Linotype" w:cs="Arial"/>
          <w:bCs/>
          <w:i/>
        </w:rPr>
        <w:t xml:space="preserve"> </w:t>
      </w:r>
      <w:r w:rsidRPr="00B61DF3">
        <w:rPr>
          <w:rFonts w:ascii="Palatino Linotype" w:hAnsi="Palatino Linotype" w:cs="Arial"/>
          <w:bCs/>
          <w:i/>
          <w:sz w:val="22"/>
          <w:szCs w:val="22"/>
        </w:rPr>
        <w:t>protección</w:t>
      </w:r>
      <w:r w:rsidRPr="00B61DF3">
        <w:rPr>
          <w:rFonts w:ascii="Palatino Linotype" w:hAnsi="Palatino Linotype" w:cs="Arial"/>
          <w:bCs/>
          <w:i/>
        </w:rPr>
        <w:t xml:space="preserve"> </w:t>
      </w:r>
      <w:r w:rsidRPr="00B61DF3">
        <w:rPr>
          <w:rFonts w:ascii="Palatino Linotype" w:hAnsi="Palatino Linotype" w:cs="Arial"/>
          <w:bCs/>
          <w:i/>
          <w:sz w:val="22"/>
          <w:szCs w:val="22"/>
        </w:rPr>
        <w:t>que</w:t>
      </w:r>
      <w:r w:rsidRPr="00B61DF3">
        <w:rPr>
          <w:rFonts w:ascii="Palatino Linotype" w:hAnsi="Palatino Linotype" w:cs="Arial"/>
          <w:bCs/>
          <w:i/>
        </w:rPr>
        <w:t xml:space="preserve"> </w:t>
      </w:r>
      <w:r w:rsidRPr="00B61DF3">
        <w:rPr>
          <w:rFonts w:ascii="Palatino Linotype" w:hAnsi="Palatino Linotype" w:cs="Arial"/>
          <w:bCs/>
          <w:i/>
          <w:sz w:val="22"/>
          <w:szCs w:val="22"/>
        </w:rPr>
        <w:t>la</w:t>
      </w:r>
      <w:r w:rsidRPr="00B61DF3">
        <w:rPr>
          <w:rFonts w:ascii="Palatino Linotype" w:hAnsi="Palatino Linotype" w:cs="Arial"/>
          <w:bCs/>
          <w:i/>
        </w:rPr>
        <w:t xml:space="preserve"> </w:t>
      </w:r>
      <w:r w:rsidRPr="00B61DF3">
        <w:rPr>
          <w:rFonts w:ascii="Palatino Linotype" w:hAnsi="Palatino Linotype" w:cs="Arial"/>
          <w:bCs/>
          <w:i/>
          <w:sz w:val="22"/>
          <w:szCs w:val="22"/>
        </w:rPr>
        <w:t>Ley</w:t>
      </w:r>
      <w:r w:rsidRPr="00B61DF3">
        <w:rPr>
          <w:rFonts w:ascii="Palatino Linotype" w:hAnsi="Palatino Linotype" w:cs="Arial"/>
          <w:bCs/>
          <w:i/>
        </w:rPr>
        <w:t xml:space="preserve"> </w:t>
      </w:r>
      <w:r w:rsidRPr="00B61DF3">
        <w:rPr>
          <w:rFonts w:ascii="Palatino Linotype" w:hAnsi="Palatino Linotype" w:cs="Arial"/>
          <w:bCs/>
          <w:i/>
          <w:sz w:val="22"/>
          <w:szCs w:val="22"/>
        </w:rPr>
        <w:t>otorga</w:t>
      </w:r>
      <w:r w:rsidRPr="00B61DF3">
        <w:rPr>
          <w:rFonts w:ascii="Palatino Linotype" w:hAnsi="Palatino Linotype" w:cs="Arial"/>
          <w:bCs/>
          <w:i/>
        </w:rPr>
        <w:t xml:space="preserve"> </w:t>
      </w:r>
      <w:r w:rsidRPr="00B61DF3">
        <w:rPr>
          <w:rFonts w:ascii="Palatino Linotype" w:hAnsi="Palatino Linotype" w:cs="Arial"/>
          <w:bCs/>
          <w:i/>
          <w:sz w:val="22"/>
          <w:szCs w:val="22"/>
        </w:rPr>
        <w:t>a</w:t>
      </w:r>
      <w:r w:rsidRPr="00B61DF3">
        <w:rPr>
          <w:rFonts w:ascii="Palatino Linotype" w:hAnsi="Palatino Linotype" w:cs="Arial"/>
          <w:bCs/>
          <w:i/>
        </w:rPr>
        <w:t xml:space="preserve"> </w:t>
      </w:r>
      <w:r w:rsidRPr="00B61DF3">
        <w:rPr>
          <w:rFonts w:ascii="Palatino Linotype" w:hAnsi="Palatino Linotype" w:cs="Arial"/>
          <w:bCs/>
          <w:i/>
          <w:sz w:val="22"/>
          <w:szCs w:val="22"/>
        </w:rPr>
        <w:t>los</w:t>
      </w:r>
      <w:r w:rsidRPr="00B61DF3">
        <w:rPr>
          <w:rFonts w:ascii="Palatino Linotype" w:hAnsi="Palatino Linotype" w:cs="Arial"/>
          <w:bCs/>
          <w:i/>
        </w:rPr>
        <w:t xml:space="preserve"> </w:t>
      </w:r>
      <w:r w:rsidRPr="00B61DF3">
        <w:rPr>
          <w:rFonts w:ascii="Palatino Linotype" w:hAnsi="Palatino Linotype" w:cs="Arial"/>
          <w:bCs/>
          <w:i/>
          <w:sz w:val="22"/>
          <w:szCs w:val="22"/>
        </w:rPr>
        <w:t>particulares,</w:t>
      </w:r>
      <w:r w:rsidRPr="00B61DF3">
        <w:rPr>
          <w:rFonts w:ascii="Palatino Linotype" w:hAnsi="Palatino Linotype" w:cs="Arial"/>
          <w:bCs/>
          <w:i/>
        </w:rPr>
        <w:t xml:space="preserve"> </w:t>
      </w:r>
      <w:r w:rsidRPr="00B61DF3">
        <w:rPr>
          <w:rFonts w:ascii="Palatino Linotype" w:hAnsi="Palatino Linotype" w:cs="Arial"/>
          <w:bCs/>
          <w:i/>
          <w:sz w:val="22"/>
          <w:szCs w:val="22"/>
        </w:rPr>
        <w:t>para</w:t>
      </w:r>
      <w:r w:rsidRPr="00B61DF3">
        <w:rPr>
          <w:rFonts w:ascii="Palatino Linotype" w:hAnsi="Palatino Linotype" w:cs="Arial"/>
          <w:bCs/>
          <w:i/>
        </w:rPr>
        <w:t xml:space="preserve"> </w:t>
      </w:r>
      <w:r w:rsidRPr="00B61DF3">
        <w:rPr>
          <w:rFonts w:ascii="Palatino Linotype" w:hAnsi="Palatino Linotype" w:cs="Arial"/>
          <w:bCs/>
          <w:i/>
          <w:sz w:val="22"/>
          <w:szCs w:val="22"/>
        </w:rPr>
        <w:t>hacer</w:t>
      </w:r>
      <w:r w:rsidRPr="00B61DF3">
        <w:rPr>
          <w:rFonts w:ascii="Palatino Linotype" w:hAnsi="Palatino Linotype" w:cs="Arial"/>
          <w:bCs/>
          <w:i/>
        </w:rPr>
        <w:t xml:space="preserve"> </w:t>
      </w:r>
      <w:r w:rsidRPr="00B61DF3">
        <w:rPr>
          <w:rFonts w:ascii="Palatino Linotype" w:hAnsi="Palatino Linotype" w:cs="Arial"/>
          <w:bCs/>
          <w:i/>
          <w:sz w:val="22"/>
          <w:szCs w:val="22"/>
        </w:rPr>
        <w:t>valer</w:t>
      </w:r>
      <w:r w:rsidRPr="00B61DF3">
        <w:rPr>
          <w:rFonts w:ascii="Palatino Linotype" w:hAnsi="Palatino Linotype" w:cs="Arial"/>
          <w:bCs/>
          <w:i/>
        </w:rPr>
        <w:t xml:space="preserve"> </w:t>
      </w:r>
      <w:r w:rsidRPr="00B61DF3">
        <w:rPr>
          <w:rFonts w:ascii="Palatino Linotype" w:hAnsi="Palatino Linotype" w:cs="Arial"/>
          <w:bCs/>
          <w:i/>
          <w:sz w:val="22"/>
          <w:szCs w:val="22"/>
        </w:rPr>
        <w:t>su</w:t>
      </w:r>
      <w:r w:rsidRPr="00B61DF3">
        <w:rPr>
          <w:rFonts w:ascii="Palatino Linotype" w:hAnsi="Palatino Linotype" w:cs="Arial"/>
          <w:bCs/>
          <w:i/>
        </w:rPr>
        <w:t xml:space="preserve"> </w:t>
      </w:r>
      <w:r w:rsidRPr="00B61DF3">
        <w:rPr>
          <w:rFonts w:ascii="Palatino Linotype" w:hAnsi="Palatino Linotype" w:cs="Arial"/>
          <w:bCs/>
          <w:i/>
          <w:sz w:val="22"/>
          <w:szCs w:val="22"/>
        </w:rPr>
        <w:t>derecho</w:t>
      </w:r>
      <w:r w:rsidRPr="00B61DF3">
        <w:rPr>
          <w:rFonts w:ascii="Palatino Linotype" w:hAnsi="Palatino Linotype" w:cs="Arial"/>
          <w:bCs/>
          <w:i/>
        </w:rPr>
        <w:t xml:space="preserve"> </w:t>
      </w:r>
      <w:r w:rsidRPr="00B61DF3">
        <w:rPr>
          <w:rFonts w:ascii="Palatino Linotype" w:hAnsi="Palatino Linotype" w:cs="Arial"/>
          <w:bCs/>
          <w:i/>
          <w:sz w:val="22"/>
          <w:szCs w:val="22"/>
        </w:rPr>
        <w:t>de</w:t>
      </w:r>
      <w:r w:rsidRPr="00B61DF3">
        <w:rPr>
          <w:rFonts w:ascii="Palatino Linotype" w:hAnsi="Palatino Linotype" w:cs="Arial"/>
          <w:bCs/>
          <w:i/>
        </w:rPr>
        <w:t xml:space="preserve"> </w:t>
      </w:r>
      <w:r w:rsidRPr="00B61DF3">
        <w:rPr>
          <w:rFonts w:ascii="Palatino Linotype" w:hAnsi="Palatino Linotype" w:cs="Arial"/>
          <w:bCs/>
          <w:i/>
          <w:sz w:val="22"/>
          <w:szCs w:val="22"/>
        </w:rPr>
        <w:t>acceso</w:t>
      </w:r>
      <w:r w:rsidRPr="00B61DF3">
        <w:rPr>
          <w:rFonts w:ascii="Palatino Linotype" w:hAnsi="Palatino Linotype" w:cs="Arial"/>
          <w:bCs/>
          <w:i/>
        </w:rPr>
        <w:t xml:space="preserve"> </w:t>
      </w:r>
      <w:r w:rsidRPr="00B61DF3">
        <w:rPr>
          <w:rFonts w:ascii="Palatino Linotype" w:hAnsi="Palatino Linotype" w:cs="Arial"/>
          <w:bCs/>
          <w:i/>
          <w:sz w:val="22"/>
          <w:szCs w:val="22"/>
        </w:rPr>
        <w:t>a</w:t>
      </w:r>
      <w:r w:rsidRPr="00B61DF3">
        <w:rPr>
          <w:rFonts w:ascii="Palatino Linotype" w:hAnsi="Palatino Linotype" w:cs="Arial"/>
          <w:bCs/>
          <w:i/>
        </w:rPr>
        <w:t xml:space="preserve"> </w:t>
      </w:r>
      <w:r w:rsidRPr="00B61DF3">
        <w:rPr>
          <w:rFonts w:ascii="Palatino Linotype" w:hAnsi="Palatino Linotype" w:cs="Arial"/>
          <w:bCs/>
          <w:i/>
          <w:sz w:val="22"/>
          <w:szCs w:val="22"/>
        </w:rPr>
        <w:t>la</w:t>
      </w:r>
      <w:r w:rsidRPr="00B61DF3">
        <w:rPr>
          <w:rFonts w:ascii="Palatino Linotype" w:hAnsi="Palatino Linotype" w:cs="Arial"/>
          <w:bCs/>
          <w:i/>
        </w:rPr>
        <w:t xml:space="preserve"> </w:t>
      </w:r>
      <w:r w:rsidRPr="00B61DF3">
        <w:rPr>
          <w:rFonts w:ascii="Palatino Linotype" w:hAnsi="Palatino Linotype" w:cs="Arial"/>
          <w:bCs/>
          <w:i/>
          <w:sz w:val="22"/>
          <w:szCs w:val="22"/>
        </w:rPr>
        <w:t>información</w:t>
      </w:r>
      <w:r w:rsidRPr="00B61DF3">
        <w:rPr>
          <w:rFonts w:ascii="Palatino Linotype" w:hAnsi="Palatino Linotype" w:cs="Arial"/>
          <w:bCs/>
          <w:i/>
        </w:rPr>
        <w:t xml:space="preserve"> </w:t>
      </w:r>
      <w:r w:rsidRPr="00B61DF3">
        <w:rPr>
          <w:rFonts w:ascii="Palatino Linotype" w:hAnsi="Palatino Linotype" w:cs="Arial"/>
          <w:bCs/>
          <w:i/>
          <w:sz w:val="22"/>
          <w:szCs w:val="22"/>
        </w:rPr>
        <w:t>pública,</w:t>
      </w:r>
      <w:r w:rsidRPr="00B61DF3">
        <w:rPr>
          <w:rFonts w:ascii="Palatino Linotype" w:hAnsi="Palatino Linotype" w:cs="Arial"/>
          <w:bCs/>
          <w:i/>
        </w:rPr>
        <w:t xml:space="preserve"> </w:t>
      </w:r>
      <w:r w:rsidRPr="00B61DF3">
        <w:rPr>
          <w:rFonts w:ascii="Palatino Linotype" w:hAnsi="Palatino Linotype" w:cs="Arial"/>
          <w:bCs/>
          <w:i/>
          <w:sz w:val="22"/>
          <w:szCs w:val="22"/>
        </w:rPr>
        <w:t>y</w:t>
      </w:r>
      <w:r w:rsidRPr="00B61DF3">
        <w:rPr>
          <w:rFonts w:ascii="Palatino Linotype" w:hAnsi="Palatino Linotype" w:cs="Arial"/>
          <w:bCs/>
          <w:i/>
        </w:rPr>
        <w:t xml:space="preserve"> </w:t>
      </w:r>
      <w:r w:rsidRPr="00B61DF3">
        <w:rPr>
          <w:rFonts w:ascii="Palatino Linotype" w:hAnsi="Palatino Linotype" w:cs="Arial"/>
          <w:bCs/>
          <w:i/>
          <w:sz w:val="22"/>
          <w:szCs w:val="22"/>
        </w:rPr>
        <w:t>procederá</w:t>
      </w:r>
      <w:r w:rsidRPr="00B61DF3">
        <w:rPr>
          <w:rFonts w:ascii="Palatino Linotype" w:hAnsi="Palatino Linotype" w:cs="Arial"/>
          <w:bCs/>
          <w:i/>
        </w:rPr>
        <w:t xml:space="preserve"> </w:t>
      </w:r>
      <w:r w:rsidRPr="00B61DF3">
        <w:rPr>
          <w:rFonts w:ascii="Palatino Linotype" w:hAnsi="Palatino Linotype" w:cs="Arial"/>
          <w:bCs/>
          <w:i/>
          <w:sz w:val="22"/>
          <w:szCs w:val="22"/>
        </w:rPr>
        <w:t>en</w:t>
      </w:r>
      <w:r w:rsidRPr="00B61DF3">
        <w:rPr>
          <w:rFonts w:ascii="Palatino Linotype" w:hAnsi="Palatino Linotype" w:cs="Arial"/>
          <w:bCs/>
          <w:i/>
        </w:rPr>
        <w:t xml:space="preserve"> </w:t>
      </w:r>
      <w:r w:rsidRPr="00B61DF3">
        <w:rPr>
          <w:rFonts w:ascii="Palatino Linotype" w:hAnsi="Palatino Linotype" w:cs="Arial"/>
          <w:bCs/>
          <w:i/>
          <w:sz w:val="22"/>
          <w:szCs w:val="22"/>
        </w:rPr>
        <w:t>contra</w:t>
      </w:r>
      <w:r w:rsidRPr="00B61DF3">
        <w:rPr>
          <w:rFonts w:ascii="Palatino Linotype" w:hAnsi="Palatino Linotype" w:cs="Arial"/>
          <w:bCs/>
          <w:i/>
        </w:rPr>
        <w:t xml:space="preserve"> </w:t>
      </w:r>
      <w:r w:rsidRPr="00B61DF3">
        <w:rPr>
          <w:rFonts w:ascii="Palatino Linotype" w:hAnsi="Palatino Linotype" w:cs="Arial"/>
          <w:bCs/>
          <w:i/>
          <w:sz w:val="22"/>
          <w:szCs w:val="22"/>
        </w:rPr>
        <w:t>de</w:t>
      </w:r>
      <w:r w:rsidRPr="00B61DF3">
        <w:rPr>
          <w:rFonts w:ascii="Palatino Linotype" w:hAnsi="Palatino Linotype" w:cs="Arial"/>
          <w:bCs/>
          <w:i/>
        </w:rPr>
        <w:t xml:space="preserve"> </w:t>
      </w:r>
      <w:r w:rsidRPr="00B61DF3">
        <w:rPr>
          <w:rFonts w:ascii="Palatino Linotype" w:hAnsi="Palatino Linotype" w:cs="Arial"/>
          <w:bCs/>
          <w:i/>
          <w:sz w:val="22"/>
          <w:szCs w:val="22"/>
        </w:rPr>
        <w:t>las</w:t>
      </w:r>
      <w:r w:rsidRPr="00B61DF3">
        <w:rPr>
          <w:rFonts w:ascii="Palatino Linotype" w:hAnsi="Palatino Linotype" w:cs="Arial"/>
          <w:bCs/>
          <w:i/>
        </w:rPr>
        <w:t xml:space="preserve"> </w:t>
      </w:r>
      <w:r w:rsidRPr="00B61DF3">
        <w:rPr>
          <w:rFonts w:ascii="Palatino Linotype" w:hAnsi="Palatino Linotype" w:cs="Arial"/>
          <w:bCs/>
          <w:i/>
          <w:sz w:val="22"/>
          <w:szCs w:val="22"/>
        </w:rPr>
        <w:t>siguientes</w:t>
      </w:r>
      <w:r w:rsidRPr="00B61DF3">
        <w:rPr>
          <w:rFonts w:ascii="Palatino Linotype" w:hAnsi="Palatino Linotype" w:cs="Arial"/>
          <w:bCs/>
          <w:i/>
        </w:rPr>
        <w:t xml:space="preserve"> </w:t>
      </w:r>
      <w:r w:rsidRPr="00B61DF3">
        <w:rPr>
          <w:rFonts w:ascii="Palatino Linotype" w:hAnsi="Palatino Linotype" w:cs="Arial"/>
          <w:bCs/>
          <w:i/>
          <w:sz w:val="22"/>
          <w:szCs w:val="22"/>
        </w:rPr>
        <w:t>causas:</w:t>
      </w:r>
    </w:p>
    <w:p w14:paraId="5DCE3EFC" w14:textId="168AE073" w:rsidR="0008429C" w:rsidRPr="00B61DF3" w:rsidRDefault="00D7452A" w:rsidP="00B61DF3">
      <w:pPr>
        <w:spacing w:before="100" w:beforeAutospacing="1" w:after="100" w:afterAutospacing="1"/>
        <w:ind w:left="851" w:right="902"/>
        <w:jc w:val="both"/>
        <w:rPr>
          <w:rFonts w:ascii="Palatino Linotype" w:hAnsi="Palatino Linotype" w:cs="Arial"/>
          <w:b/>
          <w:bCs/>
          <w:i/>
          <w:sz w:val="22"/>
          <w:szCs w:val="22"/>
        </w:rPr>
      </w:pPr>
      <w:r w:rsidRPr="00B61DF3">
        <w:rPr>
          <w:rFonts w:ascii="Palatino Linotype" w:hAnsi="Palatino Linotype" w:cs="Arial"/>
          <w:b/>
          <w:bCs/>
          <w:i/>
          <w:sz w:val="22"/>
          <w:szCs w:val="22"/>
        </w:rPr>
        <w:t>I.</w:t>
      </w:r>
    </w:p>
    <w:p w14:paraId="4C53361E" w14:textId="77777777" w:rsidR="0008429C" w:rsidRPr="00B61DF3" w:rsidRDefault="0008429C" w:rsidP="00B61DF3">
      <w:pPr>
        <w:spacing w:before="100" w:beforeAutospacing="1" w:after="100" w:afterAutospacing="1"/>
        <w:ind w:left="851" w:right="902"/>
        <w:jc w:val="both"/>
        <w:rPr>
          <w:rFonts w:ascii="Palatino Linotype" w:hAnsi="Palatino Linotype" w:cs="Arial"/>
          <w:b/>
          <w:bCs/>
          <w:i/>
          <w:sz w:val="22"/>
          <w:szCs w:val="22"/>
        </w:rPr>
      </w:pPr>
      <w:r w:rsidRPr="00B61DF3">
        <w:rPr>
          <w:rFonts w:ascii="Palatino Linotype" w:hAnsi="Palatino Linotype" w:cs="Arial"/>
          <w:b/>
          <w:bCs/>
          <w:i/>
          <w:sz w:val="22"/>
          <w:szCs w:val="22"/>
        </w:rPr>
        <w:t xml:space="preserve">II. La clasificación de la información; </w:t>
      </w:r>
    </w:p>
    <w:p w14:paraId="2F4FFE4E" w14:textId="01B5EAAC" w:rsidR="0008429C" w:rsidRPr="00B61DF3" w:rsidRDefault="00764A4C" w:rsidP="00B61DF3">
      <w:pPr>
        <w:widowControl w:val="0"/>
        <w:autoSpaceDE w:val="0"/>
        <w:autoSpaceDN w:val="0"/>
        <w:adjustRightInd w:val="0"/>
        <w:spacing w:before="100" w:beforeAutospacing="1" w:after="100" w:afterAutospacing="1"/>
        <w:ind w:left="851" w:right="902"/>
        <w:jc w:val="both"/>
        <w:rPr>
          <w:rFonts w:ascii="Palatino Linotype" w:hAnsi="Palatino Linotype" w:cs="Arial"/>
          <w:b/>
          <w:i/>
          <w:sz w:val="22"/>
          <w:szCs w:val="22"/>
          <w:lang w:val="es-ES"/>
        </w:rPr>
      </w:pPr>
      <w:r w:rsidRPr="00B61DF3">
        <w:rPr>
          <w:rFonts w:ascii="Palatino Linotype" w:hAnsi="Palatino Linotype" w:cs="Arial"/>
          <w:b/>
          <w:i/>
          <w:sz w:val="22"/>
          <w:szCs w:val="22"/>
          <w:lang w:val="es-ES"/>
        </w:rPr>
        <w:t xml:space="preserve">III al </w:t>
      </w:r>
      <w:r w:rsidRPr="00B61DF3">
        <w:rPr>
          <w:rFonts w:ascii="Palatino Linotype" w:hAnsi="Palatino Linotype" w:cs="Arial"/>
          <w:b/>
          <w:i/>
          <w:sz w:val="22"/>
          <w:szCs w:val="22"/>
        </w:rPr>
        <w:t>XIV</w:t>
      </w:r>
      <w:r w:rsidRPr="00B61DF3">
        <w:rPr>
          <w:rFonts w:ascii="Palatino Linotype" w:hAnsi="Palatino Linotype" w:cs="Arial"/>
          <w:b/>
          <w:i/>
          <w:sz w:val="22"/>
          <w:szCs w:val="22"/>
          <w:lang w:val="es-ES"/>
        </w:rPr>
        <w:t>…”</w:t>
      </w:r>
    </w:p>
    <w:p w14:paraId="2ADBD546" w14:textId="77777777" w:rsidR="0008429C" w:rsidRPr="00B61DF3" w:rsidRDefault="0008429C" w:rsidP="00B61DF3">
      <w:pPr>
        <w:spacing w:before="100" w:beforeAutospacing="1" w:after="100" w:afterAutospacing="1"/>
        <w:ind w:left="851" w:right="902"/>
        <w:jc w:val="right"/>
        <w:rPr>
          <w:rFonts w:ascii="Palatino Linotype" w:hAnsi="Palatino Linotype" w:cs="Arial"/>
          <w:i/>
          <w:sz w:val="22"/>
          <w:szCs w:val="22"/>
          <w:lang w:val="es-ES"/>
        </w:rPr>
      </w:pPr>
      <w:r w:rsidRPr="00B61DF3">
        <w:rPr>
          <w:rFonts w:ascii="Palatino Linotype" w:hAnsi="Palatino Linotype" w:cs="Arial"/>
          <w:i/>
          <w:sz w:val="22"/>
          <w:szCs w:val="22"/>
          <w:lang w:val="es-ES"/>
        </w:rPr>
        <w:t>(</w:t>
      </w:r>
      <w:r w:rsidRPr="00B61DF3">
        <w:rPr>
          <w:rFonts w:ascii="Palatino Linotype" w:hAnsi="Palatino Linotype" w:cs="Arial"/>
          <w:iCs/>
          <w:sz w:val="22"/>
          <w:szCs w:val="22"/>
          <w:lang w:val="es-ES"/>
        </w:rPr>
        <w:t>Énfasis añadido</w:t>
      </w:r>
      <w:r w:rsidRPr="00B61DF3">
        <w:rPr>
          <w:rFonts w:ascii="Palatino Linotype" w:hAnsi="Palatino Linotype" w:cs="Arial"/>
          <w:i/>
          <w:sz w:val="22"/>
          <w:szCs w:val="22"/>
          <w:lang w:val="es-ES"/>
        </w:rPr>
        <w:t>)</w:t>
      </w:r>
    </w:p>
    <w:p w14:paraId="48619EB2" w14:textId="77777777" w:rsidR="009747D7" w:rsidRPr="00B61DF3" w:rsidRDefault="0008429C" w:rsidP="00B61DF3">
      <w:pPr>
        <w:widowControl w:val="0"/>
        <w:autoSpaceDE w:val="0"/>
        <w:autoSpaceDN w:val="0"/>
        <w:adjustRightInd w:val="0"/>
        <w:spacing w:before="100" w:beforeAutospacing="1" w:after="100" w:afterAutospacing="1" w:line="360" w:lineRule="auto"/>
        <w:jc w:val="both"/>
        <w:rPr>
          <w:rFonts w:ascii="Palatino Linotype" w:hAnsi="Palatino Linotype" w:cs="Arial"/>
          <w:bCs/>
        </w:rPr>
      </w:pPr>
      <w:r w:rsidRPr="00B61DF3">
        <w:rPr>
          <w:rFonts w:ascii="Palatino Linotype" w:eastAsia="Arial Unicode MS" w:hAnsi="Palatino Linotype" w:cs="Arial"/>
          <w:lang w:val="es-ES"/>
        </w:rPr>
        <w:t xml:space="preserve">En ese tenor, resulta </w:t>
      </w:r>
      <w:r w:rsidRPr="00B61DF3">
        <w:rPr>
          <w:rFonts w:ascii="Palatino Linotype" w:hAnsi="Palatino Linotype" w:cs="Arial"/>
        </w:rPr>
        <w:t xml:space="preserve">conveniente recordar que </w:t>
      </w:r>
      <w:r w:rsidRPr="00B61DF3">
        <w:rPr>
          <w:rFonts w:ascii="Palatino Linotype" w:hAnsi="Palatino Linotype" w:cs="Arial"/>
          <w:b/>
        </w:rPr>
        <w:t>EL RECURRENTE</w:t>
      </w:r>
      <w:r w:rsidRPr="00B61DF3">
        <w:rPr>
          <w:rFonts w:ascii="Palatino Linotype" w:hAnsi="Palatino Linotype" w:cs="Arial"/>
        </w:rPr>
        <w:t xml:space="preserve"> le solicitó al </w:t>
      </w:r>
      <w:r w:rsidR="009747D7" w:rsidRPr="00B61DF3">
        <w:rPr>
          <w:rFonts w:ascii="Palatino Linotype" w:hAnsi="Palatino Linotype" w:cs="Arial"/>
          <w:b/>
        </w:rPr>
        <w:t xml:space="preserve">Órgano Superior de Fiscalización del Estado de México dependiente del Poder Legislativo de la Entidad, </w:t>
      </w:r>
      <w:r w:rsidR="009747D7" w:rsidRPr="00B61DF3">
        <w:rPr>
          <w:rFonts w:ascii="Palatino Linotype" w:hAnsi="Palatino Linotype" w:cs="Arial"/>
          <w:bCs/>
        </w:rPr>
        <w:t>lo siguiente:</w:t>
      </w:r>
    </w:p>
    <w:p w14:paraId="226A3250" w14:textId="0DA17BF9" w:rsidR="009747D7" w:rsidRPr="00B61DF3" w:rsidRDefault="009747D7" w:rsidP="00B61DF3">
      <w:pPr>
        <w:pStyle w:val="Prrafodelista"/>
        <w:numPr>
          <w:ilvl w:val="0"/>
          <w:numId w:val="34"/>
        </w:numPr>
        <w:tabs>
          <w:tab w:val="left" w:pos="851"/>
        </w:tabs>
        <w:spacing w:before="100" w:beforeAutospacing="1" w:after="100" w:afterAutospacing="1" w:line="360" w:lineRule="auto"/>
        <w:ind w:left="567" w:right="567"/>
        <w:jc w:val="both"/>
        <w:rPr>
          <w:rFonts w:ascii="Palatino Linotype" w:hAnsi="Palatino Linotype" w:cs="Arial"/>
          <w:b/>
          <w:bCs/>
          <w:iCs/>
        </w:rPr>
      </w:pPr>
      <w:r w:rsidRPr="00B61DF3">
        <w:rPr>
          <w:rFonts w:ascii="Palatino Linotype" w:hAnsi="Palatino Linotype" w:cs="Arial"/>
          <w:b/>
          <w:bCs/>
          <w:iCs/>
        </w:rPr>
        <w:t>Copia de todos los documentos, cédulas, reportes, etcétera, -incluyendo sus respectivas respuestas o seguimientos-, resultantes de auditorías, controles, verificaciones o vigilancia realizadas por el Órgano Superior de Fiscalización del Estado de México al programa denominado Salario Rosa, de forma general y en cada una de sus presentaciones o verticales.</w:t>
      </w:r>
    </w:p>
    <w:p w14:paraId="135F2C26" w14:textId="77777777" w:rsidR="009747D7" w:rsidRPr="00B61DF3" w:rsidRDefault="009747D7" w:rsidP="00B61DF3">
      <w:pPr>
        <w:pStyle w:val="Prrafodelista"/>
        <w:numPr>
          <w:ilvl w:val="0"/>
          <w:numId w:val="34"/>
        </w:numPr>
        <w:tabs>
          <w:tab w:val="left" w:pos="851"/>
        </w:tabs>
        <w:spacing w:before="100" w:beforeAutospacing="1" w:after="100" w:afterAutospacing="1" w:line="360" w:lineRule="auto"/>
        <w:ind w:left="567" w:right="567"/>
        <w:jc w:val="both"/>
        <w:rPr>
          <w:rFonts w:ascii="Palatino Linotype" w:hAnsi="Palatino Linotype" w:cs="Arial"/>
          <w:b/>
          <w:bCs/>
          <w:iCs/>
        </w:rPr>
      </w:pPr>
      <w:r w:rsidRPr="00B61DF3">
        <w:rPr>
          <w:rFonts w:ascii="Palatino Linotype" w:hAnsi="Palatino Linotype" w:cs="Arial"/>
          <w:b/>
          <w:bCs/>
          <w:iCs/>
        </w:rPr>
        <w:t xml:space="preserve">Indicar estatus actual de cada auditoría. </w:t>
      </w:r>
    </w:p>
    <w:p w14:paraId="5DB26FA7" w14:textId="5E27CD14" w:rsidR="009747D7" w:rsidRPr="00B61DF3" w:rsidRDefault="009747D7" w:rsidP="00B61DF3">
      <w:pPr>
        <w:tabs>
          <w:tab w:val="left" w:pos="851"/>
        </w:tabs>
        <w:spacing w:before="100" w:beforeAutospacing="1" w:after="100" w:afterAutospacing="1" w:line="360" w:lineRule="auto"/>
        <w:ind w:left="567" w:right="567"/>
        <w:jc w:val="both"/>
        <w:rPr>
          <w:rFonts w:ascii="Palatino Linotype" w:hAnsi="Palatino Linotype" w:cs="Arial"/>
          <w:b/>
          <w:bCs/>
          <w:iCs/>
        </w:rPr>
      </w:pPr>
      <w:r w:rsidRPr="00B61DF3">
        <w:rPr>
          <w:rFonts w:ascii="Palatino Linotype" w:hAnsi="Palatino Linotype" w:cs="Arial"/>
          <w:b/>
          <w:bCs/>
          <w:iCs/>
        </w:rPr>
        <w:t xml:space="preserve">El periodo por el que se solicita la información es la generada entre septiembre de 2017 y diciembre de 2020. </w:t>
      </w:r>
    </w:p>
    <w:p w14:paraId="36B4BB0A" w14:textId="7C64C3D7" w:rsidR="009747D7" w:rsidRPr="00B61DF3" w:rsidRDefault="0008429C" w:rsidP="00B61DF3">
      <w:pPr>
        <w:autoSpaceDE w:val="0"/>
        <w:autoSpaceDN w:val="0"/>
        <w:adjustRightInd w:val="0"/>
        <w:spacing w:before="100" w:beforeAutospacing="1" w:after="100" w:afterAutospacing="1" w:line="360" w:lineRule="auto"/>
        <w:ind w:right="49"/>
        <w:jc w:val="both"/>
        <w:rPr>
          <w:rFonts w:ascii="Palatino Linotype" w:hAnsi="Palatino Linotype" w:cs="Arial"/>
        </w:rPr>
      </w:pPr>
      <w:r w:rsidRPr="00B61DF3">
        <w:rPr>
          <w:rFonts w:ascii="Palatino Linotype" w:hAnsi="Palatino Linotype" w:cs="Arial"/>
        </w:rPr>
        <w:t xml:space="preserve">De las constancias que obran en el expediente electrónico del </w:t>
      </w:r>
      <w:r w:rsidRPr="00B61DF3">
        <w:rPr>
          <w:rFonts w:ascii="Palatino Linotype" w:hAnsi="Palatino Linotype" w:cs="Arial"/>
          <w:b/>
        </w:rPr>
        <w:t>SAIMEX</w:t>
      </w:r>
      <w:r w:rsidRPr="00B61DF3">
        <w:rPr>
          <w:rFonts w:ascii="Palatino Linotype" w:hAnsi="Palatino Linotype" w:cs="Arial"/>
        </w:rPr>
        <w:t xml:space="preserve">, se puede advertir que </w:t>
      </w:r>
      <w:r w:rsidRPr="00B61DF3">
        <w:rPr>
          <w:rFonts w:ascii="Palatino Linotype" w:hAnsi="Palatino Linotype" w:cs="Arial"/>
          <w:b/>
        </w:rPr>
        <w:t xml:space="preserve">EL SUJETO OBLIGADO </w:t>
      </w:r>
      <w:r w:rsidRPr="00B61DF3">
        <w:rPr>
          <w:rFonts w:ascii="Palatino Linotype" w:hAnsi="Palatino Linotype" w:cs="Arial"/>
        </w:rPr>
        <w:t>en respuesta indicó</w:t>
      </w:r>
      <w:r w:rsidR="009747D7" w:rsidRPr="00B61DF3">
        <w:rPr>
          <w:rFonts w:ascii="Palatino Linotype" w:hAnsi="Palatino Linotype" w:cs="Arial"/>
        </w:rPr>
        <w:t>:</w:t>
      </w:r>
    </w:p>
    <w:p w14:paraId="3684E330" w14:textId="6BD121EB" w:rsidR="009747D7" w:rsidRPr="00B61DF3" w:rsidRDefault="009747D7" w:rsidP="00B61DF3">
      <w:pPr>
        <w:pStyle w:val="Prrafodelista"/>
        <w:numPr>
          <w:ilvl w:val="0"/>
          <w:numId w:val="35"/>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B61DF3">
        <w:rPr>
          <w:rFonts w:ascii="Palatino Linotype" w:hAnsi="Palatino Linotype" w:cs="Arial"/>
          <w:bCs/>
        </w:rPr>
        <w:t xml:space="preserve">Derivado de una búsqueda exhaustiva y razonable informa que en los ejercicios fiscales 2017 y 2018 no se realizaron </w:t>
      </w:r>
      <w:r w:rsidR="00764A4C" w:rsidRPr="00B61DF3">
        <w:rPr>
          <w:rFonts w:ascii="Palatino Linotype" w:hAnsi="Palatino Linotype" w:cs="Arial"/>
          <w:bCs/>
        </w:rPr>
        <w:t>auditorías</w:t>
      </w:r>
      <w:r w:rsidRPr="00B61DF3">
        <w:rPr>
          <w:rFonts w:ascii="Palatino Linotype" w:hAnsi="Palatino Linotype" w:cs="Arial"/>
          <w:bCs/>
        </w:rPr>
        <w:t xml:space="preserve"> al Programa Salario Rosa.</w:t>
      </w:r>
    </w:p>
    <w:p w14:paraId="75B25073" w14:textId="72E99CF3" w:rsidR="009747D7" w:rsidRPr="00B61DF3" w:rsidRDefault="009747D7" w:rsidP="00B61DF3">
      <w:pPr>
        <w:pStyle w:val="Prrafodelista"/>
        <w:numPr>
          <w:ilvl w:val="0"/>
          <w:numId w:val="35"/>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B61DF3">
        <w:rPr>
          <w:rFonts w:ascii="Palatino Linotype" w:hAnsi="Palatino Linotype" w:cs="Arial"/>
          <w:bCs/>
        </w:rPr>
        <w:t>Se localizó información vinculada de los años 2019 y 2020 la cual se encuentra en trámite, es decir, existen datos que de ser divulgados pueden alterar el curso de los procedimientos correspondientes, en virtud de lo anterior, no se encuentran en posibilidad de entregar información de entregar información respecto a dichos procedimiento, ellos en razón de que a la fecha de la solicitud se encuentran en proceso.</w:t>
      </w:r>
    </w:p>
    <w:p w14:paraId="3F03EAA6" w14:textId="068202E5" w:rsidR="00D7452A" w:rsidRPr="00B61DF3" w:rsidRDefault="00D7452A" w:rsidP="00B61DF3">
      <w:pPr>
        <w:autoSpaceDE w:val="0"/>
        <w:autoSpaceDN w:val="0"/>
        <w:adjustRightInd w:val="0"/>
        <w:spacing w:before="100" w:beforeAutospacing="1" w:after="100" w:afterAutospacing="1" w:line="360" w:lineRule="auto"/>
        <w:ind w:right="49"/>
        <w:jc w:val="both"/>
        <w:rPr>
          <w:rFonts w:ascii="Palatino Linotype" w:hAnsi="Palatino Linotype" w:cs="Arial"/>
        </w:rPr>
      </w:pPr>
      <w:r w:rsidRPr="00B61DF3">
        <w:rPr>
          <w:rFonts w:ascii="Palatino Linotype" w:hAnsi="Palatino Linotype" w:cs="Arial"/>
        </w:rPr>
        <w:t>Por lo cual, Acta de la Trigésima Cuarta Sesión Extraordinaria del Comité de Transparencia, en el que se clasifica como reservados por un periodo de cinco años los documentos proporcionados y generados con motivo de la fiscalización al programa salario rosa.</w:t>
      </w:r>
    </w:p>
    <w:p w14:paraId="7877C244" w14:textId="477F65BE" w:rsidR="0008429C" w:rsidRPr="00B61DF3" w:rsidRDefault="0008429C" w:rsidP="00B61DF3">
      <w:pPr>
        <w:autoSpaceDE w:val="0"/>
        <w:autoSpaceDN w:val="0"/>
        <w:adjustRightInd w:val="0"/>
        <w:spacing w:before="100" w:beforeAutospacing="1" w:after="100" w:afterAutospacing="1" w:line="360" w:lineRule="auto"/>
        <w:ind w:right="49"/>
        <w:jc w:val="both"/>
        <w:rPr>
          <w:rFonts w:ascii="Palatino Linotype" w:hAnsi="Palatino Linotype" w:cs="Arial"/>
        </w:rPr>
      </w:pPr>
      <w:r w:rsidRPr="00B61DF3">
        <w:rPr>
          <w:rFonts w:ascii="Palatino Linotype" w:hAnsi="Palatino Linotype" w:cs="Arial"/>
        </w:rPr>
        <w:t xml:space="preserve">Inconforme con dicha determinación el particular interpuso el medio de impugnación en estudio; doliéndose medularmente de la clasificación de la información y </w:t>
      </w:r>
      <w:r w:rsidR="00D7452A" w:rsidRPr="00B61DF3">
        <w:rPr>
          <w:rFonts w:ascii="Palatino Linotype" w:hAnsi="Palatino Linotype" w:cs="Arial"/>
        </w:rPr>
        <w:t>se trata de información de interés públicos relacionado con el manejo de recursos públicos.</w:t>
      </w:r>
    </w:p>
    <w:p w14:paraId="1BA2ABA0" w14:textId="5CE91319" w:rsidR="00D7452A" w:rsidRPr="00B61DF3" w:rsidRDefault="00D7452A" w:rsidP="00B61DF3">
      <w:pPr>
        <w:spacing w:before="100" w:beforeAutospacing="1" w:after="100" w:afterAutospacing="1" w:line="360" w:lineRule="auto"/>
        <w:jc w:val="both"/>
        <w:rPr>
          <w:rFonts w:ascii="Palatino Linotype" w:eastAsiaTheme="minorEastAsia" w:hAnsi="Palatino Linotype" w:cs="Arial"/>
          <w:lang w:val="es-ES_tradnl"/>
        </w:rPr>
      </w:pPr>
      <w:r w:rsidRPr="00B61DF3">
        <w:rPr>
          <w:rFonts w:ascii="Palatino Linotype" w:hAnsi="Palatino Linotype" w:cs="Arial"/>
        </w:rPr>
        <w:t xml:space="preserve">En ese sentido, de acuerdo de las manifestaciones vertidas por el hoy </w:t>
      </w:r>
      <w:r w:rsidRPr="00B61DF3">
        <w:rPr>
          <w:rFonts w:ascii="Palatino Linotype" w:hAnsi="Palatino Linotype" w:cs="Arial"/>
          <w:b/>
          <w:bCs/>
        </w:rPr>
        <w:t>RECURRENTE</w:t>
      </w:r>
      <w:r w:rsidRPr="00B61DF3">
        <w:rPr>
          <w:rFonts w:ascii="Palatino Linotype" w:hAnsi="Palatino Linotype" w:cs="Arial"/>
        </w:rPr>
        <w:t xml:space="preserve"> al interponer este medio de impugnación, se denota que se encuentra vulnerado respecto a la información clasificada como confidencial, este Órgano Garante considera que la respuestas correspondiente a la información solicitada respecto a los años 2017 y 2019</w:t>
      </w:r>
      <w:r w:rsidR="000D1D89" w:rsidRPr="00B61DF3">
        <w:rPr>
          <w:rFonts w:ascii="Palatino Linotype" w:hAnsi="Palatino Linotype" w:cs="Arial"/>
        </w:rPr>
        <w:t xml:space="preserve">, pues esta </w:t>
      </w:r>
      <w:r w:rsidRPr="00B61DF3">
        <w:rPr>
          <w:rFonts w:ascii="Palatino Linotype" w:eastAsiaTheme="minorEastAsia" w:hAnsi="Palatino Linotype" w:cs="Arial"/>
          <w:lang w:val="es-ES_tradnl"/>
        </w:rPr>
        <w:t xml:space="preserve">deben declararse consentidas, toda vez que al no realizar manifestaciones de inconformidad respecto de las mismas, no pueden producirse efectos jurídicos tendentes a revocar, confirmar o modificar el acto reclamado, ya que no realizó manifestación alguna al respecto. </w:t>
      </w:r>
    </w:p>
    <w:p w14:paraId="4BFBE082" w14:textId="77777777" w:rsidR="00D7452A" w:rsidRPr="00B61DF3" w:rsidRDefault="00D7452A" w:rsidP="00B61DF3">
      <w:pPr>
        <w:spacing w:before="100" w:beforeAutospacing="1" w:after="100" w:afterAutospacing="1" w:line="360" w:lineRule="auto"/>
        <w:jc w:val="both"/>
        <w:rPr>
          <w:rFonts w:ascii="Palatino Linotype" w:eastAsiaTheme="minorEastAsia" w:hAnsi="Palatino Linotype" w:cs="Arial"/>
          <w:lang w:val="es-ES_tradnl"/>
        </w:rPr>
      </w:pPr>
      <w:r w:rsidRPr="00B61DF3">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025DBE85" w14:textId="77777777" w:rsidR="00D7452A" w:rsidRPr="00B61DF3" w:rsidRDefault="00D7452A" w:rsidP="00B61DF3">
      <w:pPr>
        <w:tabs>
          <w:tab w:val="left" w:pos="851"/>
        </w:tabs>
        <w:spacing w:before="100" w:beforeAutospacing="1" w:after="100" w:afterAutospacing="1" w:line="276" w:lineRule="auto"/>
        <w:ind w:left="851" w:right="901"/>
        <w:jc w:val="both"/>
        <w:rPr>
          <w:rFonts w:ascii="Palatino Linotype" w:eastAsiaTheme="minorEastAsia" w:hAnsi="Palatino Linotype" w:cstheme="minorBidi"/>
          <w:i/>
          <w:sz w:val="22"/>
          <w:szCs w:val="22"/>
          <w:lang w:val="es-ES_tradnl"/>
        </w:rPr>
      </w:pPr>
      <w:r w:rsidRPr="00B61DF3">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B61DF3">
        <w:rPr>
          <w:rFonts w:ascii="Palatino Linotype" w:eastAsiaTheme="minorEastAsia" w:hAnsi="Palatino Linotype" w:cstheme="minorBidi"/>
          <w:i/>
          <w:sz w:val="22"/>
          <w:szCs w:val="22"/>
          <w:lang w:val="es-ES_tradnl"/>
        </w:rPr>
        <w:t xml:space="preserve">Debe reputarse como consentido el acto que no se </w:t>
      </w:r>
      <w:r w:rsidRPr="00B61DF3">
        <w:rPr>
          <w:rFonts w:ascii="Palatino Linotype" w:eastAsiaTheme="minorEastAsia" w:hAnsi="Palatino Linotype" w:cs="Arial"/>
          <w:i/>
          <w:sz w:val="22"/>
          <w:szCs w:val="22"/>
          <w:lang w:val="es-ES_tradnl"/>
        </w:rPr>
        <w:t>impugnó</w:t>
      </w:r>
      <w:r w:rsidRPr="00B61DF3">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18F5FA1" w14:textId="3168F79C" w:rsidR="00D7452A" w:rsidRPr="00B61DF3" w:rsidRDefault="00D7452A" w:rsidP="00B61DF3">
      <w:pPr>
        <w:spacing w:before="100" w:beforeAutospacing="1" w:after="100" w:afterAutospacing="1" w:line="360" w:lineRule="auto"/>
        <w:jc w:val="both"/>
        <w:rPr>
          <w:rFonts w:ascii="Palatino Linotype" w:eastAsiaTheme="minorEastAsia" w:hAnsi="Palatino Linotype" w:cstheme="minorBidi"/>
          <w:lang w:val="es-ES_tradnl"/>
        </w:rPr>
      </w:pPr>
      <w:r w:rsidRPr="00B61DF3">
        <w:rPr>
          <w:rFonts w:ascii="Palatino Linotype" w:eastAsiaTheme="minorEastAsia" w:hAnsi="Palatino Linotype" w:cstheme="minorBidi"/>
          <w:lang w:val="es-ES_tradnl"/>
        </w:rPr>
        <w:t>Lo anterior es así, debido a que cuando particular</w:t>
      </w:r>
      <w:r w:rsidRPr="00B61DF3">
        <w:rPr>
          <w:rFonts w:ascii="Palatino Linotype" w:eastAsiaTheme="minorEastAsia" w:hAnsi="Palatino Linotype" w:cstheme="minorBidi"/>
          <w:b/>
          <w:lang w:val="es-ES_tradnl"/>
        </w:rPr>
        <w:t xml:space="preserve"> </w:t>
      </w:r>
      <w:r w:rsidRPr="00B61DF3">
        <w:rPr>
          <w:rFonts w:ascii="Palatino Linotype" w:eastAsiaTheme="minorEastAsia" w:hAnsi="Palatino Linotype" w:cstheme="minorBidi"/>
          <w:lang w:val="es-ES_tradnl"/>
        </w:rPr>
        <w:t xml:space="preserve">impugnó la respuesta del </w:t>
      </w:r>
      <w:r w:rsidRPr="00B61DF3">
        <w:rPr>
          <w:rFonts w:ascii="Palatino Linotype" w:eastAsiaTheme="minorEastAsia" w:hAnsi="Palatino Linotype" w:cstheme="minorBidi"/>
          <w:b/>
          <w:lang w:val="es-ES_tradnl"/>
        </w:rPr>
        <w:t>SUJETO OBLIGADO</w:t>
      </w:r>
      <w:r w:rsidRPr="00B61DF3">
        <w:rPr>
          <w:rFonts w:ascii="Palatino Linotype" w:eastAsiaTheme="minorEastAsia" w:hAnsi="Palatino Linotype" w:cstheme="minorBidi"/>
          <w:lang w:val="es-ES_tradnl"/>
        </w:rPr>
        <w:t xml:space="preserve">, y no expresó razón o motivo de inconformidad en contra de todos los rubros solicitados; por lo </w:t>
      </w:r>
      <w:r w:rsidR="00C248ED" w:rsidRPr="00B61DF3">
        <w:rPr>
          <w:rFonts w:ascii="Palatino Linotype" w:eastAsiaTheme="minorEastAsia" w:hAnsi="Palatino Linotype" w:cstheme="minorBidi"/>
          <w:lang w:val="es-ES_tradnl"/>
        </w:rPr>
        <w:t>tanto,</w:t>
      </w:r>
      <w:r w:rsidRPr="00B61DF3">
        <w:rPr>
          <w:rFonts w:ascii="Palatino Linotype" w:eastAsiaTheme="minorEastAsia" w:hAnsi="Palatino Linotype" w:cstheme="minorBidi"/>
          <w:lang w:val="es-ES_tradnl"/>
        </w:rPr>
        <w:t xml:space="preserve"> los correspondientes </w:t>
      </w:r>
      <w:r w:rsidR="000D1D89" w:rsidRPr="00B61DF3">
        <w:rPr>
          <w:rFonts w:ascii="Palatino Linotype" w:hAnsi="Palatino Linotype" w:cs="Arial"/>
        </w:rPr>
        <w:t>las auditoras realizadas al Programa Salario Rosa respecto a los años 2017 y 201</w:t>
      </w:r>
      <w:r w:rsidR="00C248ED" w:rsidRPr="00B61DF3">
        <w:rPr>
          <w:rFonts w:ascii="Palatino Linotype" w:hAnsi="Palatino Linotype" w:cs="Arial"/>
        </w:rPr>
        <w:t>8</w:t>
      </w:r>
      <w:r w:rsidRPr="00B61DF3">
        <w:rPr>
          <w:rFonts w:ascii="Palatino Linotype" w:hAnsi="Palatino Linotype" w:cs="Arial"/>
        </w:rPr>
        <w:t xml:space="preserve">, </w:t>
      </w:r>
      <w:r w:rsidRPr="00B61DF3">
        <w:rPr>
          <w:rFonts w:ascii="Palatino Linotype" w:eastAsiaTheme="minorEastAsia" w:hAnsi="Palatino Linotype" w:cstheme="minorBidi"/>
          <w:lang w:val="es-ES_tradnl"/>
        </w:rPr>
        <w:t xml:space="preserve">deben declararse atendidos, pues se entiende que </w:t>
      </w:r>
      <w:r w:rsidRPr="00B61DF3">
        <w:rPr>
          <w:rFonts w:ascii="Palatino Linotype" w:eastAsiaTheme="minorEastAsia" w:hAnsi="Palatino Linotype" w:cstheme="minorBidi"/>
          <w:b/>
          <w:lang w:val="es-ES_tradnl"/>
        </w:rPr>
        <w:t>EL RECURRENTE</w:t>
      </w:r>
      <w:r w:rsidRPr="00B61DF3">
        <w:rPr>
          <w:rFonts w:ascii="Palatino Linotype" w:eastAsiaTheme="minorEastAsia" w:hAnsi="Palatino Linotype" w:cstheme="minorBidi"/>
          <w:lang w:val="es-ES_tradnl"/>
        </w:rPr>
        <w:t xml:space="preserve"> está conforme con la información entregada al no contravenir la misma. </w:t>
      </w:r>
    </w:p>
    <w:p w14:paraId="0439E0A7" w14:textId="77777777" w:rsidR="00D7452A" w:rsidRPr="00B61DF3" w:rsidRDefault="00D7452A" w:rsidP="00B61DF3">
      <w:pPr>
        <w:spacing w:before="100" w:beforeAutospacing="1" w:after="100" w:afterAutospacing="1" w:line="360" w:lineRule="auto"/>
        <w:jc w:val="both"/>
        <w:rPr>
          <w:rFonts w:ascii="Palatino Linotype" w:eastAsiaTheme="minorEastAsia" w:hAnsi="Palatino Linotype" w:cstheme="minorBidi"/>
          <w:lang w:val="es-ES_tradnl"/>
        </w:rPr>
      </w:pPr>
      <w:r w:rsidRPr="00B61DF3">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3F9253D3" w14:textId="77777777" w:rsidR="00D7452A" w:rsidRPr="00B61DF3" w:rsidRDefault="00D7452A" w:rsidP="00B61DF3">
      <w:pPr>
        <w:spacing w:before="100" w:beforeAutospacing="1" w:after="100" w:afterAutospacing="1" w:line="276" w:lineRule="auto"/>
        <w:ind w:left="851" w:right="901"/>
        <w:jc w:val="both"/>
        <w:rPr>
          <w:rFonts w:ascii="Palatino Linotype" w:eastAsiaTheme="minorEastAsia" w:hAnsi="Palatino Linotype" w:cstheme="minorBidi"/>
          <w:bCs/>
          <w:i/>
          <w:iCs/>
          <w:sz w:val="22"/>
          <w:szCs w:val="22"/>
          <w:lang w:val="es-ES_tradnl"/>
        </w:rPr>
      </w:pPr>
      <w:r w:rsidRPr="00B61DF3">
        <w:rPr>
          <w:rFonts w:ascii="Palatino Linotype" w:eastAsiaTheme="minorEastAsia" w:hAnsi="Palatino Linotype" w:cstheme="minorBidi"/>
          <w:b/>
          <w:i/>
          <w:sz w:val="22"/>
          <w:szCs w:val="22"/>
          <w:lang w:val="es-ES_tradnl"/>
        </w:rPr>
        <w:t xml:space="preserve">“REVISIÓN EN AMPARO. LOS RESOLUTIVOS NO COMBATIDOS DEBEN DECLARARSE FIRMES. </w:t>
      </w:r>
      <w:r w:rsidRPr="00B61DF3">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B61DF3">
        <w:rPr>
          <w:rFonts w:ascii="Palatino Linotype" w:eastAsiaTheme="minorEastAsia" w:hAnsi="Palatino Linotype" w:cstheme="minorBidi"/>
          <w:i/>
          <w:sz w:val="22"/>
          <w:szCs w:val="22"/>
          <w:lang w:val="es-ES_tradnl"/>
        </w:rPr>
        <w:t>todos</w:t>
      </w:r>
      <w:r w:rsidRPr="00B61DF3">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41BC11B" w14:textId="77777777" w:rsidR="00D7452A" w:rsidRPr="00B61DF3" w:rsidRDefault="00D7452A" w:rsidP="00B61DF3">
      <w:pPr>
        <w:spacing w:before="100" w:beforeAutospacing="1" w:after="100" w:afterAutospacing="1" w:line="360" w:lineRule="auto"/>
        <w:jc w:val="both"/>
        <w:rPr>
          <w:rFonts w:ascii="Palatino Linotype" w:eastAsiaTheme="minorEastAsia" w:hAnsi="Palatino Linotype" w:cstheme="minorBidi"/>
          <w:lang w:val="es-ES_tradnl"/>
        </w:rPr>
      </w:pPr>
      <w:r w:rsidRPr="00B61DF3">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B61DF3">
        <w:rPr>
          <w:rFonts w:ascii="Palatino Linotype" w:eastAsiaTheme="minorEastAsia" w:hAnsi="Palatino Linotype" w:cstheme="minorBidi"/>
          <w:b/>
          <w:lang w:val="es-ES_tradnl"/>
        </w:rPr>
        <w:t>SUJETO OBLIGADO</w:t>
      </w:r>
      <w:r w:rsidRPr="00B61DF3">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B61DF3">
        <w:rPr>
          <w:rFonts w:ascii="Palatino Linotype" w:hAnsi="Palatino Linotype" w:cs="Arial"/>
        </w:rPr>
        <w:t>Ley de Transparencia y Acceso a la Información Pública del Estado de México y Municipios</w:t>
      </w:r>
      <w:r w:rsidRPr="00B61DF3">
        <w:rPr>
          <w:rFonts w:ascii="Palatino Linotype" w:eastAsiaTheme="minorEastAsia" w:hAnsi="Palatino Linotype" w:cstheme="minorBidi"/>
          <w:lang w:val="es-ES_tradnl"/>
        </w:rPr>
        <w:t>, no se encuentra facultado para pronunciarse acerca de la veracidad de la información remitida por los Sujetos Obligados.</w:t>
      </w:r>
    </w:p>
    <w:p w14:paraId="1A155A77" w14:textId="37389ACC" w:rsidR="00D7452A" w:rsidRPr="00B61DF3" w:rsidRDefault="00D7452A" w:rsidP="00B61DF3">
      <w:pPr>
        <w:spacing w:before="100" w:beforeAutospacing="1" w:after="100" w:afterAutospacing="1" w:line="360" w:lineRule="auto"/>
        <w:jc w:val="both"/>
        <w:rPr>
          <w:rFonts w:ascii="Palatino Linotype" w:eastAsiaTheme="minorEastAsia" w:hAnsi="Palatino Linotype" w:cs="Arial"/>
          <w:lang w:val="es-ES_tradnl"/>
        </w:rPr>
      </w:pPr>
      <w:r w:rsidRPr="00B61DF3">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0D1D89" w:rsidRPr="00B61DF3">
        <w:rPr>
          <w:rFonts w:ascii="Palatino Linotype" w:eastAsiaTheme="minorEastAsia" w:hAnsi="Palatino Linotype" w:cs="Arial"/>
          <w:lang w:val="es-ES_tradnl"/>
        </w:rPr>
        <w:t>Datos, el</w:t>
      </w:r>
      <w:r w:rsidRPr="00B61DF3">
        <w:rPr>
          <w:rFonts w:ascii="Palatino Linotype" w:eastAsiaTheme="minorEastAsia" w:hAnsi="Palatino Linotype" w:cs="Arial"/>
          <w:lang w:val="es-ES_tradnl"/>
        </w:rPr>
        <w:t xml:space="preserve"> cual refiere: </w:t>
      </w:r>
    </w:p>
    <w:p w14:paraId="64DDFE4F" w14:textId="119761D9" w:rsidR="00D7452A" w:rsidRPr="00B61DF3" w:rsidRDefault="00D7452A" w:rsidP="00B61DF3">
      <w:pPr>
        <w:spacing w:before="100" w:beforeAutospacing="1" w:after="100" w:afterAutospacing="1" w:line="276" w:lineRule="auto"/>
        <w:ind w:left="709" w:right="899"/>
        <w:jc w:val="both"/>
        <w:rPr>
          <w:rFonts w:ascii="Palatino Linotype" w:eastAsiaTheme="minorEastAsia" w:hAnsi="Palatino Linotype" w:cs="Arial"/>
          <w:i/>
          <w:sz w:val="22"/>
          <w:szCs w:val="20"/>
          <w:lang w:val="es-ES_tradnl"/>
        </w:rPr>
      </w:pPr>
      <w:r w:rsidRPr="00B61DF3">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B61DF3">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3371FC9C" w14:textId="77777777" w:rsidR="00D7452A" w:rsidRPr="00B61DF3" w:rsidRDefault="00D7452A" w:rsidP="00B61DF3">
      <w:pPr>
        <w:spacing w:before="100" w:beforeAutospacing="1" w:after="100" w:afterAutospacing="1"/>
        <w:ind w:left="709" w:right="757"/>
        <w:jc w:val="right"/>
        <w:rPr>
          <w:rFonts w:ascii="Palatino Linotype" w:eastAsiaTheme="minorEastAsia" w:hAnsi="Palatino Linotype" w:cs="Arial"/>
          <w:b/>
          <w:bCs/>
          <w:iCs/>
          <w:sz w:val="22"/>
          <w:szCs w:val="20"/>
          <w:lang w:val="es-ES_tradnl"/>
        </w:rPr>
      </w:pPr>
      <w:r w:rsidRPr="00B61DF3">
        <w:rPr>
          <w:rFonts w:ascii="Palatino Linotype" w:eastAsiaTheme="minorEastAsia" w:hAnsi="Palatino Linotype" w:cs="Arial"/>
          <w:b/>
          <w:bCs/>
          <w:iCs/>
          <w:sz w:val="22"/>
          <w:szCs w:val="20"/>
          <w:lang w:val="es-ES_tradnl"/>
        </w:rPr>
        <w:t>Criterio 31/10” (sic)</w:t>
      </w:r>
    </w:p>
    <w:p w14:paraId="25649388" w14:textId="375371DE" w:rsidR="0008429C" w:rsidRPr="00B61DF3" w:rsidRDefault="0008429C" w:rsidP="00B61DF3">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rPr>
      </w:pPr>
      <w:r w:rsidRPr="00B61DF3">
        <w:rPr>
          <w:rFonts w:ascii="Palatino Linotype" w:hAnsi="Palatino Linotype"/>
        </w:rPr>
        <w:t xml:space="preserve">En ese tenor, conviene destacar que </w:t>
      </w:r>
      <w:r w:rsidRPr="00B61DF3">
        <w:rPr>
          <w:rFonts w:ascii="Palatino Linotype" w:hAnsi="Palatino Linotype"/>
          <w:b/>
        </w:rPr>
        <w:t xml:space="preserve">EL RECURRENTE </w:t>
      </w:r>
      <w:r w:rsidR="000D1D89" w:rsidRPr="00B61DF3">
        <w:rPr>
          <w:rFonts w:ascii="Palatino Linotype" w:hAnsi="Palatino Linotype"/>
        </w:rPr>
        <w:t>fue omiso en verter sus manifestaciones y presentar los alegatos que a su derecho convinieran</w:t>
      </w:r>
      <w:r w:rsidRPr="00B61DF3">
        <w:rPr>
          <w:rFonts w:ascii="Palatino Linotype" w:hAnsi="Palatino Linotype"/>
        </w:rPr>
        <w:t>.</w:t>
      </w:r>
      <w:r w:rsidR="000D1D89" w:rsidRPr="00B61DF3">
        <w:rPr>
          <w:rFonts w:ascii="Palatino Linotype" w:hAnsi="Palatino Linotype"/>
        </w:rPr>
        <w:t xml:space="preserve"> Mientras que por su parte </w:t>
      </w:r>
      <w:r w:rsidR="000D1D89" w:rsidRPr="00B61DF3">
        <w:rPr>
          <w:rFonts w:ascii="Palatino Linotype" w:hAnsi="Palatino Linotype"/>
          <w:b/>
        </w:rPr>
        <w:t>EL SUJETO OBLIGADO</w:t>
      </w:r>
      <w:r w:rsidR="000D1D89" w:rsidRPr="00B61DF3">
        <w:rPr>
          <w:rFonts w:ascii="Palatino Linotype" w:hAnsi="Palatino Linotype"/>
        </w:rPr>
        <w:t xml:space="preserve"> presento su Informe Justificado correspondiente, en el que ratifica su respuesta inicial, tal y como se advierte en la siguiente imagen:</w:t>
      </w:r>
    </w:p>
    <w:p w14:paraId="2A540DF8" w14:textId="0FC60A99" w:rsidR="000D1D89" w:rsidRPr="00B61DF3" w:rsidRDefault="00114400" w:rsidP="00B61DF3">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rPr>
      </w:pPr>
      <w:r w:rsidRPr="00B61DF3">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B91484E" wp14:editId="0473326E">
                <wp:simplePos x="0" y="0"/>
                <wp:positionH relativeFrom="column">
                  <wp:posOffset>-70485</wp:posOffset>
                </wp:positionH>
                <wp:positionV relativeFrom="paragraph">
                  <wp:posOffset>124460</wp:posOffset>
                </wp:positionV>
                <wp:extent cx="5915025" cy="1285875"/>
                <wp:effectExtent l="0" t="0" r="28575" b="28575"/>
                <wp:wrapNone/>
                <wp:docPr id="222278114" name="Rectángulo 1"/>
                <wp:cNvGraphicFramePr/>
                <a:graphic xmlns:a="http://schemas.openxmlformats.org/drawingml/2006/main">
                  <a:graphicData uri="http://schemas.microsoft.com/office/word/2010/wordprocessingShape">
                    <wps:wsp>
                      <wps:cNvSpPr/>
                      <wps:spPr>
                        <a:xfrm>
                          <a:off x="0" y="0"/>
                          <a:ext cx="5915025" cy="12858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7BD292CE" id="Rectángulo 1" o:spid="_x0000_s1026" style="position:absolute;margin-left:-5.55pt;margin-top:9.8pt;width:465.75pt;height:10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" filled="f" strokecolor="#c0504d [3205]" strokeweight="2pt"/>
            </w:pict>
          </mc:Fallback>
        </mc:AlternateContent>
      </w:r>
      <w:r w:rsidRPr="00B61DF3">
        <w:rPr>
          <w:rFonts w:ascii="Palatino Linotype" w:hAnsi="Palatino Linotype"/>
          <w:noProof/>
          <w:lang w:eastAsia="es-MX"/>
        </w:rPr>
        <w:drawing>
          <wp:inline distT="0" distB="0" distL="0" distR="0" wp14:anchorId="755E5C34" wp14:editId="26D5D36D">
            <wp:extent cx="5791835" cy="1228725"/>
            <wp:effectExtent l="0" t="0" r="0" b="9525"/>
            <wp:docPr id="673270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70122" name=""/>
                    <pic:cNvPicPr/>
                  </pic:nvPicPr>
                  <pic:blipFill rotWithShape="1">
                    <a:blip r:embed="rId10"/>
                    <a:srcRect b="65354"/>
                    <a:stretch/>
                  </pic:blipFill>
                  <pic:spPr bwMode="auto">
                    <a:xfrm>
                      <a:off x="0" y="0"/>
                      <a:ext cx="5791835" cy="1228725"/>
                    </a:xfrm>
                    <a:prstGeom prst="rect">
                      <a:avLst/>
                    </a:prstGeom>
                    <a:ln>
                      <a:noFill/>
                    </a:ln>
                    <a:extLst>
                      <a:ext uri="{53640926-AAD7-44D8-BBD7-CCE9431645EC}">
                        <a14:shadowObscured xmlns:a14="http://schemas.microsoft.com/office/drawing/2010/main"/>
                      </a:ext>
                    </a:extLst>
                  </pic:spPr>
                </pic:pic>
              </a:graphicData>
            </a:graphic>
          </wp:inline>
        </w:drawing>
      </w:r>
    </w:p>
    <w:p w14:paraId="1E7C8061" w14:textId="21A50AD2" w:rsidR="0008429C" w:rsidRPr="00B61DF3" w:rsidRDefault="0008429C" w:rsidP="00B61DF3">
      <w:pPr>
        <w:tabs>
          <w:tab w:val="left" w:pos="709"/>
        </w:tabs>
        <w:spacing w:before="100" w:beforeAutospacing="1" w:after="100" w:afterAutospacing="1" w:line="360" w:lineRule="auto"/>
        <w:jc w:val="both"/>
        <w:rPr>
          <w:rFonts w:ascii="Palatino Linotype" w:hAnsi="Palatino Linotype" w:cs="Arial"/>
        </w:rPr>
      </w:pPr>
      <w:r w:rsidRPr="00B61DF3">
        <w:rPr>
          <w:rFonts w:ascii="Palatino Linotype" w:hAnsi="Palatino Linotype" w:cs="Arial"/>
        </w:rPr>
        <w:t xml:space="preserve">Hechas las manifestaciones anteriores, conviene señalar que, las manifestaciones vertidas por </w:t>
      </w:r>
      <w:r w:rsidRPr="00B61DF3">
        <w:rPr>
          <w:rFonts w:ascii="Palatino Linotype" w:hAnsi="Palatino Linotype" w:cs="Arial"/>
          <w:b/>
        </w:rPr>
        <w:t xml:space="preserve">EL RECURRENTE </w:t>
      </w:r>
      <w:r w:rsidRPr="00B61DF3">
        <w:rPr>
          <w:rFonts w:ascii="Palatino Linotype" w:hAnsi="Palatino Linotype" w:cs="Arial"/>
        </w:rPr>
        <w:t xml:space="preserve">como razones o motivos de inconformidad devienen </w:t>
      </w:r>
      <w:r w:rsidRPr="00B61DF3">
        <w:rPr>
          <w:rFonts w:ascii="Palatino Linotype" w:hAnsi="Palatino Linotype" w:cs="Arial"/>
          <w:b/>
        </w:rPr>
        <w:t xml:space="preserve">fundadas </w:t>
      </w:r>
      <w:r w:rsidRPr="00B61DF3">
        <w:rPr>
          <w:rFonts w:ascii="Palatino Linotype" w:hAnsi="Palatino Linotype" w:cs="Arial"/>
        </w:rPr>
        <w:t xml:space="preserve">y suficientes para </w:t>
      </w:r>
      <w:r w:rsidR="00114400" w:rsidRPr="00B61DF3">
        <w:rPr>
          <w:rFonts w:ascii="Palatino Linotype" w:hAnsi="Palatino Linotype" w:cs="Arial"/>
          <w:b/>
        </w:rPr>
        <w:t>Modificar</w:t>
      </w:r>
      <w:r w:rsidRPr="00B61DF3">
        <w:rPr>
          <w:rFonts w:ascii="Palatino Linotype" w:hAnsi="Palatino Linotype" w:cs="Arial"/>
          <w:b/>
        </w:rPr>
        <w:t xml:space="preserve"> </w:t>
      </w:r>
      <w:r w:rsidRPr="00B61DF3">
        <w:rPr>
          <w:rFonts w:ascii="Palatino Linotype" w:hAnsi="Palatino Linotype" w:cs="Arial"/>
        </w:rPr>
        <w:t xml:space="preserve">la respuesta del </w:t>
      </w:r>
      <w:r w:rsidRPr="00B61DF3">
        <w:rPr>
          <w:rFonts w:ascii="Palatino Linotype" w:hAnsi="Palatino Linotype" w:cs="Arial"/>
          <w:b/>
        </w:rPr>
        <w:t xml:space="preserve">SUJETO OBLIGADO </w:t>
      </w:r>
      <w:r w:rsidRPr="00B61DF3">
        <w:rPr>
          <w:rFonts w:ascii="Palatino Linotype" w:hAnsi="Palatino Linotype" w:cs="Arial"/>
        </w:rPr>
        <w:t>en atención a las consideraciones de hecho y de derecho siguientes:</w:t>
      </w:r>
    </w:p>
    <w:p w14:paraId="43D1F631" w14:textId="6BA5B40E" w:rsidR="00660DC1" w:rsidRPr="00B61DF3" w:rsidRDefault="00660DC1" w:rsidP="00B61DF3">
      <w:pPr>
        <w:tabs>
          <w:tab w:val="left" w:pos="709"/>
        </w:tabs>
        <w:spacing w:before="100" w:beforeAutospacing="1" w:after="100" w:afterAutospacing="1" w:line="360" w:lineRule="auto"/>
        <w:jc w:val="both"/>
        <w:rPr>
          <w:rFonts w:ascii="Palatino Linotype" w:hAnsi="Palatino Linotype" w:cs="Arial"/>
        </w:rPr>
      </w:pPr>
      <w:r w:rsidRPr="00B61DF3">
        <w:rPr>
          <w:rFonts w:ascii="Palatino Linotype" w:hAnsi="Palatino Linotype" w:cs="Arial"/>
        </w:rPr>
        <w:t xml:space="preserve">Primero para el caso de las auditorias del año 2019, se advierte que no pueden ser procedente la reserva por tramite pues dentro del Informe de Resultado del ejercicio fiscal 2019, libro 1, Informe General Estatal, del Órgano Superior de Fiscalización del Estado de México, consultable en la liga electrónica </w:t>
      </w:r>
      <w:hyperlink r:id="rId11" w:history="1">
        <w:r w:rsidRPr="00B61DF3">
          <w:rPr>
            <w:rStyle w:val="Hipervnculo"/>
            <w:rFonts w:ascii="Palatino Linotype" w:hAnsi="Palatino Linotype" w:cs="Arial"/>
            <w:color w:val="auto"/>
          </w:rPr>
          <w:t>https://transparenciafiscal.edomex.gob.mx/sites/transparenciafiscal.edomex.gob.mx/files/files/pdf/rendicion-cuentas/cuenta-publica-2019/Libro01-2019.pdf</w:t>
        </w:r>
      </w:hyperlink>
      <w:r w:rsidR="003C0AF5" w:rsidRPr="00B61DF3">
        <w:rPr>
          <w:rFonts w:ascii="Palatino Linotype" w:hAnsi="Palatino Linotype" w:cs="Arial"/>
        </w:rPr>
        <w:t>, se advierte en el apartado de Orden y contenido de los Libros de Entidades Estatales, los siguiente:</w:t>
      </w:r>
    </w:p>
    <w:p w14:paraId="516592F1" w14:textId="68866F98" w:rsidR="003C0AF5" w:rsidRPr="00B61DF3" w:rsidRDefault="003C0AF5" w:rsidP="00B61DF3">
      <w:pPr>
        <w:tabs>
          <w:tab w:val="left" w:pos="709"/>
        </w:tabs>
        <w:spacing w:before="100" w:beforeAutospacing="1" w:after="100" w:afterAutospacing="1" w:line="360" w:lineRule="auto"/>
        <w:jc w:val="center"/>
        <w:rPr>
          <w:rFonts w:ascii="Palatino Linotype" w:hAnsi="Palatino Linotype" w:cs="Arial"/>
        </w:rPr>
      </w:pPr>
      <w:r w:rsidRPr="00B61DF3">
        <w:rPr>
          <w:rFonts w:ascii="Palatino Linotype" w:hAnsi="Palatino Linotype" w:cs="Arial"/>
          <w:noProof/>
          <w:lang w:eastAsia="es-MX"/>
        </w:rPr>
        <w:drawing>
          <wp:inline distT="0" distB="0" distL="0" distR="0" wp14:anchorId="087406DE" wp14:editId="05142274">
            <wp:extent cx="3209026" cy="485184"/>
            <wp:effectExtent l="0" t="0" r="0" b="0"/>
            <wp:docPr id="576773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73445" name=""/>
                    <pic:cNvPicPr/>
                  </pic:nvPicPr>
                  <pic:blipFill>
                    <a:blip r:embed="rId12"/>
                    <a:stretch>
                      <a:fillRect/>
                    </a:stretch>
                  </pic:blipFill>
                  <pic:spPr>
                    <a:xfrm>
                      <a:off x="0" y="0"/>
                      <a:ext cx="3221208" cy="487026"/>
                    </a:xfrm>
                    <a:prstGeom prst="rect">
                      <a:avLst/>
                    </a:prstGeom>
                  </pic:spPr>
                </pic:pic>
              </a:graphicData>
            </a:graphic>
          </wp:inline>
        </w:drawing>
      </w:r>
    </w:p>
    <w:p w14:paraId="7CBD93AF" w14:textId="3C67C954" w:rsidR="003C0AF5" w:rsidRPr="00B61DF3" w:rsidRDefault="003C0AF5" w:rsidP="00B61DF3">
      <w:pPr>
        <w:tabs>
          <w:tab w:val="left" w:pos="709"/>
        </w:tabs>
        <w:spacing w:before="100" w:beforeAutospacing="1" w:after="100" w:afterAutospacing="1" w:line="360" w:lineRule="auto"/>
        <w:jc w:val="center"/>
        <w:rPr>
          <w:rFonts w:ascii="Palatino Linotype" w:hAnsi="Palatino Linotype" w:cs="Arial"/>
        </w:rPr>
      </w:pPr>
      <w:r w:rsidRPr="00B61DF3">
        <w:rPr>
          <w:rFonts w:ascii="Palatino Linotype" w:hAnsi="Palatino Linotype" w:cs="Arial"/>
          <w:noProof/>
          <w:lang w:eastAsia="es-MX"/>
        </w:rPr>
        <w:drawing>
          <wp:inline distT="0" distB="0" distL="0" distR="0" wp14:anchorId="74A36D56" wp14:editId="1944C419">
            <wp:extent cx="4451325" cy="3088256"/>
            <wp:effectExtent l="0" t="0" r="6985" b="0"/>
            <wp:docPr id="787794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94341" name=""/>
                    <pic:cNvPicPr/>
                  </pic:nvPicPr>
                  <pic:blipFill>
                    <a:blip r:embed="rId13"/>
                    <a:stretch>
                      <a:fillRect/>
                    </a:stretch>
                  </pic:blipFill>
                  <pic:spPr>
                    <a:xfrm>
                      <a:off x="0" y="0"/>
                      <a:ext cx="4453814" cy="3089983"/>
                    </a:xfrm>
                    <a:prstGeom prst="rect">
                      <a:avLst/>
                    </a:prstGeom>
                  </pic:spPr>
                </pic:pic>
              </a:graphicData>
            </a:graphic>
          </wp:inline>
        </w:drawing>
      </w:r>
    </w:p>
    <w:p w14:paraId="3DA9B25D" w14:textId="07DD70EA" w:rsidR="003C0AF5" w:rsidRPr="00B61DF3" w:rsidRDefault="003C0AF5" w:rsidP="00B61DF3">
      <w:pPr>
        <w:spacing w:before="100" w:beforeAutospacing="1" w:after="100" w:afterAutospacing="1" w:line="360" w:lineRule="auto"/>
        <w:jc w:val="both"/>
        <w:rPr>
          <w:rFonts w:ascii="Palatino Linotype" w:hAnsi="Palatino Linotype" w:cs="Arial"/>
        </w:rPr>
      </w:pPr>
      <w:r w:rsidRPr="00B61DF3">
        <w:rPr>
          <w:rFonts w:ascii="Palatino Linotype" w:hAnsi="Palatino Linotype" w:cs="Arial"/>
        </w:rPr>
        <w:t xml:space="preserve">Como se advierte ya se llevó a cabo la auditoría o revisión al Programa Social denominado Salario en </w:t>
      </w:r>
      <w:r w:rsidR="00D249DF" w:rsidRPr="00B61DF3">
        <w:rPr>
          <w:rFonts w:ascii="Palatino Linotype" w:hAnsi="Palatino Linotype" w:cs="Arial"/>
        </w:rPr>
        <w:t>sus distintas modalidades</w:t>
      </w:r>
      <w:r w:rsidRPr="00B61DF3">
        <w:rPr>
          <w:rFonts w:ascii="Palatino Linotype" w:hAnsi="Palatino Linotype" w:cs="Arial"/>
        </w:rPr>
        <w:t>, por lo que, se entiende que a la fecha de la solicitud ya obra en sus archivo</w:t>
      </w:r>
      <w:r w:rsidR="00D249DF" w:rsidRPr="00B61DF3">
        <w:rPr>
          <w:rFonts w:ascii="Palatino Linotype" w:hAnsi="Palatino Linotype" w:cs="Arial"/>
        </w:rPr>
        <w:t xml:space="preserve">s de manera concluidas </w:t>
      </w:r>
      <w:r w:rsidRPr="00B61DF3">
        <w:rPr>
          <w:rFonts w:ascii="Palatino Linotype" w:hAnsi="Palatino Linotype" w:cs="Arial"/>
        </w:rPr>
        <w:t>l</w:t>
      </w:r>
      <w:r w:rsidR="00D249DF" w:rsidRPr="00B61DF3">
        <w:rPr>
          <w:rFonts w:ascii="Palatino Linotype" w:hAnsi="Palatino Linotype" w:cs="Arial"/>
        </w:rPr>
        <w:t>as</w:t>
      </w:r>
      <w:r w:rsidRPr="00B61DF3">
        <w:rPr>
          <w:rFonts w:ascii="Palatino Linotype" w:hAnsi="Palatino Linotype" w:cs="Arial"/>
        </w:rPr>
        <w:t xml:space="preserve"> </w:t>
      </w:r>
      <w:r w:rsidR="00D249DF" w:rsidRPr="00B61DF3">
        <w:rPr>
          <w:rFonts w:ascii="Palatino Linotype" w:hAnsi="Palatino Linotype" w:cs="Arial"/>
        </w:rPr>
        <w:t>Auditorías Financieras</w:t>
      </w:r>
      <w:r w:rsidR="00D249DF" w:rsidRPr="00B61DF3">
        <w:rPr>
          <w:rStyle w:val="Refdenotaalpie"/>
          <w:rFonts w:ascii="Palatino Linotype" w:hAnsi="Palatino Linotype" w:cs="Arial"/>
        </w:rPr>
        <w:footnoteReference w:id="2"/>
      </w:r>
      <w:r w:rsidR="00D249DF" w:rsidRPr="00B61DF3">
        <w:rPr>
          <w:rFonts w:ascii="Palatino Linotype" w:hAnsi="Palatino Linotype" w:cs="Arial"/>
        </w:rPr>
        <w:t xml:space="preserve"> del año </w:t>
      </w:r>
      <w:r w:rsidR="001218E7" w:rsidRPr="00B61DF3">
        <w:rPr>
          <w:rFonts w:ascii="Palatino Linotype" w:hAnsi="Palatino Linotype" w:cs="Arial"/>
        </w:rPr>
        <w:t xml:space="preserve"> </w:t>
      </w:r>
      <w:r w:rsidR="00D249DF" w:rsidRPr="00B61DF3">
        <w:rPr>
          <w:rFonts w:ascii="Palatino Linotype" w:hAnsi="Palatino Linotype" w:cs="Arial"/>
        </w:rPr>
        <w:t>2019</w:t>
      </w:r>
      <w:r w:rsidR="001218E7" w:rsidRPr="00B61DF3">
        <w:rPr>
          <w:rFonts w:ascii="Palatino Linotype" w:hAnsi="Palatino Linotype" w:cs="Arial"/>
        </w:rPr>
        <w:t xml:space="preserve"> y 2020</w:t>
      </w:r>
      <w:r w:rsidR="00D249DF" w:rsidRPr="00B61DF3">
        <w:rPr>
          <w:rFonts w:ascii="Palatino Linotype" w:hAnsi="Palatino Linotype" w:cs="Arial"/>
        </w:rPr>
        <w:t xml:space="preserve">, en ese sentido, es susceptible su entrega. </w:t>
      </w:r>
    </w:p>
    <w:p w14:paraId="361AE590" w14:textId="6DC8D615"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 xml:space="preserve">Así, cabe precisar que se obvia el análisis de la competencia por parte del </w:t>
      </w:r>
      <w:r w:rsidRPr="00B61DF3">
        <w:rPr>
          <w:rFonts w:ascii="Palatino Linotype" w:eastAsia="Arial Unicode MS" w:hAnsi="Palatino Linotype" w:cs="Arial"/>
          <w:b/>
        </w:rPr>
        <w:t>SUJETO OBLIGADO,</w:t>
      </w:r>
      <w:r w:rsidRPr="00B61DF3">
        <w:rPr>
          <w:rFonts w:ascii="Palatino Linotype" w:eastAsia="Arial Unicode MS" w:hAnsi="Palatino Linotype" w:cs="Arial"/>
        </w:rPr>
        <w:t xml:space="preserve"> para generar, administrar o poseer la información solicitada, dado que éste ha asumido la misma, en razón de lo manifestado en su respuesta, así como la información proporcionada, pues se advierte que es coincidente con la solicitada por el particular.</w:t>
      </w:r>
    </w:p>
    <w:p w14:paraId="408555F7" w14:textId="4CC5E3CA"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563FC443"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b/>
          <w:i/>
          <w:sz w:val="22"/>
        </w:rPr>
        <w:t>Artículo 4.</w:t>
      </w:r>
      <w:r w:rsidRPr="00B61DF3">
        <w:rPr>
          <w:rFonts w:ascii="Palatino Linotype" w:eastAsia="Arial Unicode MS" w:hAnsi="Palatino Linotype" w:cs="Arial"/>
          <w:i/>
          <w:sz w:val="22"/>
        </w:rPr>
        <w:t xml:space="preserve"> … </w:t>
      </w:r>
    </w:p>
    <w:p w14:paraId="63686732" w14:textId="7F63BE72"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4BD3DD"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1DEA7710"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0CA6F348"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w:t>
      </w:r>
      <w:r w:rsidRPr="00B61DF3">
        <w:rPr>
          <w:rFonts w:ascii="Palatino Linotype" w:eastAsia="Arial Unicode MS" w:hAnsi="Palatino Linotype" w:cs="Arial"/>
          <w:b/>
          <w:i/>
          <w:sz w:val="22"/>
        </w:rPr>
        <w:t>Artículo 12</w:t>
      </w:r>
      <w:r w:rsidRPr="00B61DF3">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70046680" w14:textId="4484F9B9"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604BE75"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B61DF3">
        <w:rPr>
          <w:rFonts w:ascii="Palatino Linotype" w:eastAsia="Arial Unicode MS" w:hAnsi="Palatino Linotype" w:cs="Arial"/>
          <w:i/>
        </w:rPr>
        <w:t>ad hoc</w:t>
      </w:r>
      <w:r w:rsidRPr="00B61DF3">
        <w:rPr>
          <w:rFonts w:ascii="Palatino Linotype" w:eastAsia="Arial Unicode MS" w:hAnsi="Palatino Linotype" w:cs="Arial"/>
        </w:rPr>
        <w:t>, para satisfacer el derecho de acceso a la información pública.</w:t>
      </w:r>
    </w:p>
    <w:p w14:paraId="6CF2173C"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209CCB7A"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w:t>
      </w:r>
      <w:r w:rsidRPr="00B61DF3">
        <w:rPr>
          <w:rFonts w:ascii="Palatino Linotype" w:eastAsia="Arial Unicode MS" w:hAnsi="Palatino Linotype" w:cs="Arial"/>
          <w:b/>
          <w:i/>
          <w:sz w:val="22"/>
        </w:rPr>
        <w:t xml:space="preserve">No existe obligación de elaborar documentos ad hoc para atender las solicitudes de acceso a la información. </w:t>
      </w:r>
      <w:r w:rsidRPr="00B61DF3">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451D875"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4072D341"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7C02FEE"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5368131" w14:textId="77777777" w:rsidR="00D249DF" w:rsidRPr="00B61DF3" w:rsidRDefault="00D249DF" w:rsidP="00B61DF3">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w:t>
      </w:r>
      <w:r w:rsidRPr="00B61DF3">
        <w:rPr>
          <w:rFonts w:ascii="Palatino Linotype" w:eastAsia="Arial Unicode MS" w:hAnsi="Palatino Linotype" w:cs="Arial"/>
          <w:b/>
          <w:i/>
          <w:sz w:val="22"/>
        </w:rPr>
        <w:t>Artículo 3</w:t>
      </w:r>
      <w:r w:rsidRPr="00B61DF3">
        <w:rPr>
          <w:rFonts w:ascii="Palatino Linotype" w:eastAsia="Arial Unicode MS" w:hAnsi="Palatino Linotype" w:cs="Arial"/>
          <w:i/>
          <w:sz w:val="22"/>
        </w:rPr>
        <w:t>. Para los efectos de la presente Ley se entenderá por:</w:t>
      </w:r>
    </w:p>
    <w:p w14:paraId="46AF4565" w14:textId="77777777" w:rsidR="00D249DF" w:rsidRPr="00B61DF3" w:rsidRDefault="00D249DF" w:rsidP="00B61DF3">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 xml:space="preserve">XI. </w:t>
      </w:r>
      <w:r w:rsidRPr="00B61DF3">
        <w:rPr>
          <w:rFonts w:ascii="Palatino Linotype" w:eastAsia="Arial Unicode MS" w:hAnsi="Palatino Linotype" w:cs="Arial"/>
          <w:b/>
          <w:i/>
          <w:sz w:val="22"/>
        </w:rPr>
        <w:t>Documento</w:t>
      </w:r>
      <w:r w:rsidRPr="00B61DF3">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B4D9711"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61DF3">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AA96BF2"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p>
    <w:p w14:paraId="009F1E07"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 xml:space="preserve">“CRITERIO 0002-11 </w:t>
      </w:r>
    </w:p>
    <w:p w14:paraId="4E6224DD"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B61DF3">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25630E"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En consecuencia el acceso a la información se refiere a que se cumplan cualquiera de los siguientes tres supuestos:</w:t>
      </w:r>
    </w:p>
    <w:p w14:paraId="5455D731"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7C2D5B19"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730CC84A"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61DF3">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B61DF3">
        <w:rPr>
          <w:rFonts w:ascii="Palatino Linotype" w:eastAsia="Arial Unicode MS" w:hAnsi="Palatino Linotype" w:cs="Arial"/>
          <w:sz w:val="22"/>
        </w:rPr>
        <w:t>(Sic)</w:t>
      </w:r>
    </w:p>
    <w:p w14:paraId="7EA731E1" w14:textId="77777777" w:rsidR="00D249DF" w:rsidRPr="00B61DF3" w:rsidRDefault="00D249DF" w:rsidP="00B61DF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sz w:val="22"/>
        </w:rPr>
      </w:pPr>
      <w:r w:rsidRPr="00B61DF3">
        <w:rPr>
          <w:rFonts w:ascii="Palatino Linotype" w:eastAsia="Arial Unicode MS" w:hAnsi="Palatino Linotype" w:cs="Arial"/>
          <w:sz w:val="22"/>
        </w:rPr>
        <w:t>(Énfasis Añadido)</w:t>
      </w:r>
    </w:p>
    <w:p w14:paraId="6F318490" w14:textId="77777777" w:rsidR="00D249DF" w:rsidRPr="00B61DF3" w:rsidRDefault="00D249DF" w:rsidP="00B61DF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p>
    <w:p w14:paraId="59B78405" w14:textId="3A007C3E" w:rsidR="00D249DF" w:rsidRPr="00B61DF3" w:rsidRDefault="00D249DF" w:rsidP="00B61DF3">
      <w:pPr>
        <w:spacing w:before="100" w:beforeAutospacing="1" w:after="100" w:afterAutospacing="1" w:line="360" w:lineRule="auto"/>
        <w:jc w:val="both"/>
        <w:rPr>
          <w:rFonts w:ascii="Palatino Linotype" w:hAnsi="Palatino Linotype" w:cs="Arial"/>
        </w:rPr>
      </w:pPr>
      <w:r w:rsidRPr="00B61DF3">
        <w:rPr>
          <w:rFonts w:ascii="Palatino Linotype" w:hAnsi="Palatino Linotype" w:cs="Arial"/>
        </w:rPr>
        <w:t xml:space="preserve">En este sentido, es menester señalar que respecto </w:t>
      </w:r>
      <w:r w:rsidR="002A0922" w:rsidRPr="00B61DF3">
        <w:rPr>
          <w:rFonts w:ascii="Palatino Linotype" w:hAnsi="Palatino Linotype" w:cs="Arial"/>
        </w:rPr>
        <w:t>al 2019 debe ser entregada la información de acuerdo a lo solicitado por el particular y en versión publica de ser procedente, por resultar que ya se encuentran concluidos.</w:t>
      </w:r>
    </w:p>
    <w:p w14:paraId="2955D704" w14:textId="50C77F8C" w:rsidR="0008429C" w:rsidRPr="00B61DF3" w:rsidRDefault="003C0AF5" w:rsidP="00B61DF3">
      <w:pPr>
        <w:spacing w:before="100" w:beforeAutospacing="1" w:after="100" w:afterAutospacing="1" w:line="360" w:lineRule="auto"/>
        <w:jc w:val="both"/>
        <w:rPr>
          <w:rFonts w:ascii="Palatino Linotype" w:eastAsia="Arial Unicode MS" w:hAnsi="Palatino Linotype" w:cs="Arial"/>
        </w:rPr>
      </w:pPr>
      <w:r w:rsidRPr="00B61DF3">
        <w:rPr>
          <w:rFonts w:ascii="Palatino Linotype" w:hAnsi="Palatino Linotype" w:cs="Arial"/>
        </w:rPr>
        <w:t>Por lo que respecta al 2020</w:t>
      </w:r>
      <w:r w:rsidR="0008429C" w:rsidRPr="00B61DF3">
        <w:rPr>
          <w:rFonts w:ascii="Palatino Linotype" w:hAnsi="Palatino Linotype" w:cs="Arial"/>
        </w:rPr>
        <w:t xml:space="preserve">, </w:t>
      </w:r>
      <w:r w:rsidR="0008429C" w:rsidRPr="00B61DF3">
        <w:rPr>
          <w:rFonts w:ascii="Palatino Linotype" w:eastAsia="Calibri" w:hAnsi="Palatino Linotype" w:cs="Arial"/>
        </w:rPr>
        <w:t xml:space="preserve">este Instituto </w:t>
      </w:r>
      <w:r w:rsidR="0008429C" w:rsidRPr="00B61DF3">
        <w:rPr>
          <w:rFonts w:ascii="Palatino Linotype" w:hAnsi="Palatino Linotype"/>
        </w:rPr>
        <w:t xml:space="preserve">obvia el análisis de la competencia por parte del </w:t>
      </w:r>
      <w:r w:rsidR="0008429C" w:rsidRPr="00B61DF3">
        <w:rPr>
          <w:rFonts w:ascii="Palatino Linotype" w:hAnsi="Palatino Linotype"/>
          <w:b/>
        </w:rPr>
        <w:t>SUJETO OBLIGADO</w:t>
      </w:r>
      <w:r w:rsidR="0008429C" w:rsidRPr="00B61DF3">
        <w:rPr>
          <w:rFonts w:ascii="Palatino Linotype" w:hAnsi="Palatino Linotype"/>
        </w:rPr>
        <w:t>, para generar, administrar o poseer la información solicitada, dado que éste ha asumido la misma, en razón de que localizó e identificó perfectamente la información solicitada; tan es así que determinó clasificarla como reservada.</w:t>
      </w:r>
    </w:p>
    <w:p w14:paraId="5D267CC2" w14:textId="77777777" w:rsidR="0008429C" w:rsidRPr="00B61DF3" w:rsidRDefault="0008429C" w:rsidP="00B61DF3">
      <w:pPr>
        <w:tabs>
          <w:tab w:val="left" w:pos="709"/>
        </w:tabs>
        <w:spacing w:before="100" w:beforeAutospacing="1" w:after="100" w:afterAutospacing="1" w:line="360" w:lineRule="auto"/>
        <w:jc w:val="both"/>
        <w:rPr>
          <w:rFonts w:ascii="Palatino Linotype" w:hAnsi="Palatino Linotype"/>
        </w:rPr>
      </w:pPr>
      <w:r w:rsidRPr="00B61DF3">
        <w:rPr>
          <w:rFonts w:ascii="Palatino Linotype" w:hAnsi="Palatino Linotype"/>
        </w:rPr>
        <w:t xml:space="preserve">En efecto, el hecho de que </w:t>
      </w:r>
      <w:r w:rsidRPr="00B61DF3">
        <w:rPr>
          <w:rFonts w:ascii="Palatino Linotype" w:hAnsi="Palatino Linotype"/>
          <w:b/>
        </w:rPr>
        <w:t>EL SUJETO OBLIGADO</w:t>
      </w:r>
      <w:r w:rsidRPr="00B61DF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288D032F" w14:textId="77777777" w:rsidR="0008429C" w:rsidRPr="00B61DF3" w:rsidRDefault="0008429C" w:rsidP="00B61DF3">
      <w:pPr>
        <w:tabs>
          <w:tab w:val="left" w:pos="851"/>
          <w:tab w:val="left" w:pos="8505"/>
        </w:tabs>
        <w:spacing w:before="100" w:beforeAutospacing="1" w:after="100" w:afterAutospacing="1"/>
        <w:ind w:left="851" w:right="902"/>
        <w:jc w:val="both"/>
        <w:rPr>
          <w:rFonts w:ascii="Palatino Linotype" w:hAnsi="Palatino Linotype" w:cs="Arial"/>
          <w:i/>
          <w:sz w:val="22"/>
          <w:szCs w:val="22"/>
        </w:rPr>
      </w:pPr>
      <w:r w:rsidRPr="00B61DF3">
        <w:rPr>
          <w:rFonts w:ascii="Palatino Linotype" w:hAnsi="Palatino Linotype" w:cs="Arial"/>
          <w:i/>
          <w:sz w:val="22"/>
          <w:szCs w:val="22"/>
        </w:rPr>
        <w:t>“</w:t>
      </w:r>
      <w:r w:rsidRPr="00B61DF3">
        <w:rPr>
          <w:rFonts w:ascii="Palatino Linotype" w:hAnsi="Palatino Linotype" w:cs="Arial"/>
          <w:b/>
          <w:i/>
          <w:sz w:val="22"/>
          <w:szCs w:val="22"/>
        </w:rPr>
        <w:t>Artículo 12.</w:t>
      </w:r>
      <w:r w:rsidRPr="00B61DF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4BFDA58" w14:textId="77777777" w:rsidR="0008429C" w:rsidRPr="00B61DF3" w:rsidRDefault="0008429C" w:rsidP="00B61DF3">
      <w:pPr>
        <w:spacing w:before="100" w:beforeAutospacing="1" w:after="100" w:afterAutospacing="1"/>
        <w:ind w:left="851" w:right="902"/>
        <w:jc w:val="both"/>
        <w:rPr>
          <w:rFonts w:ascii="Palatino Linotype" w:hAnsi="Palatino Linotype" w:cs="Arial"/>
          <w:i/>
          <w:sz w:val="22"/>
          <w:szCs w:val="22"/>
        </w:rPr>
      </w:pPr>
      <w:r w:rsidRPr="00B61DF3">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F284B9F" w14:textId="77777777" w:rsidR="0008429C" w:rsidRPr="00B61DF3" w:rsidRDefault="0008429C" w:rsidP="00B61DF3">
      <w:pPr>
        <w:spacing w:before="100" w:beforeAutospacing="1" w:after="100" w:afterAutospacing="1" w:line="360" w:lineRule="auto"/>
        <w:jc w:val="both"/>
      </w:pPr>
      <w:r w:rsidRPr="00B61DF3">
        <w:rPr>
          <w:rFonts w:ascii="Palatino Linotype" w:hAnsi="Palatino Linotype"/>
        </w:rPr>
        <w:t xml:space="preserve">Así, el estudio de la naturaleza jurídica de la información pública solicitada, tiene por objeto determinar si ésta la genera, posee o administra </w:t>
      </w:r>
      <w:r w:rsidRPr="00B61DF3">
        <w:rPr>
          <w:rFonts w:ascii="Palatino Linotype" w:hAnsi="Palatino Linotype"/>
          <w:b/>
        </w:rPr>
        <w:t>EL SUJETO OBLIGADO</w:t>
      </w:r>
      <w:r w:rsidRPr="00B61DF3">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61DF3">
        <w:t xml:space="preserve"> </w:t>
      </w:r>
    </w:p>
    <w:p w14:paraId="15FB827E" w14:textId="58AB80D3" w:rsidR="005235DB" w:rsidRPr="00B61DF3" w:rsidRDefault="005235DB" w:rsidP="00B61DF3">
      <w:pPr>
        <w:tabs>
          <w:tab w:val="left" w:pos="8222"/>
        </w:tabs>
        <w:spacing w:before="100" w:beforeAutospacing="1" w:after="100" w:afterAutospacing="1" w:line="360" w:lineRule="auto"/>
        <w:ind w:right="-28"/>
        <w:jc w:val="both"/>
        <w:rPr>
          <w:rFonts w:ascii="Palatino Linotype" w:eastAsia="Palatino Linotype" w:hAnsi="Palatino Linotype" w:cs="Palatino Linotype"/>
          <w:lang w:val="es-ES" w:eastAsia="es-MX"/>
        </w:rPr>
      </w:pPr>
      <w:bookmarkStart w:id="4" w:name="_Hlk116301244"/>
      <w:r w:rsidRPr="00B61DF3">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B61DF3">
        <w:rPr>
          <w:rFonts w:ascii="Palatino Linotype" w:hAnsi="Palatino Linotype" w:cs="Tahoma"/>
          <w:b/>
          <w:bCs/>
          <w:szCs w:val="22"/>
        </w:rPr>
        <w:t xml:space="preserve">EL SUJETO OBLIGADO </w:t>
      </w:r>
      <w:r w:rsidRPr="00B61DF3">
        <w:rPr>
          <w:rFonts w:ascii="Palatino Linotype" w:hAnsi="Palatino Linotype" w:cs="Tahoma"/>
          <w:bCs/>
          <w:szCs w:val="22"/>
        </w:rPr>
        <w:t xml:space="preserve">en el Informe Justificado y con la finalidad de </w:t>
      </w:r>
      <w:r w:rsidRPr="00B61DF3">
        <w:rPr>
          <w:rFonts w:ascii="Palatino Linotype" w:eastAsia="Palatino Linotype" w:hAnsi="Palatino Linotype" w:cs="Palatino Linotype"/>
          <w:lang w:val="es-ES" w:eastAsia="es-MX"/>
        </w:rPr>
        <w:t xml:space="preserve">establecer si el Comité de Transparencia cumplió cabalmente con las formalidades exigidas por con la Ley General de Transparencia y Acceso a la Información Pública, los Lineamientos Generales en Materia de Clasificación y Desclasificación de la Información, así como para la Elaboración de Versiones Públicas, así como, de la Ley de Transparencia y Acceso a la Información Pública del Estado de México </w:t>
      </w:r>
      <w:bookmarkEnd w:id="4"/>
      <w:r w:rsidRPr="00B61DF3">
        <w:rPr>
          <w:rFonts w:ascii="Palatino Linotype" w:eastAsia="Palatino Linotype" w:hAnsi="Palatino Linotype" w:cs="Palatino Linotype"/>
          <w:lang w:val="es-ES" w:eastAsia="es-MX"/>
        </w:rPr>
        <w:t xml:space="preserve">y Municipios, es que se procede a lo siguiente: </w:t>
      </w:r>
    </w:p>
    <w:tbl>
      <w:tblPr>
        <w:tblW w:w="9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B61DF3" w:rsidRPr="00B61DF3" w14:paraId="342A1D4F" w14:textId="77777777" w:rsidTr="005235DB">
        <w:trPr>
          <w:jc w:val="center"/>
        </w:trPr>
        <w:tc>
          <w:tcPr>
            <w:tcW w:w="1535" w:type="dxa"/>
            <w:tcBorders>
              <w:top w:val="nil"/>
              <w:left w:val="nil"/>
            </w:tcBorders>
          </w:tcPr>
          <w:p w14:paraId="14ECDE41" w14:textId="77777777" w:rsidR="005235DB" w:rsidRPr="00B61DF3" w:rsidRDefault="005235DB" w:rsidP="00B61DF3">
            <w:pPr>
              <w:pBdr>
                <w:top w:val="nil"/>
                <w:left w:val="nil"/>
                <w:bottom w:val="nil"/>
                <w:right w:val="nil"/>
                <w:between w:val="nil"/>
              </w:pBdr>
              <w:spacing w:before="100" w:beforeAutospacing="1" w:after="100" w:afterAutospacing="1"/>
              <w:ind w:left="47"/>
              <w:jc w:val="both"/>
              <w:rPr>
                <w:rFonts w:ascii="Palatino Linotype" w:eastAsia="Palatino Linotype" w:hAnsi="Palatino Linotype" w:cs="Palatino Linotype"/>
                <w:b/>
                <w:sz w:val="20"/>
                <w:szCs w:val="20"/>
              </w:rPr>
            </w:pPr>
          </w:p>
        </w:tc>
        <w:tc>
          <w:tcPr>
            <w:tcW w:w="1696" w:type="dxa"/>
            <w:tcBorders>
              <w:bottom w:val="single" w:sz="4" w:space="0" w:color="000000"/>
            </w:tcBorders>
            <w:shd w:val="clear" w:color="auto" w:fill="BFBFBF"/>
            <w:vAlign w:val="bottom"/>
          </w:tcPr>
          <w:p w14:paraId="5E171417" w14:textId="77777777" w:rsidR="005235DB" w:rsidRPr="00B61DF3" w:rsidRDefault="005235DB" w:rsidP="00B61DF3">
            <w:pPr>
              <w:pBdr>
                <w:top w:val="nil"/>
                <w:left w:val="nil"/>
                <w:bottom w:val="nil"/>
                <w:right w:val="nil"/>
                <w:between w:val="nil"/>
              </w:pBdr>
              <w:spacing w:before="100" w:beforeAutospacing="1" w:after="100" w:afterAutospacing="1"/>
              <w:ind w:left="47"/>
              <w:jc w:val="both"/>
              <w:rPr>
                <w:rFonts w:ascii="Palatino Linotype" w:eastAsia="Palatino Linotype" w:hAnsi="Palatino Linotype" w:cs="Palatino Linotype"/>
                <w:b/>
                <w:sz w:val="20"/>
                <w:szCs w:val="20"/>
              </w:rPr>
            </w:pPr>
            <w:r w:rsidRPr="00B61DF3">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366AA434" w14:textId="77777777" w:rsidR="005235DB" w:rsidRPr="00B61DF3" w:rsidRDefault="005235DB" w:rsidP="00B61DF3">
            <w:pPr>
              <w:pBdr>
                <w:top w:val="nil"/>
                <w:left w:val="nil"/>
                <w:bottom w:val="nil"/>
                <w:right w:val="nil"/>
                <w:between w:val="nil"/>
              </w:pBdr>
              <w:spacing w:before="100" w:beforeAutospacing="1" w:after="100" w:afterAutospacing="1"/>
              <w:ind w:left="47"/>
              <w:jc w:val="both"/>
              <w:rPr>
                <w:rFonts w:ascii="Palatino Linotype" w:eastAsia="Palatino Linotype" w:hAnsi="Palatino Linotype" w:cs="Palatino Linotype"/>
                <w:b/>
              </w:rPr>
            </w:pPr>
            <w:r w:rsidRPr="00B61DF3">
              <w:rPr>
                <w:rFonts w:ascii="Palatino Linotype" w:eastAsia="Palatino Linotype" w:hAnsi="Palatino Linotype" w:cs="Palatino Linotype"/>
                <w:b/>
              </w:rPr>
              <w:t>Contenido</w:t>
            </w:r>
          </w:p>
        </w:tc>
      </w:tr>
      <w:tr w:rsidR="00B61DF3" w:rsidRPr="00B61DF3" w14:paraId="3202265F" w14:textId="77777777" w:rsidTr="005235DB">
        <w:trPr>
          <w:jc w:val="center"/>
        </w:trPr>
        <w:tc>
          <w:tcPr>
            <w:tcW w:w="1535" w:type="dxa"/>
            <w:vAlign w:val="center"/>
          </w:tcPr>
          <w:p w14:paraId="4EB31EF0" w14:textId="77777777" w:rsidR="005235DB" w:rsidRPr="00B61DF3" w:rsidRDefault="005235DB" w:rsidP="00B61DF3">
            <w:pPr>
              <w:spacing w:before="100" w:beforeAutospacing="1" w:after="100" w:afterAutospacing="1"/>
              <w:jc w:val="both"/>
              <w:rPr>
                <w:rFonts w:ascii="Palatino Linotype" w:eastAsia="Palatino Linotype" w:hAnsi="Palatino Linotype" w:cs="Palatino Linotype"/>
                <w:b/>
                <w:sz w:val="16"/>
                <w:szCs w:val="16"/>
              </w:rPr>
            </w:pPr>
            <w:r w:rsidRPr="00B61DF3">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48B6C2B7" w14:textId="77777777" w:rsidR="005235DB" w:rsidRPr="00B61DF3" w:rsidRDefault="005235DB" w:rsidP="00B61DF3">
            <w:pPr>
              <w:spacing w:before="100" w:beforeAutospacing="1" w:after="100" w:afterAutospacing="1"/>
              <w:rPr>
                <w:rFonts w:ascii="Palatino Linotype" w:eastAsia="Palatino Linotype" w:hAnsi="Palatino Linotype" w:cs="Palatino Linotype"/>
                <w:b/>
              </w:rPr>
            </w:pPr>
            <w:r w:rsidRPr="00B61DF3">
              <w:rPr>
                <w:rFonts w:ascii="Palatino Linotype" w:eastAsia="Palatino Linotype" w:hAnsi="Palatino Linotype" w:cs="Palatino Linotype"/>
                <w:b/>
              </w:rPr>
              <w:t>Sí</w:t>
            </w:r>
          </w:p>
        </w:tc>
        <w:tc>
          <w:tcPr>
            <w:tcW w:w="6095" w:type="dxa"/>
            <w:tcBorders>
              <w:top w:val="single" w:sz="4" w:space="0" w:color="000000"/>
            </w:tcBorders>
            <w:vAlign w:val="center"/>
          </w:tcPr>
          <w:p w14:paraId="2658C50B" w14:textId="77777777" w:rsidR="005235DB" w:rsidRPr="00B61DF3" w:rsidRDefault="005235DB" w:rsidP="00B61DF3">
            <w:pPr>
              <w:spacing w:before="100" w:beforeAutospacing="1" w:after="100" w:afterAutospacing="1"/>
              <w:ind w:left="-115"/>
              <w:jc w:val="both"/>
              <w:rPr>
                <w:rFonts w:ascii="Palatino Linotype" w:eastAsia="Palatino Linotype" w:hAnsi="Palatino Linotype" w:cs="Palatino Linotype"/>
                <w:sz w:val="2"/>
                <w:szCs w:val="2"/>
              </w:rPr>
            </w:pPr>
          </w:p>
          <w:p w14:paraId="315348C3" w14:textId="77777777" w:rsidR="005235DB" w:rsidRPr="00B61DF3" w:rsidRDefault="005235DB" w:rsidP="00B61DF3">
            <w:pPr>
              <w:spacing w:before="100" w:beforeAutospacing="1" w:after="100" w:afterAutospacing="1"/>
              <w:ind w:left="-115"/>
              <w:jc w:val="both"/>
              <w:rPr>
                <w:rFonts w:ascii="Palatino Linotype" w:eastAsia="Palatino Linotype" w:hAnsi="Palatino Linotype" w:cs="Palatino Linotype"/>
              </w:rPr>
            </w:pPr>
            <w:r w:rsidRPr="00B61DF3">
              <w:rPr>
                <w:rFonts w:ascii="Palatino Linotype" w:eastAsia="Palatino Linotype" w:hAnsi="Palatino Linotype" w:cs="Palatino Linotype"/>
                <w:noProof/>
                <w:lang w:eastAsia="es-MX"/>
              </w:rPr>
              <w:drawing>
                <wp:inline distT="0" distB="0" distL="0" distR="0" wp14:anchorId="38FA903C" wp14:editId="5A881325">
                  <wp:extent cx="3733165" cy="6667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3586"/>
                          <a:stretch/>
                        </pic:blipFill>
                        <pic:spPr bwMode="auto">
                          <a:xfrm>
                            <a:off x="0" y="0"/>
                            <a:ext cx="3733165" cy="666750"/>
                          </a:xfrm>
                          <a:prstGeom prst="rect">
                            <a:avLst/>
                          </a:prstGeom>
                          <a:ln>
                            <a:noFill/>
                          </a:ln>
                          <a:extLst>
                            <a:ext uri="{53640926-AAD7-44D8-BBD7-CCE9431645EC}">
                              <a14:shadowObscured xmlns:a14="http://schemas.microsoft.com/office/drawing/2010/main"/>
                            </a:ext>
                          </a:extLst>
                        </pic:spPr>
                      </pic:pic>
                    </a:graphicData>
                  </a:graphic>
                </wp:inline>
              </w:drawing>
            </w:r>
          </w:p>
          <w:p w14:paraId="368BF350" w14:textId="710A736A" w:rsidR="005235DB" w:rsidRPr="00B61DF3" w:rsidRDefault="005235DB" w:rsidP="00B61DF3">
            <w:pPr>
              <w:spacing w:before="100" w:beforeAutospacing="1" w:after="100" w:afterAutospacing="1"/>
              <w:ind w:left="-115"/>
              <w:jc w:val="both"/>
              <w:rPr>
                <w:rFonts w:ascii="Palatino Linotype" w:eastAsia="Palatino Linotype" w:hAnsi="Palatino Linotype" w:cs="Palatino Linotype"/>
              </w:rPr>
            </w:pPr>
          </w:p>
        </w:tc>
      </w:tr>
      <w:tr w:rsidR="00B61DF3" w:rsidRPr="00B61DF3" w14:paraId="1375B9FD" w14:textId="77777777" w:rsidTr="005235DB">
        <w:trPr>
          <w:trHeight w:val="1825"/>
          <w:jc w:val="center"/>
        </w:trPr>
        <w:tc>
          <w:tcPr>
            <w:tcW w:w="1535" w:type="dxa"/>
            <w:vAlign w:val="center"/>
          </w:tcPr>
          <w:p w14:paraId="1786C9FB" w14:textId="77777777" w:rsidR="005235DB" w:rsidRPr="00B61DF3" w:rsidRDefault="005235DB" w:rsidP="00B61DF3">
            <w:pPr>
              <w:spacing w:before="100" w:beforeAutospacing="1" w:after="100" w:afterAutospacing="1"/>
              <w:jc w:val="both"/>
              <w:rPr>
                <w:rFonts w:ascii="Palatino Linotype" w:eastAsia="Palatino Linotype" w:hAnsi="Palatino Linotype" w:cs="Palatino Linotype"/>
                <w:b/>
                <w:sz w:val="16"/>
                <w:szCs w:val="16"/>
              </w:rPr>
            </w:pPr>
            <w:r w:rsidRPr="00B61DF3">
              <w:rPr>
                <w:rFonts w:ascii="Palatino Linotype" w:eastAsia="Palatino Linotype" w:hAnsi="Palatino Linotype" w:cs="Palatino Linotype"/>
                <w:b/>
                <w:sz w:val="16"/>
                <w:szCs w:val="16"/>
              </w:rPr>
              <w:t>Referencia de la información solicitada</w:t>
            </w:r>
          </w:p>
        </w:tc>
        <w:tc>
          <w:tcPr>
            <w:tcW w:w="1696" w:type="dxa"/>
            <w:vAlign w:val="center"/>
          </w:tcPr>
          <w:p w14:paraId="28FF4FE4" w14:textId="77777777" w:rsidR="005235DB" w:rsidRPr="00B61DF3" w:rsidRDefault="005235DB" w:rsidP="00B61DF3">
            <w:pPr>
              <w:spacing w:before="100" w:beforeAutospacing="1" w:after="100" w:afterAutospacing="1"/>
              <w:ind w:left="47"/>
              <w:jc w:val="both"/>
              <w:rPr>
                <w:rFonts w:ascii="Palatino Linotype" w:eastAsia="Palatino Linotype" w:hAnsi="Palatino Linotype" w:cs="Palatino Linotype"/>
                <w:b/>
              </w:rPr>
            </w:pPr>
            <w:r w:rsidRPr="00B61DF3">
              <w:rPr>
                <w:rFonts w:ascii="Palatino Linotype" w:eastAsia="Palatino Linotype" w:hAnsi="Palatino Linotype" w:cs="Palatino Linotype"/>
                <w:b/>
              </w:rPr>
              <w:t>Sí</w:t>
            </w:r>
          </w:p>
        </w:tc>
        <w:tc>
          <w:tcPr>
            <w:tcW w:w="6095" w:type="dxa"/>
            <w:vAlign w:val="center"/>
          </w:tcPr>
          <w:p w14:paraId="631B1DE8" w14:textId="77777777" w:rsidR="005235DB" w:rsidRPr="00B61DF3" w:rsidRDefault="005235DB" w:rsidP="00B61DF3">
            <w:pPr>
              <w:spacing w:before="100" w:beforeAutospacing="1" w:after="100" w:afterAutospacing="1"/>
              <w:jc w:val="both"/>
              <w:rPr>
                <w:rFonts w:ascii="Palatino Linotype" w:eastAsia="Palatino Linotype" w:hAnsi="Palatino Linotype" w:cs="Palatino Linotype"/>
                <w:b/>
              </w:rPr>
            </w:pPr>
            <w:r w:rsidRPr="00B61DF3">
              <w:rPr>
                <w:rFonts w:ascii="Palatino Linotype" w:eastAsia="Palatino Linotype" w:hAnsi="Palatino Linotype" w:cs="Palatino Linotype"/>
                <w:b/>
                <w:noProof/>
                <w:lang w:eastAsia="es-MX"/>
              </w:rPr>
              <w:drawing>
                <wp:inline distT="0" distB="0" distL="0" distR="0" wp14:anchorId="5A8B2266" wp14:editId="7DC84E16">
                  <wp:extent cx="3753023" cy="1590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676" t="28954" r="7126"/>
                          <a:stretch/>
                        </pic:blipFill>
                        <pic:spPr bwMode="auto">
                          <a:xfrm>
                            <a:off x="0" y="0"/>
                            <a:ext cx="3757313" cy="1592493"/>
                          </a:xfrm>
                          <a:prstGeom prst="rect">
                            <a:avLst/>
                          </a:prstGeom>
                          <a:ln>
                            <a:noFill/>
                          </a:ln>
                          <a:extLst>
                            <a:ext uri="{53640926-AAD7-44D8-BBD7-CCE9431645EC}">
                              <a14:shadowObscured xmlns:a14="http://schemas.microsoft.com/office/drawing/2010/main"/>
                            </a:ext>
                          </a:extLst>
                        </pic:spPr>
                      </pic:pic>
                    </a:graphicData>
                  </a:graphic>
                </wp:inline>
              </w:drawing>
            </w:r>
          </w:p>
          <w:p w14:paraId="65A8B006" w14:textId="695E1CFE" w:rsidR="005235DB" w:rsidRPr="00B61DF3" w:rsidRDefault="005235DB" w:rsidP="00B61DF3">
            <w:pPr>
              <w:spacing w:before="100" w:beforeAutospacing="1" w:after="100" w:afterAutospacing="1"/>
              <w:jc w:val="both"/>
              <w:rPr>
                <w:rFonts w:ascii="Palatino Linotype" w:eastAsia="Palatino Linotype" w:hAnsi="Palatino Linotype" w:cs="Palatino Linotype"/>
                <w:b/>
              </w:rPr>
            </w:pPr>
          </w:p>
        </w:tc>
      </w:tr>
      <w:tr w:rsidR="00B61DF3" w:rsidRPr="00B61DF3" w14:paraId="49EAE9DB" w14:textId="77777777" w:rsidTr="005235DB">
        <w:trPr>
          <w:jc w:val="center"/>
        </w:trPr>
        <w:tc>
          <w:tcPr>
            <w:tcW w:w="1535" w:type="dxa"/>
            <w:vAlign w:val="center"/>
          </w:tcPr>
          <w:p w14:paraId="266CD04A" w14:textId="77777777" w:rsidR="005235DB" w:rsidRPr="00B61DF3" w:rsidRDefault="005235DB" w:rsidP="00B61DF3">
            <w:pPr>
              <w:spacing w:before="100" w:beforeAutospacing="1" w:after="100" w:afterAutospacing="1"/>
              <w:jc w:val="both"/>
              <w:rPr>
                <w:rFonts w:ascii="Palatino Linotype" w:eastAsia="Palatino Linotype" w:hAnsi="Palatino Linotype" w:cs="Palatino Linotype"/>
                <w:b/>
                <w:sz w:val="16"/>
                <w:szCs w:val="16"/>
              </w:rPr>
            </w:pPr>
            <w:r w:rsidRPr="00B61DF3">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377F7542" w14:textId="77777777" w:rsidR="005235DB" w:rsidRPr="00B61DF3" w:rsidRDefault="005235DB" w:rsidP="00B61DF3">
            <w:pPr>
              <w:spacing w:before="100" w:beforeAutospacing="1" w:after="100" w:afterAutospacing="1"/>
              <w:ind w:left="47"/>
              <w:jc w:val="both"/>
              <w:rPr>
                <w:rFonts w:ascii="Palatino Linotype" w:eastAsia="Palatino Linotype" w:hAnsi="Palatino Linotype" w:cs="Palatino Linotype"/>
                <w:b/>
                <w:sz w:val="18"/>
              </w:rPr>
            </w:pPr>
            <w:r w:rsidRPr="00B61DF3">
              <w:rPr>
                <w:rFonts w:ascii="Palatino Linotype" w:eastAsia="Palatino Linotype" w:hAnsi="Palatino Linotype" w:cs="Palatino Linotype"/>
                <w:b/>
                <w:sz w:val="18"/>
              </w:rPr>
              <w:t>SI</w:t>
            </w:r>
          </w:p>
        </w:tc>
        <w:tc>
          <w:tcPr>
            <w:tcW w:w="6095" w:type="dxa"/>
            <w:vAlign w:val="center"/>
          </w:tcPr>
          <w:p w14:paraId="2FC23EAB" w14:textId="7AC20554" w:rsidR="005235DB" w:rsidRPr="00B61DF3" w:rsidRDefault="005235DB" w:rsidP="00B61DF3">
            <w:pPr>
              <w:spacing w:before="100" w:beforeAutospacing="1" w:after="100" w:afterAutospacing="1"/>
              <w:jc w:val="both"/>
              <w:rPr>
                <w:rFonts w:ascii="Palatino Linotype" w:eastAsia="Palatino Linotype" w:hAnsi="Palatino Linotype" w:cs="Palatino Linotype"/>
                <w:b/>
              </w:rPr>
            </w:pPr>
            <w:r w:rsidRPr="00B61DF3">
              <w:rPr>
                <w:rFonts w:ascii="Palatino Linotype" w:eastAsia="Palatino Linotype" w:hAnsi="Palatino Linotype" w:cs="Palatino Linotype"/>
                <w:b/>
                <w:noProof/>
                <w:lang w:eastAsia="es-MX"/>
              </w:rPr>
              <w:drawing>
                <wp:inline distT="0" distB="0" distL="0" distR="0" wp14:anchorId="00535B0F" wp14:editId="18D90586">
                  <wp:extent cx="3733165" cy="223139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2231390"/>
                          </a:xfrm>
                          <a:prstGeom prst="rect">
                            <a:avLst/>
                          </a:prstGeom>
                        </pic:spPr>
                      </pic:pic>
                    </a:graphicData>
                  </a:graphic>
                </wp:inline>
              </w:drawing>
            </w:r>
          </w:p>
        </w:tc>
      </w:tr>
      <w:tr w:rsidR="00B61DF3" w:rsidRPr="00B61DF3" w14:paraId="61407A58" w14:textId="77777777" w:rsidTr="005235DB">
        <w:trPr>
          <w:jc w:val="center"/>
        </w:trPr>
        <w:tc>
          <w:tcPr>
            <w:tcW w:w="1535" w:type="dxa"/>
            <w:vAlign w:val="center"/>
          </w:tcPr>
          <w:p w14:paraId="541A5830" w14:textId="77777777" w:rsidR="005235DB" w:rsidRPr="00B61DF3" w:rsidRDefault="005235DB" w:rsidP="00B61DF3">
            <w:pPr>
              <w:tabs>
                <w:tab w:val="left" w:pos="317"/>
              </w:tabs>
              <w:spacing w:before="100" w:beforeAutospacing="1" w:after="100" w:afterAutospacing="1"/>
              <w:jc w:val="both"/>
              <w:rPr>
                <w:rFonts w:ascii="Palatino Linotype" w:eastAsia="Palatino Linotype" w:hAnsi="Palatino Linotype" w:cs="Palatino Linotype"/>
                <w:b/>
                <w:sz w:val="16"/>
                <w:szCs w:val="16"/>
              </w:rPr>
            </w:pPr>
            <w:r w:rsidRPr="00B61DF3">
              <w:rPr>
                <w:rFonts w:ascii="Palatino Linotype" w:eastAsia="Palatino Linotype" w:hAnsi="Palatino Linotype" w:cs="Palatino Linotype"/>
                <w:b/>
                <w:sz w:val="16"/>
                <w:szCs w:val="16"/>
              </w:rPr>
              <w:t>Fundamento y Motivación Legal</w:t>
            </w:r>
          </w:p>
        </w:tc>
        <w:tc>
          <w:tcPr>
            <w:tcW w:w="1696" w:type="dxa"/>
            <w:vAlign w:val="center"/>
          </w:tcPr>
          <w:p w14:paraId="11B61D48" w14:textId="55506EE0" w:rsidR="005235DB" w:rsidRPr="00B61DF3" w:rsidRDefault="005235DB" w:rsidP="00B61DF3">
            <w:pPr>
              <w:spacing w:before="100" w:beforeAutospacing="1" w:after="100" w:afterAutospacing="1"/>
              <w:ind w:left="47"/>
              <w:jc w:val="both"/>
              <w:rPr>
                <w:rFonts w:ascii="Palatino Linotype" w:eastAsia="Palatino Linotype" w:hAnsi="Palatino Linotype" w:cs="Palatino Linotype"/>
                <w:b/>
              </w:rPr>
            </w:pPr>
            <w:r w:rsidRPr="00B61DF3">
              <w:rPr>
                <w:rFonts w:ascii="Palatino Linotype" w:eastAsia="Palatino Linotype" w:hAnsi="Palatino Linotype" w:cs="Palatino Linotype"/>
                <w:b/>
                <w:sz w:val="18"/>
                <w:u w:val="single"/>
              </w:rPr>
              <w:t xml:space="preserve">Parcial no se cita fundamentos de la Ley General y Local de Transparencia, por lo que es escasa la motivación. </w:t>
            </w:r>
          </w:p>
        </w:tc>
        <w:tc>
          <w:tcPr>
            <w:tcW w:w="6095" w:type="dxa"/>
            <w:vAlign w:val="center"/>
          </w:tcPr>
          <w:p w14:paraId="128DFF98" w14:textId="77777777" w:rsidR="005235DB" w:rsidRPr="00B61DF3" w:rsidRDefault="005235DB" w:rsidP="00B61DF3">
            <w:pPr>
              <w:spacing w:before="100" w:beforeAutospacing="1" w:after="100" w:afterAutospacing="1"/>
              <w:jc w:val="both"/>
              <w:rPr>
                <w:rFonts w:ascii="Palatino Linotype" w:eastAsia="Palatino Linotype" w:hAnsi="Palatino Linotype" w:cs="Palatino Linotype"/>
                <w:b/>
                <w:sz w:val="2"/>
                <w:szCs w:val="2"/>
              </w:rPr>
            </w:pPr>
          </w:p>
          <w:p w14:paraId="6C9312AD" w14:textId="6E529DE1" w:rsidR="005235DB" w:rsidRPr="00B61DF3" w:rsidRDefault="005235DB" w:rsidP="00B61DF3">
            <w:pPr>
              <w:spacing w:before="100" w:beforeAutospacing="1" w:after="100" w:afterAutospacing="1"/>
              <w:ind w:left="47"/>
              <w:jc w:val="both"/>
              <w:rPr>
                <w:rFonts w:ascii="Palatino Linotype" w:eastAsia="Palatino Linotype" w:hAnsi="Palatino Linotype" w:cs="Palatino Linotype"/>
                <w:b/>
              </w:rPr>
            </w:pPr>
            <w:r w:rsidRPr="00B61DF3">
              <w:rPr>
                <w:rFonts w:ascii="Palatino Linotype" w:eastAsia="Palatino Linotype" w:hAnsi="Palatino Linotype" w:cs="Palatino Linotype"/>
                <w:b/>
                <w:noProof/>
                <w:lang w:eastAsia="es-MX"/>
              </w:rPr>
              <w:drawing>
                <wp:inline distT="0" distB="0" distL="0" distR="0" wp14:anchorId="727FA9EF" wp14:editId="26A736ED">
                  <wp:extent cx="3733165" cy="1292225"/>
                  <wp:effectExtent l="0" t="0" r="63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292225"/>
                          </a:xfrm>
                          <a:prstGeom prst="rect">
                            <a:avLst/>
                          </a:prstGeom>
                        </pic:spPr>
                      </pic:pic>
                    </a:graphicData>
                  </a:graphic>
                </wp:inline>
              </w:drawing>
            </w:r>
          </w:p>
        </w:tc>
      </w:tr>
      <w:tr w:rsidR="00B61DF3" w:rsidRPr="00B61DF3" w14:paraId="331F9F51" w14:textId="77777777" w:rsidTr="005235DB">
        <w:trPr>
          <w:jc w:val="center"/>
        </w:trPr>
        <w:tc>
          <w:tcPr>
            <w:tcW w:w="1535" w:type="dxa"/>
            <w:vAlign w:val="center"/>
          </w:tcPr>
          <w:p w14:paraId="01A279C9" w14:textId="77777777" w:rsidR="005235DB" w:rsidRPr="00B61DF3" w:rsidRDefault="005235DB" w:rsidP="00B61DF3">
            <w:pPr>
              <w:spacing w:before="100" w:beforeAutospacing="1" w:after="100" w:afterAutospacing="1"/>
              <w:jc w:val="both"/>
              <w:rPr>
                <w:rFonts w:ascii="Palatino Linotype" w:eastAsia="Palatino Linotype" w:hAnsi="Palatino Linotype" w:cs="Palatino Linotype"/>
                <w:b/>
                <w:sz w:val="16"/>
                <w:szCs w:val="16"/>
              </w:rPr>
            </w:pPr>
            <w:r w:rsidRPr="00B61DF3">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5126B224" w14:textId="55B5CDE0" w:rsidR="005235DB" w:rsidRPr="00B61DF3" w:rsidRDefault="00D418F0" w:rsidP="00B61DF3">
            <w:pPr>
              <w:spacing w:before="100" w:beforeAutospacing="1" w:after="100" w:afterAutospacing="1"/>
              <w:ind w:left="47"/>
              <w:jc w:val="both"/>
              <w:rPr>
                <w:rFonts w:ascii="Palatino Linotype" w:eastAsia="Palatino Linotype" w:hAnsi="Palatino Linotype" w:cs="Palatino Linotype"/>
                <w:b/>
              </w:rPr>
            </w:pPr>
            <w:r w:rsidRPr="00B61DF3">
              <w:rPr>
                <w:rFonts w:ascii="Palatino Linotype" w:eastAsia="Palatino Linotype" w:hAnsi="Palatino Linotype" w:cs="Palatino Linotype"/>
                <w:b/>
              </w:rPr>
              <w:t>SI</w:t>
            </w:r>
            <w:r w:rsidR="005235DB" w:rsidRPr="00B61DF3">
              <w:rPr>
                <w:rFonts w:ascii="Palatino Linotype" w:eastAsia="Palatino Linotype" w:hAnsi="Palatino Linotype" w:cs="Palatino Linotype"/>
                <w:b/>
              </w:rPr>
              <w:t xml:space="preserve"> </w:t>
            </w:r>
          </w:p>
        </w:tc>
        <w:tc>
          <w:tcPr>
            <w:tcW w:w="6095" w:type="dxa"/>
            <w:vAlign w:val="center"/>
          </w:tcPr>
          <w:p w14:paraId="63B85EF4" w14:textId="11EAB044" w:rsidR="005235DB" w:rsidRPr="00B61DF3" w:rsidRDefault="00D418F0" w:rsidP="00B61DF3">
            <w:pPr>
              <w:pBdr>
                <w:top w:val="nil"/>
                <w:left w:val="nil"/>
                <w:bottom w:val="nil"/>
                <w:right w:val="nil"/>
                <w:between w:val="nil"/>
              </w:pBdr>
              <w:spacing w:before="100" w:beforeAutospacing="1" w:after="100" w:afterAutospacing="1"/>
              <w:ind w:left="29" w:firstLine="18"/>
              <w:jc w:val="both"/>
            </w:pPr>
            <w:r w:rsidRPr="00B61DF3">
              <w:rPr>
                <w:noProof/>
                <w:lang w:eastAsia="es-MX"/>
              </w:rPr>
              <w:drawing>
                <wp:inline distT="0" distB="0" distL="0" distR="0" wp14:anchorId="2E01DF3F" wp14:editId="18DE3454">
                  <wp:extent cx="3733165" cy="59753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597535"/>
                          </a:xfrm>
                          <a:prstGeom prst="rect">
                            <a:avLst/>
                          </a:prstGeom>
                        </pic:spPr>
                      </pic:pic>
                    </a:graphicData>
                  </a:graphic>
                </wp:inline>
              </w:drawing>
            </w:r>
          </w:p>
        </w:tc>
      </w:tr>
      <w:tr w:rsidR="00B61DF3" w:rsidRPr="00B61DF3" w14:paraId="4482B2CD" w14:textId="77777777" w:rsidTr="005235DB">
        <w:trPr>
          <w:jc w:val="center"/>
        </w:trPr>
        <w:tc>
          <w:tcPr>
            <w:tcW w:w="9326" w:type="dxa"/>
            <w:gridSpan w:val="3"/>
            <w:shd w:val="clear" w:color="auto" w:fill="D9D9D9"/>
            <w:vAlign w:val="center"/>
          </w:tcPr>
          <w:p w14:paraId="5F2FB6BF" w14:textId="77777777" w:rsidR="005235DB" w:rsidRPr="00B61DF3" w:rsidRDefault="005235DB" w:rsidP="00B61DF3">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B61DF3">
              <w:rPr>
                <w:rFonts w:ascii="Palatino Linotype" w:eastAsia="Palatino Linotype" w:hAnsi="Palatino Linotype" w:cs="Palatino Linotype"/>
                <w:b/>
              </w:rPr>
              <w:t>Prueba de Daño</w:t>
            </w:r>
          </w:p>
        </w:tc>
      </w:tr>
      <w:tr w:rsidR="00B61DF3" w:rsidRPr="00B61DF3" w14:paraId="2E6925C0" w14:textId="77777777" w:rsidTr="005235DB">
        <w:trPr>
          <w:jc w:val="center"/>
        </w:trPr>
        <w:tc>
          <w:tcPr>
            <w:tcW w:w="1535" w:type="dxa"/>
            <w:vAlign w:val="center"/>
          </w:tcPr>
          <w:p w14:paraId="65122E26" w14:textId="77777777" w:rsidR="005235DB" w:rsidRPr="00B61DF3" w:rsidRDefault="005235DB" w:rsidP="00B61DF3">
            <w:pPr>
              <w:spacing w:before="100" w:beforeAutospacing="1" w:after="100" w:afterAutospacing="1"/>
              <w:jc w:val="both"/>
              <w:rPr>
                <w:rFonts w:ascii="Palatino Linotype" w:eastAsia="Palatino Linotype" w:hAnsi="Palatino Linotype" w:cs="Palatino Linotype"/>
                <w:b/>
                <w:sz w:val="16"/>
                <w:szCs w:val="16"/>
              </w:rPr>
            </w:pPr>
            <w:r w:rsidRPr="00B61DF3">
              <w:rPr>
                <w:rFonts w:ascii="Palatino Linotype" w:eastAsia="Palatino Linotype" w:hAnsi="Palatino Linotype" w:cs="Palatino Linotype"/>
                <w:b/>
                <w:sz w:val="16"/>
                <w:szCs w:val="16"/>
              </w:rPr>
              <w:t>Riesgo Real, Demostrable e Identificable</w:t>
            </w:r>
          </w:p>
          <w:p w14:paraId="0581532E" w14:textId="77777777" w:rsidR="005235DB" w:rsidRPr="00B61DF3" w:rsidRDefault="005235DB" w:rsidP="00B61DF3">
            <w:pPr>
              <w:spacing w:before="100" w:beforeAutospacing="1" w:after="100" w:afterAutospacing="1"/>
              <w:jc w:val="both"/>
              <w:rPr>
                <w:rFonts w:ascii="Palatino Linotype" w:eastAsia="Palatino Linotype" w:hAnsi="Palatino Linotype" w:cs="Palatino Linotype"/>
                <w:b/>
                <w:sz w:val="16"/>
                <w:szCs w:val="16"/>
              </w:rPr>
            </w:pPr>
            <w:r w:rsidRPr="00B61DF3">
              <w:rPr>
                <w:rFonts w:ascii="Palatino Linotype" w:eastAsia="Palatino Linotype" w:hAnsi="Palatino Linotype" w:cs="Palatino Linotype"/>
                <w:b/>
                <w:sz w:val="16"/>
                <w:szCs w:val="16"/>
              </w:rPr>
              <w:t>(Modo, Tiempo y Lugar)</w:t>
            </w:r>
          </w:p>
        </w:tc>
        <w:tc>
          <w:tcPr>
            <w:tcW w:w="1696" w:type="dxa"/>
            <w:vAlign w:val="center"/>
          </w:tcPr>
          <w:p w14:paraId="4D60CA5A" w14:textId="77777777" w:rsidR="005235DB" w:rsidRPr="00B61DF3" w:rsidRDefault="005235DB" w:rsidP="00B61DF3">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b/>
              </w:rPr>
            </w:pPr>
            <w:r w:rsidRPr="00B61DF3">
              <w:rPr>
                <w:rFonts w:ascii="Palatino Linotype" w:eastAsia="Palatino Linotype" w:hAnsi="Palatino Linotype" w:cs="Palatino Linotype"/>
                <w:b/>
              </w:rPr>
              <w:t>SI</w:t>
            </w:r>
          </w:p>
        </w:tc>
        <w:tc>
          <w:tcPr>
            <w:tcW w:w="6095" w:type="dxa"/>
            <w:vAlign w:val="center"/>
          </w:tcPr>
          <w:p w14:paraId="153FB2D8" w14:textId="1218288E" w:rsidR="005235DB" w:rsidRPr="00B61DF3" w:rsidRDefault="00777D58" w:rsidP="00B61DF3">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B61DF3">
              <w:rPr>
                <w:rFonts w:ascii="Palatino Linotype" w:eastAsia="Palatino Linotype" w:hAnsi="Palatino Linotype" w:cs="Palatino Linotype"/>
                <w:noProof/>
                <w:lang w:eastAsia="es-MX"/>
              </w:rPr>
              <w:drawing>
                <wp:inline distT="0" distB="0" distL="0" distR="0" wp14:anchorId="43D87BF2" wp14:editId="6317BAC5">
                  <wp:extent cx="3733165" cy="230505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2305050"/>
                          </a:xfrm>
                          <a:prstGeom prst="rect">
                            <a:avLst/>
                          </a:prstGeom>
                        </pic:spPr>
                      </pic:pic>
                    </a:graphicData>
                  </a:graphic>
                </wp:inline>
              </w:drawing>
            </w:r>
          </w:p>
          <w:p w14:paraId="47BCBB45" w14:textId="4C048A0B" w:rsidR="005235DB" w:rsidRPr="00B61DF3" w:rsidRDefault="00777D58" w:rsidP="00B61DF3">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B61DF3">
              <w:rPr>
                <w:rFonts w:ascii="Palatino Linotype" w:eastAsia="Palatino Linotype" w:hAnsi="Palatino Linotype" w:cs="Palatino Linotype"/>
                <w:noProof/>
                <w:lang w:eastAsia="es-MX"/>
              </w:rPr>
              <w:drawing>
                <wp:inline distT="0" distB="0" distL="0" distR="0" wp14:anchorId="65309864" wp14:editId="145330B6">
                  <wp:extent cx="3733165" cy="2847975"/>
                  <wp:effectExtent l="0" t="0" r="63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847975"/>
                          </a:xfrm>
                          <a:prstGeom prst="rect">
                            <a:avLst/>
                          </a:prstGeom>
                        </pic:spPr>
                      </pic:pic>
                    </a:graphicData>
                  </a:graphic>
                </wp:inline>
              </w:drawing>
            </w:r>
          </w:p>
        </w:tc>
      </w:tr>
      <w:tr w:rsidR="00B61DF3" w:rsidRPr="00B61DF3" w14:paraId="2EF5417D" w14:textId="77777777" w:rsidTr="005235DB">
        <w:trPr>
          <w:jc w:val="center"/>
        </w:trPr>
        <w:tc>
          <w:tcPr>
            <w:tcW w:w="1535" w:type="dxa"/>
            <w:vAlign w:val="center"/>
          </w:tcPr>
          <w:p w14:paraId="12DA0EDE" w14:textId="77777777" w:rsidR="005235DB" w:rsidRPr="00B61DF3" w:rsidRDefault="005235DB" w:rsidP="00B61DF3">
            <w:pPr>
              <w:spacing w:before="100" w:beforeAutospacing="1" w:after="100" w:afterAutospacing="1"/>
              <w:jc w:val="both"/>
              <w:rPr>
                <w:rFonts w:ascii="Palatino Linotype" w:eastAsia="Palatino Linotype" w:hAnsi="Palatino Linotype" w:cs="Palatino Linotype"/>
                <w:b/>
                <w:sz w:val="16"/>
                <w:szCs w:val="16"/>
              </w:rPr>
            </w:pPr>
            <w:r w:rsidRPr="00B61DF3">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52792580" w14:textId="77777777" w:rsidR="005235DB" w:rsidRPr="00B61DF3" w:rsidRDefault="005235DB" w:rsidP="00B61DF3">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b/>
              </w:rPr>
            </w:pPr>
            <w:r w:rsidRPr="00B61DF3">
              <w:rPr>
                <w:rFonts w:ascii="Palatino Linotype" w:eastAsia="Palatino Linotype" w:hAnsi="Palatino Linotype" w:cs="Palatino Linotype"/>
                <w:b/>
              </w:rPr>
              <w:t>SI</w:t>
            </w:r>
          </w:p>
        </w:tc>
        <w:tc>
          <w:tcPr>
            <w:tcW w:w="6095" w:type="dxa"/>
            <w:vAlign w:val="center"/>
          </w:tcPr>
          <w:p w14:paraId="0CA08AF3" w14:textId="4DC70AAC" w:rsidR="005235DB" w:rsidRPr="00B61DF3" w:rsidRDefault="00777D58" w:rsidP="00B61DF3">
            <w:pPr>
              <w:pBdr>
                <w:top w:val="nil"/>
                <w:left w:val="nil"/>
                <w:bottom w:val="nil"/>
                <w:right w:val="nil"/>
                <w:between w:val="nil"/>
              </w:pBdr>
              <w:spacing w:before="100" w:beforeAutospacing="1" w:after="100" w:afterAutospacing="1"/>
              <w:ind w:left="29" w:firstLine="18"/>
              <w:jc w:val="both"/>
            </w:pPr>
            <w:r w:rsidRPr="00B61DF3">
              <w:rPr>
                <w:noProof/>
                <w:lang w:eastAsia="es-MX"/>
              </w:rPr>
              <w:drawing>
                <wp:inline distT="0" distB="0" distL="0" distR="0" wp14:anchorId="67F152BB" wp14:editId="2FFFBF81">
                  <wp:extent cx="3733165" cy="1253490"/>
                  <wp:effectExtent l="0" t="0" r="63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1253490"/>
                          </a:xfrm>
                          <a:prstGeom prst="rect">
                            <a:avLst/>
                          </a:prstGeom>
                        </pic:spPr>
                      </pic:pic>
                    </a:graphicData>
                  </a:graphic>
                </wp:inline>
              </w:drawing>
            </w:r>
          </w:p>
          <w:p w14:paraId="05FF51E4" w14:textId="77777777" w:rsidR="005235DB" w:rsidRPr="00B61DF3" w:rsidRDefault="005235DB" w:rsidP="00B61DF3">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p>
        </w:tc>
      </w:tr>
      <w:tr w:rsidR="00B61DF3" w:rsidRPr="00B61DF3" w14:paraId="6A6FB778" w14:textId="77777777" w:rsidTr="005235DB">
        <w:trPr>
          <w:trHeight w:val="3517"/>
          <w:jc w:val="center"/>
        </w:trPr>
        <w:tc>
          <w:tcPr>
            <w:tcW w:w="1535" w:type="dxa"/>
            <w:vAlign w:val="center"/>
          </w:tcPr>
          <w:p w14:paraId="11DE31F4" w14:textId="77777777" w:rsidR="005235DB" w:rsidRPr="00B61DF3" w:rsidRDefault="005235DB" w:rsidP="00B61DF3">
            <w:pPr>
              <w:tabs>
                <w:tab w:val="left" w:pos="317"/>
              </w:tabs>
              <w:spacing w:before="100" w:beforeAutospacing="1" w:after="100" w:afterAutospacing="1"/>
              <w:jc w:val="both"/>
              <w:rPr>
                <w:rFonts w:ascii="Palatino Linotype" w:eastAsia="Palatino Linotype" w:hAnsi="Palatino Linotype" w:cs="Palatino Linotype"/>
                <w:b/>
                <w:sz w:val="16"/>
                <w:szCs w:val="16"/>
              </w:rPr>
            </w:pPr>
            <w:r w:rsidRPr="00B61DF3">
              <w:rPr>
                <w:rFonts w:ascii="Palatino Linotype" w:eastAsia="Palatino Linotype" w:hAnsi="Palatino Linotype" w:cs="Palatino Linotype"/>
                <w:b/>
                <w:sz w:val="16"/>
                <w:szCs w:val="16"/>
              </w:rPr>
              <w:t>Autoridades competentes.</w:t>
            </w:r>
          </w:p>
        </w:tc>
        <w:tc>
          <w:tcPr>
            <w:tcW w:w="1696" w:type="dxa"/>
            <w:vAlign w:val="center"/>
          </w:tcPr>
          <w:p w14:paraId="142F1371" w14:textId="77777777" w:rsidR="005235DB" w:rsidRPr="00B61DF3" w:rsidRDefault="005235DB" w:rsidP="00B61DF3">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b/>
              </w:rPr>
            </w:pPr>
            <w:r w:rsidRPr="00B61DF3">
              <w:rPr>
                <w:rFonts w:ascii="Palatino Linotype" w:eastAsia="Palatino Linotype" w:hAnsi="Palatino Linotype" w:cs="Palatino Linotype"/>
                <w:b/>
              </w:rPr>
              <w:t>Sí</w:t>
            </w:r>
          </w:p>
        </w:tc>
        <w:tc>
          <w:tcPr>
            <w:tcW w:w="6095" w:type="dxa"/>
          </w:tcPr>
          <w:p w14:paraId="6D09998F" w14:textId="77777777" w:rsidR="005235DB" w:rsidRPr="00B61DF3" w:rsidRDefault="005235DB" w:rsidP="00B61DF3">
            <w:pPr>
              <w:spacing w:before="100" w:beforeAutospacing="1" w:after="100" w:afterAutospacing="1"/>
              <w:jc w:val="both"/>
            </w:pPr>
          </w:p>
          <w:p w14:paraId="2454F60B" w14:textId="0B2E7B0C" w:rsidR="005235DB" w:rsidRPr="00B61DF3" w:rsidRDefault="00623A65" w:rsidP="00B61DF3">
            <w:pPr>
              <w:spacing w:before="100" w:beforeAutospacing="1" w:after="100" w:afterAutospacing="1"/>
              <w:jc w:val="both"/>
            </w:pPr>
            <w:r w:rsidRPr="00B61DF3">
              <w:rPr>
                <w:noProof/>
                <w:lang w:eastAsia="es-MX"/>
              </w:rPr>
              <w:drawing>
                <wp:inline distT="0" distB="0" distL="0" distR="0" wp14:anchorId="1133325C" wp14:editId="741FB355">
                  <wp:extent cx="3733165" cy="2359660"/>
                  <wp:effectExtent l="0" t="0" r="63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2359660"/>
                          </a:xfrm>
                          <a:prstGeom prst="rect">
                            <a:avLst/>
                          </a:prstGeom>
                        </pic:spPr>
                      </pic:pic>
                    </a:graphicData>
                  </a:graphic>
                </wp:inline>
              </w:drawing>
            </w:r>
          </w:p>
        </w:tc>
      </w:tr>
    </w:tbl>
    <w:p w14:paraId="17E9CA96" w14:textId="3F483A32" w:rsidR="0008429C" w:rsidRPr="00B61DF3" w:rsidRDefault="00623A65" w:rsidP="00B61DF3">
      <w:pPr>
        <w:spacing w:before="100" w:beforeAutospacing="1" w:after="100" w:afterAutospacing="1" w:line="360" w:lineRule="auto"/>
        <w:jc w:val="both"/>
        <w:rPr>
          <w:rFonts w:ascii="Palatino Linotype" w:hAnsi="Palatino Linotype"/>
        </w:rPr>
      </w:pPr>
      <w:r w:rsidRPr="00B61DF3">
        <w:rPr>
          <w:rFonts w:ascii="Palatino Linotype" w:hAnsi="Palatino Linotype"/>
        </w:rPr>
        <w:t>Una vez hecho el</w:t>
      </w:r>
      <w:r w:rsidR="0008429C" w:rsidRPr="00B61DF3">
        <w:rPr>
          <w:rFonts w:ascii="Palatino Linotype" w:hAnsi="Palatino Linotype"/>
        </w:rPr>
        <w:t xml:space="preserve"> anterior</w:t>
      </w:r>
      <w:r w:rsidRPr="00B61DF3">
        <w:rPr>
          <w:rFonts w:ascii="Palatino Linotype" w:hAnsi="Palatino Linotype"/>
        </w:rPr>
        <w:t xml:space="preserve"> análisis</w:t>
      </w:r>
      <w:r w:rsidR="00764A4C" w:rsidRPr="00B61DF3">
        <w:rPr>
          <w:rFonts w:ascii="Palatino Linotype" w:hAnsi="Palatino Linotype"/>
        </w:rPr>
        <w:t xml:space="preserve">, este Órgano Garante </w:t>
      </w:r>
      <w:r w:rsidR="0008429C" w:rsidRPr="00B61DF3">
        <w:rPr>
          <w:rFonts w:ascii="Palatino Linotype" w:hAnsi="Palatino Linotype"/>
        </w:rPr>
        <w:t xml:space="preserve">tuvo a bien </w:t>
      </w:r>
      <w:r w:rsidRPr="00B61DF3">
        <w:rPr>
          <w:rFonts w:ascii="Palatino Linotype" w:hAnsi="Palatino Linotype"/>
        </w:rPr>
        <w:t>determinar</w:t>
      </w:r>
      <w:r w:rsidR="0008429C" w:rsidRPr="00B61DF3">
        <w:rPr>
          <w:rFonts w:ascii="Palatino Linotype" w:hAnsi="Palatino Linotype"/>
        </w:rPr>
        <w:t xml:space="preserve"> </w:t>
      </w:r>
      <w:r w:rsidRPr="00B61DF3">
        <w:rPr>
          <w:rFonts w:ascii="Palatino Linotype" w:hAnsi="Palatino Linotype"/>
        </w:rPr>
        <w:t xml:space="preserve">que </w:t>
      </w:r>
      <w:r w:rsidR="0008429C" w:rsidRPr="00B61DF3">
        <w:rPr>
          <w:rFonts w:ascii="Palatino Linotype" w:hAnsi="Palatino Linotype"/>
        </w:rPr>
        <w:t xml:space="preserve">el acuerdo de clasificación remitido en respuesta del cual se puede advertir que el Comité de Transparencia fue omiso en fundar y motivar adecuadamente dicho acuerdo; en razón de ello, conviene destacar que dicho comité </w:t>
      </w:r>
      <w:r w:rsidR="00532840" w:rsidRPr="00B61DF3">
        <w:rPr>
          <w:rFonts w:ascii="Palatino Linotype" w:hAnsi="Palatino Linotype"/>
        </w:rPr>
        <w:t xml:space="preserve">no existen una correlación </w:t>
      </w:r>
      <w:r w:rsidR="00A33129" w:rsidRPr="00B61DF3">
        <w:rPr>
          <w:rFonts w:ascii="Palatino Linotype" w:hAnsi="Palatino Linotype"/>
        </w:rPr>
        <w:t>entre la Ley General de Transparencia y Acceso a la Información Pública, la Ley de Transparencia y Acceso a la Información Pública del Estado de México y Municipio y los Lineamientos generales en materia de clasificación y desclasificación de la información, así como para la elaboración de versiones públicas</w:t>
      </w:r>
      <w:r w:rsidR="007D30D0" w:rsidRPr="00B61DF3">
        <w:rPr>
          <w:rFonts w:ascii="Palatino Linotype" w:hAnsi="Palatino Linotype"/>
        </w:rPr>
        <w:t>,</w:t>
      </w:r>
      <w:r w:rsidR="00A33129" w:rsidRPr="00B61DF3">
        <w:rPr>
          <w:rFonts w:ascii="Palatino Linotype" w:hAnsi="Palatino Linotype"/>
        </w:rPr>
        <w:t xml:space="preserve"> para ellos se insertan las siguientes imágenes:</w:t>
      </w:r>
    </w:p>
    <w:p w14:paraId="47C76568" w14:textId="1FAACE6B" w:rsidR="00A33129" w:rsidRPr="00B61DF3" w:rsidRDefault="00142966" w:rsidP="00B61DF3">
      <w:pPr>
        <w:spacing w:before="100" w:beforeAutospacing="1" w:after="100" w:afterAutospacing="1" w:line="360" w:lineRule="auto"/>
        <w:jc w:val="center"/>
        <w:rPr>
          <w:noProof/>
        </w:rPr>
      </w:pPr>
      <w:r w:rsidRPr="00B61DF3">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6BD9FD5" wp14:editId="1C48FCDE">
                <wp:simplePos x="0" y="0"/>
                <wp:positionH relativeFrom="column">
                  <wp:posOffset>289331</wp:posOffset>
                </wp:positionH>
                <wp:positionV relativeFrom="paragraph">
                  <wp:posOffset>1810741</wp:posOffset>
                </wp:positionV>
                <wp:extent cx="3773120" cy="0"/>
                <wp:effectExtent l="38100" t="38100" r="75565" b="95250"/>
                <wp:wrapNone/>
                <wp:docPr id="691425684" name="Conector recto 5"/>
                <wp:cNvGraphicFramePr/>
                <a:graphic xmlns:a="http://schemas.openxmlformats.org/drawingml/2006/main">
                  <a:graphicData uri="http://schemas.microsoft.com/office/word/2010/wordprocessingShape">
                    <wps:wsp>
                      <wps:cNvCnPr/>
                      <wps:spPr>
                        <a:xfrm>
                          <a:off x="0" y="0"/>
                          <a:ext cx="377312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0941A588"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8pt,142.6pt" to="319.9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7DC7702" wp14:editId="3719A338">
                <wp:simplePos x="0" y="0"/>
                <wp:positionH relativeFrom="column">
                  <wp:posOffset>287806</wp:posOffset>
                </wp:positionH>
                <wp:positionV relativeFrom="paragraph">
                  <wp:posOffset>1642491</wp:posOffset>
                </wp:positionV>
                <wp:extent cx="5296383" cy="0"/>
                <wp:effectExtent l="38100" t="38100" r="76200" b="95250"/>
                <wp:wrapNone/>
                <wp:docPr id="2034001719" name="Conector recto 4"/>
                <wp:cNvGraphicFramePr/>
                <a:graphic xmlns:a="http://schemas.openxmlformats.org/drawingml/2006/main">
                  <a:graphicData uri="http://schemas.microsoft.com/office/word/2010/wordprocessingShape">
                    <wps:wsp>
                      <wps:cNvCnPr/>
                      <wps:spPr>
                        <a:xfrm>
                          <a:off x="0" y="0"/>
                          <a:ext cx="5296383"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57598F80" id="Conector recto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65pt,129.35pt" to="439.7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8D600CF" wp14:editId="6D977BA0">
                <wp:simplePos x="0" y="0"/>
                <wp:positionH relativeFrom="column">
                  <wp:posOffset>903808</wp:posOffset>
                </wp:positionH>
                <wp:positionV relativeFrom="paragraph">
                  <wp:posOffset>1496187</wp:posOffset>
                </wp:positionV>
                <wp:extent cx="4593590" cy="0"/>
                <wp:effectExtent l="38100" t="38100" r="73660" b="95250"/>
                <wp:wrapNone/>
                <wp:docPr id="1138524612" name="Conector recto 3"/>
                <wp:cNvGraphicFramePr/>
                <a:graphic xmlns:a="http://schemas.openxmlformats.org/drawingml/2006/main">
                  <a:graphicData uri="http://schemas.microsoft.com/office/word/2010/wordprocessingShape">
                    <wps:wsp>
                      <wps:cNvCnPr/>
                      <wps:spPr>
                        <a:xfrm>
                          <a:off x="0" y="0"/>
                          <a:ext cx="459359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679BB3A1"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1.15pt,117.8pt" to="432.8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A9AA146" wp14:editId="676E929F">
                <wp:simplePos x="0" y="0"/>
                <wp:positionH relativeFrom="column">
                  <wp:posOffset>902284</wp:posOffset>
                </wp:positionH>
                <wp:positionV relativeFrom="paragraph">
                  <wp:posOffset>1342568</wp:posOffset>
                </wp:positionV>
                <wp:extent cx="4593946" cy="0"/>
                <wp:effectExtent l="38100" t="76200" r="35560" b="133350"/>
                <wp:wrapNone/>
                <wp:docPr id="1590643075" name="Conector recto de flecha 2"/>
                <wp:cNvGraphicFramePr/>
                <a:graphic xmlns:a="http://schemas.openxmlformats.org/drawingml/2006/main">
                  <a:graphicData uri="http://schemas.microsoft.com/office/word/2010/wordprocessingShape">
                    <wps:wsp>
                      <wps:cNvCnPr/>
                      <wps:spPr>
                        <a:xfrm>
                          <a:off x="0" y="0"/>
                          <a:ext cx="4593946"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7B881104" id="_x0000_t32" coordsize="21600,21600" o:spt="32" o:oned="t" path="m,l21600,21600e" filled="f">
                <v:path arrowok="t" fillok="f" o:connecttype="none"/>
                <o:lock v:ext="edit" shapetype="t"/>
              </v:shapetype>
              <v:shape id="Conector recto de flecha 2" o:spid="_x0000_s1026" type="#_x0000_t32" style="position:absolute;margin-left:71.05pt;margin-top:105.7pt;width:361.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" strokecolor="#c0504d [3205]" strokeweight="2pt">
                <v:stroke endarrow="block"/>
                <v:shadow on="t" color="black" opacity="24903f" origin=",.5" offset="0,.55556mm"/>
              </v:shape>
            </w:pict>
          </mc:Fallback>
        </mc:AlternateContent>
      </w:r>
      <w:r w:rsidR="00A33129" w:rsidRPr="00B61DF3">
        <w:rPr>
          <w:rFonts w:ascii="Palatino Linotype" w:hAnsi="Palatino Linotype"/>
          <w:noProof/>
          <w:lang w:eastAsia="es-MX"/>
        </w:rPr>
        <w:drawing>
          <wp:inline distT="0" distB="0" distL="0" distR="0" wp14:anchorId="68E70006" wp14:editId="6FE52512">
            <wp:extent cx="5384739" cy="3240634"/>
            <wp:effectExtent l="0" t="0" r="6985" b="0"/>
            <wp:docPr id="2067610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10710" name=""/>
                    <pic:cNvPicPr/>
                  </pic:nvPicPr>
                  <pic:blipFill>
                    <a:blip r:embed="rId22"/>
                    <a:stretch>
                      <a:fillRect/>
                    </a:stretch>
                  </pic:blipFill>
                  <pic:spPr>
                    <a:xfrm>
                      <a:off x="0" y="0"/>
                      <a:ext cx="5390526" cy="3244116"/>
                    </a:xfrm>
                    <a:prstGeom prst="rect">
                      <a:avLst/>
                    </a:prstGeom>
                  </pic:spPr>
                </pic:pic>
              </a:graphicData>
            </a:graphic>
          </wp:inline>
        </w:drawing>
      </w:r>
      <w:r w:rsidR="00A33129" w:rsidRPr="00B61DF3">
        <w:rPr>
          <w:noProof/>
        </w:rPr>
        <w:t xml:space="preserve"> </w:t>
      </w:r>
    </w:p>
    <w:p w14:paraId="752AB03B" w14:textId="11DB7967" w:rsidR="00A33129" w:rsidRPr="00B61DF3" w:rsidRDefault="00142966" w:rsidP="00B61DF3">
      <w:pPr>
        <w:spacing w:before="100" w:beforeAutospacing="1" w:after="100" w:afterAutospacing="1" w:line="360" w:lineRule="auto"/>
        <w:jc w:val="center"/>
        <w:rPr>
          <w:rFonts w:ascii="Palatino Linotype" w:hAnsi="Palatino Linotype"/>
        </w:rPr>
      </w:pPr>
      <w:r w:rsidRPr="00B61DF3">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239779DC" wp14:editId="145A33F4">
                <wp:simplePos x="0" y="0"/>
                <wp:positionH relativeFrom="column">
                  <wp:posOffset>340538</wp:posOffset>
                </wp:positionH>
                <wp:positionV relativeFrom="paragraph">
                  <wp:posOffset>952779</wp:posOffset>
                </wp:positionV>
                <wp:extent cx="2683154" cy="0"/>
                <wp:effectExtent l="38100" t="38100" r="60325" b="95250"/>
                <wp:wrapNone/>
                <wp:docPr id="819137119" name="Conector recto 12"/>
                <wp:cNvGraphicFramePr/>
                <a:graphic xmlns:a="http://schemas.openxmlformats.org/drawingml/2006/main">
                  <a:graphicData uri="http://schemas.microsoft.com/office/word/2010/wordprocessingShape">
                    <wps:wsp>
                      <wps:cNvCnPr/>
                      <wps:spPr>
                        <a:xfrm>
                          <a:off x="0" y="0"/>
                          <a:ext cx="2683154"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3C90F177" id="Conector recto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8pt,75pt" to="23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23A1F7DE" wp14:editId="6387D4B5">
                <wp:simplePos x="0" y="0"/>
                <wp:positionH relativeFrom="column">
                  <wp:posOffset>5349926</wp:posOffset>
                </wp:positionH>
                <wp:positionV relativeFrom="paragraph">
                  <wp:posOffset>769899</wp:posOffset>
                </wp:positionV>
                <wp:extent cx="111023" cy="0"/>
                <wp:effectExtent l="38100" t="38100" r="60960" b="95250"/>
                <wp:wrapNone/>
                <wp:docPr id="1315052953" name="Conector recto 11"/>
                <wp:cNvGraphicFramePr/>
                <a:graphic xmlns:a="http://schemas.openxmlformats.org/drawingml/2006/main">
                  <a:graphicData uri="http://schemas.microsoft.com/office/word/2010/wordprocessingShape">
                    <wps:wsp>
                      <wps:cNvCnPr/>
                      <wps:spPr>
                        <a:xfrm>
                          <a:off x="0" y="0"/>
                          <a:ext cx="11102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0BF39F96" id="Conector recto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21.25pt,60.6pt" to="430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" strokecolor="black [3200]"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2474BE71" wp14:editId="6CF7FF04">
                <wp:simplePos x="0" y="0"/>
                <wp:positionH relativeFrom="column">
                  <wp:posOffset>287401</wp:posOffset>
                </wp:positionH>
                <wp:positionV relativeFrom="paragraph">
                  <wp:posOffset>676199</wp:posOffset>
                </wp:positionV>
                <wp:extent cx="5209286" cy="0"/>
                <wp:effectExtent l="38100" t="38100" r="67945" b="95250"/>
                <wp:wrapNone/>
                <wp:docPr id="1767260364" name="Conector recto 9"/>
                <wp:cNvGraphicFramePr/>
                <a:graphic xmlns:a="http://schemas.openxmlformats.org/drawingml/2006/main">
                  <a:graphicData uri="http://schemas.microsoft.com/office/word/2010/wordprocessingShape">
                    <wps:wsp>
                      <wps:cNvCnPr/>
                      <wps:spPr>
                        <a:xfrm>
                          <a:off x="0" y="0"/>
                          <a:ext cx="5209286"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1E8957A3" id="Conector recto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65pt,53.25pt" to="432.8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3098D043" wp14:editId="00FF1F70">
                <wp:simplePos x="0" y="0"/>
                <wp:positionH relativeFrom="column">
                  <wp:posOffset>339013</wp:posOffset>
                </wp:positionH>
                <wp:positionV relativeFrom="paragraph">
                  <wp:posOffset>813791</wp:posOffset>
                </wp:positionV>
                <wp:extent cx="2457907" cy="0"/>
                <wp:effectExtent l="38100" t="38100" r="76200" b="95250"/>
                <wp:wrapNone/>
                <wp:docPr id="1659882870" name="Conector recto 10"/>
                <wp:cNvGraphicFramePr/>
                <a:graphic xmlns:a="http://schemas.openxmlformats.org/drawingml/2006/main">
                  <a:graphicData uri="http://schemas.microsoft.com/office/word/2010/wordprocessingShape">
                    <wps:wsp>
                      <wps:cNvCnPr/>
                      <wps:spPr>
                        <a:xfrm>
                          <a:off x="0" y="0"/>
                          <a:ext cx="2457907"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105CE688" id="Conector recto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7pt,64.1pt" to="220.2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4AD28138" wp14:editId="5665BD37">
                <wp:simplePos x="0" y="0"/>
                <wp:positionH relativeFrom="column">
                  <wp:posOffset>289331</wp:posOffset>
                </wp:positionH>
                <wp:positionV relativeFrom="paragraph">
                  <wp:posOffset>506552</wp:posOffset>
                </wp:positionV>
                <wp:extent cx="5104486" cy="0"/>
                <wp:effectExtent l="38100" t="38100" r="77470" b="95250"/>
                <wp:wrapNone/>
                <wp:docPr id="1590127756" name="Conector recto 8"/>
                <wp:cNvGraphicFramePr/>
                <a:graphic xmlns:a="http://schemas.openxmlformats.org/drawingml/2006/main">
                  <a:graphicData uri="http://schemas.microsoft.com/office/word/2010/wordprocessingShape">
                    <wps:wsp>
                      <wps:cNvCnPr/>
                      <wps:spPr>
                        <a:xfrm>
                          <a:off x="0" y="0"/>
                          <a:ext cx="5104486"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685C5605"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8pt,39.9pt" to="424.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6F40A159" wp14:editId="1818C34C">
                <wp:simplePos x="0" y="0"/>
                <wp:positionH relativeFrom="column">
                  <wp:posOffset>3499180</wp:posOffset>
                </wp:positionH>
                <wp:positionV relativeFrom="paragraph">
                  <wp:posOffset>345618</wp:posOffset>
                </wp:positionV>
                <wp:extent cx="1960474" cy="0"/>
                <wp:effectExtent l="38100" t="38100" r="59055" b="95250"/>
                <wp:wrapNone/>
                <wp:docPr id="1185250689" name="Conector recto 7"/>
                <wp:cNvGraphicFramePr/>
                <a:graphic xmlns:a="http://schemas.openxmlformats.org/drawingml/2006/main">
                  <a:graphicData uri="http://schemas.microsoft.com/office/word/2010/wordprocessingShape">
                    <wps:wsp>
                      <wps:cNvCnPr/>
                      <wps:spPr>
                        <a:xfrm>
                          <a:off x="0" y="0"/>
                          <a:ext cx="1960474"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66B9B3CA"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5.55pt,27.2pt" to="429.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8893CCD" wp14:editId="0908F129">
                <wp:simplePos x="0" y="0"/>
                <wp:positionH relativeFrom="column">
                  <wp:posOffset>287807</wp:posOffset>
                </wp:positionH>
                <wp:positionV relativeFrom="paragraph">
                  <wp:posOffset>206629</wp:posOffset>
                </wp:positionV>
                <wp:extent cx="1901952" cy="0"/>
                <wp:effectExtent l="38100" t="38100" r="60325" b="95250"/>
                <wp:wrapNone/>
                <wp:docPr id="1364207218" name="Conector recto 6"/>
                <wp:cNvGraphicFramePr/>
                <a:graphic xmlns:a="http://schemas.openxmlformats.org/drawingml/2006/main">
                  <a:graphicData uri="http://schemas.microsoft.com/office/word/2010/wordprocessingShape">
                    <wps:wsp>
                      <wps:cNvCnPr/>
                      <wps:spPr>
                        <a:xfrm>
                          <a:off x="0" y="0"/>
                          <a:ext cx="1901952"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149B9462"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65pt,16.25pt" to="172.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" strokecolor="#c0504d [3205]" strokeweight="2pt">
                <v:shadow on="t" color="black" opacity="24903f" origin=",.5" offset="0,.55556mm"/>
              </v:line>
            </w:pict>
          </mc:Fallback>
        </mc:AlternateContent>
      </w:r>
      <w:r w:rsidR="00A33129" w:rsidRPr="00B61DF3">
        <w:rPr>
          <w:rFonts w:ascii="Palatino Linotype" w:hAnsi="Palatino Linotype"/>
          <w:noProof/>
          <w:lang w:eastAsia="es-MX"/>
        </w:rPr>
        <w:drawing>
          <wp:inline distT="0" distB="0" distL="0" distR="0" wp14:anchorId="3CEDA154" wp14:editId="0352EEDB">
            <wp:extent cx="5210902" cy="1467055"/>
            <wp:effectExtent l="0" t="0" r="0" b="0"/>
            <wp:docPr id="958219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19031" name=""/>
                    <pic:cNvPicPr/>
                  </pic:nvPicPr>
                  <pic:blipFill>
                    <a:blip r:embed="rId23"/>
                    <a:stretch>
                      <a:fillRect/>
                    </a:stretch>
                  </pic:blipFill>
                  <pic:spPr>
                    <a:xfrm>
                      <a:off x="0" y="0"/>
                      <a:ext cx="5210902" cy="1467055"/>
                    </a:xfrm>
                    <a:prstGeom prst="rect">
                      <a:avLst/>
                    </a:prstGeom>
                  </pic:spPr>
                </pic:pic>
              </a:graphicData>
            </a:graphic>
          </wp:inline>
        </w:drawing>
      </w:r>
    </w:p>
    <w:p w14:paraId="61678814" w14:textId="42020BF5" w:rsidR="00142966" w:rsidRPr="00B61DF3" w:rsidRDefault="00F37092" w:rsidP="00B61DF3">
      <w:pPr>
        <w:spacing w:before="100" w:beforeAutospacing="1" w:after="100" w:afterAutospacing="1" w:line="360" w:lineRule="auto"/>
        <w:rPr>
          <w:noProof/>
        </w:rPr>
      </w:pPr>
      <w:r w:rsidRPr="00B61DF3">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74307F62" wp14:editId="71BCCFDA">
                <wp:simplePos x="0" y="0"/>
                <wp:positionH relativeFrom="column">
                  <wp:posOffset>62230</wp:posOffset>
                </wp:positionH>
                <wp:positionV relativeFrom="paragraph">
                  <wp:posOffset>1558817</wp:posOffset>
                </wp:positionV>
                <wp:extent cx="5098314" cy="0"/>
                <wp:effectExtent l="38100" t="38100" r="64770" b="95250"/>
                <wp:wrapNone/>
                <wp:docPr id="274303479" name="Conector recto 16"/>
                <wp:cNvGraphicFramePr/>
                <a:graphic xmlns:a="http://schemas.openxmlformats.org/drawingml/2006/main">
                  <a:graphicData uri="http://schemas.microsoft.com/office/word/2010/wordprocessingShape">
                    <wps:wsp>
                      <wps:cNvCnPr/>
                      <wps:spPr>
                        <a:xfrm>
                          <a:off x="0" y="0"/>
                          <a:ext cx="5098314"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1710BB19" id="Conector recto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9pt,122.75pt" to="406.3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8D2C0B8" wp14:editId="365FC53A">
                <wp:simplePos x="0" y="0"/>
                <wp:positionH relativeFrom="column">
                  <wp:posOffset>19050</wp:posOffset>
                </wp:positionH>
                <wp:positionV relativeFrom="paragraph">
                  <wp:posOffset>1442133</wp:posOffset>
                </wp:positionV>
                <wp:extent cx="5141062" cy="0"/>
                <wp:effectExtent l="38100" t="38100" r="59690" b="95250"/>
                <wp:wrapNone/>
                <wp:docPr id="354827210" name="Conector recto 15"/>
                <wp:cNvGraphicFramePr/>
                <a:graphic xmlns:a="http://schemas.openxmlformats.org/drawingml/2006/main">
                  <a:graphicData uri="http://schemas.microsoft.com/office/word/2010/wordprocessingShape">
                    <wps:wsp>
                      <wps:cNvCnPr/>
                      <wps:spPr>
                        <a:xfrm>
                          <a:off x="0" y="0"/>
                          <a:ext cx="5141062"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4B4A910F" id="Conector recto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pt,113.55pt" to="406.3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" strokecolor="#c0504d [3205]" strokeweight="2pt">
                <v:shadow on="t" color="black" opacity="24903f" origin=",.5" offset="0,.55556mm"/>
              </v:line>
            </w:pict>
          </mc:Fallback>
        </mc:AlternateContent>
      </w:r>
      <w:r w:rsidR="00142966" w:rsidRPr="00B61DF3">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4E42DB94" wp14:editId="2E834A94">
                <wp:simplePos x="0" y="0"/>
                <wp:positionH relativeFrom="column">
                  <wp:posOffset>61036</wp:posOffset>
                </wp:positionH>
                <wp:positionV relativeFrom="paragraph">
                  <wp:posOffset>1252703</wp:posOffset>
                </wp:positionV>
                <wp:extent cx="5032858" cy="0"/>
                <wp:effectExtent l="38100" t="38100" r="73025" b="95250"/>
                <wp:wrapNone/>
                <wp:docPr id="23188629" name="Conector recto 14"/>
                <wp:cNvGraphicFramePr/>
                <a:graphic xmlns:a="http://schemas.openxmlformats.org/drawingml/2006/main">
                  <a:graphicData uri="http://schemas.microsoft.com/office/word/2010/wordprocessingShape">
                    <wps:wsp>
                      <wps:cNvCnPr/>
                      <wps:spPr>
                        <a:xfrm>
                          <a:off x="0" y="0"/>
                          <a:ext cx="5032858"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61A5598F" id="Conector recto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8pt,98.65pt" to="401.1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" strokecolor="#c0504d [3205]" strokeweight="2pt">
                <v:shadow on="t" color="black" opacity="24903f" origin=",.5" offset="0,.55556mm"/>
              </v:line>
            </w:pict>
          </mc:Fallback>
        </mc:AlternateContent>
      </w:r>
      <w:r w:rsidR="00142966" w:rsidRPr="00B61DF3">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4565C2C3" wp14:editId="4D67785D">
                <wp:simplePos x="0" y="0"/>
                <wp:positionH relativeFrom="column">
                  <wp:posOffset>1465555</wp:posOffset>
                </wp:positionH>
                <wp:positionV relativeFrom="paragraph">
                  <wp:posOffset>1077138</wp:posOffset>
                </wp:positionV>
                <wp:extent cx="3694176" cy="0"/>
                <wp:effectExtent l="38100" t="38100" r="59055" b="95250"/>
                <wp:wrapNone/>
                <wp:docPr id="1769310848" name="Conector recto 13"/>
                <wp:cNvGraphicFramePr/>
                <a:graphic xmlns:a="http://schemas.openxmlformats.org/drawingml/2006/main">
                  <a:graphicData uri="http://schemas.microsoft.com/office/word/2010/wordprocessingShape">
                    <wps:wsp>
                      <wps:cNvCnPr/>
                      <wps:spPr>
                        <a:xfrm>
                          <a:off x="0" y="0"/>
                          <a:ext cx="3694176"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53E64D32" id="Conector recto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5.4pt,84.8pt" to="406.3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" strokecolor="#c0504d [3205]" strokeweight="2pt">
                <v:shadow on="t" color="black" opacity="24903f" origin=",.5" offset="0,.55556mm"/>
              </v:line>
            </w:pict>
          </mc:Fallback>
        </mc:AlternateContent>
      </w:r>
      <w:r w:rsidR="00A33129" w:rsidRPr="00B61DF3">
        <w:rPr>
          <w:rFonts w:ascii="Palatino Linotype" w:hAnsi="Palatino Linotype"/>
          <w:noProof/>
          <w:lang w:eastAsia="es-MX"/>
        </w:rPr>
        <w:drawing>
          <wp:inline distT="0" distB="0" distL="0" distR="0" wp14:anchorId="7FCB59AC" wp14:editId="373C20C8">
            <wp:extent cx="5239481" cy="1438476"/>
            <wp:effectExtent l="0" t="0" r="0" b="9525"/>
            <wp:docPr id="804127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27754" name=""/>
                    <pic:cNvPicPr/>
                  </pic:nvPicPr>
                  <pic:blipFill>
                    <a:blip r:embed="rId24"/>
                    <a:stretch>
                      <a:fillRect/>
                    </a:stretch>
                  </pic:blipFill>
                  <pic:spPr>
                    <a:xfrm>
                      <a:off x="0" y="0"/>
                      <a:ext cx="5239481" cy="1438476"/>
                    </a:xfrm>
                    <a:prstGeom prst="rect">
                      <a:avLst/>
                    </a:prstGeom>
                  </pic:spPr>
                </pic:pic>
              </a:graphicData>
            </a:graphic>
          </wp:inline>
        </w:drawing>
      </w:r>
    </w:p>
    <w:p w14:paraId="79FFF0FC" w14:textId="59C326F2" w:rsidR="00142966" w:rsidRPr="00B61DF3" w:rsidRDefault="00142966" w:rsidP="00B61DF3">
      <w:pPr>
        <w:spacing w:before="100" w:beforeAutospacing="1" w:after="100" w:afterAutospacing="1" w:line="360" w:lineRule="auto"/>
        <w:rPr>
          <w:noProof/>
        </w:rPr>
      </w:pPr>
      <w:r w:rsidRPr="00B61DF3">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61FD02F0" wp14:editId="5EBE843D">
                <wp:simplePos x="0" y="0"/>
                <wp:positionH relativeFrom="column">
                  <wp:posOffset>102295</wp:posOffset>
                </wp:positionH>
                <wp:positionV relativeFrom="paragraph">
                  <wp:posOffset>548736</wp:posOffset>
                </wp:positionV>
                <wp:extent cx="5098314" cy="0"/>
                <wp:effectExtent l="38100" t="38100" r="64770" b="95250"/>
                <wp:wrapNone/>
                <wp:docPr id="314728533" name="Conector recto 17"/>
                <wp:cNvGraphicFramePr/>
                <a:graphic xmlns:a="http://schemas.openxmlformats.org/drawingml/2006/main">
                  <a:graphicData uri="http://schemas.microsoft.com/office/word/2010/wordprocessingShape">
                    <wps:wsp>
                      <wps:cNvCnPr/>
                      <wps:spPr>
                        <a:xfrm>
                          <a:off x="0" y="0"/>
                          <a:ext cx="5098314"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7C3C2CD0" id="Conector recto 1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05pt,43.2pt" to="409.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" strokecolor="#c0504d [3205]" strokeweight="2pt">
                <v:shadow on="t" color="black" opacity="24903f" origin=",.5" offset="0,.55556mm"/>
              </v:line>
            </w:pict>
          </mc:Fallback>
        </mc:AlternateContent>
      </w:r>
      <w:r w:rsidRPr="00B61DF3">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4DCFBE27" wp14:editId="0D97CF2D">
                <wp:simplePos x="0" y="0"/>
                <wp:positionH relativeFrom="column">
                  <wp:posOffset>62230</wp:posOffset>
                </wp:positionH>
                <wp:positionV relativeFrom="paragraph">
                  <wp:posOffset>360248</wp:posOffset>
                </wp:positionV>
                <wp:extent cx="5098314" cy="0"/>
                <wp:effectExtent l="38100" t="38100" r="64770" b="95250"/>
                <wp:wrapNone/>
                <wp:docPr id="669711993" name="Conector recto 17"/>
                <wp:cNvGraphicFramePr/>
                <a:graphic xmlns:a="http://schemas.openxmlformats.org/drawingml/2006/main">
                  <a:graphicData uri="http://schemas.microsoft.com/office/word/2010/wordprocessingShape">
                    <wps:wsp>
                      <wps:cNvCnPr/>
                      <wps:spPr>
                        <a:xfrm>
                          <a:off x="0" y="0"/>
                          <a:ext cx="5098314"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3AA0F63C" id="Conector recto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9pt,28.35pt" to="406.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" strokecolor="#c0504d [3205]" strokeweight="2pt">
                <v:shadow on="t" color="black" opacity="24903f" origin=",.5" offset="0,.55556mm"/>
              </v:line>
            </w:pict>
          </mc:Fallback>
        </mc:AlternateContent>
      </w:r>
      <w:r w:rsidR="00A33129" w:rsidRPr="00B61DF3">
        <w:rPr>
          <w:rFonts w:ascii="Palatino Linotype" w:hAnsi="Palatino Linotype"/>
          <w:noProof/>
          <w:lang w:eastAsia="es-MX"/>
        </w:rPr>
        <w:drawing>
          <wp:inline distT="0" distB="0" distL="0" distR="0" wp14:anchorId="1CC23CCF" wp14:editId="62A39263">
            <wp:extent cx="5258534" cy="2343477"/>
            <wp:effectExtent l="0" t="0" r="0" b="0"/>
            <wp:docPr id="743201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1499" name=""/>
                    <pic:cNvPicPr/>
                  </pic:nvPicPr>
                  <pic:blipFill>
                    <a:blip r:embed="rId25"/>
                    <a:stretch>
                      <a:fillRect/>
                    </a:stretch>
                  </pic:blipFill>
                  <pic:spPr>
                    <a:xfrm>
                      <a:off x="0" y="0"/>
                      <a:ext cx="5258534" cy="2343477"/>
                    </a:xfrm>
                    <a:prstGeom prst="rect">
                      <a:avLst/>
                    </a:prstGeom>
                  </pic:spPr>
                </pic:pic>
              </a:graphicData>
            </a:graphic>
          </wp:inline>
        </w:drawing>
      </w:r>
    </w:p>
    <w:p w14:paraId="2E61EE1A" w14:textId="77777777" w:rsidR="00142966" w:rsidRPr="00B61DF3" w:rsidRDefault="00142966" w:rsidP="00B61DF3">
      <w:pPr>
        <w:spacing w:before="100" w:beforeAutospacing="1" w:after="100" w:afterAutospacing="1" w:line="360" w:lineRule="auto"/>
        <w:rPr>
          <w:noProof/>
        </w:rPr>
      </w:pPr>
    </w:p>
    <w:p w14:paraId="42C12147" w14:textId="47E2A813" w:rsidR="00532840" w:rsidRPr="00B61DF3" w:rsidRDefault="007E2EF7" w:rsidP="00B61DF3">
      <w:pPr>
        <w:spacing w:before="100" w:beforeAutospacing="1" w:after="100" w:afterAutospacing="1" w:line="360" w:lineRule="auto"/>
        <w:rPr>
          <w:rFonts w:ascii="Palatino Linotype" w:hAnsi="Palatino Linotype"/>
        </w:rPr>
      </w:pPr>
      <w:r w:rsidRPr="00B61DF3">
        <w:rPr>
          <w:noProof/>
          <w:lang w:eastAsia="es-MX"/>
        </w:rPr>
        <mc:AlternateContent>
          <mc:Choice Requires="wps">
            <w:drawing>
              <wp:anchor distT="0" distB="0" distL="114300" distR="114300" simplePos="0" relativeHeight="251678720" behindDoc="0" locked="0" layoutInCell="1" allowOverlap="1" wp14:anchorId="5D56C754" wp14:editId="2ADF3313">
                <wp:simplePos x="0" y="0"/>
                <wp:positionH relativeFrom="column">
                  <wp:posOffset>41299</wp:posOffset>
                </wp:positionH>
                <wp:positionV relativeFrom="paragraph">
                  <wp:posOffset>-60</wp:posOffset>
                </wp:positionV>
                <wp:extent cx="5443268" cy="1456055"/>
                <wp:effectExtent l="0" t="0" r="24130" b="10795"/>
                <wp:wrapNone/>
                <wp:docPr id="421425738" name="Rectángulo 19"/>
                <wp:cNvGraphicFramePr/>
                <a:graphic xmlns:a="http://schemas.openxmlformats.org/drawingml/2006/main">
                  <a:graphicData uri="http://schemas.microsoft.com/office/word/2010/wordprocessingShape">
                    <wps:wsp>
                      <wps:cNvSpPr/>
                      <wps:spPr>
                        <a:xfrm>
                          <a:off x="0" y="0"/>
                          <a:ext cx="5443268" cy="145605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39BE2D8E" id="Rectángulo 19" o:spid="_x0000_s1026" style="position:absolute;margin-left:3.25pt;margin-top:0;width:428.6pt;height:11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" filled="f" strokecolor="#c0504d [3205]" strokeweight="2pt"/>
            </w:pict>
          </mc:Fallback>
        </mc:AlternateContent>
      </w:r>
      <w:r w:rsidR="00A33129" w:rsidRPr="00B61DF3">
        <w:rPr>
          <w:noProof/>
          <w:lang w:eastAsia="es-MX"/>
        </w:rPr>
        <w:drawing>
          <wp:inline distT="0" distB="0" distL="0" distR="0" wp14:anchorId="3FA9F85C" wp14:editId="17875B4A">
            <wp:extent cx="5486400" cy="1456263"/>
            <wp:effectExtent l="0" t="0" r="0" b="0"/>
            <wp:docPr id="278999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99149" name=""/>
                    <pic:cNvPicPr/>
                  </pic:nvPicPr>
                  <pic:blipFill>
                    <a:blip r:embed="rId26"/>
                    <a:stretch>
                      <a:fillRect/>
                    </a:stretch>
                  </pic:blipFill>
                  <pic:spPr>
                    <a:xfrm>
                      <a:off x="0" y="0"/>
                      <a:ext cx="5501657" cy="1460313"/>
                    </a:xfrm>
                    <a:prstGeom prst="rect">
                      <a:avLst/>
                    </a:prstGeom>
                  </pic:spPr>
                </pic:pic>
              </a:graphicData>
            </a:graphic>
          </wp:inline>
        </w:drawing>
      </w:r>
    </w:p>
    <w:p w14:paraId="0EF6169C" w14:textId="0F8517F4" w:rsidR="00532840" w:rsidRPr="00B61DF3" w:rsidRDefault="007E2EF7" w:rsidP="00B61DF3">
      <w:pPr>
        <w:pStyle w:val="Prrafodelista"/>
        <w:numPr>
          <w:ilvl w:val="0"/>
          <w:numId w:val="43"/>
        </w:numPr>
        <w:spacing w:before="100" w:beforeAutospacing="1" w:after="100" w:afterAutospacing="1" w:line="360" w:lineRule="auto"/>
        <w:jc w:val="both"/>
        <w:rPr>
          <w:rFonts w:ascii="Palatino Linotype" w:hAnsi="Palatino Linotype"/>
        </w:rPr>
      </w:pPr>
      <w:r w:rsidRPr="00B61DF3">
        <w:rPr>
          <w:rFonts w:ascii="Palatino Linotype" w:hAnsi="Palatino Linotype"/>
        </w:rPr>
        <w:t xml:space="preserve">En ese sentido se advierte que al principio cita la fracción VIII, </w:t>
      </w:r>
      <w:r w:rsidR="0074751D" w:rsidRPr="00B61DF3">
        <w:rPr>
          <w:rFonts w:ascii="Palatino Linotype" w:hAnsi="Palatino Linotype"/>
        </w:rPr>
        <w:t>más</w:t>
      </w:r>
      <w:r w:rsidRPr="00B61DF3">
        <w:rPr>
          <w:rFonts w:ascii="Palatino Linotype" w:hAnsi="Palatino Linotype"/>
        </w:rPr>
        <w:t xml:space="preserve"> adelante, invoca las fracciones VI y X, de la Ley General de Transparencia y Acceso a la Información Pública</w:t>
      </w:r>
      <w:r w:rsidR="00F37092" w:rsidRPr="00B61DF3">
        <w:rPr>
          <w:rFonts w:ascii="Palatino Linotype" w:hAnsi="Palatino Linotype"/>
        </w:rPr>
        <w:t>, por lo cual no existe una congruencia de estos.</w:t>
      </w:r>
    </w:p>
    <w:p w14:paraId="600F13C0" w14:textId="0C82DA90" w:rsidR="00F37092" w:rsidRPr="00B61DF3" w:rsidRDefault="00F37092" w:rsidP="00B61DF3">
      <w:pPr>
        <w:pStyle w:val="Prrafodelista"/>
        <w:numPr>
          <w:ilvl w:val="0"/>
          <w:numId w:val="43"/>
        </w:numPr>
        <w:spacing w:before="100" w:beforeAutospacing="1" w:after="100" w:afterAutospacing="1" w:line="360" w:lineRule="auto"/>
        <w:jc w:val="both"/>
        <w:rPr>
          <w:rFonts w:ascii="Palatino Linotype" w:hAnsi="Palatino Linotype"/>
        </w:rPr>
      </w:pPr>
      <w:r w:rsidRPr="00B61DF3">
        <w:rPr>
          <w:rFonts w:ascii="Palatino Linotype" w:hAnsi="Palatino Linotype"/>
        </w:rPr>
        <w:t xml:space="preserve">El Comité cita los numerales Vigésimo Cuarto y </w:t>
      </w:r>
      <w:bookmarkStart w:id="5" w:name="_Hlk138084442"/>
      <w:r w:rsidRPr="00B61DF3">
        <w:rPr>
          <w:rFonts w:ascii="Palatino Linotype" w:hAnsi="Palatino Linotype"/>
        </w:rPr>
        <w:t xml:space="preserve">Vigésimo Noveno </w:t>
      </w:r>
      <w:bookmarkEnd w:id="5"/>
      <w:r w:rsidRPr="00B61DF3">
        <w:rPr>
          <w:rFonts w:ascii="Palatino Linotype" w:hAnsi="Palatino Linotype"/>
        </w:rPr>
        <w:t>de los Lineamientos generales en materia de clasificación y desclasificación de la información, así como para la elaboración de versiones públicas, sin embargo, describen el numeral Vigésimo Cuarto, en ese sentido, debió de exponer las razones de la aplicación del Vigésimo Noveno, sin embargo, fue omiso.</w:t>
      </w:r>
    </w:p>
    <w:p w14:paraId="69657844" w14:textId="65A65C0D" w:rsidR="00F37092" w:rsidRPr="00B61DF3" w:rsidRDefault="00F37092" w:rsidP="00B61DF3">
      <w:pPr>
        <w:pStyle w:val="Prrafodelista"/>
        <w:numPr>
          <w:ilvl w:val="0"/>
          <w:numId w:val="43"/>
        </w:numPr>
        <w:spacing w:before="100" w:beforeAutospacing="1" w:after="100" w:afterAutospacing="1" w:line="360" w:lineRule="auto"/>
        <w:jc w:val="both"/>
        <w:rPr>
          <w:rFonts w:ascii="Palatino Linotype" w:hAnsi="Palatino Linotype"/>
        </w:rPr>
      </w:pPr>
      <w:r w:rsidRPr="00B61DF3">
        <w:rPr>
          <w:rFonts w:ascii="Palatino Linotype" w:hAnsi="Palatino Linotype"/>
        </w:rPr>
        <w:t>No se debe de reservar la información que se encuentre vinculada con actos de corrupción en términos del precepto 142, de la Ley de Transparencia y Acceso a la Información Pública del Estado de México y Municipios.</w:t>
      </w:r>
    </w:p>
    <w:p w14:paraId="5263DF5B" w14:textId="7DB809AA" w:rsidR="00F37092" w:rsidRPr="00B61DF3" w:rsidRDefault="00F37092" w:rsidP="00B61DF3">
      <w:pPr>
        <w:pStyle w:val="Prrafodelista"/>
        <w:numPr>
          <w:ilvl w:val="0"/>
          <w:numId w:val="43"/>
        </w:numPr>
        <w:spacing w:before="100" w:beforeAutospacing="1" w:after="100" w:afterAutospacing="1" w:line="360" w:lineRule="auto"/>
        <w:jc w:val="both"/>
        <w:rPr>
          <w:rFonts w:ascii="Palatino Linotype" w:hAnsi="Palatino Linotype"/>
        </w:rPr>
      </w:pPr>
      <w:r w:rsidRPr="00B61DF3">
        <w:rPr>
          <w:rFonts w:ascii="Palatino Linotype" w:hAnsi="Palatino Linotype"/>
        </w:rPr>
        <w:t>No se advierte que si la reserva de la información de manera total o parcial.</w:t>
      </w:r>
    </w:p>
    <w:p w14:paraId="123CD67E" w14:textId="16B58B01" w:rsidR="00F37092" w:rsidRPr="00B61DF3" w:rsidRDefault="00F37092" w:rsidP="00B61DF3">
      <w:pPr>
        <w:pStyle w:val="Prrafodelista"/>
        <w:numPr>
          <w:ilvl w:val="0"/>
          <w:numId w:val="43"/>
        </w:numPr>
        <w:spacing w:before="100" w:beforeAutospacing="1" w:after="100" w:afterAutospacing="1" w:line="360" w:lineRule="auto"/>
        <w:jc w:val="both"/>
        <w:rPr>
          <w:rFonts w:ascii="Palatino Linotype" w:hAnsi="Palatino Linotype"/>
        </w:rPr>
      </w:pPr>
      <w:r w:rsidRPr="00B61DF3">
        <w:rPr>
          <w:rFonts w:ascii="Palatino Linotype" w:hAnsi="Palatino Linotype"/>
        </w:rPr>
        <w:t xml:space="preserve">No menciona la etapa o estatus que se encuentran los procedimientos de </w:t>
      </w:r>
      <w:r w:rsidR="00F6243C" w:rsidRPr="00B61DF3">
        <w:rPr>
          <w:rFonts w:ascii="Palatino Linotype" w:hAnsi="Palatino Linotype"/>
        </w:rPr>
        <w:t>auditorías</w:t>
      </w:r>
      <w:r w:rsidRPr="00B61DF3">
        <w:rPr>
          <w:rFonts w:ascii="Palatino Linotype" w:hAnsi="Palatino Linotype"/>
        </w:rPr>
        <w:t xml:space="preserve">, ello es información de carácter </w:t>
      </w:r>
      <w:r w:rsidR="00F6243C" w:rsidRPr="00B61DF3">
        <w:rPr>
          <w:rFonts w:ascii="Palatino Linotype" w:hAnsi="Palatino Linotype"/>
        </w:rPr>
        <w:t>público</w:t>
      </w:r>
      <w:r w:rsidRPr="00B61DF3">
        <w:rPr>
          <w:rFonts w:ascii="Palatino Linotype" w:hAnsi="Palatino Linotype"/>
        </w:rPr>
        <w:t>, pues transparenta</w:t>
      </w:r>
      <w:r w:rsidR="00F6243C" w:rsidRPr="00B61DF3">
        <w:rPr>
          <w:rFonts w:ascii="Palatino Linotype" w:hAnsi="Palatino Linotype"/>
        </w:rPr>
        <w:t xml:space="preserve"> el actuar del </w:t>
      </w:r>
      <w:r w:rsidR="00F6243C" w:rsidRPr="00B61DF3">
        <w:rPr>
          <w:rFonts w:ascii="Palatino Linotype" w:hAnsi="Palatino Linotype"/>
          <w:b/>
          <w:bCs/>
        </w:rPr>
        <w:t>SUJETO OBLIGADO</w:t>
      </w:r>
      <w:r w:rsidR="00F6243C" w:rsidRPr="00B61DF3">
        <w:rPr>
          <w:rFonts w:ascii="Palatino Linotype" w:hAnsi="Palatino Linotype"/>
        </w:rPr>
        <w:t xml:space="preserve"> en generar la información. </w:t>
      </w:r>
    </w:p>
    <w:p w14:paraId="7531ECD9" w14:textId="3F13967B" w:rsidR="00623A65" w:rsidRPr="00B61DF3" w:rsidRDefault="00623A65" w:rsidP="00B61DF3">
      <w:pPr>
        <w:spacing w:before="100" w:beforeAutospacing="1" w:after="100" w:afterAutospacing="1" w:line="360" w:lineRule="auto"/>
        <w:jc w:val="both"/>
        <w:rPr>
          <w:rFonts w:ascii="Palatino Linotype" w:hAnsi="Palatino Linotype"/>
        </w:rPr>
      </w:pPr>
      <w:r w:rsidRPr="00B61DF3">
        <w:rPr>
          <w:rFonts w:ascii="Palatino Linotype" w:hAnsi="Palatino Linotype"/>
        </w:rPr>
        <w:t xml:space="preserve">Es por ello, al no cumplir cabalmente con las formalidades que debe de disponer el acta del Comité de Transparencia, por lo que se ordena </w:t>
      </w:r>
      <w:r w:rsidRPr="00B61DF3">
        <w:rPr>
          <w:rFonts w:ascii="Palatino Linotype" w:hAnsi="Palatino Linotype"/>
          <w:b/>
        </w:rPr>
        <w:t>SUJETO OBLIGADO</w:t>
      </w:r>
      <w:r w:rsidRPr="00B61DF3">
        <w:rPr>
          <w:rFonts w:ascii="Palatino Linotype" w:hAnsi="Palatino Linotype"/>
        </w:rPr>
        <w:t xml:space="preserve"> </w:t>
      </w:r>
      <w:r w:rsidRPr="00B61DF3">
        <w:rPr>
          <w:rFonts w:ascii="Palatino Linotype" w:hAnsi="Palatino Linotype"/>
          <w:b/>
        </w:rPr>
        <w:t>previa desclasificación</w:t>
      </w:r>
      <w:r w:rsidRPr="00B61DF3">
        <w:rPr>
          <w:rFonts w:ascii="Palatino Linotype" w:hAnsi="Palatino Linotype"/>
        </w:rPr>
        <w:t xml:space="preserve"> del primer acuerdo de reserva de información, entregar un nuevo Acuerdo de clasificación como reservada respecto de las </w:t>
      </w:r>
      <w:r w:rsidR="00CF4BB2" w:rsidRPr="00B61DF3">
        <w:rPr>
          <w:rFonts w:ascii="Palatino Linotype" w:hAnsi="Palatino Linotype"/>
        </w:rPr>
        <w:t>auditorias respecto al Salario Rosa</w:t>
      </w:r>
      <w:r w:rsidRPr="00B61DF3">
        <w:rPr>
          <w:rFonts w:ascii="Palatino Linotype" w:hAnsi="Palatino Linotype"/>
        </w:rPr>
        <w:t xml:space="preserve"> que se encuentran en </w:t>
      </w:r>
      <w:r w:rsidR="00CF4BB2" w:rsidRPr="00B61DF3">
        <w:rPr>
          <w:rFonts w:ascii="Palatino Linotype" w:hAnsi="Palatino Linotype"/>
        </w:rPr>
        <w:t>trámite</w:t>
      </w:r>
      <w:r w:rsidRPr="00B61DF3">
        <w:rPr>
          <w:rFonts w:ascii="Palatino Linotype" w:hAnsi="Palatino Linotype"/>
        </w:rPr>
        <w:t xml:space="preserve"> de</w:t>
      </w:r>
      <w:r w:rsidR="00C248ED" w:rsidRPr="00B61DF3">
        <w:rPr>
          <w:rFonts w:ascii="Palatino Linotype" w:hAnsi="Palatino Linotype"/>
        </w:rPr>
        <w:t>l año</w:t>
      </w:r>
      <w:r w:rsidRPr="00B61DF3">
        <w:rPr>
          <w:rFonts w:ascii="Palatino Linotype" w:hAnsi="Palatino Linotype"/>
        </w:rPr>
        <w:t xml:space="preserve"> </w:t>
      </w:r>
      <w:r w:rsidR="00CF4BB2" w:rsidRPr="00B61DF3">
        <w:rPr>
          <w:rFonts w:ascii="Palatino Linotype" w:hAnsi="Palatino Linotype"/>
        </w:rPr>
        <w:t>2020</w:t>
      </w:r>
      <w:r w:rsidRPr="00B61DF3">
        <w:rPr>
          <w:rFonts w:ascii="Palatino Linotype" w:hAnsi="Palatino Linotype"/>
        </w:rPr>
        <w:t>.</w:t>
      </w:r>
    </w:p>
    <w:p w14:paraId="7F0D9C54" w14:textId="0AE0B86E" w:rsidR="0008429C" w:rsidRPr="00B61DF3" w:rsidRDefault="00CF4BB2" w:rsidP="00B61DF3">
      <w:pPr>
        <w:spacing w:before="100" w:beforeAutospacing="1" w:after="100" w:afterAutospacing="1" w:line="360" w:lineRule="auto"/>
        <w:jc w:val="both"/>
        <w:rPr>
          <w:rFonts w:ascii="Palatino Linotype" w:hAnsi="Palatino Linotype" w:cs="Arial"/>
        </w:rPr>
      </w:pPr>
      <w:r w:rsidRPr="00B61DF3">
        <w:rPr>
          <w:rFonts w:ascii="Palatino Linotype" w:hAnsi="Palatino Linotype" w:cs="Arial"/>
        </w:rPr>
        <w:t>S</w:t>
      </w:r>
      <w:r w:rsidR="0008429C" w:rsidRPr="00B61DF3">
        <w:rPr>
          <w:rFonts w:ascii="Palatino Linotype" w:hAnsi="Palatino Linotype" w:cs="Arial"/>
        </w:rPr>
        <w:t xml:space="preserve">erá necesario que </w:t>
      </w:r>
      <w:r w:rsidR="0008429C" w:rsidRPr="00B61DF3">
        <w:rPr>
          <w:rFonts w:ascii="Palatino Linotype" w:hAnsi="Palatino Linotype" w:cs="Arial"/>
          <w:b/>
        </w:rPr>
        <w:t xml:space="preserve">EL SUJETO OBLIGADO </w:t>
      </w:r>
      <w:r w:rsidR="0008429C" w:rsidRPr="00B61DF3">
        <w:rPr>
          <w:rFonts w:ascii="Palatino Linotype" w:hAnsi="Palatino Linotype" w:cs="Arial"/>
        </w:rPr>
        <w:t>haga entrega de los documentos solicitados en versión pública de ser procedente</w:t>
      </w:r>
      <w:r w:rsidR="00F6243C" w:rsidRPr="00B61DF3">
        <w:rPr>
          <w:rFonts w:ascii="Palatino Linotype" w:hAnsi="Palatino Linotype" w:cs="Arial"/>
        </w:rPr>
        <w:t xml:space="preserve"> que se encuentren concluidos y vinc</w:t>
      </w:r>
      <w:r w:rsidR="00623DFD" w:rsidRPr="00B61DF3">
        <w:rPr>
          <w:rFonts w:ascii="Palatino Linotype" w:hAnsi="Palatino Linotype" w:cs="Arial"/>
        </w:rPr>
        <w:t>ulados con actos de corrupción, por otro lado,</w:t>
      </w:r>
      <w:r w:rsidR="00F6243C" w:rsidRPr="00B61DF3">
        <w:rPr>
          <w:rFonts w:ascii="Palatino Linotype" w:hAnsi="Palatino Linotype" w:cs="Arial"/>
        </w:rPr>
        <w:t xml:space="preserve"> la reserva de los procedimientos de auditorías en </w:t>
      </w:r>
      <w:r w:rsidRPr="00B61DF3">
        <w:rPr>
          <w:rFonts w:ascii="Palatino Linotype" w:hAnsi="Palatino Linotype" w:cs="Arial"/>
        </w:rPr>
        <w:t>trámite</w:t>
      </w:r>
      <w:r w:rsidR="0008429C" w:rsidRPr="00B61DF3">
        <w:rPr>
          <w:rFonts w:ascii="Palatino Linotype" w:hAnsi="Palatino Linotype" w:cs="Arial"/>
        </w:rPr>
        <w:t xml:space="preserve">; sirviendo de sustento a dicha determinación lo 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proofErr w:type="spellStart"/>
      <w:r w:rsidR="0008429C" w:rsidRPr="00B61DF3">
        <w:rPr>
          <w:rFonts w:ascii="Palatino Linotype" w:hAnsi="Palatino Linotype" w:cs="Arial"/>
          <w:i/>
        </w:rPr>
        <w:t>pro</w:t>
      </w:r>
      <w:proofErr w:type="spellEnd"/>
      <w:r w:rsidR="0008429C" w:rsidRPr="00B61DF3">
        <w:rPr>
          <w:rFonts w:ascii="Palatino Linotype" w:hAnsi="Palatino Linotype" w:cs="Arial"/>
          <w:i/>
        </w:rPr>
        <w:t xml:space="preserve"> persona</w:t>
      </w:r>
      <w:r w:rsidR="0008429C" w:rsidRPr="00B61DF3">
        <w:rPr>
          <w:rFonts w:ascii="Palatino Linotype" w:hAnsi="Palatino Linotype" w:cs="Arial"/>
        </w:rPr>
        <w:t>, transcripción de los preceptos legales que a la letra rezan:</w:t>
      </w:r>
    </w:p>
    <w:p w14:paraId="4833396D"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Cs/>
          <w:i/>
          <w:sz w:val="22"/>
        </w:rPr>
      </w:pPr>
      <w:r w:rsidRPr="00B61DF3">
        <w:rPr>
          <w:rFonts w:ascii="Palatino Linotype" w:hAnsi="Palatino Linotype" w:cs="Arial"/>
          <w:b/>
          <w:bCs/>
          <w:i/>
          <w:sz w:val="22"/>
        </w:rPr>
        <w:t>“Artículo 4.</w:t>
      </w:r>
      <w:r w:rsidRPr="00B61DF3">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02EEEA0"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Cs/>
          <w:i/>
          <w:sz w:val="22"/>
        </w:rPr>
      </w:pPr>
      <w:r w:rsidRPr="00B61DF3">
        <w:rPr>
          <w:rFonts w:ascii="Palatino Linotype" w:hAnsi="Palatino Linotype" w:cs="Arial"/>
          <w:b/>
          <w:bCs/>
          <w:i/>
          <w:sz w:val="22"/>
        </w:rPr>
        <w:t xml:space="preserve">Toda la información </w:t>
      </w:r>
      <w:r w:rsidRPr="00B61DF3">
        <w:rPr>
          <w:rFonts w:ascii="Palatino Linotype" w:hAnsi="Palatino Linotype" w:cs="Arial"/>
          <w:bCs/>
          <w:i/>
          <w:sz w:val="22"/>
        </w:rPr>
        <w:t>generada,</w:t>
      </w:r>
      <w:r w:rsidRPr="00B61DF3">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B61DF3">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B61DF3">
        <w:rPr>
          <w:rFonts w:ascii="Palatino Linotype" w:hAnsi="Palatino Linotype" w:cs="Arial"/>
          <w:b/>
          <w:bCs/>
          <w:i/>
          <w:sz w:val="22"/>
        </w:rPr>
        <w:t>privilegiando el principio de máxima publicidad</w:t>
      </w:r>
      <w:r w:rsidRPr="00B61DF3">
        <w:rPr>
          <w:rFonts w:ascii="Palatino Linotype" w:hAnsi="Palatino Linotype" w:cs="Arial"/>
          <w:bCs/>
          <w:i/>
          <w:sz w:val="22"/>
        </w:rPr>
        <w:t xml:space="preserve"> de la </w:t>
      </w:r>
      <w:r w:rsidRPr="00B61DF3">
        <w:rPr>
          <w:rFonts w:ascii="Palatino Linotype" w:hAnsi="Palatino Linotype" w:cs="Arial"/>
          <w:i/>
          <w:sz w:val="22"/>
        </w:rPr>
        <w:t>información</w:t>
      </w:r>
      <w:r w:rsidRPr="00B61DF3">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53855CC5"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Cs/>
          <w:i/>
          <w:sz w:val="22"/>
        </w:rPr>
      </w:pPr>
      <w:r w:rsidRPr="00B61DF3">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3E44DA18" w14:textId="77777777" w:rsidR="0008429C" w:rsidRPr="00B61DF3" w:rsidRDefault="0008429C" w:rsidP="00B61DF3">
      <w:pPr>
        <w:framePr w:hSpace="141" w:wrap="around" w:vAnchor="text" w:hAnchor="text" w:y="1"/>
        <w:spacing w:before="100" w:beforeAutospacing="1" w:after="100" w:afterAutospacing="1" w:line="276" w:lineRule="auto"/>
        <w:ind w:left="851" w:right="902"/>
        <w:jc w:val="both"/>
        <w:rPr>
          <w:rFonts w:ascii="Palatino Linotype" w:hAnsi="Palatino Linotype" w:cs="Arial"/>
          <w:bCs/>
          <w:i/>
          <w:sz w:val="22"/>
        </w:rPr>
      </w:pPr>
      <w:r w:rsidRPr="00B61DF3">
        <w:rPr>
          <w:rFonts w:ascii="Palatino Linotype" w:hAnsi="Palatino Linotype" w:cs="Arial"/>
          <w:b/>
          <w:bCs/>
          <w:i/>
          <w:sz w:val="22"/>
        </w:rPr>
        <w:t>Artículo 8</w:t>
      </w:r>
      <w:r w:rsidRPr="00B61DF3">
        <w:rPr>
          <w:rFonts w:ascii="Palatino Linotype" w:hAnsi="Palatino Linotype" w:cs="Arial"/>
          <w:bCs/>
          <w:i/>
          <w:sz w:val="22"/>
        </w:rPr>
        <w:t xml:space="preserve">. </w:t>
      </w:r>
      <w:r w:rsidRPr="00B61DF3">
        <w:rPr>
          <w:rFonts w:ascii="Palatino Linotype" w:hAnsi="Palatino Linotype" w:cs="Arial"/>
          <w:b/>
          <w:bCs/>
          <w:i/>
          <w:sz w:val="22"/>
        </w:rPr>
        <w:t>El derecho de acceso a la información o la clasificación de la información</w:t>
      </w:r>
      <w:r w:rsidRPr="00B61DF3">
        <w:rPr>
          <w:rFonts w:ascii="Palatino Linotype" w:hAnsi="Palatino Linotype" w:cs="Arial"/>
          <w:bCs/>
          <w:i/>
          <w:sz w:val="22"/>
        </w:rPr>
        <w:t xml:space="preserve"> </w:t>
      </w:r>
      <w:r w:rsidRPr="00B61DF3">
        <w:rPr>
          <w:rFonts w:ascii="Palatino Linotype" w:hAnsi="Palatino Linotype" w:cs="Arial"/>
          <w:b/>
          <w:bCs/>
          <w:i/>
          <w:sz w:val="22"/>
        </w:rPr>
        <w:t>se interpretarán conforme a los principios establecidos en la Constitución Federal</w:t>
      </w:r>
      <w:r w:rsidRPr="00B61DF3">
        <w:rPr>
          <w:rFonts w:ascii="Palatino Linotype" w:hAnsi="Palatino Linotype" w:cs="Arial"/>
          <w:bCs/>
          <w:i/>
          <w:sz w:val="22"/>
        </w:rPr>
        <w:t xml:space="preserve">, los tratados internacionales de los que el Estado mexicano sea parte, </w:t>
      </w:r>
      <w:r w:rsidRPr="00B61DF3">
        <w:rPr>
          <w:rFonts w:ascii="Palatino Linotype" w:hAnsi="Palatino Linotype" w:cs="Arial"/>
          <w:b/>
          <w:bCs/>
          <w:i/>
          <w:sz w:val="22"/>
        </w:rPr>
        <w:t>la Ley General, la Constitución Local y la presente Ley</w:t>
      </w:r>
      <w:r w:rsidRPr="00B61DF3">
        <w:rPr>
          <w:rFonts w:ascii="Palatino Linotype" w:hAnsi="Palatino Linotype" w:cs="Arial"/>
          <w:bCs/>
          <w:i/>
          <w:sz w:val="22"/>
        </w:rPr>
        <w:t>.</w:t>
      </w:r>
    </w:p>
    <w:p w14:paraId="726F8D1A"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
          <w:bCs/>
          <w:i/>
          <w:sz w:val="22"/>
        </w:rPr>
      </w:pPr>
      <w:r w:rsidRPr="00B61DF3">
        <w:rPr>
          <w:rFonts w:ascii="Palatino Linotype" w:hAnsi="Palatino Linotype" w:cs="Arial"/>
          <w:b/>
          <w:bCs/>
          <w:i/>
          <w:sz w:val="22"/>
        </w:rPr>
        <w:t>En la aplicación e interpretación de la presente Ley deberá prevalecer el principio de máxima publicidad</w:t>
      </w:r>
      <w:r w:rsidRPr="00B61DF3">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B61DF3">
        <w:rPr>
          <w:rFonts w:ascii="Palatino Linotype" w:hAnsi="Palatino Linotype" w:cs="Arial"/>
          <w:b/>
          <w:bCs/>
          <w:i/>
          <w:sz w:val="22"/>
        </w:rPr>
        <w:t>favoreciendo en todo tiempo a las personas la protección más amplia, atendiendo al principio pro persona…</w:t>
      </w:r>
    </w:p>
    <w:p w14:paraId="3C851C1A"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
          <w:bCs/>
          <w:i/>
          <w:sz w:val="22"/>
        </w:rPr>
      </w:pPr>
      <w:r w:rsidRPr="00B61DF3">
        <w:rPr>
          <w:rFonts w:ascii="Palatino Linotype" w:hAnsi="Palatino Linotype" w:cs="Arial"/>
          <w:b/>
          <w:bCs/>
          <w:i/>
          <w:sz w:val="22"/>
        </w:rPr>
        <w:t>Artículo 9. El Instituto deberá regir su funcionamiento de acuerdo a los siguientes principios:</w:t>
      </w:r>
    </w:p>
    <w:p w14:paraId="5993DC73"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
          <w:bCs/>
          <w:i/>
          <w:sz w:val="22"/>
        </w:rPr>
      </w:pPr>
      <w:r w:rsidRPr="00B61DF3">
        <w:rPr>
          <w:rFonts w:ascii="Palatino Linotype" w:hAnsi="Palatino Linotype" w:cs="Arial"/>
          <w:b/>
          <w:bCs/>
          <w:i/>
          <w:sz w:val="22"/>
        </w:rPr>
        <w:t>I. Certeza:</w:t>
      </w:r>
      <w:r w:rsidRPr="00B61DF3">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B61DF3">
        <w:rPr>
          <w:rFonts w:ascii="Palatino Linotype" w:hAnsi="Palatino Linotype" w:cs="Arial"/>
          <w:b/>
          <w:bCs/>
          <w:i/>
          <w:sz w:val="22"/>
        </w:rPr>
        <w:t xml:space="preserve"> </w:t>
      </w:r>
    </w:p>
    <w:p w14:paraId="187CFACD"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
          <w:bCs/>
          <w:i/>
          <w:sz w:val="22"/>
        </w:rPr>
      </w:pPr>
      <w:r w:rsidRPr="00B61DF3">
        <w:rPr>
          <w:rFonts w:ascii="Palatino Linotype" w:hAnsi="Palatino Linotype" w:cs="Arial"/>
          <w:b/>
          <w:bCs/>
          <w:i/>
          <w:sz w:val="22"/>
        </w:rPr>
        <w:t>…</w:t>
      </w:r>
    </w:p>
    <w:p w14:paraId="0DAE47D8"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Cs/>
          <w:i/>
          <w:sz w:val="22"/>
        </w:rPr>
      </w:pPr>
      <w:r w:rsidRPr="00B61DF3">
        <w:rPr>
          <w:rFonts w:ascii="Palatino Linotype" w:hAnsi="Palatino Linotype" w:cs="Arial"/>
          <w:b/>
          <w:bCs/>
          <w:i/>
          <w:sz w:val="22"/>
        </w:rPr>
        <w:t xml:space="preserve">VII. Máxima Publicidad: </w:t>
      </w:r>
      <w:r w:rsidRPr="00B61DF3">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7206D3E0"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Cs/>
          <w:i/>
          <w:sz w:val="22"/>
        </w:rPr>
      </w:pPr>
      <w:r w:rsidRPr="00B61DF3">
        <w:rPr>
          <w:rFonts w:ascii="Palatino Linotype" w:hAnsi="Palatino Linotype" w:cs="Arial"/>
          <w:b/>
          <w:bCs/>
          <w:i/>
          <w:sz w:val="22"/>
        </w:rPr>
        <w:t xml:space="preserve">VIII. Objetividad: </w:t>
      </w:r>
      <w:r w:rsidRPr="00B61DF3">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0AFB313D" w14:textId="77777777" w:rsidR="0008429C" w:rsidRPr="00B61DF3" w:rsidRDefault="0008429C" w:rsidP="00B61DF3">
      <w:pPr>
        <w:spacing w:before="100" w:beforeAutospacing="1" w:after="100" w:afterAutospacing="1" w:line="276" w:lineRule="auto"/>
        <w:ind w:left="851" w:right="902"/>
        <w:jc w:val="both"/>
        <w:rPr>
          <w:rFonts w:ascii="Palatino Linotype" w:hAnsi="Palatino Linotype" w:cs="Arial"/>
          <w:bCs/>
          <w:i/>
          <w:sz w:val="22"/>
        </w:rPr>
      </w:pPr>
      <w:r w:rsidRPr="00B61DF3">
        <w:rPr>
          <w:rFonts w:ascii="Palatino Linotype" w:hAnsi="Palatino Linotype" w:cs="Arial"/>
          <w:bCs/>
          <w:i/>
          <w:sz w:val="22"/>
        </w:rPr>
        <w:t>…</w:t>
      </w:r>
    </w:p>
    <w:p w14:paraId="627D7C2F" w14:textId="77777777" w:rsidR="0039043D" w:rsidRPr="00B61DF3" w:rsidRDefault="0039043D" w:rsidP="00B61DF3">
      <w:pPr>
        <w:spacing w:before="100" w:beforeAutospacing="1" w:after="100" w:afterAutospacing="1"/>
        <w:ind w:left="851" w:right="902"/>
        <w:jc w:val="right"/>
        <w:rPr>
          <w:rFonts w:ascii="Palatino Linotype" w:hAnsi="Palatino Linotype" w:cs="Arial"/>
          <w:i/>
          <w:sz w:val="22"/>
          <w:szCs w:val="22"/>
          <w:lang w:val="es-ES"/>
        </w:rPr>
      </w:pPr>
      <w:r w:rsidRPr="00B61DF3">
        <w:rPr>
          <w:rFonts w:ascii="Palatino Linotype" w:hAnsi="Palatino Linotype" w:cs="Arial"/>
          <w:i/>
          <w:sz w:val="22"/>
          <w:szCs w:val="22"/>
          <w:lang w:val="es-ES"/>
        </w:rPr>
        <w:t>(</w:t>
      </w:r>
      <w:r w:rsidRPr="00B61DF3">
        <w:rPr>
          <w:rFonts w:ascii="Palatino Linotype" w:hAnsi="Palatino Linotype" w:cs="Arial"/>
          <w:iCs/>
          <w:sz w:val="22"/>
          <w:szCs w:val="22"/>
          <w:lang w:val="es-ES"/>
        </w:rPr>
        <w:t>Énfasis añadido</w:t>
      </w:r>
      <w:r w:rsidRPr="00B61DF3">
        <w:rPr>
          <w:rFonts w:ascii="Palatino Linotype" w:hAnsi="Palatino Linotype" w:cs="Arial"/>
          <w:i/>
          <w:sz w:val="22"/>
          <w:szCs w:val="22"/>
          <w:lang w:val="es-ES"/>
        </w:rPr>
        <w:t>)</w:t>
      </w:r>
    </w:p>
    <w:p w14:paraId="515393A9" w14:textId="77777777" w:rsidR="0008429C" w:rsidRPr="00B61DF3" w:rsidRDefault="0008429C" w:rsidP="00B61DF3">
      <w:pPr>
        <w:spacing w:before="100" w:beforeAutospacing="1" w:after="100" w:afterAutospacing="1" w:line="360" w:lineRule="auto"/>
        <w:jc w:val="both"/>
        <w:rPr>
          <w:rFonts w:ascii="Palatino Linotype" w:hAnsi="Palatino Linotype" w:cs="Arial"/>
        </w:rPr>
      </w:pPr>
      <w:r w:rsidRPr="00B61DF3">
        <w:rPr>
          <w:rFonts w:ascii="Palatino Linotype" w:hAnsi="Palatino Linotype"/>
        </w:rPr>
        <w:t xml:space="preserve">A fin de robustecer lo expuesto, conviene citar </w:t>
      </w:r>
      <w:r w:rsidRPr="00B61DF3">
        <w:rPr>
          <w:rFonts w:ascii="Palatino Linotype" w:hAnsi="Palatino Linotype" w:cs="Segoe UI"/>
        </w:rPr>
        <w:t xml:space="preserve">el criterio orientador </w:t>
      </w:r>
      <w:r w:rsidRPr="00B61DF3">
        <w:rPr>
          <w:rFonts w:ascii="Palatino Linotype" w:hAnsi="Palatino Linotype"/>
        </w:rPr>
        <w:t xml:space="preserve">002/2017 del INAI, y la </w:t>
      </w:r>
      <w:r w:rsidRPr="00B61DF3">
        <w:rPr>
          <w:rFonts w:ascii="Palatino Linotype" w:hAnsi="Palatino Linotype" w:cs="Arial"/>
        </w:rPr>
        <w:t>tesis 1a. CCCXXVII/2014 (10a.) emitida por la Primera Sala de la Suprema Corte de Justicia de la Nación, cuyo tenor es el siguiente:</w:t>
      </w:r>
    </w:p>
    <w:p w14:paraId="0E54AC84" w14:textId="77777777" w:rsidR="0008429C" w:rsidRPr="00B61DF3" w:rsidRDefault="0008429C" w:rsidP="00B61DF3">
      <w:pPr>
        <w:spacing w:before="100" w:beforeAutospacing="1" w:after="100" w:afterAutospacing="1" w:line="276" w:lineRule="auto"/>
        <w:ind w:left="851" w:right="899"/>
        <w:jc w:val="both"/>
        <w:rPr>
          <w:rFonts w:ascii="Palatino Linotype" w:hAnsi="Palatino Linotype" w:cs="Arial"/>
          <w:b/>
          <w:bCs/>
          <w:i/>
          <w:sz w:val="22"/>
        </w:rPr>
      </w:pPr>
      <w:r w:rsidRPr="00B61DF3">
        <w:rPr>
          <w:rFonts w:ascii="Palatino Linotype" w:hAnsi="Palatino Linotype" w:cs="Arial"/>
          <w:b/>
          <w:bCs/>
          <w:i/>
          <w:sz w:val="22"/>
        </w:rPr>
        <w:t>“Congruencia y exhaustividad.</w:t>
      </w:r>
      <w:r w:rsidRPr="00B61DF3">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61DF3">
        <w:rPr>
          <w:rFonts w:ascii="Palatino Linotype" w:hAnsi="Palatino Linotype" w:cs="Arial"/>
          <w:b/>
          <w:bCs/>
          <w:i/>
          <w:sz w:val="22"/>
        </w:rPr>
        <w:t>la congruencia implica que exista concordancia entre el requerimiento formulado por el particular y la respuesta proporcionada por el sujeto obligado;</w:t>
      </w:r>
      <w:r w:rsidRPr="00B61DF3">
        <w:rPr>
          <w:rFonts w:ascii="Palatino Linotype" w:hAnsi="Palatino Linotype" w:cs="Arial"/>
          <w:bCs/>
          <w:i/>
          <w:sz w:val="22"/>
        </w:rPr>
        <w:t xml:space="preserve"> mientras que </w:t>
      </w:r>
      <w:r w:rsidRPr="00B61DF3">
        <w:rPr>
          <w:rFonts w:ascii="Palatino Linotype" w:hAnsi="Palatino Linotype" w:cs="Arial"/>
          <w:b/>
          <w:bCs/>
          <w:i/>
          <w:sz w:val="22"/>
        </w:rPr>
        <w:t xml:space="preserve">la exhaustividad significa que dicha respuesta se refiera expresamente a cada uno de los puntos solicitados. </w:t>
      </w:r>
      <w:r w:rsidRPr="00B61DF3">
        <w:rPr>
          <w:rFonts w:ascii="Palatino Linotype" w:hAnsi="Palatino Linotype" w:cs="Arial"/>
          <w:bCs/>
          <w:i/>
          <w:sz w:val="22"/>
        </w:rPr>
        <w:t xml:space="preserve">Por lo anterior, los sujetos obligados cumplirán con los principios de congruencia y exhaustividad, </w:t>
      </w:r>
      <w:r w:rsidRPr="00B61DF3">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119A9E90" w14:textId="77777777" w:rsidR="0008429C" w:rsidRPr="00B61DF3" w:rsidRDefault="0008429C" w:rsidP="00B61DF3">
      <w:pPr>
        <w:spacing w:before="100" w:beforeAutospacing="1" w:after="100" w:afterAutospacing="1" w:line="276" w:lineRule="auto"/>
        <w:ind w:left="851" w:right="899"/>
        <w:jc w:val="both"/>
        <w:rPr>
          <w:rFonts w:ascii="Palatino Linotype" w:hAnsi="Palatino Linotype" w:cs="Arial"/>
          <w:bCs/>
          <w:i/>
          <w:sz w:val="22"/>
        </w:rPr>
      </w:pPr>
      <w:r w:rsidRPr="00B61DF3">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B61DF3">
        <w:rPr>
          <w:rFonts w:ascii="Palatino Linotype" w:hAnsi="Palatino Linotype" w:cs="Arial"/>
          <w:bCs/>
          <w:i/>
          <w:sz w:val="22"/>
        </w:rPr>
        <w:t xml:space="preserve"> Política de los Estados Unidos Mexicanos </w:t>
      </w:r>
      <w:r w:rsidRPr="00B61DF3">
        <w:rPr>
          <w:rFonts w:ascii="Palatino Linotype" w:hAnsi="Palatino Linotype" w:cs="Arial"/>
          <w:b/>
          <w:bCs/>
          <w:i/>
          <w:sz w:val="22"/>
        </w:rPr>
        <w:t>impone a las autoridades el deber de aplicar el principio pro persona como un criterio de interpretación de las normas relativas a derechos humanos</w:t>
      </w:r>
      <w:r w:rsidRPr="00B61DF3">
        <w:rPr>
          <w:rFonts w:ascii="Palatino Linotype" w:hAnsi="Palatino Linotype" w:cs="Arial"/>
          <w:bCs/>
          <w:i/>
          <w:sz w:val="22"/>
        </w:rPr>
        <w:t xml:space="preserve">, el cual </w:t>
      </w:r>
      <w:r w:rsidRPr="00B61DF3">
        <w:rPr>
          <w:rFonts w:ascii="Palatino Linotype" w:hAnsi="Palatino Linotype" w:cs="Arial"/>
          <w:b/>
          <w:bCs/>
          <w:i/>
          <w:sz w:val="22"/>
        </w:rPr>
        <w:t>busca maximizar</w:t>
      </w:r>
      <w:r w:rsidRPr="00B61DF3">
        <w:rPr>
          <w:rFonts w:ascii="Palatino Linotype" w:hAnsi="Palatino Linotype" w:cs="Arial"/>
          <w:bCs/>
          <w:i/>
          <w:sz w:val="22"/>
        </w:rPr>
        <w:t xml:space="preserve"> su vigencia y respeto, para optar por </w:t>
      </w:r>
      <w:r w:rsidRPr="00B61DF3">
        <w:rPr>
          <w:rFonts w:ascii="Palatino Linotype" w:hAnsi="Palatino Linotype" w:cs="Arial"/>
          <w:b/>
          <w:bCs/>
          <w:i/>
          <w:sz w:val="22"/>
        </w:rPr>
        <w:t>la aplicación o interpretación de la norma que los favorezca en mayor medida</w:t>
      </w:r>
      <w:r w:rsidRPr="00B61DF3">
        <w:rPr>
          <w:rFonts w:ascii="Palatino Linotype" w:hAnsi="Palatino Linotype" w:cs="Arial"/>
          <w:bCs/>
          <w:i/>
          <w:sz w:val="22"/>
        </w:rPr>
        <w:t xml:space="preserve">, o bien, que implique menores restricciones a su ejercicio. Así, como deber, se entiende que dicho principio </w:t>
      </w:r>
      <w:r w:rsidRPr="00B61DF3">
        <w:rPr>
          <w:rFonts w:ascii="Palatino Linotype" w:hAnsi="Palatino Linotype" w:cs="Arial"/>
          <w:b/>
          <w:bCs/>
          <w:i/>
          <w:sz w:val="22"/>
        </w:rPr>
        <w:t>es aplicable de oficio</w:t>
      </w:r>
      <w:r w:rsidRPr="00B61DF3">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B61DF3">
        <w:rPr>
          <w:rFonts w:ascii="Palatino Linotype" w:hAnsi="Palatino Linotype" w:cs="Arial"/>
          <w:bCs/>
          <w:i/>
          <w:sz w:val="22"/>
        </w:rPr>
        <w:t>pro</w:t>
      </w:r>
      <w:proofErr w:type="spellEnd"/>
      <w:r w:rsidRPr="00B61DF3">
        <w:rPr>
          <w:rFonts w:ascii="Palatino Linotype" w:hAnsi="Palatino Linotype" w:cs="Arial"/>
          <w:bCs/>
          <w:i/>
          <w:sz w:val="22"/>
        </w:rPr>
        <w:t xml:space="preserve"> persona, pues </w:t>
      </w:r>
      <w:r w:rsidRPr="00B61DF3">
        <w:rPr>
          <w:rFonts w:ascii="Palatino Linotype" w:hAnsi="Palatino Linotype" w:cs="Arial"/>
          <w:b/>
          <w:bCs/>
          <w:i/>
          <w:sz w:val="22"/>
        </w:rPr>
        <w:t>para realizarlo debe conocerse cuál es el derecho humano que se busca maximizar</w:t>
      </w:r>
      <w:r w:rsidRPr="00B61DF3">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792D2ACC" w14:textId="77777777" w:rsidR="0039043D" w:rsidRPr="00B61DF3" w:rsidRDefault="0039043D" w:rsidP="00B61DF3">
      <w:pPr>
        <w:spacing w:before="100" w:beforeAutospacing="1" w:after="100" w:afterAutospacing="1"/>
        <w:ind w:left="851" w:right="902"/>
        <w:jc w:val="right"/>
        <w:rPr>
          <w:rFonts w:ascii="Palatino Linotype" w:hAnsi="Palatino Linotype" w:cs="Arial"/>
          <w:i/>
          <w:sz w:val="22"/>
          <w:szCs w:val="22"/>
          <w:lang w:val="es-ES"/>
        </w:rPr>
      </w:pPr>
      <w:r w:rsidRPr="00B61DF3">
        <w:rPr>
          <w:rFonts w:ascii="Palatino Linotype" w:hAnsi="Palatino Linotype" w:cs="Arial"/>
          <w:i/>
          <w:sz w:val="22"/>
          <w:szCs w:val="22"/>
          <w:lang w:val="es-ES"/>
        </w:rPr>
        <w:t>(</w:t>
      </w:r>
      <w:r w:rsidRPr="00B61DF3">
        <w:rPr>
          <w:rFonts w:ascii="Palatino Linotype" w:hAnsi="Palatino Linotype" w:cs="Arial"/>
          <w:iCs/>
          <w:sz w:val="22"/>
          <w:szCs w:val="22"/>
          <w:lang w:val="es-ES"/>
        </w:rPr>
        <w:t>Énfasis añadido</w:t>
      </w:r>
      <w:r w:rsidRPr="00B61DF3">
        <w:rPr>
          <w:rFonts w:ascii="Palatino Linotype" w:hAnsi="Palatino Linotype" w:cs="Arial"/>
          <w:i/>
          <w:sz w:val="22"/>
          <w:szCs w:val="22"/>
          <w:lang w:val="es-ES"/>
        </w:rPr>
        <w:t>)</w:t>
      </w:r>
    </w:p>
    <w:p w14:paraId="75C35108" w14:textId="19EC70B6" w:rsidR="00E01B1F" w:rsidRPr="00B61DF3" w:rsidRDefault="00623DFD" w:rsidP="00B61DF3">
      <w:pP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E</w:t>
      </w:r>
      <w:r w:rsidR="00E01B1F" w:rsidRPr="00B61DF3">
        <w:rPr>
          <w:rFonts w:ascii="Palatino Linotype" w:eastAsia="Palatino Linotype" w:hAnsi="Palatino Linotype" w:cs="Palatino Linotype"/>
          <w:lang w:eastAsia="es-MX"/>
        </w:rPr>
        <w:t>s imprescindible mencionar que la Legislatura está facultada para recibir, revisar y fiscalizar las cuentas públicas del Estado y de los Municipios a través del Órgano Superior de Fiscalización, órgano que cuenta con el deber de fiscalizar la administración de los ingresos y egresos, y en su caso determinar los daños y perjuicios que afecten a la hacienda pública, fincando las responsabilidades resarcitorias que correspondan, con fundamento en el artículo 61, fracciones XXXII, XXXIII</w:t>
      </w:r>
      <w:r w:rsidR="00292C44" w:rsidRPr="00B61DF3">
        <w:rPr>
          <w:rFonts w:ascii="Palatino Linotype" w:eastAsia="Palatino Linotype" w:hAnsi="Palatino Linotype" w:cs="Palatino Linotype"/>
          <w:lang w:eastAsia="es-MX"/>
        </w:rPr>
        <w:t xml:space="preserve"> y</w:t>
      </w:r>
      <w:r w:rsidR="00E01B1F" w:rsidRPr="00B61DF3">
        <w:rPr>
          <w:rFonts w:ascii="Palatino Linotype" w:eastAsia="Palatino Linotype" w:hAnsi="Palatino Linotype" w:cs="Palatino Linotype"/>
          <w:lang w:eastAsia="es-MX"/>
        </w:rPr>
        <w:t xml:space="preserve"> XXXIV de la Constitución Política del Estado Libre y Soberano de México, a saber:</w:t>
      </w:r>
    </w:p>
    <w:p w14:paraId="6108A2BB" w14:textId="77777777" w:rsidR="00E01B1F" w:rsidRPr="00B61DF3" w:rsidRDefault="00E01B1F" w:rsidP="00B61DF3">
      <w:pPr>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“Artículo 61.-</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Son facultades y obligaciones de la Legislatura</w:t>
      </w:r>
      <w:r w:rsidRPr="00B61DF3">
        <w:rPr>
          <w:rFonts w:ascii="Palatino Linotype" w:eastAsia="Palatino Linotype" w:hAnsi="Palatino Linotype" w:cs="Palatino Linotype"/>
          <w:i/>
          <w:sz w:val="22"/>
          <w:szCs w:val="22"/>
          <w:lang w:eastAsia="es-MX"/>
        </w:rPr>
        <w:t>:</w:t>
      </w:r>
    </w:p>
    <w:p w14:paraId="2357BF78" w14:textId="77777777" w:rsidR="00E01B1F" w:rsidRPr="00B61DF3" w:rsidRDefault="00E01B1F" w:rsidP="00B61DF3">
      <w:pPr>
        <w:tabs>
          <w:tab w:val="left" w:pos="993"/>
        </w:tabs>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w:t>
      </w:r>
    </w:p>
    <w:p w14:paraId="785928C5" w14:textId="77777777" w:rsidR="00E01B1F" w:rsidRPr="00B61DF3" w:rsidRDefault="00E01B1F" w:rsidP="00B61DF3">
      <w:pPr>
        <w:tabs>
          <w:tab w:val="left" w:pos="993"/>
        </w:tabs>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XXXII.</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Recibir, revisar y fiscalizar las cuentas públicas</w:t>
      </w:r>
      <w:r w:rsidRPr="00B61DF3">
        <w:rPr>
          <w:rFonts w:ascii="Palatino Linotype" w:eastAsia="Palatino Linotype" w:hAnsi="Palatino Linotype" w:cs="Palatino Linotype"/>
          <w:i/>
          <w:sz w:val="22"/>
          <w:szCs w:val="22"/>
          <w:lang w:eastAsia="es-MX"/>
        </w:rPr>
        <w:t xml:space="preserve"> del Estado y </w:t>
      </w:r>
      <w:r w:rsidRPr="00B61DF3">
        <w:rPr>
          <w:rFonts w:ascii="Palatino Linotype" w:eastAsia="Palatino Linotype" w:hAnsi="Palatino Linotype" w:cs="Palatino Linotype"/>
          <w:b/>
          <w:i/>
          <w:sz w:val="22"/>
          <w:szCs w:val="22"/>
          <w:lang w:eastAsia="es-MX"/>
        </w:rPr>
        <w:t>de los Municipios</w:t>
      </w:r>
      <w:r w:rsidRPr="00B61DF3">
        <w:rPr>
          <w:rFonts w:ascii="Palatino Linotype" w:eastAsia="Palatino Linotype" w:hAnsi="Palatino Linotype" w:cs="Palatino Linotype"/>
          <w:i/>
          <w:sz w:val="22"/>
          <w:szCs w:val="22"/>
          <w:lang w:eastAsia="es-MX"/>
        </w:rPr>
        <w:t xml:space="preserve">, del año anterior, mismas que incluirán, en su caso, la información correspondiente a los Poderes Públicos, organismos autónomos, organismos auxiliares, fideicomisos públicos o privados y demás entes públicos que manejen recursos del Estado y Municipios. </w:t>
      </w:r>
      <w:r w:rsidRPr="00B61DF3">
        <w:rPr>
          <w:rFonts w:ascii="Palatino Linotype" w:eastAsia="Palatino Linotype" w:hAnsi="Palatino Linotype" w:cs="Palatino Linotype"/>
          <w:b/>
          <w:i/>
          <w:sz w:val="22"/>
          <w:szCs w:val="22"/>
          <w:lang w:eastAsia="es-MX"/>
        </w:rPr>
        <w:t>Para tal efecto, contará con un Órgano Superior de Fiscalización</w:t>
      </w:r>
      <w:r w:rsidRPr="00B61DF3">
        <w:rPr>
          <w:rFonts w:ascii="Palatino Linotype" w:eastAsia="Palatino Linotype" w:hAnsi="Palatino Linotype" w:cs="Palatino Linotype"/>
          <w:i/>
          <w:sz w:val="22"/>
          <w:szCs w:val="22"/>
          <w:lang w:eastAsia="es-MX"/>
        </w:rPr>
        <w:t>, dotado de autonomía técnica y de gestión en el ejercicio de sus atribuciones y para decidir sobre su organización interna, funcionamiento y resoluciones, en los términos que disponga la legislación aplicable.</w:t>
      </w:r>
    </w:p>
    <w:p w14:paraId="0F7E0707" w14:textId="77777777" w:rsidR="00E01B1F" w:rsidRPr="00B61DF3" w:rsidRDefault="00E01B1F" w:rsidP="00B61DF3">
      <w:pPr>
        <w:tabs>
          <w:tab w:val="left" w:pos="993"/>
        </w:tabs>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La función de fiscalización se desarrollará conforme a los principios de posterioridad, anualidad, legalidad, </w:t>
      </w:r>
      <w:proofErr w:type="spellStart"/>
      <w:r w:rsidRPr="00B61DF3">
        <w:rPr>
          <w:rFonts w:ascii="Palatino Linotype" w:eastAsia="Palatino Linotype" w:hAnsi="Palatino Linotype" w:cs="Palatino Linotype"/>
          <w:i/>
          <w:sz w:val="22"/>
          <w:szCs w:val="22"/>
          <w:lang w:eastAsia="es-MX"/>
        </w:rPr>
        <w:t>definitividad</w:t>
      </w:r>
      <w:proofErr w:type="spellEnd"/>
      <w:r w:rsidRPr="00B61DF3">
        <w:rPr>
          <w:rFonts w:ascii="Palatino Linotype" w:eastAsia="Palatino Linotype" w:hAnsi="Palatino Linotype" w:cs="Palatino Linotype"/>
          <w:i/>
          <w:sz w:val="22"/>
          <w:szCs w:val="22"/>
          <w:lang w:eastAsia="es-MX"/>
        </w:rPr>
        <w:t xml:space="preserve">, imparcialidad y confiabilidad. </w:t>
      </w:r>
    </w:p>
    <w:p w14:paraId="70E05BF3" w14:textId="77777777" w:rsidR="00E01B1F" w:rsidRPr="00B61DF3" w:rsidRDefault="00E01B1F" w:rsidP="00B61DF3">
      <w:pPr>
        <w:tabs>
          <w:tab w:val="left" w:pos="993"/>
        </w:tabs>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El Auditor Superior de Fiscalización será designado y removido por el voto de las dos terceras partes de los miembros presentes de la Legislatura, a propuesta de la Junta de Coordinación Política. </w:t>
      </w:r>
    </w:p>
    <w:p w14:paraId="6A347342" w14:textId="77777777" w:rsidR="00E01B1F" w:rsidRPr="00B61DF3" w:rsidRDefault="00E01B1F" w:rsidP="00B61DF3">
      <w:pPr>
        <w:tabs>
          <w:tab w:val="left" w:pos="993"/>
        </w:tabs>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El Auditor Superior de Fiscalización durará en su encargo ocho años y podrá ser nombrado nuevamente por una sola vez, por el voto de las dos terceras partes de los miembros presentes de la Legislatura, y deberá contar con experiencia de cinco años en materia de control, auditoría financiera y de responsabilidades;</w:t>
      </w:r>
    </w:p>
    <w:p w14:paraId="7936A016" w14:textId="77777777" w:rsidR="00E01B1F" w:rsidRPr="00B61DF3" w:rsidRDefault="00E01B1F" w:rsidP="00B61DF3">
      <w:pPr>
        <w:tabs>
          <w:tab w:val="left" w:pos="993"/>
        </w:tabs>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XXXIII.</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Revisar, por conducto del Órgano Superior de Fiscalización del Estado de México</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las cuentas y actos relativos a la aplicación de los fondos públicos del Estado y de los Municipios,</w:t>
      </w:r>
      <w:r w:rsidRPr="00B61DF3">
        <w:rPr>
          <w:rFonts w:ascii="Palatino Linotype" w:eastAsia="Palatino Linotype" w:hAnsi="Palatino Linotype" w:cs="Palatino Linotype"/>
          <w:i/>
          <w:sz w:val="22"/>
          <w:szCs w:val="22"/>
          <w:lang w:eastAsia="es-MX"/>
        </w:rPr>
        <w:t xml:space="preserve">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 </w:t>
      </w:r>
    </w:p>
    <w:p w14:paraId="3ABEB253" w14:textId="71784957" w:rsidR="00E01B1F" w:rsidRPr="00B61DF3" w:rsidRDefault="00E01B1F" w:rsidP="00B61DF3">
      <w:pPr>
        <w:tabs>
          <w:tab w:val="left" w:pos="993"/>
        </w:tabs>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XXXIV. Fiscalizar la administración de los ingresos y egresos del Estado y de los Municipios</w:t>
      </w:r>
      <w:r w:rsidRPr="00B61DF3">
        <w:rPr>
          <w:rFonts w:ascii="Palatino Linotype" w:eastAsia="Palatino Linotype" w:hAnsi="Palatino Linotype" w:cs="Palatino Linotype"/>
          <w:i/>
          <w:sz w:val="22"/>
          <w:szCs w:val="22"/>
          <w:lang w:eastAsia="es-MX"/>
        </w:rPr>
        <w:t>, que incluyen a los Poderes Públicos, organismos autónomos, organismos auxiliares, fideicomisos públicos o privados y demás entes públicos que manejen recursos del Estado y Municipios, a través del Órgano Superior de Fiscalización;</w:t>
      </w:r>
    </w:p>
    <w:p w14:paraId="7AA58A51" w14:textId="727E8A3B" w:rsidR="00292C44" w:rsidRPr="00B61DF3" w:rsidRDefault="00E01B1F"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 xml:space="preserve">Por otro lado, es ineludible mencionar que de conformidad con el artículo </w:t>
      </w:r>
      <w:r w:rsidR="00585482" w:rsidRPr="00B61DF3">
        <w:rPr>
          <w:rFonts w:ascii="Palatino Linotype" w:eastAsia="Palatino Linotype" w:hAnsi="Palatino Linotype" w:cs="Palatino Linotype"/>
          <w:lang w:eastAsia="es-MX"/>
        </w:rPr>
        <w:t>segundo y tercero, del Acuerdo del Ejecutivo del Estado, por el que se establece</w:t>
      </w:r>
      <w:r w:rsidR="00623DFD" w:rsidRPr="00B61DF3">
        <w:rPr>
          <w:rFonts w:ascii="Palatino Linotype" w:eastAsia="Palatino Linotype" w:hAnsi="Palatino Linotype" w:cs="Palatino Linotype"/>
          <w:lang w:eastAsia="es-MX"/>
        </w:rPr>
        <w:t xml:space="preserve"> que</w:t>
      </w:r>
      <w:r w:rsidR="00585482" w:rsidRPr="00B61DF3">
        <w:rPr>
          <w:rFonts w:ascii="Palatino Linotype" w:eastAsia="Palatino Linotype" w:hAnsi="Palatino Linotype" w:cs="Palatino Linotype"/>
          <w:lang w:eastAsia="es-MX"/>
        </w:rPr>
        <w:t xml:space="preserve"> la </w:t>
      </w:r>
      <w:r w:rsidR="00623DFD" w:rsidRPr="00B61DF3">
        <w:rPr>
          <w:rFonts w:ascii="Palatino Linotype" w:eastAsia="Palatino Linotype" w:hAnsi="Palatino Linotype" w:cs="Palatino Linotype"/>
          <w:lang w:eastAsia="es-MX"/>
        </w:rPr>
        <w:t>Tarjeta Salario Rosa</w:t>
      </w:r>
      <w:r w:rsidR="00585482" w:rsidRPr="00B61DF3">
        <w:rPr>
          <w:rFonts w:ascii="Palatino Linotype" w:eastAsia="Palatino Linotype" w:hAnsi="Palatino Linotype" w:cs="Palatino Linotype"/>
          <w:lang w:eastAsia="es-MX"/>
        </w:rPr>
        <w:t xml:space="preserve">, como mecanismo de aplicación de la política de desarrollo humano y social en el Estado de México, </w:t>
      </w:r>
      <w:r w:rsidR="00623DFD" w:rsidRPr="00B61DF3">
        <w:rPr>
          <w:rFonts w:ascii="Palatino Linotype" w:eastAsia="Palatino Linotype" w:hAnsi="Palatino Linotype" w:cs="Palatino Linotype"/>
          <w:lang w:eastAsia="es-MX"/>
        </w:rPr>
        <w:t>en ese sentido, se desprende</w:t>
      </w:r>
      <w:r w:rsidR="00585482" w:rsidRPr="00B61DF3">
        <w:rPr>
          <w:rFonts w:ascii="Palatino Linotype" w:eastAsia="Palatino Linotype" w:hAnsi="Palatino Linotype" w:cs="Palatino Linotype"/>
          <w:lang w:eastAsia="es-MX"/>
        </w:rPr>
        <w:t xml:space="preserve"> que existen diversos </w:t>
      </w:r>
      <w:r w:rsidR="00623DFD" w:rsidRPr="00B61DF3">
        <w:rPr>
          <w:rFonts w:ascii="Palatino Linotype" w:eastAsia="Palatino Linotype" w:hAnsi="Palatino Linotype" w:cs="Palatino Linotype"/>
          <w:lang w:eastAsia="es-MX"/>
        </w:rPr>
        <w:t xml:space="preserve">Dependencias </w:t>
      </w:r>
      <w:r w:rsidR="00A43B5D" w:rsidRPr="00B61DF3">
        <w:rPr>
          <w:rFonts w:ascii="Palatino Linotype" w:eastAsia="Palatino Linotype" w:hAnsi="Palatino Linotype" w:cs="Palatino Linotype"/>
          <w:lang w:eastAsia="es-MX"/>
        </w:rPr>
        <w:t xml:space="preserve">y </w:t>
      </w:r>
      <w:r w:rsidR="00623DFD" w:rsidRPr="00B61DF3">
        <w:rPr>
          <w:rFonts w:ascii="Palatino Linotype" w:eastAsia="Palatino Linotype" w:hAnsi="Palatino Linotype" w:cs="Palatino Linotype"/>
          <w:lang w:eastAsia="es-MX"/>
        </w:rPr>
        <w:t xml:space="preserve">Organismos Auxiliares </w:t>
      </w:r>
      <w:r w:rsidR="00A43B5D" w:rsidRPr="00B61DF3">
        <w:rPr>
          <w:rFonts w:ascii="Palatino Linotype" w:eastAsia="Palatino Linotype" w:hAnsi="Palatino Linotype" w:cs="Palatino Linotype"/>
          <w:lang w:eastAsia="es-MX"/>
        </w:rPr>
        <w:t xml:space="preserve">del Poder Ejecutivo Estatal que </w:t>
      </w:r>
      <w:r w:rsidR="00623DFD" w:rsidRPr="00B61DF3">
        <w:rPr>
          <w:rFonts w:ascii="Palatino Linotype" w:eastAsia="Palatino Linotype" w:hAnsi="Palatino Linotype" w:cs="Palatino Linotype"/>
          <w:lang w:eastAsia="es-MX"/>
        </w:rPr>
        <w:t xml:space="preserve">de acuerdo a sus atribuciones y funciones </w:t>
      </w:r>
      <w:r w:rsidR="00A43B5D" w:rsidRPr="00B61DF3">
        <w:rPr>
          <w:rFonts w:ascii="Palatino Linotype" w:eastAsia="Palatino Linotype" w:hAnsi="Palatino Linotype" w:cs="Palatino Linotype"/>
          <w:lang w:eastAsia="es-MX"/>
        </w:rPr>
        <w:t>forman parte de la Tarjeta Salario Rosa, tal como se advierte a continuación:</w:t>
      </w:r>
    </w:p>
    <w:p w14:paraId="48F9775D" w14:textId="020345CB" w:rsidR="00A43B5D" w:rsidRPr="00B61DF3" w:rsidRDefault="00A43B5D" w:rsidP="00B61DF3">
      <w:pPr>
        <w:pBdr>
          <w:top w:val="nil"/>
          <w:left w:val="nil"/>
          <w:bottom w:val="nil"/>
          <w:right w:val="nil"/>
          <w:between w:val="nil"/>
        </w:pBdr>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r w:rsidRPr="00B61DF3">
        <w:rPr>
          <w:rFonts w:ascii="Palatino Linotype" w:eastAsia="Palatino Linotype" w:hAnsi="Palatino Linotype" w:cs="Palatino Linotype"/>
          <w:i/>
          <w:iCs/>
          <w:sz w:val="22"/>
          <w:szCs w:val="22"/>
          <w:lang w:eastAsia="es-MX"/>
        </w:rPr>
        <w:t>“</w:t>
      </w:r>
      <w:r w:rsidRPr="00B61DF3">
        <w:rPr>
          <w:rFonts w:ascii="Palatino Linotype" w:eastAsia="Palatino Linotype" w:hAnsi="Palatino Linotype" w:cs="Palatino Linotype"/>
          <w:b/>
          <w:bCs/>
          <w:i/>
          <w:iCs/>
          <w:sz w:val="22"/>
          <w:szCs w:val="22"/>
          <w:lang w:eastAsia="es-MX"/>
        </w:rPr>
        <w:t>ARTÍCULO SEGUNDO.</w:t>
      </w:r>
      <w:r w:rsidRPr="00B61DF3">
        <w:rPr>
          <w:rFonts w:ascii="Palatino Linotype" w:eastAsia="Palatino Linotype" w:hAnsi="Palatino Linotype" w:cs="Palatino Linotype"/>
          <w:i/>
          <w:iCs/>
          <w:sz w:val="22"/>
          <w:szCs w:val="22"/>
          <w:lang w:eastAsia="es-MX"/>
        </w:rPr>
        <w:t xml:space="preserve"> La Tarjeta Salario Rosa, será el mecanismo plástico para aplicación y entrega del programa social Salario Rosa, el cual será ejecutado por el Consejo Estatal de la Mujer y Bienestar Social del Estado de México, una vez publicadas sus reglas de operación anuales, y a su vez podrá ser uno de los mecanismos plásticos para la entrega de los programas y acciones en materia de desarrollo social que ejecuten las dependencias y organismos auxiliares del Gobierno del Estado de México y medio de identificación de los beneficiarios, a fin de hacer más eficaz la ejecución de sus programas o acciones de desarrollo social, atendiendo de manera integral y transversal a los sectores de la población en condiciones de pobreza, marginación, exclusión y vulnerabilidad. </w:t>
      </w:r>
    </w:p>
    <w:p w14:paraId="291D0EC0" w14:textId="1ECFA5C5" w:rsidR="00292C44" w:rsidRPr="00B61DF3" w:rsidRDefault="00A43B5D" w:rsidP="00B61DF3">
      <w:pPr>
        <w:pBdr>
          <w:top w:val="nil"/>
          <w:left w:val="nil"/>
          <w:bottom w:val="nil"/>
          <w:right w:val="nil"/>
          <w:between w:val="nil"/>
        </w:pBdr>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r w:rsidRPr="00B61DF3">
        <w:rPr>
          <w:rFonts w:ascii="Palatino Linotype" w:eastAsia="Palatino Linotype" w:hAnsi="Palatino Linotype" w:cs="Palatino Linotype"/>
          <w:b/>
          <w:bCs/>
          <w:i/>
          <w:iCs/>
          <w:sz w:val="22"/>
          <w:szCs w:val="22"/>
          <w:lang w:eastAsia="es-MX"/>
        </w:rPr>
        <w:t>ARTÍCULO TERCERO.</w:t>
      </w:r>
      <w:r w:rsidRPr="00B61DF3">
        <w:rPr>
          <w:rFonts w:ascii="Palatino Linotype" w:eastAsia="Palatino Linotype" w:hAnsi="Palatino Linotype" w:cs="Palatino Linotype"/>
          <w:i/>
          <w:iCs/>
          <w:sz w:val="22"/>
          <w:szCs w:val="22"/>
          <w:lang w:eastAsia="es-MX"/>
        </w:rPr>
        <w:t xml:space="preserve"> Los programas, acciones y recursos de desarrollo social de </w:t>
      </w:r>
      <w:bookmarkStart w:id="6" w:name="_Hlk138086960"/>
      <w:r w:rsidRPr="00B61DF3">
        <w:rPr>
          <w:rFonts w:ascii="Palatino Linotype" w:eastAsia="Palatino Linotype" w:hAnsi="Palatino Linotype" w:cs="Palatino Linotype"/>
          <w:i/>
          <w:iCs/>
          <w:sz w:val="22"/>
          <w:szCs w:val="22"/>
          <w:lang w:eastAsia="es-MX"/>
        </w:rPr>
        <w:t>las dependencias y organismos auxiliares del Poder Ejecutivo Estatal que formen parte de la Tarjeta Salario Rosa</w:t>
      </w:r>
      <w:bookmarkEnd w:id="6"/>
      <w:r w:rsidRPr="00B61DF3">
        <w:rPr>
          <w:rFonts w:ascii="Palatino Linotype" w:eastAsia="Palatino Linotype" w:hAnsi="Palatino Linotype" w:cs="Palatino Linotype"/>
          <w:i/>
          <w:iCs/>
          <w:sz w:val="22"/>
          <w:szCs w:val="22"/>
          <w:lang w:eastAsia="es-MX"/>
        </w:rPr>
        <w:t>, se ejecutarán tomando en consideración los criterios de priorización, cobertura, focalización, participación social e indicadores que establezca la Secretaría de Desarrollo Social.”</w:t>
      </w:r>
    </w:p>
    <w:p w14:paraId="146C10E8" w14:textId="51A19532" w:rsidR="00623DFD" w:rsidRPr="00B61DF3" w:rsidRDefault="00623DFD"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 xml:space="preserve">Por lo que, se deberá de informar dentro de su acta de reserva de la información cuales son </w:t>
      </w:r>
      <w:r w:rsidR="00024A38" w:rsidRPr="00B61DF3">
        <w:rPr>
          <w:rFonts w:ascii="Palatino Linotype" w:eastAsia="Palatino Linotype" w:hAnsi="Palatino Linotype" w:cs="Palatino Linotype"/>
          <w:lang w:eastAsia="es-MX"/>
        </w:rPr>
        <w:t>las dependencias y</w:t>
      </w:r>
      <w:r w:rsidRPr="00B61DF3">
        <w:rPr>
          <w:rFonts w:ascii="Palatino Linotype" w:eastAsia="Palatino Linotype" w:hAnsi="Palatino Linotype" w:cs="Palatino Linotype"/>
          <w:lang w:eastAsia="es-MX"/>
        </w:rPr>
        <w:t xml:space="preserve"> organismos auxiliares del P</w:t>
      </w:r>
      <w:r w:rsidR="00024A38" w:rsidRPr="00B61DF3">
        <w:rPr>
          <w:rFonts w:ascii="Palatino Linotype" w:eastAsia="Palatino Linotype" w:hAnsi="Palatino Linotype" w:cs="Palatino Linotype"/>
          <w:lang w:eastAsia="es-MX"/>
        </w:rPr>
        <w:t>oder Ejecutivo Estatal que forma</w:t>
      </w:r>
      <w:r w:rsidRPr="00B61DF3">
        <w:rPr>
          <w:rFonts w:ascii="Palatino Linotype" w:eastAsia="Palatino Linotype" w:hAnsi="Palatino Linotype" w:cs="Palatino Linotype"/>
          <w:lang w:eastAsia="es-MX"/>
        </w:rPr>
        <w:t>n parte de la Tarjeta Salario Rosa</w:t>
      </w:r>
      <w:r w:rsidR="00024A38" w:rsidRPr="00B61DF3">
        <w:rPr>
          <w:rFonts w:ascii="Palatino Linotype" w:eastAsia="Palatino Linotype" w:hAnsi="Palatino Linotype" w:cs="Palatino Linotype"/>
          <w:lang w:eastAsia="es-MX"/>
        </w:rPr>
        <w:t>, que a la fecha de la solicitud se encuentran en trámite las auditorias.</w:t>
      </w:r>
    </w:p>
    <w:p w14:paraId="40CBE53B" w14:textId="40250D3B" w:rsidR="00E01B1F" w:rsidRPr="00B61DF3" w:rsidRDefault="00245CF7" w:rsidP="00B61DF3">
      <w:pPr>
        <w:pBdr>
          <w:top w:val="nil"/>
          <w:left w:val="nil"/>
          <w:bottom w:val="nil"/>
          <w:right w:val="nil"/>
          <w:between w:val="nil"/>
        </w:pBdr>
        <w:spacing w:before="100" w:beforeAutospacing="1" w:after="100" w:afterAutospacing="1" w:line="360" w:lineRule="auto"/>
        <w:ind w:right="49"/>
        <w:jc w:val="both"/>
        <w:rPr>
          <w:rFonts w:ascii="Palatino Linotype" w:hAnsi="Palatino Linotype"/>
          <w:lang w:eastAsia="es-MX"/>
        </w:rPr>
      </w:pPr>
      <w:r w:rsidRPr="00B61DF3">
        <w:rPr>
          <w:rFonts w:ascii="Palatino Linotype" w:eastAsia="Palatino Linotype" w:hAnsi="Palatino Linotype" w:cs="Palatino Linotype"/>
          <w:lang w:eastAsia="es-MX"/>
        </w:rPr>
        <w:t xml:space="preserve">Es de suma importancia mencionar que lo previsto en </w:t>
      </w:r>
      <w:r w:rsidR="00764A4C" w:rsidRPr="00B61DF3">
        <w:rPr>
          <w:rFonts w:ascii="Palatino Linotype" w:eastAsia="Palatino Linotype" w:hAnsi="Palatino Linotype" w:cs="Palatino Linotype"/>
          <w:lang w:eastAsia="es-MX"/>
        </w:rPr>
        <w:t>el</w:t>
      </w:r>
      <w:r w:rsidRPr="00B61DF3">
        <w:rPr>
          <w:rFonts w:ascii="Palatino Linotype" w:eastAsia="Palatino Linotype" w:hAnsi="Palatino Linotype" w:cs="Palatino Linotype"/>
          <w:lang w:eastAsia="es-MX"/>
        </w:rPr>
        <w:t xml:space="preserve"> </w:t>
      </w:r>
      <w:r w:rsidR="00623DFD" w:rsidRPr="00B61DF3">
        <w:rPr>
          <w:rFonts w:ascii="Palatino Linotype" w:eastAsia="Palatino Linotype" w:hAnsi="Palatino Linotype" w:cs="Palatino Linotype"/>
          <w:lang w:eastAsia="es-MX"/>
        </w:rPr>
        <w:t>artículo</w:t>
      </w:r>
      <w:r w:rsidRPr="00B61DF3">
        <w:rPr>
          <w:rFonts w:ascii="Palatino Linotype" w:eastAsia="Palatino Linotype" w:hAnsi="Palatino Linotype" w:cs="Palatino Linotype"/>
          <w:lang w:eastAsia="es-MX"/>
        </w:rPr>
        <w:t xml:space="preserve"> </w:t>
      </w:r>
      <w:r w:rsidR="00923A53" w:rsidRPr="00B61DF3">
        <w:rPr>
          <w:rFonts w:ascii="Palatino Linotype" w:eastAsia="Palatino Linotype" w:hAnsi="Palatino Linotype" w:cs="Palatino Linotype"/>
          <w:lang w:eastAsia="es-MX"/>
        </w:rPr>
        <w:t xml:space="preserve">8, fracciones </w:t>
      </w:r>
      <w:r w:rsidRPr="00B61DF3">
        <w:rPr>
          <w:rFonts w:ascii="Palatino Linotype" w:eastAsia="Palatino Linotype" w:hAnsi="Palatino Linotype" w:cs="Palatino Linotype"/>
          <w:lang w:eastAsia="es-MX"/>
        </w:rPr>
        <w:t xml:space="preserve">55, 56 y </w:t>
      </w:r>
      <w:r w:rsidR="00E01B1F" w:rsidRPr="00B61DF3">
        <w:rPr>
          <w:rFonts w:ascii="Palatino Linotype" w:eastAsia="Palatino Linotype" w:hAnsi="Palatino Linotype" w:cs="Palatino Linotype"/>
          <w:lang w:eastAsia="es-MX"/>
        </w:rPr>
        <w:t xml:space="preserve">57 de la Ley de Fiscalización Superior del Estado de México, </w:t>
      </w:r>
      <w:r w:rsidR="00E01B1F" w:rsidRPr="00B61DF3">
        <w:rPr>
          <w:rFonts w:ascii="Palatino Linotype" w:hAnsi="Palatino Linotype"/>
          <w:lang w:eastAsia="es-MX"/>
        </w:rPr>
        <w:t>y en la</w:t>
      </w:r>
      <w:r w:rsidR="00E01B1F" w:rsidRPr="00B61DF3">
        <w:rPr>
          <w:rFonts w:ascii="Palatino Linotype" w:hAnsi="Palatino Linotype"/>
          <w:b/>
          <w:lang w:eastAsia="es-MX"/>
        </w:rPr>
        <w:t xml:space="preserve"> Ley de Responsabilidades Administrativas del Estado de México y Municipios</w:t>
      </w:r>
      <w:r w:rsidR="00E01B1F" w:rsidRPr="00B61DF3">
        <w:rPr>
          <w:rFonts w:ascii="Palatino Linotype" w:hAnsi="Palatino Linotype"/>
          <w:lang w:eastAsia="es-MX"/>
        </w:rPr>
        <w:t>, a saber:</w:t>
      </w:r>
    </w:p>
    <w:p w14:paraId="3C9107D7" w14:textId="46446400" w:rsidR="00923A53" w:rsidRPr="00B61DF3" w:rsidRDefault="00E01B1F"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w:t>
      </w:r>
      <w:r w:rsidR="00923A53" w:rsidRPr="00B61DF3">
        <w:rPr>
          <w:rFonts w:ascii="Palatino Linotype" w:eastAsia="Palatino Linotype" w:hAnsi="Palatino Linotype" w:cs="Palatino Linotype"/>
          <w:i/>
          <w:sz w:val="22"/>
          <w:lang w:eastAsia="es-MX"/>
        </w:rPr>
        <w:t>Artículo 8.- El Órgano Superior tendrá las siguientes atribuciones:</w:t>
      </w:r>
    </w:p>
    <w:p w14:paraId="46863D0B" w14:textId="500544B1" w:rsidR="00923A53" w:rsidRPr="00B61DF3" w:rsidRDefault="00923A53"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I.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w:t>
      </w:r>
    </w:p>
    <w:p w14:paraId="78462C3C" w14:textId="12B32C26" w:rsidR="00923A53" w:rsidRPr="00B61DF3" w:rsidRDefault="00923A53"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II a III</w:t>
      </w:r>
    </w:p>
    <w:p w14:paraId="58013BB6" w14:textId="77777777" w:rsidR="00923A53" w:rsidRPr="00B61DF3" w:rsidRDefault="00923A53"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 xml:space="preserve">V. Verificar que las entidades fiscalizables que hubieren recaudado, manejado, administrado o ejercido recursos públicos, se hayan conducido conforme a los programas aprobados y montos autorizados; y que los egresos se hayan ejercido con cargo a las partidas correspondientes y con apego a las disposiciones legales, reglamentarias y administrativas aplicables; </w:t>
      </w:r>
    </w:p>
    <w:p w14:paraId="0774A9EE" w14:textId="2B1ECF3E" w:rsidR="00923A53" w:rsidRPr="00B61DF3" w:rsidRDefault="00923A53"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VI. Practicar auditorías de desempeño en el cumplimiento de los objetivos contenidos en los programas, conforme a los indicadores que correspondan y evaluar la eficacia, eficiencia y economía en el uso de los recursos públicos por las entidades fiscalizables, la congruencia del ejercicio de los presupuestos con los programas y de estos con los planes y políticas públicas conforme a los estándares internacionales;</w:t>
      </w:r>
    </w:p>
    <w:p w14:paraId="797A2FF5" w14:textId="379C15AD" w:rsidR="00923A53" w:rsidRPr="00B61DF3" w:rsidRDefault="00923A53"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VII a XVIII</w:t>
      </w:r>
    </w:p>
    <w:p w14:paraId="6EAE9410" w14:textId="77777777" w:rsidR="00923A53" w:rsidRPr="00B61DF3" w:rsidRDefault="00923A53"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 xml:space="preserve">XIX. Requerir a las entidades fiscalizables la información, documentos físicos y/o electrónicos necesarios para los actos de fiscalización, así como solicitar a otras autoridades el auxilio o colaboración para el cumplimiento de sus atribuciones. </w:t>
      </w:r>
    </w:p>
    <w:p w14:paraId="091A8560" w14:textId="597B6A6C" w:rsidR="00923A53" w:rsidRPr="00B61DF3" w:rsidRDefault="00923A53"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 xml:space="preserve">La negativa a entregar información al Órgano Superior, así como los actos de simulación que se presenten para entorpecer y obstaculizar la actividad fiscalizadora será sancionada conforme a la Ley General de Responsabilidades Administrativas y Ley de Responsabilidades Administrativas del Estado de México y Municipios. </w:t>
      </w:r>
    </w:p>
    <w:p w14:paraId="5F45D68D" w14:textId="1544BD30" w:rsidR="00923A53" w:rsidRPr="00B61DF3" w:rsidRDefault="00923A53"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 xml:space="preserve">XX. Ejercer las atribuciones de la autoridad investigadora a que se refiere la Ley General de Responsabilidades Administrativas y la Ley de Responsabilidades Administrativas del Estado de México y Municipios. </w:t>
      </w:r>
    </w:p>
    <w:p w14:paraId="49472144" w14:textId="21875147" w:rsidR="00923A53" w:rsidRPr="00B61DF3" w:rsidRDefault="00923A53"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XXI. Ejercer las atribuciones de la autoridad substanciadora a que se refiere la Ley General de Responsabilidades Administrativas y la Ley de Responsabilidades Administrativas del Estado de México y Municipios.</w:t>
      </w:r>
    </w:p>
    <w:p w14:paraId="77E3462C" w14:textId="53FD6ED0" w:rsidR="00245CF7" w:rsidRPr="00B61DF3" w:rsidRDefault="00245CF7"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b/>
          <w:bCs/>
          <w:i/>
          <w:sz w:val="22"/>
          <w:lang w:eastAsia="es-MX"/>
        </w:rPr>
        <w:t>Artículo 55</w:t>
      </w:r>
      <w:r w:rsidRPr="00B61DF3">
        <w:rPr>
          <w:rFonts w:ascii="Palatino Linotype" w:eastAsia="Palatino Linotype" w:hAnsi="Palatino Linotype" w:cs="Palatino Linotype"/>
          <w:i/>
          <w:sz w:val="22"/>
          <w:lang w:eastAsia="es-MX"/>
        </w:rPr>
        <w:t>. A través del informe de presunta responsabilidad administrativa, una vez investigado y substanciado, el Órgano Superior promoverá ante el Tribunal de Justicia Administrativa del Estado de México, en los términos de la Ley General de Responsabilidades Administrativas y de la Ley de Responsabilidades Administrativas del Estado de México y Municipios, la imposición de sanciones a los servidores públicos por las faltas administrativas graves que conozca derivado de sus auditorías, investigaciones y/o denuncias, así como sanciones a los particulares, incluidos los de situación especial, vinculados con dichas faltas.</w:t>
      </w:r>
    </w:p>
    <w:p w14:paraId="7620A41D" w14:textId="77777777" w:rsidR="00245CF7" w:rsidRPr="00B61DF3" w:rsidRDefault="00245CF7"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 xml:space="preserve">Cuando el Órgano Superior detecte probables faltas administrativas y éstas no sean graves, por medio de las promociones de responsabilidad administrativa dará vista a la Secretaría de la Contraloría del Estado de México o a los órganos internos de control, remitiendo el expediente integrado, para que éstos continúen la investigación respectiva y, en su caso, inicie el proceso de responsabilidad administrativa correspondiente, en los términos de la Ley General de Responsabilidades Administrativas y la Ley de Responsabilidades Administrativas del Estado de México y Municipios. </w:t>
      </w:r>
    </w:p>
    <w:p w14:paraId="3546E258" w14:textId="77777777" w:rsidR="00245CF7" w:rsidRPr="00B61DF3" w:rsidRDefault="00245CF7"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 xml:space="preserve">Mediante las denuncias de hechos, hará del conocimiento de la Fiscalía General de Justicia del Estado de México, la posible comisión de hechos delictivos. </w:t>
      </w:r>
    </w:p>
    <w:p w14:paraId="19DA1DF7" w14:textId="77777777" w:rsidR="00245CF7" w:rsidRPr="00B61DF3" w:rsidRDefault="00245CF7"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i/>
          <w:sz w:val="22"/>
          <w:lang w:eastAsia="es-MX"/>
        </w:rPr>
        <w:t xml:space="preserve">A través de la denuncia de juicio político, hará del conocimiento de la Legislatura la presunción de actos u omisiones de los servidores públicos a que se refiere el artículo 110 de la Constitución Política de los Estados Unidos Mexicanos, y el Título Séptimo de la Constitución Política del Estado Libre y Soberano de México, que redunden en perjuicio de los intereses públicos fundamentales o de su buen despacho, a efecto de que se substancie el procedimiento y resuelva sobre la responsabilidad política correspondiente. </w:t>
      </w:r>
    </w:p>
    <w:p w14:paraId="7E186330" w14:textId="7B662D05" w:rsidR="00245CF7" w:rsidRPr="00B61DF3" w:rsidRDefault="00245CF7"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eastAsia="Palatino Linotype" w:hAnsi="Palatino Linotype" w:cs="Palatino Linotype"/>
          <w:b/>
          <w:i/>
          <w:sz w:val="22"/>
          <w:lang w:eastAsia="es-MX"/>
        </w:rPr>
        <w:t xml:space="preserve">Artículo 56. </w:t>
      </w:r>
      <w:r w:rsidRPr="00B61DF3">
        <w:rPr>
          <w:rFonts w:ascii="Palatino Linotype" w:eastAsia="Palatino Linotype" w:hAnsi="Palatino Linotype" w:cs="Palatino Linotype"/>
          <w:bCs/>
          <w:i/>
          <w:sz w:val="22"/>
          <w:lang w:eastAsia="es-MX"/>
        </w:rPr>
        <w:t>Las</w:t>
      </w:r>
      <w:r w:rsidRPr="00B61DF3">
        <w:rPr>
          <w:rFonts w:ascii="Palatino Linotype" w:eastAsia="Palatino Linotype" w:hAnsi="Palatino Linotype" w:cs="Palatino Linotype"/>
          <w:i/>
          <w:sz w:val="22"/>
          <w:lang w:eastAsia="es-MX"/>
        </w:rPr>
        <w:t xml:space="preserve"> responsabilidades derivadas de la aplicación de la Ley General de Responsabilidades Administrativas, de la Ley de Responsabilidades Administrativas del Estado de México y Municipios y de esta Ley, se fincarán independientemente de las que siendo de naturaleza diversa, procedan con base en otras leyes y de las sanciones de carácter penal que imponga la autoridad judicial.</w:t>
      </w:r>
    </w:p>
    <w:p w14:paraId="6925E26C" w14:textId="54771812" w:rsidR="00E01B1F" w:rsidRPr="00B61DF3" w:rsidRDefault="00E01B1F" w:rsidP="00B61DF3">
      <w:pPr>
        <w:pBdr>
          <w:top w:val="nil"/>
          <w:left w:val="nil"/>
          <w:bottom w:val="nil"/>
          <w:right w:val="nil"/>
          <w:between w:val="nil"/>
        </w:pBdr>
        <w:spacing w:before="100" w:beforeAutospacing="1" w:after="100" w:afterAutospacing="1"/>
        <w:ind w:left="851" w:right="902"/>
        <w:jc w:val="both"/>
        <w:rPr>
          <w:rFonts w:ascii="Palatino Linotype" w:hAnsi="Palatino Linotype"/>
          <w:bCs/>
          <w:i/>
          <w:sz w:val="22"/>
          <w:lang w:eastAsia="es-MX"/>
        </w:rPr>
      </w:pPr>
      <w:r w:rsidRPr="00B61DF3">
        <w:rPr>
          <w:rFonts w:ascii="Palatino Linotype" w:hAnsi="Palatino Linotype"/>
          <w:b/>
          <w:i/>
          <w:sz w:val="22"/>
          <w:lang w:eastAsia="es-MX"/>
        </w:rPr>
        <w:t>Artículo 57.</w:t>
      </w:r>
      <w:r w:rsidRPr="00B61DF3">
        <w:rPr>
          <w:rFonts w:ascii="Palatino Linotype" w:hAnsi="Palatino Linotype"/>
          <w:bCs/>
          <w:i/>
          <w:sz w:val="22"/>
          <w:lang w:eastAsia="es-MX"/>
        </w:rPr>
        <w:t xml:space="preserve"> El </w:t>
      </w:r>
      <w:proofErr w:type="spellStart"/>
      <w:r w:rsidRPr="00B61DF3">
        <w:rPr>
          <w:rFonts w:ascii="Palatino Linotype" w:hAnsi="Palatino Linotype"/>
          <w:bCs/>
          <w:i/>
          <w:sz w:val="22"/>
          <w:lang w:eastAsia="es-MX"/>
        </w:rPr>
        <w:t>fincamiento</w:t>
      </w:r>
      <w:proofErr w:type="spellEnd"/>
      <w:r w:rsidRPr="00B61DF3">
        <w:rPr>
          <w:rFonts w:ascii="Palatino Linotype" w:hAnsi="Palatino Linotype"/>
          <w:bCs/>
          <w:i/>
          <w:sz w:val="22"/>
          <w:lang w:eastAsia="es-MX"/>
        </w:rPr>
        <w:t xml:space="preserve"> de las responsabilidades resarcitorias a que haya lugar con motivo de la aplicación de esta Ley, se substanciará con arreglo al procedimiento previsto en la Ley General de Responsabilidades Administrativas y en la Ley de Responsabilidades Administrativas del Estado de México y Municipios. </w:t>
      </w:r>
    </w:p>
    <w:p w14:paraId="6D6C28D7" w14:textId="77777777" w:rsidR="00E01B1F" w:rsidRPr="00B61DF3" w:rsidRDefault="00E01B1F"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lang w:eastAsia="es-MX"/>
        </w:rPr>
      </w:pPr>
      <w:r w:rsidRPr="00B61DF3">
        <w:rPr>
          <w:rFonts w:ascii="Palatino Linotype" w:hAnsi="Palatino Linotype"/>
          <w:i/>
          <w:sz w:val="22"/>
          <w:lang w:eastAsia="es-MX"/>
        </w:rPr>
        <w:t>Lo anterior, sin perjuicio de la promoción de las demás responsabilidades administrativas que, en su caso, por faltas administrativas, se deriven de los actos de fiscalización.</w:t>
      </w:r>
      <w:r w:rsidRPr="00B61DF3">
        <w:rPr>
          <w:rFonts w:ascii="Palatino Linotype" w:eastAsia="Palatino Linotype" w:hAnsi="Palatino Linotype" w:cs="Palatino Linotype"/>
          <w:i/>
          <w:sz w:val="22"/>
          <w:lang w:eastAsia="es-MX"/>
        </w:rPr>
        <w:t>”</w:t>
      </w:r>
    </w:p>
    <w:p w14:paraId="209F885E" w14:textId="40B187F7" w:rsidR="00E01B1F" w:rsidRPr="00B61DF3" w:rsidRDefault="00E01B1F"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En este orden de ideas es imprescindible mencionar, que la Ley de Responsabilidades Administrativas vigente califica las responsabilidades en categorías, no como disciplinarias ni resarcitorias, sino como faltas administrativas graves y no graves</w:t>
      </w:r>
      <w:r w:rsidRPr="00B61DF3">
        <w:rPr>
          <w:rFonts w:ascii="Palatino Linotype" w:eastAsia="Palatino Linotype" w:hAnsi="Palatino Linotype" w:cs="Palatino Linotype"/>
          <w:vertAlign w:val="superscript"/>
          <w:lang w:eastAsia="es-MX"/>
        </w:rPr>
        <w:footnoteReference w:id="3"/>
      </w:r>
      <w:r w:rsidRPr="00B61DF3">
        <w:rPr>
          <w:rFonts w:ascii="Palatino Linotype" w:eastAsia="Palatino Linotype" w:hAnsi="Palatino Linotype" w:cs="Palatino Linotype"/>
          <w:lang w:eastAsia="es-MX"/>
        </w:rPr>
        <w:t>, mismas que se diferencian por  la autoridad quién imponga la sanción, ya que para el caso de las no graves la sanción corresponde a la Secretaría de la Contraloría del Estado de México y a los órganos internos de control, mientras que la sanción de las graves le corresponden al Tribunal de Justicia Administrativa del Estado de México, según se desprende del artículo 3, fracciones XII, XIII, XIV y XV de la misma Ley:</w:t>
      </w:r>
    </w:p>
    <w:p w14:paraId="233F30F4" w14:textId="77777777" w:rsidR="00E01B1F" w:rsidRPr="00B61DF3" w:rsidRDefault="00E01B1F" w:rsidP="00B61DF3">
      <w:pPr>
        <w:pBdr>
          <w:top w:val="nil"/>
          <w:left w:val="nil"/>
          <w:bottom w:val="nil"/>
          <w:right w:val="nil"/>
          <w:between w:val="nil"/>
        </w:pBdr>
        <w:tabs>
          <w:tab w:val="left" w:pos="7797"/>
        </w:tabs>
        <w:spacing w:before="100" w:beforeAutospacing="1" w:after="100" w:afterAutospacing="1"/>
        <w:ind w:left="851" w:right="1041"/>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“Artículo 3. Para los efectos de la presente Ley, se entenderá por:</w:t>
      </w:r>
    </w:p>
    <w:p w14:paraId="4A45B9F6" w14:textId="77777777" w:rsidR="00E01B1F" w:rsidRPr="00B61DF3" w:rsidRDefault="00E01B1F" w:rsidP="00B61DF3">
      <w:pPr>
        <w:pBdr>
          <w:top w:val="nil"/>
          <w:left w:val="nil"/>
          <w:bottom w:val="nil"/>
          <w:right w:val="nil"/>
          <w:between w:val="nil"/>
        </w:pBdr>
        <w:tabs>
          <w:tab w:val="left" w:pos="7797"/>
        </w:tabs>
        <w:spacing w:before="100" w:beforeAutospacing="1" w:after="100" w:afterAutospacing="1"/>
        <w:ind w:left="993" w:right="1041"/>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w:t>
      </w:r>
    </w:p>
    <w:p w14:paraId="6FFBEA7B" w14:textId="77777777" w:rsidR="00E01B1F" w:rsidRPr="00B61DF3" w:rsidRDefault="00E01B1F" w:rsidP="00B61DF3">
      <w:pPr>
        <w:pBdr>
          <w:top w:val="nil"/>
          <w:left w:val="nil"/>
          <w:bottom w:val="nil"/>
          <w:right w:val="nil"/>
          <w:between w:val="nil"/>
        </w:pBdr>
        <w:tabs>
          <w:tab w:val="left" w:pos="7797"/>
        </w:tabs>
        <w:spacing w:before="100" w:beforeAutospacing="1" w:after="100" w:afterAutospacing="1"/>
        <w:ind w:left="993" w:right="1041"/>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 xml:space="preserve">XII. Faltas administrativas: </w:t>
      </w:r>
      <w:r w:rsidRPr="00B61DF3">
        <w:rPr>
          <w:rFonts w:ascii="Palatino Linotype" w:eastAsia="Palatino Linotype" w:hAnsi="Palatino Linotype" w:cs="Palatino Linotype"/>
          <w:i/>
          <w:sz w:val="22"/>
          <w:szCs w:val="22"/>
          <w:lang w:eastAsia="es-MX"/>
        </w:rPr>
        <w:t xml:space="preserve">A las faltas administrativas graves y no graves, así como las faltas cometidas por particulares conforme a lo dispuesto en la presente Ley. </w:t>
      </w:r>
    </w:p>
    <w:p w14:paraId="2E5F61E7" w14:textId="77777777" w:rsidR="00E01B1F" w:rsidRPr="00B61DF3" w:rsidRDefault="00E01B1F" w:rsidP="00B61DF3">
      <w:pPr>
        <w:pBdr>
          <w:top w:val="nil"/>
          <w:left w:val="nil"/>
          <w:bottom w:val="nil"/>
          <w:right w:val="nil"/>
          <w:between w:val="nil"/>
        </w:pBdr>
        <w:tabs>
          <w:tab w:val="left" w:pos="7797"/>
        </w:tabs>
        <w:spacing w:before="100" w:beforeAutospacing="1" w:after="100" w:afterAutospacing="1"/>
        <w:ind w:left="993" w:right="1041"/>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 xml:space="preserve">XIII. Falta administrativa </w:t>
      </w:r>
      <w:r w:rsidRPr="00B61DF3">
        <w:rPr>
          <w:rFonts w:ascii="Palatino Linotype" w:eastAsia="Palatino Linotype" w:hAnsi="Palatino Linotype" w:cs="Palatino Linotype"/>
          <w:b/>
          <w:i/>
          <w:sz w:val="22"/>
          <w:szCs w:val="22"/>
          <w:u w:val="single"/>
          <w:lang w:eastAsia="es-MX"/>
        </w:rPr>
        <w:t>no grave</w:t>
      </w:r>
      <w:r w:rsidRPr="00B61DF3">
        <w:rPr>
          <w:rFonts w:ascii="Palatino Linotype" w:eastAsia="Palatino Linotype" w:hAnsi="Palatino Linotype" w:cs="Palatino Linotype"/>
          <w:b/>
          <w:i/>
          <w:sz w:val="22"/>
          <w:szCs w:val="22"/>
          <w:lang w:eastAsia="es-MX"/>
        </w:rPr>
        <w:t xml:space="preserve">: </w:t>
      </w:r>
      <w:r w:rsidRPr="00B61DF3">
        <w:rPr>
          <w:rFonts w:ascii="Palatino Linotype" w:eastAsia="Palatino Linotype" w:hAnsi="Palatino Linotype" w:cs="Palatino Linotype"/>
          <w:i/>
          <w:sz w:val="22"/>
          <w:szCs w:val="22"/>
          <w:lang w:eastAsia="es-MX"/>
        </w:rPr>
        <w:t xml:space="preserve">A las faltas administrativas de los servidores públicos en los términos de la presente Ley, </w:t>
      </w:r>
      <w:r w:rsidRPr="00B61DF3">
        <w:rPr>
          <w:rFonts w:ascii="Palatino Linotype" w:eastAsia="Palatino Linotype" w:hAnsi="Palatino Linotype" w:cs="Palatino Linotype"/>
          <w:b/>
          <w:i/>
          <w:sz w:val="22"/>
          <w:szCs w:val="22"/>
          <w:lang w:eastAsia="es-MX"/>
        </w:rPr>
        <w:t>cuya imposición de la sanción corresponde a la Secretaría de la Contraloría</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del Estado de México y a los órganos internos de control</w:t>
      </w:r>
      <w:r w:rsidRPr="00B61DF3">
        <w:rPr>
          <w:rFonts w:ascii="Palatino Linotype" w:eastAsia="Palatino Linotype" w:hAnsi="Palatino Linotype" w:cs="Palatino Linotype"/>
          <w:i/>
          <w:sz w:val="22"/>
          <w:szCs w:val="22"/>
          <w:lang w:eastAsia="es-MX"/>
        </w:rPr>
        <w:t>.</w:t>
      </w:r>
    </w:p>
    <w:p w14:paraId="1C3BA014" w14:textId="77777777" w:rsidR="00E01B1F" w:rsidRPr="00B61DF3" w:rsidRDefault="00E01B1F" w:rsidP="00B61DF3">
      <w:pPr>
        <w:pBdr>
          <w:top w:val="nil"/>
          <w:left w:val="nil"/>
          <w:bottom w:val="nil"/>
          <w:right w:val="nil"/>
          <w:between w:val="nil"/>
        </w:pBdr>
        <w:tabs>
          <w:tab w:val="left" w:pos="7797"/>
        </w:tabs>
        <w:spacing w:before="100" w:beforeAutospacing="1" w:after="100" w:afterAutospacing="1"/>
        <w:ind w:left="993" w:right="1041"/>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 xml:space="preserve"> XIV. Falta administrativa </w:t>
      </w:r>
      <w:r w:rsidRPr="00B61DF3">
        <w:rPr>
          <w:rFonts w:ascii="Palatino Linotype" w:eastAsia="Palatino Linotype" w:hAnsi="Palatino Linotype" w:cs="Palatino Linotype"/>
          <w:b/>
          <w:i/>
          <w:sz w:val="22"/>
          <w:szCs w:val="22"/>
          <w:u w:val="single"/>
          <w:lang w:eastAsia="es-MX"/>
        </w:rPr>
        <w:t>grave:</w:t>
      </w:r>
      <w:r w:rsidRPr="00B61DF3">
        <w:rPr>
          <w:rFonts w:ascii="Palatino Linotype" w:eastAsia="Palatino Linotype" w:hAnsi="Palatino Linotype" w:cs="Palatino Linotype"/>
          <w:b/>
          <w:i/>
          <w:sz w:val="22"/>
          <w:szCs w:val="22"/>
          <w:lang w:eastAsia="es-MX"/>
        </w:rPr>
        <w:t xml:space="preserve"> </w:t>
      </w:r>
      <w:r w:rsidRPr="00B61DF3">
        <w:rPr>
          <w:rFonts w:ascii="Palatino Linotype" w:eastAsia="Palatino Linotype" w:hAnsi="Palatino Linotype" w:cs="Palatino Linotype"/>
          <w:i/>
          <w:sz w:val="22"/>
          <w:szCs w:val="22"/>
          <w:lang w:eastAsia="es-MX"/>
        </w:rPr>
        <w:t xml:space="preserve">A las faltas administrativas de los servidores públicos catalogadas como graves en los términos de la presente Ley, </w:t>
      </w:r>
      <w:r w:rsidRPr="00B61DF3">
        <w:rPr>
          <w:rFonts w:ascii="Palatino Linotype" w:eastAsia="Palatino Linotype" w:hAnsi="Palatino Linotype" w:cs="Palatino Linotype"/>
          <w:b/>
          <w:i/>
          <w:sz w:val="22"/>
          <w:szCs w:val="22"/>
          <w:lang w:eastAsia="es-MX"/>
        </w:rPr>
        <w:t>cuya sanción corresponde al Tribunal de Justicia Administrativa del Estado de México.</w:t>
      </w:r>
    </w:p>
    <w:p w14:paraId="3678EBD8" w14:textId="77777777" w:rsidR="00E01B1F" w:rsidRPr="00B61DF3" w:rsidRDefault="00E01B1F" w:rsidP="00B61DF3">
      <w:pPr>
        <w:pBdr>
          <w:top w:val="nil"/>
          <w:left w:val="nil"/>
          <w:bottom w:val="nil"/>
          <w:right w:val="nil"/>
          <w:between w:val="nil"/>
        </w:pBdr>
        <w:tabs>
          <w:tab w:val="left" w:pos="7797"/>
        </w:tabs>
        <w:spacing w:before="100" w:beforeAutospacing="1" w:after="100" w:afterAutospacing="1"/>
        <w:ind w:left="993" w:right="1041"/>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 xml:space="preserve">XV. Faltas de particulares: </w:t>
      </w:r>
      <w:r w:rsidRPr="00B61DF3">
        <w:rPr>
          <w:rFonts w:ascii="Palatino Linotype" w:eastAsia="Palatino Linotype" w:hAnsi="Palatino Linotype" w:cs="Palatino Linotype"/>
          <w:i/>
          <w:sz w:val="22"/>
          <w:szCs w:val="22"/>
          <w:lang w:eastAsia="es-MX"/>
        </w:rPr>
        <w:t xml:space="preserve">A los actos u omisiones de personas físicas o jurídicas colectivas que se encuentran vinculadas con las faltas administrativas graves, establecidas en los Capítulos Tercero y Cuarto del Título Tercero de la presente Ley, </w:t>
      </w:r>
      <w:r w:rsidRPr="00B61DF3">
        <w:rPr>
          <w:rFonts w:ascii="Palatino Linotype" w:eastAsia="Palatino Linotype" w:hAnsi="Palatino Linotype" w:cs="Palatino Linotype"/>
          <w:b/>
          <w:i/>
          <w:sz w:val="22"/>
          <w:szCs w:val="22"/>
          <w:lang w:eastAsia="es-MX"/>
        </w:rPr>
        <w:t>cuya sanción corresponde al Tribunal de Justicia Administrativa del Estado de México</w:t>
      </w:r>
      <w:r w:rsidRPr="00B61DF3">
        <w:rPr>
          <w:rFonts w:ascii="Palatino Linotype" w:eastAsia="Palatino Linotype" w:hAnsi="Palatino Linotype" w:cs="Palatino Linotype"/>
          <w:i/>
          <w:sz w:val="22"/>
          <w:szCs w:val="22"/>
          <w:lang w:eastAsia="es-MX"/>
        </w:rPr>
        <w:t>.”</w:t>
      </w:r>
    </w:p>
    <w:p w14:paraId="0E2EDB6E" w14:textId="77777777" w:rsidR="00E01B1F" w:rsidRPr="00B61DF3" w:rsidRDefault="00E01B1F"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La Ley de mérito, también refiere que son sujetos de la misma, los servidores públicos de la administración estatal y municipal, aquellas personas que habiendo fungido como servidores públicos se encuentran en alguno de los supuestos de la Ley, así como los particulares vinculados por faltas administrativas graves</w:t>
      </w:r>
      <w:r w:rsidRPr="00B61DF3">
        <w:rPr>
          <w:rFonts w:ascii="Palatino Linotype" w:eastAsia="Palatino Linotype" w:hAnsi="Palatino Linotype" w:cs="Palatino Linotype"/>
          <w:vertAlign w:val="superscript"/>
          <w:lang w:eastAsia="es-MX"/>
        </w:rPr>
        <w:footnoteReference w:id="4"/>
      </w:r>
      <w:r w:rsidRPr="00B61DF3">
        <w:rPr>
          <w:rFonts w:ascii="Palatino Linotype" w:eastAsia="Palatino Linotype" w:hAnsi="Palatino Linotype" w:cs="Palatino Linotype"/>
          <w:lang w:eastAsia="es-MX"/>
        </w:rPr>
        <w:t>, por lo cual determina que las autoridades facultadas para la aplicación de la Ley serán las siguientes:</w:t>
      </w:r>
    </w:p>
    <w:p w14:paraId="36A4BD3D" w14:textId="77777777" w:rsidR="00E01B1F" w:rsidRPr="00B61DF3" w:rsidRDefault="00E01B1F"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“Artículo 9. En el ámbito de su competencia, son autoridades facultadas para aplicar la presente Ley:</w:t>
      </w:r>
    </w:p>
    <w:p w14:paraId="68FCA26D" w14:textId="77777777" w:rsidR="00E01B1F" w:rsidRPr="00B61DF3" w:rsidRDefault="00E01B1F" w:rsidP="00B61DF3">
      <w:pPr>
        <w:numPr>
          <w:ilvl w:val="0"/>
          <w:numId w:val="36"/>
        </w:numPr>
        <w:pBdr>
          <w:top w:val="nil"/>
          <w:left w:val="nil"/>
          <w:bottom w:val="nil"/>
          <w:right w:val="nil"/>
          <w:between w:val="nil"/>
        </w:pBdr>
        <w:spacing w:before="100" w:beforeAutospacing="1" w:after="100" w:afterAutospacing="1"/>
        <w:ind w:left="993" w:right="902" w:firstLine="0"/>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i/>
          <w:sz w:val="22"/>
          <w:szCs w:val="22"/>
          <w:lang w:eastAsia="es-MX"/>
        </w:rPr>
        <w:t>La Secretaría de la Contraloría</w:t>
      </w:r>
      <w:r w:rsidRPr="00B61DF3">
        <w:rPr>
          <w:rFonts w:ascii="Palatino Linotype" w:eastAsia="Palatino Linotype" w:hAnsi="Palatino Linotype" w:cs="Palatino Linotype"/>
          <w:b/>
          <w:i/>
          <w:sz w:val="22"/>
          <w:szCs w:val="22"/>
          <w:lang w:eastAsia="es-MX"/>
        </w:rPr>
        <w:t xml:space="preserve">. </w:t>
      </w:r>
    </w:p>
    <w:p w14:paraId="3EF02490" w14:textId="77777777" w:rsidR="00E01B1F" w:rsidRPr="00B61DF3" w:rsidRDefault="00E01B1F" w:rsidP="00B61DF3">
      <w:pPr>
        <w:numPr>
          <w:ilvl w:val="0"/>
          <w:numId w:val="36"/>
        </w:numPr>
        <w:pBdr>
          <w:top w:val="nil"/>
          <w:left w:val="nil"/>
          <w:bottom w:val="nil"/>
          <w:right w:val="nil"/>
          <w:between w:val="nil"/>
        </w:pBdr>
        <w:spacing w:before="100" w:beforeAutospacing="1" w:after="100" w:afterAutospacing="1"/>
        <w:ind w:left="993" w:right="902" w:firstLine="0"/>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 xml:space="preserve">El Órgano Superior de Fiscalización. </w:t>
      </w:r>
    </w:p>
    <w:p w14:paraId="1DB7708C" w14:textId="77777777" w:rsidR="00E01B1F" w:rsidRPr="00B61DF3" w:rsidRDefault="00E01B1F" w:rsidP="00B61DF3">
      <w:pPr>
        <w:numPr>
          <w:ilvl w:val="0"/>
          <w:numId w:val="36"/>
        </w:numPr>
        <w:pBdr>
          <w:top w:val="nil"/>
          <w:left w:val="nil"/>
          <w:bottom w:val="nil"/>
          <w:right w:val="nil"/>
          <w:between w:val="nil"/>
        </w:pBdr>
        <w:spacing w:before="100" w:beforeAutospacing="1" w:after="100" w:afterAutospacing="1"/>
        <w:ind w:left="993" w:right="902" w:firstLine="0"/>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i/>
          <w:sz w:val="22"/>
          <w:szCs w:val="22"/>
          <w:lang w:eastAsia="es-MX"/>
        </w:rPr>
        <w:t>El Tribunal de Justicia Administrativa</w:t>
      </w:r>
      <w:r w:rsidRPr="00B61DF3">
        <w:rPr>
          <w:rFonts w:ascii="Palatino Linotype" w:eastAsia="Palatino Linotype" w:hAnsi="Palatino Linotype" w:cs="Palatino Linotype"/>
          <w:b/>
          <w:i/>
          <w:sz w:val="22"/>
          <w:szCs w:val="22"/>
          <w:lang w:eastAsia="es-MX"/>
        </w:rPr>
        <w:t xml:space="preserve">. </w:t>
      </w:r>
    </w:p>
    <w:p w14:paraId="2165623C" w14:textId="77777777" w:rsidR="00E01B1F" w:rsidRPr="00B61DF3" w:rsidRDefault="00E01B1F" w:rsidP="00B61DF3">
      <w:pPr>
        <w:numPr>
          <w:ilvl w:val="0"/>
          <w:numId w:val="36"/>
        </w:numPr>
        <w:pBdr>
          <w:top w:val="nil"/>
          <w:left w:val="nil"/>
          <w:bottom w:val="nil"/>
          <w:right w:val="nil"/>
          <w:between w:val="nil"/>
        </w:pBdr>
        <w:spacing w:before="100" w:beforeAutospacing="1" w:after="100" w:afterAutospacing="1"/>
        <w:ind w:left="993" w:right="902" w:firstLine="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El Consejo de la Judicatura auxiliándose de su órgano interno de control. </w:t>
      </w:r>
    </w:p>
    <w:p w14:paraId="49765430" w14:textId="77777777" w:rsidR="00E01B1F" w:rsidRPr="00B61DF3" w:rsidRDefault="00E01B1F" w:rsidP="00B61DF3">
      <w:pPr>
        <w:numPr>
          <w:ilvl w:val="0"/>
          <w:numId w:val="36"/>
        </w:numPr>
        <w:pBdr>
          <w:top w:val="nil"/>
          <w:left w:val="nil"/>
          <w:bottom w:val="nil"/>
          <w:right w:val="nil"/>
          <w:between w:val="nil"/>
        </w:pBdr>
        <w:spacing w:before="100" w:beforeAutospacing="1" w:after="100" w:afterAutospacing="1"/>
        <w:ind w:left="993" w:right="902" w:firstLine="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Los síndicos municipales y el órgano de contraloría interna municipal. </w:t>
      </w:r>
    </w:p>
    <w:p w14:paraId="5B889EB6" w14:textId="77777777" w:rsidR="00E01B1F" w:rsidRPr="00B61DF3" w:rsidRDefault="00E01B1F" w:rsidP="00B61DF3">
      <w:pPr>
        <w:numPr>
          <w:ilvl w:val="0"/>
          <w:numId w:val="36"/>
        </w:numPr>
        <w:pBdr>
          <w:top w:val="nil"/>
          <w:left w:val="nil"/>
          <w:bottom w:val="nil"/>
          <w:right w:val="nil"/>
          <w:between w:val="nil"/>
        </w:pBdr>
        <w:spacing w:before="100" w:beforeAutospacing="1" w:after="100" w:afterAutospacing="1"/>
        <w:ind w:left="993" w:right="902" w:firstLine="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Los órganos constitucionales autónomos.</w:t>
      </w:r>
    </w:p>
    <w:p w14:paraId="233D8DD3" w14:textId="77777777" w:rsidR="00E01B1F" w:rsidRPr="00B61DF3" w:rsidRDefault="00E01B1F" w:rsidP="00B61DF3">
      <w:pPr>
        <w:numPr>
          <w:ilvl w:val="0"/>
          <w:numId w:val="36"/>
        </w:numPr>
        <w:pBdr>
          <w:top w:val="nil"/>
          <w:left w:val="nil"/>
          <w:bottom w:val="nil"/>
          <w:right w:val="nil"/>
          <w:between w:val="nil"/>
        </w:pBdr>
        <w:spacing w:before="100" w:beforeAutospacing="1" w:after="100" w:afterAutospacing="1"/>
        <w:ind w:left="993" w:right="902" w:firstLine="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Las unidades de responsabilidades de las empresas de participación estatal o municipal, de conformidad con las leyes que las regulan. Para tal efecto contarán exclusivamente con las siguientes atribuciones: </w:t>
      </w:r>
    </w:p>
    <w:p w14:paraId="0B76AC1A" w14:textId="77777777" w:rsidR="00E01B1F" w:rsidRPr="00B61DF3" w:rsidRDefault="00E01B1F" w:rsidP="00B61DF3">
      <w:pPr>
        <w:numPr>
          <w:ilvl w:val="0"/>
          <w:numId w:val="37"/>
        </w:numPr>
        <w:pBdr>
          <w:top w:val="nil"/>
          <w:left w:val="nil"/>
          <w:bottom w:val="nil"/>
          <w:right w:val="nil"/>
          <w:between w:val="nil"/>
        </w:pBdr>
        <w:spacing w:before="100" w:beforeAutospacing="1" w:after="100" w:afterAutospacing="1"/>
        <w:ind w:left="1134" w:right="902" w:firstLine="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Las que esta Ley prevé para las autoridades investigadoras y substanciadoras. </w:t>
      </w:r>
    </w:p>
    <w:p w14:paraId="62B509C1" w14:textId="77777777" w:rsidR="00E01B1F" w:rsidRPr="00B61DF3" w:rsidRDefault="00E01B1F" w:rsidP="00B61DF3">
      <w:pPr>
        <w:numPr>
          <w:ilvl w:val="0"/>
          <w:numId w:val="37"/>
        </w:numPr>
        <w:pBdr>
          <w:top w:val="nil"/>
          <w:left w:val="nil"/>
          <w:bottom w:val="nil"/>
          <w:right w:val="nil"/>
          <w:between w:val="nil"/>
        </w:pBdr>
        <w:spacing w:before="100" w:beforeAutospacing="1" w:after="100" w:afterAutospacing="1"/>
        <w:ind w:left="1134" w:right="902" w:firstLine="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Las necesarias para imponer sanciones por faltas administrativas no graves.</w:t>
      </w:r>
    </w:p>
    <w:p w14:paraId="564426AD" w14:textId="77777777" w:rsidR="00E01B1F" w:rsidRPr="00B61DF3" w:rsidRDefault="00E01B1F" w:rsidP="00B61DF3">
      <w:pPr>
        <w:numPr>
          <w:ilvl w:val="0"/>
          <w:numId w:val="37"/>
        </w:numPr>
        <w:pBdr>
          <w:top w:val="nil"/>
          <w:left w:val="nil"/>
          <w:bottom w:val="nil"/>
          <w:right w:val="nil"/>
          <w:between w:val="nil"/>
        </w:pBdr>
        <w:spacing w:before="100" w:beforeAutospacing="1" w:after="100" w:afterAutospacing="1"/>
        <w:ind w:left="1134" w:right="902" w:firstLine="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Las relacionadas con la plataforma digital estatal en los términos previstos en esta Ley. </w:t>
      </w:r>
    </w:p>
    <w:p w14:paraId="0F8C9477" w14:textId="77777777" w:rsidR="00E01B1F" w:rsidRPr="00B61DF3" w:rsidRDefault="00E01B1F" w:rsidP="00B61DF3">
      <w:pPr>
        <w:pBdr>
          <w:top w:val="nil"/>
          <w:left w:val="nil"/>
          <w:bottom w:val="nil"/>
          <w:right w:val="nil"/>
          <w:between w:val="nil"/>
        </w:pBdr>
        <w:spacing w:before="100" w:beforeAutospacing="1" w:after="100" w:afterAutospacing="1"/>
        <w:ind w:left="993" w:right="902"/>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 xml:space="preserve">VIII. </w:t>
      </w:r>
      <w:r w:rsidRPr="00B61DF3">
        <w:rPr>
          <w:rFonts w:ascii="Palatino Linotype" w:eastAsia="Palatino Linotype" w:hAnsi="Palatino Linotype" w:cs="Palatino Linotype"/>
          <w:i/>
          <w:sz w:val="22"/>
          <w:szCs w:val="22"/>
          <w:lang w:eastAsia="es-MX"/>
        </w:rPr>
        <w:t>Los órganos internos de control.</w:t>
      </w:r>
      <w:r w:rsidRPr="00B61DF3">
        <w:rPr>
          <w:rFonts w:ascii="Palatino Linotype" w:eastAsia="Palatino Linotype" w:hAnsi="Palatino Linotype" w:cs="Palatino Linotype"/>
          <w:b/>
          <w:i/>
          <w:sz w:val="22"/>
          <w:szCs w:val="22"/>
          <w:lang w:eastAsia="es-MX"/>
        </w:rPr>
        <w:t xml:space="preserve"> </w:t>
      </w:r>
    </w:p>
    <w:p w14:paraId="1F285600" w14:textId="77777777" w:rsidR="00E01B1F" w:rsidRPr="00B61DF3" w:rsidRDefault="00E01B1F" w:rsidP="00B61DF3">
      <w:pPr>
        <w:numPr>
          <w:ilvl w:val="0"/>
          <w:numId w:val="38"/>
        </w:numPr>
        <w:pBdr>
          <w:top w:val="nil"/>
          <w:left w:val="nil"/>
          <w:bottom w:val="nil"/>
          <w:right w:val="nil"/>
          <w:between w:val="nil"/>
        </w:pBdr>
        <w:spacing w:before="100" w:beforeAutospacing="1" w:after="100" w:afterAutospacing="1"/>
        <w:ind w:left="993" w:right="902" w:firstLine="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La Contraloría del Poder Legislativo.</w:t>
      </w:r>
    </w:p>
    <w:p w14:paraId="6977FD63" w14:textId="77777777" w:rsidR="00E01B1F" w:rsidRPr="00B61DF3" w:rsidRDefault="00E01B1F" w:rsidP="00B61DF3">
      <w:pPr>
        <w:pBdr>
          <w:top w:val="nil"/>
          <w:left w:val="nil"/>
          <w:bottom w:val="nil"/>
          <w:right w:val="nil"/>
          <w:between w:val="nil"/>
        </w:pBdr>
        <w:spacing w:before="100" w:beforeAutospacing="1" w:after="100" w:afterAutospacing="1"/>
        <w:ind w:left="993"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 xml:space="preserve">X. </w:t>
      </w:r>
      <w:r w:rsidRPr="00B61DF3">
        <w:rPr>
          <w:rFonts w:ascii="Palatino Linotype" w:eastAsia="Palatino Linotype" w:hAnsi="Palatino Linotype" w:cs="Palatino Linotype"/>
          <w:i/>
          <w:sz w:val="22"/>
          <w:szCs w:val="22"/>
          <w:lang w:eastAsia="es-MX"/>
        </w:rPr>
        <w:t>Las demás autoridades que determinen las leyes.</w:t>
      </w:r>
    </w:p>
    <w:p w14:paraId="3B40B26E" w14:textId="77777777" w:rsidR="00E01B1F" w:rsidRPr="00B61DF3" w:rsidRDefault="00E01B1F" w:rsidP="00B61DF3">
      <w:pPr>
        <w:spacing w:before="100" w:beforeAutospacing="1" w:after="100" w:afterAutospacing="1"/>
        <w:ind w:left="851"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Artículo 10</w:t>
      </w:r>
      <w:r w:rsidRPr="00B61DF3">
        <w:rPr>
          <w:rFonts w:ascii="Palatino Linotype" w:eastAsia="Palatino Linotype" w:hAnsi="Palatino Linotype" w:cs="Palatino Linotype"/>
          <w:i/>
          <w:sz w:val="22"/>
          <w:szCs w:val="22"/>
          <w:lang w:eastAsia="es-MX"/>
        </w:rPr>
        <w:t xml:space="preserve">. La Secretaría de la Contraloría y </w:t>
      </w:r>
      <w:r w:rsidRPr="00B61DF3">
        <w:rPr>
          <w:rFonts w:ascii="Palatino Linotype" w:eastAsia="Palatino Linotype" w:hAnsi="Palatino Linotype" w:cs="Palatino Linotype"/>
          <w:b/>
          <w:i/>
          <w:sz w:val="22"/>
          <w:szCs w:val="22"/>
          <w:lang w:eastAsia="es-MX"/>
        </w:rPr>
        <w:t>los órganos internos de control tendrán a su cargo, en el ámbito de su competencia, la investigación, substanciación y calificación de las faltas administrativas</w:t>
      </w:r>
      <w:r w:rsidRPr="00B61DF3">
        <w:rPr>
          <w:rFonts w:ascii="Palatino Linotype" w:eastAsia="Palatino Linotype" w:hAnsi="Palatino Linotype" w:cs="Palatino Linotype"/>
          <w:i/>
          <w:sz w:val="22"/>
          <w:szCs w:val="22"/>
          <w:lang w:eastAsia="es-MX"/>
        </w:rPr>
        <w:t>.</w:t>
      </w:r>
    </w:p>
    <w:p w14:paraId="3C09FC47" w14:textId="77777777" w:rsidR="00E01B1F" w:rsidRPr="00B61DF3" w:rsidRDefault="00E01B1F" w:rsidP="00B61DF3">
      <w:pPr>
        <w:spacing w:before="100" w:beforeAutospacing="1" w:after="100" w:afterAutospacing="1"/>
        <w:ind w:left="851"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En el caso de la Contraloría del Poder Legislativo, será competente respecto de los servidores públicos de elección popular municipal y de los mismos servidores públicos del Poder Legislativo. </w:t>
      </w:r>
    </w:p>
    <w:p w14:paraId="66201339" w14:textId="77777777" w:rsidR="00E01B1F" w:rsidRPr="00B61DF3" w:rsidRDefault="00E01B1F"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 xml:space="preserve">Tratándose de actos u omisiones que hayan sido calificados como </w:t>
      </w:r>
      <w:r w:rsidRPr="00B61DF3">
        <w:rPr>
          <w:rFonts w:ascii="Palatino Linotype" w:eastAsia="Palatino Linotype" w:hAnsi="Palatino Linotype" w:cs="Palatino Linotype"/>
          <w:b/>
          <w:i/>
          <w:sz w:val="22"/>
          <w:szCs w:val="22"/>
          <w:u w:val="single"/>
          <w:lang w:eastAsia="es-MX"/>
        </w:rPr>
        <w:t>faltas administrativas no graves</w:t>
      </w:r>
      <w:r w:rsidRPr="00B61DF3">
        <w:rPr>
          <w:rFonts w:ascii="Palatino Linotype" w:eastAsia="Palatino Linotype" w:hAnsi="Palatino Linotype" w:cs="Palatino Linotype"/>
          <w:b/>
          <w:i/>
          <w:sz w:val="22"/>
          <w:szCs w:val="22"/>
          <w:lang w:eastAsia="es-MX"/>
        </w:rPr>
        <w:t>,</w:t>
      </w:r>
      <w:r w:rsidRPr="00B61DF3">
        <w:rPr>
          <w:rFonts w:ascii="Palatino Linotype" w:eastAsia="Palatino Linotype" w:hAnsi="Palatino Linotype" w:cs="Palatino Linotype"/>
          <w:i/>
          <w:sz w:val="22"/>
          <w:szCs w:val="22"/>
          <w:lang w:eastAsia="es-MX"/>
        </w:rPr>
        <w:t xml:space="preserve"> la Secretaría de la Contraloría y </w:t>
      </w:r>
      <w:r w:rsidRPr="00B61DF3">
        <w:rPr>
          <w:rFonts w:ascii="Palatino Linotype" w:eastAsia="Palatino Linotype" w:hAnsi="Palatino Linotype" w:cs="Palatino Linotype"/>
          <w:b/>
          <w:i/>
          <w:sz w:val="22"/>
          <w:szCs w:val="22"/>
          <w:u w:val="single"/>
          <w:lang w:eastAsia="es-MX"/>
        </w:rPr>
        <w:t>los órganos internos de control, serán competentes para iniciar, substanciar y resolver los procedimientos de responsabilidad administrativa</w:t>
      </w:r>
      <w:r w:rsidRPr="00B61DF3">
        <w:rPr>
          <w:rFonts w:ascii="Palatino Linotype" w:eastAsia="Palatino Linotype" w:hAnsi="Palatino Linotype" w:cs="Palatino Linotype"/>
          <w:i/>
          <w:sz w:val="22"/>
          <w:szCs w:val="22"/>
          <w:lang w:eastAsia="es-MX"/>
        </w:rPr>
        <w:t xml:space="preserve"> en los términos previstos en esta Ley.</w:t>
      </w:r>
      <w:r w:rsidRPr="00B61DF3">
        <w:rPr>
          <w:rFonts w:ascii="Palatino Linotype" w:eastAsia="Palatino Linotype" w:hAnsi="Palatino Linotype" w:cs="Palatino Linotype"/>
          <w:b/>
          <w:i/>
          <w:sz w:val="22"/>
          <w:szCs w:val="22"/>
          <w:lang w:eastAsia="es-MX"/>
        </w:rPr>
        <w:t>”</w:t>
      </w:r>
    </w:p>
    <w:p w14:paraId="778E4CF7" w14:textId="77777777" w:rsidR="00E01B1F" w:rsidRPr="00B61DF3" w:rsidRDefault="00E01B1F" w:rsidP="00B61DF3">
      <w:pPr>
        <w:pBdr>
          <w:top w:val="nil"/>
          <w:left w:val="nil"/>
          <w:bottom w:val="nil"/>
          <w:right w:val="nil"/>
          <w:between w:val="nil"/>
        </w:pBdr>
        <w:spacing w:before="100" w:beforeAutospacing="1" w:after="100" w:afterAutospacing="1"/>
        <w:ind w:left="851"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w:t>
      </w:r>
    </w:p>
    <w:p w14:paraId="292BA913" w14:textId="77777777" w:rsidR="00E01B1F" w:rsidRPr="00B61DF3" w:rsidRDefault="00E01B1F"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Artículo 12.</w:t>
      </w:r>
      <w:r w:rsidRPr="00B61DF3">
        <w:rPr>
          <w:rFonts w:ascii="Palatino Linotype" w:eastAsia="Palatino Linotype" w:hAnsi="Palatino Linotype" w:cs="Palatino Linotype"/>
          <w:i/>
          <w:sz w:val="22"/>
          <w:szCs w:val="22"/>
          <w:lang w:eastAsia="es-MX"/>
        </w:rPr>
        <w:t xml:space="preserve"> El </w:t>
      </w:r>
      <w:r w:rsidRPr="00B61DF3">
        <w:rPr>
          <w:rFonts w:ascii="Palatino Linotype" w:eastAsia="Palatino Linotype" w:hAnsi="Palatino Linotype" w:cs="Palatino Linotype"/>
          <w:b/>
          <w:i/>
          <w:sz w:val="22"/>
          <w:szCs w:val="22"/>
          <w:u w:val="single"/>
          <w:lang w:eastAsia="es-MX"/>
        </w:rPr>
        <w:t>Órgano Superior de Fiscalización</w:t>
      </w:r>
      <w:r w:rsidRPr="00B61DF3">
        <w:rPr>
          <w:rFonts w:ascii="Palatino Linotype" w:eastAsia="Palatino Linotype" w:hAnsi="Palatino Linotype" w:cs="Palatino Linotype"/>
          <w:i/>
          <w:sz w:val="22"/>
          <w:szCs w:val="22"/>
          <w:lang w:eastAsia="es-MX"/>
        </w:rPr>
        <w:t xml:space="preserve"> será competente </w:t>
      </w:r>
      <w:r w:rsidRPr="00B61DF3">
        <w:rPr>
          <w:rFonts w:ascii="Palatino Linotype" w:eastAsia="Palatino Linotype" w:hAnsi="Palatino Linotype" w:cs="Palatino Linotype"/>
          <w:b/>
          <w:i/>
          <w:sz w:val="22"/>
          <w:szCs w:val="22"/>
          <w:lang w:eastAsia="es-MX"/>
        </w:rPr>
        <w:t xml:space="preserve">para investigar y substanciar el procedimiento por </w:t>
      </w:r>
      <w:r w:rsidRPr="00B61DF3">
        <w:rPr>
          <w:rFonts w:ascii="Palatino Linotype" w:eastAsia="Palatino Linotype" w:hAnsi="Palatino Linotype" w:cs="Palatino Linotype"/>
          <w:b/>
          <w:i/>
          <w:sz w:val="22"/>
          <w:szCs w:val="22"/>
          <w:u w:val="single"/>
          <w:lang w:eastAsia="es-MX"/>
        </w:rPr>
        <w:t>las faltas administrativas graves</w:t>
      </w:r>
      <w:r w:rsidRPr="00B61DF3">
        <w:rPr>
          <w:rFonts w:ascii="Palatino Linotype" w:eastAsia="Palatino Linotype" w:hAnsi="Palatino Linotype" w:cs="Palatino Linotype"/>
          <w:i/>
          <w:sz w:val="22"/>
          <w:szCs w:val="22"/>
          <w:u w:val="single"/>
          <w:lang w:eastAsia="es-MX"/>
        </w:rPr>
        <w:t xml:space="preserve">. </w:t>
      </w:r>
    </w:p>
    <w:p w14:paraId="0B0215CC" w14:textId="77777777" w:rsidR="00E01B1F" w:rsidRPr="00B61DF3" w:rsidRDefault="00E01B1F"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En caso que el Órgano Superior de Fiscalización tenga conocimiento o detecte posibles faltas administrativas no graves, dará vista a la Secretaría de la Contraloría o a los órganos internos de control, según corresponda, para que continúen la investigación respectiva y promuevan las acciones procedentes. </w:t>
      </w:r>
    </w:p>
    <w:p w14:paraId="6A0AE90E" w14:textId="77777777" w:rsidR="00E01B1F" w:rsidRPr="00B61DF3" w:rsidRDefault="00E01B1F"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En los casos en que, derivado de sus investigaciones, exista la presunta comisión de delitos, presentará las denuncias correspondientes ante la Fiscalía competente.</w:t>
      </w:r>
    </w:p>
    <w:p w14:paraId="3F9BB5E6" w14:textId="77777777" w:rsidR="00E01B1F" w:rsidRPr="00B61DF3" w:rsidRDefault="00E01B1F" w:rsidP="00B61DF3">
      <w:pPr>
        <w:pBdr>
          <w:top w:val="nil"/>
          <w:left w:val="nil"/>
          <w:bottom w:val="nil"/>
          <w:right w:val="nil"/>
          <w:between w:val="nil"/>
        </w:pBd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Artículo 13.</w:t>
      </w:r>
      <w:r w:rsidRPr="00B61DF3">
        <w:rPr>
          <w:rFonts w:ascii="Palatino Linotype" w:eastAsia="Palatino Linotype" w:hAnsi="Palatino Linotype" w:cs="Palatino Linotype"/>
          <w:i/>
          <w:sz w:val="22"/>
          <w:szCs w:val="22"/>
          <w:lang w:eastAsia="es-MX"/>
        </w:rPr>
        <w:t xml:space="preserve"> El </w:t>
      </w:r>
      <w:r w:rsidRPr="00B61DF3">
        <w:rPr>
          <w:rFonts w:ascii="Palatino Linotype" w:eastAsia="Palatino Linotype" w:hAnsi="Palatino Linotype" w:cs="Palatino Linotype"/>
          <w:b/>
          <w:i/>
          <w:sz w:val="22"/>
          <w:szCs w:val="22"/>
          <w:lang w:eastAsia="es-MX"/>
        </w:rPr>
        <w:t>Tribunal de Justicia Administrativa</w:t>
      </w:r>
      <w:r w:rsidRPr="00B61DF3">
        <w:rPr>
          <w:rFonts w:ascii="Palatino Linotype" w:eastAsia="Palatino Linotype" w:hAnsi="Palatino Linotype" w:cs="Palatino Linotype"/>
          <w:i/>
          <w:sz w:val="22"/>
          <w:szCs w:val="22"/>
          <w:lang w:eastAsia="es-MX"/>
        </w:rPr>
        <w:t xml:space="preserve">, además de las facultades y atribuciones conferidas en su legislación orgánica y demás normatividad aplicable, </w:t>
      </w:r>
      <w:r w:rsidRPr="00B61DF3">
        <w:rPr>
          <w:rFonts w:ascii="Palatino Linotype" w:eastAsia="Palatino Linotype" w:hAnsi="Palatino Linotype" w:cs="Palatino Linotype"/>
          <w:b/>
          <w:i/>
          <w:sz w:val="22"/>
          <w:szCs w:val="22"/>
          <w:lang w:eastAsia="es-MX"/>
        </w:rPr>
        <w:t>estará facultado para resolver la imposición de sanciones por la comisión de faltas administrativas graves y de faltas de particulares</w:t>
      </w:r>
      <w:r w:rsidRPr="00B61DF3">
        <w:rPr>
          <w:rFonts w:ascii="Palatino Linotype" w:eastAsia="Palatino Linotype" w:hAnsi="Palatino Linotype" w:cs="Palatino Linotype"/>
          <w:i/>
          <w:sz w:val="22"/>
          <w:szCs w:val="22"/>
          <w:lang w:eastAsia="es-MX"/>
        </w:rPr>
        <w:t>, conforme a los procedimientos previstos en la presente Ley”</w:t>
      </w:r>
    </w:p>
    <w:p w14:paraId="539DFD0A" w14:textId="77777777" w:rsidR="00E01B1F" w:rsidRPr="00B61DF3" w:rsidRDefault="00E01B1F"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Como se puede advertir de los preceptos normativos citados, se faculta a distintas autoridades para la aplicación de la norma, sin embargo, cada una cuenta con un ámbito específico, esto es:</w:t>
      </w:r>
    </w:p>
    <w:p w14:paraId="6F014338" w14:textId="77777777" w:rsidR="00E01B1F" w:rsidRPr="00B61DF3" w:rsidRDefault="00E01B1F" w:rsidP="00B61DF3">
      <w:pPr>
        <w:numPr>
          <w:ilvl w:val="0"/>
          <w:numId w:val="39"/>
        </w:num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La Secretaría de la Contraloría y los Órganos Internos de Control son competentes para investigar, substanciar y calificar las faltas administrativas en general conforme a su esfera de competencias.</w:t>
      </w:r>
    </w:p>
    <w:p w14:paraId="1E7CAC57" w14:textId="77777777" w:rsidR="00E01B1F" w:rsidRPr="00B61DF3" w:rsidRDefault="00E01B1F" w:rsidP="00B61DF3">
      <w:pPr>
        <w:numPr>
          <w:ilvl w:val="0"/>
          <w:numId w:val="39"/>
        </w:num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La Contraloría del Poder Legislativo es competente sólo respecto de los servidores públicos del Poder Legislativo y los servidores públicos de elección popular municipal -es decir de los integrantes del Ayuntamiento-.</w:t>
      </w:r>
    </w:p>
    <w:p w14:paraId="2FEC35C9" w14:textId="77777777" w:rsidR="00E01B1F" w:rsidRPr="00B61DF3" w:rsidRDefault="00E01B1F"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Respecto de los procedimientos de responsabilidades administrativas:</w:t>
      </w:r>
    </w:p>
    <w:p w14:paraId="13D831FE" w14:textId="77777777" w:rsidR="00E01B1F" w:rsidRPr="00B61DF3" w:rsidRDefault="00E01B1F" w:rsidP="00B61DF3">
      <w:pPr>
        <w:numPr>
          <w:ilvl w:val="0"/>
          <w:numId w:val="39"/>
        </w:num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La Secretaría de la Contraloría y los Órganos Internos de Control, son competentes únicamente para iniciar, substanciar y resolver los procedimientos cuando deriven de faltas administrativas calificadas como no graves.</w:t>
      </w:r>
    </w:p>
    <w:p w14:paraId="6802AC2C" w14:textId="77777777" w:rsidR="00E01B1F" w:rsidRPr="00B61DF3" w:rsidRDefault="00E01B1F" w:rsidP="00B61DF3">
      <w:pPr>
        <w:numPr>
          <w:ilvl w:val="0"/>
          <w:numId w:val="39"/>
        </w:num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El Órgano Superior de Fiscalización es competente sólo para investigar y sustanciar el procedimiento por faltas administrativas graves, pues en caso de detectar posibles faltas administrativas no graves, debe dar vista a la Secretaría de la Contraloría o a los Órganos Internos de Control, según corresponda, para que continúen la investigación respectiva y promuevan las acciones procedentes.</w:t>
      </w:r>
    </w:p>
    <w:p w14:paraId="4993F817" w14:textId="77777777" w:rsidR="00E01B1F" w:rsidRPr="00B61DF3" w:rsidRDefault="00E01B1F" w:rsidP="00B61DF3">
      <w:pPr>
        <w:numPr>
          <w:ilvl w:val="0"/>
          <w:numId w:val="39"/>
        </w:num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El Tribunal de Justicia Administrativa, solo es está facultado para resolver la imposición de sanciones por la comisión de faltas administrativas graves y de faltas de particulares, conforme a los procedimientos previstos.</w:t>
      </w:r>
    </w:p>
    <w:p w14:paraId="4CA1579B" w14:textId="77777777" w:rsidR="00E01B1F" w:rsidRPr="00B61DF3" w:rsidRDefault="00E01B1F"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Cabe mencionar que 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14:paraId="64AAB990" w14:textId="77777777" w:rsidR="00E01B1F" w:rsidRPr="00B61DF3" w:rsidRDefault="00E01B1F" w:rsidP="00B61DF3">
      <w:pPr>
        <w:pBdr>
          <w:top w:val="nil"/>
          <w:left w:val="nil"/>
          <w:bottom w:val="nil"/>
          <w:right w:val="nil"/>
          <w:between w:val="nil"/>
        </w:pBdr>
        <w:spacing w:before="100" w:beforeAutospacing="1" w:after="100" w:afterAutospacing="1"/>
        <w:ind w:left="851" w:right="900"/>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 xml:space="preserve">“Artículo 50. Incurre en </w:t>
      </w:r>
      <w:r w:rsidRPr="00B61DF3">
        <w:rPr>
          <w:rFonts w:ascii="Palatino Linotype" w:eastAsia="Palatino Linotype" w:hAnsi="Palatino Linotype" w:cs="Palatino Linotype"/>
          <w:b/>
          <w:i/>
          <w:sz w:val="22"/>
          <w:szCs w:val="22"/>
          <w:u w:val="single"/>
          <w:lang w:eastAsia="es-MX"/>
        </w:rPr>
        <w:t>falta administrativa no grave</w:t>
      </w:r>
      <w:r w:rsidRPr="00B61DF3">
        <w:rPr>
          <w:rFonts w:ascii="Palatino Linotype" w:eastAsia="Palatino Linotype" w:hAnsi="Palatino Linotype" w:cs="Palatino Linotype"/>
          <w:b/>
          <w:i/>
          <w:sz w:val="22"/>
          <w:szCs w:val="22"/>
          <w:lang w:eastAsia="es-MX"/>
        </w:rPr>
        <w:t>, el servidor público que con sus actos u omisiones, incumpla o transgreda las obligaciones siguientes:</w:t>
      </w:r>
    </w:p>
    <w:p w14:paraId="049DA481"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w:t>
      </w:r>
      <w:r w:rsidRPr="00B61DF3">
        <w:rPr>
          <w:rFonts w:ascii="Palatino Linotype" w:eastAsia="Palatino Linotype" w:hAnsi="Palatino Linotype" w:cs="Palatino Linotype"/>
          <w:i/>
          <w:sz w:val="22"/>
          <w:szCs w:val="22"/>
          <w:lang w:eastAsia="es-MX"/>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2EBC9E83"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II.</w:t>
      </w:r>
      <w:r w:rsidRPr="00B61DF3">
        <w:rPr>
          <w:rFonts w:ascii="Palatino Linotype" w:eastAsia="Palatino Linotype" w:hAnsi="Palatino Linotype" w:cs="Palatino Linotype"/>
          <w:i/>
          <w:sz w:val="22"/>
          <w:szCs w:val="22"/>
          <w:lang w:eastAsia="es-MX"/>
        </w:rPr>
        <w:t xml:space="preserve"> Denunciar los actos u omisiones que en ejercicio de sus funciones llegare a advertir, que puedan constituir faltas administrativas en términos del artículo 95 de la presente Ley. </w:t>
      </w:r>
    </w:p>
    <w:p w14:paraId="1519E388"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III.</w:t>
      </w:r>
      <w:r w:rsidRPr="00B61DF3">
        <w:rPr>
          <w:rFonts w:ascii="Palatino Linotype" w:eastAsia="Palatino Linotype" w:hAnsi="Palatino Linotype" w:cs="Palatino Linotype"/>
          <w:i/>
          <w:sz w:val="22"/>
          <w:szCs w:val="22"/>
          <w:lang w:eastAsia="es-MX"/>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1D3A8704"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IV</w:t>
      </w:r>
      <w:r w:rsidRPr="00B61DF3">
        <w:rPr>
          <w:rFonts w:ascii="Palatino Linotype" w:eastAsia="Palatino Linotype" w:hAnsi="Palatino Linotype" w:cs="Palatino Linotype"/>
          <w:i/>
          <w:sz w:val="22"/>
          <w:szCs w:val="22"/>
          <w:lang w:eastAsia="es-MX"/>
        </w:rPr>
        <w:t xml:space="preserve">. Presentar en tiempo y forma la declaración de situación patrimonial y la de intereses que, en su caso, considere se actualice, en los términos establecidos por esta Ley. </w:t>
      </w:r>
    </w:p>
    <w:p w14:paraId="695A572D"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V</w:t>
      </w:r>
      <w:r w:rsidRPr="00B61DF3">
        <w:rPr>
          <w:rFonts w:ascii="Palatino Linotype" w:eastAsia="Palatino Linotype" w:hAnsi="Palatino Linotype" w:cs="Palatino Linotype"/>
          <w:i/>
          <w:sz w:val="22"/>
          <w:szCs w:val="22"/>
          <w:lang w:eastAsia="es-MX"/>
        </w:rPr>
        <w:t xml:space="preserve">. Rendir cuentas sobre el ejercicio de las funciones, en términos de las normas aplicables. </w:t>
      </w:r>
    </w:p>
    <w:p w14:paraId="49CF586D"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VI</w:t>
      </w:r>
      <w:r w:rsidRPr="00B61DF3">
        <w:rPr>
          <w:rFonts w:ascii="Palatino Linotype" w:eastAsia="Palatino Linotype" w:hAnsi="Palatino Linotype" w:cs="Palatino Linotype"/>
          <w:i/>
          <w:sz w:val="22"/>
          <w:szCs w:val="22"/>
          <w:lang w:eastAsia="es-MX"/>
        </w:rPr>
        <w:t xml:space="preserve">. Colaborar en los procedimientos judiciales y administrativos en los que sea parte. </w:t>
      </w:r>
    </w:p>
    <w:p w14:paraId="328029D6"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VII</w:t>
      </w:r>
      <w:r w:rsidRPr="00B61DF3">
        <w:rPr>
          <w:rFonts w:ascii="Palatino Linotype" w:eastAsia="Palatino Linotype" w:hAnsi="Palatino Linotype" w:cs="Palatino Linotype"/>
          <w:i/>
          <w:sz w:val="22"/>
          <w:szCs w:val="22"/>
          <w:lang w:eastAsia="es-MX"/>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79D1C138"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VIII</w:t>
      </w:r>
      <w:r w:rsidRPr="00B61DF3">
        <w:rPr>
          <w:rFonts w:ascii="Palatino Linotype" w:eastAsia="Palatino Linotype" w:hAnsi="Palatino Linotype" w:cs="Palatino Linotype"/>
          <w:i/>
          <w:sz w:val="22"/>
          <w:szCs w:val="22"/>
          <w:lang w:eastAsia="es-MX"/>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7EEE704F"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IX</w:t>
      </w:r>
      <w:r w:rsidRPr="00B61DF3">
        <w:rPr>
          <w:rFonts w:ascii="Palatino Linotype" w:eastAsia="Palatino Linotype" w:hAnsi="Palatino Linotype" w:cs="Palatino Linotype"/>
          <w:i/>
          <w:sz w:val="22"/>
          <w:szCs w:val="22"/>
          <w:lang w:eastAsia="es-MX"/>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1C57875B"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w:t>
      </w:r>
      <w:r w:rsidRPr="00B61DF3">
        <w:rPr>
          <w:rFonts w:ascii="Palatino Linotype" w:eastAsia="Palatino Linotype" w:hAnsi="Palatino Linotype" w:cs="Palatino Linotype"/>
          <w:i/>
          <w:sz w:val="22"/>
          <w:szCs w:val="22"/>
          <w:lang w:eastAsia="es-MX"/>
        </w:rPr>
        <w:t xml:space="preserve"> Observar buena conducta en su empleo, cargo o comisión tratando con respeto, diligencia, imparcialidad y rectitud a las personas y servidores públicos con los que tenga relación con motivo de éste. </w:t>
      </w:r>
    </w:p>
    <w:p w14:paraId="64F05CE3"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 xml:space="preserve">XI. </w:t>
      </w:r>
      <w:r w:rsidRPr="00B61DF3">
        <w:rPr>
          <w:rFonts w:ascii="Palatino Linotype" w:eastAsia="Palatino Linotype" w:hAnsi="Palatino Linotype" w:cs="Palatino Linotype"/>
          <w:i/>
          <w:sz w:val="22"/>
          <w:szCs w:val="22"/>
          <w:lang w:eastAsia="es-MX"/>
        </w:rPr>
        <w:t xml:space="preserve">Observar un trato respetuoso con sus subalternos. </w:t>
      </w:r>
    </w:p>
    <w:p w14:paraId="74285E75"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 xml:space="preserve">XII. Supervisar que los servidores públicos sujetos a su dirección, cumplan con las disposiciones de esta Ley. </w:t>
      </w:r>
    </w:p>
    <w:p w14:paraId="4BBCA138"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XIII.</w:t>
      </w:r>
      <w:r w:rsidRPr="00B61DF3">
        <w:rPr>
          <w:rFonts w:ascii="Palatino Linotype" w:eastAsia="Palatino Linotype" w:hAnsi="Palatino Linotype" w:cs="Palatino Linotype"/>
          <w:i/>
          <w:sz w:val="22"/>
          <w:szCs w:val="22"/>
          <w:lang w:eastAsia="es-MX"/>
        </w:rPr>
        <w:t xml:space="preserve"> Cumplir con la entrega de índole administrativo del despacho y de toda aquella documentación inherente a su cargo, en los términos que establezcan las disposiciones legales o administrativas que al efecto se señalen. </w:t>
      </w:r>
    </w:p>
    <w:p w14:paraId="1E81BEC8"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XIV.</w:t>
      </w:r>
      <w:r w:rsidRPr="00B61DF3">
        <w:rPr>
          <w:rFonts w:ascii="Palatino Linotype" w:eastAsia="Palatino Linotype" w:hAnsi="Palatino Linotype" w:cs="Palatino Linotype"/>
          <w:i/>
          <w:sz w:val="22"/>
          <w:szCs w:val="22"/>
          <w:lang w:eastAsia="es-MX"/>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7280C589"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XV.</w:t>
      </w:r>
      <w:r w:rsidRPr="00B61DF3">
        <w:rPr>
          <w:rFonts w:ascii="Palatino Linotype" w:eastAsia="Palatino Linotype" w:hAnsi="Palatino Linotype" w:cs="Palatino Linotype"/>
          <w:i/>
          <w:sz w:val="22"/>
          <w:szCs w:val="22"/>
          <w:lang w:eastAsia="es-MX"/>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51271287"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XVI.</w:t>
      </w:r>
      <w:r w:rsidRPr="00B61DF3">
        <w:rPr>
          <w:rFonts w:ascii="Palatino Linotype" w:eastAsia="Palatino Linotype" w:hAnsi="Palatino Linotype" w:cs="Palatino Linotype"/>
          <w:i/>
          <w:sz w:val="22"/>
          <w:szCs w:val="22"/>
          <w:lang w:eastAsia="es-MX"/>
        </w:rPr>
        <w:t xml:space="preserve"> Cumplir con las disposiciones en materia de Gobierno Digital que impongan la Ley de la materia, su reglamento y demás disposiciones aplicables.</w:t>
      </w:r>
    </w:p>
    <w:p w14:paraId="62FEA553"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XVII.</w:t>
      </w:r>
      <w:r w:rsidRPr="00B61DF3">
        <w:rPr>
          <w:rFonts w:ascii="Palatino Linotype" w:eastAsia="Palatino Linotype" w:hAnsi="Palatino Linotype" w:cs="Palatino Linotype"/>
          <w:i/>
          <w:sz w:val="22"/>
          <w:szCs w:val="22"/>
          <w:lang w:eastAsia="es-MX"/>
        </w:rPr>
        <w:t xml:space="preserve"> Utilizar las medidas de seguridad informática y protección de datos e información personal recomendada por las instancias competentes. </w:t>
      </w:r>
    </w:p>
    <w:p w14:paraId="5E194AA6"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 xml:space="preserve">XVIII. </w:t>
      </w:r>
      <w:r w:rsidRPr="00B61DF3">
        <w:rPr>
          <w:rFonts w:ascii="Palatino Linotype" w:eastAsia="Palatino Linotype" w:hAnsi="Palatino Linotype" w:cs="Palatino Linotype"/>
          <w:i/>
          <w:sz w:val="22"/>
          <w:szCs w:val="22"/>
          <w:lang w:eastAsia="es-MX"/>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14:paraId="0B51B8EB" w14:textId="77777777" w:rsidR="00E01B1F" w:rsidRPr="00B61DF3" w:rsidRDefault="00E01B1F" w:rsidP="00B61DF3">
      <w:pPr>
        <w:pBdr>
          <w:top w:val="nil"/>
          <w:left w:val="nil"/>
          <w:bottom w:val="nil"/>
          <w:right w:val="nil"/>
          <w:between w:val="nil"/>
        </w:pBdr>
        <w:spacing w:before="100" w:beforeAutospacing="1" w:after="100" w:afterAutospacing="1"/>
        <w:ind w:left="993" w:right="1043"/>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XIX.</w:t>
      </w:r>
      <w:r w:rsidRPr="00B61DF3">
        <w:rPr>
          <w:rFonts w:ascii="Palatino Linotype" w:eastAsia="Palatino Linotype" w:hAnsi="Palatino Linotype" w:cs="Palatino Linotype"/>
          <w:i/>
          <w:sz w:val="22"/>
          <w:szCs w:val="22"/>
          <w:lang w:eastAsia="es-MX"/>
        </w:rPr>
        <w:t xml:space="preserve"> Las demás que le impongan las leyes, reglamentos o disposiciones administrativas aplicables.”</w:t>
      </w:r>
    </w:p>
    <w:p w14:paraId="592FD773" w14:textId="77777777" w:rsidR="00E01B1F" w:rsidRPr="00B61DF3" w:rsidRDefault="00E01B1F"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 xml:space="preserve">De la misma manera, el artículo 51 de la Ley de Responsabilidades Administrativas indica que </w:t>
      </w:r>
      <w:r w:rsidRPr="00B61DF3">
        <w:rPr>
          <w:rFonts w:ascii="Palatino Linotype" w:eastAsia="Palatino Linotype" w:hAnsi="Palatino Linotype" w:cs="Palatino Linotype"/>
          <w:b/>
          <w:lang w:eastAsia="es-MX"/>
        </w:rPr>
        <w:t xml:space="preserve">también serán consideradas faltas administrativas </w:t>
      </w:r>
      <w:r w:rsidRPr="00B61DF3">
        <w:rPr>
          <w:rFonts w:ascii="Palatino Linotype" w:eastAsia="Palatino Linotype" w:hAnsi="Palatino Linotype" w:cs="Palatino Linotype"/>
          <w:b/>
          <w:u w:val="single"/>
          <w:lang w:eastAsia="es-MX"/>
        </w:rPr>
        <w:t>no graves</w:t>
      </w:r>
      <w:r w:rsidRPr="00B61DF3">
        <w:rPr>
          <w:rFonts w:ascii="Palatino Linotype" w:eastAsia="Palatino Linotype" w:hAnsi="Palatino Linotype" w:cs="Palatino Linotype"/>
          <w:b/>
          <w:lang w:eastAsia="es-MX"/>
        </w:rPr>
        <w:t>, los daños y perjuicios</w:t>
      </w:r>
      <w:r w:rsidRPr="00B61DF3">
        <w:rPr>
          <w:rFonts w:ascii="Palatino Linotype" w:eastAsia="Palatino Linotype" w:hAnsi="Palatino Linotype" w:cs="Palatino Linotype"/>
          <w:lang w:eastAsia="es-MX"/>
        </w:rPr>
        <w:t xml:space="preserve"> que </w:t>
      </w:r>
      <w:r w:rsidRPr="00B61DF3">
        <w:rPr>
          <w:rFonts w:ascii="Palatino Linotype" w:eastAsia="Palatino Linotype" w:hAnsi="Palatino Linotype" w:cs="Palatino Linotype"/>
          <w:b/>
          <w:u w:val="single"/>
          <w:lang w:eastAsia="es-MX"/>
        </w:rPr>
        <w:t>de manera culposa o negligente y sin incurrir en alguna de las faltas administrativas graves</w:t>
      </w:r>
      <w:r w:rsidRPr="00B61DF3">
        <w:rPr>
          <w:rFonts w:ascii="Palatino Linotype" w:eastAsia="Palatino Linotype" w:hAnsi="Palatino Linotype" w:cs="Palatino Linotype"/>
          <w:lang w:eastAsia="es-MX"/>
        </w:rPr>
        <w:t xml:space="preserve">, </w:t>
      </w:r>
      <w:r w:rsidRPr="00B61DF3">
        <w:rPr>
          <w:rFonts w:ascii="Palatino Linotype" w:eastAsia="Palatino Linotype" w:hAnsi="Palatino Linotype" w:cs="Palatino Linotype"/>
          <w:b/>
          <w:lang w:eastAsia="es-MX"/>
        </w:rPr>
        <w:t>cause un servidor público a la Hacienda Pública o al patrimonio de un ente público</w:t>
      </w:r>
      <w:r w:rsidRPr="00B61DF3">
        <w:rPr>
          <w:rFonts w:ascii="Palatino Linotype" w:eastAsia="Palatino Linotype" w:hAnsi="Palatino Linotype" w:cs="Palatino Linotype"/>
          <w:lang w:eastAsia="es-MX"/>
        </w:rPr>
        <w:t xml:space="preserve">, siendo de suma importancia mencionar que la autoridad </w:t>
      </w:r>
      <w:proofErr w:type="spellStart"/>
      <w:r w:rsidRPr="00B61DF3">
        <w:rPr>
          <w:rFonts w:ascii="Palatino Linotype" w:eastAsia="Palatino Linotype" w:hAnsi="Palatino Linotype" w:cs="Palatino Linotype"/>
          <w:lang w:eastAsia="es-MX"/>
        </w:rPr>
        <w:t>resolutora</w:t>
      </w:r>
      <w:proofErr w:type="spellEnd"/>
      <w:r w:rsidRPr="00B61DF3">
        <w:rPr>
          <w:rFonts w:ascii="Palatino Linotype" w:eastAsia="Palatino Linotype" w:hAnsi="Palatino Linotype" w:cs="Palatino Linotype"/>
          <w:lang w:eastAsia="es-MX"/>
        </w:rPr>
        <w:t xml:space="preserve"> podrá abstenerse de imponer la sanción que corresponda </w:t>
      </w:r>
      <w:r w:rsidRPr="00B61DF3">
        <w:rPr>
          <w:rFonts w:ascii="Palatino Linotype" w:eastAsia="Palatino Linotype" w:hAnsi="Palatino Linotype" w:cs="Palatino Linotype"/>
          <w:b/>
          <w:lang w:eastAsia="es-MX"/>
        </w:rPr>
        <w:t>cuando el daño o perjuicio</w:t>
      </w:r>
      <w:r w:rsidRPr="00B61DF3">
        <w:rPr>
          <w:rFonts w:ascii="Palatino Linotype" w:eastAsia="Palatino Linotype" w:hAnsi="Palatino Linotype" w:cs="Palatino Linotype"/>
          <w:lang w:eastAsia="es-MX"/>
        </w:rPr>
        <w:t xml:space="preserve"> a la Hacienda Pública Estatal o Municipal o al patrimonio de los entes públicos </w:t>
      </w:r>
      <w:r w:rsidRPr="00B61DF3">
        <w:rPr>
          <w:rFonts w:ascii="Palatino Linotype" w:eastAsia="Palatino Linotype" w:hAnsi="Palatino Linotype" w:cs="Palatino Linotype"/>
          <w:b/>
          <w:lang w:eastAsia="es-MX"/>
        </w:rPr>
        <w:t>no exceda de dos mil veces el valor diario de la unidad de medida y actualización y el daño haya sido resarcido o recuperado</w:t>
      </w:r>
      <w:r w:rsidRPr="00B61DF3">
        <w:rPr>
          <w:rFonts w:ascii="Palatino Linotype" w:eastAsia="Palatino Linotype" w:hAnsi="Palatino Linotype" w:cs="Palatino Linotype"/>
          <w:lang w:eastAsia="es-MX"/>
        </w:rPr>
        <w:t>, tal como se lee en seguida:</w:t>
      </w:r>
    </w:p>
    <w:p w14:paraId="1B694CF1" w14:textId="77777777" w:rsidR="00E01B1F" w:rsidRPr="00B61DF3" w:rsidRDefault="00E01B1F" w:rsidP="00B61DF3">
      <w:pPr>
        <w:pBdr>
          <w:top w:val="nil"/>
          <w:left w:val="nil"/>
          <w:bottom w:val="nil"/>
          <w:right w:val="nil"/>
          <w:between w:val="nil"/>
        </w:pBdr>
        <w:spacing w:before="100" w:beforeAutospacing="1" w:after="100" w:afterAutospacing="1"/>
        <w:ind w:left="851" w:right="900"/>
        <w:jc w:val="both"/>
        <w:rPr>
          <w:rFonts w:ascii="Palatino Linotype" w:hAnsi="Palatino Linotype"/>
          <w:b/>
          <w:bCs/>
          <w:i/>
          <w:iCs/>
          <w:sz w:val="22"/>
          <w:szCs w:val="22"/>
          <w:lang w:eastAsia="es-MX"/>
        </w:rPr>
      </w:pPr>
      <w:r w:rsidRPr="00B61DF3">
        <w:rPr>
          <w:rFonts w:ascii="Palatino Linotype" w:hAnsi="Palatino Linotype"/>
          <w:i/>
          <w:iCs/>
          <w:sz w:val="22"/>
          <w:szCs w:val="22"/>
          <w:lang w:eastAsia="es-MX"/>
        </w:rPr>
        <w:t>“</w:t>
      </w:r>
      <w:r w:rsidRPr="00B61DF3">
        <w:rPr>
          <w:rFonts w:ascii="Palatino Linotype" w:hAnsi="Palatino Linotype"/>
          <w:b/>
          <w:bCs/>
          <w:i/>
          <w:iCs/>
          <w:sz w:val="22"/>
          <w:szCs w:val="22"/>
          <w:lang w:eastAsia="es-MX"/>
        </w:rPr>
        <w:t>Artículo 51.</w:t>
      </w:r>
      <w:r w:rsidRPr="00B61DF3">
        <w:rPr>
          <w:rFonts w:ascii="Palatino Linotype" w:hAnsi="Palatino Linotype"/>
          <w:i/>
          <w:iCs/>
          <w:sz w:val="22"/>
          <w:szCs w:val="22"/>
          <w:lang w:eastAsia="es-MX"/>
        </w:rPr>
        <w:t xml:space="preserve"> También se considerará </w:t>
      </w:r>
      <w:r w:rsidRPr="00B61DF3">
        <w:rPr>
          <w:rFonts w:ascii="Palatino Linotype" w:hAnsi="Palatino Linotype"/>
          <w:b/>
          <w:bCs/>
          <w:i/>
          <w:iCs/>
          <w:sz w:val="22"/>
          <w:szCs w:val="22"/>
          <w:lang w:eastAsia="es-MX"/>
        </w:rPr>
        <w:t>falta administrativa no grave, los daños y perjuicios que, de manera culposa o negligente y sin incurrir en alguna de las faltas administrativas graves</w:t>
      </w:r>
      <w:r w:rsidRPr="00B61DF3">
        <w:rPr>
          <w:rFonts w:ascii="Palatino Linotype" w:hAnsi="Palatino Linotype"/>
          <w:i/>
          <w:iCs/>
          <w:sz w:val="22"/>
          <w:szCs w:val="22"/>
          <w:lang w:eastAsia="es-MX"/>
        </w:rPr>
        <w:t xml:space="preserve"> señaladas en el Capítulo siguiente, </w:t>
      </w:r>
      <w:r w:rsidRPr="00B61DF3">
        <w:rPr>
          <w:rFonts w:ascii="Palatino Linotype" w:hAnsi="Palatino Linotype"/>
          <w:b/>
          <w:bCs/>
          <w:i/>
          <w:iCs/>
          <w:sz w:val="22"/>
          <w:szCs w:val="22"/>
          <w:lang w:eastAsia="es-MX"/>
        </w:rPr>
        <w:t xml:space="preserve">cause un servidor público a la Hacienda Pública o al patrimonio de un ente público. </w:t>
      </w:r>
    </w:p>
    <w:p w14:paraId="31B97E30" w14:textId="77777777" w:rsidR="00E01B1F" w:rsidRPr="00B61DF3" w:rsidRDefault="00E01B1F" w:rsidP="00B61DF3">
      <w:pPr>
        <w:pBdr>
          <w:top w:val="nil"/>
          <w:left w:val="nil"/>
          <w:bottom w:val="nil"/>
          <w:right w:val="nil"/>
          <w:between w:val="nil"/>
        </w:pBdr>
        <w:spacing w:before="100" w:beforeAutospacing="1" w:after="100" w:afterAutospacing="1"/>
        <w:ind w:left="851" w:right="900"/>
        <w:jc w:val="both"/>
        <w:rPr>
          <w:rFonts w:ascii="Palatino Linotype" w:hAnsi="Palatino Linotype"/>
          <w:i/>
          <w:iCs/>
          <w:sz w:val="22"/>
          <w:szCs w:val="22"/>
          <w:lang w:eastAsia="es-MX"/>
        </w:rPr>
      </w:pPr>
      <w:r w:rsidRPr="00B61DF3">
        <w:rPr>
          <w:rFonts w:ascii="Palatino Linotype" w:hAnsi="Palatino Linotype"/>
          <w:i/>
          <w:iCs/>
          <w:sz w:val="22"/>
          <w:szCs w:val="22"/>
          <w:lang w:eastAsia="es-MX"/>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w:t>
      </w:r>
      <w:proofErr w:type="spellStart"/>
      <w:r w:rsidRPr="00B61DF3">
        <w:rPr>
          <w:rFonts w:ascii="Palatino Linotype" w:hAnsi="Palatino Linotype"/>
          <w:i/>
          <w:iCs/>
          <w:sz w:val="22"/>
          <w:szCs w:val="22"/>
          <w:lang w:eastAsia="es-MX"/>
        </w:rPr>
        <w:t>resolutora</w:t>
      </w:r>
      <w:proofErr w:type="spellEnd"/>
      <w:r w:rsidRPr="00B61DF3">
        <w:rPr>
          <w:rFonts w:ascii="Palatino Linotype" w:hAnsi="Palatino Linotype"/>
          <w:i/>
          <w:iCs/>
          <w:sz w:val="22"/>
          <w:szCs w:val="22"/>
          <w:lang w:eastAsia="es-MX"/>
        </w:rPr>
        <w:t xml:space="preserve">. </w:t>
      </w:r>
    </w:p>
    <w:p w14:paraId="342AB99A" w14:textId="77777777" w:rsidR="00E01B1F" w:rsidRPr="00B61DF3" w:rsidRDefault="00E01B1F" w:rsidP="00B61DF3">
      <w:pPr>
        <w:pBdr>
          <w:top w:val="nil"/>
          <w:left w:val="nil"/>
          <w:bottom w:val="nil"/>
          <w:right w:val="nil"/>
          <w:between w:val="nil"/>
        </w:pBdr>
        <w:spacing w:before="100" w:beforeAutospacing="1" w:after="100" w:afterAutospacing="1"/>
        <w:ind w:left="851" w:right="900"/>
        <w:jc w:val="both"/>
        <w:rPr>
          <w:rFonts w:ascii="Palatino Linotype" w:hAnsi="Palatino Linotype"/>
          <w:i/>
          <w:iCs/>
          <w:sz w:val="22"/>
          <w:szCs w:val="22"/>
          <w:lang w:eastAsia="es-MX"/>
        </w:rPr>
      </w:pPr>
      <w:r w:rsidRPr="00B61DF3">
        <w:rPr>
          <w:rFonts w:ascii="Palatino Linotype" w:hAnsi="Palatino Linotype"/>
          <w:i/>
          <w:iCs/>
          <w:sz w:val="22"/>
          <w:szCs w:val="22"/>
          <w:lang w:eastAsia="es-MX"/>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661F0B54" w14:textId="77777777" w:rsidR="00E01B1F" w:rsidRPr="00B61DF3" w:rsidRDefault="00E01B1F" w:rsidP="00B61DF3">
      <w:pPr>
        <w:pBdr>
          <w:top w:val="nil"/>
          <w:left w:val="nil"/>
          <w:bottom w:val="nil"/>
          <w:right w:val="nil"/>
          <w:between w:val="nil"/>
        </w:pBdr>
        <w:spacing w:before="100" w:beforeAutospacing="1" w:after="100" w:afterAutospacing="1"/>
        <w:ind w:left="851" w:right="900"/>
        <w:jc w:val="both"/>
        <w:rPr>
          <w:rFonts w:ascii="Palatino Linotype" w:hAnsi="Palatino Linotype"/>
          <w:i/>
          <w:iCs/>
          <w:sz w:val="22"/>
          <w:szCs w:val="22"/>
          <w:lang w:eastAsia="es-MX"/>
        </w:rPr>
      </w:pPr>
      <w:r w:rsidRPr="00B61DF3">
        <w:rPr>
          <w:rFonts w:ascii="Palatino Linotype" w:hAnsi="Palatino Linotype"/>
          <w:i/>
          <w:iCs/>
          <w:sz w:val="22"/>
          <w:szCs w:val="22"/>
          <w:lang w:eastAsia="es-MX"/>
        </w:rPr>
        <w:t xml:space="preserve">La </w:t>
      </w:r>
      <w:r w:rsidRPr="00B61DF3">
        <w:rPr>
          <w:rFonts w:ascii="Palatino Linotype" w:hAnsi="Palatino Linotype"/>
          <w:b/>
          <w:bCs/>
          <w:i/>
          <w:iCs/>
          <w:sz w:val="22"/>
          <w:szCs w:val="22"/>
          <w:lang w:eastAsia="es-MX"/>
        </w:rPr>
        <w:t xml:space="preserve">autoridad </w:t>
      </w:r>
      <w:proofErr w:type="spellStart"/>
      <w:r w:rsidRPr="00B61DF3">
        <w:rPr>
          <w:rFonts w:ascii="Palatino Linotype" w:hAnsi="Palatino Linotype"/>
          <w:b/>
          <w:bCs/>
          <w:i/>
          <w:iCs/>
          <w:sz w:val="22"/>
          <w:szCs w:val="22"/>
          <w:lang w:eastAsia="es-MX"/>
        </w:rPr>
        <w:t>resolutora</w:t>
      </w:r>
      <w:proofErr w:type="spellEnd"/>
      <w:r w:rsidRPr="00B61DF3">
        <w:rPr>
          <w:rFonts w:ascii="Palatino Linotype" w:hAnsi="Palatino Linotype"/>
          <w:b/>
          <w:bCs/>
          <w:i/>
          <w:iCs/>
          <w:sz w:val="22"/>
          <w:szCs w:val="22"/>
          <w:lang w:eastAsia="es-MX"/>
        </w:rPr>
        <w:t xml:space="preserve"> podrá abstenerse de imponer la sanción que corresponda</w:t>
      </w:r>
      <w:r w:rsidRPr="00B61DF3">
        <w:rPr>
          <w:rFonts w:ascii="Palatino Linotype" w:hAnsi="Palatino Linotype"/>
          <w:i/>
          <w:iCs/>
          <w:sz w:val="22"/>
          <w:szCs w:val="22"/>
          <w:lang w:eastAsia="es-MX"/>
        </w:rPr>
        <w:t xml:space="preserve"> conforme al artículo 79 de esta Ley </w:t>
      </w:r>
      <w:r w:rsidRPr="00B61DF3">
        <w:rPr>
          <w:rFonts w:ascii="Palatino Linotype" w:hAnsi="Palatino Linotype"/>
          <w:b/>
          <w:bCs/>
          <w:i/>
          <w:iCs/>
          <w:sz w:val="22"/>
          <w:szCs w:val="22"/>
          <w:lang w:eastAsia="es-MX"/>
        </w:rPr>
        <w:t>cuando el daño o perjuicio a la Hacienda Pública Estatal o Municipal o al patrimonio de los entes públicos no exceda de dos mil veces el valor diario de la unidad de medida y actualización y el daño haya sido resarcido o recuperado</w:t>
      </w:r>
      <w:r w:rsidRPr="00B61DF3">
        <w:rPr>
          <w:rFonts w:ascii="Palatino Linotype" w:hAnsi="Palatino Linotype"/>
          <w:i/>
          <w:iCs/>
          <w:sz w:val="22"/>
          <w:szCs w:val="22"/>
          <w:lang w:eastAsia="es-MX"/>
        </w:rPr>
        <w:t>.”</w:t>
      </w:r>
    </w:p>
    <w:p w14:paraId="5002932B" w14:textId="77777777" w:rsidR="00E01B1F" w:rsidRPr="00B61DF3" w:rsidRDefault="00E01B1F" w:rsidP="00B61DF3">
      <w:pPr>
        <w:pBdr>
          <w:top w:val="nil"/>
          <w:left w:val="nil"/>
          <w:bottom w:val="nil"/>
          <w:right w:val="nil"/>
          <w:between w:val="nil"/>
        </w:pBdr>
        <w:spacing w:before="100" w:beforeAutospacing="1" w:after="100" w:afterAutospacing="1" w:line="360" w:lineRule="auto"/>
        <w:ind w:right="51"/>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 xml:space="preserve">En otras palabras, </w:t>
      </w:r>
      <w:r w:rsidRPr="00B61DF3">
        <w:rPr>
          <w:rFonts w:ascii="Palatino Linotype" w:eastAsia="Palatino Linotype" w:hAnsi="Palatino Linotype" w:cs="Palatino Linotype"/>
          <w:b/>
          <w:lang w:eastAsia="es-MX"/>
        </w:rPr>
        <w:t>los daños y perjuicios que cause un servidor público a la Hacienda Pública o al patrimonio de un ente público</w:t>
      </w:r>
      <w:r w:rsidRPr="00B61DF3">
        <w:rPr>
          <w:rFonts w:ascii="Palatino Linotype" w:eastAsia="Palatino Linotype" w:hAnsi="Palatino Linotype" w:cs="Palatino Linotype"/>
          <w:lang w:eastAsia="es-MX"/>
        </w:rPr>
        <w:t>, también</w:t>
      </w:r>
      <w:r w:rsidRPr="00B61DF3">
        <w:rPr>
          <w:rFonts w:ascii="Palatino Linotype" w:eastAsia="Palatino Linotype" w:hAnsi="Palatino Linotype" w:cs="Palatino Linotype"/>
          <w:b/>
          <w:lang w:eastAsia="es-MX"/>
        </w:rPr>
        <w:t xml:space="preserve"> podrán ser considerados como una falta </w:t>
      </w:r>
      <w:r w:rsidRPr="00B61DF3">
        <w:rPr>
          <w:rFonts w:ascii="Palatino Linotype" w:eastAsia="Palatino Linotype" w:hAnsi="Palatino Linotype" w:cs="Palatino Linotype"/>
          <w:b/>
          <w:u w:val="single"/>
          <w:lang w:eastAsia="es-MX"/>
        </w:rPr>
        <w:t>no grave</w:t>
      </w:r>
      <w:r w:rsidRPr="00B61DF3">
        <w:rPr>
          <w:rFonts w:ascii="Palatino Linotype" w:eastAsia="Palatino Linotype" w:hAnsi="Palatino Linotype" w:cs="Palatino Linotype"/>
          <w:lang w:eastAsia="es-MX"/>
        </w:rPr>
        <w:t>, para lo cual se deben actualizar los siguientes supuestos:</w:t>
      </w:r>
    </w:p>
    <w:p w14:paraId="0DD4C9EB" w14:textId="77777777" w:rsidR="00E01B1F" w:rsidRPr="00B61DF3" w:rsidRDefault="00E01B1F" w:rsidP="00B61DF3">
      <w:pPr>
        <w:pBdr>
          <w:top w:val="nil"/>
          <w:left w:val="nil"/>
          <w:bottom w:val="nil"/>
          <w:right w:val="nil"/>
          <w:between w:val="nil"/>
        </w:pBdr>
        <w:spacing w:before="100" w:beforeAutospacing="1" w:after="100" w:afterAutospacing="1" w:line="360" w:lineRule="auto"/>
        <w:ind w:left="284" w:right="49"/>
        <w:jc w:val="both"/>
        <w:rPr>
          <w:rFonts w:ascii="Palatino Linotype" w:eastAsia="Palatino Linotype" w:hAnsi="Palatino Linotype" w:cs="Palatino Linotype"/>
          <w:szCs w:val="22"/>
          <w:lang w:eastAsia="es-MX"/>
        </w:rPr>
      </w:pPr>
      <w:r w:rsidRPr="00B61DF3">
        <w:rPr>
          <w:rFonts w:ascii="Palatino Linotype" w:eastAsia="Palatino Linotype" w:hAnsi="Palatino Linotype" w:cs="Palatino Linotype"/>
          <w:sz w:val="22"/>
          <w:szCs w:val="22"/>
          <w:lang w:eastAsia="es-MX"/>
        </w:rPr>
        <w:t xml:space="preserve">1. </w:t>
      </w:r>
      <w:r w:rsidRPr="00B61DF3">
        <w:rPr>
          <w:rFonts w:ascii="Palatino Linotype" w:eastAsia="Palatino Linotype" w:hAnsi="Palatino Linotype" w:cs="Palatino Linotype"/>
          <w:szCs w:val="22"/>
          <w:lang w:eastAsia="es-MX"/>
        </w:rPr>
        <w:t>El daño o perjuicio se hubiera ocasionado de manera culposa o negligente, esto es sin dolo.</w:t>
      </w:r>
    </w:p>
    <w:p w14:paraId="3752E210" w14:textId="77777777" w:rsidR="00E01B1F" w:rsidRPr="00B61DF3" w:rsidRDefault="00E01B1F" w:rsidP="00B61DF3">
      <w:pPr>
        <w:pBdr>
          <w:top w:val="nil"/>
          <w:left w:val="nil"/>
          <w:bottom w:val="nil"/>
          <w:right w:val="nil"/>
          <w:between w:val="nil"/>
        </w:pBdr>
        <w:spacing w:before="100" w:beforeAutospacing="1" w:after="100" w:afterAutospacing="1" w:line="360" w:lineRule="auto"/>
        <w:ind w:left="284" w:right="49"/>
        <w:jc w:val="both"/>
        <w:rPr>
          <w:rFonts w:ascii="Palatino Linotype" w:hAnsi="Palatino Linotype"/>
          <w:bCs/>
          <w:iCs/>
          <w:szCs w:val="22"/>
          <w:lang w:eastAsia="es-MX"/>
        </w:rPr>
      </w:pPr>
      <w:r w:rsidRPr="00B61DF3">
        <w:rPr>
          <w:rFonts w:ascii="Palatino Linotype" w:eastAsia="Palatino Linotype" w:hAnsi="Palatino Linotype" w:cs="Palatino Linotype"/>
          <w:szCs w:val="22"/>
          <w:lang w:eastAsia="es-MX"/>
        </w:rPr>
        <w:t xml:space="preserve">2. No debe </w:t>
      </w:r>
      <w:r w:rsidRPr="00B61DF3">
        <w:rPr>
          <w:rFonts w:ascii="Palatino Linotype" w:hAnsi="Palatino Linotype"/>
          <w:bCs/>
          <w:iCs/>
          <w:szCs w:val="22"/>
          <w:lang w:eastAsia="es-MX"/>
        </w:rPr>
        <w:t>incurrir en alguna de las faltas administrativas graves.</w:t>
      </w:r>
    </w:p>
    <w:p w14:paraId="01B7414E" w14:textId="77777777" w:rsidR="00E01B1F" w:rsidRPr="00B61DF3" w:rsidRDefault="00E01B1F" w:rsidP="00B61DF3">
      <w:pPr>
        <w:pBdr>
          <w:top w:val="nil"/>
          <w:left w:val="nil"/>
          <w:bottom w:val="nil"/>
          <w:right w:val="nil"/>
          <w:between w:val="nil"/>
        </w:pBdr>
        <w:spacing w:before="100" w:beforeAutospacing="1" w:after="100" w:afterAutospacing="1" w:line="360" w:lineRule="auto"/>
        <w:ind w:left="284" w:right="49"/>
        <w:jc w:val="both"/>
        <w:rPr>
          <w:rFonts w:ascii="Palatino Linotype" w:hAnsi="Palatino Linotype"/>
          <w:bCs/>
          <w:iCs/>
          <w:szCs w:val="22"/>
          <w:lang w:eastAsia="es-MX"/>
        </w:rPr>
      </w:pPr>
      <w:r w:rsidRPr="00B61DF3">
        <w:rPr>
          <w:rFonts w:ascii="Palatino Linotype" w:hAnsi="Palatino Linotype"/>
          <w:bCs/>
          <w:iCs/>
          <w:szCs w:val="22"/>
          <w:lang w:eastAsia="es-MX"/>
        </w:rPr>
        <w:t>3. No exceda de dos mil veces el valor diario de la unidad de medida y actualización.</w:t>
      </w:r>
    </w:p>
    <w:p w14:paraId="6E50F75E" w14:textId="77777777" w:rsidR="00E01B1F" w:rsidRPr="00B61DF3" w:rsidRDefault="00E01B1F" w:rsidP="00B61DF3">
      <w:pPr>
        <w:pBdr>
          <w:top w:val="nil"/>
          <w:left w:val="nil"/>
          <w:bottom w:val="nil"/>
          <w:right w:val="nil"/>
          <w:between w:val="nil"/>
        </w:pBdr>
        <w:spacing w:before="100" w:beforeAutospacing="1" w:after="100" w:afterAutospacing="1" w:line="360" w:lineRule="auto"/>
        <w:ind w:left="284" w:right="49"/>
        <w:jc w:val="both"/>
        <w:rPr>
          <w:rFonts w:ascii="Palatino Linotype" w:hAnsi="Palatino Linotype"/>
          <w:bCs/>
          <w:iCs/>
          <w:sz w:val="22"/>
          <w:szCs w:val="22"/>
          <w:lang w:eastAsia="es-MX"/>
        </w:rPr>
      </w:pPr>
      <w:r w:rsidRPr="00B61DF3">
        <w:rPr>
          <w:rFonts w:ascii="Palatino Linotype" w:hAnsi="Palatino Linotype"/>
          <w:bCs/>
          <w:iCs/>
          <w:szCs w:val="22"/>
          <w:lang w:eastAsia="es-MX"/>
        </w:rPr>
        <w:t xml:space="preserve">4. </w:t>
      </w:r>
      <w:r w:rsidRPr="00B61DF3">
        <w:rPr>
          <w:rFonts w:ascii="Palatino Linotype" w:eastAsia="Palatino Linotype" w:hAnsi="Palatino Linotype" w:cs="Palatino Linotype"/>
          <w:szCs w:val="22"/>
          <w:lang w:eastAsia="es-MX"/>
        </w:rPr>
        <w:t>El</w:t>
      </w:r>
      <w:r w:rsidRPr="00B61DF3">
        <w:rPr>
          <w:rFonts w:ascii="Palatino Linotype" w:hAnsi="Palatino Linotype"/>
          <w:bCs/>
          <w:iCs/>
          <w:szCs w:val="22"/>
          <w:lang w:eastAsia="es-MX"/>
        </w:rPr>
        <w:t xml:space="preserve"> daño haya sido </w:t>
      </w:r>
      <w:r w:rsidRPr="00B61DF3">
        <w:rPr>
          <w:rFonts w:ascii="Palatino Linotype" w:hAnsi="Palatino Linotype"/>
          <w:bCs/>
          <w:iCs/>
          <w:sz w:val="22"/>
          <w:szCs w:val="22"/>
          <w:lang w:eastAsia="es-MX"/>
        </w:rPr>
        <w:t>resarcido o recuperado.</w:t>
      </w:r>
    </w:p>
    <w:p w14:paraId="332ECD88" w14:textId="77777777" w:rsidR="00E01B1F" w:rsidRPr="00B61DF3" w:rsidRDefault="00E01B1F"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 xml:space="preserve">En caso contrario, los daños o perjuicios </w:t>
      </w:r>
      <w:r w:rsidRPr="00B61DF3">
        <w:rPr>
          <w:rFonts w:ascii="Palatino Linotype" w:eastAsia="Palatino Linotype" w:hAnsi="Palatino Linotype" w:cs="Palatino Linotype"/>
          <w:b/>
          <w:lang w:eastAsia="es-MX"/>
        </w:rPr>
        <w:t>se consideraran como faltas graves</w:t>
      </w:r>
      <w:r w:rsidRPr="00B61DF3">
        <w:rPr>
          <w:rFonts w:ascii="Palatino Linotype" w:eastAsia="Palatino Linotype" w:hAnsi="Palatino Linotype" w:cs="Palatino Linotype"/>
          <w:lang w:eastAsia="es-MX"/>
        </w:rPr>
        <w:t>.</w:t>
      </w:r>
    </w:p>
    <w:p w14:paraId="258FB90B" w14:textId="77777777" w:rsidR="00E01B1F" w:rsidRPr="00B61DF3" w:rsidRDefault="00E01B1F" w:rsidP="00B61DF3">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En cuanto a las faltas administrativas graves, la Ley de Responsabilidades determina que serán consideradas las siguientes:</w:t>
      </w:r>
    </w:p>
    <w:p w14:paraId="15BA9E49" w14:textId="77777777" w:rsidR="00E01B1F" w:rsidRPr="00B61DF3" w:rsidRDefault="00E01B1F" w:rsidP="00B61DF3">
      <w:pPr>
        <w:pBdr>
          <w:top w:val="nil"/>
          <w:left w:val="nil"/>
          <w:bottom w:val="nil"/>
          <w:right w:val="nil"/>
          <w:between w:val="nil"/>
        </w:pBdr>
        <w:spacing w:before="100" w:beforeAutospacing="1" w:after="100" w:afterAutospacing="1"/>
        <w:ind w:left="851" w:right="900"/>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 xml:space="preserve">“Artículo 52. Para efectos de la presente Ley, se consideran </w:t>
      </w:r>
      <w:r w:rsidRPr="00B61DF3">
        <w:rPr>
          <w:rFonts w:ascii="Palatino Linotype" w:eastAsia="Palatino Linotype" w:hAnsi="Palatino Linotype" w:cs="Palatino Linotype"/>
          <w:b/>
          <w:i/>
          <w:sz w:val="22"/>
          <w:szCs w:val="22"/>
          <w:u w:val="single"/>
          <w:lang w:eastAsia="es-MX"/>
        </w:rPr>
        <w:t>faltas administrativas graves</w:t>
      </w:r>
      <w:r w:rsidRPr="00B61DF3">
        <w:rPr>
          <w:rFonts w:ascii="Palatino Linotype" w:eastAsia="Palatino Linotype" w:hAnsi="Palatino Linotype" w:cs="Palatino Linotype"/>
          <w:b/>
          <w:i/>
          <w:sz w:val="22"/>
          <w:szCs w:val="22"/>
          <w:lang w:eastAsia="es-MX"/>
        </w:rPr>
        <w:t xml:space="preserve"> de los servidores públicos, mediante cualquier acto u omisión, las siguientes: </w:t>
      </w:r>
    </w:p>
    <w:p w14:paraId="33570E58"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El cohecho</w:t>
      </w:r>
      <w:r w:rsidRPr="00B61DF3">
        <w:rPr>
          <w:rFonts w:ascii="Palatino Linotype" w:eastAsia="Palatino Linotype" w:hAnsi="Palatino Linotype" w:cs="Palatino Linotype"/>
          <w:i/>
          <w:sz w:val="22"/>
          <w:szCs w:val="22"/>
          <w:lang w:eastAsia="es-MX"/>
        </w:rPr>
        <w:t>.</w:t>
      </w:r>
    </w:p>
    <w:p w14:paraId="2DCE05CF"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II.</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El peculado</w:t>
      </w:r>
      <w:r w:rsidRPr="00B61DF3">
        <w:rPr>
          <w:rFonts w:ascii="Palatino Linotype" w:eastAsia="Palatino Linotype" w:hAnsi="Palatino Linotype" w:cs="Palatino Linotype"/>
          <w:i/>
          <w:sz w:val="22"/>
          <w:szCs w:val="22"/>
          <w:lang w:eastAsia="es-MX"/>
        </w:rPr>
        <w:t xml:space="preserve">. </w:t>
      </w:r>
    </w:p>
    <w:p w14:paraId="53C1A6BF"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III</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El desvío de recursos públicos</w:t>
      </w:r>
      <w:r w:rsidRPr="00B61DF3">
        <w:rPr>
          <w:rFonts w:ascii="Palatino Linotype" w:eastAsia="Palatino Linotype" w:hAnsi="Palatino Linotype" w:cs="Palatino Linotype"/>
          <w:i/>
          <w:sz w:val="22"/>
          <w:szCs w:val="22"/>
          <w:lang w:eastAsia="es-MX"/>
        </w:rPr>
        <w:t xml:space="preserve">. </w:t>
      </w:r>
    </w:p>
    <w:p w14:paraId="4726D157"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IV</w:t>
      </w:r>
      <w:r w:rsidRPr="00B61DF3">
        <w:rPr>
          <w:rFonts w:ascii="Palatino Linotype" w:eastAsia="Palatino Linotype" w:hAnsi="Palatino Linotype" w:cs="Palatino Linotype"/>
          <w:i/>
          <w:sz w:val="22"/>
          <w:szCs w:val="22"/>
          <w:lang w:eastAsia="es-MX"/>
        </w:rPr>
        <w:t>. La utilización indebida de información</w:t>
      </w:r>
      <w:r w:rsidRPr="00B61DF3">
        <w:rPr>
          <w:rFonts w:ascii="Palatino Linotype" w:eastAsia="Palatino Linotype" w:hAnsi="Palatino Linotype" w:cs="Palatino Linotype"/>
          <w:b/>
          <w:i/>
          <w:sz w:val="22"/>
          <w:szCs w:val="22"/>
          <w:lang w:eastAsia="es-MX"/>
        </w:rPr>
        <w:t xml:space="preserve">. </w:t>
      </w:r>
    </w:p>
    <w:p w14:paraId="3739DC49"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V</w:t>
      </w:r>
      <w:r w:rsidRPr="00B61DF3">
        <w:rPr>
          <w:rFonts w:ascii="Palatino Linotype" w:eastAsia="Palatino Linotype" w:hAnsi="Palatino Linotype" w:cs="Palatino Linotype"/>
          <w:i/>
          <w:sz w:val="22"/>
          <w:szCs w:val="22"/>
          <w:lang w:eastAsia="es-MX"/>
        </w:rPr>
        <w:t xml:space="preserve">. El abuso de funciones. </w:t>
      </w:r>
    </w:p>
    <w:p w14:paraId="41C4A2A7"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VI</w:t>
      </w:r>
      <w:r w:rsidRPr="00B61DF3">
        <w:rPr>
          <w:rFonts w:ascii="Palatino Linotype" w:eastAsia="Palatino Linotype" w:hAnsi="Palatino Linotype" w:cs="Palatino Linotype"/>
          <w:i/>
          <w:sz w:val="22"/>
          <w:szCs w:val="22"/>
          <w:lang w:eastAsia="es-MX"/>
        </w:rPr>
        <w:t xml:space="preserve">. Cometer o tolerar conductas de hostigamiento y acoso sexual. </w:t>
      </w:r>
    </w:p>
    <w:p w14:paraId="2FA0BB1C"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VII.</w:t>
      </w:r>
      <w:r w:rsidRPr="00B61DF3">
        <w:rPr>
          <w:rFonts w:ascii="Palatino Linotype" w:eastAsia="Palatino Linotype" w:hAnsi="Palatino Linotype" w:cs="Palatino Linotype"/>
          <w:i/>
          <w:sz w:val="22"/>
          <w:szCs w:val="22"/>
          <w:lang w:eastAsia="es-MX"/>
        </w:rPr>
        <w:t xml:space="preserve"> El actuar bajo conflicto de interés</w:t>
      </w:r>
      <w:r w:rsidRPr="00B61DF3">
        <w:rPr>
          <w:rFonts w:ascii="Palatino Linotype" w:eastAsia="Palatino Linotype" w:hAnsi="Palatino Linotype" w:cs="Palatino Linotype"/>
          <w:b/>
          <w:i/>
          <w:sz w:val="22"/>
          <w:szCs w:val="22"/>
          <w:lang w:eastAsia="es-MX"/>
        </w:rPr>
        <w:t xml:space="preserve">. </w:t>
      </w:r>
    </w:p>
    <w:p w14:paraId="4436DDDD"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VIII</w:t>
      </w:r>
      <w:r w:rsidRPr="00B61DF3">
        <w:rPr>
          <w:rFonts w:ascii="Palatino Linotype" w:eastAsia="Palatino Linotype" w:hAnsi="Palatino Linotype" w:cs="Palatino Linotype"/>
          <w:i/>
          <w:sz w:val="22"/>
          <w:szCs w:val="22"/>
          <w:lang w:eastAsia="es-MX"/>
        </w:rPr>
        <w:t xml:space="preserve">. La contratación indebida. </w:t>
      </w:r>
    </w:p>
    <w:p w14:paraId="07EA4613"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IX.</w:t>
      </w:r>
      <w:r w:rsidRPr="00B61DF3">
        <w:rPr>
          <w:rFonts w:ascii="Palatino Linotype" w:eastAsia="Palatino Linotype" w:hAnsi="Palatino Linotype" w:cs="Palatino Linotype"/>
          <w:i/>
          <w:sz w:val="22"/>
          <w:szCs w:val="22"/>
          <w:lang w:eastAsia="es-MX"/>
        </w:rPr>
        <w:t xml:space="preserve"> El enriquecimiento oculto u ocultamiento de conflicto de interés. </w:t>
      </w:r>
    </w:p>
    <w:p w14:paraId="418EF1C3"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w:t>
      </w:r>
      <w:r w:rsidRPr="00B61DF3">
        <w:rPr>
          <w:rFonts w:ascii="Palatino Linotype" w:eastAsia="Palatino Linotype" w:hAnsi="Palatino Linotype" w:cs="Palatino Linotype"/>
          <w:i/>
          <w:sz w:val="22"/>
          <w:szCs w:val="22"/>
          <w:lang w:eastAsia="es-MX"/>
        </w:rPr>
        <w:t xml:space="preserve">. El tráfico de influencias. </w:t>
      </w:r>
    </w:p>
    <w:p w14:paraId="23DD9BC9"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XI.</w:t>
      </w:r>
      <w:r w:rsidRPr="00B61DF3">
        <w:rPr>
          <w:rFonts w:ascii="Palatino Linotype" w:eastAsia="Palatino Linotype" w:hAnsi="Palatino Linotype" w:cs="Palatino Linotype"/>
          <w:i/>
          <w:sz w:val="22"/>
          <w:szCs w:val="22"/>
          <w:lang w:eastAsia="es-MX"/>
        </w:rPr>
        <w:t xml:space="preserve"> El encubrimiento. </w:t>
      </w:r>
    </w:p>
    <w:p w14:paraId="07AE2E9D"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XII.</w:t>
      </w:r>
      <w:r w:rsidRPr="00B61DF3">
        <w:rPr>
          <w:rFonts w:ascii="Palatino Linotype" w:eastAsia="Palatino Linotype" w:hAnsi="Palatino Linotype" w:cs="Palatino Linotype"/>
          <w:i/>
          <w:sz w:val="22"/>
          <w:szCs w:val="22"/>
          <w:lang w:eastAsia="es-MX"/>
        </w:rPr>
        <w:t xml:space="preserve"> El desacato. </w:t>
      </w:r>
    </w:p>
    <w:p w14:paraId="403EE02D" w14:textId="77777777" w:rsidR="00E01B1F" w:rsidRPr="00B61DF3" w:rsidRDefault="00E01B1F" w:rsidP="00B61DF3">
      <w:pPr>
        <w:pBdr>
          <w:top w:val="nil"/>
          <w:left w:val="nil"/>
          <w:bottom w:val="nil"/>
          <w:right w:val="nil"/>
          <w:between w:val="nil"/>
        </w:pBdr>
        <w:spacing w:before="100" w:beforeAutospacing="1" w:after="100" w:afterAutospacing="1"/>
        <w:ind w:left="993"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XIII.</w:t>
      </w:r>
      <w:r w:rsidRPr="00B61DF3">
        <w:rPr>
          <w:rFonts w:ascii="Palatino Linotype" w:eastAsia="Palatino Linotype" w:hAnsi="Palatino Linotype" w:cs="Palatino Linotype"/>
          <w:i/>
          <w:sz w:val="22"/>
          <w:szCs w:val="22"/>
          <w:lang w:eastAsia="es-MX"/>
        </w:rPr>
        <w:t xml:space="preserve"> La obstrucción de la Justicia.”</w:t>
      </w:r>
    </w:p>
    <w:p w14:paraId="5796EE90" w14:textId="49BF7D07" w:rsidR="00E01B1F" w:rsidRPr="00B61DF3" w:rsidRDefault="0039043D" w:rsidP="00B61DF3">
      <w:pPr>
        <w:spacing w:before="100" w:beforeAutospacing="1" w:after="100" w:afterAutospacing="1" w:line="360" w:lineRule="auto"/>
        <w:jc w:val="both"/>
        <w:rPr>
          <w:rFonts w:ascii="Palatino Linotype" w:hAnsi="Palatino Linotype"/>
          <w:lang w:eastAsia="es-MX"/>
        </w:rPr>
      </w:pPr>
      <w:r w:rsidRPr="00B61DF3">
        <w:rPr>
          <w:rFonts w:ascii="Palatino Linotype" w:hAnsi="Palatino Linotype"/>
          <w:lang w:eastAsia="es-MX"/>
        </w:rPr>
        <w:t>Asimismo,</w:t>
      </w:r>
      <w:r w:rsidR="00E01B1F" w:rsidRPr="00B61DF3">
        <w:rPr>
          <w:rFonts w:ascii="Palatino Linotype" w:hAnsi="Palatino Linotype"/>
          <w:lang w:eastAsia="es-MX"/>
        </w:rPr>
        <w:t xml:space="preserve"> el artículo 83 de la citada Ley señala que el Tribunal de Justicia Administrativa determinará el pago de una indemnización cuando, la falta administrativa grave haya provocado daños y perjuicios a la Hacienda Pública Estatal o Municipal, o al patrimonio de los entes públicos. En dichos supuestos, el servidor público estará obligado a reparar la totalidad de los daños y perjuicios causados y las personas que en su caso también hayan obtenido un beneficio indebido serán solidariamente responsables, tal como se advierte a continuación: </w:t>
      </w:r>
    </w:p>
    <w:p w14:paraId="5B63F834" w14:textId="77777777" w:rsidR="00E01B1F" w:rsidRPr="00B61DF3" w:rsidRDefault="00E01B1F" w:rsidP="00B61DF3">
      <w:pPr>
        <w:spacing w:before="100" w:beforeAutospacing="1" w:after="100" w:afterAutospacing="1" w:line="276" w:lineRule="auto"/>
        <w:ind w:left="567" w:right="616"/>
        <w:jc w:val="both"/>
        <w:rPr>
          <w:rFonts w:ascii="Palatino Linotype" w:eastAsia="Palatino Linotype" w:hAnsi="Palatino Linotype" w:cs="Palatino Linotype"/>
          <w:i/>
          <w:sz w:val="22"/>
          <w:szCs w:val="22"/>
          <w:lang w:eastAsia="es-MX"/>
        </w:rPr>
      </w:pPr>
      <w:r w:rsidRPr="00B61DF3">
        <w:rPr>
          <w:rFonts w:ascii="Palatino Linotype" w:hAnsi="Palatino Linotype"/>
          <w:i/>
          <w:sz w:val="22"/>
          <w:szCs w:val="22"/>
          <w:lang w:eastAsia="es-MX"/>
        </w:rPr>
        <w:t>Artículo 83. El Tribunal de Justicia Administrativa determinará el pago de una indemnización cuando, la falta administrativa grave a que se refiere el artículo anterior haya provocado daños y perjuicios a la Hacienda Pública Estatal o Municipal, o al patrimonio de los entes públicos. En dichos supuestos, el servidor público estará obligado a reparar la totalidad de los daños y perjuicios causados y las personas que en su caso también hayan obtenido un beneficio indebido serán solidariamente responsables.</w:t>
      </w:r>
    </w:p>
    <w:p w14:paraId="63650865" w14:textId="77777777" w:rsidR="00E01B1F" w:rsidRPr="00B61DF3" w:rsidRDefault="00E01B1F" w:rsidP="00B61DF3">
      <w:pPr>
        <w:tabs>
          <w:tab w:val="left" w:pos="3962"/>
        </w:tabs>
        <w:spacing w:before="100" w:beforeAutospacing="1" w:after="100" w:afterAutospacing="1" w:line="360" w:lineRule="auto"/>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 xml:space="preserve">Si bien ha quedado demostrado que el Órgano Superior de Fiscalización es competente para conocer la información de mérito, en caso de haberse generado, no debe perderse de vista que la información que se solicita lo es específicamente  de dos servidores públicos, por lo que es necesario analizar si procede entregar el pronunciamiento respecto a la existencia o no de un procedimiento administrativo derivado del </w:t>
      </w:r>
      <w:proofErr w:type="spellStart"/>
      <w:r w:rsidRPr="00B61DF3">
        <w:rPr>
          <w:rFonts w:ascii="Palatino Linotype" w:eastAsia="Palatino Linotype" w:hAnsi="Palatino Linotype" w:cs="Palatino Linotype"/>
          <w:lang w:eastAsia="es-MX"/>
        </w:rPr>
        <w:t>fincamiento</w:t>
      </w:r>
      <w:proofErr w:type="spellEnd"/>
      <w:r w:rsidRPr="00B61DF3">
        <w:rPr>
          <w:rFonts w:ascii="Palatino Linotype" w:eastAsia="Palatino Linotype" w:hAnsi="Palatino Linotype" w:cs="Palatino Linotype"/>
          <w:lang w:eastAsia="es-MX"/>
        </w:rPr>
        <w:t xml:space="preserve"> de responsabilidades resarcitorias, conforme a lo siguiente:</w:t>
      </w:r>
    </w:p>
    <w:p w14:paraId="35FFE6DB" w14:textId="44E12C23" w:rsidR="00E01B1F" w:rsidRPr="00B61DF3" w:rsidRDefault="00E01B1F" w:rsidP="00B61DF3">
      <w:pPr>
        <w:numPr>
          <w:ilvl w:val="0"/>
          <w:numId w:val="40"/>
        </w:numPr>
        <w:pBdr>
          <w:top w:val="nil"/>
          <w:left w:val="nil"/>
          <w:bottom w:val="nil"/>
          <w:right w:val="nil"/>
          <w:between w:val="nil"/>
        </w:pBdr>
        <w:tabs>
          <w:tab w:val="left" w:pos="3962"/>
        </w:tabs>
        <w:spacing w:before="100" w:beforeAutospacing="1" w:after="100" w:afterAutospacing="1" w:line="360" w:lineRule="auto"/>
        <w:jc w:val="both"/>
        <w:rPr>
          <w:rFonts w:ascii="Palatino Linotype" w:eastAsia="Palatino Linotype" w:hAnsi="Palatino Linotype" w:cs="Palatino Linotype"/>
          <w:b/>
          <w:lang w:eastAsia="es-MX"/>
        </w:rPr>
      </w:pPr>
      <w:r w:rsidRPr="00B61DF3">
        <w:rPr>
          <w:rFonts w:ascii="Palatino Linotype" w:eastAsia="Palatino Linotype" w:hAnsi="Palatino Linotype" w:cs="Palatino Linotype"/>
          <w:b/>
          <w:lang w:eastAsia="es-MX"/>
        </w:rPr>
        <w:t xml:space="preserve">Del procedimiento de </w:t>
      </w:r>
      <w:r w:rsidR="00245CF7" w:rsidRPr="00B61DF3">
        <w:rPr>
          <w:rFonts w:ascii="Palatino Linotype" w:eastAsia="Palatino Linotype" w:hAnsi="Palatino Linotype" w:cs="Palatino Linotype"/>
          <w:b/>
          <w:lang w:eastAsia="es-MX"/>
        </w:rPr>
        <w:t>Auditoria</w:t>
      </w:r>
      <w:r w:rsidRPr="00B61DF3">
        <w:rPr>
          <w:rFonts w:ascii="Palatino Linotype" w:eastAsia="Palatino Linotype" w:hAnsi="Palatino Linotype" w:cs="Palatino Linotype"/>
          <w:b/>
          <w:lang w:eastAsia="es-MX"/>
        </w:rPr>
        <w:t xml:space="preserve"> en trámite.</w:t>
      </w:r>
    </w:p>
    <w:p w14:paraId="5B99955C" w14:textId="319223DE" w:rsidR="00E01B1F" w:rsidRPr="00B61DF3" w:rsidRDefault="00245CF7" w:rsidP="00B61DF3">
      <w:pPr>
        <w:spacing w:before="100" w:beforeAutospacing="1" w:after="100" w:afterAutospacing="1" w:line="360" w:lineRule="auto"/>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Se</w:t>
      </w:r>
      <w:r w:rsidR="00E01B1F" w:rsidRPr="00B61DF3">
        <w:rPr>
          <w:rFonts w:ascii="Palatino Linotype" w:eastAsia="Palatino Linotype" w:hAnsi="Palatino Linotype" w:cs="Palatino Linotype"/>
          <w:lang w:eastAsia="es-MX"/>
        </w:rPr>
        <w:t xml:space="preserve"> estima necesario traer a colación el contenido del artículo 142, fracción IV, de la Ley de Transparencia y Acceso a la Información Pública del Estado de México y Municipios, a saber: </w:t>
      </w:r>
    </w:p>
    <w:p w14:paraId="2E03CF0D" w14:textId="77777777" w:rsidR="00E01B1F" w:rsidRPr="00B61DF3" w:rsidRDefault="00E01B1F" w:rsidP="00B61DF3">
      <w:pPr>
        <w:spacing w:before="100" w:beforeAutospacing="1" w:after="100" w:afterAutospacing="1"/>
        <w:ind w:left="850"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“Artículo 142.</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 xml:space="preserve">Bajo ninguna circunstancia podrá invocarse el carácter de reservado </w:t>
      </w:r>
      <w:r w:rsidRPr="00B61DF3">
        <w:rPr>
          <w:rFonts w:ascii="Palatino Linotype" w:eastAsia="Palatino Linotype" w:hAnsi="Palatino Linotype" w:cs="Palatino Linotype"/>
          <w:i/>
          <w:sz w:val="22"/>
          <w:szCs w:val="22"/>
          <w:lang w:eastAsia="es-MX"/>
        </w:rPr>
        <w:t xml:space="preserve">cuando: </w:t>
      </w:r>
    </w:p>
    <w:p w14:paraId="632AFD63" w14:textId="77777777" w:rsidR="00E01B1F" w:rsidRPr="00B61DF3" w:rsidRDefault="00E01B1F" w:rsidP="00B61DF3">
      <w:pPr>
        <w:spacing w:before="100" w:beforeAutospacing="1" w:after="100" w:afterAutospacing="1"/>
        <w:ind w:left="850"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w:t>
      </w:r>
    </w:p>
    <w:p w14:paraId="0347ACBD" w14:textId="77777777" w:rsidR="00E01B1F" w:rsidRPr="00B61DF3" w:rsidRDefault="00E01B1F" w:rsidP="00B61DF3">
      <w:pPr>
        <w:spacing w:before="100" w:beforeAutospacing="1" w:after="100" w:afterAutospacing="1"/>
        <w:ind w:left="850" w:right="900"/>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IV</w:t>
      </w:r>
      <w:r w:rsidRPr="00B61DF3">
        <w:rPr>
          <w:rFonts w:ascii="Palatino Linotype" w:eastAsia="Palatino Linotype" w:hAnsi="Palatino Linotype" w:cs="Palatino Linotype"/>
          <w:i/>
          <w:sz w:val="22"/>
          <w:szCs w:val="22"/>
          <w:lang w:eastAsia="es-MX"/>
        </w:rPr>
        <w:t xml:space="preserve">. </w:t>
      </w:r>
      <w:r w:rsidRPr="00B61DF3">
        <w:rPr>
          <w:rFonts w:ascii="Palatino Linotype" w:eastAsia="Palatino Linotype" w:hAnsi="Palatino Linotype" w:cs="Palatino Linotype"/>
          <w:b/>
          <w:i/>
          <w:sz w:val="22"/>
          <w:szCs w:val="22"/>
          <w:lang w:eastAsia="es-MX"/>
        </w:rPr>
        <w:t xml:space="preserve">Se trate de información </w:t>
      </w:r>
      <w:r w:rsidRPr="00B61DF3">
        <w:rPr>
          <w:rFonts w:ascii="Palatino Linotype" w:eastAsia="Palatino Linotype" w:hAnsi="Palatino Linotype" w:cs="Palatino Linotype"/>
          <w:b/>
          <w:i/>
          <w:sz w:val="22"/>
          <w:szCs w:val="22"/>
          <w:u w:val="single"/>
          <w:lang w:eastAsia="es-MX"/>
        </w:rPr>
        <w:t>relacionada con actos de corrupción</w:t>
      </w:r>
      <w:r w:rsidRPr="00B61DF3">
        <w:rPr>
          <w:rFonts w:ascii="Palatino Linotype" w:eastAsia="Palatino Linotype" w:hAnsi="Palatino Linotype" w:cs="Palatino Linotype"/>
          <w:i/>
          <w:sz w:val="22"/>
          <w:szCs w:val="22"/>
          <w:lang w:eastAsia="es-MX"/>
        </w:rPr>
        <w:t xml:space="preserve"> de conformidad con las disposiciones jurídicas aplicables.”</w:t>
      </w:r>
    </w:p>
    <w:p w14:paraId="6FBA861B" w14:textId="77777777" w:rsidR="00E01B1F" w:rsidRPr="00B61DF3" w:rsidRDefault="00E01B1F" w:rsidP="00B61DF3">
      <w:pPr>
        <w:spacing w:before="100" w:beforeAutospacing="1" w:after="100" w:afterAutospacing="1" w:line="360" w:lineRule="auto"/>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Del precepto citado se desprende que aquella información que se relacione con actos de corrupción, no puede actualizar alguno de los supuestos de clasificación como información reservada establecidos en el artículo 140 de la Ley de Transparencia y Acceso a la Información Pública del Estado de México y Municipios.</w:t>
      </w:r>
    </w:p>
    <w:p w14:paraId="61B7A388" w14:textId="77777777" w:rsidR="00E01B1F" w:rsidRPr="00B61DF3" w:rsidRDefault="00E01B1F" w:rsidP="00B61DF3">
      <w:pPr>
        <w:spacing w:before="100" w:beforeAutospacing="1" w:after="100" w:afterAutospacing="1" w:line="360" w:lineRule="auto"/>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 xml:space="preserve">En el mismo tenor, el Lineamiento Trigésimo Séptimo de los Lineamientos Generales en materia de clasificación y desclasificación de la información, así como para la elaboración de versiones públicas, dispone que no puede invocarse el carácter de reservado de la información </w:t>
      </w:r>
      <w:r w:rsidRPr="00B61DF3">
        <w:rPr>
          <w:rFonts w:ascii="Palatino Linotype" w:eastAsia="Palatino Linotype" w:hAnsi="Palatino Linotype" w:cs="Palatino Linotype"/>
          <w:b/>
          <w:lang w:eastAsia="es-MX"/>
        </w:rPr>
        <w:t>cuando esta se relacione con actos de corrupción,</w:t>
      </w:r>
      <w:r w:rsidRPr="00B61DF3">
        <w:rPr>
          <w:rFonts w:ascii="Palatino Linotype" w:eastAsia="Palatino Linotype" w:hAnsi="Palatino Linotype" w:cs="Palatino Linotype"/>
          <w:lang w:eastAsia="es-MX"/>
        </w:rPr>
        <w:t xml:space="preserve">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w:t>
      </w:r>
    </w:p>
    <w:p w14:paraId="5D099490" w14:textId="77777777" w:rsidR="00E01B1F" w:rsidRPr="00B61DF3" w:rsidRDefault="00E01B1F" w:rsidP="00B61DF3">
      <w:pPr>
        <w:spacing w:before="100" w:beforeAutospacing="1" w:after="100" w:afterAutospacing="1" w:line="360" w:lineRule="auto"/>
        <w:jc w:val="both"/>
        <w:rPr>
          <w:rFonts w:ascii="Palatino Linotype" w:hAnsi="Palatino Linotype"/>
          <w:lang w:eastAsia="es-MX"/>
        </w:rPr>
      </w:pPr>
      <w:r w:rsidRPr="00B61DF3">
        <w:rPr>
          <w:rFonts w:ascii="Palatino Linotype" w:hAnsi="Palatino Linotype"/>
          <w:lang w:eastAsia="es-MX"/>
        </w:rPr>
        <w:t>Dicho lo anterior, cobra relevancia señalar que México ha participado, firmado y ratificado tres convenciones internacionales de combate contra la corrupción, a saber: la Convención Interamericana contra la Corrupción (OEA 1997), la Convención para Combatir el Cohecho de Servidores Públicos en Transacciones Comerciales Internacionales (OCDE 1999) y la Convención de las Naciones Unidas contra la Corrupción (ONU 2004).</w:t>
      </w:r>
    </w:p>
    <w:p w14:paraId="53953154" w14:textId="77777777" w:rsidR="00E01B1F" w:rsidRPr="00B61DF3" w:rsidRDefault="00E01B1F" w:rsidP="00B61DF3">
      <w:pPr>
        <w:spacing w:before="100" w:beforeAutospacing="1" w:after="100" w:afterAutospacing="1" w:line="360" w:lineRule="auto"/>
        <w:jc w:val="both"/>
        <w:rPr>
          <w:rFonts w:ascii="Palatino Linotype" w:hAnsi="Palatino Linotype"/>
          <w:lang w:eastAsia="es-MX"/>
        </w:rPr>
      </w:pPr>
      <w:r w:rsidRPr="00B61DF3">
        <w:rPr>
          <w:rFonts w:ascii="Palatino Linotype" w:hAnsi="Palatino Linotype"/>
          <w:lang w:eastAsia="es-MX"/>
        </w:rPr>
        <w:t xml:space="preserve">En ese sentido, la Convención Interamericana contra la Corrupción, señala que </w:t>
      </w:r>
      <w:r w:rsidRPr="00B61DF3">
        <w:rPr>
          <w:rFonts w:ascii="Palatino Linotype" w:hAnsi="Palatino Linotype"/>
          <w:b/>
          <w:u w:val="single"/>
          <w:lang w:eastAsia="es-MX"/>
        </w:rPr>
        <w:t>la corrupción socava la legitimidad de las instituciones públicas, atenta contra la sociedad, el orden moral y la justicia, así como contra el desarrollo integral de los pueblos</w:t>
      </w:r>
      <w:r w:rsidRPr="00B61DF3">
        <w:rPr>
          <w:rFonts w:ascii="Palatino Linotype" w:hAnsi="Palatino Linotype"/>
          <w:lang w:eastAsia="es-MX"/>
        </w:rPr>
        <w:t>; asimismo, considera que el combate contra la corrupción fortalece las instituciones democráticas, evita distorsiones de la economía, vicios en la gestión pública y el deterioro de la moral social.</w:t>
      </w:r>
    </w:p>
    <w:p w14:paraId="1D923544" w14:textId="77777777" w:rsidR="00E01B1F" w:rsidRPr="00B61DF3" w:rsidRDefault="00E01B1F" w:rsidP="00B61DF3">
      <w:pPr>
        <w:spacing w:before="100" w:beforeAutospacing="1" w:after="100" w:afterAutospacing="1" w:line="360" w:lineRule="auto"/>
        <w:jc w:val="both"/>
        <w:rPr>
          <w:rFonts w:ascii="Palatino Linotype" w:hAnsi="Palatino Linotype"/>
          <w:lang w:eastAsia="es-MX"/>
        </w:rPr>
      </w:pPr>
      <w:r w:rsidRPr="00B61DF3">
        <w:rPr>
          <w:rFonts w:ascii="Palatino Linotype" w:hAnsi="Palatino Linotype"/>
          <w:lang w:eastAsia="es-MX"/>
        </w:rPr>
        <w:t>En específico, en el artículo VI de dicha Convención se señalan las siguientes conductas como actos de corrupción:</w:t>
      </w:r>
    </w:p>
    <w:p w14:paraId="0D122BB3" w14:textId="77777777" w:rsidR="00E01B1F" w:rsidRPr="00B61DF3" w:rsidRDefault="00E01B1F" w:rsidP="00B61DF3">
      <w:pPr>
        <w:spacing w:before="100" w:beforeAutospacing="1" w:after="100" w:afterAutospacing="1" w:line="360" w:lineRule="auto"/>
        <w:ind w:left="284"/>
        <w:jc w:val="both"/>
        <w:rPr>
          <w:rFonts w:ascii="Palatino Linotype" w:hAnsi="Palatino Linotype"/>
          <w:lang w:eastAsia="es-MX"/>
        </w:rPr>
      </w:pPr>
      <w:r w:rsidRPr="00B61DF3">
        <w:rPr>
          <w:rFonts w:ascii="Palatino Linotype" w:hAnsi="Palatino Linotype"/>
          <w:lang w:eastAsia="es-MX"/>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14:paraId="0D233C23" w14:textId="77777777" w:rsidR="00E01B1F" w:rsidRPr="00B61DF3" w:rsidRDefault="00E01B1F" w:rsidP="00B61DF3">
      <w:pPr>
        <w:spacing w:before="100" w:beforeAutospacing="1" w:after="100" w:afterAutospacing="1" w:line="360" w:lineRule="auto"/>
        <w:ind w:left="284"/>
        <w:jc w:val="both"/>
        <w:rPr>
          <w:rFonts w:ascii="Palatino Linotype" w:hAnsi="Palatino Linotype"/>
          <w:lang w:eastAsia="es-MX"/>
        </w:rPr>
      </w:pPr>
      <w:r w:rsidRPr="00B61DF3">
        <w:rPr>
          <w:rFonts w:ascii="Palatino Linotype" w:hAnsi="Palatino Linotype"/>
          <w:lang w:eastAsia="es-MX"/>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 </w:t>
      </w:r>
    </w:p>
    <w:p w14:paraId="1BC6B07B" w14:textId="77777777" w:rsidR="00E01B1F" w:rsidRPr="00B61DF3" w:rsidRDefault="00E01B1F" w:rsidP="00B61DF3">
      <w:pPr>
        <w:spacing w:before="100" w:beforeAutospacing="1" w:after="100" w:afterAutospacing="1" w:line="360" w:lineRule="auto"/>
        <w:ind w:left="284"/>
        <w:jc w:val="both"/>
        <w:rPr>
          <w:rFonts w:ascii="Palatino Linotype" w:hAnsi="Palatino Linotype"/>
          <w:lang w:eastAsia="es-MX"/>
        </w:rPr>
      </w:pPr>
      <w:r w:rsidRPr="00B61DF3">
        <w:rPr>
          <w:rFonts w:ascii="Palatino Linotype" w:hAnsi="Palatino Linotype"/>
          <w:lang w:eastAsia="es-MX"/>
        </w:rPr>
        <w:t>c. La realización por parte de un funcionario público o una persona que ejerza funciones públicas de cualquier acto u omisión en el ejercicio de sus funciones, con el fin de obtener ilícitamente beneficios para sí mismo o para un tercero;</w:t>
      </w:r>
    </w:p>
    <w:p w14:paraId="306D2724" w14:textId="77777777" w:rsidR="00E01B1F" w:rsidRPr="00B61DF3" w:rsidRDefault="00E01B1F" w:rsidP="00B61DF3">
      <w:pPr>
        <w:spacing w:before="100" w:beforeAutospacing="1" w:after="100" w:afterAutospacing="1" w:line="360" w:lineRule="auto"/>
        <w:ind w:left="284"/>
        <w:jc w:val="both"/>
        <w:rPr>
          <w:rFonts w:ascii="Palatino Linotype" w:hAnsi="Palatino Linotype"/>
          <w:lang w:eastAsia="es-MX"/>
        </w:rPr>
      </w:pPr>
      <w:r w:rsidRPr="00B61DF3">
        <w:rPr>
          <w:rFonts w:ascii="Palatino Linotype" w:hAnsi="Palatino Linotype"/>
          <w:lang w:eastAsia="es-MX"/>
        </w:rPr>
        <w:t>d. El aprovechamiento doloso u ocultación de bienes provenientes de cualesquiera de los actos a los que se refiere el presente artículo; y</w:t>
      </w:r>
    </w:p>
    <w:p w14:paraId="66835C5A" w14:textId="77777777" w:rsidR="00E01B1F" w:rsidRPr="00B61DF3" w:rsidRDefault="00E01B1F" w:rsidP="00B61DF3">
      <w:pPr>
        <w:spacing w:before="100" w:beforeAutospacing="1" w:after="100" w:afterAutospacing="1" w:line="360" w:lineRule="auto"/>
        <w:ind w:left="284"/>
        <w:jc w:val="both"/>
        <w:rPr>
          <w:rFonts w:ascii="Palatino Linotype" w:hAnsi="Palatino Linotype"/>
          <w:lang w:eastAsia="es-MX"/>
        </w:rPr>
      </w:pPr>
      <w:r w:rsidRPr="00B61DF3">
        <w:rPr>
          <w:rFonts w:ascii="Palatino Linotype" w:hAnsi="Palatino Linotype"/>
          <w:lang w:eastAsia="es-MX"/>
        </w:rPr>
        <w:t>e. La participación como autor, coautor, instigador, cómplice, encubridor o en cualquier otra forma en la comisión, tentativa de comisión, asociación o confabulación para la comisión de cualquiera de los actos a los que se refiere el presente artículo.</w:t>
      </w:r>
    </w:p>
    <w:p w14:paraId="587AE573" w14:textId="77777777" w:rsidR="00E01B1F" w:rsidRPr="00B61DF3" w:rsidRDefault="00E01B1F" w:rsidP="00B61DF3">
      <w:pPr>
        <w:spacing w:before="100" w:beforeAutospacing="1" w:after="100" w:afterAutospacing="1" w:line="360" w:lineRule="auto"/>
        <w:jc w:val="both"/>
        <w:rPr>
          <w:rFonts w:ascii="Palatino Linotype" w:hAnsi="Palatino Linotype"/>
          <w:b/>
          <w:lang w:eastAsia="es-MX"/>
        </w:rPr>
      </w:pPr>
      <w:r w:rsidRPr="00B61DF3">
        <w:rPr>
          <w:rFonts w:ascii="Palatino Linotype" w:hAnsi="Palatino Linotype"/>
          <w:lang w:eastAsia="es-MX"/>
        </w:rPr>
        <w:t xml:space="preserve">En ese orden de ideas, es posible reflexionar que </w:t>
      </w:r>
      <w:r w:rsidRPr="00B61DF3">
        <w:rPr>
          <w:rFonts w:ascii="Palatino Linotype" w:hAnsi="Palatino Linotype"/>
          <w:b/>
          <w:lang w:eastAsia="es-MX"/>
        </w:rPr>
        <w:t>la corrupción no solo es un fenómeno que debilita a las instituciones democráticas y a la gobernabilidad, sino que también, fomenta la impunidad, socava el Estado de derecho y exacerba la desigualdad, además de que afecta a los derechos humanos</w:t>
      </w:r>
      <w:r w:rsidRPr="00B61DF3">
        <w:rPr>
          <w:rFonts w:ascii="Palatino Linotype" w:hAnsi="Palatino Linotype"/>
          <w:lang w:eastAsia="es-MX"/>
        </w:rPr>
        <w:t xml:space="preserve">, por lo que, </w:t>
      </w:r>
      <w:r w:rsidRPr="00B61DF3">
        <w:rPr>
          <w:rFonts w:ascii="Palatino Linotype" w:hAnsi="Palatino Linotype"/>
          <w:b/>
          <w:lang w:eastAsia="es-MX"/>
        </w:rPr>
        <w:t>cobra una relevancia social la rendición de cuentas respecto a información o hechos que estén vinculados o relacionados con actos de corrupción.</w:t>
      </w:r>
    </w:p>
    <w:p w14:paraId="7DC1572C" w14:textId="77777777" w:rsidR="00E01B1F" w:rsidRPr="00B61DF3" w:rsidRDefault="00E01B1F" w:rsidP="00B61DF3">
      <w:pPr>
        <w:spacing w:before="100" w:beforeAutospacing="1" w:after="100" w:afterAutospacing="1" w:line="360" w:lineRule="auto"/>
        <w:jc w:val="both"/>
        <w:rPr>
          <w:rFonts w:ascii="Palatino Linotype" w:hAnsi="Palatino Linotype"/>
          <w:b/>
          <w:u w:val="single"/>
          <w:lang w:eastAsia="es-MX"/>
        </w:rPr>
      </w:pPr>
      <w:r w:rsidRPr="00B61DF3">
        <w:rPr>
          <w:rFonts w:ascii="Palatino Linotype" w:hAnsi="Palatino Linotype"/>
          <w:lang w:eastAsia="es-MX"/>
        </w:rPr>
        <w:t xml:space="preserve">Tomando en cuenta lo anterior, y conforme a la definición de servidor público que establece tanto el artículo 108 de nuestra Constitución como el artículo 212 del Código Penal Federal reformado, es posible considerar como </w:t>
      </w:r>
      <w:r w:rsidRPr="00B61DF3">
        <w:rPr>
          <w:rFonts w:ascii="Palatino Linotype" w:hAnsi="Palatino Linotype"/>
          <w:b/>
          <w:i/>
          <w:lang w:eastAsia="es-MX"/>
        </w:rPr>
        <w:t>acto de corrupción</w:t>
      </w:r>
      <w:r w:rsidRPr="00B61DF3">
        <w:rPr>
          <w:rFonts w:ascii="Palatino Linotype" w:hAnsi="Palatino Linotype"/>
          <w:lang w:eastAsia="es-MX"/>
        </w:rPr>
        <w:t xml:space="preserve">, la </w:t>
      </w:r>
      <w:r w:rsidRPr="00B61DF3">
        <w:rPr>
          <w:rFonts w:ascii="Palatino Linotype" w:hAnsi="Palatino Linotype"/>
          <w:b/>
          <w:lang w:eastAsia="es-MX"/>
        </w:rPr>
        <w:t xml:space="preserve">acción u omisión que llevé a cabo una persona que desempeñe un empleo, cargo o comisión en las instituciones gubernamentales, así como por particulares con funciones públicas, en la cual, en pleno ejercicio de sus funciones, </w:t>
      </w:r>
      <w:r w:rsidRPr="00B61DF3">
        <w:rPr>
          <w:rFonts w:ascii="Palatino Linotype" w:hAnsi="Palatino Linotype"/>
          <w:b/>
          <w:u w:val="single"/>
          <w:lang w:eastAsia="es-MX"/>
        </w:rPr>
        <w:t>obtenga un beneficio o una ventaja de cualquier naturaleza para sí o un tercero</w:t>
      </w:r>
      <w:r w:rsidRPr="00B61DF3">
        <w:rPr>
          <w:rFonts w:ascii="Palatino Linotype" w:hAnsi="Palatino Linotype"/>
          <w:b/>
          <w:lang w:eastAsia="es-MX"/>
        </w:rPr>
        <w:t xml:space="preserve"> sobre algún hecho que no sea permisible en las normas vigentes, </w:t>
      </w:r>
      <w:r w:rsidRPr="00B61DF3">
        <w:rPr>
          <w:rFonts w:ascii="Palatino Linotype" w:hAnsi="Palatino Linotype"/>
          <w:b/>
          <w:u w:val="single"/>
          <w:lang w:eastAsia="es-MX"/>
        </w:rPr>
        <w:t>o bien, incurra en una conducta catalogada por la Ley como acto de corrupción.</w:t>
      </w:r>
    </w:p>
    <w:p w14:paraId="7D3A307C" w14:textId="77777777" w:rsidR="00E01B1F" w:rsidRPr="00B61DF3" w:rsidRDefault="00E01B1F" w:rsidP="00B61DF3">
      <w:pPr>
        <w:spacing w:before="100" w:beforeAutospacing="1" w:after="100" w:afterAutospacing="1" w:line="360" w:lineRule="auto"/>
        <w:jc w:val="both"/>
        <w:rPr>
          <w:rFonts w:ascii="Palatino Linotype" w:hAnsi="Palatino Linotype"/>
          <w:lang w:eastAsia="es-MX"/>
        </w:rPr>
      </w:pPr>
      <w:r w:rsidRPr="00B61DF3">
        <w:rPr>
          <w:rFonts w:ascii="Palatino Linotype" w:hAnsi="Palatino Linotype"/>
          <w:lang w:eastAsia="es-MX"/>
        </w:rPr>
        <w:t xml:space="preserve">Mientras que el Código Penal Federal establece en su Título Decimo “Delitos por hechos de corrupción” a los siguientes: </w:t>
      </w:r>
    </w:p>
    <w:p w14:paraId="3C630ED7"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Ejercicio ilícito de servicio público (artículo 214)</w:t>
      </w:r>
    </w:p>
    <w:p w14:paraId="3F3D2972"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Abuso de autoridad (artículo 215)</w:t>
      </w:r>
    </w:p>
    <w:p w14:paraId="286BBE00"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Coalición de servidores públicos (artículo 216)</w:t>
      </w:r>
    </w:p>
    <w:p w14:paraId="4864D9B2"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 xml:space="preserve">Uso ilícito de atribuciones y facultades (artículo 217) </w:t>
      </w:r>
    </w:p>
    <w:p w14:paraId="60005761"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 xml:space="preserve">Del pago y recibo indebido de remuneraciones de los servidores públicos (artículo 217 Ter) </w:t>
      </w:r>
    </w:p>
    <w:p w14:paraId="08251CA7"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 xml:space="preserve">Concusión (artículo 218) </w:t>
      </w:r>
    </w:p>
    <w:p w14:paraId="12C8E22D"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 xml:space="preserve">Intimidación (artículo 219) </w:t>
      </w:r>
    </w:p>
    <w:p w14:paraId="3F9991F8"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 xml:space="preserve">Ejercicio abusivo de funciones (artículo 220) </w:t>
      </w:r>
    </w:p>
    <w:p w14:paraId="0181A4B9"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Tráfico de Influencia (artículo 221)</w:t>
      </w:r>
    </w:p>
    <w:p w14:paraId="65990793"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Cohecho (artículo 222)</w:t>
      </w:r>
    </w:p>
    <w:p w14:paraId="3AC47F5A"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 xml:space="preserve">Cohecho a servidores públicos extranjeros (artículo 222 bis) </w:t>
      </w:r>
    </w:p>
    <w:p w14:paraId="1F5662AF"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 xml:space="preserve">Peculado (artículo 223) </w:t>
      </w:r>
    </w:p>
    <w:p w14:paraId="501495E3" w14:textId="77777777" w:rsidR="00E01B1F" w:rsidRPr="00B61DF3" w:rsidRDefault="00E01B1F" w:rsidP="00B61DF3">
      <w:pPr>
        <w:numPr>
          <w:ilvl w:val="0"/>
          <w:numId w:val="41"/>
        </w:numPr>
        <w:spacing w:before="100" w:beforeAutospacing="1" w:after="100" w:afterAutospacing="1" w:line="360" w:lineRule="auto"/>
        <w:contextualSpacing/>
        <w:jc w:val="both"/>
        <w:rPr>
          <w:rFonts w:ascii="Palatino Linotype" w:hAnsi="Palatino Linotype"/>
          <w:b/>
          <w:lang w:eastAsia="es-MX"/>
        </w:rPr>
      </w:pPr>
      <w:r w:rsidRPr="00B61DF3">
        <w:rPr>
          <w:rFonts w:ascii="Palatino Linotype" w:hAnsi="Palatino Linotype"/>
          <w:lang w:eastAsia="es-MX"/>
        </w:rPr>
        <w:t>Enriquecimiento Ilícito (artículo 224)</w:t>
      </w:r>
    </w:p>
    <w:p w14:paraId="6A60D7E9" w14:textId="77777777" w:rsidR="00923A53" w:rsidRPr="00B61DF3" w:rsidRDefault="00923A53" w:rsidP="00B61DF3">
      <w:pPr>
        <w:spacing w:before="100" w:beforeAutospacing="1" w:after="100" w:afterAutospacing="1" w:line="360" w:lineRule="auto"/>
        <w:ind w:left="720"/>
        <w:contextualSpacing/>
        <w:jc w:val="both"/>
        <w:rPr>
          <w:rFonts w:ascii="Palatino Linotype" w:hAnsi="Palatino Linotype"/>
          <w:b/>
          <w:lang w:eastAsia="es-MX"/>
        </w:rPr>
      </w:pPr>
    </w:p>
    <w:p w14:paraId="40C6F5CA" w14:textId="6451A761" w:rsidR="00E01B1F" w:rsidRPr="00B61DF3" w:rsidRDefault="00024A38" w:rsidP="00B61DF3">
      <w:pPr>
        <w:spacing w:before="100" w:beforeAutospacing="1" w:after="100" w:afterAutospacing="1" w:line="360" w:lineRule="auto"/>
        <w:jc w:val="both"/>
        <w:rPr>
          <w:rFonts w:ascii="Palatino Linotype" w:eastAsia="Palatino Linotype" w:hAnsi="Palatino Linotype" w:cs="Palatino Linotype"/>
          <w:lang w:eastAsia="es-MX"/>
        </w:rPr>
      </w:pPr>
      <w:r w:rsidRPr="00B61DF3">
        <w:rPr>
          <w:rFonts w:ascii="Palatino Linotype" w:eastAsia="Palatino Linotype" w:hAnsi="Palatino Linotype" w:cs="Palatino Linotype"/>
          <w:lang w:eastAsia="es-MX"/>
        </w:rPr>
        <w:t>La</w:t>
      </w:r>
      <w:r w:rsidR="00E01B1F" w:rsidRPr="00B61DF3">
        <w:rPr>
          <w:rFonts w:ascii="Palatino Linotype" w:eastAsia="Palatino Linotype" w:hAnsi="Palatino Linotype" w:cs="Palatino Linotype"/>
          <w:lang w:eastAsia="es-MX"/>
        </w:rPr>
        <w:t xml:space="preserve"> información </w:t>
      </w:r>
      <w:r w:rsidRPr="00B61DF3">
        <w:rPr>
          <w:rFonts w:ascii="Palatino Linotype" w:eastAsia="Palatino Linotype" w:hAnsi="Palatino Linotype" w:cs="Palatino Linotype"/>
          <w:lang w:eastAsia="es-MX"/>
        </w:rPr>
        <w:t xml:space="preserve">anterior es </w:t>
      </w:r>
      <w:r w:rsidR="00E01B1F" w:rsidRPr="00B61DF3">
        <w:rPr>
          <w:rFonts w:ascii="Palatino Linotype" w:eastAsia="Palatino Linotype" w:hAnsi="Palatino Linotype" w:cs="Palatino Linotype"/>
          <w:lang w:eastAsia="es-MX"/>
        </w:rPr>
        <w:t xml:space="preserve">de gran trascendencia, ya que al </w:t>
      </w:r>
      <w:r w:rsidR="00E01B1F" w:rsidRPr="00B61DF3">
        <w:rPr>
          <w:rFonts w:ascii="Palatino Linotype" w:hAnsi="Palatino Linotype"/>
          <w:lang w:eastAsia="es-MX"/>
        </w:rPr>
        <w:t>estar involucrados servidores públicos existe una afectación directa al interés público en torno a las atribuciones de los entes públicos, como lo es, de manera enunciativa, más no limitativa, la administración de su patrimonio, la erogación de recursos públicos o la recaudación de contribuciones, derechos, impuestos, etcétera, lo cual afecta no solo al ente público sino a toda la sociedad en general.</w:t>
      </w:r>
    </w:p>
    <w:p w14:paraId="2BD0156F" w14:textId="77777777" w:rsidR="00E01B1F" w:rsidRPr="00B61DF3" w:rsidRDefault="00E01B1F" w:rsidP="00B61DF3">
      <w:pPr>
        <w:spacing w:before="100" w:beforeAutospacing="1" w:after="100" w:afterAutospacing="1" w:line="360" w:lineRule="auto"/>
        <w:jc w:val="both"/>
        <w:rPr>
          <w:rFonts w:ascii="Palatino Linotype" w:eastAsia="Palatino Linotype" w:hAnsi="Palatino Linotype" w:cs="Palatino Linotype"/>
          <w:lang w:eastAsia="es-MX"/>
        </w:rPr>
      </w:pPr>
      <w:r w:rsidRPr="00B61DF3">
        <w:rPr>
          <w:rFonts w:ascii="Palatino Linotype" w:hAnsi="Palatino Linotype"/>
          <w:lang w:eastAsia="es-MX"/>
        </w:rPr>
        <w:t xml:space="preserve">En función de lo expuesto, y considerando las conductas que pudieran ser investigadas, es que el derecho de acceso a la información cobra una relevancia trascendental para la sociedad en general, ya que a través del ejercicio de éste se puede conocer información relacionada con hechos de corrupción, que además por la importancia que ésta tiene para el erario municipal, resulta de mayor interés el impacto que dichas conductas pudieron tener en su detrimento, encuadrando en </w:t>
      </w:r>
      <w:r w:rsidRPr="00B61DF3">
        <w:rPr>
          <w:rFonts w:ascii="Palatino Linotype" w:eastAsia="Palatino Linotype" w:hAnsi="Palatino Linotype" w:cs="Palatino Linotype"/>
          <w:lang w:eastAsia="es-MX"/>
        </w:rPr>
        <w:t>los artículos 3, fracción XXII y 9, fracción VII, de la Ley de Transparencia y Acceso a la Información Pública del Estado de México, este Instituto establece como:</w:t>
      </w:r>
    </w:p>
    <w:p w14:paraId="68D30F00" w14:textId="77777777" w:rsidR="00E01B1F" w:rsidRPr="00B61DF3" w:rsidRDefault="00E01B1F" w:rsidP="00B61DF3">
      <w:pPr>
        <w:pBdr>
          <w:top w:val="nil"/>
          <w:left w:val="nil"/>
          <w:bottom w:val="nil"/>
          <w:right w:val="nil"/>
          <w:between w:val="nil"/>
        </w:pBdr>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“Artículo 3.</w:t>
      </w:r>
      <w:r w:rsidRPr="00B61DF3">
        <w:rPr>
          <w:rFonts w:ascii="Palatino Linotype" w:eastAsia="Palatino Linotype" w:hAnsi="Palatino Linotype" w:cs="Palatino Linotype"/>
          <w:i/>
          <w:sz w:val="22"/>
          <w:szCs w:val="22"/>
          <w:lang w:eastAsia="es-MX"/>
        </w:rPr>
        <w:t xml:space="preserve"> Para los efectos de la presente Ley se entenderá por:</w:t>
      </w:r>
    </w:p>
    <w:p w14:paraId="03F35E60" w14:textId="77777777" w:rsidR="00E01B1F" w:rsidRPr="00B61DF3" w:rsidRDefault="00E01B1F" w:rsidP="00B61DF3">
      <w:pPr>
        <w:pBdr>
          <w:top w:val="nil"/>
          <w:left w:val="nil"/>
          <w:bottom w:val="nil"/>
          <w:right w:val="nil"/>
          <w:between w:val="nil"/>
        </w:pBdr>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w:t>
      </w:r>
    </w:p>
    <w:p w14:paraId="2A784784" w14:textId="77777777" w:rsidR="00E01B1F" w:rsidRPr="00B61DF3" w:rsidRDefault="00E01B1F" w:rsidP="00B61DF3">
      <w:pPr>
        <w:pBdr>
          <w:top w:val="nil"/>
          <w:left w:val="nil"/>
          <w:bottom w:val="nil"/>
          <w:right w:val="nil"/>
          <w:between w:val="nil"/>
        </w:pBdr>
        <w:spacing w:before="100" w:beforeAutospacing="1" w:after="100" w:afterAutospacing="1"/>
        <w:ind w:left="850" w:right="902"/>
        <w:jc w:val="both"/>
        <w:rPr>
          <w:rFonts w:ascii="Palatino Linotype" w:eastAsia="Palatino Linotype" w:hAnsi="Palatino Linotype" w:cs="Palatino Linotype"/>
          <w:b/>
          <w:i/>
          <w:sz w:val="22"/>
          <w:szCs w:val="22"/>
          <w:lang w:eastAsia="es-MX"/>
        </w:rPr>
      </w:pPr>
      <w:r w:rsidRPr="00B61DF3">
        <w:rPr>
          <w:rFonts w:ascii="Palatino Linotype" w:eastAsia="Palatino Linotype" w:hAnsi="Palatino Linotype" w:cs="Palatino Linotype"/>
          <w:b/>
          <w:i/>
          <w:sz w:val="22"/>
          <w:szCs w:val="22"/>
          <w:lang w:eastAsia="es-MX"/>
        </w:rPr>
        <w:t>XXII. Información de interés público:</w:t>
      </w:r>
      <w:r w:rsidRPr="00B61DF3">
        <w:rPr>
          <w:rFonts w:ascii="Palatino Linotype" w:eastAsia="Palatino Linotype" w:hAnsi="Palatino Linotype" w:cs="Palatino Linotype"/>
          <w:i/>
          <w:sz w:val="22"/>
          <w:szCs w:val="22"/>
          <w:lang w:eastAsia="es-MX"/>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635C6719" w14:textId="77777777" w:rsidR="00E01B1F" w:rsidRPr="00B61DF3" w:rsidRDefault="00E01B1F" w:rsidP="00B61DF3">
      <w:pPr>
        <w:pBdr>
          <w:top w:val="nil"/>
          <w:left w:val="nil"/>
          <w:bottom w:val="nil"/>
          <w:right w:val="nil"/>
          <w:between w:val="nil"/>
        </w:pBdr>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w:t>
      </w:r>
    </w:p>
    <w:p w14:paraId="6AEC033F" w14:textId="77777777" w:rsidR="00E01B1F" w:rsidRPr="00B61DF3" w:rsidRDefault="00E01B1F" w:rsidP="00B61DF3">
      <w:pPr>
        <w:pBdr>
          <w:top w:val="nil"/>
          <w:left w:val="nil"/>
          <w:bottom w:val="nil"/>
          <w:right w:val="nil"/>
          <w:between w:val="nil"/>
        </w:pBdr>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Artículo 9.</w:t>
      </w:r>
      <w:r w:rsidRPr="00B61DF3">
        <w:rPr>
          <w:rFonts w:ascii="Palatino Linotype" w:eastAsia="Palatino Linotype" w:hAnsi="Palatino Linotype" w:cs="Palatino Linotype"/>
          <w:i/>
          <w:sz w:val="22"/>
          <w:szCs w:val="22"/>
          <w:lang w:eastAsia="es-MX"/>
        </w:rPr>
        <w:t xml:space="preserve"> El Instituto deberá regir su funcionamiento de acuerdo a los siguientes principios:</w:t>
      </w:r>
    </w:p>
    <w:p w14:paraId="7B456791" w14:textId="77777777" w:rsidR="00E01B1F" w:rsidRPr="00B61DF3" w:rsidRDefault="00E01B1F" w:rsidP="00B61DF3">
      <w:pPr>
        <w:pBdr>
          <w:top w:val="nil"/>
          <w:left w:val="nil"/>
          <w:bottom w:val="nil"/>
          <w:right w:val="nil"/>
          <w:between w:val="nil"/>
        </w:pBdr>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i/>
          <w:sz w:val="22"/>
          <w:szCs w:val="22"/>
          <w:lang w:eastAsia="es-MX"/>
        </w:rPr>
        <w:t>…</w:t>
      </w:r>
    </w:p>
    <w:p w14:paraId="30A3243B" w14:textId="77777777" w:rsidR="00E01B1F" w:rsidRPr="00B61DF3" w:rsidRDefault="00E01B1F" w:rsidP="00B61DF3">
      <w:pPr>
        <w:pBdr>
          <w:top w:val="nil"/>
          <w:left w:val="nil"/>
          <w:bottom w:val="nil"/>
          <w:right w:val="nil"/>
          <w:between w:val="nil"/>
        </w:pBdr>
        <w:spacing w:before="100" w:beforeAutospacing="1" w:after="100" w:afterAutospacing="1"/>
        <w:ind w:left="850" w:right="902"/>
        <w:jc w:val="both"/>
        <w:rPr>
          <w:rFonts w:ascii="Palatino Linotype" w:eastAsia="Palatino Linotype" w:hAnsi="Palatino Linotype" w:cs="Palatino Linotype"/>
          <w:i/>
          <w:sz w:val="22"/>
          <w:szCs w:val="22"/>
          <w:lang w:eastAsia="es-MX"/>
        </w:rPr>
      </w:pPr>
      <w:r w:rsidRPr="00B61DF3">
        <w:rPr>
          <w:rFonts w:ascii="Palatino Linotype" w:eastAsia="Palatino Linotype" w:hAnsi="Palatino Linotype" w:cs="Palatino Linotype"/>
          <w:b/>
          <w:i/>
          <w:sz w:val="22"/>
          <w:szCs w:val="22"/>
          <w:lang w:eastAsia="es-MX"/>
        </w:rPr>
        <w:t>VII. Máxima Publicidad:</w:t>
      </w:r>
      <w:r w:rsidRPr="00B61DF3">
        <w:rPr>
          <w:rFonts w:ascii="Palatino Linotype" w:eastAsia="Palatino Linotype" w:hAnsi="Palatino Linotype" w:cs="Palatino Linotype"/>
          <w:i/>
          <w:sz w:val="22"/>
          <w:szCs w:val="22"/>
          <w:lang w:eastAsia="es-MX"/>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p w14:paraId="7DB1BD54" w14:textId="77777777" w:rsidR="00E01B1F" w:rsidRPr="00B61DF3" w:rsidRDefault="00E01B1F" w:rsidP="00B61DF3">
      <w:pPr>
        <w:spacing w:before="100" w:beforeAutospacing="1" w:after="100" w:afterAutospacing="1" w:line="360" w:lineRule="auto"/>
        <w:jc w:val="both"/>
        <w:rPr>
          <w:rFonts w:ascii="Palatino Linotype" w:eastAsia="Palatino Linotype" w:hAnsi="Palatino Linotype" w:cs="Palatino Linotype"/>
          <w:sz w:val="22"/>
          <w:szCs w:val="22"/>
          <w:lang w:eastAsia="es-MX"/>
        </w:rPr>
      </w:pPr>
      <w:r w:rsidRPr="00B61DF3">
        <w:rPr>
          <w:rFonts w:ascii="Palatino Linotype" w:eastAsia="Palatino Linotype" w:hAnsi="Palatino Linotype" w:cs="Palatino Linotype"/>
          <w:lang w:eastAsia="es-MX"/>
        </w:rPr>
        <w:t>De lo anterior, se colige que, el interés público está relacionado con el principio de máxima publicidad y las excepciones a la clasificación de la información; pues existe un interés general de la sociedad de conocer sobre los posibles actos de corrupción al no ser afectaciones que se dan en lo individual, sino que existe un detrimento en un grupo o en la población en general.</w:t>
      </w:r>
    </w:p>
    <w:p w14:paraId="26B92DD0" w14:textId="351B5F49" w:rsidR="00E01B1F" w:rsidRPr="00B61DF3" w:rsidRDefault="00E01B1F" w:rsidP="00B61DF3">
      <w:pPr>
        <w:spacing w:before="100" w:beforeAutospacing="1" w:after="100" w:afterAutospacing="1" w:line="360" w:lineRule="auto"/>
        <w:jc w:val="both"/>
        <w:rPr>
          <w:rFonts w:ascii="Palatino Linotype" w:eastAsia="Palatino Linotype" w:hAnsi="Palatino Linotype" w:cs="Palatino Linotype"/>
          <w:b/>
          <w:u w:val="single"/>
          <w:lang w:eastAsia="es-MX"/>
        </w:rPr>
      </w:pPr>
      <w:bookmarkStart w:id="7" w:name="_heading=h.1fob9te" w:colFirst="0" w:colLast="0"/>
      <w:bookmarkEnd w:id="7"/>
      <w:r w:rsidRPr="00B61DF3">
        <w:rPr>
          <w:rFonts w:ascii="Palatino Linotype" w:eastAsia="Palatino Linotype" w:hAnsi="Palatino Linotype" w:cs="Palatino Linotype"/>
          <w:lang w:eastAsia="es-MX"/>
        </w:rPr>
        <w:t xml:space="preserve">Por tal motivo, se considera para el caso de que existiera algún procedimiento administrativo relacionado con responsabilidades resarcitorias en trámite, en contra de los servidores públicos referidos, y que estén relacionados con alguna excepción de las establecidas en el artículo 142 de la Ley de Transparencia y Acceso a la Información Pública del Estado de México y Municipios, tales como actos de corrupción, se </w:t>
      </w:r>
      <w:r w:rsidRPr="00B61DF3">
        <w:rPr>
          <w:rFonts w:ascii="Palatino Linotype" w:eastAsia="Palatino Linotype" w:hAnsi="Palatino Linotype" w:cs="Palatino Linotype"/>
          <w:b/>
          <w:u w:val="single"/>
          <w:lang w:eastAsia="es-MX"/>
        </w:rPr>
        <w:t xml:space="preserve">deberá entregar el soporte documental correspondiente que </w:t>
      </w:r>
      <w:proofErr w:type="spellStart"/>
      <w:r w:rsidRPr="00B61DF3">
        <w:rPr>
          <w:rFonts w:ascii="Palatino Linotype" w:eastAsia="Palatino Linotype" w:hAnsi="Palatino Linotype" w:cs="Palatino Linotype"/>
          <w:b/>
          <w:u w:val="single"/>
          <w:lang w:eastAsia="es-MX"/>
        </w:rPr>
        <w:t>de</w:t>
      </w:r>
      <w:proofErr w:type="spellEnd"/>
      <w:r w:rsidRPr="00B61DF3">
        <w:rPr>
          <w:rFonts w:ascii="Palatino Linotype" w:eastAsia="Palatino Linotype" w:hAnsi="Palatino Linotype" w:cs="Palatino Linotype"/>
          <w:b/>
          <w:u w:val="single"/>
          <w:lang w:eastAsia="es-MX"/>
        </w:rPr>
        <w:t xml:space="preserve"> cuenta de la existencia de dichos procedimientos </w:t>
      </w:r>
      <w:r w:rsidR="00923A53" w:rsidRPr="00B61DF3">
        <w:rPr>
          <w:rFonts w:ascii="Palatino Linotype" w:eastAsia="Palatino Linotype" w:hAnsi="Palatino Linotype" w:cs="Palatino Linotype"/>
          <w:b/>
          <w:u w:val="single"/>
          <w:lang w:eastAsia="es-MX"/>
        </w:rPr>
        <w:t>de auditoría del Programa salario Rosa de</w:t>
      </w:r>
      <w:r w:rsidR="00C248ED" w:rsidRPr="00B61DF3">
        <w:rPr>
          <w:rFonts w:ascii="Palatino Linotype" w:eastAsia="Palatino Linotype" w:hAnsi="Palatino Linotype" w:cs="Palatino Linotype"/>
          <w:b/>
          <w:u w:val="single"/>
          <w:lang w:eastAsia="es-MX"/>
        </w:rPr>
        <w:t>l</w:t>
      </w:r>
      <w:r w:rsidR="00923A53" w:rsidRPr="00B61DF3">
        <w:rPr>
          <w:rFonts w:ascii="Palatino Linotype" w:eastAsia="Palatino Linotype" w:hAnsi="Palatino Linotype" w:cs="Palatino Linotype"/>
          <w:b/>
          <w:u w:val="single"/>
          <w:lang w:eastAsia="es-MX"/>
        </w:rPr>
        <w:t xml:space="preserve"> año 20</w:t>
      </w:r>
      <w:r w:rsidR="00C248ED" w:rsidRPr="00B61DF3">
        <w:rPr>
          <w:rFonts w:ascii="Palatino Linotype" w:eastAsia="Palatino Linotype" w:hAnsi="Palatino Linotype" w:cs="Palatino Linotype"/>
          <w:b/>
          <w:u w:val="single"/>
          <w:lang w:eastAsia="es-MX"/>
        </w:rPr>
        <w:t xml:space="preserve">20 y </w:t>
      </w:r>
      <w:r w:rsidRPr="00B61DF3">
        <w:rPr>
          <w:rFonts w:ascii="Palatino Linotype" w:eastAsia="Palatino Linotype" w:hAnsi="Palatino Linotype" w:cs="Palatino Linotype"/>
          <w:b/>
          <w:u w:val="single"/>
          <w:lang w:eastAsia="es-MX"/>
        </w:rPr>
        <w:t>el estado que guardan, en versión pública de ser necesario, conforme al considerando siguiente.</w:t>
      </w:r>
    </w:p>
    <w:p w14:paraId="291F466D" w14:textId="5D62FE73" w:rsidR="00E01B1F" w:rsidRPr="00B61DF3" w:rsidRDefault="00E01B1F" w:rsidP="00B61DF3">
      <w:pPr>
        <w:spacing w:before="100" w:beforeAutospacing="1" w:after="100" w:afterAutospacing="1" w:line="360" w:lineRule="auto"/>
        <w:jc w:val="both"/>
        <w:rPr>
          <w:rFonts w:ascii="Palatino Linotype" w:eastAsia="Palatino Linotype" w:hAnsi="Palatino Linotype" w:cs="Palatino Linotype"/>
          <w:b/>
          <w:u w:val="single"/>
          <w:lang w:eastAsia="es-MX"/>
        </w:rPr>
      </w:pPr>
      <w:r w:rsidRPr="00B61DF3">
        <w:rPr>
          <w:rFonts w:ascii="Palatino Linotype" w:eastAsia="Palatino Linotype" w:hAnsi="Palatino Linotype" w:cs="Palatino Linotype"/>
          <w:lang w:eastAsia="es-MX"/>
        </w:rPr>
        <w:t xml:space="preserve">Siendo importante mencionar que si bien entregar el pronunciamiento respecto a la existencia de un procedimiento de sanción administrativa, podría generar una percepción negativa de éste, ocasionando un perjuicio en su </w:t>
      </w:r>
      <w:r w:rsidRPr="00B61DF3">
        <w:rPr>
          <w:rFonts w:ascii="Palatino Linotype" w:eastAsia="Palatino Linotype" w:hAnsi="Palatino Linotype" w:cs="Palatino Linotype"/>
          <w:b/>
          <w:lang w:eastAsia="es-MX"/>
        </w:rPr>
        <w:t xml:space="preserve">honor, intimidad, buena imagen y nombre, así como a su vida privada, </w:t>
      </w:r>
      <w:r w:rsidRPr="00B61DF3">
        <w:rPr>
          <w:rFonts w:ascii="Palatino Linotype" w:eastAsia="Palatino Linotype" w:hAnsi="Palatino Linotype" w:cs="Palatino Linotype"/>
          <w:lang w:eastAsia="es-MX"/>
        </w:rPr>
        <w:t xml:space="preserve">también lo es, que </w:t>
      </w:r>
      <w:r w:rsidRPr="00B61DF3">
        <w:rPr>
          <w:rFonts w:ascii="Palatino Linotype" w:eastAsia="Palatino Linotype" w:hAnsi="Palatino Linotype" w:cs="Palatino Linotype"/>
          <w:b/>
          <w:u w:val="single"/>
          <w:lang w:eastAsia="es-MX"/>
        </w:rPr>
        <w:t>tratándose de asuntos relacionados con actos de corrupción, se trataría de una falta grave</w:t>
      </w:r>
      <w:r w:rsidRPr="00B61DF3">
        <w:rPr>
          <w:rFonts w:ascii="Palatino Linotype" w:eastAsia="Palatino Linotype" w:hAnsi="Palatino Linotype" w:cs="Palatino Linotype"/>
          <w:b/>
          <w:lang w:eastAsia="es-MX"/>
        </w:rPr>
        <w:t xml:space="preserve">, </w:t>
      </w:r>
      <w:r w:rsidRPr="00B61DF3">
        <w:rPr>
          <w:rFonts w:ascii="Palatino Linotype" w:eastAsia="Palatino Linotype" w:hAnsi="Palatino Linotype" w:cs="Palatino Linotype"/>
          <w:b/>
          <w:u w:val="single"/>
          <w:lang w:eastAsia="es-MX"/>
        </w:rPr>
        <w:t>por lo que tales prerrogativas quedan supeditadas al interés mayor de conocer tales eventualidades y por lo tanto no precede su clasificación en términ</w:t>
      </w:r>
      <w:r w:rsidR="00024A38" w:rsidRPr="00B61DF3">
        <w:rPr>
          <w:rFonts w:ascii="Palatino Linotype" w:eastAsia="Palatino Linotype" w:hAnsi="Palatino Linotype" w:cs="Palatino Linotype"/>
          <w:b/>
          <w:u w:val="single"/>
          <w:lang w:eastAsia="es-MX"/>
        </w:rPr>
        <w:t xml:space="preserve">os del artículo 143, </w:t>
      </w:r>
      <w:r w:rsidRPr="00B61DF3">
        <w:rPr>
          <w:rFonts w:ascii="Palatino Linotype" w:eastAsia="Palatino Linotype" w:hAnsi="Palatino Linotype" w:cs="Palatino Linotype"/>
          <w:b/>
          <w:u w:val="single"/>
          <w:lang w:eastAsia="es-MX"/>
        </w:rPr>
        <w:t>de la Ley de la materia.</w:t>
      </w:r>
    </w:p>
    <w:p w14:paraId="2FDD907A" w14:textId="77777777" w:rsidR="00E01B1F" w:rsidRPr="00B61DF3" w:rsidRDefault="00E01B1F" w:rsidP="00B61DF3">
      <w:pPr>
        <w:spacing w:before="100" w:beforeAutospacing="1" w:after="100" w:afterAutospacing="1" w:line="360" w:lineRule="auto"/>
        <w:jc w:val="both"/>
        <w:rPr>
          <w:rFonts w:ascii="Palatino Linotype" w:hAnsi="Palatino Linotype"/>
          <w:lang w:eastAsia="es-MX"/>
        </w:rPr>
      </w:pPr>
      <w:r w:rsidRPr="00B61DF3">
        <w:rPr>
          <w:rFonts w:ascii="Palatino Linotype" w:eastAsia="Palatino Linotype" w:hAnsi="Palatino Linotype" w:cs="Palatino Linotype"/>
          <w:lang w:eastAsia="es-MX"/>
        </w:rPr>
        <w:t xml:space="preserve">Respecto de nombre de los servidores públicos, en atención al análisis realizado, cierto es que toda persona tiene derecho a la presunción de inocencia hasta en tanto se demuestre lo contrario, sin embargo, en el caso de actos de corrupción nos encontramos ante un caso de trascendencia social e interés público, sobreviniendo </w:t>
      </w:r>
      <w:r w:rsidRPr="00B61DF3">
        <w:rPr>
          <w:rFonts w:ascii="Palatino Linotype" w:hAnsi="Palatino Linotype"/>
          <w:lang w:eastAsia="es-MX"/>
        </w:rPr>
        <w:t>una colisión entre derechos fundamentales, esto es, por una parte, se busca mantener la secrecía de los nombres de los servidores públicos denunciados, es decir, el nombre de las personas que enfrentan acusaciones sobre esos actos y; por otro, se pretende dar acceso a información que es de interés de los ciudadanos porque versa sobre una afectación económica al erario público.</w:t>
      </w:r>
    </w:p>
    <w:p w14:paraId="61FC59BB" w14:textId="39C8794A" w:rsidR="00E01B1F" w:rsidRPr="00B61DF3" w:rsidRDefault="00E01B1F" w:rsidP="00B61DF3">
      <w:pPr>
        <w:spacing w:before="100" w:beforeAutospacing="1" w:after="100" w:afterAutospacing="1" w:line="360" w:lineRule="auto"/>
        <w:jc w:val="both"/>
        <w:rPr>
          <w:rFonts w:ascii="Palatino Linotype" w:hAnsi="Palatino Linotype"/>
          <w:b/>
          <w:lang w:eastAsia="es-MX"/>
        </w:rPr>
      </w:pPr>
      <w:r w:rsidRPr="00B61DF3">
        <w:rPr>
          <w:rFonts w:ascii="Palatino Linotype" w:hAnsi="Palatino Linotype"/>
          <w:lang w:eastAsia="es-MX"/>
        </w:rPr>
        <w:t xml:space="preserve">En tal contexto, si los hechos investigados son en razón de conductas presuntamente ilegales, el ejercicio ilícito de servicio público, el uso ilícito de funciones, el cohecho, peculado y enriquecimiento ilícito, de personas que en el ejercicio de sus funciones públicas, causaron un detrimento y se presume obtuvieron un beneficio personal, luego entonces </w:t>
      </w:r>
      <w:r w:rsidRPr="00B61DF3">
        <w:rPr>
          <w:rFonts w:ascii="Palatino Linotype" w:hAnsi="Palatino Linotype"/>
          <w:b/>
          <w:lang w:eastAsia="es-MX"/>
        </w:rPr>
        <w:t>existe una preferencia social mayor que trasciende para dar a conocer, precisamente los nombres de los servidores o ex servidores que enfrentan acusaciones sobre este caso, debiendo por tanto darse a conocer dicho dato, en caso de actualizarse la excepción a la excepción, prevista en el artículo 142 de</w:t>
      </w:r>
      <w:r w:rsidR="00024A38" w:rsidRPr="00B61DF3">
        <w:rPr>
          <w:rFonts w:ascii="Palatino Linotype" w:hAnsi="Palatino Linotype"/>
          <w:b/>
          <w:lang w:eastAsia="es-MX"/>
        </w:rPr>
        <w:t xml:space="preserve"> </w:t>
      </w:r>
      <w:r w:rsidRPr="00B61DF3">
        <w:rPr>
          <w:rFonts w:ascii="Palatino Linotype" w:hAnsi="Palatino Linotype"/>
          <w:b/>
          <w:lang w:eastAsia="es-MX"/>
        </w:rPr>
        <w:t>la Ley de la materia.</w:t>
      </w:r>
    </w:p>
    <w:p w14:paraId="290B4ABA" w14:textId="77777777" w:rsidR="00E01B1F" w:rsidRPr="00B61DF3" w:rsidRDefault="00E01B1F" w:rsidP="00B61DF3">
      <w:pPr>
        <w:spacing w:before="100" w:beforeAutospacing="1" w:after="100" w:afterAutospacing="1" w:line="360" w:lineRule="auto"/>
        <w:jc w:val="both"/>
        <w:rPr>
          <w:rFonts w:ascii="Palatino Linotype" w:hAnsi="Palatino Linotype"/>
          <w:lang w:eastAsia="es-MX"/>
        </w:rPr>
      </w:pPr>
      <w:r w:rsidRPr="00B61DF3">
        <w:rPr>
          <w:rFonts w:ascii="Palatino Linotype" w:hAnsi="Palatino Linotype"/>
          <w:lang w:eastAsia="es-MX"/>
        </w:rPr>
        <w:t>A efecto de sustentar lo anterior, es aplicable por analogía la determinación del Instituto Nacional de Transparencia, Acceso a la Información y Protección de Datos Personales, INAI, en la Resolución del Recurso de Revisión de Acceso con número de folio RRA 12225/22, que en su parte conducente, señala lo siguiente:</w:t>
      </w:r>
    </w:p>
    <w:p w14:paraId="313E9BB6" w14:textId="77777777" w:rsidR="00E01B1F" w:rsidRPr="00B61DF3" w:rsidRDefault="00E01B1F" w:rsidP="00B61DF3">
      <w:pPr>
        <w:spacing w:before="100" w:beforeAutospacing="1" w:after="100" w:afterAutospacing="1" w:line="276" w:lineRule="auto"/>
        <w:ind w:left="426" w:right="474"/>
        <w:jc w:val="both"/>
        <w:rPr>
          <w:rFonts w:ascii="Palatino Linotype" w:hAnsi="Palatino Linotype"/>
          <w:i/>
          <w:szCs w:val="22"/>
          <w:lang w:eastAsia="es-MX"/>
        </w:rPr>
      </w:pPr>
      <w:r w:rsidRPr="00B61DF3">
        <w:rPr>
          <w:rFonts w:ascii="Palatino Linotype" w:hAnsi="Palatino Linotype"/>
          <w:i/>
          <w:szCs w:val="22"/>
          <w:lang w:eastAsia="es-MX"/>
        </w:rPr>
        <w:t>“</w:t>
      </w:r>
      <w:r w:rsidRPr="00B61DF3">
        <w:rPr>
          <w:rFonts w:ascii="Palatino Linotype" w:hAnsi="Palatino Linotype"/>
          <w:b/>
          <w:i/>
          <w:szCs w:val="22"/>
          <w:lang w:eastAsia="es-MX"/>
        </w:rPr>
        <w:t>ANÁLISIS DE INTERÉS PÚBLICO</w:t>
      </w:r>
    </w:p>
    <w:p w14:paraId="49E85C4C" w14:textId="77777777" w:rsidR="00E01B1F" w:rsidRPr="00B61DF3" w:rsidRDefault="00E01B1F" w:rsidP="00B61DF3">
      <w:pPr>
        <w:spacing w:before="100" w:beforeAutospacing="1" w:after="100" w:afterAutospacing="1" w:line="276" w:lineRule="auto"/>
        <w:ind w:left="426" w:right="474"/>
        <w:jc w:val="both"/>
        <w:rPr>
          <w:rFonts w:ascii="Palatino Linotype" w:hAnsi="Palatino Linotype"/>
          <w:i/>
          <w:szCs w:val="22"/>
          <w:lang w:eastAsia="es-MX"/>
        </w:rPr>
      </w:pPr>
      <w:r w:rsidRPr="00B61DF3">
        <w:rPr>
          <w:rFonts w:ascii="Palatino Linotype" w:hAnsi="Palatino Linotype"/>
          <w:i/>
          <w:szCs w:val="22"/>
          <w:lang w:eastAsia="es-MX"/>
        </w:rPr>
        <w:t>[...]</w:t>
      </w:r>
    </w:p>
    <w:p w14:paraId="7229BEE0" w14:textId="77777777" w:rsidR="00E01B1F" w:rsidRPr="00B61DF3" w:rsidRDefault="00E01B1F" w:rsidP="00B61DF3">
      <w:pPr>
        <w:spacing w:before="100" w:beforeAutospacing="1" w:after="100" w:afterAutospacing="1" w:line="276" w:lineRule="auto"/>
        <w:ind w:left="426" w:right="474"/>
        <w:jc w:val="both"/>
        <w:rPr>
          <w:rFonts w:ascii="Palatino Linotype" w:hAnsi="Palatino Linotype"/>
          <w:i/>
          <w:sz w:val="22"/>
          <w:szCs w:val="22"/>
          <w:lang w:eastAsia="es-MX"/>
        </w:rPr>
      </w:pPr>
      <w:r w:rsidRPr="00B61DF3">
        <w:rPr>
          <w:rFonts w:ascii="Palatino Linotype" w:hAnsi="Palatino Linotype"/>
          <w:i/>
          <w:szCs w:val="22"/>
          <w:lang w:eastAsia="es-MX"/>
        </w:rPr>
        <w:t>Señalado lo anterior, resulta necesario realizar una ponderación de los dos intereses jurídicos tutelados que convergen en la controversia que se dirime, para lo cual, resulta pertinente traer al estudio lo señalado en el artículo 155 de la Ley Federal de Transparencia y Acceso a la Información Pública, el cual prevé que cuando exista una colisión de derechos, este Instituto, al resolver el recurso de revisión, deberá aplicar una prueba de interés público con base en elementos de idoneidad, necesidad y proporcionalidad. Para estos efectos, se entenderá por</w:t>
      </w:r>
      <w:r w:rsidRPr="00B61DF3">
        <w:rPr>
          <w:rFonts w:ascii="Palatino Linotype" w:hAnsi="Palatino Linotype"/>
          <w:i/>
          <w:sz w:val="22"/>
          <w:szCs w:val="22"/>
          <w:lang w:eastAsia="es-MX"/>
        </w:rPr>
        <w:t xml:space="preserve">: </w:t>
      </w:r>
    </w:p>
    <w:p w14:paraId="468C8D76" w14:textId="77777777" w:rsidR="00E01B1F" w:rsidRPr="00B61DF3" w:rsidRDefault="00E01B1F" w:rsidP="00B61DF3">
      <w:pPr>
        <w:spacing w:before="100" w:beforeAutospacing="1" w:after="100" w:afterAutospacing="1" w:line="276" w:lineRule="auto"/>
        <w:ind w:left="851" w:right="474"/>
        <w:jc w:val="both"/>
        <w:rPr>
          <w:rFonts w:ascii="Palatino Linotype" w:hAnsi="Palatino Linotype"/>
          <w:i/>
          <w:szCs w:val="22"/>
          <w:lang w:eastAsia="es-MX"/>
        </w:rPr>
      </w:pPr>
      <w:r w:rsidRPr="00B61DF3">
        <w:rPr>
          <w:rFonts w:ascii="Palatino Linotype" w:hAnsi="Palatino Linotype"/>
          <w:i/>
          <w:szCs w:val="22"/>
          <w:lang w:eastAsia="es-MX"/>
        </w:rPr>
        <w:sym w:font="Symbol" w:char="F0B7"/>
      </w:r>
      <w:r w:rsidRPr="00B61DF3">
        <w:rPr>
          <w:rFonts w:ascii="Palatino Linotype" w:hAnsi="Palatino Linotype"/>
          <w:i/>
          <w:szCs w:val="22"/>
          <w:lang w:eastAsia="es-MX"/>
        </w:rPr>
        <w:t xml:space="preserve"> </w:t>
      </w:r>
      <w:r w:rsidRPr="00B61DF3">
        <w:rPr>
          <w:rFonts w:ascii="Palatino Linotype" w:hAnsi="Palatino Linotype"/>
          <w:b/>
          <w:i/>
          <w:szCs w:val="22"/>
          <w:lang w:eastAsia="es-MX"/>
        </w:rPr>
        <w:t>Idoneidad:</w:t>
      </w:r>
      <w:r w:rsidRPr="00B61DF3">
        <w:rPr>
          <w:rFonts w:ascii="Palatino Linotype" w:hAnsi="Palatino Linotype"/>
          <w:i/>
          <w:szCs w:val="22"/>
          <w:lang w:eastAsia="es-MX"/>
        </w:rPr>
        <w:t xml:space="preserve"> La legitimidad del derecho adoptado como preferente, que sea el adecuado para el logro de un fin constitucionalmente válido o apto para conseguir el fin pretendido; </w:t>
      </w:r>
    </w:p>
    <w:p w14:paraId="191BCBE6" w14:textId="77777777" w:rsidR="00E01B1F" w:rsidRPr="00B61DF3" w:rsidRDefault="00E01B1F" w:rsidP="00B61DF3">
      <w:pPr>
        <w:spacing w:before="100" w:beforeAutospacing="1" w:after="100" w:afterAutospacing="1" w:line="276" w:lineRule="auto"/>
        <w:ind w:left="851" w:right="474"/>
        <w:jc w:val="both"/>
        <w:rPr>
          <w:rFonts w:ascii="Palatino Linotype" w:hAnsi="Palatino Linotype"/>
          <w:i/>
          <w:szCs w:val="22"/>
          <w:lang w:eastAsia="es-MX"/>
        </w:rPr>
      </w:pPr>
      <w:r w:rsidRPr="00B61DF3">
        <w:rPr>
          <w:rFonts w:ascii="Palatino Linotype" w:hAnsi="Palatino Linotype"/>
          <w:i/>
          <w:szCs w:val="22"/>
          <w:lang w:eastAsia="es-MX"/>
        </w:rPr>
        <w:sym w:font="Symbol" w:char="F0B7"/>
      </w:r>
      <w:r w:rsidRPr="00B61DF3">
        <w:rPr>
          <w:rFonts w:ascii="Palatino Linotype" w:hAnsi="Palatino Linotype"/>
          <w:i/>
          <w:szCs w:val="22"/>
          <w:lang w:eastAsia="es-MX"/>
        </w:rPr>
        <w:t xml:space="preserve"> </w:t>
      </w:r>
      <w:r w:rsidRPr="00B61DF3">
        <w:rPr>
          <w:rFonts w:ascii="Palatino Linotype" w:hAnsi="Palatino Linotype"/>
          <w:b/>
          <w:i/>
          <w:szCs w:val="22"/>
          <w:lang w:eastAsia="es-MX"/>
        </w:rPr>
        <w:t>Necesidad:</w:t>
      </w:r>
      <w:r w:rsidRPr="00B61DF3">
        <w:rPr>
          <w:rFonts w:ascii="Palatino Linotype" w:hAnsi="Palatino Linotype"/>
          <w:i/>
          <w:szCs w:val="22"/>
          <w:lang w:eastAsia="es-MX"/>
        </w:rPr>
        <w:t xml:space="preserve"> La falta de un medio alternativo menos lesivo a la apertura de la información, para satisfacer el interés público, y </w:t>
      </w:r>
    </w:p>
    <w:p w14:paraId="5A69FCD6" w14:textId="77777777" w:rsidR="00E01B1F" w:rsidRPr="00B61DF3" w:rsidRDefault="00E01B1F" w:rsidP="00B61DF3">
      <w:pPr>
        <w:spacing w:before="100" w:beforeAutospacing="1" w:after="100" w:afterAutospacing="1" w:line="276" w:lineRule="auto"/>
        <w:ind w:left="851" w:right="474"/>
        <w:jc w:val="both"/>
        <w:rPr>
          <w:rFonts w:ascii="Palatino Linotype" w:hAnsi="Palatino Linotype"/>
          <w:i/>
          <w:szCs w:val="22"/>
          <w:lang w:eastAsia="es-MX"/>
        </w:rPr>
      </w:pPr>
      <w:r w:rsidRPr="00B61DF3">
        <w:rPr>
          <w:rFonts w:ascii="Palatino Linotype" w:hAnsi="Palatino Linotype"/>
          <w:i/>
          <w:szCs w:val="22"/>
          <w:lang w:eastAsia="es-MX"/>
        </w:rPr>
        <w:sym w:font="Symbol" w:char="F0B7"/>
      </w:r>
      <w:r w:rsidRPr="00B61DF3">
        <w:rPr>
          <w:rFonts w:ascii="Palatino Linotype" w:hAnsi="Palatino Linotype"/>
          <w:i/>
          <w:szCs w:val="22"/>
          <w:lang w:eastAsia="es-MX"/>
        </w:rPr>
        <w:t xml:space="preserve"> </w:t>
      </w:r>
      <w:r w:rsidRPr="00B61DF3">
        <w:rPr>
          <w:rFonts w:ascii="Palatino Linotype" w:hAnsi="Palatino Linotype"/>
          <w:b/>
          <w:i/>
          <w:szCs w:val="22"/>
          <w:lang w:eastAsia="es-MX"/>
        </w:rPr>
        <w:t>Proporcionalidad:</w:t>
      </w:r>
      <w:r w:rsidRPr="00B61DF3">
        <w:rPr>
          <w:rFonts w:ascii="Palatino Linotype" w:hAnsi="Palatino Linotype"/>
          <w:i/>
          <w:szCs w:val="22"/>
          <w:lang w:eastAsia="es-MX"/>
        </w:rPr>
        <w:t xml:space="preserve"> El equilibrio entre perjuicio y beneficio a favor del interés público, a fin de que la decisión tomada represente un beneficio mayor al perjuicio que podría causar a la población.</w:t>
      </w:r>
    </w:p>
    <w:p w14:paraId="2F15861E"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lang w:eastAsia="es-MX"/>
        </w:rPr>
      </w:pPr>
      <w:r w:rsidRPr="00B61DF3">
        <w:rPr>
          <w:rFonts w:ascii="Palatino Linotype" w:hAnsi="Palatino Linotype"/>
          <w:i/>
          <w:lang w:eastAsia="es-MX"/>
        </w:rPr>
        <w:t xml:space="preserve">En el mismo sentido, resulta aplicable la tesis I.4o.A.70 K, emitida por Tribunales Colegiados de Circuito, publicada en el Semanario Judicial de la Federación y su Gaceta, Tomo XXIV, página 2346, de agosto de 2006, Novena Época, materia común: </w:t>
      </w:r>
    </w:p>
    <w:p w14:paraId="67C707B6" w14:textId="77777777" w:rsidR="00E01B1F" w:rsidRPr="00B61DF3" w:rsidRDefault="00E01B1F" w:rsidP="00B61DF3">
      <w:pPr>
        <w:spacing w:before="100" w:beforeAutospacing="1" w:after="100" w:afterAutospacing="1"/>
        <w:ind w:left="851" w:right="902"/>
        <w:jc w:val="both"/>
        <w:rPr>
          <w:rFonts w:ascii="Palatino Linotype" w:hAnsi="Palatino Linotype"/>
          <w:i/>
          <w:sz w:val="22"/>
          <w:szCs w:val="22"/>
          <w:lang w:eastAsia="es-MX"/>
        </w:rPr>
      </w:pPr>
      <w:r w:rsidRPr="00B61DF3">
        <w:rPr>
          <w:rFonts w:ascii="Palatino Linotype" w:hAnsi="Palatino Linotype"/>
          <w:b/>
          <w:i/>
          <w:sz w:val="22"/>
          <w:szCs w:val="22"/>
          <w:lang w:eastAsia="es-MX"/>
        </w:rPr>
        <w:t xml:space="preserve">“SUSPENSIÓN EN EL AMPARO. CONFORME A LA TEORÍA DE PONDERACIÓN DE PRINCIPIOS DEBE NEGARSE SI EL INTERÉS SOCIAL CONSTITUCIONALMENTE TUTELADO ES PREFERENTE AL DEL PARTICULAR. Cuando dos derechos fundamentales entran en colisión, se debe resolver el problema atendiendo a las características y naturaleza del caso concreto, conforme al criterio de proporcionalidad, ponderando los elementos o </w:t>
      </w:r>
      <w:proofErr w:type="spellStart"/>
      <w:r w:rsidRPr="00B61DF3">
        <w:rPr>
          <w:rFonts w:ascii="Palatino Linotype" w:hAnsi="Palatino Linotype"/>
          <w:b/>
          <w:i/>
          <w:sz w:val="22"/>
          <w:szCs w:val="22"/>
          <w:lang w:eastAsia="es-MX"/>
        </w:rPr>
        <w:t>subprincipios</w:t>
      </w:r>
      <w:proofErr w:type="spellEnd"/>
      <w:r w:rsidRPr="00B61DF3">
        <w:rPr>
          <w:rFonts w:ascii="Palatino Linotype" w:hAnsi="Palatino Linotype"/>
          <w:b/>
          <w:i/>
          <w:sz w:val="22"/>
          <w:szCs w:val="22"/>
          <w:lang w:eastAsia="es-MX"/>
        </w:rPr>
        <w:t xml:space="preserve"> siguientes: a) idoneidad</w:t>
      </w:r>
      <w:r w:rsidRPr="00B61DF3">
        <w:rPr>
          <w:rFonts w:ascii="Palatino Linotype" w:hAnsi="Palatino Linotype"/>
          <w:i/>
          <w:sz w:val="22"/>
          <w:szCs w:val="22"/>
          <w:lang w:eastAsia="es-MX"/>
        </w:rPr>
        <w:t xml:space="preserve">, la cual es la legitimidad constitucional del principio adoptado como preferente, por resultar ser el adecuado para el logro de un fin constitucionalmente válido o apto para conseguir el objetivo pretendido; </w:t>
      </w:r>
      <w:r w:rsidRPr="00B61DF3">
        <w:rPr>
          <w:rFonts w:ascii="Palatino Linotype" w:hAnsi="Palatino Linotype"/>
          <w:b/>
          <w:i/>
          <w:sz w:val="22"/>
          <w:szCs w:val="22"/>
          <w:lang w:eastAsia="es-MX"/>
        </w:rPr>
        <w:t>b) necesidad</w:t>
      </w:r>
      <w:r w:rsidRPr="00B61DF3">
        <w:rPr>
          <w:rFonts w:ascii="Palatino Linotype" w:hAnsi="Palatino Linotype"/>
          <w:i/>
          <w:sz w:val="22"/>
          <w:szCs w:val="22"/>
          <w:lang w:eastAsia="es-MX"/>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w:t>
      </w:r>
      <w:r w:rsidRPr="00B61DF3">
        <w:rPr>
          <w:rFonts w:ascii="Palatino Linotype" w:hAnsi="Palatino Linotype"/>
          <w:b/>
          <w:i/>
          <w:sz w:val="22"/>
          <w:szCs w:val="22"/>
          <w:lang w:eastAsia="es-MX"/>
        </w:rPr>
        <w:t>c) el mandato de proporcionalidad entre medios y fines implica que al elegir entre un perjuicio y un beneficio a favor de dos bienes tutelados, el principio satisfecho o que resulta privilegiado lo sea en mayor proporción que el sacrificado</w:t>
      </w:r>
      <w:r w:rsidRPr="00B61DF3">
        <w:rPr>
          <w:rFonts w:ascii="Palatino Linotype" w:hAnsi="Palatino Linotype"/>
          <w:i/>
          <w:sz w:val="22"/>
          <w:szCs w:val="22"/>
          <w:lang w:eastAsia="es-MX"/>
        </w:rPr>
        <w:t>.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w:t>
      </w:r>
    </w:p>
    <w:p w14:paraId="597FB0A6"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Como se aprecia de la tesis citada, cuando dos derechos fundamentales entran en colisión, el problema se debe resolver atendiendo a las características y naturaleza del caso concreto, conforme al criterio de proporcionalidad, ponderando los elementos o </w:t>
      </w:r>
      <w:proofErr w:type="spellStart"/>
      <w:r w:rsidRPr="00B61DF3">
        <w:rPr>
          <w:rFonts w:ascii="Palatino Linotype" w:hAnsi="Palatino Linotype"/>
          <w:i/>
          <w:sz w:val="22"/>
          <w:szCs w:val="22"/>
          <w:lang w:eastAsia="es-MX"/>
        </w:rPr>
        <w:t>subprincipios</w:t>
      </w:r>
      <w:proofErr w:type="spellEnd"/>
      <w:r w:rsidRPr="00B61DF3">
        <w:rPr>
          <w:rFonts w:ascii="Palatino Linotype" w:hAnsi="Palatino Linotype"/>
          <w:i/>
          <w:sz w:val="22"/>
          <w:szCs w:val="22"/>
          <w:lang w:eastAsia="es-MX"/>
        </w:rPr>
        <w:t xml:space="preserve"> de idoneidad, necesidad y proporcionalidad, antes descritos.</w:t>
      </w:r>
    </w:p>
    <w:p w14:paraId="12A8C0DA"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En ese orden de ideas, resulta procedente analizar cada uno de los elementos referidos, partiendo de que, en el caso concreto, se estima como preferente el derecho de acceso a la información, bajo las consideraciones que se verterán a continuación.</w:t>
      </w:r>
    </w:p>
    <w:p w14:paraId="6EFB17ED" w14:textId="77777777" w:rsidR="00E01B1F" w:rsidRPr="00B61DF3" w:rsidRDefault="00E01B1F" w:rsidP="00B61DF3">
      <w:pPr>
        <w:numPr>
          <w:ilvl w:val="0"/>
          <w:numId w:val="42"/>
        </w:numPr>
        <w:spacing w:before="100" w:beforeAutospacing="1" w:after="100" w:afterAutospacing="1" w:line="276" w:lineRule="auto"/>
        <w:ind w:left="425" w:right="476" w:firstLine="0"/>
        <w:jc w:val="both"/>
        <w:rPr>
          <w:rFonts w:ascii="Palatino Linotype" w:hAnsi="Palatino Linotype"/>
          <w:i/>
          <w:sz w:val="22"/>
          <w:szCs w:val="22"/>
          <w:lang w:eastAsia="es-MX"/>
        </w:rPr>
      </w:pPr>
      <w:r w:rsidRPr="00B61DF3">
        <w:rPr>
          <w:rFonts w:ascii="Palatino Linotype" w:hAnsi="Palatino Linotype"/>
          <w:b/>
          <w:i/>
          <w:sz w:val="22"/>
          <w:szCs w:val="22"/>
          <w:u w:val="single"/>
          <w:lang w:eastAsia="es-MX"/>
        </w:rPr>
        <w:t>IDONEIDAD</w:t>
      </w:r>
      <w:r w:rsidRPr="00B61DF3">
        <w:rPr>
          <w:rFonts w:ascii="Palatino Linotype" w:hAnsi="Palatino Linotype"/>
          <w:b/>
          <w:i/>
          <w:sz w:val="22"/>
          <w:szCs w:val="22"/>
          <w:lang w:eastAsia="es-MX"/>
        </w:rPr>
        <w:t>.</w:t>
      </w:r>
      <w:r w:rsidRPr="00B61DF3">
        <w:rPr>
          <w:rFonts w:ascii="Palatino Linotype" w:hAnsi="Palatino Linotype"/>
          <w:i/>
          <w:sz w:val="22"/>
          <w:szCs w:val="22"/>
          <w:lang w:eastAsia="es-MX"/>
        </w:rPr>
        <w:t xml:space="preserve"> La legitimidad del derecho adoptado como preferente, que sea el adecuado para el logro de una finalidad constitucionalmente válida o apta para conseguir el fin pretendido. </w:t>
      </w:r>
    </w:p>
    <w:p w14:paraId="31D1C9CC"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El artículo 6 constitucional, apartado A, fracción I estipula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583763C3"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Conforme a dicho precepto, el Estado Mexicano está constreñido a publicitar sus actos, pues se reconoce el derecho fundamental de los ciudadanos a acceder a la información que obra en poder de la autoridad, que como lo ha expuesto el Pleno de la Suprema Corte de Justicia de la Nación en la tesis "ACCESO A LA INFORMACIÓN. SU NATURALEZA COMO GARANTÍAS INDIVIDUAL Y SOCIAL.", el cual contiene una doble dimensión: individual y social. </w:t>
      </w:r>
    </w:p>
    <w:p w14:paraId="5FFB02B5" w14:textId="77777777" w:rsidR="00E01B1F" w:rsidRPr="00B61DF3" w:rsidRDefault="00E01B1F" w:rsidP="00B61DF3">
      <w:pPr>
        <w:spacing w:before="100" w:beforeAutospacing="1" w:after="100" w:afterAutospacing="1" w:line="276" w:lineRule="auto"/>
        <w:ind w:left="851" w:right="476"/>
        <w:jc w:val="both"/>
        <w:rPr>
          <w:rFonts w:ascii="Palatino Linotype" w:hAnsi="Palatino Linotype"/>
          <w:i/>
          <w:sz w:val="22"/>
          <w:szCs w:val="22"/>
          <w:lang w:eastAsia="es-MX"/>
        </w:rPr>
      </w:pPr>
      <w:r w:rsidRPr="00B61DF3">
        <w:rPr>
          <w:rFonts w:ascii="Palatino Linotype" w:hAnsi="Palatino Linotype"/>
          <w:i/>
          <w:sz w:val="22"/>
          <w:szCs w:val="22"/>
          <w:lang w:eastAsia="es-MX"/>
        </w:rPr>
        <w:sym w:font="Symbol" w:char="F0B7"/>
      </w:r>
      <w:r w:rsidRPr="00B61DF3">
        <w:rPr>
          <w:rFonts w:ascii="Palatino Linotype" w:hAnsi="Palatino Linotype"/>
          <w:i/>
          <w:sz w:val="22"/>
          <w:szCs w:val="22"/>
          <w:lang w:eastAsia="es-MX"/>
        </w:rPr>
        <w:t xml:space="preserve"> En aspecto individual, maximiza el campo de la autonomía personal, posibilita el ejercicio de la libertad de expresión en un contexto diversidad de datos, voces y opiniones. </w:t>
      </w:r>
    </w:p>
    <w:p w14:paraId="3BA3D5E9" w14:textId="77777777" w:rsidR="00E01B1F" w:rsidRPr="00B61DF3" w:rsidRDefault="00E01B1F" w:rsidP="00B61DF3">
      <w:pPr>
        <w:spacing w:before="100" w:beforeAutospacing="1" w:after="100" w:afterAutospacing="1" w:line="276" w:lineRule="auto"/>
        <w:ind w:left="851" w:right="476"/>
        <w:jc w:val="both"/>
        <w:rPr>
          <w:rFonts w:ascii="Palatino Linotype" w:hAnsi="Palatino Linotype"/>
          <w:i/>
          <w:sz w:val="22"/>
          <w:szCs w:val="22"/>
          <w:lang w:eastAsia="es-MX"/>
        </w:rPr>
      </w:pPr>
      <w:r w:rsidRPr="00B61DF3">
        <w:rPr>
          <w:rFonts w:ascii="Palatino Linotype" w:hAnsi="Palatino Linotype"/>
          <w:i/>
          <w:sz w:val="22"/>
          <w:szCs w:val="22"/>
          <w:lang w:eastAsia="es-MX"/>
        </w:rPr>
        <w:sym w:font="Symbol" w:char="F0B7"/>
      </w:r>
      <w:r w:rsidRPr="00B61DF3">
        <w:rPr>
          <w:rFonts w:ascii="Palatino Linotype" w:hAnsi="Palatino Linotype"/>
          <w:i/>
          <w:sz w:val="22"/>
          <w:szCs w:val="22"/>
          <w:lang w:eastAsia="es-MX"/>
        </w:rPr>
        <w:t xml:space="preserve"> Mientras que, en el social, evidencia el valor instrumental de la información no sólo como factor de autorrealización personal, sino como un mecanismo de control institucional, pues se trata de un derecho fundado en la publicidad de los actos de gobierno y la transparencia en el actuar de la administración, conducente y necesaria para la rendición de cuentas. </w:t>
      </w:r>
    </w:p>
    <w:p w14:paraId="175224AA"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Así, el derecho de acceso a la información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w:t>
      </w:r>
    </w:p>
    <w:p w14:paraId="45553924"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Al respecto, el interés de conocer los nombres de los servidores públicos que enfrentan acusaciones sobre estos casos evidencia el ejercicio del derecho de acceso a la información, en virtud de que se trata de un caso relacionado con presuntos hechos de corrupción cometidos con recursos públicos. </w:t>
      </w:r>
    </w:p>
    <w:p w14:paraId="717DFA6F"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b/>
          <w:i/>
          <w:sz w:val="22"/>
          <w:szCs w:val="22"/>
          <w:lang w:eastAsia="es-MX"/>
        </w:rPr>
      </w:pPr>
      <w:r w:rsidRPr="00B61DF3">
        <w:rPr>
          <w:rFonts w:ascii="Palatino Linotype" w:hAnsi="Palatino Linotype"/>
          <w:i/>
          <w:sz w:val="22"/>
          <w:szCs w:val="22"/>
          <w:lang w:eastAsia="es-MX"/>
        </w:rPr>
        <w:t xml:space="preserve">En ese orden, </w:t>
      </w:r>
      <w:r w:rsidRPr="00B61DF3">
        <w:rPr>
          <w:rFonts w:ascii="Palatino Linotype" w:hAnsi="Palatino Linotype"/>
          <w:b/>
          <w:i/>
          <w:sz w:val="22"/>
          <w:szCs w:val="22"/>
          <w:lang w:eastAsia="es-MX"/>
        </w:rPr>
        <w:t>si los hechos investigados son en razón de conductas presuntamente ilegales, el ejercicio ilícito de servicio público, el uso ilícito de funciones, el cohecho, peculado y enriquecimiento ilícito, de personas que en el ejercicio de sus funciones públicas, causaron un detrimento en el erario</w:t>
      </w:r>
      <w:r w:rsidRPr="00B61DF3">
        <w:rPr>
          <w:rFonts w:ascii="Palatino Linotype" w:hAnsi="Palatino Linotype"/>
          <w:i/>
          <w:sz w:val="22"/>
          <w:szCs w:val="22"/>
          <w:lang w:eastAsia="es-MX"/>
        </w:rPr>
        <w:t xml:space="preserve"> federal a través de los recursos públicos destinados al Servicio de Administración Tributaria que dejaron de ingresar con las que </w:t>
      </w:r>
      <w:r w:rsidRPr="00B61DF3">
        <w:rPr>
          <w:rFonts w:ascii="Palatino Linotype" w:hAnsi="Palatino Linotype"/>
          <w:b/>
          <w:i/>
          <w:sz w:val="22"/>
          <w:szCs w:val="22"/>
          <w:lang w:eastAsia="es-MX"/>
        </w:rPr>
        <w:t>se presume obtuvieron un beneficio personal</w:t>
      </w:r>
      <w:r w:rsidRPr="00B61DF3">
        <w:rPr>
          <w:rFonts w:ascii="Palatino Linotype" w:hAnsi="Palatino Linotype"/>
          <w:i/>
          <w:sz w:val="22"/>
          <w:szCs w:val="22"/>
          <w:lang w:eastAsia="es-MX"/>
        </w:rPr>
        <w:t xml:space="preserve">, luego entonces </w:t>
      </w:r>
      <w:r w:rsidRPr="00B61DF3">
        <w:rPr>
          <w:rFonts w:ascii="Palatino Linotype" w:hAnsi="Palatino Linotype"/>
          <w:b/>
          <w:i/>
          <w:sz w:val="22"/>
          <w:szCs w:val="22"/>
          <w:lang w:eastAsia="es-MX"/>
        </w:rPr>
        <w:t xml:space="preserve">existe una preferencia social mayor que trasciende para dar a conocer, precisamente los nombres de los servidores que enfrentan acusaciones sobre este caso. </w:t>
      </w:r>
    </w:p>
    <w:p w14:paraId="08FD64CC"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Por lo tanto, en el caso, prevalece el derecho de acceso a la información sobre la protección de su intimidad, honor, imagen y presunción de inocencia, toda vez que es el medio idóneo para la rendición de cuentas sobre la efectiva investigación de hechos relacionados con el desempeño de las funciones de los servidores públicos y ex servidores públicos de en relación con los hechos investigados, lo que deja en segundo lugar la necesidad individual de proteger sus nombres. </w:t>
      </w:r>
    </w:p>
    <w:p w14:paraId="7C108BF2" w14:textId="77777777" w:rsidR="00E01B1F" w:rsidRPr="00B61DF3" w:rsidRDefault="00E01B1F" w:rsidP="00B61DF3">
      <w:pPr>
        <w:numPr>
          <w:ilvl w:val="0"/>
          <w:numId w:val="42"/>
        </w:numPr>
        <w:spacing w:before="100" w:beforeAutospacing="1" w:after="100" w:afterAutospacing="1" w:line="276" w:lineRule="auto"/>
        <w:ind w:left="425" w:right="476" w:firstLine="0"/>
        <w:jc w:val="both"/>
        <w:rPr>
          <w:rFonts w:ascii="Palatino Linotype" w:hAnsi="Palatino Linotype"/>
          <w:i/>
          <w:sz w:val="22"/>
          <w:szCs w:val="22"/>
          <w:lang w:eastAsia="es-MX"/>
        </w:rPr>
      </w:pPr>
      <w:r w:rsidRPr="00B61DF3">
        <w:rPr>
          <w:rFonts w:ascii="Palatino Linotype" w:hAnsi="Palatino Linotype"/>
          <w:b/>
          <w:i/>
          <w:sz w:val="22"/>
          <w:szCs w:val="22"/>
          <w:u w:val="single"/>
          <w:lang w:eastAsia="es-MX"/>
        </w:rPr>
        <w:t>NECESIDAD</w:t>
      </w:r>
      <w:r w:rsidRPr="00B61DF3">
        <w:rPr>
          <w:rFonts w:ascii="Palatino Linotype" w:hAnsi="Palatino Linotype"/>
          <w:i/>
          <w:sz w:val="22"/>
          <w:szCs w:val="22"/>
          <w:lang w:eastAsia="es-MX"/>
        </w:rPr>
        <w:t xml:space="preserve">. La falta de un medio alternativo menos lesivo a la apertura de la información, para satisfacer el interés público. </w:t>
      </w:r>
    </w:p>
    <w:p w14:paraId="21D5B8B4"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A través del ejercicio del derecho a la información se cubre la necesidad de la colectividad de estar en posibilidad de evaluar el desempeño de las autoridades que la representan, en ese sentido, constituye la vía más eficaz para que toda la sociedad conozca la información relacionada con las conductas denunciadas por parte del Servicio de Administración Tributaria que forman parte de la investigación por parte de la Fiscalía General de la República.</w:t>
      </w:r>
    </w:p>
    <w:p w14:paraId="1F1B998D"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Esto es, </w:t>
      </w:r>
      <w:r w:rsidRPr="00B61DF3">
        <w:rPr>
          <w:rFonts w:ascii="Palatino Linotype" w:hAnsi="Palatino Linotype"/>
          <w:b/>
          <w:i/>
          <w:sz w:val="22"/>
          <w:szCs w:val="22"/>
          <w:lang w:eastAsia="es-MX"/>
        </w:rPr>
        <w:t>la necesidad de la colectividad de estar en posibilidad de evaluar el desempeño de las autoridades que la representa, constituye la vía más eficaz para que toda la sociedad conozca la información relacionada con los nombres de los servidores públicos y ex servidores públicos que enfrentan acusaciones sobre los casos denunciados, puesto que probablemente incurrieron en diversos delitos de corrupción</w:t>
      </w:r>
      <w:r w:rsidRPr="00B61DF3">
        <w:rPr>
          <w:rFonts w:ascii="Palatino Linotype" w:hAnsi="Palatino Linotype"/>
          <w:i/>
          <w:sz w:val="22"/>
          <w:szCs w:val="22"/>
          <w:lang w:eastAsia="es-MX"/>
        </w:rPr>
        <w:t xml:space="preserve">, tales como cohecho, peculado y enriquecimiento ilícito, catalogados como actos de corrupción en el Código Penal Federal, así como en la Convención Interamericana contra la Corrupción. </w:t>
      </w:r>
    </w:p>
    <w:p w14:paraId="00DE66A1"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En este sentido, nuevamente el derecho de acceso a la información prevalece sobre la protección de la información solicitada, puesto que el sacrificio que implica la revelación de los nombres de los servidores públicos y ex servidores es el medio menos oneroso para que la sociedad conozca quiénes de los servidores públicos o ex servidores públicos, que supuestamente velan así por el manejo y la debida aplicación de fondos y recursos federales, probablemente están involucrados en el desvío de dichos recursos, lo cual, de ser el caso, indudablemente repercute en la economía del país, así como el nombre de cualquier otra persona involucrada en los hechos. </w:t>
      </w:r>
    </w:p>
    <w:p w14:paraId="6F13EF00" w14:textId="77777777" w:rsidR="00E01B1F" w:rsidRPr="00B61DF3" w:rsidRDefault="00E01B1F" w:rsidP="00B61DF3">
      <w:pPr>
        <w:spacing w:before="100" w:beforeAutospacing="1" w:after="100" w:afterAutospacing="1" w:line="276" w:lineRule="auto"/>
        <w:ind w:left="425" w:right="476"/>
        <w:jc w:val="both"/>
        <w:rPr>
          <w:rFonts w:ascii="Palatino Linotype" w:hAnsi="Palatino Linotype"/>
          <w:i/>
          <w:sz w:val="22"/>
          <w:szCs w:val="22"/>
          <w:lang w:eastAsia="es-MX"/>
        </w:rPr>
      </w:pPr>
      <w:r w:rsidRPr="00B61DF3">
        <w:rPr>
          <w:rFonts w:ascii="Palatino Linotype" w:hAnsi="Palatino Linotype"/>
          <w:i/>
          <w:sz w:val="22"/>
          <w:szCs w:val="22"/>
          <w:lang w:eastAsia="es-MX"/>
        </w:rPr>
        <w:t>Es decir, si se negara el derecho de acceso a los datos peticionados, -en el caso concreto- se impediría que la sociedad tuviera los elementos informativos necesarios para el debido escrutinio del ejercicio de la actividad del sujeto obligado, en cuanto a sus facultades de investigación, en este caso, respecto de los delitos catalogados como actos de corrupción en el Código Penal Federal.</w:t>
      </w:r>
      <w:r w:rsidRPr="00B61DF3">
        <w:rPr>
          <w:rFonts w:ascii="Palatino Linotype" w:hAnsi="Palatino Linotype"/>
          <w:b/>
          <w:i/>
          <w:sz w:val="22"/>
          <w:szCs w:val="22"/>
          <w:lang w:eastAsia="es-MX"/>
        </w:rPr>
        <w:t xml:space="preserve"> </w:t>
      </w:r>
    </w:p>
    <w:p w14:paraId="6AC4BBE6" w14:textId="77777777" w:rsidR="00E01B1F" w:rsidRPr="00B61DF3" w:rsidRDefault="00E01B1F" w:rsidP="00B61DF3">
      <w:pPr>
        <w:numPr>
          <w:ilvl w:val="0"/>
          <w:numId w:val="42"/>
        </w:numPr>
        <w:spacing w:before="100" w:beforeAutospacing="1" w:after="100" w:afterAutospacing="1" w:line="276" w:lineRule="auto"/>
        <w:ind w:left="425" w:right="476" w:firstLine="0"/>
        <w:jc w:val="both"/>
        <w:rPr>
          <w:rFonts w:ascii="Palatino Linotype" w:hAnsi="Palatino Linotype"/>
          <w:i/>
          <w:sz w:val="22"/>
          <w:szCs w:val="22"/>
          <w:lang w:eastAsia="es-MX"/>
        </w:rPr>
      </w:pPr>
      <w:r w:rsidRPr="00B61DF3">
        <w:rPr>
          <w:rFonts w:ascii="Palatino Linotype" w:hAnsi="Palatino Linotype"/>
          <w:b/>
          <w:i/>
          <w:sz w:val="22"/>
          <w:szCs w:val="22"/>
          <w:u w:val="single"/>
          <w:lang w:eastAsia="es-MX"/>
        </w:rPr>
        <w:t>PROPORCIONALIDAD</w:t>
      </w:r>
      <w:r w:rsidRPr="00B61DF3">
        <w:rPr>
          <w:rFonts w:ascii="Palatino Linotype" w:hAnsi="Palatino Linotype"/>
          <w:i/>
          <w:sz w:val="22"/>
          <w:szCs w:val="22"/>
          <w:u w:val="single"/>
          <w:lang w:eastAsia="es-MX"/>
        </w:rPr>
        <w:t>.</w:t>
      </w:r>
      <w:r w:rsidRPr="00B61DF3">
        <w:rPr>
          <w:rFonts w:ascii="Palatino Linotype" w:hAnsi="Palatino Linotype"/>
          <w:i/>
          <w:sz w:val="22"/>
          <w:szCs w:val="22"/>
          <w:lang w:eastAsia="es-MX"/>
        </w:rPr>
        <w:t xml:space="preserve"> El equilibrio entre perjuicio y beneficio a favor del interés público, a fin de que la decisión tomada represente un beneficio mayor al perjuicio que podría causar a la población. </w:t>
      </w:r>
    </w:p>
    <w:p w14:paraId="18695753" w14:textId="77777777" w:rsidR="00E01B1F" w:rsidRPr="00B61DF3" w:rsidRDefault="00E01B1F" w:rsidP="00B61DF3">
      <w:pPr>
        <w:spacing w:before="100" w:beforeAutospacing="1" w:after="100" w:afterAutospacing="1" w:line="276" w:lineRule="auto"/>
        <w:ind w:left="426" w:right="474"/>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Conforme a lo expuesto, </w:t>
      </w:r>
      <w:r w:rsidRPr="00B61DF3">
        <w:rPr>
          <w:rFonts w:ascii="Palatino Linotype" w:hAnsi="Palatino Linotype"/>
          <w:b/>
          <w:i/>
          <w:sz w:val="22"/>
          <w:szCs w:val="22"/>
          <w:lang w:eastAsia="es-MX"/>
        </w:rPr>
        <w:t>si bien se causa un perjuicio a la intimidad, honor, imagen y presunción de inocencia, de los servidores y ex servidores públicos que enfrentan acusaciones sobre diversos casos</w:t>
      </w:r>
      <w:r w:rsidRPr="00B61DF3">
        <w:rPr>
          <w:rFonts w:ascii="Palatino Linotype" w:hAnsi="Palatino Linotype"/>
          <w:i/>
          <w:sz w:val="22"/>
          <w:szCs w:val="22"/>
          <w:lang w:eastAsia="es-MX"/>
        </w:rPr>
        <w:t xml:space="preserve">, lo cierto es que, </w:t>
      </w:r>
      <w:r w:rsidRPr="00B61DF3">
        <w:rPr>
          <w:rFonts w:ascii="Palatino Linotype" w:hAnsi="Palatino Linotype"/>
          <w:b/>
          <w:i/>
          <w:sz w:val="22"/>
          <w:szCs w:val="22"/>
          <w:lang w:eastAsia="es-MX"/>
        </w:rPr>
        <w:t>divulgar sus nombres representa un beneficio mayor para la sociedad puesto que rinde cuentas sobre quiénes están probablemente implicados en conductas relacionadas con hechos de corrupción</w:t>
      </w:r>
      <w:r w:rsidRPr="00B61DF3">
        <w:rPr>
          <w:rFonts w:ascii="Palatino Linotype" w:hAnsi="Palatino Linotype"/>
          <w:i/>
          <w:sz w:val="22"/>
          <w:szCs w:val="22"/>
          <w:lang w:eastAsia="es-MX"/>
        </w:rPr>
        <w:t xml:space="preserve">. </w:t>
      </w:r>
    </w:p>
    <w:p w14:paraId="1C47CCDE" w14:textId="77777777" w:rsidR="00E01B1F" w:rsidRPr="00B61DF3" w:rsidRDefault="00E01B1F" w:rsidP="00B61DF3">
      <w:pPr>
        <w:spacing w:before="100" w:beforeAutospacing="1" w:after="100" w:afterAutospacing="1" w:line="276" w:lineRule="auto"/>
        <w:ind w:left="426" w:right="474"/>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Sumado a lo anterior, debemos recordar que uno de los señalamientos de la Convención Interamericana contra la Corrupción, lo cual ha sido ratificado por México, es que la corrupción atenta contra la sociedad, el orden moral y la justicia. </w:t>
      </w:r>
    </w:p>
    <w:p w14:paraId="098B1F98" w14:textId="77777777" w:rsidR="00E01B1F" w:rsidRPr="00B61DF3" w:rsidRDefault="00E01B1F" w:rsidP="00B61DF3">
      <w:pPr>
        <w:spacing w:before="100" w:beforeAutospacing="1" w:after="100" w:afterAutospacing="1" w:line="276" w:lineRule="auto"/>
        <w:ind w:left="426" w:right="474"/>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De manera que, si la Fiscalía General de la República </w:t>
      </w:r>
      <w:proofErr w:type="spellStart"/>
      <w:r w:rsidRPr="00B61DF3">
        <w:rPr>
          <w:rFonts w:ascii="Palatino Linotype" w:hAnsi="Palatino Linotype"/>
          <w:i/>
          <w:sz w:val="22"/>
          <w:szCs w:val="22"/>
          <w:lang w:eastAsia="es-MX"/>
        </w:rPr>
        <w:t>aperturó</w:t>
      </w:r>
      <w:proofErr w:type="spellEnd"/>
      <w:r w:rsidRPr="00B61DF3">
        <w:rPr>
          <w:rFonts w:ascii="Palatino Linotype" w:hAnsi="Palatino Linotype"/>
          <w:i/>
          <w:sz w:val="22"/>
          <w:szCs w:val="22"/>
          <w:lang w:eastAsia="es-MX"/>
        </w:rPr>
        <w:t xml:space="preserve"> diversas carpetas de investigación en contra de las personas que posiblemente cometieron actos de corrupción, el hecho de que dé a conocer sus nombres, independientemente de que se encuentre en la fase de investigación, significaría rendir cuentas del compromiso del Estado Mexicano en el combate a la corrupción ante la Comisión Interamericana de los Derechos Humanos, y frente a la sociedad nacional e internacional. </w:t>
      </w:r>
    </w:p>
    <w:p w14:paraId="3947AD83" w14:textId="77777777" w:rsidR="00E01B1F" w:rsidRPr="00B61DF3" w:rsidRDefault="00E01B1F" w:rsidP="00B61DF3">
      <w:pPr>
        <w:spacing w:before="100" w:beforeAutospacing="1" w:after="100" w:afterAutospacing="1" w:line="276" w:lineRule="auto"/>
        <w:ind w:left="426" w:right="474"/>
        <w:jc w:val="both"/>
        <w:rPr>
          <w:rFonts w:ascii="Palatino Linotype" w:hAnsi="Palatino Linotype"/>
          <w:i/>
          <w:sz w:val="22"/>
          <w:szCs w:val="22"/>
          <w:lang w:eastAsia="es-MX"/>
        </w:rPr>
      </w:pPr>
      <w:r w:rsidRPr="00B61DF3">
        <w:rPr>
          <w:rFonts w:ascii="Palatino Linotype" w:hAnsi="Palatino Linotype"/>
          <w:i/>
          <w:sz w:val="22"/>
          <w:szCs w:val="22"/>
          <w:lang w:eastAsia="es-MX"/>
        </w:rPr>
        <w:t xml:space="preserve">En este sentido, se robustece la necesidad de que impere el derecho de acceso a la información sobre los principios antes referidos, toda vez que es proporcional la satisfacción de la sociedad de conocer la información de interés, toda vez que, de ser el caso, la declaración de inocencia, en su momento, los liberará de los señalamientos a que haya lugar. </w:t>
      </w:r>
    </w:p>
    <w:p w14:paraId="0DD84346" w14:textId="77777777" w:rsidR="00E01B1F" w:rsidRPr="00B61DF3" w:rsidRDefault="00E01B1F" w:rsidP="00B61DF3">
      <w:pPr>
        <w:spacing w:before="100" w:beforeAutospacing="1" w:after="100" w:afterAutospacing="1" w:line="276" w:lineRule="auto"/>
        <w:ind w:left="426" w:right="474"/>
        <w:jc w:val="both"/>
        <w:rPr>
          <w:rFonts w:ascii="Palatino Linotype" w:hAnsi="Palatino Linotype"/>
          <w:b/>
          <w:i/>
          <w:sz w:val="22"/>
          <w:szCs w:val="22"/>
          <w:lang w:eastAsia="es-MX"/>
        </w:rPr>
      </w:pPr>
      <w:r w:rsidRPr="00B61DF3">
        <w:rPr>
          <w:rFonts w:ascii="Palatino Linotype" w:hAnsi="Palatino Linotype"/>
          <w:i/>
          <w:sz w:val="22"/>
          <w:szCs w:val="22"/>
          <w:lang w:eastAsia="es-MX"/>
        </w:rPr>
        <w:t xml:space="preserve">Por tanto, es posible concluir que, en la ponderación realizada, se cumple con los tres elementos para dotarle de preminencia al derecho de acceso a la información, a efecto de poder entregar la información relativa a los servidores o ex servidores denunciados pues con el análisis de interés público </w:t>
      </w:r>
      <w:r w:rsidRPr="00B61DF3">
        <w:rPr>
          <w:rFonts w:ascii="Palatino Linotype" w:hAnsi="Palatino Linotype"/>
          <w:b/>
          <w:i/>
          <w:sz w:val="22"/>
          <w:szCs w:val="22"/>
          <w:lang w:eastAsia="es-MX"/>
        </w:rPr>
        <w:t>no es posible clasificarla en términos del artículo 113, fracción I de la Ley de la materia.”</w:t>
      </w:r>
    </w:p>
    <w:p w14:paraId="3C998F40" w14:textId="77777777" w:rsidR="00E01B1F" w:rsidRPr="00B61DF3" w:rsidRDefault="00E01B1F" w:rsidP="00B61DF3">
      <w:pPr>
        <w:spacing w:before="100" w:beforeAutospacing="1" w:after="100" w:afterAutospacing="1" w:line="276" w:lineRule="auto"/>
        <w:ind w:left="426" w:right="474"/>
        <w:jc w:val="both"/>
        <w:rPr>
          <w:rFonts w:ascii="Palatino Linotype" w:hAnsi="Palatino Linotype"/>
          <w:b/>
          <w:i/>
          <w:sz w:val="22"/>
          <w:szCs w:val="22"/>
          <w:lang w:eastAsia="es-MX"/>
        </w:rPr>
      </w:pPr>
      <w:r w:rsidRPr="00B61DF3">
        <w:rPr>
          <w:rFonts w:ascii="Palatino Linotype" w:hAnsi="Palatino Linotype"/>
          <w:i/>
          <w:sz w:val="22"/>
          <w:szCs w:val="22"/>
          <w:lang w:eastAsia="es-MX"/>
        </w:rPr>
        <w:t>Énfasis añadido</w:t>
      </w:r>
    </w:p>
    <w:p w14:paraId="30843812" w14:textId="77777777" w:rsidR="0039043D" w:rsidRPr="00B61DF3" w:rsidRDefault="0039043D" w:rsidP="00B61DF3">
      <w:pPr>
        <w:spacing w:before="100" w:beforeAutospacing="1" w:after="100" w:afterAutospacing="1" w:line="360" w:lineRule="auto"/>
        <w:contextualSpacing/>
        <w:jc w:val="both"/>
        <w:rPr>
          <w:rFonts w:ascii="Palatino Linotype" w:hAnsi="Palatino Linotype" w:cs="Arial"/>
          <w:lang w:val="es-ES_tradnl"/>
        </w:rPr>
      </w:pPr>
      <w:r w:rsidRPr="00B61DF3">
        <w:rPr>
          <w:rFonts w:ascii="Palatino Linotype" w:hAnsi="Palatino Linotype" w:cs="Arial"/>
          <w:lang w:val="es-ES_tradnl"/>
        </w:rPr>
        <w:t xml:space="preserve">Por </w:t>
      </w:r>
      <w:r w:rsidRPr="00B61DF3">
        <w:rPr>
          <w:rFonts w:ascii="Palatino Linotype" w:hAnsi="Palatino Linotype" w:cs="Arial"/>
          <w:lang w:eastAsia="es-MX"/>
        </w:rPr>
        <w:t>ende</w:t>
      </w:r>
      <w:r w:rsidRPr="00B61DF3">
        <w:rPr>
          <w:rFonts w:ascii="Palatino Linotype" w:hAnsi="Palatino Linotype" w:cs="Arial"/>
          <w:lang w:val="es-ES_tradnl"/>
        </w:rPr>
        <w:t xml:space="preserve">, </w:t>
      </w:r>
      <w:r w:rsidRPr="00B61DF3">
        <w:rPr>
          <w:rFonts w:ascii="Palatino Linotype" w:hAnsi="Palatino Linotype" w:cs="Arial"/>
          <w:b/>
          <w:lang w:val="es-ES_tradnl"/>
        </w:rPr>
        <w:t>EL SUJETO OBLIGADO</w:t>
      </w:r>
      <w:r w:rsidRPr="00B61DF3">
        <w:rPr>
          <w:rFonts w:ascii="Palatino Linotype" w:hAnsi="Palatino Linotype" w:cs="Arial"/>
          <w:lang w:val="es-ES_tradnl"/>
        </w:rPr>
        <w:t xml:space="preserve"> debe testar los datos confidenciales, sin pasar por alto que la clasificación respectiva tiene </w:t>
      </w:r>
      <w:r w:rsidRPr="00B61DF3">
        <w:rPr>
          <w:rFonts w:ascii="Palatino Linotype" w:hAnsi="Palatino Linotype" w:cs="Arial"/>
        </w:rPr>
        <w:t>que</w:t>
      </w:r>
      <w:r w:rsidRPr="00B61DF3">
        <w:rPr>
          <w:rFonts w:ascii="Palatino Linotype" w:hAnsi="Palatino Linotype" w:cs="Arial"/>
          <w:lang w:val="es-ES_tradnl"/>
        </w:rPr>
        <w:t xml:space="preserve"> cumplirse a través de la forma y formalidades que la Ley impone; </w:t>
      </w:r>
      <w:r w:rsidRPr="00B61DF3">
        <w:rPr>
          <w:rFonts w:ascii="Palatino Linotype" w:hAnsi="Palatino Linotype" w:cs="Arial"/>
        </w:rPr>
        <w:t>es</w:t>
      </w:r>
      <w:r w:rsidRPr="00B61DF3">
        <w:rPr>
          <w:rFonts w:ascii="Palatino Linotype" w:hAnsi="Palatino Linotype" w:cs="Arial"/>
          <w:lang w:val="es-ES_tradnl"/>
        </w:rPr>
        <w:t xml:space="preserve"> decir, mediante Acuerdo debidamente fundado y motivado, en </w:t>
      </w:r>
      <w:r w:rsidRPr="00B61DF3">
        <w:rPr>
          <w:rFonts w:ascii="Palatino Linotype" w:hAnsi="Palatino Linotype" w:cs="Arial"/>
          <w:noProof/>
          <w:lang w:eastAsia="es-MX"/>
        </w:rPr>
        <w:t>términos</w:t>
      </w:r>
      <w:r w:rsidRPr="00B61DF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Lineamientos Generales en materia de Clasificación y Desclasificación de la Información, así como para la elaboración de Versiones Públicas, que literalmente expresan:</w:t>
      </w:r>
    </w:p>
    <w:p w14:paraId="22A2F8F5" w14:textId="77777777" w:rsidR="00E96CAA" w:rsidRPr="00B61DF3" w:rsidRDefault="00E96CAA" w:rsidP="00B61DF3">
      <w:pPr>
        <w:spacing w:before="100" w:beforeAutospacing="1" w:after="100" w:afterAutospacing="1" w:line="276" w:lineRule="auto"/>
        <w:ind w:left="851" w:right="902"/>
        <w:contextualSpacing/>
        <w:jc w:val="center"/>
        <w:rPr>
          <w:rFonts w:ascii="Palatino Linotype" w:hAnsi="Palatino Linotype" w:cs="Arial"/>
          <w:b/>
          <w:i/>
          <w:sz w:val="22"/>
          <w:szCs w:val="22"/>
        </w:rPr>
      </w:pPr>
    </w:p>
    <w:p w14:paraId="3B8BD098" w14:textId="3F14F90B" w:rsidR="0039043D" w:rsidRPr="00B61DF3" w:rsidRDefault="0039043D" w:rsidP="00B61DF3">
      <w:pPr>
        <w:spacing w:before="100" w:beforeAutospacing="1" w:after="100" w:afterAutospacing="1" w:line="276" w:lineRule="auto"/>
        <w:ind w:left="851" w:right="902"/>
        <w:contextualSpacing/>
        <w:jc w:val="center"/>
        <w:rPr>
          <w:rFonts w:ascii="Palatino Linotype" w:hAnsi="Palatino Linotype" w:cs="Arial"/>
          <w:b/>
          <w:i/>
          <w:sz w:val="22"/>
          <w:szCs w:val="22"/>
        </w:rPr>
      </w:pPr>
      <w:r w:rsidRPr="00B61DF3">
        <w:rPr>
          <w:rFonts w:ascii="Palatino Linotype" w:hAnsi="Palatino Linotype" w:cs="Arial"/>
          <w:b/>
          <w:i/>
          <w:sz w:val="22"/>
          <w:szCs w:val="22"/>
        </w:rPr>
        <w:t>Ley</w:t>
      </w:r>
      <w:r w:rsidRPr="00B61DF3">
        <w:rPr>
          <w:rFonts w:ascii="Palatino Linotype" w:hAnsi="Palatino Linotype" w:cs="Arial"/>
          <w:b/>
          <w:i/>
        </w:rPr>
        <w:t xml:space="preserve"> </w:t>
      </w:r>
      <w:r w:rsidRPr="00B61DF3">
        <w:rPr>
          <w:rFonts w:ascii="Palatino Linotype" w:hAnsi="Palatino Linotype" w:cs="Arial"/>
          <w:b/>
          <w:i/>
          <w:sz w:val="22"/>
          <w:szCs w:val="22"/>
        </w:rPr>
        <w:t>de</w:t>
      </w:r>
      <w:r w:rsidRPr="00B61DF3">
        <w:rPr>
          <w:rFonts w:ascii="Palatino Linotype" w:hAnsi="Palatino Linotype" w:cs="Arial"/>
          <w:b/>
          <w:i/>
        </w:rPr>
        <w:t xml:space="preserve"> </w:t>
      </w:r>
      <w:r w:rsidRPr="00B61DF3">
        <w:rPr>
          <w:rFonts w:ascii="Palatino Linotype" w:hAnsi="Palatino Linotype" w:cs="Arial"/>
          <w:b/>
          <w:i/>
          <w:sz w:val="22"/>
          <w:szCs w:val="22"/>
        </w:rPr>
        <w:t>Transparencia</w:t>
      </w:r>
      <w:r w:rsidRPr="00B61DF3">
        <w:rPr>
          <w:rFonts w:ascii="Palatino Linotype" w:hAnsi="Palatino Linotype" w:cs="Arial"/>
          <w:b/>
          <w:i/>
        </w:rPr>
        <w:t xml:space="preserve"> </w:t>
      </w:r>
      <w:r w:rsidRPr="00B61DF3">
        <w:rPr>
          <w:rFonts w:ascii="Palatino Linotype" w:hAnsi="Palatino Linotype" w:cs="Arial"/>
          <w:b/>
          <w:i/>
          <w:sz w:val="22"/>
          <w:szCs w:val="22"/>
        </w:rPr>
        <w:t>y</w:t>
      </w:r>
      <w:r w:rsidRPr="00B61DF3">
        <w:rPr>
          <w:rFonts w:ascii="Palatino Linotype" w:hAnsi="Palatino Linotype" w:cs="Arial"/>
          <w:b/>
          <w:i/>
        </w:rPr>
        <w:t xml:space="preserve"> </w:t>
      </w:r>
      <w:r w:rsidRPr="00B61DF3">
        <w:rPr>
          <w:rFonts w:ascii="Palatino Linotype" w:hAnsi="Palatino Linotype" w:cs="Arial"/>
          <w:b/>
          <w:i/>
          <w:sz w:val="22"/>
          <w:szCs w:val="22"/>
        </w:rPr>
        <w:t>Acceso</w:t>
      </w:r>
      <w:r w:rsidRPr="00B61DF3">
        <w:rPr>
          <w:rFonts w:ascii="Palatino Linotype" w:hAnsi="Palatino Linotype" w:cs="Arial"/>
          <w:b/>
          <w:i/>
        </w:rPr>
        <w:t xml:space="preserve"> </w:t>
      </w:r>
      <w:r w:rsidRPr="00B61DF3">
        <w:rPr>
          <w:rFonts w:ascii="Palatino Linotype" w:hAnsi="Palatino Linotype" w:cs="Arial"/>
          <w:b/>
          <w:i/>
          <w:sz w:val="22"/>
          <w:szCs w:val="22"/>
        </w:rPr>
        <w:t>a</w:t>
      </w:r>
      <w:r w:rsidRPr="00B61DF3">
        <w:rPr>
          <w:rFonts w:ascii="Palatino Linotype" w:hAnsi="Palatino Linotype" w:cs="Arial"/>
          <w:b/>
          <w:i/>
        </w:rPr>
        <w:t xml:space="preserve"> </w:t>
      </w:r>
      <w:r w:rsidRPr="00B61DF3">
        <w:rPr>
          <w:rFonts w:ascii="Palatino Linotype" w:hAnsi="Palatino Linotype" w:cs="Arial"/>
          <w:b/>
          <w:i/>
          <w:sz w:val="22"/>
          <w:szCs w:val="22"/>
        </w:rPr>
        <w:t>la</w:t>
      </w:r>
      <w:r w:rsidRPr="00B61DF3">
        <w:rPr>
          <w:rFonts w:ascii="Palatino Linotype" w:hAnsi="Palatino Linotype" w:cs="Arial"/>
          <w:b/>
          <w:i/>
        </w:rPr>
        <w:t xml:space="preserve"> </w:t>
      </w:r>
      <w:r w:rsidRPr="00B61DF3">
        <w:rPr>
          <w:rFonts w:ascii="Palatino Linotype" w:hAnsi="Palatino Linotype" w:cs="Arial"/>
          <w:b/>
          <w:i/>
          <w:sz w:val="22"/>
          <w:szCs w:val="22"/>
        </w:rPr>
        <w:t>Información</w:t>
      </w:r>
      <w:r w:rsidRPr="00B61DF3">
        <w:rPr>
          <w:rFonts w:ascii="Palatino Linotype" w:hAnsi="Palatino Linotype" w:cs="Arial"/>
          <w:b/>
          <w:i/>
        </w:rPr>
        <w:t xml:space="preserve"> </w:t>
      </w:r>
      <w:r w:rsidRPr="00B61DF3">
        <w:rPr>
          <w:rFonts w:ascii="Palatino Linotype" w:hAnsi="Palatino Linotype" w:cs="Arial"/>
          <w:b/>
          <w:i/>
          <w:sz w:val="22"/>
          <w:szCs w:val="22"/>
        </w:rPr>
        <w:t>Pública</w:t>
      </w:r>
      <w:r w:rsidRPr="00B61DF3">
        <w:rPr>
          <w:rFonts w:ascii="Palatino Linotype" w:hAnsi="Palatino Linotype" w:cs="Arial"/>
          <w:b/>
          <w:i/>
        </w:rPr>
        <w:t xml:space="preserve"> </w:t>
      </w:r>
      <w:r w:rsidRPr="00B61DF3">
        <w:rPr>
          <w:rFonts w:ascii="Palatino Linotype" w:hAnsi="Palatino Linotype" w:cs="Arial"/>
          <w:b/>
          <w:i/>
          <w:sz w:val="22"/>
          <w:szCs w:val="22"/>
        </w:rPr>
        <w:t>del</w:t>
      </w:r>
      <w:r w:rsidRPr="00B61DF3">
        <w:rPr>
          <w:rFonts w:ascii="Palatino Linotype" w:hAnsi="Palatino Linotype" w:cs="Arial"/>
          <w:b/>
          <w:i/>
        </w:rPr>
        <w:t xml:space="preserve"> </w:t>
      </w:r>
      <w:r w:rsidRPr="00B61DF3">
        <w:rPr>
          <w:rFonts w:ascii="Palatino Linotype" w:hAnsi="Palatino Linotype" w:cs="Arial"/>
          <w:b/>
          <w:i/>
          <w:sz w:val="22"/>
          <w:szCs w:val="22"/>
        </w:rPr>
        <w:t>Estado</w:t>
      </w:r>
      <w:r w:rsidRPr="00B61DF3">
        <w:rPr>
          <w:rFonts w:ascii="Palatino Linotype" w:hAnsi="Palatino Linotype" w:cs="Arial"/>
          <w:b/>
          <w:i/>
        </w:rPr>
        <w:t xml:space="preserve"> </w:t>
      </w:r>
      <w:r w:rsidRPr="00B61DF3">
        <w:rPr>
          <w:rFonts w:ascii="Palatino Linotype" w:hAnsi="Palatino Linotype" w:cs="Arial"/>
          <w:b/>
          <w:i/>
          <w:sz w:val="22"/>
          <w:szCs w:val="22"/>
        </w:rPr>
        <w:t>de</w:t>
      </w:r>
      <w:r w:rsidRPr="00B61DF3">
        <w:rPr>
          <w:rFonts w:ascii="Palatino Linotype" w:hAnsi="Palatino Linotype" w:cs="Arial"/>
          <w:b/>
          <w:i/>
        </w:rPr>
        <w:t xml:space="preserve"> </w:t>
      </w:r>
      <w:r w:rsidRPr="00B61DF3">
        <w:rPr>
          <w:rFonts w:ascii="Palatino Linotype" w:hAnsi="Palatino Linotype" w:cs="Arial"/>
          <w:b/>
          <w:i/>
          <w:sz w:val="22"/>
          <w:szCs w:val="22"/>
        </w:rPr>
        <w:t>México</w:t>
      </w:r>
      <w:r w:rsidRPr="00B61DF3">
        <w:rPr>
          <w:rFonts w:ascii="Palatino Linotype" w:hAnsi="Palatino Linotype" w:cs="Arial"/>
          <w:b/>
          <w:i/>
        </w:rPr>
        <w:t xml:space="preserve"> </w:t>
      </w:r>
      <w:r w:rsidRPr="00B61DF3">
        <w:rPr>
          <w:rFonts w:ascii="Palatino Linotype" w:hAnsi="Palatino Linotype" w:cs="Arial"/>
          <w:b/>
          <w:i/>
          <w:sz w:val="22"/>
          <w:szCs w:val="22"/>
        </w:rPr>
        <w:t>y</w:t>
      </w:r>
      <w:r w:rsidRPr="00B61DF3">
        <w:rPr>
          <w:rFonts w:ascii="Palatino Linotype" w:hAnsi="Palatino Linotype" w:cs="Arial"/>
          <w:b/>
          <w:i/>
        </w:rPr>
        <w:t xml:space="preserve"> </w:t>
      </w:r>
      <w:r w:rsidRPr="00B61DF3">
        <w:rPr>
          <w:rFonts w:ascii="Palatino Linotype" w:hAnsi="Palatino Linotype" w:cs="Arial"/>
          <w:b/>
          <w:i/>
          <w:sz w:val="22"/>
          <w:szCs w:val="22"/>
        </w:rPr>
        <w:t>Municipios</w:t>
      </w:r>
    </w:p>
    <w:p w14:paraId="7DCE1974" w14:textId="3CD4ADF8"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“Artículo 49. Los Comités de Transparencia tendrán las siguientes atribuciones:</w:t>
      </w:r>
    </w:p>
    <w:p w14:paraId="66B366DB"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VIII. Aprobar, modificar o revocar la clasificación de la información;</w:t>
      </w:r>
    </w:p>
    <w:p w14:paraId="0B7DD92C"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Artículo 132. La clasificación de la información se llevará a cabo en el momento en que:</w:t>
      </w:r>
    </w:p>
    <w:p w14:paraId="760118E4"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I. Se reciba una solicitud de acceso a la información;</w:t>
      </w:r>
    </w:p>
    <w:p w14:paraId="2324CD9A"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II. Se determine mediante resolución de autoridad competente; o</w:t>
      </w:r>
    </w:p>
    <w:p w14:paraId="55F060A4"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III. Se generen versiones públicas para</w:t>
      </w:r>
    </w:p>
    <w:p w14:paraId="01B8494D"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 xml:space="preserve"> </w:t>
      </w:r>
      <w:proofErr w:type="gramStart"/>
      <w:r w:rsidRPr="00B61DF3">
        <w:rPr>
          <w:rFonts w:ascii="Palatino Linotype" w:hAnsi="Palatino Linotype" w:cs="Arial"/>
          <w:i/>
          <w:sz w:val="22"/>
          <w:szCs w:val="22"/>
          <w:lang w:eastAsia="es-MX"/>
        </w:rPr>
        <w:t>dar</w:t>
      </w:r>
      <w:proofErr w:type="gramEnd"/>
      <w:r w:rsidRPr="00B61DF3">
        <w:rPr>
          <w:rFonts w:ascii="Palatino Linotype" w:hAnsi="Palatino Linotype" w:cs="Arial"/>
          <w:i/>
          <w:sz w:val="22"/>
          <w:szCs w:val="22"/>
          <w:lang w:eastAsia="es-MX"/>
        </w:rPr>
        <w:t xml:space="preserve"> cumplimiento a las obligaciones de transparencia previstas en esta Ley.”</w:t>
      </w:r>
    </w:p>
    <w:p w14:paraId="15E0BAA9"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14:paraId="696594E6" w14:textId="65DF7B33" w:rsidR="0039043D" w:rsidRPr="00B61DF3" w:rsidRDefault="0039043D" w:rsidP="00B61DF3">
      <w:pPr>
        <w:autoSpaceDE w:val="0"/>
        <w:autoSpaceDN w:val="0"/>
        <w:adjustRightInd w:val="0"/>
        <w:spacing w:before="100" w:beforeAutospacing="1" w:after="100" w:afterAutospacing="1" w:line="276" w:lineRule="auto"/>
        <w:ind w:left="851" w:right="902"/>
        <w:contextualSpacing/>
        <w:jc w:val="center"/>
        <w:rPr>
          <w:rFonts w:ascii="Palatino Linotype" w:hAnsi="Palatino Linotype" w:cs="Arial"/>
          <w:b/>
          <w:bCs/>
          <w:i/>
          <w:sz w:val="22"/>
          <w:szCs w:val="22"/>
          <w:lang w:eastAsia="es-MX"/>
        </w:rPr>
      </w:pPr>
      <w:r w:rsidRPr="00B61DF3">
        <w:rPr>
          <w:rFonts w:ascii="Palatino Linotype" w:hAnsi="Palatino Linotype" w:cs="Arial"/>
          <w:b/>
          <w:bCs/>
          <w:i/>
          <w:sz w:val="22"/>
          <w:szCs w:val="22"/>
          <w:lang w:eastAsia="es-MX"/>
        </w:rPr>
        <w:t xml:space="preserve">Lineamientos Generales en materia de Clasificación y Desclasificación de la Información, así como para la elaboración de versiones </w:t>
      </w:r>
      <w:r w:rsidR="0074751D" w:rsidRPr="00B61DF3">
        <w:rPr>
          <w:rFonts w:ascii="Palatino Linotype" w:hAnsi="Palatino Linotype" w:cs="Arial"/>
          <w:b/>
          <w:bCs/>
          <w:i/>
          <w:sz w:val="22"/>
          <w:szCs w:val="22"/>
          <w:lang w:eastAsia="es-MX"/>
        </w:rPr>
        <w:t>públicas</w:t>
      </w:r>
      <w:r w:rsidRPr="00B61DF3">
        <w:rPr>
          <w:rFonts w:ascii="Palatino Linotype" w:hAnsi="Palatino Linotype" w:cs="Arial"/>
          <w:b/>
          <w:bCs/>
          <w:i/>
          <w:sz w:val="22"/>
          <w:szCs w:val="22"/>
          <w:lang w:eastAsia="es-MX"/>
        </w:rPr>
        <w:t>.</w:t>
      </w:r>
    </w:p>
    <w:p w14:paraId="790E328A"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14:paraId="30B5C30F"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“Segundo.- Para efectos de los presentes Lineamientos Generales, se entenderá por:</w:t>
      </w:r>
    </w:p>
    <w:p w14:paraId="4808D1B8"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B99CF52" w14:textId="77777777" w:rsidR="00E96CAA" w:rsidRPr="00B61DF3" w:rsidRDefault="00E96CAA"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14:paraId="15624D53"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73D1595"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43D0CC8E" w14:textId="77777777" w:rsidR="00E96CAA" w:rsidRPr="00B61DF3" w:rsidRDefault="00E96CAA"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14:paraId="7D71EA50"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7BD17C8" w14:textId="77777777" w:rsidR="00E96CAA" w:rsidRPr="00B61DF3" w:rsidRDefault="00E96CAA"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14:paraId="16370291"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Sexto: Derogado</w:t>
      </w:r>
    </w:p>
    <w:p w14:paraId="214E19B7" w14:textId="77777777" w:rsidR="00E96CAA" w:rsidRPr="00B61DF3" w:rsidRDefault="00E96CAA"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14:paraId="576A1FC2"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Séptimo. La clasificaci6n de la informaci6n se llevara a cabo en el momento en que:</w:t>
      </w:r>
    </w:p>
    <w:p w14:paraId="1D514054"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I. Se reciba una solicitud de acceso a la información;</w:t>
      </w:r>
    </w:p>
    <w:p w14:paraId="511D8ABD"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II. Se determine mediante resolución del Comité de Transparencia, el Órgano</w:t>
      </w:r>
    </w:p>
    <w:p w14:paraId="756065A6"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Garante competente, o en cumplimiento a una sentencia del Poder</w:t>
      </w:r>
    </w:p>
    <w:p w14:paraId="0E288E37"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Judicial; o</w:t>
      </w:r>
    </w:p>
    <w:p w14:paraId="44E47FAA"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III. Se generen versiones públicas para dar cumplimiento a las obligaciones de transparencia previstas en la Ley General, la Ley Federal y las correspondientes de las entidades federativas.</w:t>
      </w:r>
    </w:p>
    <w:p w14:paraId="0D0272A1"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31F4441C"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Para motivar la clasificaci6n se deberán señalar las razones o circunstancias especiales que lo llevaron a concluir que el caso particular se ajusta al supuesto previsto por la norma legal invocada como fundamento.</w:t>
      </w:r>
    </w:p>
    <w:p w14:paraId="02E5B3CD"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A2E90B3" w14:textId="77777777" w:rsidR="00E96CAA" w:rsidRPr="00B61DF3" w:rsidRDefault="00E96CAA"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14:paraId="412F79D8"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15386E2" w14:textId="77777777" w:rsidR="00E96CAA" w:rsidRPr="00B61DF3" w:rsidRDefault="00E96CAA"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14:paraId="55621A0D"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B61DF3">
        <w:rPr>
          <w:rFonts w:ascii="Palatino Linotype" w:hAnsi="Palatino Linotype" w:cs="Arial"/>
          <w:i/>
          <w:sz w:val="22"/>
          <w:szCs w:val="22"/>
          <w:lang w:eastAsia="es-MX"/>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F8E599D" w14:textId="77777777" w:rsidR="0039043D" w:rsidRPr="00B61DF3" w:rsidRDefault="0039043D" w:rsidP="00B61DF3">
      <w:pPr>
        <w:autoSpaceDE w:val="0"/>
        <w:autoSpaceDN w:val="0"/>
        <w:adjustRightInd w:val="0"/>
        <w:spacing w:before="100" w:beforeAutospacing="1" w:after="100" w:afterAutospacing="1" w:line="276" w:lineRule="auto"/>
        <w:ind w:left="851" w:right="902"/>
        <w:contextualSpacing/>
        <w:jc w:val="both"/>
        <w:rPr>
          <w:rFonts w:ascii="Palatino Linotype" w:hAnsi="Palatino Linotype" w:cs="Arial"/>
          <w:bCs/>
          <w:i/>
          <w:sz w:val="22"/>
          <w:szCs w:val="22"/>
          <w:lang w:eastAsia="es-MX"/>
        </w:rPr>
      </w:pPr>
      <w:r w:rsidRPr="00B61DF3">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82C5D5F" w14:textId="77777777" w:rsidR="0039043D" w:rsidRPr="00B61DF3" w:rsidRDefault="0039043D" w:rsidP="00B61DF3">
      <w:pPr>
        <w:spacing w:before="100" w:beforeAutospacing="1" w:after="100" w:afterAutospacing="1"/>
        <w:ind w:left="851" w:right="902"/>
        <w:jc w:val="right"/>
        <w:rPr>
          <w:rFonts w:ascii="Palatino Linotype" w:hAnsi="Palatino Linotype" w:cs="Arial"/>
          <w:i/>
          <w:sz w:val="22"/>
          <w:szCs w:val="22"/>
          <w:lang w:val="es-ES"/>
        </w:rPr>
      </w:pPr>
      <w:r w:rsidRPr="00B61DF3">
        <w:rPr>
          <w:rFonts w:ascii="Palatino Linotype" w:hAnsi="Palatino Linotype" w:cs="Arial"/>
          <w:i/>
          <w:sz w:val="22"/>
          <w:szCs w:val="22"/>
          <w:lang w:val="es-ES"/>
        </w:rPr>
        <w:t>(</w:t>
      </w:r>
      <w:r w:rsidRPr="00B61DF3">
        <w:rPr>
          <w:rFonts w:ascii="Palatino Linotype" w:hAnsi="Palatino Linotype" w:cs="Arial"/>
          <w:iCs/>
          <w:sz w:val="22"/>
          <w:szCs w:val="22"/>
          <w:lang w:val="es-ES"/>
        </w:rPr>
        <w:t>Énfasis añadido</w:t>
      </w:r>
      <w:r w:rsidRPr="00B61DF3">
        <w:rPr>
          <w:rFonts w:ascii="Palatino Linotype" w:hAnsi="Palatino Linotype" w:cs="Arial"/>
          <w:i/>
          <w:sz w:val="22"/>
          <w:szCs w:val="22"/>
          <w:lang w:val="es-ES"/>
        </w:rPr>
        <w:t>)</w:t>
      </w:r>
    </w:p>
    <w:p w14:paraId="20FB2263" w14:textId="6D25CF60" w:rsidR="00291FBC" w:rsidRPr="00B61DF3" w:rsidRDefault="00291FBC" w:rsidP="00B61DF3">
      <w:pPr>
        <w:spacing w:before="100" w:beforeAutospacing="1" w:after="100" w:afterAutospacing="1" w:line="360" w:lineRule="auto"/>
        <w:jc w:val="both"/>
        <w:rPr>
          <w:rFonts w:ascii="Palatino Linotype" w:hAnsi="Palatino Linotype" w:cs="Arial"/>
          <w:lang w:eastAsia="es-MX"/>
        </w:rPr>
      </w:pPr>
      <w:r w:rsidRPr="00B61DF3">
        <w:rPr>
          <w:rFonts w:ascii="Palatino Linotype" w:hAnsi="Palatino Linotype" w:cs="Arial"/>
        </w:rPr>
        <w:t xml:space="preserve">Debido a lo </w:t>
      </w:r>
      <w:r w:rsidRPr="00B61DF3">
        <w:rPr>
          <w:rFonts w:ascii="Palatino Linotype" w:hAnsi="Palatino Linotype" w:cs="Arial"/>
          <w:lang w:eastAsia="es-CO"/>
        </w:rPr>
        <w:t>anteriormente</w:t>
      </w:r>
      <w:r w:rsidRPr="00B61DF3">
        <w:rPr>
          <w:rFonts w:ascii="Palatino Linotype" w:hAnsi="Palatino Linotype" w:cs="Arial"/>
        </w:rPr>
        <w:t xml:space="preserve"> expuesto, este Instituto estima que las razones o motivos de inconformidad hechos valer por </w:t>
      </w:r>
      <w:r w:rsidRPr="00B61DF3">
        <w:rPr>
          <w:rFonts w:ascii="Palatino Linotype" w:hAnsi="Palatino Linotype" w:cs="Arial"/>
          <w:b/>
        </w:rPr>
        <w:t>EL RECURRENTE</w:t>
      </w:r>
      <w:r w:rsidRPr="00B61DF3">
        <w:rPr>
          <w:rFonts w:ascii="Palatino Linotype" w:hAnsi="Palatino Linotype" w:cs="Arial"/>
        </w:rPr>
        <w:t xml:space="preserve"> devienen </w:t>
      </w:r>
      <w:r w:rsidRPr="00B61DF3">
        <w:rPr>
          <w:rFonts w:ascii="Palatino Linotype" w:hAnsi="Palatino Linotype" w:cs="Arial"/>
          <w:b/>
        </w:rPr>
        <w:t>fundadas</w:t>
      </w:r>
      <w:r w:rsidRPr="00B61DF3">
        <w:rPr>
          <w:rFonts w:ascii="Palatino Linotype" w:hAnsi="Palatino Linotype" w:cs="Arial"/>
        </w:rPr>
        <w:t xml:space="preserve"> y suficientes para </w:t>
      </w:r>
      <w:r w:rsidRPr="00B61DF3">
        <w:rPr>
          <w:rFonts w:ascii="Palatino Linotype" w:hAnsi="Palatino Linotype" w:cs="Arial"/>
          <w:b/>
        </w:rPr>
        <w:t xml:space="preserve">MODIFICAR </w:t>
      </w:r>
      <w:r w:rsidRPr="00B61DF3">
        <w:rPr>
          <w:rFonts w:ascii="Palatino Linotype" w:hAnsi="Palatino Linotype" w:cs="Arial"/>
        </w:rPr>
        <w:t xml:space="preserve">la respuesta del </w:t>
      </w:r>
      <w:r w:rsidRPr="00B61DF3">
        <w:rPr>
          <w:rFonts w:ascii="Palatino Linotype" w:hAnsi="Palatino Linotype" w:cs="Arial"/>
          <w:b/>
        </w:rPr>
        <w:t>SUJETO OBLIGADO</w:t>
      </w:r>
      <w:r w:rsidRPr="00B61DF3">
        <w:rPr>
          <w:rFonts w:ascii="Palatino Linotype" w:hAnsi="Palatino Linotype" w:cs="Arial"/>
        </w:rPr>
        <w:t xml:space="preserve"> y ordenarle haga entrega de la información descrita en el presente Considerando.</w:t>
      </w:r>
    </w:p>
    <w:p w14:paraId="5D62FE90" w14:textId="498639F4" w:rsidR="00291FBC" w:rsidRPr="00B61DF3" w:rsidRDefault="00291FBC" w:rsidP="00B61DF3">
      <w:pPr>
        <w:spacing w:before="100" w:beforeAutospacing="1" w:after="100" w:afterAutospacing="1" w:line="360" w:lineRule="auto"/>
        <w:jc w:val="both"/>
        <w:rPr>
          <w:rFonts w:ascii="Palatino Linotype" w:eastAsia="Calibri" w:hAnsi="Palatino Linotype" w:cs="Arial"/>
        </w:rPr>
      </w:pPr>
      <w:r w:rsidRPr="00B61DF3">
        <w:rPr>
          <w:rFonts w:ascii="Palatino Linotype" w:eastAsia="Calibri" w:hAnsi="Palatino Linotype" w:cs="Arial"/>
        </w:rPr>
        <w:t>Así, con fundamento en lo previsto en los artículos 5, párrafos</w:t>
      </w:r>
      <w:r w:rsidR="0074751D" w:rsidRPr="00B61DF3">
        <w:rPr>
          <w:rFonts w:ascii="Palatino Linotype" w:eastAsia="Calibri" w:hAnsi="Palatino Linotype" w:cs="Arial"/>
        </w:rPr>
        <w:t xml:space="preserve"> </w:t>
      </w:r>
      <w:r w:rsidR="00660DC1" w:rsidRPr="00B61DF3">
        <w:rPr>
          <w:rFonts w:ascii="Palatino Linotype" w:hAnsi="Palatino Linotype"/>
        </w:rPr>
        <w:t>trigésimo segundo, trigésimo tercero y trigésimo cuarto</w:t>
      </w:r>
      <w:r w:rsidRPr="00B61DF3">
        <w:rPr>
          <w:rFonts w:ascii="Palatino Linotype" w:eastAsia="Calibri" w:hAnsi="Palatino Linotype" w:cs="Arial"/>
        </w:rPr>
        <w:t xml:space="preserve">, fracciones IV y V de la Constitución Política del Estado Libre y Soberano de México; </w:t>
      </w:r>
      <w:r w:rsidRPr="00B61DF3">
        <w:rPr>
          <w:rFonts w:ascii="Palatino Linotype" w:hAnsi="Palatino Linotype" w:cs="Arial"/>
        </w:rPr>
        <w:t>2, fracción II, 29, 36, fracciones I y II, 176, 178, 179, 181, 185 fracción I, 186 y 188</w:t>
      </w:r>
      <w:r w:rsidRPr="00B61DF3">
        <w:rPr>
          <w:rFonts w:ascii="Palatino Linotype" w:eastAsia="Calibri" w:hAnsi="Palatino Linotype" w:cs="Arial"/>
        </w:rPr>
        <w:t xml:space="preserve"> de la Ley de Transparencia y Acceso a la Información Pública del Estado de México y Municipios, este Pleno: </w:t>
      </w:r>
    </w:p>
    <w:p w14:paraId="39CCC8E8" w14:textId="77777777" w:rsidR="00291FBC" w:rsidRPr="00B61DF3" w:rsidRDefault="00291FBC" w:rsidP="00B61DF3">
      <w:pPr>
        <w:spacing w:before="100" w:beforeAutospacing="1" w:after="100" w:afterAutospacing="1"/>
        <w:jc w:val="center"/>
        <w:rPr>
          <w:rFonts w:ascii="Palatino Linotype" w:hAnsi="Palatino Linotype"/>
          <w:b/>
          <w:spacing w:val="60"/>
          <w:sz w:val="28"/>
          <w:szCs w:val="28"/>
        </w:rPr>
      </w:pPr>
      <w:r w:rsidRPr="00B61DF3">
        <w:rPr>
          <w:rFonts w:ascii="Palatino Linotype" w:hAnsi="Palatino Linotype"/>
          <w:b/>
          <w:spacing w:val="60"/>
          <w:sz w:val="28"/>
          <w:szCs w:val="28"/>
        </w:rPr>
        <w:t>RESUELVE</w:t>
      </w:r>
    </w:p>
    <w:p w14:paraId="00444A05" w14:textId="2595EEA2" w:rsidR="00291FBC" w:rsidRPr="00B61DF3" w:rsidRDefault="00291FBC" w:rsidP="00B61DF3">
      <w:pPr>
        <w:spacing w:before="100" w:beforeAutospacing="1" w:after="100" w:afterAutospacing="1" w:line="360" w:lineRule="auto"/>
        <w:jc w:val="both"/>
        <w:rPr>
          <w:rFonts w:ascii="Palatino Linotype" w:hAnsi="Palatino Linotype" w:cs="Arial"/>
          <w:lang w:val="es-ES"/>
        </w:rPr>
      </w:pPr>
      <w:r w:rsidRPr="00B61DF3">
        <w:rPr>
          <w:rFonts w:ascii="Palatino Linotype" w:hAnsi="Palatino Linotype" w:cs="Arial"/>
          <w:b/>
          <w:sz w:val="28"/>
          <w:szCs w:val="28"/>
          <w:lang w:val="es-ES"/>
        </w:rPr>
        <w:t>PRIMERO</w:t>
      </w:r>
      <w:r w:rsidRPr="00B61DF3">
        <w:rPr>
          <w:rFonts w:ascii="Palatino Linotype" w:hAnsi="Palatino Linotype" w:cs="Arial"/>
          <w:sz w:val="28"/>
          <w:szCs w:val="28"/>
          <w:lang w:val="es-ES"/>
        </w:rPr>
        <w:t>.</w:t>
      </w:r>
      <w:r w:rsidRPr="00B61DF3">
        <w:rPr>
          <w:rFonts w:ascii="Palatino Linotype" w:hAnsi="Palatino Linotype" w:cs="Arial"/>
          <w:lang w:val="es-ES"/>
        </w:rPr>
        <w:t xml:space="preserve"> Resultan </w:t>
      </w:r>
      <w:r w:rsidRPr="00B61DF3">
        <w:rPr>
          <w:rFonts w:ascii="Palatino Linotype" w:hAnsi="Palatino Linotype" w:cs="Arial"/>
          <w:b/>
          <w:lang w:val="es-ES"/>
        </w:rPr>
        <w:t>fundadas</w:t>
      </w:r>
      <w:r w:rsidRPr="00B61DF3">
        <w:rPr>
          <w:rFonts w:ascii="Palatino Linotype" w:hAnsi="Palatino Linotype" w:cs="Arial"/>
          <w:lang w:val="es-ES"/>
        </w:rPr>
        <w:t xml:space="preserve"> las razones o motivos de inconformidad planteadas por </w:t>
      </w:r>
      <w:r w:rsidRPr="00B61DF3">
        <w:rPr>
          <w:rFonts w:ascii="Palatino Linotype" w:hAnsi="Palatino Linotype" w:cs="Arial"/>
          <w:b/>
          <w:lang w:val="es-ES"/>
        </w:rPr>
        <w:t xml:space="preserve">EL RECURRENTE </w:t>
      </w:r>
      <w:r w:rsidRPr="00B61DF3">
        <w:rPr>
          <w:rFonts w:ascii="Palatino Linotype" w:hAnsi="Palatino Linotype" w:cs="Arial"/>
          <w:bCs/>
          <w:lang w:val="es-ES"/>
        </w:rPr>
        <w:t>en el Recurso de Revisión</w:t>
      </w:r>
      <w:r w:rsidRPr="00B61DF3">
        <w:rPr>
          <w:rFonts w:ascii="Palatino Linotype" w:hAnsi="Palatino Linotype" w:cs="Arial"/>
          <w:b/>
          <w:lang w:val="es-ES"/>
        </w:rPr>
        <w:t xml:space="preserve"> </w:t>
      </w:r>
      <w:r w:rsidR="00024A38" w:rsidRPr="00B61DF3">
        <w:rPr>
          <w:rFonts w:ascii="Palatino Linotype" w:hAnsi="Palatino Linotype" w:cs="Arial"/>
          <w:b/>
          <w:bCs/>
          <w:szCs w:val="22"/>
        </w:rPr>
        <w:t>175</w:t>
      </w:r>
      <w:r w:rsidRPr="00B61DF3">
        <w:rPr>
          <w:rFonts w:ascii="Palatino Linotype" w:hAnsi="Palatino Linotype" w:cs="Arial"/>
          <w:b/>
          <w:bCs/>
          <w:szCs w:val="22"/>
        </w:rPr>
        <w:t>22</w:t>
      </w:r>
      <w:r w:rsidRPr="00B61DF3">
        <w:rPr>
          <w:rFonts w:ascii="Palatino Linotype" w:hAnsi="Palatino Linotype" w:cs="Arial"/>
          <w:b/>
          <w:lang w:val="es-ES"/>
        </w:rPr>
        <w:t>/INFOEM/IP/RR/2022</w:t>
      </w:r>
      <w:r w:rsidRPr="00B61DF3">
        <w:rPr>
          <w:rFonts w:ascii="Palatino Linotype" w:hAnsi="Palatino Linotype" w:cs="Arial"/>
          <w:lang w:val="es-ES"/>
        </w:rPr>
        <w:t xml:space="preserve"> y en términos del </w:t>
      </w:r>
      <w:r w:rsidRPr="00B61DF3">
        <w:rPr>
          <w:rFonts w:ascii="Palatino Linotype" w:hAnsi="Palatino Linotype" w:cs="Arial"/>
          <w:b/>
          <w:bCs/>
        </w:rPr>
        <w:t>CONSIDERANDO QUINTO</w:t>
      </w:r>
      <w:r w:rsidRPr="00B61DF3">
        <w:rPr>
          <w:rFonts w:ascii="Palatino Linotype" w:hAnsi="Palatino Linotype" w:cs="Arial"/>
        </w:rPr>
        <w:t xml:space="preserve"> </w:t>
      </w:r>
      <w:r w:rsidRPr="00B61DF3">
        <w:rPr>
          <w:rFonts w:ascii="Palatino Linotype" w:hAnsi="Palatino Linotype" w:cs="Arial"/>
          <w:lang w:val="es-ES"/>
        </w:rPr>
        <w:t>de la presente Resolución.</w:t>
      </w:r>
    </w:p>
    <w:p w14:paraId="56D85E35" w14:textId="0E4D768B" w:rsidR="00291FBC" w:rsidRPr="00B61DF3" w:rsidRDefault="00291FBC" w:rsidP="00B61DF3">
      <w:pPr>
        <w:spacing w:before="100" w:beforeAutospacing="1" w:after="100" w:afterAutospacing="1" w:line="360" w:lineRule="auto"/>
        <w:jc w:val="both"/>
        <w:rPr>
          <w:rFonts w:ascii="Palatino Linotype" w:eastAsia="Palatino Linotype" w:hAnsi="Palatino Linotype" w:cs="Palatino Linotype"/>
        </w:rPr>
      </w:pPr>
      <w:r w:rsidRPr="00B61DF3">
        <w:rPr>
          <w:rFonts w:ascii="Palatino Linotype" w:hAnsi="Palatino Linotype" w:cs="Arial"/>
          <w:b/>
          <w:sz w:val="28"/>
          <w:szCs w:val="28"/>
          <w:lang w:val="es-ES"/>
        </w:rPr>
        <w:t>SEGUNDO</w:t>
      </w:r>
      <w:r w:rsidRPr="00B61DF3">
        <w:rPr>
          <w:rFonts w:ascii="Palatino Linotype" w:hAnsi="Palatino Linotype" w:cs="Arial"/>
          <w:sz w:val="28"/>
          <w:szCs w:val="28"/>
          <w:lang w:val="es-ES"/>
        </w:rPr>
        <w:t>.</w:t>
      </w:r>
      <w:r w:rsidRPr="00B61DF3">
        <w:rPr>
          <w:rFonts w:ascii="Palatino Linotype" w:hAnsi="Palatino Linotype" w:cs="Arial"/>
          <w:lang w:val="es-ES"/>
        </w:rPr>
        <w:t xml:space="preserve"> </w:t>
      </w:r>
      <w:r w:rsidRPr="00B61DF3">
        <w:rPr>
          <w:rFonts w:ascii="Palatino Linotype" w:eastAsia="Calibri" w:hAnsi="Palatino Linotype" w:cs="Arial"/>
        </w:rPr>
        <w:t xml:space="preserve">Se </w:t>
      </w:r>
      <w:r w:rsidRPr="00B61DF3">
        <w:rPr>
          <w:rFonts w:ascii="Palatino Linotype" w:eastAsia="Calibri" w:hAnsi="Palatino Linotype" w:cs="Arial"/>
          <w:b/>
        </w:rPr>
        <w:t xml:space="preserve">MODIFICA </w:t>
      </w:r>
      <w:r w:rsidRPr="00B61DF3">
        <w:rPr>
          <w:rFonts w:ascii="Palatino Linotype" w:eastAsia="Calibri" w:hAnsi="Palatino Linotype" w:cs="Arial"/>
        </w:rPr>
        <w:t xml:space="preserve">la respuesta proporcionada por el </w:t>
      </w:r>
      <w:r w:rsidR="00024A38" w:rsidRPr="00B61DF3">
        <w:rPr>
          <w:rFonts w:ascii="Palatino Linotype" w:eastAsia="Calibri" w:hAnsi="Palatino Linotype" w:cs="Arial"/>
          <w:b/>
          <w:bCs/>
        </w:rPr>
        <w:t>Poder Legislativo</w:t>
      </w:r>
      <w:r w:rsidRPr="00B61DF3">
        <w:rPr>
          <w:rFonts w:ascii="Palatino Linotype" w:eastAsia="Calibri" w:hAnsi="Palatino Linotype" w:cs="Arial"/>
          <w:b/>
          <w:bCs/>
        </w:rPr>
        <w:t xml:space="preserve"> </w:t>
      </w:r>
      <w:r w:rsidRPr="00B61DF3">
        <w:rPr>
          <w:rFonts w:ascii="Palatino Linotype" w:eastAsia="Calibri" w:hAnsi="Palatino Linotype" w:cs="Arial"/>
          <w:bCs/>
          <w:lang w:val="es-ES"/>
        </w:rPr>
        <w:t xml:space="preserve">y </w:t>
      </w:r>
      <w:r w:rsidRPr="00B61DF3">
        <w:rPr>
          <w:rFonts w:ascii="Palatino Linotype" w:hAnsi="Palatino Linotype" w:cs="Arial"/>
          <w:bCs/>
          <w:lang w:val="es-ES"/>
        </w:rPr>
        <w:t>se</w:t>
      </w:r>
      <w:r w:rsidRPr="00B61DF3">
        <w:rPr>
          <w:rFonts w:ascii="Palatino Linotype" w:hAnsi="Palatino Linotype" w:cs="Arial"/>
          <w:lang w:val="es-ES"/>
        </w:rPr>
        <w:t xml:space="preserve"> </w:t>
      </w:r>
      <w:r w:rsidRPr="00B61DF3">
        <w:rPr>
          <w:rFonts w:ascii="Palatino Linotype" w:hAnsi="Palatino Linotype" w:cs="Arial"/>
          <w:b/>
          <w:bCs/>
          <w:lang w:val="es-ES"/>
        </w:rPr>
        <w:t>ORDENA</w:t>
      </w:r>
      <w:r w:rsidRPr="00B61DF3">
        <w:rPr>
          <w:rFonts w:ascii="Palatino Linotype" w:hAnsi="Palatino Linotype" w:cs="Arial"/>
          <w:lang w:val="es-ES"/>
        </w:rPr>
        <w:t xml:space="preserve"> haga entrega al </w:t>
      </w:r>
      <w:r w:rsidRPr="00B61DF3">
        <w:rPr>
          <w:rFonts w:ascii="Palatino Linotype" w:hAnsi="Palatino Linotype" w:cs="Arial"/>
          <w:b/>
          <w:lang w:val="es-ES"/>
        </w:rPr>
        <w:t>RECURRENTE</w:t>
      </w:r>
      <w:r w:rsidRPr="00B61DF3">
        <w:rPr>
          <w:rFonts w:ascii="Palatino Linotype" w:hAnsi="Palatino Linotype" w:cs="Arial"/>
          <w:lang w:val="es-ES"/>
        </w:rPr>
        <w:t>, vía el Sistema de Acceso a la Información Mexiquense (</w:t>
      </w:r>
      <w:r w:rsidRPr="00B61DF3">
        <w:rPr>
          <w:rFonts w:ascii="Palatino Linotype" w:hAnsi="Palatino Linotype" w:cs="Arial"/>
          <w:b/>
          <w:lang w:val="es-ES"/>
        </w:rPr>
        <w:t>SAIMEX</w:t>
      </w:r>
      <w:r w:rsidRPr="00B61DF3">
        <w:rPr>
          <w:rFonts w:ascii="Palatino Linotype" w:hAnsi="Palatino Linotype" w:cs="Arial"/>
          <w:lang w:val="es-ES"/>
        </w:rPr>
        <w:t>)</w:t>
      </w:r>
      <w:r w:rsidR="008D7F42" w:rsidRPr="00B61DF3">
        <w:rPr>
          <w:rFonts w:ascii="Palatino Linotype" w:eastAsia="Palatino Linotype" w:hAnsi="Palatino Linotype" w:cs="Palatino Linotype"/>
          <w:bCs/>
        </w:rPr>
        <w:t>,</w:t>
      </w:r>
      <w:r w:rsidRPr="00B61DF3">
        <w:rPr>
          <w:rFonts w:ascii="Palatino Linotype" w:eastAsia="Palatino Linotype" w:hAnsi="Palatino Linotype" w:cs="Palatino Linotype"/>
        </w:rPr>
        <w:t xml:space="preserve"> lo siguiente: </w:t>
      </w:r>
    </w:p>
    <w:p w14:paraId="7003B97A" w14:textId="68377693" w:rsidR="00C248ED" w:rsidRPr="00B61DF3" w:rsidRDefault="00C248ED" w:rsidP="00B61DF3">
      <w:pPr>
        <w:pStyle w:val="Prrafodelista"/>
        <w:numPr>
          <w:ilvl w:val="0"/>
          <w:numId w:val="44"/>
        </w:numPr>
        <w:spacing w:before="240" w:after="240" w:line="276" w:lineRule="auto"/>
        <w:ind w:right="902"/>
        <w:jc w:val="both"/>
        <w:rPr>
          <w:rFonts w:ascii="Palatino Linotype" w:eastAsia="Palatino Linotype" w:hAnsi="Palatino Linotype" w:cs="Palatino Linotype"/>
          <w:i/>
          <w:iCs/>
          <w:sz w:val="22"/>
          <w:szCs w:val="22"/>
        </w:rPr>
      </w:pPr>
      <w:r w:rsidRPr="00B61DF3">
        <w:rPr>
          <w:rFonts w:ascii="Palatino Linotype" w:eastAsia="Palatino Linotype" w:hAnsi="Palatino Linotype" w:cs="Palatino Linotype"/>
          <w:i/>
          <w:iCs/>
          <w:sz w:val="22"/>
          <w:szCs w:val="22"/>
        </w:rPr>
        <w:t xml:space="preserve">Los documentos donde consten </w:t>
      </w:r>
      <w:r w:rsidR="00E96CAA" w:rsidRPr="00B61DF3">
        <w:rPr>
          <w:rFonts w:ascii="Palatino Linotype" w:eastAsia="Palatino Linotype" w:hAnsi="Palatino Linotype" w:cs="Palatino Linotype"/>
          <w:i/>
          <w:iCs/>
          <w:sz w:val="22"/>
          <w:szCs w:val="22"/>
        </w:rPr>
        <w:t xml:space="preserve">los documentos, cédulas, reportes, así como, las respectivas respuestas o seguimientos, resultantes de las auditorías realizadas por </w:t>
      </w:r>
      <w:r w:rsidR="00E96CAA" w:rsidRPr="00B61DF3">
        <w:rPr>
          <w:rFonts w:ascii="Palatino Linotype" w:eastAsia="Palatino Linotype" w:hAnsi="Palatino Linotype" w:cs="Palatino Linotype"/>
          <w:b/>
          <w:bCs/>
          <w:i/>
          <w:iCs/>
          <w:sz w:val="22"/>
          <w:szCs w:val="22"/>
        </w:rPr>
        <w:t>EL SUJETO OBLIGADO</w:t>
      </w:r>
      <w:r w:rsidR="00E96CAA" w:rsidRPr="00B61DF3">
        <w:rPr>
          <w:rFonts w:ascii="Palatino Linotype" w:eastAsia="Palatino Linotype" w:hAnsi="Palatino Linotype" w:cs="Palatino Linotype"/>
          <w:i/>
          <w:iCs/>
          <w:sz w:val="22"/>
          <w:szCs w:val="22"/>
        </w:rPr>
        <w:t xml:space="preserve"> al programa denominado Salario Rosa, de forma general y en cada una de sus presentaciones o verticales, del año 2019</w:t>
      </w:r>
      <w:r w:rsidR="001218E7" w:rsidRPr="00B61DF3">
        <w:rPr>
          <w:rFonts w:ascii="Palatino Linotype" w:eastAsia="Palatino Linotype" w:hAnsi="Palatino Linotype" w:cs="Palatino Linotype"/>
          <w:i/>
          <w:iCs/>
          <w:sz w:val="22"/>
          <w:szCs w:val="22"/>
        </w:rPr>
        <w:t xml:space="preserve"> y 2020</w:t>
      </w:r>
      <w:r w:rsidR="00E96CAA" w:rsidRPr="00B61DF3">
        <w:rPr>
          <w:rFonts w:ascii="Palatino Linotype" w:eastAsia="Palatino Linotype" w:hAnsi="Palatino Linotype" w:cs="Palatino Linotype"/>
          <w:i/>
          <w:iCs/>
          <w:sz w:val="22"/>
          <w:szCs w:val="22"/>
        </w:rPr>
        <w:t>.</w:t>
      </w:r>
    </w:p>
    <w:p w14:paraId="69C1115A" w14:textId="10ED8C04" w:rsidR="002F5D4A" w:rsidRPr="00B61DF3" w:rsidRDefault="001218E7" w:rsidP="00B61DF3">
      <w:pPr>
        <w:spacing w:before="100" w:beforeAutospacing="1" w:after="100" w:afterAutospacing="1" w:line="276" w:lineRule="auto"/>
        <w:ind w:left="851" w:right="902"/>
        <w:jc w:val="both"/>
        <w:rPr>
          <w:rFonts w:ascii="Palatino Linotype" w:eastAsia="Palatino Linotype" w:hAnsi="Palatino Linotype" w:cs="Palatino Linotype"/>
          <w:i/>
          <w:iCs/>
          <w:sz w:val="22"/>
          <w:szCs w:val="22"/>
        </w:rPr>
      </w:pPr>
      <w:r w:rsidRPr="00B61DF3">
        <w:rPr>
          <w:rFonts w:ascii="Palatino Linotype" w:hAnsi="Palatino Linotype"/>
          <w:i/>
          <w:sz w:val="22"/>
          <w:szCs w:val="22"/>
        </w:rPr>
        <w:t xml:space="preserve">Para el caso de que la información se encuentre en </w:t>
      </w:r>
      <w:r w:rsidR="002F5D4A" w:rsidRPr="00B61DF3">
        <w:rPr>
          <w:rFonts w:ascii="Palatino Linotype" w:hAnsi="Palatino Linotype"/>
          <w:i/>
          <w:sz w:val="22"/>
          <w:szCs w:val="22"/>
        </w:rPr>
        <w:t>trámite</w:t>
      </w:r>
      <w:r w:rsidRPr="00B61DF3">
        <w:rPr>
          <w:rFonts w:ascii="Palatino Linotype" w:hAnsi="Palatino Linotype"/>
          <w:i/>
          <w:sz w:val="22"/>
          <w:szCs w:val="22"/>
        </w:rPr>
        <w:t xml:space="preserve"> el Comité de Transparencia deberá de </w:t>
      </w:r>
      <w:r w:rsidR="00024A38" w:rsidRPr="00B61DF3">
        <w:rPr>
          <w:rFonts w:ascii="Palatino Linotype" w:hAnsi="Palatino Linotype"/>
          <w:i/>
          <w:sz w:val="22"/>
          <w:szCs w:val="22"/>
        </w:rPr>
        <w:t>emiti</w:t>
      </w:r>
      <w:r w:rsidRPr="00B61DF3">
        <w:rPr>
          <w:rFonts w:ascii="Palatino Linotype" w:hAnsi="Palatino Linotype"/>
          <w:i/>
          <w:sz w:val="22"/>
          <w:szCs w:val="22"/>
        </w:rPr>
        <w:t>r el acuerdo de clasificación</w:t>
      </w:r>
      <w:r w:rsidR="00024A38" w:rsidRPr="00B61DF3">
        <w:rPr>
          <w:rFonts w:ascii="Palatino Linotype" w:hAnsi="Palatino Linotype"/>
          <w:i/>
          <w:sz w:val="22"/>
          <w:szCs w:val="22"/>
        </w:rPr>
        <w:t xml:space="preserve"> en donde se apruebe la clasificación como reservada en términos de los ordinales 49, fracción VIII, 129 y 140 de la Ley de Transparencia y Acceso a la Información pública del Estado de México y Municipios, </w:t>
      </w:r>
      <w:bookmarkStart w:id="8" w:name="_Hlk138153373"/>
      <w:r w:rsidR="00967AF6" w:rsidRPr="00B61DF3">
        <w:rPr>
          <w:rFonts w:ascii="Palatino Linotype" w:hAnsi="Palatino Linotype" w:cs="Arial"/>
          <w:i/>
          <w:sz w:val="22"/>
          <w:szCs w:val="22"/>
        </w:rPr>
        <w:t>respecto a todos los documentos, cédulas, reportes, -incluyendo sus respectivas respuestas o seguimientos-, resultantes de auditorías realizadas por el Órgano Superior de Fiscalización del Estado de México al programa denominado Salario Rosa, de forma general y en cada una de sus presentaciones o verticales, de</w:t>
      </w:r>
      <w:r w:rsidR="00C248ED" w:rsidRPr="00B61DF3">
        <w:rPr>
          <w:rFonts w:ascii="Palatino Linotype" w:hAnsi="Palatino Linotype" w:cs="Arial"/>
          <w:i/>
          <w:sz w:val="22"/>
          <w:szCs w:val="22"/>
        </w:rPr>
        <w:t>l año</w:t>
      </w:r>
      <w:r w:rsidR="00967AF6" w:rsidRPr="00B61DF3">
        <w:rPr>
          <w:rFonts w:ascii="Palatino Linotype" w:hAnsi="Palatino Linotype" w:cs="Arial"/>
          <w:i/>
          <w:sz w:val="22"/>
          <w:szCs w:val="22"/>
        </w:rPr>
        <w:t xml:space="preserve"> </w:t>
      </w:r>
      <w:r w:rsidRPr="00B61DF3">
        <w:rPr>
          <w:rFonts w:ascii="Palatino Linotype" w:hAnsi="Palatino Linotype" w:cs="Arial"/>
          <w:i/>
          <w:sz w:val="22"/>
          <w:szCs w:val="22"/>
        </w:rPr>
        <w:t xml:space="preserve">2019 y </w:t>
      </w:r>
      <w:r w:rsidR="00967AF6" w:rsidRPr="00B61DF3">
        <w:rPr>
          <w:rFonts w:ascii="Palatino Linotype" w:hAnsi="Palatino Linotype" w:cs="Arial"/>
          <w:i/>
          <w:sz w:val="22"/>
          <w:szCs w:val="22"/>
        </w:rPr>
        <w:t>2020</w:t>
      </w:r>
      <w:r w:rsidR="002F5D4A" w:rsidRPr="00B61DF3">
        <w:rPr>
          <w:rFonts w:ascii="Palatino Linotype" w:hAnsi="Palatino Linotype" w:cs="Arial"/>
          <w:i/>
          <w:sz w:val="22"/>
          <w:szCs w:val="22"/>
        </w:rPr>
        <w:t xml:space="preserve">. </w:t>
      </w:r>
      <w:r w:rsidR="00CA2D09" w:rsidRPr="00B61DF3">
        <w:rPr>
          <w:rFonts w:ascii="Palatino Linotype" w:hAnsi="Palatino Linotype" w:cs="Arial"/>
          <w:i/>
          <w:sz w:val="22"/>
          <w:szCs w:val="22"/>
        </w:rPr>
        <w:t>O bien, s</w:t>
      </w:r>
      <w:r w:rsidR="002F5D4A" w:rsidRPr="00B61DF3">
        <w:rPr>
          <w:rFonts w:ascii="Palatino Linotype" w:eastAsia="Palatino Linotype" w:hAnsi="Palatino Linotype" w:cs="Palatino Linotype"/>
          <w:i/>
          <w:iCs/>
          <w:sz w:val="22"/>
          <w:szCs w:val="22"/>
        </w:rPr>
        <w:t xml:space="preserve">alvo que </w:t>
      </w:r>
      <w:r w:rsidR="00CA2D09" w:rsidRPr="00B61DF3">
        <w:rPr>
          <w:rFonts w:ascii="Palatino Linotype" w:eastAsia="Palatino Linotype" w:hAnsi="Palatino Linotype" w:cs="Palatino Linotype"/>
          <w:i/>
          <w:iCs/>
          <w:sz w:val="22"/>
          <w:szCs w:val="22"/>
        </w:rPr>
        <w:t xml:space="preserve">la información </w:t>
      </w:r>
      <w:r w:rsidR="002F5D4A" w:rsidRPr="00B61DF3">
        <w:rPr>
          <w:rFonts w:ascii="Palatino Linotype" w:eastAsia="Palatino Linotype" w:hAnsi="Palatino Linotype" w:cs="Palatino Linotype"/>
          <w:i/>
          <w:iCs/>
          <w:sz w:val="22"/>
          <w:szCs w:val="22"/>
        </w:rPr>
        <w:t>tenga relación con actos de corrupción deberá de hacer entrega de la información con las formalidades señaladas y realizar la respectiva versión pública.”</w:t>
      </w:r>
    </w:p>
    <w:p w14:paraId="613F38F5" w14:textId="6888F8E3" w:rsidR="00967AF6" w:rsidRPr="00B61DF3" w:rsidRDefault="00967AF6" w:rsidP="00B61DF3">
      <w:pPr>
        <w:pStyle w:val="Prrafodelista"/>
        <w:spacing w:before="240" w:after="240" w:line="276" w:lineRule="auto"/>
        <w:ind w:left="1211" w:right="902"/>
        <w:jc w:val="both"/>
        <w:rPr>
          <w:rFonts w:ascii="Palatino Linotype" w:eastAsia="Palatino Linotype" w:hAnsi="Palatino Linotype" w:cs="Palatino Linotype"/>
          <w:i/>
          <w:iCs/>
          <w:sz w:val="22"/>
          <w:szCs w:val="22"/>
        </w:rPr>
      </w:pPr>
    </w:p>
    <w:p w14:paraId="29975663" w14:textId="7BC5513F" w:rsidR="00967AF6" w:rsidRPr="00B61DF3" w:rsidRDefault="00967AF6" w:rsidP="00B61DF3">
      <w:pPr>
        <w:pStyle w:val="Prrafodelista"/>
        <w:numPr>
          <w:ilvl w:val="0"/>
          <w:numId w:val="44"/>
        </w:numPr>
        <w:spacing w:before="240" w:after="240" w:line="276" w:lineRule="auto"/>
        <w:ind w:right="902"/>
        <w:jc w:val="both"/>
        <w:rPr>
          <w:rFonts w:ascii="Palatino Linotype" w:eastAsia="Palatino Linotype" w:hAnsi="Palatino Linotype" w:cs="Palatino Linotype"/>
          <w:i/>
          <w:iCs/>
          <w:sz w:val="22"/>
          <w:szCs w:val="22"/>
        </w:rPr>
      </w:pPr>
      <w:r w:rsidRPr="00B61DF3">
        <w:rPr>
          <w:rFonts w:ascii="Palatino Linotype" w:eastAsia="Palatino Linotype" w:hAnsi="Palatino Linotype" w:cs="Palatino Linotype"/>
          <w:i/>
          <w:iCs/>
          <w:sz w:val="22"/>
          <w:szCs w:val="22"/>
        </w:rPr>
        <w:t>Los estatus de las Auditorias al programa denominado Salario Rosa de forma general y en cada una de sus presentaciones o verti</w:t>
      </w:r>
      <w:r w:rsidR="00E86DB5" w:rsidRPr="00B61DF3">
        <w:rPr>
          <w:rFonts w:ascii="Palatino Linotype" w:eastAsia="Palatino Linotype" w:hAnsi="Palatino Linotype" w:cs="Palatino Linotype"/>
          <w:i/>
          <w:iCs/>
          <w:sz w:val="22"/>
          <w:szCs w:val="22"/>
        </w:rPr>
        <w:t>cales, de los años 2019 y 2020</w:t>
      </w:r>
      <w:r w:rsidR="00B93364" w:rsidRPr="00B61DF3">
        <w:rPr>
          <w:rFonts w:ascii="Palatino Linotype" w:eastAsia="Palatino Linotype" w:hAnsi="Palatino Linotype" w:cs="Palatino Linotype"/>
          <w:i/>
          <w:iCs/>
          <w:sz w:val="22"/>
          <w:szCs w:val="22"/>
        </w:rPr>
        <w:t>.</w:t>
      </w:r>
    </w:p>
    <w:bookmarkEnd w:id="8"/>
    <w:p w14:paraId="1BC7E14B" w14:textId="77777777" w:rsidR="00B93364" w:rsidRPr="00B61DF3" w:rsidRDefault="00B93364" w:rsidP="00B61DF3">
      <w:pPr>
        <w:spacing w:before="100" w:beforeAutospacing="1" w:after="100" w:afterAutospacing="1" w:line="276" w:lineRule="auto"/>
        <w:ind w:left="851" w:right="902"/>
        <w:jc w:val="both"/>
        <w:rPr>
          <w:rFonts w:ascii="Palatino Linotype" w:eastAsia="Palatino Linotype" w:hAnsi="Palatino Linotype" w:cs="Palatino Linotype"/>
          <w:i/>
          <w:iCs/>
          <w:sz w:val="22"/>
          <w:szCs w:val="22"/>
        </w:rPr>
      </w:pPr>
      <w:r w:rsidRPr="00B61DF3">
        <w:rPr>
          <w:rFonts w:ascii="Palatino Linotype" w:eastAsia="Palatino Linotype" w:hAnsi="Palatino Linotype" w:cs="Palatino Linotype"/>
          <w:i/>
          <w:iCs/>
          <w:sz w:val="22"/>
          <w:szCs w:val="22"/>
        </w:rPr>
        <w:t xml:space="preserve">Debiendo notificar al </w:t>
      </w:r>
      <w:r w:rsidRPr="00B61DF3">
        <w:rPr>
          <w:rFonts w:ascii="Palatino Linotype" w:eastAsia="Palatino Linotype" w:hAnsi="Palatino Linotype" w:cs="Palatino Linotype"/>
          <w:b/>
          <w:i/>
          <w:iCs/>
          <w:sz w:val="22"/>
          <w:szCs w:val="22"/>
        </w:rPr>
        <w:t>RECURRENTE</w:t>
      </w:r>
      <w:r w:rsidRPr="00B61DF3">
        <w:rPr>
          <w:rFonts w:ascii="Palatino Linotype" w:eastAsia="Palatino Linotype" w:hAnsi="Palatino Linotype" w:cs="Palatino Linotype"/>
          <w:i/>
          <w:iCs/>
          <w:sz w:val="22"/>
          <w:szCs w:val="22"/>
        </w:rPr>
        <w:t xml:space="preserve"> el Acuerdo de Clasificación de la información que emita el Comité de Transparencia con motivo de la versión pública.</w:t>
      </w:r>
    </w:p>
    <w:p w14:paraId="31861A9A" w14:textId="67C36C4C" w:rsidR="003949A7" w:rsidRPr="00B61DF3" w:rsidRDefault="00291FBC" w:rsidP="00B61DF3">
      <w:pPr>
        <w:tabs>
          <w:tab w:val="left" w:pos="709"/>
        </w:tabs>
        <w:spacing w:before="100" w:beforeAutospacing="1" w:after="100" w:afterAutospacing="1" w:line="360" w:lineRule="auto"/>
        <w:ind w:right="51"/>
        <w:jc w:val="both"/>
        <w:rPr>
          <w:rFonts w:ascii="Palatino Linotype" w:eastAsia="Palatino Linotype" w:hAnsi="Palatino Linotype" w:cs="Palatino Linotype"/>
          <w:lang w:eastAsia="es-MX"/>
        </w:rPr>
      </w:pPr>
      <w:r w:rsidRPr="00B61DF3">
        <w:rPr>
          <w:rFonts w:ascii="Palatino Linotype" w:hAnsi="Palatino Linotype"/>
          <w:b/>
          <w:sz w:val="28"/>
          <w:szCs w:val="28"/>
        </w:rPr>
        <w:t>TERCERO.</w:t>
      </w:r>
      <w:r w:rsidRPr="00B61DF3">
        <w:rPr>
          <w:rFonts w:ascii="Palatino Linotype" w:hAnsi="Palatino Linotype"/>
          <w:b/>
        </w:rPr>
        <w:t> </w:t>
      </w:r>
      <w:r w:rsidR="003949A7" w:rsidRPr="00B61DF3">
        <w:rPr>
          <w:rFonts w:ascii="Palatino Linotype" w:hAnsi="Palatino Linotype"/>
          <w:b/>
          <w:lang w:eastAsia="es-ES_tradnl"/>
        </w:rPr>
        <w:t xml:space="preserve">Notifíquese </w:t>
      </w:r>
      <w:r w:rsidR="003949A7" w:rsidRPr="00B61DF3">
        <w:rPr>
          <w:rFonts w:ascii="Palatino Linotype" w:eastAsia="Palatino Linotype" w:hAnsi="Palatino Linotype" w:cs="Palatino Linotype"/>
          <w:sz w:val="22"/>
          <w:szCs w:val="22"/>
          <w:lang w:eastAsia="es-MX"/>
        </w:rPr>
        <w:t>vía</w:t>
      </w:r>
      <w:r w:rsidR="003949A7" w:rsidRPr="00B61DF3">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3D8D88" w14:textId="22C99A64" w:rsidR="003949A7" w:rsidRPr="00B61DF3" w:rsidRDefault="00291FBC" w:rsidP="00B61DF3">
      <w:pPr>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B61DF3">
        <w:rPr>
          <w:rFonts w:ascii="Palatino Linotype" w:hAnsi="Palatino Linotype" w:cs="Arial"/>
          <w:b/>
          <w:bCs/>
          <w:sz w:val="28"/>
        </w:rPr>
        <w:t>CUARTO.</w:t>
      </w:r>
      <w:r w:rsidRPr="00B61DF3">
        <w:rPr>
          <w:rFonts w:ascii="Palatino Linotype" w:hAnsi="Palatino Linotype"/>
          <w:szCs w:val="17"/>
          <w:lang w:eastAsia="es-ES_tradnl"/>
        </w:rPr>
        <w:t xml:space="preserve"> </w:t>
      </w:r>
      <w:r w:rsidRPr="00B61DF3">
        <w:rPr>
          <w:rFonts w:ascii="Palatino Linotype" w:hAnsi="Palatino Linotype"/>
          <w:b/>
          <w:lang w:eastAsia="es-ES_tradnl"/>
        </w:rPr>
        <w:t>Notifíquese</w:t>
      </w:r>
      <w:r w:rsidRPr="00B61DF3">
        <w:rPr>
          <w:rFonts w:ascii="Palatino Linotype" w:hAnsi="Palatino Linotype"/>
          <w:lang w:eastAsia="es-ES_tradnl"/>
        </w:rPr>
        <w:t xml:space="preserve"> al </w:t>
      </w:r>
      <w:r w:rsidRPr="00B61DF3">
        <w:rPr>
          <w:rFonts w:ascii="Palatino Linotype" w:hAnsi="Palatino Linotype"/>
          <w:b/>
          <w:lang w:eastAsia="es-ES_tradnl"/>
        </w:rPr>
        <w:t>RECURRENTE</w:t>
      </w:r>
      <w:r w:rsidRPr="00B61DF3">
        <w:rPr>
          <w:rFonts w:ascii="Palatino Linotype" w:hAnsi="Palatino Linotype"/>
          <w:lang w:eastAsia="es-ES_tradnl"/>
        </w:rPr>
        <w:t xml:space="preserve"> la presente resolución vía </w:t>
      </w:r>
      <w:r w:rsidRPr="00B61DF3">
        <w:rPr>
          <w:rFonts w:ascii="Palatino Linotype" w:hAnsi="Palatino Linotype" w:cs="Arial"/>
        </w:rPr>
        <w:t>Sistema de Acceso a la Información Mexiquense</w:t>
      </w:r>
      <w:r w:rsidRPr="00B61DF3">
        <w:rPr>
          <w:rFonts w:ascii="Palatino Linotype" w:hAnsi="Palatino Linotype"/>
          <w:lang w:eastAsia="es-ES_tradnl"/>
        </w:rPr>
        <w:t xml:space="preserve"> </w:t>
      </w:r>
      <w:r w:rsidRPr="00B61DF3">
        <w:rPr>
          <w:rFonts w:ascii="Palatino Linotype" w:hAnsi="Palatino Linotype"/>
          <w:b/>
          <w:lang w:eastAsia="es-ES_tradnl"/>
        </w:rPr>
        <w:t>(</w:t>
      </w:r>
      <w:r w:rsidRPr="00B61DF3">
        <w:rPr>
          <w:rFonts w:ascii="Palatino Linotype" w:hAnsi="Palatino Linotype"/>
          <w:b/>
          <w:bCs/>
          <w:lang w:eastAsia="es-ES_tradnl"/>
        </w:rPr>
        <w:t>SAIMEX)</w:t>
      </w:r>
      <w:r w:rsidR="004A5B27" w:rsidRPr="00B61DF3">
        <w:rPr>
          <w:rFonts w:ascii="Palatino Linotype" w:eastAsia="Palatino Linotype" w:hAnsi="Palatino Linotype" w:cs="Palatino Linotype"/>
          <w:b/>
        </w:rPr>
        <w:t xml:space="preserve">. </w:t>
      </w:r>
    </w:p>
    <w:p w14:paraId="28972ED6" w14:textId="62FFB58E" w:rsidR="00CA2D09" w:rsidRPr="00B61DF3" w:rsidRDefault="00291FBC" w:rsidP="00B61DF3">
      <w:pPr>
        <w:tabs>
          <w:tab w:val="left" w:pos="709"/>
        </w:tabs>
        <w:spacing w:line="360" w:lineRule="auto"/>
        <w:ind w:right="51"/>
        <w:jc w:val="both"/>
        <w:rPr>
          <w:rFonts w:ascii="Palatino Linotype" w:hAnsi="Palatino Linotype"/>
          <w:szCs w:val="17"/>
          <w:lang w:eastAsia="es-ES_tradnl"/>
        </w:rPr>
      </w:pPr>
      <w:r w:rsidRPr="00B61DF3">
        <w:rPr>
          <w:rFonts w:ascii="Palatino Linotype" w:hAnsi="Palatino Linotype" w:cs="Arial"/>
          <w:b/>
          <w:bCs/>
          <w:sz w:val="28"/>
        </w:rPr>
        <w:t>QUINTO</w:t>
      </w:r>
      <w:r w:rsidR="00CA2D09" w:rsidRPr="00B61DF3">
        <w:rPr>
          <w:rFonts w:ascii="Palatino Linotype" w:hAnsi="Palatino Linotype" w:cs="Arial"/>
          <w:b/>
          <w:bCs/>
          <w:sz w:val="28"/>
        </w:rPr>
        <w:t>.</w:t>
      </w:r>
      <w:r w:rsidR="00CA2D09" w:rsidRPr="00B61DF3">
        <w:rPr>
          <w:rFonts w:ascii="Palatino Linotype" w:hAnsi="Palatino Linotype"/>
          <w:szCs w:val="17"/>
          <w:lang w:eastAsia="es-ES_tradnl"/>
        </w:rPr>
        <w:t xml:space="preserve"> Hágase del conocimiento al </w:t>
      </w:r>
      <w:r w:rsidR="00CA2D09" w:rsidRPr="00B61DF3">
        <w:rPr>
          <w:rFonts w:ascii="Palatino Linotype" w:hAnsi="Palatino Linotype"/>
          <w:b/>
          <w:szCs w:val="17"/>
          <w:lang w:eastAsia="es-ES_tradnl"/>
        </w:rPr>
        <w:t>RECURRENTE</w:t>
      </w:r>
      <w:r w:rsidR="00CA2D09" w:rsidRPr="00B61DF3">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4CB401B" w14:textId="57385EBC" w:rsidR="00291FBC" w:rsidRPr="00B61DF3" w:rsidRDefault="00291FBC" w:rsidP="00B61DF3">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B61DF3">
        <w:rPr>
          <w:rFonts w:ascii="Palatino Linotype" w:hAnsi="Palatino Linotype"/>
          <w:b/>
          <w:sz w:val="28"/>
          <w:szCs w:val="28"/>
          <w:lang w:eastAsia="es-ES_tradnl"/>
        </w:rPr>
        <w:t>SEXTO.</w:t>
      </w:r>
      <w:r w:rsidRPr="00B61DF3">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462CD1A" w14:textId="7D1ACB30" w:rsidR="0057519E" w:rsidRPr="00B61DF3" w:rsidRDefault="00B93364" w:rsidP="00B61DF3">
      <w:pPr>
        <w:spacing w:line="360" w:lineRule="auto"/>
        <w:jc w:val="both"/>
        <w:rPr>
          <w:rFonts w:ascii="Palatino Linotype" w:hAnsi="Palatino Linotype"/>
        </w:rPr>
      </w:pPr>
      <w:r w:rsidRPr="00B61DF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9F0559">
        <w:rPr>
          <w:rFonts w:ascii="Palatino Linotype" w:hAnsi="Palatino Linotype" w:cs="Arial"/>
        </w:rPr>
        <w:t xml:space="preserve">EMITIENDO VOTO PARTICULAR </w:t>
      </w:r>
      <w:r w:rsidRPr="00B61DF3">
        <w:rPr>
          <w:rFonts w:ascii="Palatino Linotype" w:hAnsi="Palatino Linotype"/>
        </w:rPr>
        <w:t xml:space="preserve">Y GUADALUPE RAMÍREZ </w:t>
      </w:r>
      <w:r w:rsidR="00E96CAA" w:rsidRPr="00B61DF3">
        <w:rPr>
          <w:rFonts w:ascii="Palatino Linotype" w:hAnsi="Palatino Linotype"/>
        </w:rPr>
        <w:t xml:space="preserve">PEÑA; EN LA TRIGÉSIMA PRIMERA SESIÓN ORDINARIA CELEBRADA EL TREINTA DE AGOSTO DE </w:t>
      </w:r>
      <w:r w:rsidRPr="00B61DF3">
        <w:rPr>
          <w:rFonts w:ascii="Palatino Linotype" w:hAnsi="Palatino Linotype"/>
        </w:rPr>
        <w:t>DOS MIL VEINTITRÉS, ANTE EL SECRETARIO TÉCNICO DEL PLENO, ALEXIS TAPIA RAMÍREZ.</w:t>
      </w:r>
    </w:p>
    <w:p w14:paraId="3D634FBD" w14:textId="77777777" w:rsidR="0057519E" w:rsidRPr="00B61DF3" w:rsidRDefault="0057519E" w:rsidP="00B61DF3">
      <w:pPr>
        <w:spacing w:line="360" w:lineRule="auto"/>
        <w:jc w:val="both"/>
        <w:rPr>
          <w:rFonts w:ascii="Palatino Linotype" w:hAnsi="Palatino Linotype"/>
          <w:sz w:val="20"/>
          <w:szCs w:val="20"/>
        </w:rPr>
      </w:pPr>
      <w:r w:rsidRPr="00B61DF3">
        <w:rPr>
          <w:rFonts w:ascii="Palatino Linotype" w:hAnsi="Palatino Linotype"/>
          <w:sz w:val="20"/>
          <w:szCs w:val="20"/>
        </w:rPr>
        <w:t>SCMM/BLA/DEMF/CCC</w:t>
      </w:r>
    </w:p>
    <w:p w14:paraId="14129A6F" w14:textId="77777777" w:rsidR="00E60BC9" w:rsidRPr="00B61DF3" w:rsidRDefault="00E60BC9" w:rsidP="00B61DF3">
      <w:pPr>
        <w:spacing w:before="100" w:beforeAutospacing="1" w:after="100" w:afterAutospacing="1" w:line="360" w:lineRule="auto"/>
        <w:rPr>
          <w:rFonts w:ascii="Palatino Linotype" w:hAnsi="Palatino Linotype"/>
          <w:b/>
          <w:sz w:val="28"/>
          <w:szCs w:val="28"/>
        </w:rPr>
      </w:pPr>
    </w:p>
    <w:p w14:paraId="28BB592F" w14:textId="77777777" w:rsidR="00E60BC9" w:rsidRPr="00B61DF3" w:rsidRDefault="00E60BC9" w:rsidP="00B61DF3">
      <w:pPr>
        <w:spacing w:before="100" w:beforeAutospacing="1" w:after="100" w:afterAutospacing="1" w:line="360" w:lineRule="auto"/>
        <w:rPr>
          <w:rFonts w:ascii="Palatino Linotype" w:hAnsi="Palatino Linotype"/>
          <w:b/>
          <w:sz w:val="28"/>
          <w:szCs w:val="28"/>
        </w:rPr>
      </w:pPr>
    </w:p>
    <w:p w14:paraId="70CC180A" w14:textId="77777777" w:rsidR="00A85848" w:rsidRPr="00B61DF3" w:rsidRDefault="00A85848" w:rsidP="00B61DF3">
      <w:pPr>
        <w:spacing w:before="100" w:beforeAutospacing="1" w:after="100" w:afterAutospacing="1" w:line="360" w:lineRule="auto"/>
        <w:rPr>
          <w:rFonts w:ascii="Palatino Linotype" w:hAnsi="Palatino Linotype"/>
          <w:b/>
          <w:sz w:val="28"/>
          <w:szCs w:val="28"/>
        </w:rPr>
      </w:pPr>
    </w:p>
    <w:p w14:paraId="36E1560A" w14:textId="77777777" w:rsidR="00003E22" w:rsidRPr="00B61DF3" w:rsidRDefault="00003E22" w:rsidP="00B61DF3">
      <w:pPr>
        <w:spacing w:before="100" w:beforeAutospacing="1" w:after="100" w:afterAutospacing="1" w:line="360" w:lineRule="auto"/>
        <w:rPr>
          <w:rFonts w:ascii="Palatino Linotype" w:hAnsi="Palatino Linotype"/>
          <w:b/>
          <w:sz w:val="28"/>
          <w:szCs w:val="28"/>
        </w:rPr>
      </w:pPr>
    </w:p>
    <w:p w14:paraId="7DAE978B" w14:textId="77777777" w:rsidR="00003E22" w:rsidRPr="00B61DF3" w:rsidRDefault="00003E22" w:rsidP="00B61DF3">
      <w:pPr>
        <w:spacing w:before="100" w:beforeAutospacing="1" w:after="100" w:afterAutospacing="1" w:line="360" w:lineRule="auto"/>
        <w:rPr>
          <w:rFonts w:ascii="Palatino Linotype" w:hAnsi="Palatino Linotype"/>
          <w:b/>
          <w:sz w:val="28"/>
          <w:szCs w:val="28"/>
        </w:rPr>
      </w:pPr>
    </w:p>
    <w:p w14:paraId="1F20849D" w14:textId="77777777" w:rsidR="00A85848" w:rsidRPr="00B61DF3" w:rsidRDefault="00A85848" w:rsidP="00B61DF3">
      <w:pPr>
        <w:spacing w:before="100" w:beforeAutospacing="1" w:after="100" w:afterAutospacing="1" w:line="360" w:lineRule="auto"/>
        <w:rPr>
          <w:rFonts w:ascii="Palatino Linotype" w:hAnsi="Palatino Linotype"/>
          <w:b/>
          <w:sz w:val="28"/>
          <w:szCs w:val="28"/>
        </w:rPr>
      </w:pPr>
    </w:p>
    <w:p w14:paraId="36593724" w14:textId="77777777" w:rsidR="00E60BC9" w:rsidRPr="00B61DF3" w:rsidRDefault="00E60BC9" w:rsidP="00B61DF3">
      <w:pPr>
        <w:spacing w:before="100" w:beforeAutospacing="1" w:after="100" w:afterAutospacing="1" w:line="360" w:lineRule="auto"/>
        <w:rPr>
          <w:rFonts w:ascii="Palatino Linotype" w:hAnsi="Palatino Linotype"/>
          <w:b/>
          <w:sz w:val="28"/>
          <w:szCs w:val="28"/>
        </w:rPr>
      </w:pPr>
    </w:p>
    <w:p w14:paraId="17A53C78" w14:textId="77777777" w:rsidR="00E60BC9" w:rsidRPr="00B61DF3" w:rsidRDefault="00E60BC9" w:rsidP="00B61DF3">
      <w:pPr>
        <w:spacing w:before="100" w:beforeAutospacing="1" w:after="100" w:afterAutospacing="1" w:line="360" w:lineRule="auto"/>
        <w:rPr>
          <w:rFonts w:ascii="Palatino Linotype" w:hAnsi="Palatino Linotype"/>
          <w:b/>
          <w:sz w:val="28"/>
          <w:szCs w:val="28"/>
        </w:rPr>
      </w:pPr>
    </w:p>
    <w:p w14:paraId="58B5AC90" w14:textId="77777777" w:rsidR="005235DB" w:rsidRPr="00B61DF3" w:rsidRDefault="005235DB" w:rsidP="00B61DF3">
      <w:pPr>
        <w:spacing w:before="100" w:beforeAutospacing="1" w:after="100" w:afterAutospacing="1" w:line="360" w:lineRule="auto"/>
        <w:rPr>
          <w:rFonts w:ascii="Palatino Linotype" w:hAnsi="Palatino Linotype"/>
          <w:b/>
          <w:sz w:val="28"/>
          <w:szCs w:val="28"/>
        </w:rPr>
      </w:pPr>
    </w:p>
    <w:sectPr w:rsidR="005235DB" w:rsidRPr="00B61DF3"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764A4C" w:rsidRDefault="00764A4C" w:rsidP="00C80F8C">
      <w:r>
        <w:separator/>
      </w:r>
    </w:p>
  </w:endnote>
  <w:endnote w:type="continuationSeparator" w:id="0">
    <w:p w14:paraId="2CA1E1DE" w14:textId="77777777" w:rsidR="00764A4C" w:rsidRDefault="00764A4C" w:rsidP="00C80F8C">
      <w:r>
        <w:continuationSeparator/>
      </w:r>
    </w:p>
  </w:endnote>
  <w:endnote w:type="continuationNotice" w:id="1">
    <w:p w14:paraId="03854133" w14:textId="77777777" w:rsidR="00764A4C" w:rsidRDefault="00764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64A4C" w:rsidRPr="0010196A" w:rsidRDefault="00764A4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12796">
      <w:rPr>
        <w:rFonts w:ascii="Palatino Linotype" w:hAnsi="Palatino Linotype" w:cs="Arial"/>
        <w:bCs/>
        <w:noProof/>
        <w:sz w:val="22"/>
        <w:szCs w:val="22"/>
      </w:rPr>
      <w:t>56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12796">
      <w:rPr>
        <w:rFonts w:ascii="Palatino Linotype" w:hAnsi="Palatino Linotype" w:cs="Arial"/>
        <w:bCs/>
        <w:noProof/>
        <w:sz w:val="22"/>
        <w:szCs w:val="22"/>
      </w:rPr>
      <w:t>70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64A4C" w:rsidRPr="0010196A" w:rsidRDefault="00764A4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1279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12796">
      <w:rPr>
        <w:rFonts w:ascii="Palatino Linotype" w:hAnsi="Palatino Linotype" w:cs="Arial"/>
        <w:bCs/>
        <w:noProof/>
        <w:sz w:val="22"/>
        <w:szCs w:val="22"/>
      </w:rPr>
      <w:t>70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764A4C" w:rsidRDefault="00764A4C" w:rsidP="00C80F8C">
      <w:r>
        <w:separator/>
      </w:r>
    </w:p>
  </w:footnote>
  <w:footnote w:type="continuationSeparator" w:id="0">
    <w:p w14:paraId="2D50F1A5" w14:textId="77777777" w:rsidR="00764A4C" w:rsidRDefault="00764A4C" w:rsidP="00C80F8C">
      <w:r>
        <w:continuationSeparator/>
      </w:r>
    </w:p>
  </w:footnote>
  <w:footnote w:type="continuationNotice" w:id="1">
    <w:p w14:paraId="5769B609" w14:textId="77777777" w:rsidR="00764A4C" w:rsidRDefault="00764A4C"/>
  </w:footnote>
  <w:footnote w:id="2">
    <w:p w14:paraId="25F68413" w14:textId="0E2185CD" w:rsidR="00D249DF" w:rsidRPr="00D249DF" w:rsidRDefault="00D249DF" w:rsidP="00D249DF">
      <w:pPr>
        <w:spacing w:before="100" w:beforeAutospacing="1" w:after="100" w:afterAutospacing="1" w:line="360" w:lineRule="auto"/>
        <w:jc w:val="both"/>
        <w:rPr>
          <w:rFonts w:ascii="Palatino Linotype" w:hAnsi="Palatino Linotype" w:cs="Arial"/>
          <w:color w:val="000000"/>
          <w:sz w:val="22"/>
          <w:szCs w:val="22"/>
        </w:rPr>
      </w:pPr>
      <w:r w:rsidRPr="00D249DF">
        <w:rPr>
          <w:rStyle w:val="Refdenotaalpie"/>
          <w:rFonts w:ascii="Palatino Linotype" w:hAnsi="Palatino Linotype"/>
        </w:rPr>
        <w:footnoteRef/>
      </w:r>
      <w:r w:rsidRPr="00D249DF">
        <w:rPr>
          <w:rFonts w:ascii="Palatino Linotype" w:hAnsi="Palatino Linotype"/>
        </w:rPr>
        <w:t xml:space="preserve"> </w:t>
      </w:r>
      <w:r w:rsidRPr="00D249DF">
        <w:rPr>
          <w:rFonts w:ascii="Palatino Linotype" w:hAnsi="Palatino Linotype" w:cs="Arial"/>
          <w:color w:val="000000"/>
          <w:sz w:val="22"/>
          <w:szCs w:val="22"/>
        </w:rPr>
        <w:t>Corresponde a la Fiscalización de la recaudación, captación, administración, ejercicio y aplicación de recursos públicos para que éstos se ejerzan de conformidad con la normativa correspondiente, y que su manejo y registro financiero haya sido correcto.</w:t>
      </w:r>
    </w:p>
  </w:footnote>
  <w:footnote w:id="3">
    <w:p w14:paraId="1EC8D701" w14:textId="77777777" w:rsidR="00764A4C" w:rsidRDefault="00764A4C" w:rsidP="00E01B1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Fracción II del artículo 2 de la Ley de Responsabilidades Administrativas del Estado de México y Municipios.</w:t>
      </w:r>
    </w:p>
  </w:footnote>
  <w:footnote w:id="4">
    <w:p w14:paraId="19ED0D45" w14:textId="77777777" w:rsidR="00764A4C" w:rsidRDefault="00764A4C" w:rsidP="00E01B1F">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4,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64A4C" w:rsidRDefault="0031279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margin-left:0;margin-top:0;width:540pt;height:10in;z-index:-25165312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EBDE61D" w:rsidR="00764A4C" w:rsidRPr="0010196A" w:rsidRDefault="0031279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style="position:absolute;margin-left:-42pt;margin-top:-92.35pt;width:540pt;height:10in;z-index:-251651072;mso-position-horizontal-relative:margin;mso-position-vertical-relative:margin" o:allowincell="f">
          <v:imagedata r:id="rId1" o:title="RESOLUCIÓN"/>
          <w10:wrap anchorx="margin" anchory="margin"/>
        </v:shape>
      </w:pict>
    </w:r>
  </w:p>
  <w:tbl>
    <w:tblPr>
      <w:tblW w:w="9640" w:type="dxa"/>
      <w:tblInd w:w="-142" w:type="dxa"/>
      <w:tblLayout w:type="fixed"/>
      <w:tblLook w:val="04A0" w:firstRow="1" w:lastRow="0" w:firstColumn="1" w:lastColumn="0" w:noHBand="0" w:noVBand="1"/>
    </w:tblPr>
    <w:tblGrid>
      <w:gridCol w:w="3261"/>
      <w:gridCol w:w="2551"/>
      <w:gridCol w:w="3828"/>
    </w:tblGrid>
    <w:tr w:rsidR="00764A4C" w:rsidRPr="008F2CCC" w14:paraId="1F097D8A" w14:textId="77777777" w:rsidTr="00897D7B">
      <w:tc>
        <w:tcPr>
          <w:tcW w:w="3261" w:type="dxa"/>
          <w:vMerge w:val="restart"/>
        </w:tcPr>
        <w:p w14:paraId="1F780A0C" w14:textId="1EFF25F4" w:rsidR="00764A4C" w:rsidRPr="008F2CCC" w:rsidRDefault="00764A4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64A4C" w:rsidRPr="00664658" w:rsidRDefault="00764A4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828" w:type="dxa"/>
          <w:shd w:val="clear" w:color="auto" w:fill="auto"/>
          <w:vAlign w:val="center"/>
        </w:tcPr>
        <w:p w14:paraId="65AFA994" w14:textId="33B86D7C" w:rsidR="00764A4C" w:rsidRPr="00A91B31" w:rsidRDefault="00764A4C" w:rsidP="005C250B">
          <w:pPr>
            <w:jc w:val="both"/>
            <w:rPr>
              <w:rFonts w:ascii="Palatino Linotype" w:hAnsi="Palatino Linotype"/>
              <w:b/>
              <w:sz w:val="22"/>
              <w:szCs w:val="22"/>
              <w:lang w:val="es-ES_tradnl"/>
            </w:rPr>
          </w:pPr>
          <w:r w:rsidRPr="002E2709">
            <w:rPr>
              <w:rFonts w:ascii="Palatino Linotype" w:hAnsi="Palatino Linotype"/>
              <w:b/>
              <w:bCs/>
              <w:sz w:val="22"/>
              <w:szCs w:val="22"/>
            </w:rPr>
            <w:t>17522</w:t>
          </w:r>
          <w:r w:rsidRPr="00A91B31">
            <w:rPr>
              <w:rFonts w:ascii="Palatino Linotype" w:hAnsi="Palatino Linotype"/>
              <w:b/>
              <w:sz w:val="22"/>
              <w:szCs w:val="22"/>
              <w:lang w:val="es-ES_tradnl"/>
            </w:rPr>
            <w:t>/INFOEM/IP/RR/2022</w:t>
          </w:r>
        </w:p>
      </w:tc>
    </w:tr>
    <w:tr w:rsidR="00764A4C" w:rsidRPr="008F2CCC" w14:paraId="049677A3" w14:textId="77777777" w:rsidTr="00897D7B">
      <w:tc>
        <w:tcPr>
          <w:tcW w:w="3261" w:type="dxa"/>
          <w:vMerge/>
        </w:tcPr>
        <w:p w14:paraId="4A21EAC1" w14:textId="5C1F145E" w:rsidR="00764A4C" w:rsidRPr="008F2CCC" w:rsidRDefault="00764A4C" w:rsidP="00D41D47">
          <w:pPr>
            <w:rPr>
              <w:rFonts w:ascii="Palatino Linotype" w:hAnsi="Palatino Linotype"/>
              <w:b/>
              <w:sz w:val="22"/>
              <w:szCs w:val="22"/>
              <w:lang w:val="es-ES_tradnl"/>
            </w:rPr>
          </w:pPr>
          <w:bookmarkStart w:id="9" w:name="_Hlk135762297"/>
        </w:p>
      </w:tc>
      <w:tc>
        <w:tcPr>
          <w:tcW w:w="2551" w:type="dxa"/>
          <w:shd w:val="clear" w:color="auto" w:fill="auto"/>
        </w:tcPr>
        <w:p w14:paraId="1237BCDE" w14:textId="77777777" w:rsidR="00764A4C" w:rsidRPr="00664658" w:rsidRDefault="00764A4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28" w:type="dxa"/>
          <w:shd w:val="clear" w:color="auto" w:fill="auto"/>
          <w:vAlign w:val="center"/>
        </w:tcPr>
        <w:p w14:paraId="7F554073" w14:textId="12EA37C8" w:rsidR="00764A4C" w:rsidRPr="00A91B31" w:rsidRDefault="00764A4C" w:rsidP="002B50FF">
          <w:pPr>
            <w:jc w:val="both"/>
            <w:rPr>
              <w:sz w:val="22"/>
              <w:szCs w:val="22"/>
              <w:lang w:val="es-419"/>
            </w:rPr>
          </w:pPr>
          <w:r w:rsidRPr="002E2709">
            <w:rPr>
              <w:rFonts w:ascii="Palatino Linotype" w:hAnsi="Palatino Linotype"/>
              <w:b/>
              <w:sz w:val="22"/>
              <w:szCs w:val="22"/>
              <w:lang w:val="es-ES_tradnl"/>
            </w:rPr>
            <w:t>Poder Legislativo</w:t>
          </w:r>
        </w:p>
      </w:tc>
    </w:tr>
    <w:bookmarkEnd w:id="9"/>
    <w:tr w:rsidR="00764A4C" w:rsidRPr="008F2CCC" w14:paraId="72CD087D" w14:textId="77777777" w:rsidTr="00897D7B">
      <w:trPr>
        <w:trHeight w:val="228"/>
      </w:trPr>
      <w:tc>
        <w:tcPr>
          <w:tcW w:w="3261" w:type="dxa"/>
          <w:vMerge/>
        </w:tcPr>
        <w:p w14:paraId="1B78656F" w14:textId="01E6F6F6" w:rsidR="00764A4C" w:rsidRPr="008F2CCC" w:rsidRDefault="00764A4C" w:rsidP="00070856">
          <w:pPr>
            <w:rPr>
              <w:rFonts w:ascii="Palatino Linotype" w:hAnsi="Palatino Linotype"/>
              <w:b/>
              <w:sz w:val="22"/>
              <w:szCs w:val="22"/>
              <w:lang w:val="es-ES_tradnl"/>
            </w:rPr>
          </w:pPr>
        </w:p>
      </w:tc>
      <w:tc>
        <w:tcPr>
          <w:tcW w:w="2551" w:type="dxa"/>
          <w:shd w:val="clear" w:color="auto" w:fill="auto"/>
        </w:tcPr>
        <w:p w14:paraId="74D81628" w14:textId="3839B3E6" w:rsidR="00764A4C" w:rsidRPr="00664658" w:rsidRDefault="00764A4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828" w:type="dxa"/>
          <w:shd w:val="clear" w:color="auto" w:fill="auto"/>
        </w:tcPr>
        <w:p w14:paraId="20D6FDA3" w14:textId="39A658C5" w:rsidR="00764A4C" w:rsidRPr="00A91B31" w:rsidRDefault="00764A4C"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764A4C" w:rsidRPr="0010196A" w:rsidRDefault="00764A4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764A4C" w:rsidRPr="0010196A" w:rsidRDefault="0031279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54.85pt;margin-top:-91.05pt;width:540pt;height:10in;z-index:-251649024;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764A4C" w:rsidRPr="008F2CCC" w14:paraId="6ABABA57" w14:textId="77777777" w:rsidTr="00897D7B">
      <w:tc>
        <w:tcPr>
          <w:tcW w:w="4253" w:type="dxa"/>
          <w:vMerge w:val="restart"/>
          <w:shd w:val="clear" w:color="auto" w:fill="auto"/>
        </w:tcPr>
        <w:p w14:paraId="6AA376CC" w14:textId="1E62217E" w:rsidR="00764A4C" w:rsidRPr="008F2CCC" w:rsidRDefault="00764A4C"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64A4C" w:rsidRPr="008F2CCC" w:rsidRDefault="00764A4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56035BD2" w:rsidR="00764A4C" w:rsidRPr="008F2CCC" w:rsidRDefault="00764A4C" w:rsidP="003305CB">
          <w:pPr>
            <w:jc w:val="both"/>
            <w:rPr>
              <w:rFonts w:ascii="Palatino Linotype" w:hAnsi="Palatino Linotype"/>
              <w:b/>
              <w:sz w:val="22"/>
              <w:szCs w:val="22"/>
              <w:lang w:val="es-ES_tradnl"/>
            </w:rPr>
          </w:pPr>
          <w:r w:rsidRPr="009A286A">
            <w:rPr>
              <w:rFonts w:ascii="Palatino Linotype" w:hAnsi="Palatino Linotype"/>
              <w:b/>
              <w:sz w:val="22"/>
              <w:szCs w:val="22"/>
              <w:lang w:val="es-ES_tradnl"/>
            </w:rPr>
            <w:t>17522</w:t>
          </w:r>
          <w:r w:rsidRPr="00F67B0E">
            <w:rPr>
              <w:rFonts w:ascii="Palatino Linotype" w:hAnsi="Palatino Linotype"/>
              <w:b/>
              <w:sz w:val="22"/>
              <w:szCs w:val="22"/>
              <w:lang w:val="es-ES_tradnl"/>
            </w:rPr>
            <w:t>/INFOEM/IP/RR/2022</w:t>
          </w:r>
        </w:p>
      </w:tc>
    </w:tr>
    <w:tr w:rsidR="00764A4C" w:rsidRPr="008F2CCC" w14:paraId="3B45FB53" w14:textId="77777777" w:rsidTr="00897D7B">
      <w:tc>
        <w:tcPr>
          <w:tcW w:w="4253" w:type="dxa"/>
          <w:vMerge/>
          <w:shd w:val="clear" w:color="auto" w:fill="auto"/>
        </w:tcPr>
        <w:p w14:paraId="188B82EF" w14:textId="77777777" w:rsidR="00764A4C" w:rsidRPr="008F2CCC" w:rsidRDefault="00764A4C" w:rsidP="00A2780F">
          <w:pPr>
            <w:rPr>
              <w:rFonts w:ascii="Palatino Linotype" w:hAnsi="Palatino Linotype"/>
              <w:b/>
              <w:sz w:val="22"/>
              <w:szCs w:val="22"/>
              <w:lang w:val="es-ES_tradnl"/>
            </w:rPr>
          </w:pPr>
        </w:p>
      </w:tc>
      <w:tc>
        <w:tcPr>
          <w:tcW w:w="2552" w:type="dxa"/>
          <w:shd w:val="clear" w:color="auto" w:fill="auto"/>
        </w:tcPr>
        <w:p w14:paraId="3B2AD0CF" w14:textId="77777777" w:rsidR="00764A4C" w:rsidRPr="008F2CCC" w:rsidRDefault="00764A4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589006B3" w:rsidR="00764A4C" w:rsidRPr="003305CB" w:rsidRDefault="00312796" w:rsidP="00DD7C89">
          <w:pPr>
            <w:jc w:val="both"/>
            <w:rPr>
              <w:rFonts w:ascii="Palatino Linotype" w:hAnsi="Palatino Linotype"/>
              <w:b/>
              <w:sz w:val="22"/>
              <w:szCs w:val="22"/>
              <w:lang w:val="es-419"/>
            </w:rPr>
          </w:pPr>
          <w:r>
            <w:rPr>
              <w:rFonts w:ascii="Palatino Linotype" w:hAnsi="Palatino Linotype"/>
              <w:b/>
              <w:sz w:val="22"/>
              <w:szCs w:val="22"/>
              <w:lang w:val="es-419"/>
            </w:rPr>
            <w:t>XX X</w:t>
          </w:r>
        </w:p>
      </w:tc>
    </w:tr>
    <w:tr w:rsidR="00764A4C" w:rsidRPr="008F2CCC" w14:paraId="28A493EB" w14:textId="77777777" w:rsidTr="00897D7B">
      <w:trPr>
        <w:trHeight w:val="228"/>
      </w:trPr>
      <w:tc>
        <w:tcPr>
          <w:tcW w:w="4253" w:type="dxa"/>
          <w:vMerge/>
          <w:shd w:val="clear" w:color="auto" w:fill="auto"/>
        </w:tcPr>
        <w:p w14:paraId="06C77D31" w14:textId="77777777" w:rsidR="00764A4C" w:rsidRPr="008F2CCC" w:rsidRDefault="00764A4C" w:rsidP="00E37C88">
          <w:pPr>
            <w:rPr>
              <w:rFonts w:ascii="Palatino Linotype" w:hAnsi="Palatino Linotype"/>
              <w:b/>
              <w:sz w:val="22"/>
              <w:szCs w:val="22"/>
              <w:lang w:val="es-ES_tradnl"/>
            </w:rPr>
          </w:pPr>
        </w:p>
      </w:tc>
      <w:tc>
        <w:tcPr>
          <w:tcW w:w="2552" w:type="dxa"/>
          <w:shd w:val="clear" w:color="auto" w:fill="auto"/>
        </w:tcPr>
        <w:p w14:paraId="2E1A72B4" w14:textId="77777777" w:rsidR="00764A4C" w:rsidRPr="008F2CCC" w:rsidRDefault="00764A4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18968553" w:rsidR="00764A4C" w:rsidRPr="00F67B0E" w:rsidRDefault="00764A4C" w:rsidP="00F67B0E">
          <w:pPr>
            <w:jc w:val="both"/>
            <w:rPr>
              <w:lang w:val="es-419"/>
            </w:rPr>
          </w:pPr>
          <w:r w:rsidRPr="002E2709">
            <w:rPr>
              <w:rFonts w:ascii="Palatino Linotype" w:hAnsi="Palatino Linotype"/>
              <w:b/>
              <w:sz w:val="22"/>
              <w:szCs w:val="22"/>
              <w:lang w:val="es-ES_tradnl"/>
            </w:rPr>
            <w:t>Poder Legislativo</w:t>
          </w:r>
        </w:p>
      </w:tc>
    </w:tr>
    <w:tr w:rsidR="00764A4C" w:rsidRPr="008F2CCC" w14:paraId="0F114FF0" w14:textId="77777777" w:rsidTr="00897D7B">
      <w:tc>
        <w:tcPr>
          <w:tcW w:w="4253" w:type="dxa"/>
          <w:vMerge/>
          <w:shd w:val="clear" w:color="auto" w:fill="auto"/>
        </w:tcPr>
        <w:p w14:paraId="4CCB64BA" w14:textId="77777777" w:rsidR="00764A4C" w:rsidRPr="008F2CCC" w:rsidRDefault="00764A4C" w:rsidP="00A2780F">
          <w:pPr>
            <w:rPr>
              <w:rFonts w:ascii="Palatino Linotype" w:hAnsi="Palatino Linotype"/>
              <w:b/>
              <w:sz w:val="22"/>
              <w:szCs w:val="22"/>
              <w:lang w:val="es-ES_tradnl"/>
            </w:rPr>
          </w:pPr>
        </w:p>
      </w:tc>
      <w:tc>
        <w:tcPr>
          <w:tcW w:w="2552" w:type="dxa"/>
          <w:shd w:val="clear" w:color="auto" w:fill="auto"/>
        </w:tcPr>
        <w:p w14:paraId="31E422EA" w14:textId="63649A07" w:rsidR="00764A4C" w:rsidRPr="008F2CCC" w:rsidRDefault="00764A4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2A8CDF31" w:rsidR="00764A4C" w:rsidRPr="008F2CCC" w:rsidRDefault="00764A4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64A4C" w:rsidRPr="0010196A" w:rsidRDefault="00764A4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B351449"/>
    <w:multiLevelType w:val="hybridMultilevel"/>
    <w:tmpl w:val="B4D020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7404EC"/>
    <w:multiLevelType w:val="hybridMultilevel"/>
    <w:tmpl w:val="0A70E5B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5" w15:restartNumberingAfterBreak="0">
    <w:nsid w:val="146C16AB"/>
    <w:multiLevelType w:val="hybridMultilevel"/>
    <w:tmpl w:val="9A2E6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17734269"/>
    <w:multiLevelType w:val="hybridMultilevel"/>
    <w:tmpl w:val="E4BE0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EE201B0"/>
    <w:multiLevelType w:val="hybridMultilevel"/>
    <w:tmpl w:val="C3B48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451619B"/>
    <w:multiLevelType w:val="multilevel"/>
    <w:tmpl w:val="867A8366"/>
    <w:lvl w:ilvl="0">
      <w:start w:val="1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4" w15:restartNumberingAfterBreak="0">
    <w:nsid w:val="252E7FFD"/>
    <w:multiLevelType w:val="multilevel"/>
    <w:tmpl w:val="A88A4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8A5FE9"/>
    <w:multiLevelType w:val="hybridMultilevel"/>
    <w:tmpl w:val="74AE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AE688C"/>
    <w:multiLevelType w:val="hybridMultilevel"/>
    <w:tmpl w:val="28EC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B31191"/>
    <w:multiLevelType w:val="hybridMultilevel"/>
    <w:tmpl w:val="2A9E3E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72375D"/>
    <w:multiLevelType w:val="hybridMultilevel"/>
    <w:tmpl w:val="3CD89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911CD7"/>
    <w:multiLevelType w:val="hybridMultilevel"/>
    <w:tmpl w:val="7488DFD2"/>
    <w:lvl w:ilvl="0" w:tplc="65D2A22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02F2E1B"/>
    <w:multiLevelType w:val="hybridMultilevel"/>
    <w:tmpl w:val="E04A32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60509BA"/>
    <w:multiLevelType w:val="hybridMultilevel"/>
    <w:tmpl w:val="ACCA49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72C3F29"/>
    <w:multiLevelType w:val="hybridMultilevel"/>
    <w:tmpl w:val="A8486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3B17157F"/>
    <w:multiLevelType w:val="hybridMultilevel"/>
    <w:tmpl w:val="1368DCBA"/>
    <w:lvl w:ilvl="0" w:tplc="8AB4890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0D903DB"/>
    <w:multiLevelType w:val="multilevel"/>
    <w:tmpl w:val="30F0E8BA"/>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35566FA"/>
    <w:multiLevelType w:val="hybridMultilevel"/>
    <w:tmpl w:val="B546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D00B28"/>
    <w:multiLevelType w:val="hybridMultilevel"/>
    <w:tmpl w:val="B8D0876A"/>
    <w:lvl w:ilvl="0" w:tplc="831EB0E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9" w15:restartNumberingAfterBreak="0">
    <w:nsid w:val="4AF01CD5"/>
    <w:multiLevelType w:val="hybridMultilevel"/>
    <w:tmpl w:val="AA260AA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15:restartNumberingAfterBreak="0">
    <w:nsid w:val="4B11185B"/>
    <w:multiLevelType w:val="hybridMultilevel"/>
    <w:tmpl w:val="00C03A72"/>
    <w:lvl w:ilvl="0" w:tplc="E01E9808">
      <w:start w:val="1"/>
      <w:numFmt w:val="lowerLetter"/>
      <w:lvlText w:val="%1)"/>
      <w:lvlJc w:val="left"/>
      <w:pPr>
        <w:ind w:left="930" w:hanging="57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CE1C99"/>
    <w:multiLevelType w:val="hybridMultilevel"/>
    <w:tmpl w:val="01D0E3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0585588"/>
    <w:multiLevelType w:val="multilevel"/>
    <w:tmpl w:val="1A548836"/>
    <w:lvl w:ilvl="0">
      <w:start w:val="1"/>
      <w:numFmt w:val="upperRoman"/>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7" w15:restartNumberingAfterBreak="0">
    <w:nsid w:val="63A61B57"/>
    <w:multiLevelType w:val="hybridMultilevel"/>
    <w:tmpl w:val="9E52553E"/>
    <w:lvl w:ilvl="0" w:tplc="BE0EC09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10807FC"/>
    <w:multiLevelType w:val="multilevel"/>
    <w:tmpl w:val="E604B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EE48A3"/>
    <w:multiLevelType w:val="hybridMultilevel"/>
    <w:tmpl w:val="67E0905C"/>
    <w:lvl w:ilvl="0" w:tplc="080A000F">
      <w:start w:val="1"/>
      <w:numFmt w:val="decimal"/>
      <w:lvlText w:val="%1."/>
      <w:lvlJc w:val="left"/>
      <w:pPr>
        <w:ind w:left="757" w:hanging="360"/>
      </w:pPr>
    </w:lvl>
    <w:lvl w:ilvl="1" w:tplc="080A0019">
      <w:start w:val="1"/>
      <w:numFmt w:val="lowerLetter"/>
      <w:lvlText w:val="%2."/>
      <w:lvlJc w:val="left"/>
      <w:pPr>
        <w:ind w:left="1477" w:hanging="360"/>
      </w:pPr>
    </w:lvl>
    <w:lvl w:ilvl="2" w:tplc="080A001B">
      <w:start w:val="1"/>
      <w:numFmt w:val="lowerRoman"/>
      <w:lvlText w:val="%3."/>
      <w:lvlJc w:val="right"/>
      <w:pPr>
        <w:ind w:left="2197" w:hanging="180"/>
      </w:pPr>
    </w:lvl>
    <w:lvl w:ilvl="3" w:tplc="080A000F">
      <w:start w:val="1"/>
      <w:numFmt w:val="decimal"/>
      <w:lvlText w:val="%4."/>
      <w:lvlJc w:val="left"/>
      <w:pPr>
        <w:ind w:left="2917" w:hanging="360"/>
      </w:pPr>
    </w:lvl>
    <w:lvl w:ilvl="4" w:tplc="080A0019">
      <w:start w:val="1"/>
      <w:numFmt w:val="lowerLetter"/>
      <w:lvlText w:val="%5."/>
      <w:lvlJc w:val="left"/>
      <w:pPr>
        <w:ind w:left="3637" w:hanging="360"/>
      </w:pPr>
    </w:lvl>
    <w:lvl w:ilvl="5" w:tplc="080A001B">
      <w:start w:val="1"/>
      <w:numFmt w:val="lowerRoman"/>
      <w:lvlText w:val="%6."/>
      <w:lvlJc w:val="right"/>
      <w:pPr>
        <w:ind w:left="4357" w:hanging="180"/>
      </w:pPr>
    </w:lvl>
    <w:lvl w:ilvl="6" w:tplc="080A000F">
      <w:start w:val="1"/>
      <w:numFmt w:val="decimal"/>
      <w:lvlText w:val="%7."/>
      <w:lvlJc w:val="left"/>
      <w:pPr>
        <w:ind w:left="5077" w:hanging="360"/>
      </w:pPr>
    </w:lvl>
    <w:lvl w:ilvl="7" w:tplc="080A0019">
      <w:start w:val="1"/>
      <w:numFmt w:val="lowerLetter"/>
      <w:lvlText w:val="%8."/>
      <w:lvlJc w:val="left"/>
      <w:pPr>
        <w:ind w:left="5797" w:hanging="360"/>
      </w:pPr>
    </w:lvl>
    <w:lvl w:ilvl="8" w:tplc="080A001B">
      <w:start w:val="1"/>
      <w:numFmt w:val="lowerRoman"/>
      <w:lvlText w:val="%9."/>
      <w:lvlJc w:val="right"/>
      <w:pPr>
        <w:ind w:left="6517" w:hanging="180"/>
      </w:pPr>
    </w:lvl>
  </w:abstractNum>
  <w:abstractNum w:abstractNumId="41" w15:restartNumberingAfterBreak="0">
    <w:nsid w:val="787739E3"/>
    <w:multiLevelType w:val="hybridMultilevel"/>
    <w:tmpl w:val="1334F6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32"/>
  </w:num>
  <w:num w:numId="4">
    <w:abstractNumId w:val="27"/>
  </w:num>
  <w:num w:numId="5">
    <w:abstractNumId w:val="15"/>
  </w:num>
  <w:num w:numId="6">
    <w:abstractNumId w:val="16"/>
  </w:num>
  <w:num w:numId="7">
    <w:abstractNumId w:val="29"/>
  </w:num>
  <w:num w:numId="8">
    <w:abstractNumId w:val="3"/>
  </w:num>
  <w:num w:numId="9">
    <w:abstractNumId w:val="34"/>
  </w:num>
  <w:num w:numId="10">
    <w:abstractNumId w:val="20"/>
  </w:num>
  <w:num w:numId="11">
    <w:abstractNumId w:val="3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9"/>
  </w:num>
  <w:num w:numId="16">
    <w:abstractNumId w:val="13"/>
  </w:num>
  <w:num w:numId="17">
    <w:abstractNumId w:val="24"/>
  </w:num>
  <w:num w:numId="18">
    <w:abstractNumId w:val="38"/>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5"/>
  </w:num>
  <w:num w:numId="22">
    <w:abstractNumId w:val="8"/>
  </w:num>
  <w:num w:numId="23">
    <w:abstractNumId w:val="35"/>
  </w:num>
  <w:num w:numId="24">
    <w:abstractNumId w:val="42"/>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41"/>
  </w:num>
  <w:num w:numId="28">
    <w:abstractNumId w:val="30"/>
  </w:num>
  <w:num w:numId="29">
    <w:abstractNumId w:val="28"/>
  </w:num>
  <w:num w:numId="30">
    <w:abstractNumId w:val="7"/>
  </w:num>
  <w:num w:numId="31">
    <w:abstractNumId w:val="22"/>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3"/>
  </w:num>
  <w:num w:numId="35">
    <w:abstractNumId w:val="17"/>
  </w:num>
  <w:num w:numId="36">
    <w:abstractNumId w:val="36"/>
  </w:num>
  <w:num w:numId="37">
    <w:abstractNumId w:val="6"/>
  </w:num>
  <w:num w:numId="38">
    <w:abstractNumId w:val="12"/>
  </w:num>
  <w:num w:numId="39">
    <w:abstractNumId w:val="26"/>
  </w:num>
  <w:num w:numId="40">
    <w:abstractNumId w:val="39"/>
  </w:num>
  <w:num w:numId="41">
    <w:abstractNumId w:val="14"/>
  </w:num>
  <w:num w:numId="42">
    <w:abstractNumId w:val="37"/>
  </w:num>
  <w:num w:numId="43">
    <w:abstractNumId w:val="18"/>
  </w:num>
  <w:num w:numId="4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30A"/>
    <w:rsid w:val="00003703"/>
    <w:rsid w:val="00003E22"/>
    <w:rsid w:val="000041B5"/>
    <w:rsid w:val="000046A7"/>
    <w:rsid w:val="00004C7A"/>
    <w:rsid w:val="000054EA"/>
    <w:rsid w:val="0000588F"/>
    <w:rsid w:val="000060C2"/>
    <w:rsid w:val="0000633D"/>
    <w:rsid w:val="00006728"/>
    <w:rsid w:val="00006E60"/>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17"/>
    <w:rsid w:val="00022350"/>
    <w:rsid w:val="000225F4"/>
    <w:rsid w:val="00022A73"/>
    <w:rsid w:val="00022DCF"/>
    <w:rsid w:val="00022E8B"/>
    <w:rsid w:val="00023233"/>
    <w:rsid w:val="00023398"/>
    <w:rsid w:val="00023BDC"/>
    <w:rsid w:val="000244C6"/>
    <w:rsid w:val="0002471C"/>
    <w:rsid w:val="00024809"/>
    <w:rsid w:val="00024A38"/>
    <w:rsid w:val="00024A5F"/>
    <w:rsid w:val="00024A64"/>
    <w:rsid w:val="00024A74"/>
    <w:rsid w:val="00024E68"/>
    <w:rsid w:val="000254C2"/>
    <w:rsid w:val="00025DB0"/>
    <w:rsid w:val="00026618"/>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DDE"/>
    <w:rsid w:val="00037FDC"/>
    <w:rsid w:val="000405C7"/>
    <w:rsid w:val="000409E8"/>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AC3"/>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338D"/>
    <w:rsid w:val="00084079"/>
    <w:rsid w:val="0008420F"/>
    <w:rsid w:val="0008429C"/>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266"/>
    <w:rsid w:val="000B09A1"/>
    <w:rsid w:val="000B0D01"/>
    <w:rsid w:val="000B11B2"/>
    <w:rsid w:val="000B126F"/>
    <w:rsid w:val="000B17C5"/>
    <w:rsid w:val="000B17FD"/>
    <w:rsid w:val="000B1E52"/>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6A8D"/>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1D89"/>
    <w:rsid w:val="000D21C4"/>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A18"/>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36AF"/>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400"/>
    <w:rsid w:val="00114707"/>
    <w:rsid w:val="001149CC"/>
    <w:rsid w:val="00114BA6"/>
    <w:rsid w:val="00114CC0"/>
    <w:rsid w:val="0011502F"/>
    <w:rsid w:val="0011507B"/>
    <w:rsid w:val="001150E5"/>
    <w:rsid w:val="00115DB1"/>
    <w:rsid w:val="00115E6B"/>
    <w:rsid w:val="00116272"/>
    <w:rsid w:val="00116376"/>
    <w:rsid w:val="001166AB"/>
    <w:rsid w:val="00116B8E"/>
    <w:rsid w:val="00116D62"/>
    <w:rsid w:val="00117625"/>
    <w:rsid w:val="00120292"/>
    <w:rsid w:val="0012048A"/>
    <w:rsid w:val="00120983"/>
    <w:rsid w:val="00120ADA"/>
    <w:rsid w:val="00120C4B"/>
    <w:rsid w:val="00120D8D"/>
    <w:rsid w:val="00121567"/>
    <w:rsid w:val="00121773"/>
    <w:rsid w:val="001218E7"/>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2966"/>
    <w:rsid w:val="001433DD"/>
    <w:rsid w:val="001437A3"/>
    <w:rsid w:val="00143CAA"/>
    <w:rsid w:val="00144683"/>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EC"/>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9F7"/>
    <w:rsid w:val="001D5A22"/>
    <w:rsid w:val="001D6107"/>
    <w:rsid w:val="001D61F9"/>
    <w:rsid w:val="001D6F14"/>
    <w:rsid w:val="001D6F7D"/>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3AE"/>
    <w:rsid w:val="001E7550"/>
    <w:rsid w:val="001E7B88"/>
    <w:rsid w:val="001E7F57"/>
    <w:rsid w:val="001F0129"/>
    <w:rsid w:val="001F01FC"/>
    <w:rsid w:val="001F0238"/>
    <w:rsid w:val="001F0CAB"/>
    <w:rsid w:val="001F0F07"/>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78"/>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5CF7"/>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5DE"/>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1FBC"/>
    <w:rsid w:val="00292081"/>
    <w:rsid w:val="00292588"/>
    <w:rsid w:val="00292C44"/>
    <w:rsid w:val="00292DCD"/>
    <w:rsid w:val="002930AD"/>
    <w:rsid w:val="002930C5"/>
    <w:rsid w:val="002930F8"/>
    <w:rsid w:val="002931A0"/>
    <w:rsid w:val="0029397F"/>
    <w:rsid w:val="00293F4A"/>
    <w:rsid w:val="00294BD2"/>
    <w:rsid w:val="00294EE7"/>
    <w:rsid w:val="00295C21"/>
    <w:rsid w:val="00295CB1"/>
    <w:rsid w:val="002969AE"/>
    <w:rsid w:val="00296D5E"/>
    <w:rsid w:val="00296F09"/>
    <w:rsid w:val="00297165"/>
    <w:rsid w:val="002971ED"/>
    <w:rsid w:val="00297453"/>
    <w:rsid w:val="00297A46"/>
    <w:rsid w:val="00297A56"/>
    <w:rsid w:val="002A01DC"/>
    <w:rsid w:val="002A0922"/>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7C"/>
    <w:rsid w:val="002D1C47"/>
    <w:rsid w:val="002D1F7F"/>
    <w:rsid w:val="002D222B"/>
    <w:rsid w:val="002D2928"/>
    <w:rsid w:val="002D2D55"/>
    <w:rsid w:val="002D2E8E"/>
    <w:rsid w:val="002D30A0"/>
    <w:rsid w:val="002D32E2"/>
    <w:rsid w:val="002D334A"/>
    <w:rsid w:val="002D4ACE"/>
    <w:rsid w:val="002D4F4B"/>
    <w:rsid w:val="002D51F7"/>
    <w:rsid w:val="002D52A2"/>
    <w:rsid w:val="002D5417"/>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709"/>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E7E40"/>
    <w:rsid w:val="002E7EFB"/>
    <w:rsid w:val="002F0740"/>
    <w:rsid w:val="002F0C82"/>
    <w:rsid w:val="002F0E65"/>
    <w:rsid w:val="002F18E7"/>
    <w:rsid w:val="002F1A28"/>
    <w:rsid w:val="002F1A7D"/>
    <w:rsid w:val="002F21D6"/>
    <w:rsid w:val="002F267C"/>
    <w:rsid w:val="002F274B"/>
    <w:rsid w:val="002F281F"/>
    <w:rsid w:val="002F2934"/>
    <w:rsid w:val="002F29AD"/>
    <w:rsid w:val="002F3A15"/>
    <w:rsid w:val="002F3B0F"/>
    <w:rsid w:val="002F3EDF"/>
    <w:rsid w:val="002F3F8B"/>
    <w:rsid w:val="002F45BC"/>
    <w:rsid w:val="002F4881"/>
    <w:rsid w:val="002F5860"/>
    <w:rsid w:val="002F59FA"/>
    <w:rsid w:val="002F5CE4"/>
    <w:rsid w:val="002F5D4A"/>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25D"/>
    <w:rsid w:val="00306604"/>
    <w:rsid w:val="00306BCD"/>
    <w:rsid w:val="00306C40"/>
    <w:rsid w:val="00306E5B"/>
    <w:rsid w:val="0030772C"/>
    <w:rsid w:val="003103D9"/>
    <w:rsid w:val="0031045D"/>
    <w:rsid w:val="003109E6"/>
    <w:rsid w:val="00310EF9"/>
    <w:rsid w:val="003115D4"/>
    <w:rsid w:val="0031165B"/>
    <w:rsid w:val="0031182B"/>
    <w:rsid w:val="003123CB"/>
    <w:rsid w:val="00312796"/>
    <w:rsid w:val="00312CD1"/>
    <w:rsid w:val="0031305F"/>
    <w:rsid w:val="00313499"/>
    <w:rsid w:val="003135C7"/>
    <w:rsid w:val="003135FC"/>
    <w:rsid w:val="0031361A"/>
    <w:rsid w:val="0031406E"/>
    <w:rsid w:val="00314435"/>
    <w:rsid w:val="00314A51"/>
    <w:rsid w:val="00315203"/>
    <w:rsid w:val="003154CE"/>
    <w:rsid w:val="00315FA4"/>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62F"/>
    <w:rsid w:val="00331A1A"/>
    <w:rsid w:val="00331D23"/>
    <w:rsid w:val="0033214C"/>
    <w:rsid w:val="003326B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37C03"/>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4B4"/>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89C"/>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9EC"/>
    <w:rsid w:val="00380A53"/>
    <w:rsid w:val="003815E1"/>
    <w:rsid w:val="00381AAA"/>
    <w:rsid w:val="00382A1D"/>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6E99"/>
    <w:rsid w:val="0038708D"/>
    <w:rsid w:val="0038767F"/>
    <w:rsid w:val="00387F51"/>
    <w:rsid w:val="0039043D"/>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9A7"/>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3728"/>
    <w:rsid w:val="003B3B43"/>
    <w:rsid w:val="003B40CF"/>
    <w:rsid w:val="003B443B"/>
    <w:rsid w:val="003B4C16"/>
    <w:rsid w:val="003B53A5"/>
    <w:rsid w:val="003B5491"/>
    <w:rsid w:val="003B5504"/>
    <w:rsid w:val="003B5716"/>
    <w:rsid w:val="003B59E4"/>
    <w:rsid w:val="003B5C9D"/>
    <w:rsid w:val="003B63CF"/>
    <w:rsid w:val="003B695F"/>
    <w:rsid w:val="003B6CEB"/>
    <w:rsid w:val="003B6D31"/>
    <w:rsid w:val="003B7AA0"/>
    <w:rsid w:val="003C0396"/>
    <w:rsid w:val="003C04E5"/>
    <w:rsid w:val="003C0544"/>
    <w:rsid w:val="003C0AF5"/>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44B"/>
    <w:rsid w:val="003D0C34"/>
    <w:rsid w:val="003D1122"/>
    <w:rsid w:val="003D13F4"/>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D49"/>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5EE8"/>
    <w:rsid w:val="00426161"/>
    <w:rsid w:val="00426951"/>
    <w:rsid w:val="0042713B"/>
    <w:rsid w:val="00427152"/>
    <w:rsid w:val="004273FD"/>
    <w:rsid w:val="0043077C"/>
    <w:rsid w:val="00430DA8"/>
    <w:rsid w:val="004313CD"/>
    <w:rsid w:val="00431594"/>
    <w:rsid w:val="0043163B"/>
    <w:rsid w:val="004317E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9C3"/>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09B"/>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DF2"/>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3C7B"/>
    <w:rsid w:val="004A40F2"/>
    <w:rsid w:val="004A45F9"/>
    <w:rsid w:val="004A47A3"/>
    <w:rsid w:val="004A4A3B"/>
    <w:rsid w:val="004A4D86"/>
    <w:rsid w:val="004A506A"/>
    <w:rsid w:val="004A57FA"/>
    <w:rsid w:val="004A5B27"/>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12E"/>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1BF"/>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2DB"/>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5DB"/>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750"/>
    <w:rsid w:val="005313A1"/>
    <w:rsid w:val="005314EA"/>
    <w:rsid w:val="005319F2"/>
    <w:rsid w:val="00531D6E"/>
    <w:rsid w:val="0053206A"/>
    <w:rsid w:val="00532191"/>
    <w:rsid w:val="005321B3"/>
    <w:rsid w:val="00532293"/>
    <w:rsid w:val="005323A3"/>
    <w:rsid w:val="0053259D"/>
    <w:rsid w:val="00532734"/>
    <w:rsid w:val="00532840"/>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5482"/>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A3"/>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4DF3"/>
    <w:rsid w:val="005E5E31"/>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935"/>
    <w:rsid w:val="005F64B7"/>
    <w:rsid w:val="005F68DF"/>
    <w:rsid w:val="005F6AA0"/>
    <w:rsid w:val="00600A8E"/>
    <w:rsid w:val="00601150"/>
    <w:rsid w:val="006011C5"/>
    <w:rsid w:val="00601329"/>
    <w:rsid w:val="006017E2"/>
    <w:rsid w:val="00602A6F"/>
    <w:rsid w:val="006044B8"/>
    <w:rsid w:val="00604940"/>
    <w:rsid w:val="00604AE6"/>
    <w:rsid w:val="00604CE9"/>
    <w:rsid w:val="006053EB"/>
    <w:rsid w:val="00605746"/>
    <w:rsid w:val="00605BE2"/>
    <w:rsid w:val="0060628C"/>
    <w:rsid w:val="0060635C"/>
    <w:rsid w:val="006064F4"/>
    <w:rsid w:val="00606759"/>
    <w:rsid w:val="006079D6"/>
    <w:rsid w:val="00607B93"/>
    <w:rsid w:val="00610C11"/>
    <w:rsid w:val="00611280"/>
    <w:rsid w:val="00611408"/>
    <w:rsid w:val="00611B99"/>
    <w:rsid w:val="00611C39"/>
    <w:rsid w:val="00611C73"/>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17D9"/>
    <w:rsid w:val="0062208D"/>
    <w:rsid w:val="00622581"/>
    <w:rsid w:val="00622C67"/>
    <w:rsid w:val="00622FD8"/>
    <w:rsid w:val="006238C9"/>
    <w:rsid w:val="00623A65"/>
    <w:rsid w:val="00623C2A"/>
    <w:rsid w:val="00623D81"/>
    <w:rsid w:val="00623DFD"/>
    <w:rsid w:val="00623E0D"/>
    <w:rsid w:val="0062454D"/>
    <w:rsid w:val="00624864"/>
    <w:rsid w:val="00624FE2"/>
    <w:rsid w:val="006253A5"/>
    <w:rsid w:val="00625D6F"/>
    <w:rsid w:val="00625FD4"/>
    <w:rsid w:val="0062602A"/>
    <w:rsid w:val="0062608C"/>
    <w:rsid w:val="0062615E"/>
    <w:rsid w:val="0062645E"/>
    <w:rsid w:val="006269D2"/>
    <w:rsid w:val="00626D7E"/>
    <w:rsid w:val="006270D4"/>
    <w:rsid w:val="006271B3"/>
    <w:rsid w:val="006271E1"/>
    <w:rsid w:val="006271FC"/>
    <w:rsid w:val="006272AC"/>
    <w:rsid w:val="006279F0"/>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A74"/>
    <w:rsid w:val="00635E0E"/>
    <w:rsid w:val="00636140"/>
    <w:rsid w:val="00637B99"/>
    <w:rsid w:val="00637D80"/>
    <w:rsid w:val="00640222"/>
    <w:rsid w:val="006404C5"/>
    <w:rsid w:val="00640727"/>
    <w:rsid w:val="00640AF2"/>
    <w:rsid w:val="00640D38"/>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DC1"/>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6EB"/>
    <w:rsid w:val="006677FD"/>
    <w:rsid w:val="006679BC"/>
    <w:rsid w:val="00667C46"/>
    <w:rsid w:val="00667C5C"/>
    <w:rsid w:val="00670240"/>
    <w:rsid w:val="00670A10"/>
    <w:rsid w:val="00670CC2"/>
    <w:rsid w:val="00670FB6"/>
    <w:rsid w:val="006711CB"/>
    <w:rsid w:val="0067124E"/>
    <w:rsid w:val="00671B0E"/>
    <w:rsid w:val="00671DC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084"/>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755"/>
    <w:rsid w:val="00707F2D"/>
    <w:rsid w:val="00710016"/>
    <w:rsid w:val="00710255"/>
    <w:rsid w:val="007105AC"/>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EDD"/>
    <w:rsid w:val="007431A4"/>
    <w:rsid w:val="00743DF2"/>
    <w:rsid w:val="00743F63"/>
    <w:rsid w:val="00744446"/>
    <w:rsid w:val="00744BA4"/>
    <w:rsid w:val="00745354"/>
    <w:rsid w:val="007458B3"/>
    <w:rsid w:val="00745C77"/>
    <w:rsid w:val="007465F0"/>
    <w:rsid w:val="00746708"/>
    <w:rsid w:val="00747069"/>
    <w:rsid w:val="00747261"/>
    <w:rsid w:val="00747331"/>
    <w:rsid w:val="0074751D"/>
    <w:rsid w:val="00747F64"/>
    <w:rsid w:val="0075030F"/>
    <w:rsid w:val="00750D6F"/>
    <w:rsid w:val="00750F1A"/>
    <w:rsid w:val="00751099"/>
    <w:rsid w:val="00751237"/>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0"/>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A4C"/>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58"/>
    <w:rsid w:val="00777DC5"/>
    <w:rsid w:val="00777EF8"/>
    <w:rsid w:val="00777F9D"/>
    <w:rsid w:val="00780B64"/>
    <w:rsid w:val="00780BA2"/>
    <w:rsid w:val="007811A7"/>
    <w:rsid w:val="007816F6"/>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6260"/>
    <w:rsid w:val="0078687F"/>
    <w:rsid w:val="00786F16"/>
    <w:rsid w:val="00787662"/>
    <w:rsid w:val="007909DA"/>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7D"/>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F9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0D0"/>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2EF7"/>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41F"/>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51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B74"/>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4180"/>
    <w:rsid w:val="008950DB"/>
    <w:rsid w:val="00895B09"/>
    <w:rsid w:val="00895D8A"/>
    <w:rsid w:val="00895E48"/>
    <w:rsid w:val="00896CB2"/>
    <w:rsid w:val="00897492"/>
    <w:rsid w:val="008978A4"/>
    <w:rsid w:val="00897AB9"/>
    <w:rsid w:val="00897D7B"/>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94B"/>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69B"/>
    <w:rsid w:val="008D68C3"/>
    <w:rsid w:val="008D7678"/>
    <w:rsid w:val="008D773B"/>
    <w:rsid w:val="008D7748"/>
    <w:rsid w:val="008D7D66"/>
    <w:rsid w:val="008D7EDA"/>
    <w:rsid w:val="008D7F42"/>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BEE"/>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16E"/>
    <w:rsid w:val="0092349F"/>
    <w:rsid w:val="00923640"/>
    <w:rsid w:val="00923749"/>
    <w:rsid w:val="00923900"/>
    <w:rsid w:val="00923A53"/>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D1E"/>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AF6"/>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7D7"/>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86A"/>
    <w:rsid w:val="009A294A"/>
    <w:rsid w:val="009A30EF"/>
    <w:rsid w:val="009A3CAE"/>
    <w:rsid w:val="009A412B"/>
    <w:rsid w:val="009A415B"/>
    <w:rsid w:val="009A5A47"/>
    <w:rsid w:val="009A60AC"/>
    <w:rsid w:val="009A662F"/>
    <w:rsid w:val="009A6A7F"/>
    <w:rsid w:val="009A6EB9"/>
    <w:rsid w:val="009A70E5"/>
    <w:rsid w:val="009A71CE"/>
    <w:rsid w:val="009A729F"/>
    <w:rsid w:val="009A7391"/>
    <w:rsid w:val="009A7793"/>
    <w:rsid w:val="009A7EC9"/>
    <w:rsid w:val="009B08AA"/>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A27"/>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10"/>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559"/>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0BE"/>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458"/>
    <w:rsid w:val="00A127A4"/>
    <w:rsid w:val="00A1302E"/>
    <w:rsid w:val="00A13637"/>
    <w:rsid w:val="00A136C3"/>
    <w:rsid w:val="00A13741"/>
    <w:rsid w:val="00A1375F"/>
    <w:rsid w:val="00A1377C"/>
    <w:rsid w:val="00A139D8"/>
    <w:rsid w:val="00A1493B"/>
    <w:rsid w:val="00A14A4E"/>
    <w:rsid w:val="00A14ED8"/>
    <w:rsid w:val="00A15EA4"/>
    <w:rsid w:val="00A166EE"/>
    <w:rsid w:val="00A16898"/>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12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B5D"/>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822"/>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D7D51"/>
    <w:rsid w:val="00AE0023"/>
    <w:rsid w:val="00AE0492"/>
    <w:rsid w:val="00AE07B5"/>
    <w:rsid w:val="00AE0C17"/>
    <w:rsid w:val="00AE18D5"/>
    <w:rsid w:val="00AE26E7"/>
    <w:rsid w:val="00AE27B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0F18"/>
    <w:rsid w:val="00AF1159"/>
    <w:rsid w:val="00AF156F"/>
    <w:rsid w:val="00AF1B03"/>
    <w:rsid w:val="00AF227C"/>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DF3"/>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364"/>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4FC2"/>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C7F66"/>
    <w:rsid w:val="00BD0233"/>
    <w:rsid w:val="00BD0542"/>
    <w:rsid w:val="00BD05CA"/>
    <w:rsid w:val="00BD0F19"/>
    <w:rsid w:val="00BD13F2"/>
    <w:rsid w:val="00BD1E82"/>
    <w:rsid w:val="00BD23E1"/>
    <w:rsid w:val="00BD2733"/>
    <w:rsid w:val="00BD2AE7"/>
    <w:rsid w:val="00BD2F1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5AF0"/>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8ED"/>
    <w:rsid w:val="00C24971"/>
    <w:rsid w:val="00C252A2"/>
    <w:rsid w:val="00C25439"/>
    <w:rsid w:val="00C25553"/>
    <w:rsid w:val="00C255DF"/>
    <w:rsid w:val="00C25E60"/>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A8C"/>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22E"/>
    <w:rsid w:val="00C4548E"/>
    <w:rsid w:val="00C45C4C"/>
    <w:rsid w:val="00C4630A"/>
    <w:rsid w:val="00C469EC"/>
    <w:rsid w:val="00C46F8B"/>
    <w:rsid w:val="00C4700C"/>
    <w:rsid w:val="00C507F4"/>
    <w:rsid w:val="00C50F4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825"/>
    <w:rsid w:val="00C66C21"/>
    <w:rsid w:val="00C671F7"/>
    <w:rsid w:val="00C673CF"/>
    <w:rsid w:val="00C677E6"/>
    <w:rsid w:val="00C67A90"/>
    <w:rsid w:val="00C70810"/>
    <w:rsid w:val="00C70FB7"/>
    <w:rsid w:val="00C71373"/>
    <w:rsid w:val="00C71401"/>
    <w:rsid w:val="00C71888"/>
    <w:rsid w:val="00C71EAF"/>
    <w:rsid w:val="00C7220B"/>
    <w:rsid w:val="00C724A7"/>
    <w:rsid w:val="00C7267B"/>
    <w:rsid w:val="00C72785"/>
    <w:rsid w:val="00C72FC7"/>
    <w:rsid w:val="00C73084"/>
    <w:rsid w:val="00C733DB"/>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6BA"/>
    <w:rsid w:val="00CA0E4C"/>
    <w:rsid w:val="00CA0FD7"/>
    <w:rsid w:val="00CA0FFF"/>
    <w:rsid w:val="00CA1AF4"/>
    <w:rsid w:val="00CA217B"/>
    <w:rsid w:val="00CA2D09"/>
    <w:rsid w:val="00CA2D89"/>
    <w:rsid w:val="00CA328C"/>
    <w:rsid w:val="00CA40D9"/>
    <w:rsid w:val="00CA421E"/>
    <w:rsid w:val="00CA4AE4"/>
    <w:rsid w:val="00CA4FFF"/>
    <w:rsid w:val="00CA538C"/>
    <w:rsid w:val="00CA5656"/>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00"/>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4BB2"/>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9DF"/>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57E6"/>
    <w:rsid w:val="00D36AD2"/>
    <w:rsid w:val="00D36B6B"/>
    <w:rsid w:val="00D36C25"/>
    <w:rsid w:val="00D36CAC"/>
    <w:rsid w:val="00D371D0"/>
    <w:rsid w:val="00D37519"/>
    <w:rsid w:val="00D375BF"/>
    <w:rsid w:val="00D37DF9"/>
    <w:rsid w:val="00D400A6"/>
    <w:rsid w:val="00D4064B"/>
    <w:rsid w:val="00D41106"/>
    <w:rsid w:val="00D41270"/>
    <w:rsid w:val="00D41507"/>
    <w:rsid w:val="00D418F0"/>
    <w:rsid w:val="00D41C8E"/>
    <w:rsid w:val="00D41D47"/>
    <w:rsid w:val="00D41FC6"/>
    <w:rsid w:val="00D422A1"/>
    <w:rsid w:val="00D43343"/>
    <w:rsid w:val="00D437C2"/>
    <w:rsid w:val="00D43A22"/>
    <w:rsid w:val="00D43DD3"/>
    <w:rsid w:val="00D440CC"/>
    <w:rsid w:val="00D44420"/>
    <w:rsid w:val="00D44655"/>
    <w:rsid w:val="00D446DF"/>
    <w:rsid w:val="00D4474E"/>
    <w:rsid w:val="00D44C70"/>
    <w:rsid w:val="00D44C9E"/>
    <w:rsid w:val="00D4518A"/>
    <w:rsid w:val="00D4568D"/>
    <w:rsid w:val="00D457D4"/>
    <w:rsid w:val="00D4624B"/>
    <w:rsid w:val="00D46933"/>
    <w:rsid w:val="00D4694F"/>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52A"/>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C13"/>
    <w:rsid w:val="00D812BF"/>
    <w:rsid w:val="00D8180F"/>
    <w:rsid w:val="00D818DD"/>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B35"/>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1F60"/>
    <w:rsid w:val="00DB20B1"/>
    <w:rsid w:val="00DB26B9"/>
    <w:rsid w:val="00DB2967"/>
    <w:rsid w:val="00DB29D7"/>
    <w:rsid w:val="00DB2A2C"/>
    <w:rsid w:val="00DB2C3C"/>
    <w:rsid w:val="00DB2C8A"/>
    <w:rsid w:val="00DB33F8"/>
    <w:rsid w:val="00DB38FF"/>
    <w:rsid w:val="00DB3DDC"/>
    <w:rsid w:val="00DB4197"/>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0D82"/>
    <w:rsid w:val="00DD1658"/>
    <w:rsid w:val="00DD1CC3"/>
    <w:rsid w:val="00DD1F1E"/>
    <w:rsid w:val="00DD242C"/>
    <w:rsid w:val="00DD243F"/>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1F"/>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2F95"/>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63E"/>
    <w:rsid w:val="00E8666F"/>
    <w:rsid w:val="00E86DB5"/>
    <w:rsid w:val="00E86E4F"/>
    <w:rsid w:val="00E87645"/>
    <w:rsid w:val="00E87716"/>
    <w:rsid w:val="00E9151F"/>
    <w:rsid w:val="00E91588"/>
    <w:rsid w:val="00E915CC"/>
    <w:rsid w:val="00E91D9A"/>
    <w:rsid w:val="00E9246E"/>
    <w:rsid w:val="00E92478"/>
    <w:rsid w:val="00E92585"/>
    <w:rsid w:val="00E925FB"/>
    <w:rsid w:val="00E926F7"/>
    <w:rsid w:val="00E92A98"/>
    <w:rsid w:val="00E9369B"/>
    <w:rsid w:val="00E947D0"/>
    <w:rsid w:val="00E94F26"/>
    <w:rsid w:val="00E95834"/>
    <w:rsid w:val="00E958A5"/>
    <w:rsid w:val="00E96289"/>
    <w:rsid w:val="00E96568"/>
    <w:rsid w:val="00E96AC5"/>
    <w:rsid w:val="00E96BE8"/>
    <w:rsid w:val="00E96CAA"/>
    <w:rsid w:val="00E96CDD"/>
    <w:rsid w:val="00E96EA4"/>
    <w:rsid w:val="00E96FB6"/>
    <w:rsid w:val="00EA0038"/>
    <w:rsid w:val="00EA0399"/>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A734A"/>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B00"/>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2BD0"/>
    <w:rsid w:val="00F130EE"/>
    <w:rsid w:val="00F13D3C"/>
    <w:rsid w:val="00F13E79"/>
    <w:rsid w:val="00F147AC"/>
    <w:rsid w:val="00F14D7D"/>
    <w:rsid w:val="00F15864"/>
    <w:rsid w:val="00F15FC2"/>
    <w:rsid w:val="00F15FED"/>
    <w:rsid w:val="00F1614C"/>
    <w:rsid w:val="00F164F8"/>
    <w:rsid w:val="00F16ADE"/>
    <w:rsid w:val="00F17345"/>
    <w:rsid w:val="00F17393"/>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3AB"/>
    <w:rsid w:val="00F33560"/>
    <w:rsid w:val="00F337A2"/>
    <w:rsid w:val="00F33C10"/>
    <w:rsid w:val="00F33F82"/>
    <w:rsid w:val="00F3460E"/>
    <w:rsid w:val="00F35168"/>
    <w:rsid w:val="00F35F20"/>
    <w:rsid w:val="00F369F8"/>
    <w:rsid w:val="00F37092"/>
    <w:rsid w:val="00F3712D"/>
    <w:rsid w:val="00F37384"/>
    <w:rsid w:val="00F37C44"/>
    <w:rsid w:val="00F40701"/>
    <w:rsid w:val="00F407CB"/>
    <w:rsid w:val="00F408A1"/>
    <w:rsid w:val="00F408E3"/>
    <w:rsid w:val="00F40912"/>
    <w:rsid w:val="00F413DE"/>
    <w:rsid w:val="00F41795"/>
    <w:rsid w:val="00F41917"/>
    <w:rsid w:val="00F43222"/>
    <w:rsid w:val="00F43858"/>
    <w:rsid w:val="00F43AE7"/>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43C"/>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B55"/>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690"/>
    <w:rsid w:val="00FA06CA"/>
    <w:rsid w:val="00FA083B"/>
    <w:rsid w:val="00FA0B0A"/>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43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13"/>
      </w:numPr>
    </w:pPr>
  </w:style>
  <w:style w:type="numbering" w:customStyle="1" w:styleId="Estiloimportado14">
    <w:name w:val="Estilo importado 14"/>
    <w:rsid w:val="007061E4"/>
    <w:pPr>
      <w:numPr>
        <w:numId w:val="14"/>
      </w:numPr>
    </w:pPr>
  </w:style>
  <w:style w:type="numbering" w:customStyle="1" w:styleId="Estiloimportado22">
    <w:name w:val="Estilo importado 22"/>
    <w:rsid w:val="007061E4"/>
    <w:pPr>
      <w:numPr>
        <w:numId w:val="15"/>
      </w:numPr>
    </w:pPr>
  </w:style>
  <w:style w:type="numbering" w:customStyle="1" w:styleId="Estiloimportado212">
    <w:name w:val="Estilo importado 212"/>
    <w:rsid w:val="007061E4"/>
    <w:pPr>
      <w:numPr>
        <w:numId w:val="16"/>
      </w:numPr>
    </w:pPr>
  </w:style>
  <w:style w:type="numbering" w:customStyle="1" w:styleId="Estiloimportado24">
    <w:name w:val="Estilo importado 24"/>
    <w:rsid w:val="007061E4"/>
    <w:pPr>
      <w:numPr>
        <w:numId w:val="17"/>
      </w:numPr>
    </w:pPr>
  </w:style>
  <w:style w:type="numbering" w:customStyle="1" w:styleId="Estiloimportado112">
    <w:name w:val="Estilo importado 112"/>
    <w:rsid w:val="007061E4"/>
    <w:pPr>
      <w:numPr>
        <w:numId w:val="1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paragraph" w:styleId="Listaconvietas3">
    <w:name w:val="List Bullet 3"/>
    <w:basedOn w:val="Normal"/>
    <w:uiPriority w:val="99"/>
    <w:unhideWhenUsed/>
    <w:rsid w:val="00E01B1F"/>
    <w:pPr>
      <w:numPr>
        <w:numId w:val="37"/>
      </w:numPr>
      <w:contextualSpacing/>
    </w:pPr>
    <w:rPr>
      <w:lang w:eastAsia="es-MX"/>
    </w:rPr>
  </w:style>
  <w:style w:type="character" w:customStyle="1" w:styleId="Mencinsinresolver12">
    <w:name w:val="Mención sin resolver12"/>
    <w:basedOn w:val="Fuentedeprrafopredeter"/>
    <w:uiPriority w:val="99"/>
    <w:semiHidden/>
    <w:unhideWhenUsed/>
    <w:rsid w:val="00660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7822883">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4732447">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119718">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188151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6704235">
      <w:bodyDiv w:val="1"/>
      <w:marLeft w:val="0"/>
      <w:marRight w:val="0"/>
      <w:marTop w:val="0"/>
      <w:marBottom w:val="0"/>
      <w:divBdr>
        <w:top w:val="none" w:sz="0" w:space="0" w:color="auto"/>
        <w:left w:val="none" w:sz="0" w:space="0" w:color="auto"/>
        <w:bottom w:val="none" w:sz="0" w:space="0" w:color="auto"/>
        <w:right w:val="none" w:sz="0" w:space="0" w:color="auto"/>
      </w:divBdr>
    </w:div>
    <w:div w:id="47391197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992994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683508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333971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5919677">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4413609">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6630641">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238821">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679208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3350783">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4717920">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5047198">
      <w:bodyDiv w:val="1"/>
      <w:marLeft w:val="0"/>
      <w:marRight w:val="0"/>
      <w:marTop w:val="0"/>
      <w:marBottom w:val="0"/>
      <w:divBdr>
        <w:top w:val="none" w:sz="0" w:space="0" w:color="auto"/>
        <w:left w:val="none" w:sz="0" w:space="0" w:color="auto"/>
        <w:bottom w:val="none" w:sz="0" w:space="0" w:color="auto"/>
        <w:right w:val="none" w:sz="0" w:space="0" w:color="auto"/>
      </w:divBdr>
      <w:divsChild>
        <w:div w:id="2106606926">
          <w:marLeft w:val="0"/>
          <w:marRight w:val="0"/>
          <w:marTop w:val="0"/>
          <w:marBottom w:val="0"/>
          <w:divBdr>
            <w:top w:val="none" w:sz="0" w:space="0" w:color="auto"/>
            <w:left w:val="none" w:sz="0" w:space="0" w:color="auto"/>
            <w:bottom w:val="none" w:sz="0" w:space="0" w:color="auto"/>
            <w:right w:val="none" w:sz="0" w:space="0" w:color="auto"/>
          </w:divBdr>
          <w:divsChild>
            <w:div w:id="1395473300">
              <w:marLeft w:val="0"/>
              <w:marRight w:val="0"/>
              <w:marTop w:val="0"/>
              <w:marBottom w:val="0"/>
              <w:divBdr>
                <w:top w:val="none" w:sz="0" w:space="0" w:color="auto"/>
                <w:left w:val="none" w:sz="0" w:space="0" w:color="auto"/>
                <w:bottom w:val="none" w:sz="0" w:space="0" w:color="auto"/>
                <w:right w:val="none" w:sz="0" w:space="0" w:color="auto"/>
              </w:divBdr>
            </w:div>
            <w:div w:id="1099444313">
              <w:marLeft w:val="0"/>
              <w:marRight w:val="0"/>
              <w:marTop w:val="0"/>
              <w:marBottom w:val="0"/>
              <w:divBdr>
                <w:top w:val="none" w:sz="0" w:space="0" w:color="auto"/>
                <w:left w:val="none" w:sz="0" w:space="0" w:color="auto"/>
                <w:bottom w:val="none" w:sz="0" w:space="0" w:color="auto"/>
                <w:right w:val="none" w:sz="0" w:space="0" w:color="auto"/>
              </w:divBdr>
            </w:div>
            <w:div w:id="1574317318">
              <w:marLeft w:val="0"/>
              <w:marRight w:val="0"/>
              <w:marTop w:val="0"/>
              <w:marBottom w:val="0"/>
              <w:divBdr>
                <w:top w:val="none" w:sz="0" w:space="0" w:color="auto"/>
                <w:left w:val="none" w:sz="0" w:space="0" w:color="auto"/>
                <w:bottom w:val="none" w:sz="0" w:space="0" w:color="auto"/>
                <w:right w:val="none" w:sz="0" w:space="0" w:color="auto"/>
              </w:divBdr>
            </w:div>
            <w:div w:id="1485900471">
              <w:marLeft w:val="0"/>
              <w:marRight w:val="0"/>
              <w:marTop w:val="0"/>
              <w:marBottom w:val="0"/>
              <w:divBdr>
                <w:top w:val="none" w:sz="0" w:space="0" w:color="auto"/>
                <w:left w:val="none" w:sz="0" w:space="0" w:color="auto"/>
                <w:bottom w:val="none" w:sz="0" w:space="0" w:color="auto"/>
                <w:right w:val="none" w:sz="0" w:space="0" w:color="auto"/>
              </w:divBdr>
            </w:div>
            <w:div w:id="386538310">
              <w:marLeft w:val="0"/>
              <w:marRight w:val="0"/>
              <w:marTop w:val="0"/>
              <w:marBottom w:val="0"/>
              <w:divBdr>
                <w:top w:val="none" w:sz="0" w:space="0" w:color="auto"/>
                <w:left w:val="none" w:sz="0" w:space="0" w:color="auto"/>
                <w:bottom w:val="none" w:sz="0" w:space="0" w:color="auto"/>
                <w:right w:val="none" w:sz="0" w:space="0" w:color="auto"/>
              </w:divBdr>
            </w:div>
            <w:div w:id="16771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232564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7821172">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3201320">
      <w:bodyDiv w:val="1"/>
      <w:marLeft w:val="0"/>
      <w:marRight w:val="0"/>
      <w:marTop w:val="0"/>
      <w:marBottom w:val="0"/>
      <w:divBdr>
        <w:top w:val="none" w:sz="0" w:space="0" w:color="auto"/>
        <w:left w:val="none" w:sz="0" w:space="0" w:color="auto"/>
        <w:bottom w:val="none" w:sz="0" w:space="0" w:color="auto"/>
        <w:right w:val="none" w:sz="0" w:space="0" w:color="auto"/>
      </w:divBdr>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8235122">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fiscal.edomex.gob.mx/sites/transparenciafiscal.edomex.gob.mx/files/files/pdf/rendicion-cuentas/cuenta-publica-2019/Libro01-2019.pdf"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025A1-7012-486B-A0E9-3566BD533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70</Pages>
  <Words>16977</Words>
  <Characters>93379</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2023-08-31T17:56:00Z</cp:lastPrinted>
  <dcterms:created xsi:type="dcterms:W3CDTF">2023-08-24T20:49:00Z</dcterms:created>
  <dcterms:modified xsi:type="dcterms:W3CDTF">2023-09-07T22:24:00Z</dcterms:modified>
</cp:coreProperties>
</file>