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D97CE"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5602D5">
        <w:rPr>
          <w:rFonts w:ascii="Palatino Linotype" w:eastAsia="Palatino Linotype" w:hAnsi="Palatino Linotype" w:cs="Palatino Linotype"/>
        </w:rPr>
        <w:t>c</w:t>
      </w:r>
      <w:r w:rsidR="00726D70">
        <w:rPr>
          <w:rFonts w:ascii="Palatino Linotype" w:eastAsia="Palatino Linotype" w:hAnsi="Palatino Linotype" w:cs="Palatino Linotype"/>
        </w:rPr>
        <w:t>, Estado de México, a veintidós</w:t>
      </w:r>
      <w:r>
        <w:rPr>
          <w:rFonts w:ascii="Palatino Linotype" w:eastAsia="Palatino Linotype" w:hAnsi="Palatino Linotype" w:cs="Palatino Linotype"/>
        </w:rPr>
        <w:t xml:space="preserve"> de </w:t>
      </w:r>
      <w:r w:rsidR="00910C48">
        <w:rPr>
          <w:rFonts w:ascii="Palatino Linotype" w:eastAsia="Palatino Linotype" w:hAnsi="Palatino Linotype" w:cs="Palatino Linotype"/>
        </w:rPr>
        <w:t>marzo de dos mil veintitrés</w:t>
      </w:r>
      <w:r>
        <w:rPr>
          <w:rFonts w:ascii="Palatino Linotype" w:eastAsia="Palatino Linotype" w:hAnsi="Palatino Linotype" w:cs="Palatino Linotype"/>
        </w:rPr>
        <w:t xml:space="preserve">. </w:t>
      </w:r>
    </w:p>
    <w:p w14:paraId="68E5903A" w14:textId="6BFFDF10"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910C48">
        <w:rPr>
          <w:rFonts w:ascii="Palatino Linotype" w:eastAsia="Palatino Linotype" w:hAnsi="Palatino Linotype" w:cs="Palatino Linotype"/>
          <w:b/>
        </w:rPr>
        <w:t>12214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103EC4">
        <w:rPr>
          <w:rFonts w:ascii="Palatino Linotype" w:eastAsia="Palatino Linotype" w:hAnsi="Palatino Linotype" w:cs="Palatino Linotype"/>
          <w:b/>
        </w:rPr>
        <w:t>XXXXX XXXXXX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su solicitud por parte del </w:t>
      </w:r>
      <w:r>
        <w:rPr>
          <w:rFonts w:ascii="Palatino Linotype" w:eastAsia="Palatino Linotype" w:hAnsi="Palatino Linotype" w:cs="Palatino Linotype"/>
          <w:b/>
        </w:rPr>
        <w:t xml:space="preserve">Ayuntamiento de </w:t>
      </w:r>
      <w:r w:rsidR="00910C48">
        <w:rPr>
          <w:rFonts w:ascii="Palatino Linotype" w:eastAsia="Palatino Linotype" w:hAnsi="Palatino Linotype" w:cs="Palatino Linotype"/>
          <w:b/>
        </w:rPr>
        <w:t>Ecatepec de Morelos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49DAEB78" w14:textId="77777777" w:rsidR="00F83EF1" w:rsidRDefault="004A73E3" w:rsidP="00E56DB7">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6E8831BC"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910C48">
        <w:rPr>
          <w:rFonts w:ascii="Palatino Linotype" w:eastAsia="Palatino Linotype" w:hAnsi="Palatino Linotype" w:cs="Palatino Linotype"/>
          <w:b/>
        </w:rPr>
        <w:t>veintisiete</w:t>
      </w:r>
      <w:r>
        <w:rPr>
          <w:rFonts w:ascii="Palatino Linotype" w:eastAsia="Palatino Linotype" w:hAnsi="Palatino Linotype" w:cs="Palatino Linotype"/>
          <w:b/>
        </w:rPr>
        <w:t xml:space="preserve"> de </w:t>
      </w:r>
      <w:r w:rsidR="00910C48">
        <w:rPr>
          <w:rFonts w:ascii="Palatino Linotype" w:eastAsia="Palatino Linotype" w:hAnsi="Palatino Linotype" w:cs="Palatino Linotype"/>
          <w:b/>
        </w:rPr>
        <w:t>mayo</w:t>
      </w:r>
      <w:r>
        <w:rPr>
          <w:rFonts w:ascii="Palatino Linotype" w:eastAsia="Palatino Linotype" w:hAnsi="Palatino Linotype" w:cs="Palatino Linotype"/>
          <w:b/>
        </w:rPr>
        <w:t xml:space="preserve"> dos mil veintidós,</w:t>
      </w:r>
      <w:r>
        <w:rPr>
          <w:rFonts w:ascii="Palatino Linotype" w:eastAsia="Palatino Linotype" w:hAnsi="Palatino Linotype" w:cs="Palatino Linotype"/>
        </w:rPr>
        <w:t xml:space="preserve"> la persona solicitante 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w:t>
      </w:r>
      <w:r w:rsidR="00910C48">
        <w:rPr>
          <w:rFonts w:ascii="Palatino Linotype" w:eastAsia="Palatino Linotype" w:hAnsi="Palatino Linotype" w:cs="Palatino Linotype"/>
          <w:b/>
        </w:rPr>
        <w:t>592</w:t>
      </w:r>
      <w:r>
        <w:rPr>
          <w:rFonts w:ascii="Palatino Linotype" w:eastAsia="Palatino Linotype" w:hAnsi="Palatino Linotype" w:cs="Palatino Linotype"/>
          <w:b/>
        </w:rPr>
        <w:t>/</w:t>
      </w:r>
      <w:r w:rsidR="00910C48">
        <w:rPr>
          <w:rFonts w:ascii="Palatino Linotype" w:eastAsia="Palatino Linotype" w:hAnsi="Palatino Linotype" w:cs="Palatino Linotype"/>
          <w:b/>
        </w:rPr>
        <w:t>ECATEPEC</w:t>
      </w:r>
      <w:r>
        <w:rPr>
          <w:rFonts w:ascii="Palatino Linotype" w:eastAsia="Palatino Linotype" w:hAnsi="Palatino Linotype" w:cs="Palatino Linotype"/>
          <w:b/>
        </w:rPr>
        <w:t xml:space="preserve">/IP/2022, </w:t>
      </w:r>
      <w:r>
        <w:rPr>
          <w:rFonts w:ascii="Palatino Linotype" w:eastAsia="Palatino Linotype" w:hAnsi="Palatino Linotype" w:cs="Palatino Linotype"/>
        </w:rPr>
        <w:t xml:space="preserve">mediante la cual requirió la información siguiente: </w:t>
      </w:r>
    </w:p>
    <w:p w14:paraId="79E8DCA6" w14:textId="77777777" w:rsidR="00F83EF1" w:rsidRDefault="004A73E3" w:rsidP="00E56D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w:t>
      </w:r>
      <w:r w:rsidR="00910C48" w:rsidRPr="00910C48">
        <w:rPr>
          <w:rFonts w:ascii="Palatino Linotype" w:eastAsia="Palatino Linotype" w:hAnsi="Palatino Linotype" w:cs="Palatino Linotype"/>
          <w:i/>
          <w:sz w:val="22"/>
          <w:szCs w:val="22"/>
        </w:rPr>
        <w:t xml:space="preserve">están haciendo una obra de pavimentación y también Drenaje en la av. Veracruz (camino a ojo de agua) en las colonias las Brisas y Chiconautla, solicito la información documental de lo siguiente: de la Tesorería, 1.- los pagos que se han hecho a la constructora o persona física que </w:t>
      </w:r>
      <w:proofErr w:type="spellStart"/>
      <w:r w:rsidR="00910C48" w:rsidRPr="00910C48">
        <w:rPr>
          <w:rFonts w:ascii="Palatino Linotype" w:eastAsia="Palatino Linotype" w:hAnsi="Palatino Linotype" w:cs="Palatino Linotype"/>
          <w:i/>
          <w:sz w:val="22"/>
          <w:szCs w:val="22"/>
        </w:rPr>
        <w:t>esta</w:t>
      </w:r>
      <w:proofErr w:type="spellEnd"/>
      <w:r w:rsidR="00910C48" w:rsidRPr="00910C48">
        <w:rPr>
          <w:rFonts w:ascii="Palatino Linotype" w:eastAsia="Palatino Linotype" w:hAnsi="Palatino Linotype" w:cs="Palatino Linotype"/>
          <w:i/>
          <w:sz w:val="22"/>
          <w:szCs w:val="22"/>
        </w:rPr>
        <w:t xml:space="preserve"> haciendo esta obra, esto es de las estimaciones pagadas, en versión publica de facturas, transferencias, pólizas con su soporte documental. 2.- si la información mencionada en el punto que antecede se envió a alguna instancia del Gobierno Estatal o Federal, o en su caso a alguna dependencia del Congreso local o federal; copia de los oficios con su acuse respectivo. del área de obras </w:t>
      </w:r>
      <w:proofErr w:type="spellStart"/>
      <w:r w:rsidR="00910C48" w:rsidRPr="00910C48">
        <w:rPr>
          <w:rFonts w:ascii="Palatino Linotype" w:eastAsia="Palatino Linotype" w:hAnsi="Palatino Linotype" w:cs="Palatino Linotype"/>
          <w:i/>
          <w:sz w:val="22"/>
          <w:szCs w:val="22"/>
        </w:rPr>
        <w:t>publicas</w:t>
      </w:r>
      <w:proofErr w:type="spellEnd"/>
      <w:r w:rsidR="00910C48" w:rsidRPr="00910C48">
        <w:rPr>
          <w:rFonts w:ascii="Palatino Linotype" w:eastAsia="Palatino Linotype" w:hAnsi="Palatino Linotype" w:cs="Palatino Linotype"/>
          <w:i/>
          <w:sz w:val="22"/>
          <w:szCs w:val="22"/>
        </w:rPr>
        <w:t xml:space="preserve">. 1.- el presupuesto que presento la empresa o persona física para que lo contrataran, con el soporte de sus precios unitarios. 2.- Descripción de la planeación integral del licitante para realizar los trabajos, </w:t>
      </w:r>
      <w:r w:rsidR="00910C48" w:rsidRPr="00910C48">
        <w:rPr>
          <w:rFonts w:ascii="Palatino Linotype" w:eastAsia="Palatino Linotype" w:hAnsi="Palatino Linotype" w:cs="Palatino Linotype"/>
          <w:i/>
          <w:sz w:val="22"/>
          <w:szCs w:val="22"/>
        </w:rPr>
        <w:lastRenderedPageBreak/>
        <w:t xml:space="preserve">incluyendo el procedimiento constructivo de ejecución de los trabajos, considerando, en su caso, las restricciones técnicas que procedan conforme a los proyectos ejecutivos que establezcan las dependencias y entidades, que marca el reglamento de la Ley de Obras </w:t>
      </w:r>
      <w:proofErr w:type="spellStart"/>
      <w:r w:rsidR="00910C48" w:rsidRPr="00910C48">
        <w:rPr>
          <w:rFonts w:ascii="Palatino Linotype" w:eastAsia="Palatino Linotype" w:hAnsi="Palatino Linotype" w:cs="Palatino Linotype"/>
          <w:i/>
          <w:sz w:val="22"/>
          <w:szCs w:val="22"/>
        </w:rPr>
        <w:t>publicas</w:t>
      </w:r>
      <w:proofErr w:type="spellEnd"/>
      <w:r w:rsidR="00910C48" w:rsidRPr="00910C48">
        <w:rPr>
          <w:rFonts w:ascii="Palatino Linotype" w:eastAsia="Palatino Linotype" w:hAnsi="Palatino Linotype" w:cs="Palatino Linotype"/>
          <w:i/>
          <w:sz w:val="22"/>
          <w:szCs w:val="22"/>
        </w:rPr>
        <w:t xml:space="preserve"> o el documento que hayan solicitado en las bases del concurso. 3.- su representante en la obra, que este a cargo de la vigilancia o residencia de obra y autorización de los trabajos, con </w:t>
      </w:r>
      <w:proofErr w:type="spellStart"/>
      <w:r w:rsidR="00910C48" w:rsidRPr="00910C48">
        <w:rPr>
          <w:rFonts w:ascii="Palatino Linotype" w:eastAsia="Palatino Linotype" w:hAnsi="Palatino Linotype" w:cs="Palatino Linotype"/>
          <w:i/>
          <w:sz w:val="22"/>
          <w:szCs w:val="22"/>
        </w:rPr>
        <w:t>curriculum</w:t>
      </w:r>
      <w:proofErr w:type="spellEnd"/>
      <w:r w:rsidR="00910C48" w:rsidRPr="00910C48">
        <w:rPr>
          <w:rFonts w:ascii="Palatino Linotype" w:eastAsia="Palatino Linotype" w:hAnsi="Palatino Linotype" w:cs="Palatino Linotype"/>
          <w:i/>
          <w:sz w:val="22"/>
          <w:szCs w:val="22"/>
        </w:rPr>
        <w:t xml:space="preserve"> y cedula profesional. de la contraloría municipal. 1.- nombre del testigo social o comité de vigilancia vecinal de la obra. 2.- como se eligió el testigo social o la convocatoria para la integración del comité de vigilancia. 3.- como participa la contraloría del municipio en la vigilancia de la calidad de esta obra y copia de la evidencia docume</w:t>
      </w:r>
      <w:r w:rsidR="00910C48">
        <w:rPr>
          <w:rFonts w:ascii="Palatino Linotype" w:eastAsia="Palatino Linotype" w:hAnsi="Palatino Linotype" w:cs="Palatino Linotype"/>
          <w:i/>
          <w:sz w:val="22"/>
          <w:szCs w:val="22"/>
        </w:rPr>
        <w:t>ntal de ese trabajo que realiza</w:t>
      </w:r>
      <w:r>
        <w:rPr>
          <w:rFonts w:ascii="Palatino Linotype" w:eastAsia="Palatino Linotype" w:hAnsi="Palatino Linotype" w:cs="Palatino Linotype"/>
          <w:i/>
          <w:sz w:val="22"/>
          <w:szCs w:val="22"/>
        </w:rPr>
        <w:t>.” (sic)</w:t>
      </w:r>
    </w:p>
    <w:p w14:paraId="7565C71C" w14:textId="77777777" w:rsidR="00F83EF1" w:rsidRDefault="004A73E3" w:rsidP="00E56D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5C947249"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45F130C3" w14:textId="77777777" w:rsidR="00F83EF1" w:rsidRDefault="004A73E3" w:rsidP="00E56D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persona solicitante.</w:t>
      </w:r>
    </w:p>
    <w:p w14:paraId="50E8854D"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Interposición del recurso de revisión</w:t>
      </w:r>
      <w:r>
        <w:rPr>
          <w:rFonts w:ascii="Palatino Linotype" w:eastAsia="Palatino Linotype" w:hAnsi="Palatino Linotype" w:cs="Palatino Linotype"/>
        </w:rPr>
        <w:t xml:space="preserve">. Inconforme la persona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w:t>
      </w:r>
      <w:r w:rsidR="00910C48">
        <w:rPr>
          <w:rFonts w:ascii="Palatino Linotype" w:eastAsia="Palatino Linotype" w:hAnsi="Palatino Linotype" w:cs="Palatino Linotype"/>
          <w:b/>
        </w:rPr>
        <w:t>veintisiete</w:t>
      </w:r>
      <w:r>
        <w:rPr>
          <w:rFonts w:ascii="Palatino Linotype" w:eastAsia="Palatino Linotype" w:hAnsi="Palatino Linotype" w:cs="Palatino Linotype"/>
          <w:b/>
        </w:rPr>
        <w:t xml:space="preserve"> de </w:t>
      </w:r>
      <w:r w:rsidR="00910C48">
        <w:rPr>
          <w:rFonts w:ascii="Palatino Linotype" w:eastAsia="Palatino Linotype" w:hAnsi="Palatino Linotype" w:cs="Palatino Linotype"/>
          <w:b/>
        </w:rPr>
        <w:t>junio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interpuso recurso de revisión a través de SAIMEX, expresando lo siguiente:</w:t>
      </w:r>
    </w:p>
    <w:p w14:paraId="034EBA5C" w14:textId="77777777" w:rsidR="00F83EF1" w:rsidRDefault="004A73E3" w:rsidP="00E56D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7E5017A9" w14:textId="77777777" w:rsidR="00F83EF1" w:rsidRDefault="004A73E3" w:rsidP="00E56DB7">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910C48" w:rsidRPr="00910C48">
        <w:rPr>
          <w:rFonts w:ascii="Palatino Linotype" w:eastAsia="Palatino Linotype" w:hAnsi="Palatino Linotype" w:cs="Palatino Linotype"/>
          <w:i/>
          <w:sz w:val="22"/>
          <w:szCs w:val="22"/>
        </w:rPr>
        <w:t xml:space="preserve">están haciendo una obra de pavimentación y también Drenaje en la av. Veracruz (camino a ojo de agua) en las colonias las Brisas y Chiconautla, solicito la información documental de lo siguiente: de la Tesorería, 1.- los pagos que se han hecho a la constructora o persona física que </w:t>
      </w:r>
      <w:proofErr w:type="spellStart"/>
      <w:r w:rsidR="00910C48" w:rsidRPr="00910C48">
        <w:rPr>
          <w:rFonts w:ascii="Palatino Linotype" w:eastAsia="Palatino Linotype" w:hAnsi="Palatino Linotype" w:cs="Palatino Linotype"/>
          <w:i/>
          <w:sz w:val="22"/>
          <w:szCs w:val="22"/>
        </w:rPr>
        <w:t>esta</w:t>
      </w:r>
      <w:proofErr w:type="spellEnd"/>
      <w:r w:rsidR="00910C48" w:rsidRPr="00910C48">
        <w:rPr>
          <w:rFonts w:ascii="Palatino Linotype" w:eastAsia="Palatino Linotype" w:hAnsi="Palatino Linotype" w:cs="Palatino Linotype"/>
          <w:i/>
          <w:sz w:val="22"/>
          <w:szCs w:val="22"/>
        </w:rPr>
        <w:t xml:space="preserve"> haciendo esta obra, esto es de las estimaciones pagadas, en versión publica de facturas, transferencias, pólizas con su soporte documental. 2.- si la información mencionada en el punto que antecede se envió a alguna instancia del Gobierno Estatal o Federal, o en su caso a alguna </w:t>
      </w:r>
      <w:r w:rsidR="00910C48" w:rsidRPr="00910C48">
        <w:rPr>
          <w:rFonts w:ascii="Palatino Linotype" w:eastAsia="Palatino Linotype" w:hAnsi="Palatino Linotype" w:cs="Palatino Linotype"/>
          <w:i/>
          <w:sz w:val="22"/>
          <w:szCs w:val="22"/>
        </w:rPr>
        <w:lastRenderedPageBreak/>
        <w:t xml:space="preserve">dependencia del Congreso local o federal; copia de los oficios con su acuse respectivo. del área de obras </w:t>
      </w:r>
      <w:proofErr w:type="spellStart"/>
      <w:r w:rsidR="00910C48" w:rsidRPr="00910C48">
        <w:rPr>
          <w:rFonts w:ascii="Palatino Linotype" w:eastAsia="Palatino Linotype" w:hAnsi="Palatino Linotype" w:cs="Palatino Linotype"/>
          <w:i/>
          <w:sz w:val="22"/>
          <w:szCs w:val="22"/>
        </w:rPr>
        <w:t>publicas</w:t>
      </w:r>
      <w:proofErr w:type="spellEnd"/>
      <w:r w:rsidR="00910C48" w:rsidRPr="00910C48">
        <w:rPr>
          <w:rFonts w:ascii="Palatino Linotype" w:eastAsia="Palatino Linotype" w:hAnsi="Palatino Linotype" w:cs="Palatino Linotype"/>
          <w:i/>
          <w:sz w:val="22"/>
          <w:szCs w:val="22"/>
        </w:rPr>
        <w:t xml:space="preserve">. 1.- el presupuesto que presento la empresa o persona física para que lo contrataran, con el soporte de sus precios unitarios. 2.- Descripción de la planeación integral del licitante para realizar los trabajos, incluyendo el procedimiento constructivo de ejecución de los trabajos, considerando, en su caso, las restricciones técnicas que procedan conforme a los proyectos ejecutivos que establezcan las dependencias y entidades, que marca el reglamento de la Ley de Obras </w:t>
      </w:r>
      <w:proofErr w:type="spellStart"/>
      <w:r w:rsidR="00910C48" w:rsidRPr="00910C48">
        <w:rPr>
          <w:rFonts w:ascii="Palatino Linotype" w:eastAsia="Palatino Linotype" w:hAnsi="Palatino Linotype" w:cs="Palatino Linotype"/>
          <w:i/>
          <w:sz w:val="22"/>
          <w:szCs w:val="22"/>
        </w:rPr>
        <w:t>publicas</w:t>
      </w:r>
      <w:proofErr w:type="spellEnd"/>
      <w:r w:rsidR="00910C48" w:rsidRPr="00910C48">
        <w:rPr>
          <w:rFonts w:ascii="Palatino Linotype" w:eastAsia="Palatino Linotype" w:hAnsi="Palatino Linotype" w:cs="Palatino Linotype"/>
          <w:i/>
          <w:sz w:val="22"/>
          <w:szCs w:val="22"/>
        </w:rPr>
        <w:t xml:space="preserve"> o el documento que hayan solicitado en las bases del concurso. 3.- su representante en la obra, que este a cargo de la vigilancia o residencia de obra y autorización de los trabajos, con </w:t>
      </w:r>
      <w:proofErr w:type="spellStart"/>
      <w:r w:rsidR="00910C48" w:rsidRPr="00910C48">
        <w:rPr>
          <w:rFonts w:ascii="Palatino Linotype" w:eastAsia="Palatino Linotype" w:hAnsi="Palatino Linotype" w:cs="Palatino Linotype"/>
          <w:i/>
          <w:sz w:val="22"/>
          <w:szCs w:val="22"/>
        </w:rPr>
        <w:t>curriculum</w:t>
      </w:r>
      <w:proofErr w:type="spellEnd"/>
      <w:r w:rsidR="00910C48" w:rsidRPr="00910C48">
        <w:rPr>
          <w:rFonts w:ascii="Palatino Linotype" w:eastAsia="Palatino Linotype" w:hAnsi="Palatino Linotype" w:cs="Palatino Linotype"/>
          <w:i/>
          <w:sz w:val="22"/>
          <w:szCs w:val="22"/>
        </w:rPr>
        <w:t xml:space="preserve"> y cedula profesional. de la contraloría municipal. 1.- nombre del testigo social o comité de vigilancia vecinal de la obra. 2.- como se eligió el testigo social o la convocatoria para la integración del comité de vigilancia. 3.- como participa la contraloría del municipio en la vigilancia de la calidad de esta obra y copia de la evidencia docume</w:t>
      </w:r>
      <w:r w:rsidR="00910C48">
        <w:rPr>
          <w:rFonts w:ascii="Palatino Linotype" w:eastAsia="Palatino Linotype" w:hAnsi="Palatino Linotype" w:cs="Palatino Linotype"/>
          <w:i/>
          <w:sz w:val="22"/>
          <w:szCs w:val="22"/>
        </w:rPr>
        <w:t>ntal de ese trabajo que realiza</w:t>
      </w:r>
      <w:r>
        <w:rPr>
          <w:rFonts w:ascii="Palatino Linotype" w:eastAsia="Palatino Linotype" w:hAnsi="Palatino Linotype" w:cs="Palatino Linotype"/>
          <w:i/>
          <w:sz w:val="22"/>
          <w:szCs w:val="22"/>
        </w:rPr>
        <w:t>.” (sic)</w:t>
      </w:r>
    </w:p>
    <w:p w14:paraId="61A8B019" w14:textId="77777777" w:rsidR="00F83EF1" w:rsidRDefault="004A73E3" w:rsidP="00E56DB7">
      <w:pPr>
        <w:spacing w:line="360" w:lineRule="auto"/>
        <w:jc w:val="both"/>
        <w:rPr>
          <w:rFonts w:ascii="Palatino Linotype" w:eastAsia="Palatino Linotype" w:hAnsi="Palatino Linotype" w:cs="Palatino Linotype"/>
        </w:rPr>
      </w:pPr>
      <w:bookmarkStart w:id="1" w:name="_heading=h.tyjcwt" w:colFirst="0" w:colLast="0"/>
      <w:bookmarkEnd w:id="1"/>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1F7889AC" w14:textId="77777777" w:rsidR="00F83EF1" w:rsidRDefault="004A73E3" w:rsidP="00E56DB7">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w:t>
      </w:r>
      <w:r w:rsidR="00910C48" w:rsidRPr="00910C48">
        <w:rPr>
          <w:rFonts w:ascii="Palatino Linotype" w:eastAsia="Palatino Linotype" w:hAnsi="Palatino Linotype" w:cs="Palatino Linotype"/>
          <w:i/>
          <w:sz w:val="22"/>
          <w:szCs w:val="22"/>
        </w:rPr>
        <w:t>No se dio respuesta a lo solicitado</w:t>
      </w:r>
      <w:r>
        <w:rPr>
          <w:rFonts w:ascii="Palatino Linotype" w:eastAsia="Palatino Linotype" w:hAnsi="Palatino Linotype" w:cs="Palatino Linotype"/>
          <w:i/>
          <w:sz w:val="22"/>
          <w:szCs w:val="22"/>
        </w:rPr>
        <w:t>. " (sic)</w:t>
      </w:r>
    </w:p>
    <w:p w14:paraId="6E46561C" w14:textId="77777777" w:rsidR="00F83EF1" w:rsidRDefault="004A73E3" w:rsidP="00E56D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 </w:t>
      </w:r>
    </w:p>
    <w:p w14:paraId="1B626D14" w14:textId="77777777" w:rsidR="00F83EF1" w:rsidRDefault="004A73E3" w:rsidP="00E56D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29FF6A50"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w:t>
      </w:r>
      <w:r w:rsidR="00910C48">
        <w:rPr>
          <w:rFonts w:ascii="Palatino Linotype" w:eastAsia="Palatino Linotype" w:hAnsi="Palatino Linotype" w:cs="Palatino Linotype"/>
          <w:b/>
        </w:rPr>
        <w:t>treinta</w:t>
      </w:r>
      <w:r>
        <w:rPr>
          <w:rFonts w:ascii="Palatino Linotype" w:eastAsia="Palatino Linotype" w:hAnsi="Palatino Linotype" w:cs="Palatino Linotype"/>
          <w:b/>
        </w:rPr>
        <w:t xml:space="preserve"> de </w:t>
      </w:r>
      <w:r w:rsidR="00910C48">
        <w:rPr>
          <w:rFonts w:ascii="Palatino Linotype" w:eastAsia="Palatino Linotype" w:hAnsi="Palatino Linotype" w:cs="Palatino Linotype"/>
          <w:b/>
        </w:rPr>
        <w:t>junio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469E54EE" w14:textId="77777777" w:rsidR="00910C48" w:rsidRDefault="004A73E3" w:rsidP="00E56DB7">
      <w:pPr>
        <w:spacing w:before="240"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w:t>
      </w:r>
      <w:r w:rsidR="00910C48">
        <w:rPr>
          <w:rFonts w:ascii="Palatino Linotype" w:eastAsia="Palatino Linotype" w:hAnsi="Palatino Linotype" w:cs="Palatino Linotype"/>
        </w:rPr>
        <w:t xml:space="preserve">el </w:t>
      </w:r>
      <w:r w:rsidR="00910C48">
        <w:rPr>
          <w:rFonts w:ascii="Palatino Linotype" w:eastAsia="Palatino Linotype" w:hAnsi="Palatino Linotype" w:cs="Palatino Linotype"/>
          <w:b/>
        </w:rPr>
        <w:t xml:space="preserve">diecinueve de julio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w:t>
      </w:r>
      <w:r w:rsidR="00910C48">
        <w:rPr>
          <w:rFonts w:ascii="Palatino Linotype" w:eastAsia="Palatino Linotype" w:hAnsi="Palatino Linotype" w:cs="Palatino Linotype"/>
        </w:rPr>
        <w:t xml:space="preserve">consistente en el archivo denominado </w:t>
      </w:r>
      <w:r w:rsidR="00910C48" w:rsidRPr="00910C48">
        <w:rPr>
          <w:rFonts w:ascii="Palatino Linotype" w:eastAsia="Palatino Linotype" w:hAnsi="Palatino Linotype" w:cs="Palatino Linotype"/>
          <w:b/>
          <w:i/>
        </w:rPr>
        <w:t>12214.pdf</w:t>
      </w:r>
      <w:r w:rsidR="00783FBE">
        <w:rPr>
          <w:rFonts w:ascii="Palatino Linotype" w:eastAsia="Palatino Linotype" w:hAnsi="Palatino Linotype" w:cs="Palatino Linotype"/>
          <w:b/>
          <w:i/>
        </w:rPr>
        <w:t xml:space="preserve"> </w:t>
      </w:r>
      <w:r w:rsidR="00783FBE">
        <w:rPr>
          <w:rFonts w:ascii="Palatino Linotype" w:eastAsia="Palatino Linotype" w:hAnsi="Palatino Linotype" w:cs="Palatino Linotype"/>
        </w:rPr>
        <w:t>integrado</w:t>
      </w:r>
      <w:r w:rsidR="00C6674F">
        <w:rPr>
          <w:rFonts w:ascii="Palatino Linotype" w:eastAsia="Palatino Linotype" w:hAnsi="Palatino Linotype" w:cs="Palatino Linotype"/>
        </w:rPr>
        <w:t xml:space="preserve"> por cinco páginas con</w:t>
      </w:r>
      <w:r w:rsidR="00783FBE">
        <w:rPr>
          <w:rFonts w:ascii="Palatino Linotype" w:eastAsia="Palatino Linotype" w:hAnsi="Palatino Linotype" w:cs="Palatino Linotype"/>
        </w:rPr>
        <w:t xml:space="preserve"> los siguientes documentos: </w:t>
      </w:r>
    </w:p>
    <w:p w14:paraId="432D0E72" w14:textId="77777777" w:rsidR="00783FBE" w:rsidRDefault="00783FBE" w:rsidP="00E56DB7">
      <w:pPr>
        <w:pStyle w:val="Prrafodelista"/>
        <w:numPr>
          <w:ilvl w:val="0"/>
          <w:numId w:val="7"/>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de fecha dieciocho de julio de dos mil veintidós, suscrito por la Titular de la Unidad de Transparencia por medio del cual entregó la respuesta emitida por la Tesorería Municipal y Dirección de Desarrollo Urbano y Obras Públicas. </w:t>
      </w:r>
    </w:p>
    <w:p w14:paraId="328FF90A" w14:textId="77777777" w:rsidR="00C6674F" w:rsidRDefault="00C6674F" w:rsidP="00E56DB7">
      <w:pPr>
        <w:pStyle w:val="Prrafodelista"/>
        <w:numPr>
          <w:ilvl w:val="0"/>
          <w:numId w:val="7"/>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número TM/ECA/04037/2022 de fecha catorce de julio de dos mil veintidós </w:t>
      </w:r>
      <w:r w:rsidR="007B38EB">
        <w:rPr>
          <w:rFonts w:ascii="Palatino Linotype" w:eastAsia="Palatino Linotype" w:hAnsi="Palatino Linotype" w:cs="Palatino Linotype"/>
        </w:rPr>
        <w:t xml:space="preserve">emitido por la </w:t>
      </w:r>
      <w:r w:rsidR="001156EC">
        <w:rPr>
          <w:rFonts w:ascii="Palatino Linotype" w:eastAsia="Palatino Linotype" w:hAnsi="Palatino Linotype" w:cs="Palatino Linotype"/>
        </w:rPr>
        <w:t xml:space="preserve">Tesorera Municipal por medio del cual sustancialmente </w:t>
      </w:r>
      <w:r w:rsidR="00C30A18">
        <w:rPr>
          <w:rFonts w:ascii="Palatino Linotype" w:eastAsia="Palatino Linotype" w:hAnsi="Palatino Linotype" w:cs="Palatino Linotype"/>
        </w:rPr>
        <w:t>informó</w:t>
      </w:r>
      <w:r w:rsidR="009D4C54">
        <w:rPr>
          <w:rFonts w:ascii="Palatino Linotype" w:eastAsia="Palatino Linotype" w:hAnsi="Palatino Linotype" w:cs="Palatino Linotype"/>
        </w:rPr>
        <w:t xml:space="preserve"> </w:t>
      </w:r>
      <w:r w:rsidR="001156EC">
        <w:rPr>
          <w:rFonts w:ascii="Palatino Linotype" w:eastAsia="Palatino Linotype" w:hAnsi="Palatino Linotype" w:cs="Palatino Linotype"/>
        </w:rPr>
        <w:t xml:space="preserve">que se trata de información </w:t>
      </w:r>
      <w:r w:rsidR="009D4C54">
        <w:rPr>
          <w:rFonts w:ascii="Palatino Linotype" w:eastAsia="Palatino Linotype" w:hAnsi="Palatino Linotype" w:cs="Palatino Linotype"/>
        </w:rPr>
        <w:t xml:space="preserve">que se encuentra en el área de investigación de la Contraloría Interna Municipal, por lo que se violentaría </w:t>
      </w:r>
      <w:r w:rsidR="00B15F59">
        <w:rPr>
          <w:rFonts w:ascii="Palatino Linotype" w:eastAsia="Palatino Linotype" w:hAnsi="Palatino Linotype" w:cs="Palatino Linotype"/>
        </w:rPr>
        <w:t xml:space="preserve">uno de los principios fundamentales en el procedimiento. </w:t>
      </w:r>
    </w:p>
    <w:p w14:paraId="5851D55D" w14:textId="77777777" w:rsidR="00B15F59" w:rsidRDefault="00B15F59" w:rsidP="00E56DB7">
      <w:pPr>
        <w:pStyle w:val="Prrafodelista"/>
        <w:numPr>
          <w:ilvl w:val="0"/>
          <w:numId w:val="7"/>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w:t>
      </w:r>
      <w:proofErr w:type="spellStart"/>
      <w:r>
        <w:rPr>
          <w:rFonts w:ascii="Palatino Linotype" w:eastAsia="Palatino Linotype" w:hAnsi="Palatino Linotype" w:cs="Palatino Linotype"/>
        </w:rPr>
        <w:t>DDUyOP</w:t>
      </w:r>
      <w:proofErr w:type="spellEnd"/>
      <w:r>
        <w:rPr>
          <w:rFonts w:ascii="Palatino Linotype" w:eastAsia="Palatino Linotype" w:hAnsi="Palatino Linotype" w:cs="Palatino Linotype"/>
        </w:rPr>
        <w:t>/ECA/04899/2022 de fecha treinta de junio de dos mil veintid</w:t>
      </w:r>
      <w:r w:rsidR="00DE3A5C">
        <w:rPr>
          <w:rFonts w:ascii="Palatino Linotype" w:eastAsia="Palatino Linotype" w:hAnsi="Palatino Linotype" w:cs="Palatino Linotype"/>
        </w:rPr>
        <w:t xml:space="preserve">ós, suscrito y signado por el </w:t>
      </w:r>
      <w:proofErr w:type="gramStart"/>
      <w:r w:rsidR="00DE3A5C">
        <w:rPr>
          <w:rFonts w:ascii="Palatino Linotype" w:eastAsia="Palatino Linotype" w:hAnsi="Palatino Linotype" w:cs="Palatino Linotype"/>
        </w:rPr>
        <w:t>Director</w:t>
      </w:r>
      <w:proofErr w:type="gramEnd"/>
      <w:r w:rsidR="00DE3A5C">
        <w:rPr>
          <w:rFonts w:ascii="Palatino Linotype" w:eastAsia="Palatino Linotype" w:hAnsi="Palatino Linotype" w:cs="Palatino Linotype"/>
        </w:rPr>
        <w:t xml:space="preserve"> de Desarrollo Urbano y Obras P</w:t>
      </w:r>
      <w:r w:rsidR="00415046">
        <w:rPr>
          <w:rFonts w:ascii="Palatino Linotype" w:eastAsia="Palatino Linotype" w:hAnsi="Palatino Linotype" w:cs="Palatino Linotype"/>
        </w:rPr>
        <w:t xml:space="preserve">úblicas en el que </w:t>
      </w:r>
      <w:r w:rsidR="00D25BA6">
        <w:rPr>
          <w:rFonts w:ascii="Palatino Linotype" w:eastAsia="Palatino Linotype" w:hAnsi="Palatino Linotype" w:cs="Palatino Linotype"/>
        </w:rPr>
        <w:t>de igual forma</w:t>
      </w:r>
      <w:r w:rsidR="00A434A0">
        <w:rPr>
          <w:rFonts w:ascii="Palatino Linotype" w:eastAsia="Palatino Linotype" w:hAnsi="Palatino Linotype" w:cs="Palatino Linotype"/>
        </w:rPr>
        <w:t xml:space="preserve"> refiere que la información solicitada se encuentra en el área de investigación de la Contraloría Interna M</w:t>
      </w:r>
      <w:r w:rsidR="00D25BA6">
        <w:rPr>
          <w:rFonts w:ascii="Palatino Linotype" w:eastAsia="Palatino Linotype" w:hAnsi="Palatino Linotype" w:cs="Palatino Linotype"/>
        </w:rPr>
        <w:t xml:space="preserve">unicipal. </w:t>
      </w:r>
    </w:p>
    <w:p w14:paraId="56733DBB" w14:textId="77777777" w:rsidR="00F83EF1" w:rsidRDefault="0081034F"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Documentos que en fecha diecisiete de enero de dos mil veintidós fueron notificados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quien </w:t>
      </w:r>
      <w:r w:rsidR="004A73E3">
        <w:rPr>
          <w:rFonts w:ascii="Palatino Linotype" w:eastAsia="Palatino Linotype" w:hAnsi="Palatino Linotype" w:cs="Palatino Linotype"/>
        </w:rPr>
        <w:t>omitió realizar manifestaciones, como se observa a continuación:</w:t>
      </w:r>
    </w:p>
    <w:p w14:paraId="1E140CD2" w14:textId="77777777" w:rsidR="00F83EF1" w:rsidRDefault="00E07D81" w:rsidP="00E56DB7">
      <w:pPr>
        <w:spacing w:before="240" w:after="240" w:line="360" w:lineRule="auto"/>
        <w:jc w:val="both"/>
        <w:rPr>
          <w:rFonts w:ascii="Palatino Linotype" w:eastAsia="Palatino Linotype" w:hAnsi="Palatino Linotype" w:cs="Palatino Linotype"/>
        </w:rPr>
      </w:pPr>
      <w:bookmarkStart w:id="4" w:name="_heading=h.3rdcrjn" w:colFirst="0" w:colLast="0"/>
      <w:bookmarkEnd w:id="4"/>
      <w:r w:rsidRPr="00E07D81">
        <w:rPr>
          <w:rFonts w:ascii="Palatino Linotype" w:eastAsia="Palatino Linotype" w:hAnsi="Palatino Linotype" w:cs="Palatino Linotype"/>
          <w:noProof/>
        </w:rPr>
        <w:drawing>
          <wp:inline distT="0" distB="0" distL="0" distR="0" wp14:anchorId="4E0AD388" wp14:editId="1061E865">
            <wp:extent cx="5612130" cy="27190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719070"/>
                    </a:xfrm>
                    <a:prstGeom prst="rect">
                      <a:avLst/>
                    </a:prstGeom>
                  </pic:spPr>
                </pic:pic>
              </a:graphicData>
            </a:graphic>
          </wp:inline>
        </w:drawing>
      </w:r>
    </w:p>
    <w:p w14:paraId="023C9E9F" w14:textId="77777777" w:rsidR="002D5599" w:rsidRDefault="004A73E3" w:rsidP="00E56DB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w:t>
      </w:r>
      <w:r w:rsidR="002D5599">
        <w:rPr>
          <w:rFonts w:ascii="Palatino Linotype" w:eastAsia="Palatino Linotype" w:hAnsi="Palatino Linotype" w:cs="Palatino Linotype"/>
          <w:b/>
        </w:rPr>
        <w:t xml:space="preserve">Ampliación del plazo para emitir resolución. </w:t>
      </w:r>
      <w:r w:rsidR="002D5599">
        <w:rPr>
          <w:rFonts w:ascii="Palatino Linotype" w:eastAsia="Palatino Linotype" w:hAnsi="Palatino Linotype" w:cs="Palatino Linotype"/>
        </w:rPr>
        <w:t xml:space="preserve">El </w:t>
      </w:r>
      <w:r w:rsidR="002D5599">
        <w:rPr>
          <w:rFonts w:ascii="Palatino Linotype" w:eastAsia="Palatino Linotype" w:hAnsi="Palatino Linotype" w:cs="Palatino Linotype"/>
          <w:b/>
        </w:rPr>
        <w:t>diecisiete de enero de dos mil veintitrés</w:t>
      </w:r>
      <w:r w:rsidR="002D5599">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6A9DF46E"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w:t>
      </w:r>
      <w:r>
        <w:rPr>
          <w:rFonts w:ascii="Palatino Linotype" w:eastAsia="Palatino Linotype" w:hAnsi="Palatino Linotype" w:cs="Palatino Linotype"/>
        </w:rPr>
        <w:lastRenderedPageBreak/>
        <w:t>ha rebasado las capacidades técnicas y humanas del personal encargado de la proyección de las resoluciones a dichos medios de impugnación.</w:t>
      </w:r>
    </w:p>
    <w:p w14:paraId="48B7026B"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E4A747"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F2118D"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98485A" w14:textId="77777777" w:rsidR="002D5599" w:rsidRDefault="002D5599" w:rsidP="00E56DB7">
      <w:pPr>
        <w:spacing w:before="240" w:after="240"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1CA7E5" w14:textId="77777777" w:rsidR="002D5599" w:rsidRDefault="002D5599" w:rsidP="00E56DB7">
      <w:pPr>
        <w:numPr>
          <w:ilvl w:val="0"/>
          <w:numId w:val="24"/>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5D61D820" w14:textId="77777777" w:rsidR="002D5599" w:rsidRDefault="002D5599" w:rsidP="00E56DB7">
      <w:pPr>
        <w:numPr>
          <w:ilvl w:val="0"/>
          <w:numId w:val="24"/>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0DAD3EF6" w14:textId="77777777" w:rsidR="002D5599" w:rsidRDefault="002D5599" w:rsidP="00E56DB7">
      <w:pPr>
        <w:numPr>
          <w:ilvl w:val="0"/>
          <w:numId w:val="24"/>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4A551618" w14:textId="77777777" w:rsidR="002D5599" w:rsidRDefault="002D5599" w:rsidP="00E56DB7">
      <w:pPr>
        <w:spacing w:before="240" w:after="24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3D3D6F6F"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E8D18F" w14:textId="77777777" w:rsidR="002D5599" w:rsidRDefault="002D5599" w:rsidP="00E56D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6BC4BCB"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B47380"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BFDDA7"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1CA71594"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50F3944C" w14:textId="77777777" w:rsidR="002D5599"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B8D1708" w14:textId="77777777" w:rsidR="00F83EF1" w:rsidRDefault="002D559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w:t>
      </w:r>
      <w:r w:rsidR="004A73E3">
        <w:rPr>
          <w:rFonts w:ascii="Palatino Linotype" w:eastAsia="Palatino Linotype" w:hAnsi="Palatino Linotype" w:cs="Palatino Linotype"/>
          <w:b/>
        </w:rPr>
        <w:t xml:space="preserve">Cierre de instrucción. </w:t>
      </w:r>
      <w:r w:rsidR="004A73E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E07D81">
        <w:rPr>
          <w:rFonts w:ascii="Palatino Linotype" w:eastAsia="Palatino Linotype" w:hAnsi="Palatino Linotype" w:cs="Palatino Linotype"/>
          <w:b/>
        </w:rPr>
        <w:t>veintisiete</w:t>
      </w:r>
      <w:r w:rsidR="004A73E3">
        <w:rPr>
          <w:rFonts w:ascii="Palatino Linotype" w:eastAsia="Palatino Linotype" w:hAnsi="Palatino Linotype" w:cs="Palatino Linotype"/>
          <w:b/>
        </w:rPr>
        <w:t xml:space="preserve"> de </w:t>
      </w:r>
      <w:r w:rsidR="00E07D81">
        <w:rPr>
          <w:rFonts w:ascii="Palatino Linotype" w:eastAsia="Palatino Linotype" w:hAnsi="Palatino Linotype" w:cs="Palatino Linotype"/>
          <w:b/>
        </w:rPr>
        <w:t>febrero de dos mil veintitrés</w:t>
      </w:r>
      <w:r w:rsidR="004A73E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EB94534"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4A0B7AF" w14:textId="77777777" w:rsidR="00F83EF1" w:rsidRDefault="004A73E3" w:rsidP="00E56DB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24B3553F"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0EDA0CDC" w14:textId="77777777" w:rsidR="00F83EF1" w:rsidRDefault="004A73E3" w:rsidP="00E56DB7">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E2C0586"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9DCC8F5"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061652B2"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16F3B86"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34B5ABF"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3CE52DC6"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F19DD58" w14:textId="77777777" w:rsidR="00F83EF1" w:rsidRDefault="004A73E3" w:rsidP="00E56DB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Por su parte, el artículo 178 del citado ordenamiento, establece:</w:t>
      </w:r>
    </w:p>
    <w:p w14:paraId="5E4D5FB2"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595D0AA0"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16D8998"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2447485"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Pr>
          <w:rFonts w:ascii="Palatino Linotype" w:eastAsia="Palatino Linotype" w:hAnsi="Palatino Linotype" w:cs="Palatino Linotype"/>
        </w:rPr>
        <w:lastRenderedPageBreak/>
        <w:t xml:space="preserve">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5736E629" w14:textId="77777777" w:rsidR="00F83EF1" w:rsidRDefault="004A73E3" w:rsidP="00E56DB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028968C"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60246907"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FDE083B"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14:paraId="33EEC5B5"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A237769" w14:textId="77777777" w:rsidR="00F83EF1" w:rsidRDefault="004A73E3" w:rsidP="00E56D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DA8DBFF" w14:textId="77777777" w:rsidR="00F83EF1" w:rsidRDefault="004A73E3" w:rsidP="00E56DB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20CB236" w14:textId="77777777" w:rsidR="00F83EF1" w:rsidRDefault="004A73E3" w:rsidP="00E56D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3C1D7CBC"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w:t>
      </w:r>
      <w:r>
        <w:rPr>
          <w:rFonts w:ascii="Palatino Linotype" w:eastAsia="Palatino Linotype" w:hAnsi="Palatino Linotype" w:cs="Palatino Linotype"/>
        </w:rPr>
        <w:lastRenderedPageBreak/>
        <w:t xml:space="preserve">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52471E33" w14:textId="77777777" w:rsidR="00F83EF1" w:rsidRDefault="004A73E3" w:rsidP="00E56DB7">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0D5E7C92"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dentro del plazo legal previsto para ello.</w:t>
      </w:r>
    </w:p>
    <w:p w14:paraId="7CDDB20B" w14:textId="77777777" w:rsidR="007E7A9D" w:rsidRDefault="00AA2E29"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w:t>
      </w:r>
      <w:r w:rsidR="007E7A9D">
        <w:rPr>
          <w:rFonts w:ascii="Palatino Linotype" w:eastAsia="Palatino Linotype" w:hAnsi="Palatino Linotype" w:cs="Palatino Linotype"/>
        </w:rPr>
        <w:t xml:space="preserve">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007E7A9D">
        <w:rPr>
          <w:rFonts w:ascii="Palatino Linotype" w:eastAsia="Palatino Linotype" w:hAnsi="Palatino Linotype" w:cs="Palatino Linotype"/>
        </w:rPr>
        <w:lastRenderedPageBreak/>
        <w:t>lo prevén los arábigos 1 párrafos primero, segundo y tercero y 6 apartado A fracciones I, II, III, IV, V, VI y VII que a la letra señalan:</w:t>
      </w:r>
    </w:p>
    <w:p w14:paraId="60045B5C" w14:textId="77777777" w:rsidR="007E7A9D" w:rsidRDefault="007E7A9D" w:rsidP="00E56DB7">
      <w:pPr>
        <w:tabs>
          <w:tab w:val="left" w:pos="709"/>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231D2EF" w14:textId="77777777" w:rsidR="007E7A9D" w:rsidRDefault="007E7A9D" w:rsidP="00E56DB7">
      <w:pPr>
        <w:tabs>
          <w:tab w:val="left" w:pos="709"/>
        </w:tabs>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C75CDA0" w14:textId="77777777" w:rsidR="007E7A9D" w:rsidRDefault="007E7A9D" w:rsidP="00E56DB7">
      <w:pPr>
        <w:tabs>
          <w:tab w:val="left" w:pos="709"/>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E5E52CE" w14:textId="77777777" w:rsidR="007E7A9D" w:rsidRDefault="007E7A9D" w:rsidP="00E56DB7">
      <w:pPr>
        <w:tabs>
          <w:tab w:val="left" w:pos="709"/>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39BA765"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571793B"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446E00"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753CDE39"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B262406"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40C2A3"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C77B37D" w14:textId="77777777" w:rsidR="007E7A9D" w:rsidRDefault="007E7A9D" w:rsidP="00E56DB7">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472DBF2A"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10B98BB"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4EF1C0A"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413B13C"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82F92D" w14:textId="77777777" w:rsidR="007E7A9D" w:rsidRDefault="007E7A9D" w:rsidP="00E56DB7">
      <w:pPr>
        <w:ind w:left="851" w:right="616"/>
        <w:jc w:val="both"/>
        <w:rPr>
          <w:rFonts w:ascii="Palatino Linotype" w:eastAsia="Palatino Linotype" w:hAnsi="Palatino Linotype" w:cs="Palatino Linotype"/>
          <w:i/>
          <w:sz w:val="22"/>
          <w:szCs w:val="22"/>
        </w:rPr>
      </w:pPr>
    </w:p>
    <w:p w14:paraId="059E1DE6"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DEDBF46"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4CF952E"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A9ADAC1"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1C6FE2C"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A11B294" w14:textId="77777777" w:rsidR="007E7A9D" w:rsidRDefault="007E7A9D" w:rsidP="00E56DB7">
      <w:pPr>
        <w:ind w:right="616"/>
        <w:jc w:val="both"/>
        <w:rPr>
          <w:rFonts w:ascii="Palatino Linotype" w:eastAsia="Palatino Linotype" w:hAnsi="Palatino Linotype" w:cs="Palatino Linotype"/>
          <w:i/>
          <w:sz w:val="22"/>
          <w:szCs w:val="22"/>
        </w:rPr>
      </w:pPr>
    </w:p>
    <w:p w14:paraId="73FCB460" w14:textId="77777777" w:rsidR="007E7A9D" w:rsidRDefault="007E7A9D" w:rsidP="00E56DB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0A0B432" w14:textId="77777777" w:rsidR="007E7A9D" w:rsidRDefault="007E7A9D" w:rsidP="00E56DB7">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702DBC9A" w14:textId="77777777" w:rsidR="007E7A9D" w:rsidRDefault="007E7A9D" w:rsidP="00E56DB7">
      <w:pPr>
        <w:spacing w:before="24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A94301"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97C35EF"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5D2DF0FB" w14:textId="77777777" w:rsidR="007E7A9D" w:rsidRDefault="007E7A9D" w:rsidP="00E56DB7">
      <w:pPr>
        <w:ind w:left="851" w:right="760"/>
        <w:jc w:val="both"/>
        <w:rPr>
          <w:rFonts w:ascii="Palatino Linotype" w:eastAsia="Palatino Linotype" w:hAnsi="Palatino Linotype" w:cs="Palatino Linotype"/>
          <w:i/>
        </w:rPr>
      </w:pPr>
    </w:p>
    <w:p w14:paraId="4682C13F" w14:textId="77777777" w:rsidR="007E7A9D" w:rsidRDefault="007E7A9D"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Pr>
          <w:rFonts w:ascii="Palatino Linotype" w:eastAsia="Palatino Linotype" w:hAnsi="Palatino Linotype" w:cs="Palatino Linotype"/>
        </w:rPr>
        <w:lastRenderedPageBreak/>
        <w:t>interés del solicitante; como así lo establece el artículo 12 de la Ley de Transparencia y Acceso a la Información Pública del Estado de México y Municipios, el cual a la letra dice:</w:t>
      </w:r>
    </w:p>
    <w:p w14:paraId="213C7597"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777E452"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D7ED5B0" w14:textId="77777777" w:rsidR="007E7A9D" w:rsidRDefault="007E7A9D" w:rsidP="00E56DB7">
      <w:pPr>
        <w:spacing w:line="360" w:lineRule="auto"/>
        <w:ind w:right="-93"/>
        <w:jc w:val="both"/>
        <w:rPr>
          <w:rFonts w:ascii="Palatino Linotype" w:eastAsia="Palatino Linotype" w:hAnsi="Palatino Linotype" w:cs="Palatino Linotype"/>
          <w:color w:val="000000"/>
        </w:rPr>
      </w:pPr>
    </w:p>
    <w:p w14:paraId="45D887BF" w14:textId="77777777" w:rsidR="00FA2B44" w:rsidRDefault="00FA2B44" w:rsidP="00E56DB7">
      <w:pPr>
        <w:spacing w:line="360" w:lineRule="auto"/>
        <w:ind w:right="-93"/>
        <w:jc w:val="both"/>
        <w:rPr>
          <w:rFonts w:ascii="Palatino Linotype" w:eastAsia="Palatino Linotype" w:hAnsi="Palatino Linotype" w:cs="Palatino Linotype"/>
          <w:color w:val="000000"/>
        </w:rPr>
      </w:pPr>
    </w:p>
    <w:p w14:paraId="1EDC76D1" w14:textId="77777777" w:rsidR="007E7A9D" w:rsidRDefault="007E7A9D" w:rsidP="00E56DB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AC6EDE5" w14:textId="77777777" w:rsidR="007E7A9D" w:rsidRDefault="007E7A9D" w:rsidP="00E56DB7">
      <w:pPr>
        <w:spacing w:line="360" w:lineRule="auto"/>
        <w:jc w:val="both"/>
        <w:rPr>
          <w:rFonts w:ascii="Palatino Linotype" w:eastAsia="Palatino Linotype" w:hAnsi="Palatino Linotype" w:cs="Palatino Linotype"/>
          <w:color w:val="000000"/>
        </w:rPr>
      </w:pPr>
    </w:p>
    <w:p w14:paraId="0CA125FD" w14:textId="77777777" w:rsidR="007E7A9D" w:rsidRDefault="007E7A9D" w:rsidP="00E56DB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14:paraId="1D3B0C71" w14:textId="77777777" w:rsidR="007E7A9D" w:rsidRDefault="007E7A9D" w:rsidP="00E56DB7">
      <w:pPr>
        <w:spacing w:line="360" w:lineRule="auto"/>
        <w:ind w:right="49"/>
        <w:jc w:val="both"/>
        <w:rPr>
          <w:rFonts w:ascii="Palatino Linotype" w:eastAsia="Palatino Linotype" w:hAnsi="Palatino Linotype" w:cs="Palatino Linotype"/>
        </w:rPr>
      </w:pPr>
    </w:p>
    <w:p w14:paraId="7D5900FF" w14:textId="77777777" w:rsidR="007E7A9D" w:rsidRDefault="007E7A9D"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5A882E72" w14:textId="77777777" w:rsidR="007E7A9D" w:rsidRDefault="007E7A9D" w:rsidP="00E56DB7">
      <w:pPr>
        <w:spacing w:line="360" w:lineRule="auto"/>
        <w:jc w:val="both"/>
        <w:rPr>
          <w:rFonts w:ascii="Palatino Linotype" w:eastAsia="Palatino Linotype" w:hAnsi="Palatino Linotype" w:cs="Palatino Linotype"/>
        </w:rPr>
      </w:pPr>
    </w:p>
    <w:p w14:paraId="356AB656"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59E1E2CC" w14:textId="77777777" w:rsidR="007E7A9D" w:rsidRDefault="007E7A9D" w:rsidP="00E56DB7">
      <w:pPr>
        <w:ind w:left="851" w:right="616"/>
        <w:jc w:val="both"/>
        <w:rPr>
          <w:rFonts w:ascii="Palatino Linotype" w:eastAsia="Palatino Linotype" w:hAnsi="Palatino Linotype" w:cs="Palatino Linotype"/>
          <w:b/>
          <w:i/>
          <w:sz w:val="22"/>
          <w:szCs w:val="22"/>
        </w:rPr>
      </w:pPr>
    </w:p>
    <w:p w14:paraId="49C698FB"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62E7AC19" w14:textId="77777777" w:rsidR="007E7A9D" w:rsidRDefault="007E7A9D" w:rsidP="00E56DB7">
      <w:pPr>
        <w:ind w:left="851" w:right="616"/>
        <w:jc w:val="both"/>
        <w:rPr>
          <w:rFonts w:ascii="Palatino Linotype" w:eastAsia="Palatino Linotype" w:hAnsi="Palatino Linotype" w:cs="Palatino Linotype"/>
          <w:i/>
          <w:sz w:val="22"/>
          <w:szCs w:val="22"/>
        </w:rPr>
      </w:pPr>
    </w:p>
    <w:p w14:paraId="6CC22FE5"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0B444D9" w14:textId="77777777" w:rsidR="007E7A9D" w:rsidRDefault="007E7A9D" w:rsidP="00E56DB7">
      <w:pPr>
        <w:ind w:left="851" w:right="616"/>
        <w:jc w:val="both"/>
        <w:rPr>
          <w:rFonts w:ascii="Palatino Linotype" w:eastAsia="Palatino Linotype" w:hAnsi="Palatino Linotype" w:cs="Palatino Linotype"/>
          <w:i/>
          <w:sz w:val="22"/>
          <w:szCs w:val="22"/>
        </w:rPr>
      </w:pPr>
    </w:p>
    <w:p w14:paraId="4EC21EF5"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82A8D07" w14:textId="77777777" w:rsidR="007E7A9D" w:rsidRDefault="007E7A9D" w:rsidP="00E56DB7">
      <w:pPr>
        <w:ind w:left="851" w:right="851"/>
        <w:jc w:val="both"/>
        <w:rPr>
          <w:rFonts w:ascii="Palatino Linotype" w:eastAsia="Palatino Linotype" w:hAnsi="Palatino Linotype" w:cs="Palatino Linotype"/>
          <w:i/>
          <w:sz w:val="22"/>
          <w:szCs w:val="22"/>
        </w:rPr>
      </w:pPr>
    </w:p>
    <w:p w14:paraId="6370E7DC" w14:textId="77777777" w:rsidR="007E7A9D" w:rsidRDefault="007E7A9D" w:rsidP="00E56DB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D7BC41A" w14:textId="77777777" w:rsidR="007E7A9D" w:rsidRDefault="007E7A9D" w:rsidP="00E56DB7">
      <w:pPr>
        <w:spacing w:line="360" w:lineRule="auto"/>
        <w:jc w:val="both"/>
        <w:rPr>
          <w:rFonts w:ascii="Palatino Linotype" w:eastAsia="Palatino Linotype" w:hAnsi="Palatino Linotype" w:cs="Palatino Linotype"/>
        </w:rPr>
      </w:pPr>
    </w:p>
    <w:p w14:paraId="101F09D7" w14:textId="77777777" w:rsidR="007E7A9D" w:rsidRDefault="007E7A9D"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14:paraId="11C94244" w14:textId="77777777" w:rsidR="007E7A9D" w:rsidRDefault="007E7A9D" w:rsidP="00E56DB7">
      <w:pPr>
        <w:spacing w:line="360" w:lineRule="auto"/>
        <w:jc w:val="both"/>
        <w:rPr>
          <w:rFonts w:ascii="Palatino Linotype" w:eastAsia="Palatino Linotype" w:hAnsi="Palatino Linotype" w:cs="Palatino Linotype"/>
        </w:rPr>
      </w:pPr>
    </w:p>
    <w:p w14:paraId="70FFF747" w14:textId="77777777" w:rsidR="007E7A9D" w:rsidRDefault="007E7A9D"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BE510F" w14:textId="77777777" w:rsidR="007E7A9D" w:rsidRDefault="007E7A9D" w:rsidP="00E56DB7">
      <w:pPr>
        <w:ind w:left="851" w:right="899"/>
        <w:jc w:val="both"/>
        <w:rPr>
          <w:rFonts w:ascii="Palatino Linotype" w:eastAsia="Palatino Linotype" w:hAnsi="Palatino Linotype" w:cs="Palatino Linotype"/>
          <w:i/>
          <w:sz w:val="22"/>
          <w:szCs w:val="22"/>
        </w:rPr>
      </w:pPr>
    </w:p>
    <w:p w14:paraId="6E388670" w14:textId="77777777" w:rsidR="007E7A9D" w:rsidRDefault="007E7A9D" w:rsidP="00E56DB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98A564D" w14:textId="77777777" w:rsidR="007E7A9D" w:rsidRDefault="007E7A9D" w:rsidP="00E56DB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1D72C2" w14:textId="77777777" w:rsidR="007E7A9D" w:rsidRDefault="007E7A9D" w:rsidP="00E56DB7">
      <w:pP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Pr>
          <w:rFonts w:ascii="Palatino Linotype" w:eastAsia="Palatino Linotype" w:hAnsi="Palatino Linotype" w:cs="Palatino Linotype"/>
          <w:i/>
          <w:color w:val="000000"/>
          <w:sz w:val="22"/>
          <w:szCs w:val="22"/>
        </w:rPr>
        <w:t xml:space="preserve">, sus servidores públicos e integrantes, sin importar su fuente o fecha de elaboración. Los documentos podrán estar en cualquier medio, sea escrito, impreso, sonoro, visual, </w:t>
      </w:r>
      <w:r>
        <w:rPr>
          <w:rFonts w:ascii="Palatino Linotype" w:eastAsia="Palatino Linotype" w:hAnsi="Palatino Linotype" w:cs="Palatino Linotype"/>
          <w:b/>
          <w:i/>
          <w:color w:val="000000"/>
          <w:sz w:val="22"/>
          <w:szCs w:val="22"/>
          <w:u w:val="single"/>
        </w:rPr>
        <w:t>electrónico, informático</w:t>
      </w:r>
      <w:r>
        <w:rPr>
          <w:rFonts w:ascii="Palatino Linotype" w:eastAsia="Palatino Linotype" w:hAnsi="Palatino Linotype" w:cs="Palatino Linotype"/>
          <w:i/>
          <w:color w:val="000000"/>
          <w:sz w:val="22"/>
          <w:szCs w:val="22"/>
        </w:rPr>
        <w:t xml:space="preserve"> u holográfico…” (Sic)</w:t>
      </w:r>
    </w:p>
    <w:p w14:paraId="53C84B73" w14:textId="77777777" w:rsidR="007E7A9D" w:rsidRDefault="007E7A9D" w:rsidP="00E56DB7">
      <w:pPr>
        <w:ind w:left="851" w:right="899"/>
        <w:jc w:val="both"/>
        <w:rPr>
          <w:rFonts w:ascii="Palatino Linotype" w:eastAsia="Palatino Linotype" w:hAnsi="Palatino Linotype" w:cs="Palatino Linotype"/>
          <w:sz w:val="22"/>
          <w:szCs w:val="22"/>
        </w:rPr>
      </w:pPr>
    </w:p>
    <w:p w14:paraId="460365DA" w14:textId="77777777" w:rsidR="007E7A9D" w:rsidRDefault="007E7A9D"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0B672554" w14:textId="77777777" w:rsidR="007E7A9D" w:rsidRDefault="007E7A9D" w:rsidP="00E56DB7">
      <w:pPr>
        <w:ind w:left="851" w:right="899"/>
        <w:jc w:val="both"/>
        <w:rPr>
          <w:rFonts w:ascii="Palatino Linotype" w:eastAsia="Palatino Linotype" w:hAnsi="Palatino Linotype" w:cs="Palatino Linotype"/>
        </w:rPr>
      </w:pPr>
    </w:p>
    <w:p w14:paraId="0F0FC5C9" w14:textId="77777777" w:rsidR="007E7A9D" w:rsidRDefault="007E7A9D" w:rsidP="00E56DB7">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6B236152"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59748F"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DD96FD5"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29A42F13"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1AAEA693" w14:textId="77777777" w:rsidR="007E7A9D" w:rsidRDefault="007E7A9D" w:rsidP="00E56DB7">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w:t>
      </w:r>
    </w:p>
    <w:p w14:paraId="3939117F" w14:textId="77777777" w:rsidR="007E7A9D" w:rsidRDefault="007E7A9D" w:rsidP="00E56D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w:t>
      </w:r>
      <w:r>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D610289"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00767D53">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00767D53">
        <w:rPr>
          <w:rFonts w:ascii="Palatino Linotype" w:eastAsia="Palatino Linotype" w:hAnsi="Palatino Linotype" w:cs="Palatino Linotype"/>
        </w:rPr>
        <w:t xml:space="preserve">de la obra de pavimentación </w:t>
      </w:r>
      <w:r w:rsidR="002A3554">
        <w:rPr>
          <w:rFonts w:ascii="Palatino Linotype" w:eastAsia="Palatino Linotype" w:hAnsi="Palatino Linotype" w:cs="Palatino Linotype"/>
        </w:rPr>
        <w:t xml:space="preserve">y drenaje en la Avenida Veracruz (camino a ojo de agua) </w:t>
      </w:r>
      <w:r w:rsidR="006F0984">
        <w:rPr>
          <w:rFonts w:ascii="Palatino Linotype" w:eastAsia="Palatino Linotype" w:hAnsi="Palatino Linotype" w:cs="Palatino Linotype"/>
        </w:rPr>
        <w:t>en las colonias las Brisas y Chiconautla, la siguiente información:</w:t>
      </w:r>
    </w:p>
    <w:p w14:paraId="6DAB33F5" w14:textId="77777777" w:rsidR="000328A3" w:rsidRPr="00671927" w:rsidRDefault="00671927" w:rsidP="00E56DB7">
      <w:pPr>
        <w:pStyle w:val="Prrafodelista"/>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Facturas, transferencias y </w:t>
      </w:r>
      <w:r w:rsidRPr="00EF735E">
        <w:rPr>
          <w:rFonts w:ascii="Palatino Linotype" w:eastAsia="Palatino Linotype" w:hAnsi="Palatino Linotype" w:cs="Palatino Linotype"/>
          <w:color w:val="000000"/>
        </w:rPr>
        <w:t>pól</w:t>
      </w:r>
      <w:r>
        <w:rPr>
          <w:rFonts w:ascii="Palatino Linotype" w:eastAsia="Palatino Linotype" w:hAnsi="Palatino Linotype" w:cs="Palatino Linotype"/>
          <w:color w:val="000000"/>
        </w:rPr>
        <w:t>izas con su soporte documental de las estimaciones pagadas a</w:t>
      </w:r>
      <w:r w:rsidR="00EF735E" w:rsidRPr="00671927">
        <w:rPr>
          <w:rFonts w:ascii="Palatino Linotype" w:eastAsia="Palatino Linotype" w:hAnsi="Palatino Linotype" w:cs="Palatino Linotype"/>
          <w:color w:val="000000"/>
        </w:rPr>
        <w:t xml:space="preserve"> la constructora o persona física que </w:t>
      </w:r>
      <w:r w:rsidR="00BD1E19" w:rsidRPr="00671927">
        <w:rPr>
          <w:rFonts w:ascii="Palatino Linotype" w:eastAsia="Palatino Linotype" w:hAnsi="Palatino Linotype" w:cs="Palatino Linotype"/>
          <w:color w:val="000000"/>
        </w:rPr>
        <w:t xml:space="preserve">está haciendo la </w:t>
      </w:r>
      <w:r>
        <w:rPr>
          <w:rFonts w:ascii="Palatino Linotype" w:eastAsia="Palatino Linotype" w:hAnsi="Palatino Linotype" w:cs="Palatino Linotype"/>
          <w:color w:val="000000"/>
        </w:rPr>
        <w:t>obra;</w:t>
      </w:r>
      <w:r w:rsidR="00EF735E" w:rsidRPr="00671927">
        <w:rPr>
          <w:rFonts w:ascii="Palatino Linotype" w:eastAsia="Palatino Linotype" w:hAnsi="Palatino Linotype" w:cs="Palatino Linotype"/>
          <w:color w:val="000000"/>
        </w:rPr>
        <w:t xml:space="preserve"> </w:t>
      </w:r>
    </w:p>
    <w:p w14:paraId="5BF53750" w14:textId="77777777" w:rsidR="00671927" w:rsidRDefault="00671927" w:rsidP="00E56DB7">
      <w:pPr>
        <w:pStyle w:val="Prrafodelista"/>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ser caso de que la información descrita en el numeral anterior se </w:t>
      </w:r>
      <w:r w:rsidR="005B1200">
        <w:rPr>
          <w:rFonts w:ascii="Palatino Linotype" w:eastAsia="Palatino Linotype" w:hAnsi="Palatino Linotype" w:cs="Palatino Linotype"/>
          <w:color w:val="000000"/>
        </w:rPr>
        <w:t xml:space="preserve">haya </w:t>
      </w:r>
      <w:r w:rsidR="005B1200" w:rsidRPr="00EF735E">
        <w:rPr>
          <w:rFonts w:ascii="Palatino Linotype" w:eastAsia="Palatino Linotype" w:hAnsi="Palatino Linotype" w:cs="Palatino Linotype"/>
          <w:color w:val="000000"/>
        </w:rPr>
        <w:t>enviado</w:t>
      </w:r>
      <w:r w:rsidR="00EF735E" w:rsidRPr="00EF735E">
        <w:rPr>
          <w:rFonts w:ascii="Palatino Linotype" w:eastAsia="Palatino Linotype" w:hAnsi="Palatino Linotype" w:cs="Palatino Linotype"/>
          <w:color w:val="000000"/>
        </w:rPr>
        <w:t xml:space="preserve"> a alguna instancia del Gobierno Estatal o Federal, o en su caso a alguna dependencia del Congreso local o federal; copia de los </w:t>
      </w:r>
      <w:r w:rsidR="005B1200">
        <w:rPr>
          <w:rFonts w:ascii="Palatino Linotype" w:eastAsia="Palatino Linotype" w:hAnsi="Palatino Linotype" w:cs="Palatino Linotype"/>
          <w:color w:val="000000"/>
        </w:rPr>
        <w:t>oficios con su acuse respectivo;</w:t>
      </w:r>
    </w:p>
    <w:p w14:paraId="6957D4E5" w14:textId="77777777" w:rsidR="00CB06B8" w:rsidRPr="00671927" w:rsidRDefault="005B1200" w:rsidP="00E56DB7">
      <w:pPr>
        <w:pStyle w:val="Prrafodelista"/>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w:t>
      </w:r>
      <w:r w:rsidR="00CB06B8" w:rsidRPr="00671927">
        <w:rPr>
          <w:rFonts w:ascii="Palatino Linotype" w:eastAsia="Palatino Linotype" w:hAnsi="Palatino Linotype" w:cs="Palatino Linotype"/>
          <w:color w:val="000000"/>
        </w:rPr>
        <w:t>res</w:t>
      </w:r>
      <w:r>
        <w:rPr>
          <w:rFonts w:ascii="Palatino Linotype" w:eastAsia="Palatino Linotype" w:hAnsi="Palatino Linotype" w:cs="Palatino Linotype"/>
          <w:color w:val="000000"/>
        </w:rPr>
        <w:t>upuesto que presentado por</w:t>
      </w:r>
      <w:r w:rsidR="00EF735E" w:rsidRPr="00671927">
        <w:rPr>
          <w:rFonts w:ascii="Palatino Linotype" w:eastAsia="Palatino Linotype" w:hAnsi="Palatino Linotype" w:cs="Palatino Linotype"/>
          <w:color w:val="000000"/>
        </w:rPr>
        <w:t xml:space="preserve"> la empresa o persona física para que lo contrataran</w:t>
      </w:r>
      <w:r>
        <w:rPr>
          <w:rFonts w:ascii="Palatino Linotype" w:eastAsia="Palatino Linotype" w:hAnsi="Palatino Linotype" w:cs="Palatino Linotype"/>
          <w:color w:val="000000"/>
        </w:rPr>
        <w:t>; así como, el</w:t>
      </w:r>
      <w:r w:rsidR="00EF735E" w:rsidRPr="00671927">
        <w:rPr>
          <w:rFonts w:ascii="Palatino Linotype" w:eastAsia="Palatino Linotype" w:hAnsi="Palatino Linotype" w:cs="Palatino Linotype"/>
          <w:color w:val="000000"/>
        </w:rPr>
        <w:t xml:space="preserve"> so</w:t>
      </w:r>
      <w:r>
        <w:rPr>
          <w:rFonts w:ascii="Palatino Linotype" w:eastAsia="Palatino Linotype" w:hAnsi="Palatino Linotype" w:cs="Palatino Linotype"/>
          <w:color w:val="000000"/>
        </w:rPr>
        <w:t xml:space="preserve">porte de sus precios unitarios; </w:t>
      </w:r>
    </w:p>
    <w:p w14:paraId="698F576A" w14:textId="77777777" w:rsidR="00871AE8" w:rsidRDefault="00EF735E" w:rsidP="00E56DB7">
      <w:pPr>
        <w:pStyle w:val="Prrafodelista"/>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CB06B8">
        <w:rPr>
          <w:rFonts w:ascii="Palatino Linotype" w:eastAsia="Palatino Linotype" w:hAnsi="Palatino Linotype" w:cs="Palatino Linotype"/>
          <w:color w:val="000000"/>
        </w:rPr>
        <w:lastRenderedPageBreak/>
        <w:t>Descripción de la planeación integral del licitante para realizar los trabajos, incluyendo el procedimiento constructivo de ejecución de los trabajos, considerando, en su caso, las restricciones técnicas que procedan conforme a los proyectos ejecutivos que establezcan las dependencias y entidades, que marca el</w:t>
      </w:r>
      <w:r w:rsidR="00CB06B8">
        <w:rPr>
          <w:rFonts w:ascii="Palatino Linotype" w:eastAsia="Palatino Linotype" w:hAnsi="Palatino Linotype" w:cs="Palatino Linotype"/>
          <w:color w:val="000000"/>
        </w:rPr>
        <w:t xml:space="preserve"> reglamento de la Ley de Obras Pú</w:t>
      </w:r>
      <w:r w:rsidRPr="00CB06B8">
        <w:rPr>
          <w:rFonts w:ascii="Palatino Linotype" w:eastAsia="Palatino Linotype" w:hAnsi="Palatino Linotype" w:cs="Palatino Linotype"/>
          <w:color w:val="000000"/>
        </w:rPr>
        <w:t>blicas o el documento que hayan solicitado en las bases del concurso.</w:t>
      </w:r>
    </w:p>
    <w:p w14:paraId="3B1971DF" w14:textId="77777777" w:rsidR="005B1200" w:rsidRDefault="00065ED1" w:rsidP="00E56DB7">
      <w:pPr>
        <w:pStyle w:val="Prrafodelista"/>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Nombre del </w:t>
      </w:r>
      <w:r w:rsidR="00EF735E" w:rsidRPr="00CB06B8">
        <w:rPr>
          <w:rFonts w:ascii="Palatino Linotype" w:eastAsia="Palatino Linotype" w:hAnsi="Palatino Linotype" w:cs="Palatino Linotype"/>
          <w:color w:val="000000"/>
        </w:rPr>
        <w:t xml:space="preserve">representante en la obra, que este a cargo de la vigilancia o residencia de obra y autorización de los trabajos, con </w:t>
      </w:r>
      <w:proofErr w:type="spellStart"/>
      <w:r w:rsidR="00EF735E" w:rsidRPr="00CB06B8">
        <w:rPr>
          <w:rFonts w:ascii="Palatino Linotype" w:eastAsia="Palatino Linotype" w:hAnsi="Palatino Linotype" w:cs="Palatino Linotype"/>
          <w:color w:val="000000"/>
        </w:rPr>
        <w:t>curriculum</w:t>
      </w:r>
      <w:proofErr w:type="spellEnd"/>
      <w:r w:rsidR="00EF735E" w:rsidRPr="00CB06B8">
        <w:rPr>
          <w:rFonts w:ascii="Palatino Linotype" w:eastAsia="Palatino Linotype" w:hAnsi="Palatino Linotype" w:cs="Palatino Linotype"/>
          <w:color w:val="000000"/>
        </w:rPr>
        <w:t xml:space="preserve"> y cedula profesional. </w:t>
      </w:r>
    </w:p>
    <w:p w14:paraId="5A325539" w14:textId="77777777" w:rsidR="0092347A" w:rsidRPr="00DA5737" w:rsidRDefault="00277DBF" w:rsidP="00E56DB7">
      <w:pPr>
        <w:pStyle w:val="Prrafodelista"/>
        <w:numPr>
          <w:ilvl w:val="0"/>
          <w:numId w:val="8"/>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DA5737">
        <w:rPr>
          <w:rFonts w:ascii="Palatino Linotype" w:eastAsia="Palatino Linotype" w:hAnsi="Palatino Linotype" w:cs="Palatino Linotype"/>
        </w:rPr>
        <w:t>De la Contraloría M</w:t>
      </w:r>
      <w:r w:rsidR="0092347A" w:rsidRPr="00DA5737">
        <w:rPr>
          <w:rFonts w:ascii="Palatino Linotype" w:eastAsia="Palatino Linotype" w:hAnsi="Palatino Linotype" w:cs="Palatino Linotype"/>
        </w:rPr>
        <w:t xml:space="preserve">unicipal: </w:t>
      </w:r>
    </w:p>
    <w:p w14:paraId="57FC440C" w14:textId="77777777" w:rsidR="00233A29" w:rsidRPr="00DA5737" w:rsidRDefault="00233A29" w:rsidP="00E56DB7">
      <w:pPr>
        <w:pStyle w:val="Prrafodelista"/>
        <w:numPr>
          <w:ilvl w:val="0"/>
          <w:numId w:val="2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DA5737">
        <w:rPr>
          <w:rFonts w:ascii="Palatino Linotype" w:eastAsia="Palatino Linotype" w:hAnsi="Palatino Linotype" w:cs="Palatino Linotype"/>
        </w:rPr>
        <w:t xml:space="preserve">Nombre del testigo </w:t>
      </w:r>
      <w:proofErr w:type="gramStart"/>
      <w:r w:rsidRPr="00DA5737">
        <w:rPr>
          <w:rFonts w:ascii="Palatino Linotype" w:eastAsia="Palatino Linotype" w:hAnsi="Palatino Linotype" w:cs="Palatino Linotype"/>
        </w:rPr>
        <w:t>social  y</w:t>
      </w:r>
      <w:proofErr w:type="gramEnd"/>
      <w:r w:rsidRPr="00DA5737">
        <w:rPr>
          <w:rFonts w:ascii="Palatino Linotype" w:eastAsia="Palatino Linotype" w:hAnsi="Palatino Linotype" w:cs="Palatino Linotype"/>
        </w:rPr>
        <w:t xml:space="preserve"> documento donde conste el proceso de elección;</w:t>
      </w:r>
    </w:p>
    <w:p w14:paraId="03CB601F" w14:textId="77777777" w:rsidR="00233A29" w:rsidRPr="00DA5737" w:rsidRDefault="00233A29" w:rsidP="00E56DB7">
      <w:pPr>
        <w:pStyle w:val="Prrafodelista"/>
        <w:numPr>
          <w:ilvl w:val="0"/>
          <w:numId w:val="23"/>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DA5737">
        <w:rPr>
          <w:rFonts w:ascii="Palatino Linotype" w:eastAsia="Palatino Linotype" w:hAnsi="Palatino Linotype" w:cs="Palatino Linotype"/>
        </w:rPr>
        <w:t>Convocatoria para la integración del Comité de Vigilancia y el nombre de sus integrantes; y,</w:t>
      </w:r>
    </w:p>
    <w:p w14:paraId="2C333DFC" w14:textId="77777777" w:rsidR="00233A29" w:rsidRPr="00D16931" w:rsidRDefault="00233A29" w:rsidP="00E56DB7">
      <w:pPr>
        <w:pStyle w:val="Prrafodelista"/>
        <w:numPr>
          <w:ilvl w:val="0"/>
          <w:numId w:val="23"/>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Soporte documental que dé cuenta o en el que se advierta la </w:t>
      </w:r>
      <w:r>
        <w:rPr>
          <w:rFonts w:ascii="Palatino Linotype" w:eastAsia="Palatino Linotype" w:hAnsi="Palatino Linotype" w:cs="Palatino Linotype"/>
          <w:color w:val="000000"/>
        </w:rPr>
        <w:t>participación de la Contraloría Municipal en la vigilancia de la calidad de la obra</w:t>
      </w:r>
      <w:r w:rsidRPr="00D16931">
        <w:rPr>
          <w:rFonts w:ascii="Palatino Linotype" w:eastAsia="Palatino Linotype" w:hAnsi="Palatino Linotype" w:cs="Palatino Linotype"/>
          <w:color w:val="000000"/>
        </w:rPr>
        <w:t>.</w:t>
      </w:r>
    </w:p>
    <w:p w14:paraId="44DDB347" w14:textId="77777777" w:rsidR="00F83EF1" w:rsidRDefault="005B1200" w:rsidP="00E56DB7">
      <w:pPr>
        <w:spacing w:line="360" w:lineRule="auto"/>
        <w:ind w:right="49"/>
        <w:jc w:val="both"/>
        <w:rPr>
          <w:rFonts w:ascii="Palatino Linotype" w:eastAsia="Palatino Linotype" w:hAnsi="Palatino Linotype" w:cs="Palatino Linotype"/>
        </w:rPr>
      </w:pPr>
      <w:r w:rsidRPr="005B1200">
        <w:rPr>
          <w:rFonts w:ascii="Palatino Linotype" w:eastAsia="Palatino Linotype" w:hAnsi="Palatino Linotype" w:cs="Palatino Linotype"/>
        </w:rPr>
        <w:t xml:space="preserve">Es oportuno reiterar que en </w:t>
      </w:r>
      <w:r w:rsidRPr="005B1200">
        <w:rPr>
          <w:rFonts w:ascii="Palatino Linotype" w:eastAsia="Palatino Linotype" w:hAnsi="Palatino Linotype" w:cs="Palatino Linotype"/>
          <w:b/>
        </w:rPr>
        <w:t xml:space="preserve">Sujeto Obligado </w:t>
      </w:r>
      <w:r w:rsidRPr="005B1200">
        <w:rPr>
          <w:rFonts w:ascii="Palatino Linotype" w:eastAsia="Palatino Linotype" w:hAnsi="Palatino Linotype" w:cs="Palatino Linotype"/>
        </w:rPr>
        <w:t xml:space="preserve">omitió responder a la solicitud de información </w:t>
      </w:r>
      <w:r>
        <w:rPr>
          <w:rFonts w:ascii="Palatino Linotype" w:eastAsia="Palatino Linotype" w:hAnsi="Palatino Linotype" w:cs="Palatino Linotype"/>
        </w:rPr>
        <w:t xml:space="preserve">en el plazo otorgado para al efecto; no obstante lo anterior, haciendo uso de su derecho a través del informe justificado remitió los oficios suscritos y signados por los Servidores Públicos Habilitados de la Tesorería Municipal y de la </w:t>
      </w:r>
      <w:r w:rsidR="0092347A">
        <w:rPr>
          <w:rFonts w:ascii="Palatino Linotype" w:eastAsia="Palatino Linotype" w:hAnsi="Palatino Linotype" w:cs="Palatino Linotype"/>
        </w:rPr>
        <w:t>Dirección de Desarrollo Urbano y Obras Públicas</w:t>
      </w:r>
      <w:r>
        <w:rPr>
          <w:rFonts w:ascii="Palatino Linotype" w:eastAsia="Palatino Linotype" w:hAnsi="Palatino Linotype" w:cs="Palatino Linotype"/>
        </w:rPr>
        <w:t>, quienes s</w:t>
      </w:r>
      <w:r w:rsidR="0092347A">
        <w:rPr>
          <w:rFonts w:ascii="Palatino Linotype" w:eastAsia="Palatino Linotype" w:hAnsi="Palatino Linotype" w:cs="Palatino Linotype"/>
        </w:rPr>
        <w:t>ustancialmente manifestaron el</w:t>
      </w:r>
      <w:r>
        <w:rPr>
          <w:rFonts w:ascii="Palatino Linotype" w:eastAsia="Palatino Linotype" w:hAnsi="Palatino Linotype" w:cs="Palatino Linotype"/>
        </w:rPr>
        <w:t xml:space="preserve"> impedimento para dar acceso a la información pública solicitada, ya que la misma se encuentra en el área de investigación de la Contraloría Interna </w:t>
      </w:r>
      <w:r>
        <w:rPr>
          <w:rFonts w:ascii="Palatino Linotype" w:eastAsia="Palatino Linotype" w:hAnsi="Palatino Linotype" w:cs="Palatino Linotype"/>
        </w:rPr>
        <w:lastRenderedPageBreak/>
        <w:t xml:space="preserve">Municipal, </w:t>
      </w:r>
      <w:r w:rsidR="0083444F">
        <w:rPr>
          <w:rFonts w:ascii="Palatino Linotype" w:eastAsia="Palatino Linotype" w:hAnsi="Palatino Linotype" w:cs="Palatino Linotype"/>
        </w:rPr>
        <w:t xml:space="preserve">y por lo tanto, se actualiza el supuesto establecido en el artículo 140, fracción VI de la Ley de Transparencia de la Entidad, que es del tenor literal siguiente: </w:t>
      </w:r>
    </w:p>
    <w:p w14:paraId="0833969E" w14:textId="77777777" w:rsidR="0083444F" w:rsidRDefault="0083444F" w:rsidP="00E56DB7">
      <w:pPr>
        <w:spacing w:line="360" w:lineRule="auto"/>
        <w:ind w:right="49"/>
        <w:jc w:val="both"/>
        <w:rPr>
          <w:rFonts w:ascii="Palatino Linotype" w:eastAsia="Palatino Linotype" w:hAnsi="Palatino Linotype" w:cs="Palatino Linotype"/>
        </w:rPr>
      </w:pPr>
    </w:p>
    <w:p w14:paraId="3E25ED7C" w14:textId="77777777" w:rsidR="0083444F" w:rsidRPr="0083444F" w:rsidRDefault="0083444F" w:rsidP="00E56DB7">
      <w:pPr>
        <w:spacing w:line="276" w:lineRule="auto"/>
        <w:ind w:left="851" w:right="616"/>
        <w:jc w:val="both"/>
        <w:rPr>
          <w:rFonts w:ascii="Palatino Linotype" w:hAnsi="Palatino Linotype"/>
          <w:i/>
          <w:sz w:val="22"/>
          <w:szCs w:val="22"/>
        </w:rPr>
      </w:pPr>
      <w:r w:rsidRPr="0083444F">
        <w:rPr>
          <w:rFonts w:ascii="Palatino Linotype" w:hAnsi="Palatino Linotype"/>
          <w:b/>
          <w:i/>
          <w:sz w:val="22"/>
          <w:szCs w:val="22"/>
        </w:rPr>
        <w:t>“Artículo 140.</w:t>
      </w:r>
      <w:r w:rsidRPr="0083444F">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w:t>
      </w:r>
    </w:p>
    <w:p w14:paraId="50148FD4" w14:textId="77777777" w:rsidR="0083444F" w:rsidRPr="0083444F" w:rsidRDefault="0083444F" w:rsidP="00E56DB7">
      <w:pPr>
        <w:spacing w:line="276" w:lineRule="auto"/>
        <w:ind w:left="851" w:right="616"/>
        <w:jc w:val="both"/>
        <w:rPr>
          <w:rFonts w:ascii="Palatino Linotype" w:hAnsi="Palatino Linotype"/>
          <w:i/>
          <w:sz w:val="22"/>
          <w:szCs w:val="22"/>
        </w:rPr>
      </w:pPr>
      <w:r w:rsidRPr="0083444F">
        <w:rPr>
          <w:rFonts w:ascii="Palatino Linotype" w:hAnsi="Palatino Linotype"/>
          <w:i/>
          <w:sz w:val="22"/>
          <w:szCs w:val="22"/>
        </w:rPr>
        <w:t>…</w:t>
      </w:r>
    </w:p>
    <w:p w14:paraId="3FDE936E" w14:textId="77777777" w:rsidR="0083444F" w:rsidRDefault="0083444F" w:rsidP="00E56DB7">
      <w:pPr>
        <w:spacing w:line="276" w:lineRule="auto"/>
        <w:ind w:left="851" w:right="616"/>
        <w:jc w:val="both"/>
        <w:rPr>
          <w:rFonts w:ascii="Palatino Linotype" w:hAnsi="Palatino Linotype"/>
          <w:i/>
          <w:sz w:val="22"/>
          <w:szCs w:val="22"/>
        </w:rPr>
      </w:pPr>
      <w:r w:rsidRPr="0083444F">
        <w:rPr>
          <w:rFonts w:ascii="Palatino Linotype" w:hAnsi="Palatino Linotype"/>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8CAAD83" w14:textId="77777777" w:rsidR="0083444F" w:rsidRDefault="0083444F" w:rsidP="00E56DB7">
      <w:pPr>
        <w:spacing w:line="276" w:lineRule="auto"/>
        <w:ind w:left="851" w:right="616"/>
        <w:jc w:val="both"/>
        <w:rPr>
          <w:rFonts w:ascii="Palatino Linotype" w:hAnsi="Palatino Linotype"/>
          <w:i/>
          <w:sz w:val="22"/>
          <w:szCs w:val="22"/>
        </w:rPr>
      </w:pPr>
      <w:r>
        <w:rPr>
          <w:rFonts w:ascii="Palatino Linotype" w:hAnsi="Palatino Linotype"/>
          <w:i/>
          <w:sz w:val="22"/>
          <w:szCs w:val="22"/>
        </w:rPr>
        <w:t>…”</w:t>
      </w:r>
    </w:p>
    <w:p w14:paraId="726F7086" w14:textId="77777777" w:rsidR="0083444F" w:rsidRDefault="0083444F" w:rsidP="00E56DB7">
      <w:pPr>
        <w:spacing w:line="276" w:lineRule="auto"/>
        <w:ind w:left="851" w:right="616"/>
        <w:jc w:val="both"/>
        <w:rPr>
          <w:rFonts w:ascii="Palatino Linotype" w:hAnsi="Palatino Linotype"/>
          <w:i/>
          <w:sz w:val="22"/>
          <w:szCs w:val="22"/>
        </w:rPr>
      </w:pPr>
    </w:p>
    <w:p w14:paraId="383CC123" w14:textId="77777777" w:rsidR="0083444F" w:rsidRDefault="0083444F" w:rsidP="00E56DB7">
      <w:pPr>
        <w:spacing w:line="360" w:lineRule="auto"/>
        <w:ind w:right="49"/>
        <w:jc w:val="both"/>
        <w:rPr>
          <w:rFonts w:ascii="Palatino Linotype" w:hAnsi="Palatino Linotype"/>
        </w:rPr>
      </w:pPr>
      <w:r>
        <w:rPr>
          <w:rFonts w:ascii="Palatino Linotype" w:hAnsi="Palatino Linotype"/>
        </w:rPr>
        <w:t xml:space="preserve">Es así que, de las constancias que integran el expediente electrónico del recurso de revisión que se resuelve, se tiene que el </w:t>
      </w:r>
      <w:r>
        <w:rPr>
          <w:rFonts w:ascii="Palatino Linotype" w:hAnsi="Palatino Linotype"/>
          <w:b/>
        </w:rPr>
        <w:t xml:space="preserve">Sujeto Obligado </w:t>
      </w:r>
      <w:r>
        <w:rPr>
          <w:rFonts w:ascii="Palatino Linotype" w:hAnsi="Palatino Linotype"/>
        </w:rPr>
        <w:t xml:space="preserve">pretendió clasificar la información solicitada como información reservada, ya que considera que su divulgación podría actualizar la hipótesis jurídica prevista en la fracción VI de la Ley de Transparencia Local. </w:t>
      </w:r>
    </w:p>
    <w:p w14:paraId="0DCA2A51" w14:textId="77777777" w:rsidR="0083444F" w:rsidRDefault="0083444F" w:rsidP="00E56DB7">
      <w:pPr>
        <w:spacing w:line="360" w:lineRule="auto"/>
        <w:ind w:right="49"/>
        <w:jc w:val="both"/>
        <w:rPr>
          <w:rFonts w:ascii="Palatino Linotype" w:hAnsi="Palatino Linotype"/>
        </w:rPr>
      </w:pPr>
    </w:p>
    <w:p w14:paraId="1FC62DA9" w14:textId="77777777" w:rsidR="00BF1413" w:rsidRPr="005B5632" w:rsidRDefault="00BF1413" w:rsidP="00E56DB7">
      <w:pPr>
        <w:spacing w:line="360" w:lineRule="auto"/>
        <w:ind w:right="49"/>
        <w:jc w:val="both"/>
        <w:rPr>
          <w:rFonts w:ascii="Palatino Linotype" w:hAnsi="Palatino Linotype"/>
        </w:rPr>
      </w:pPr>
      <w:r>
        <w:rPr>
          <w:rFonts w:ascii="Palatino Linotype" w:hAnsi="Palatino Linotype"/>
        </w:rPr>
        <w:t>En este tenor</w:t>
      </w:r>
      <w:r w:rsidR="0092347A">
        <w:rPr>
          <w:rFonts w:ascii="Palatino Linotype" w:hAnsi="Palatino Linotype"/>
        </w:rPr>
        <w:t>, es necesario enfatizar</w:t>
      </w:r>
      <w:r w:rsidRPr="005B5632">
        <w:rPr>
          <w:rFonts w:ascii="Palatino Linotype" w:hAnsi="Palatino Linotype"/>
        </w:rPr>
        <w:t xml:space="preserve"> que de acuerdo con el Criterio de Interpretación 029/2010 emitido por el Instituto Nacional de Transparencia, Acceso a la Información y Protección de Datos Personales, la clasificación y la inexistencia de la información no coexisten entre sí, ya que la clasificación de la información </w:t>
      </w:r>
      <w:r w:rsidRPr="005B5632">
        <w:rPr>
          <w:rFonts w:ascii="Palatino Linotype" w:hAnsi="Palatino Linotype"/>
          <w:b/>
        </w:rPr>
        <w:t xml:space="preserve">implica </w:t>
      </w:r>
      <w:r w:rsidRPr="005B5632">
        <w:rPr>
          <w:rFonts w:ascii="Palatino Linotype" w:hAnsi="Palatino Linotype"/>
          <w:b/>
        </w:rPr>
        <w:lastRenderedPageBreak/>
        <w:t>invariablemente la existencia de un documento o documento determinados</w:t>
      </w:r>
      <w:r w:rsidRPr="005B5632">
        <w:rPr>
          <w:rFonts w:ascii="Palatino Linotype" w:hAnsi="Palatino Linotype"/>
        </w:rPr>
        <w:t xml:space="preserve">, tal como se prevé a continuación: </w:t>
      </w:r>
    </w:p>
    <w:p w14:paraId="10D263C5" w14:textId="77777777" w:rsidR="00BF1413" w:rsidRPr="005B5632" w:rsidRDefault="00BF1413" w:rsidP="00E56DB7">
      <w:pPr>
        <w:spacing w:line="360" w:lineRule="auto"/>
        <w:jc w:val="both"/>
        <w:rPr>
          <w:rFonts w:ascii="Palatino Linotype" w:hAnsi="Palatino Linotype"/>
        </w:rPr>
      </w:pPr>
    </w:p>
    <w:p w14:paraId="724A38F5" w14:textId="77777777" w:rsidR="00BF1413" w:rsidRPr="005B5632" w:rsidRDefault="00BF1413" w:rsidP="00E56DB7">
      <w:pPr>
        <w:spacing w:line="276" w:lineRule="auto"/>
        <w:ind w:left="567" w:right="616"/>
        <w:jc w:val="both"/>
        <w:rPr>
          <w:rFonts w:ascii="Palatino Linotype" w:hAnsi="Palatino Linotype" w:cs="Arial"/>
          <w:i/>
          <w:color w:val="000000"/>
          <w:sz w:val="22"/>
        </w:rPr>
      </w:pPr>
      <w:r w:rsidRPr="005B5632">
        <w:rPr>
          <w:rFonts w:ascii="Palatino Linotype" w:hAnsi="Palatino Linotype" w:cs="Arial"/>
          <w:b/>
          <w:i/>
          <w:sz w:val="22"/>
        </w:rPr>
        <w:t>La clasificación y la inexistencia de información son conceptos que no pueden coexistir.</w:t>
      </w:r>
      <w:r w:rsidRPr="005B5632">
        <w:rPr>
          <w:rFonts w:ascii="Palatino Linotype" w:hAnsi="Palatino Linotype" w:cs="Arial"/>
          <w:i/>
          <w:sz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477F848" w14:textId="77777777" w:rsidR="00BF1413" w:rsidRPr="005B5632" w:rsidRDefault="00BF1413" w:rsidP="00E56DB7">
      <w:pPr>
        <w:spacing w:line="360" w:lineRule="auto"/>
        <w:jc w:val="both"/>
        <w:rPr>
          <w:rFonts w:ascii="Palatino Linotype" w:hAnsi="Palatino Linotype"/>
        </w:rPr>
      </w:pPr>
    </w:p>
    <w:p w14:paraId="297C9D93" w14:textId="77777777" w:rsidR="00BF1413" w:rsidRPr="00BF1413" w:rsidRDefault="0092347A" w:rsidP="00E56DB7">
      <w:pPr>
        <w:spacing w:line="360" w:lineRule="auto"/>
        <w:jc w:val="both"/>
        <w:rPr>
          <w:rFonts w:ascii="Palatino Linotype" w:eastAsia="Calibri" w:hAnsi="Palatino Linotype" w:cs="Tahoma"/>
          <w:bCs/>
          <w:color w:val="0D0D0D" w:themeColor="text1" w:themeTint="F2"/>
          <w:lang w:eastAsia="en-US"/>
        </w:rPr>
      </w:pPr>
      <w:r>
        <w:rPr>
          <w:rFonts w:ascii="Palatino Linotype" w:eastAsia="Calibri" w:hAnsi="Palatino Linotype" w:cs="Tahoma"/>
          <w:bCs/>
          <w:color w:val="0D0D0D" w:themeColor="text1" w:themeTint="F2"/>
          <w:lang w:eastAsia="en-US"/>
        </w:rPr>
        <w:t>Del citado criterio, se desprende</w:t>
      </w:r>
      <w:r w:rsidR="00BF1413" w:rsidRPr="00BF1413">
        <w:rPr>
          <w:rFonts w:ascii="Palatino Linotype" w:eastAsia="Calibri" w:hAnsi="Palatino Linotype" w:cs="Tahoma"/>
          <w:bCs/>
          <w:color w:val="0D0D0D" w:themeColor="text1" w:themeTint="F2"/>
          <w:lang w:eastAsia="en-US"/>
        </w:rPr>
        <w:t xml:space="preserve"> que la clasificación y la inexistencia no coexisten entre sí, en virtud de que la primera implica la existencia de un documento o documentos determinados, mientras que la segunda conlleva a la ausencia de estos en los archivos de la dependencia o entidad de que se trate.</w:t>
      </w:r>
    </w:p>
    <w:p w14:paraId="2CB5EBD1" w14:textId="77777777" w:rsidR="00BF1413" w:rsidRDefault="00BF1413" w:rsidP="00E56DB7">
      <w:pPr>
        <w:spacing w:line="360" w:lineRule="auto"/>
        <w:jc w:val="both"/>
        <w:rPr>
          <w:rFonts w:ascii="Palatino Linotype" w:hAnsi="Palatino Linotype"/>
        </w:rPr>
      </w:pPr>
    </w:p>
    <w:p w14:paraId="5A247B7A" w14:textId="77777777" w:rsidR="00BF1413" w:rsidRPr="005B5632" w:rsidRDefault="00BF1413" w:rsidP="00E56DB7">
      <w:pPr>
        <w:spacing w:line="360" w:lineRule="auto"/>
        <w:jc w:val="both"/>
        <w:rPr>
          <w:rFonts w:ascii="Palatino Linotype" w:hAnsi="Palatino Linotype"/>
          <w:b/>
        </w:rPr>
      </w:pPr>
      <w:r w:rsidRPr="005B5632">
        <w:rPr>
          <w:rFonts w:ascii="Palatino Linotype" w:hAnsi="Palatino Linotype"/>
        </w:rPr>
        <w:t xml:space="preserve">Por lo que, toda vez que el Sujeto Obligado </w:t>
      </w:r>
      <w:r w:rsidR="0092347A">
        <w:rPr>
          <w:rFonts w:ascii="Palatino Linotype" w:hAnsi="Palatino Linotype"/>
        </w:rPr>
        <w:t xml:space="preserve">omitió entregar </w:t>
      </w:r>
      <w:r w:rsidR="0092347A" w:rsidRPr="005B5632">
        <w:rPr>
          <w:rFonts w:ascii="Palatino Linotype" w:hAnsi="Palatino Linotype"/>
        </w:rPr>
        <w:t>la</w:t>
      </w:r>
      <w:r w:rsidRPr="005B5632">
        <w:rPr>
          <w:rFonts w:ascii="Palatino Linotype" w:hAnsi="Palatino Linotype"/>
        </w:rPr>
        <w:t xml:space="preserve"> información solicitada</w:t>
      </w:r>
      <w:r w:rsidR="0092347A">
        <w:rPr>
          <w:rFonts w:ascii="Palatino Linotype" w:hAnsi="Palatino Linotype"/>
        </w:rPr>
        <w:t xml:space="preserve"> porque considera que se actualiza una de las hipótesis jurídicas previstas en el artículo 140 de la Ley de Transparencia de la Entidad</w:t>
      </w:r>
      <w:r w:rsidRPr="005B5632">
        <w:rPr>
          <w:rFonts w:ascii="Palatino Linotype" w:hAnsi="Palatino Linotype"/>
        </w:rPr>
        <w:t xml:space="preserve">, se colige que en sus archivos obran los documentos que dan cuenta de </w:t>
      </w:r>
      <w:r w:rsidR="0092347A">
        <w:rPr>
          <w:rFonts w:ascii="Palatino Linotype" w:hAnsi="Palatino Linotype"/>
        </w:rPr>
        <w:t>los requerimientos formulados en la solicitud</w:t>
      </w:r>
      <w:r w:rsidRPr="005B5632">
        <w:rPr>
          <w:rFonts w:ascii="Palatino Linotype" w:hAnsi="Palatino Linotype"/>
        </w:rPr>
        <w:t xml:space="preserve">, ya que, tal como lo precisa el Criterio 029/2010  previamente señalado, </w:t>
      </w:r>
      <w:r w:rsidRPr="005B5632">
        <w:rPr>
          <w:rFonts w:ascii="Palatino Linotype" w:hAnsi="Palatino Linotype"/>
          <w:b/>
        </w:rPr>
        <w:t xml:space="preserve">la </w:t>
      </w:r>
      <w:r w:rsidRPr="005B5632">
        <w:rPr>
          <w:rFonts w:ascii="Palatino Linotype" w:hAnsi="Palatino Linotype"/>
          <w:b/>
        </w:rPr>
        <w:lastRenderedPageBreak/>
        <w:t xml:space="preserve">clasificación de la información implica la existencia de un documento o documentos determinados. </w:t>
      </w:r>
    </w:p>
    <w:p w14:paraId="44A1ED42" w14:textId="77777777" w:rsidR="0083444F" w:rsidRDefault="0083444F" w:rsidP="00E56DB7">
      <w:pPr>
        <w:spacing w:line="276" w:lineRule="auto"/>
        <w:ind w:right="616"/>
        <w:jc w:val="both"/>
        <w:rPr>
          <w:rFonts w:ascii="Palatino Linotype" w:eastAsia="Palatino Linotype" w:hAnsi="Palatino Linotype" w:cs="Palatino Linotype"/>
        </w:rPr>
      </w:pPr>
    </w:p>
    <w:p w14:paraId="1317D312" w14:textId="77777777" w:rsidR="00BF1413" w:rsidRDefault="00BF1413" w:rsidP="00E56DB7">
      <w:pPr>
        <w:spacing w:line="360" w:lineRule="auto"/>
        <w:jc w:val="both"/>
        <w:rPr>
          <w:rFonts w:ascii="Palatino Linotype" w:hAnsi="Palatino Linotype" w:cs="Tahoma"/>
          <w:bCs/>
          <w:color w:val="0D0D0D" w:themeColor="text1" w:themeTint="F2"/>
        </w:rPr>
      </w:pPr>
      <w:r w:rsidRPr="00AA6820">
        <w:rPr>
          <w:rFonts w:ascii="Palatino Linotype" w:eastAsia="Calibri" w:hAnsi="Palatino Linotype" w:cs="Tahoma"/>
          <w:bCs/>
          <w:color w:val="0D0D0D" w:themeColor="text1" w:themeTint="F2"/>
          <w:lang w:eastAsia="en-US"/>
        </w:rPr>
        <w:t xml:space="preserve">Conforme a lo anterior, se negó el acceso a la información peticionada por la parte Recurrente, al </w:t>
      </w:r>
      <w:r w:rsidR="0092347A">
        <w:rPr>
          <w:rFonts w:ascii="Palatino Linotype" w:eastAsia="Calibri" w:hAnsi="Palatino Linotype" w:cs="Tahoma"/>
          <w:bCs/>
          <w:color w:val="0D0D0D" w:themeColor="text1" w:themeTint="F2"/>
          <w:lang w:eastAsia="en-US"/>
        </w:rPr>
        <w:t>referir que se trata de documentación clasificada como reservada</w:t>
      </w:r>
      <w:r w:rsidRPr="00AA6820">
        <w:rPr>
          <w:rFonts w:ascii="Palatino Linotype" w:hAnsi="Palatino Linotype" w:cs="Tahoma"/>
          <w:bCs/>
          <w:color w:val="0D0D0D" w:themeColor="text1" w:themeTint="F2"/>
        </w:rPr>
        <w:t xml:space="preserve">, </w:t>
      </w:r>
      <w:r w:rsidR="0092347A">
        <w:rPr>
          <w:rFonts w:ascii="Palatino Linotype" w:hAnsi="Palatino Linotype" w:cs="Tahoma"/>
          <w:bCs/>
          <w:color w:val="0D0D0D" w:themeColor="text1" w:themeTint="F2"/>
        </w:rPr>
        <w:t>por encontrarse en el área de investigación de la Contraloría Interna Municipal</w:t>
      </w:r>
      <w:r w:rsidRPr="00AA6820">
        <w:rPr>
          <w:rFonts w:ascii="Palatino Linotype" w:hAnsi="Palatino Linotype" w:cs="Tahoma"/>
          <w:bCs/>
          <w:color w:val="0D0D0D" w:themeColor="text1" w:themeTint="F2"/>
        </w:rPr>
        <w:t xml:space="preserve">, esto es porque actualiza la causal prevista en el artículo 140, </w:t>
      </w:r>
      <w:r w:rsidR="00B30B84">
        <w:rPr>
          <w:rFonts w:ascii="Palatino Linotype" w:eastAsia="Calibri" w:hAnsi="Palatino Linotype" w:cs="Tahoma"/>
          <w:iCs/>
          <w:color w:val="0D0D0D" w:themeColor="text1" w:themeTint="F2"/>
          <w:lang w:eastAsia="es-ES_tradnl"/>
        </w:rPr>
        <w:t>fracciones VI</w:t>
      </w:r>
      <w:r w:rsidRPr="00AA6820">
        <w:rPr>
          <w:rFonts w:ascii="Palatino Linotype" w:eastAsia="Calibri" w:hAnsi="Palatino Linotype" w:cs="Tahoma"/>
          <w:iCs/>
          <w:color w:val="0D0D0D" w:themeColor="text1" w:themeTint="F2"/>
          <w:lang w:eastAsia="es-ES_tradnl"/>
        </w:rPr>
        <w:t xml:space="preserve"> </w:t>
      </w:r>
      <w:r w:rsidRPr="00AA6820">
        <w:rPr>
          <w:rFonts w:ascii="Palatino Linotype" w:hAnsi="Palatino Linotype" w:cs="Tahoma"/>
          <w:bCs/>
          <w:color w:val="0D0D0D" w:themeColor="text1" w:themeTint="F2"/>
        </w:rPr>
        <w:t>de la Ley de Transparencia y Acceso al a Información Pública de</w:t>
      </w:r>
      <w:r w:rsidR="00B30B84">
        <w:rPr>
          <w:rFonts w:ascii="Palatino Linotype" w:hAnsi="Palatino Linotype" w:cs="Tahoma"/>
          <w:bCs/>
          <w:color w:val="0D0D0D" w:themeColor="text1" w:themeTint="F2"/>
        </w:rPr>
        <w:t>l Estado de México y Municipios</w:t>
      </w:r>
      <w:r w:rsidRPr="00AA6820">
        <w:rPr>
          <w:rFonts w:ascii="Palatino Linotype" w:hAnsi="Palatino Linotype" w:cs="Tahoma"/>
          <w:bCs/>
          <w:color w:val="0D0D0D" w:themeColor="text1" w:themeTint="F2"/>
        </w:rPr>
        <w:t xml:space="preserve">. </w:t>
      </w:r>
    </w:p>
    <w:p w14:paraId="14092811" w14:textId="77777777" w:rsidR="00AA6820" w:rsidRPr="00AA6820" w:rsidRDefault="00AA6820" w:rsidP="00E56DB7">
      <w:pPr>
        <w:spacing w:line="360" w:lineRule="auto"/>
        <w:jc w:val="both"/>
        <w:rPr>
          <w:rFonts w:ascii="Palatino Linotype" w:hAnsi="Palatino Linotype" w:cs="Tahoma"/>
          <w:bCs/>
          <w:color w:val="0D0D0D" w:themeColor="text1" w:themeTint="F2"/>
        </w:rPr>
      </w:pPr>
    </w:p>
    <w:p w14:paraId="3E52D570" w14:textId="77777777" w:rsidR="00BF1413" w:rsidRPr="00AA6820" w:rsidRDefault="00BF1413" w:rsidP="00E56DB7">
      <w:pPr>
        <w:spacing w:line="360" w:lineRule="auto"/>
        <w:jc w:val="both"/>
        <w:rPr>
          <w:rFonts w:ascii="Palatino Linotype" w:hAnsi="Palatino Linotype" w:cs="Tahoma"/>
          <w:b/>
          <w:color w:val="0D0D0D" w:themeColor="text1" w:themeTint="F2"/>
        </w:rPr>
      </w:pPr>
      <w:r w:rsidRPr="00AA6820">
        <w:rPr>
          <w:rFonts w:ascii="Palatino Linotype" w:eastAsia="Calibri" w:hAnsi="Palatino Linotype" w:cs="Tahoma"/>
          <w:bCs/>
          <w:color w:val="0D0D0D" w:themeColor="text1" w:themeTint="F2"/>
          <w:lang w:eastAsia="en-US"/>
        </w:rPr>
        <w:t>En ese sen</w:t>
      </w:r>
      <w:r w:rsidRPr="00AA6820">
        <w:rPr>
          <w:rFonts w:ascii="Palatino Linotype" w:hAnsi="Palatino Linotype" w:cs="Tahoma"/>
          <w:color w:val="0D0D0D" w:themeColor="text1" w:themeTint="F2"/>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AA6820">
        <w:rPr>
          <w:rFonts w:ascii="Palatino Linotype" w:hAnsi="Palatino Linotype" w:cs="Tahoma"/>
          <w:b/>
          <w:color w:val="0D0D0D" w:themeColor="text1" w:themeTint="F2"/>
        </w:rPr>
        <w:t>análisis caso por caso.</w:t>
      </w:r>
    </w:p>
    <w:p w14:paraId="0AD30B8C" w14:textId="77777777" w:rsidR="00BF1413" w:rsidRPr="00AA6820" w:rsidRDefault="00BF1413" w:rsidP="00E56DB7">
      <w:pPr>
        <w:spacing w:line="360" w:lineRule="auto"/>
        <w:jc w:val="both"/>
        <w:rPr>
          <w:rFonts w:ascii="Palatino Linotype" w:hAnsi="Palatino Linotype" w:cs="Tahoma"/>
          <w:b/>
          <w:color w:val="0D0D0D" w:themeColor="text1" w:themeTint="F2"/>
        </w:rPr>
      </w:pPr>
    </w:p>
    <w:p w14:paraId="5D6EB5E0" w14:textId="77777777" w:rsidR="00BF1413" w:rsidRDefault="00BF1413" w:rsidP="00E56DB7">
      <w:pPr>
        <w:spacing w:line="360" w:lineRule="auto"/>
        <w:jc w:val="both"/>
        <w:rPr>
          <w:rFonts w:ascii="Palatino Linotype" w:hAnsi="Palatino Linotype" w:cs="Tahoma"/>
          <w:bCs/>
          <w:iCs/>
          <w:color w:val="0D0D0D" w:themeColor="text1" w:themeTint="F2"/>
        </w:rPr>
      </w:pPr>
      <w:r w:rsidRPr="00AA6820">
        <w:rPr>
          <w:rFonts w:ascii="Palatino Linotype" w:hAnsi="Palatino Linotype" w:cs="Tahoma"/>
          <w:color w:val="0D0D0D" w:themeColor="text1" w:themeTint="F2"/>
        </w:rPr>
        <w:t>Además, el artículo 131 de la Ley referida, así como el Quinto de los Lineamientos</w:t>
      </w:r>
      <w:r w:rsidR="00BF75C8">
        <w:rPr>
          <w:rFonts w:ascii="Palatino Linotype" w:hAnsi="Palatino Linotype" w:cs="Tahoma"/>
          <w:color w:val="0D0D0D" w:themeColor="text1" w:themeTint="F2"/>
        </w:rPr>
        <w:t xml:space="preserve"> Generales, establecen que los s</w:t>
      </w:r>
      <w:r w:rsidRPr="00AA6820">
        <w:rPr>
          <w:rFonts w:ascii="Palatino Linotype" w:hAnsi="Palatino Linotype" w:cs="Tahoma"/>
          <w:color w:val="0D0D0D" w:themeColor="text1" w:themeTint="F2"/>
        </w:rPr>
        <w:t xml:space="preserve">ujetos obligados </w:t>
      </w:r>
      <w:r w:rsidRPr="00AA6820">
        <w:rPr>
          <w:rFonts w:ascii="Palatino Linotype" w:hAnsi="Palatino Linotype" w:cs="Tahoma"/>
          <w:b/>
          <w:color w:val="0D0D0D" w:themeColor="text1" w:themeTint="F2"/>
        </w:rPr>
        <w:t>deberán fundar y motivar</w:t>
      </w:r>
      <w:r w:rsidRPr="00AA6820">
        <w:rPr>
          <w:rFonts w:ascii="Palatino Linotype" w:hAnsi="Palatino Linotype" w:cs="Tahoma"/>
          <w:color w:val="0D0D0D" w:themeColor="text1" w:themeTint="F2"/>
        </w:rPr>
        <w:t xml:space="preserve"> debidamente la clasificación de la información. Al respecto, e</w:t>
      </w:r>
      <w:r w:rsidRPr="00AA6820">
        <w:rPr>
          <w:rFonts w:ascii="Palatino Linotype" w:hAnsi="Palatino Linotype" w:cs="Tahoma"/>
          <w:bCs/>
          <w:iCs/>
          <w:color w:val="0D0D0D" w:themeColor="text1" w:themeTint="F2"/>
        </w:rPr>
        <w:t>l Octavo de los Lineamientos Generales, precisa lo siguiente:</w:t>
      </w:r>
    </w:p>
    <w:p w14:paraId="7B443F2B" w14:textId="77777777" w:rsidR="00BF75C8" w:rsidRDefault="00BF75C8" w:rsidP="00E56DB7">
      <w:pPr>
        <w:spacing w:line="360" w:lineRule="auto"/>
        <w:jc w:val="both"/>
        <w:rPr>
          <w:rFonts w:ascii="Palatino Linotype" w:hAnsi="Palatino Linotype" w:cs="Tahoma"/>
          <w:bCs/>
          <w:iCs/>
          <w:color w:val="0D0D0D" w:themeColor="text1" w:themeTint="F2"/>
        </w:rPr>
      </w:pPr>
    </w:p>
    <w:p w14:paraId="04384AF0" w14:textId="77777777" w:rsidR="00C058E0" w:rsidRPr="00E513D8" w:rsidRDefault="00E513D8" w:rsidP="00E56DB7">
      <w:pPr>
        <w:spacing w:line="276" w:lineRule="auto"/>
        <w:ind w:left="851" w:right="616"/>
        <w:jc w:val="both"/>
        <w:rPr>
          <w:rFonts w:ascii="Palatino Linotype" w:hAnsi="Palatino Linotype" w:cs="Arial"/>
          <w:i/>
          <w:color w:val="2F2F2F"/>
          <w:sz w:val="22"/>
          <w:szCs w:val="22"/>
        </w:rPr>
      </w:pPr>
      <w:r>
        <w:rPr>
          <w:rFonts w:ascii="Palatino Linotype" w:hAnsi="Palatino Linotype" w:cs="Helvetica"/>
          <w:b/>
          <w:bCs/>
          <w:i/>
          <w:color w:val="2F2F2F"/>
          <w:sz w:val="22"/>
          <w:szCs w:val="22"/>
        </w:rPr>
        <w:t>“</w:t>
      </w:r>
      <w:r w:rsidR="00C058E0" w:rsidRPr="00E513D8">
        <w:rPr>
          <w:rFonts w:ascii="Palatino Linotype" w:hAnsi="Palatino Linotype" w:cs="Helvetica"/>
          <w:b/>
          <w:bCs/>
          <w:i/>
          <w:color w:val="2F2F2F"/>
          <w:sz w:val="22"/>
          <w:szCs w:val="22"/>
        </w:rPr>
        <w:t>Octavo. </w:t>
      </w:r>
      <w:r w:rsidR="00C058E0" w:rsidRPr="00E513D8">
        <w:rPr>
          <w:rFonts w:ascii="Palatino Linotype" w:hAnsi="Palatino Linotype" w:cs="Helvetica"/>
          <w:i/>
          <w:color w:val="2F2F2F"/>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7E9F8577" w14:textId="77777777" w:rsidR="00C058E0" w:rsidRPr="00E513D8" w:rsidRDefault="00C058E0" w:rsidP="00E56DB7">
      <w:pPr>
        <w:spacing w:line="276" w:lineRule="auto"/>
        <w:ind w:left="851" w:right="616"/>
        <w:jc w:val="both"/>
        <w:rPr>
          <w:rFonts w:ascii="Palatino Linotype" w:hAnsi="Palatino Linotype" w:cs="Arial"/>
          <w:i/>
          <w:color w:val="2F2F2F"/>
          <w:sz w:val="22"/>
          <w:szCs w:val="22"/>
        </w:rPr>
      </w:pPr>
      <w:r w:rsidRPr="00E513D8">
        <w:rPr>
          <w:rFonts w:ascii="Palatino Linotype" w:hAnsi="Palatino Linotype" w:cs="Helvetica"/>
          <w:i/>
          <w:color w:val="2F2F2F"/>
          <w:sz w:val="22"/>
          <w:szCs w:val="22"/>
        </w:rPr>
        <w:lastRenderedPageBreak/>
        <w:t xml:space="preserve">Para </w:t>
      </w:r>
      <w:r w:rsidRPr="00E513D8">
        <w:rPr>
          <w:rFonts w:ascii="Palatino Linotype" w:hAnsi="Palatino Linotype" w:cs="Helvetica"/>
          <w:b/>
          <w:i/>
          <w:color w:val="2F2F2F"/>
          <w:sz w:val="22"/>
          <w:szCs w:val="22"/>
          <w:u w:val="single"/>
        </w:rPr>
        <w:t>motivar la clasificación</w:t>
      </w:r>
      <w:r w:rsidRPr="00E513D8">
        <w:rPr>
          <w:rFonts w:ascii="Palatino Linotype" w:hAnsi="Palatino Linotype" w:cs="Helvetica"/>
          <w:i/>
          <w:color w:val="2F2F2F"/>
          <w:sz w:val="22"/>
          <w:szCs w:val="22"/>
        </w:rPr>
        <w:t xml:space="preserve"> se deberán señalar las razones o circunstancias especiales que lo llevaron a concluir que el caso particular se ajusta al supuesto previsto por la norma legal invocada como fundamento.</w:t>
      </w:r>
    </w:p>
    <w:p w14:paraId="48D033D8" w14:textId="77777777" w:rsidR="00C058E0" w:rsidRDefault="00C058E0" w:rsidP="00E56DB7">
      <w:pPr>
        <w:spacing w:line="276" w:lineRule="auto"/>
        <w:ind w:left="851" w:right="616"/>
        <w:jc w:val="both"/>
        <w:rPr>
          <w:rFonts w:ascii="Palatino Linotype" w:hAnsi="Palatino Linotype" w:cs="Helvetica"/>
          <w:b/>
          <w:i/>
          <w:color w:val="2F2F2F"/>
          <w:sz w:val="22"/>
          <w:szCs w:val="22"/>
          <w:u w:val="single"/>
        </w:rPr>
      </w:pPr>
      <w:r w:rsidRPr="00E513D8">
        <w:rPr>
          <w:rFonts w:ascii="Palatino Linotype" w:hAnsi="Palatino Linotype" w:cs="Helvetica"/>
          <w:i/>
          <w:color w:val="2F2F2F"/>
          <w:sz w:val="22"/>
          <w:szCs w:val="22"/>
        </w:rPr>
        <w:t xml:space="preserve">En caso de referirse a información reservada, la motivación de la clasificación también deberá </w:t>
      </w:r>
      <w:r w:rsidRPr="00E513D8">
        <w:rPr>
          <w:rFonts w:ascii="Palatino Linotype" w:hAnsi="Palatino Linotype" w:cs="Helvetica"/>
          <w:b/>
          <w:i/>
          <w:color w:val="2F2F2F"/>
          <w:sz w:val="22"/>
          <w:szCs w:val="22"/>
          <w:u w:val="single"/>
        </w:rPr>
        <w:t>comprender las circunstancias que justifican el establecimiento de determinado plazo de reserva.</w:t>
      </w:r>
    </w:p>
    <w:p w14:paraId="7661CAFE" w14:textId="77777777" w:rsidR="00E513D8" w:rsidRPr="00E513D8" w:rsidRDefault="00E513D8" w:rsidP="00E56DB7">
      <w:pPr>
        <w:spacing w:line="276" w:lineRule="auto"/>
        <w:ind w:left="851" w:right="616"/>
        <w:jc w:val="both"/>
        <w:rPr>
          <w:rFonts w:ascii="Palatino Linotype" w:hAnsi="Palatino Linotype" w:cs="Arial"/>
          <w:b/>
          <w:i/>
          <w:color w:val="2F2F2F"/>
          <w:sz w:val="22"/>
          <w:szCs w:val="22"/>
          <w:u w:val="single"/>
        </w:rPr>
      </w:pPr>
      <w:r>
        <w:rPr>
          <w:rFonts w:ascii="Palatino Linotype" w:hAnsi="Palatino Linotype" w:cs="Helvetica"/>
          <w:i/>
          <w:color w:val="2F2F2F"/>
          <w:sz w:val="22"/>
          <w:szCs w:val="22"/>
        </w:rPr>
        <w:t>…”</w:t>
      </w:r>
    </w:p>
    <w:p w14:paraId="20B57733" w14:textId="77777777" w:rsidR="00BF75C8" w:rsidRPr="00AA6820" w:rsidRDefault="00BF75C8" w:rsidP="00E56DB7">
      <w:pPr>
        <w:spacing w:line="360" w:lineRule="auto"/>
        <w:jc w:val="both"/>
        <w:rPr>
          <w:rFonts w:ascii="Palatino Linotype" w:hAnsi="Palatino Linotype" w:cs="Tahoma"/>
          <w:bCs/>
          <w:iCs/>
          <w:color w:val="0D0D0D" w:themeColor="text1" w:themeTint="F2"/>
        </w:rPr>
      </w:pPr>
    </w:p>
    <w:p w14:paraId="6CAA9BFE" w14:textId="77777777" w:rsidR="00BF1413" w:rsidRPr="00AA6820" w:rsidRDefault="00651DD6" w:rsidP="00E56DB7">
      <w:pPr>
        <w:spacing w:line="360" w:lineRule="auto"/>
        <w:jc w:val="both"/>
        <w:rPr>
          <w:rFonts w:ascii="Palatino Linotype" w:hAnsi="Palatino Linotype" w:cs="Tahoma"/>
          <w:bCs/>
          <w:color w:val="0D0D0D" w:themeColor="text1" w:themeTint="F2"/>
        </w:rPr>
      </w:pPr>
      <w:r>
        <w:rPr>
          <w:rFonts w:ascii="Palatino Linotype" w:hAnsi="Palatino Linotype" w:cs="Tahoma"/>
          <w:bCs/>
          <w:color w:val="0D0D0D" w:themeColor="text1" w:themeTint="F2"/>
        </w:rPr>
        <w:t>Es así que, p</w:t>
      </w:r>
      <w:r w:rsidR="00BF1413" w:rsidRPr="00651DD6">
        <w:rPr>
          <w:rFonts w:ascii="Palatino Linotype" w:hAnsi="Palatino Linotype" w:cs="Tahoma"/>
          <w:bCs/>
          <w:color w:val="0D0D0D" w:themeColor="text1" w:themeTint="F2"/>
        </w:rPr>
        <w:t>ara fundar la clasificación</w:t>
      </w:r>
      <w:r w:rsidR="00BF1413" w:rsidRPr="00AA6820">
        <w:rPr>
          <w:rFonts w:ascii="Palatino Linotype" w:hAnsi="Palatino Linotype" w:cs="Tahoma"/>
          <w:bCs/>
          <w:color w:val="0D0D0D" w:themeColor="text1" w:themeTint="F2"/>
        </w:rPr>
        <w:t xml:space="preserve"> de la información se deberán señalar el artículo, fracción, inciso, párraf</w:t>
      </w:r>
      <w:r>
        <w:rPr>
          <w:rFonts w:ascii="Palatino Linotype" w:hAnsi="Palatino Linotype" w:cs="Tahoma"/>
          <w:bCs/>
          <w:color w:val="0D0D0D" w:themeColor="text1" w:themeTint="F2"/>
        </w:rPr>
        <w:t xml:space="preserve">o o numeral de la Ley aplicable y; del mismo modo, </w:t>
      </w:r>
      <w:r w:rsidR="00BF1413" w:rsidRPr="00AA6820">
        <w:rPr>
          <w:rFonts w:ascii="Palatino Linotype" w:hAnsi="Palatino Linotype" w:cs="Tahoma"/>
          <w:bCs/>
          <w:color w:val="0D0D0D" w:themeColor="text1" w:themeTint="F2"/>
        </w:rPr>
        <w:t>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82F4F84" w14:textId="77777777" w:rsidR="00BF1413" w:rsidRPr="00AA6820" w:rsidRDefault="00BF1413" w:rsidP="00E56DB7">
      <w:pPr>
        <w:pStyle w:val="Prrafodelista"/>
        <w:spacing w:line="360" w:lineRule="auto"/>
        <w:rPr>
          <w:rFonts w:ascii="Palatino Linotype" w:hAnsi="Palatino Linotype" w:cs="Tahoma"/>
          <w:bCs/>
          <w:color w:val="0D0D0D" w:themeColor="text1" w:themeTint="F2"/>
        </w:rPr>
      </w:pPr>
    </w:p>
    <w:p w14:paraId="7A0A58AF" w14:textId="77777777" w:rsidR="00BF1413" w:rsidRPr="00AA6820" w:rsidRDefault="00BF1413" w:rsidP="00E56DB7">
      <w:pPr>
        <w:spacing w:line="360" w:lineRule="auto"/>
        <w:jc w:val="both"/>
        <w:rPr>
          <w:rFonts w:ascii="Palatino Linotype" w:hAnsi="Palatino Linotype" w:cs="Tahoma"/>
          <w:color w:val="0D0D0D" w:themeColor="text1" w:themeTint="F2"/>
        </w:rPr>
      </w:pPr>
      <w:r w:rsidRPr="00AA6820">
        <w:rPr>
          <w:rFonts w:ascii="Palatino Linotype" w:hAnsi="Palatino Linotype" w:cs="Tahoma"/>
          <w:color w:val="0D0D0D" w:themeColor="text1" w:themeTint="F2"/>
        </w:rPr>
        <w:t>Lo anterior, toma sustento en la fracción VII, del artículo 1.8 del Código Administrativo del Estado de México, que establece que todo acto administrativ</w:t>
      </w:r>
      <w:r w:rsidR="00AF16E8">
        <w:rPr>
          <w:rFonts w:ascii="Palatino Linotype" w:hAnsi="Palatino Linotype" w:cs="Tahoma"/>
          <w:color w:val="0D0D0D" w:themeColor="text1" w:themeTint="F2"/>
        </w:rPr>
        <w:t>o debe estar fundado y motivado;</w:t>
      </w:r>
      <w:r w:rsidRPr="00AA6820">
        <w:rPr>
          <w:rFonts w:ascii="Palatino Linotype" w:hAnsi="Palatino Linotype" w:cs="Tahoma"/>
          <w:color w:val="0D0D0D" w:themeColor="text1" w:themeTint="F2"/>
        </w:rPr>
        <w:t xml:space="preserve">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establece lo siguiente:</w:t>
      </w:r>
    </w:p>
    <w:p w14:paraId="79F93AB1" w14:textId="77777777" w:rsidR="00BF1413" w:rsidRPr="00AA6820" w:rsidRDefault="00BF1413" w:rsidP="00E56DB7">
      <w:pPr>
        <w:spacing w:line="360" w:lineRule="auto"/>
        <w:jc w:val="both"/>
        <w:rPr>
          <w:rFonts w:ascii="Palatino Linotype" w:hAnsi="Palatino Linotype" w:cs="Tahoma"/>
          <w:color w:val="0D0D0D" w:themeColor="text1" w:themeTint="F2"/>
        </w:rPr>
      </w:pPr>
    </w:p>
    <w:p w14:paraId="694D81B9" w14:textId="77777777" w:rsidR="00BF1413" w:rsidRPr="00AF16E8" w:rsidRDefault="00BF1413" w:rsidP="00E56DB7">
      <w:pPr>
        <w:spacing w:line="276" w:lineRule="auto"/>
        <w:ind w:left="720" w:right="567"/>
        <w:jc w:val="both"/>
        <w:rPr>
          <w:rFonts w:ascii="Palatino Linotype" w:hAnsi="Palatino Linotype" w:cs="Tahoma"/>
          <w:i/>
          <w:color w:val="0D0D0D" w:themeColor="text1" w:themeTint="F2"/>
          <w:sz w:val="22"/>
          <w:szCs w:val="22"/>
        </w:rPr>
      </w:pPr>
      <w:r w:rsidRPr="00AF16E8">
        <w:rPr>
          <w:rFonts w:ascii="Palatino Linotype" w:hAnsi="Palatino Linotype" w:cs="Tahoma"/>
          <w:b/>
          <w:i/>
          <w:color w:val="0D0D0D" w:themeColor="text1" w:themeTint="F2"/>
          <w:sz w:val="22"/>
          <w:szCs w:val="22"/>
        </w:rPr>
        <w:lastRenderedPageBreak/>
        <w:t xml:space="preserve">“FUNDAMENTACION Y MOTIVACION, CONCEPTO DE. </w:t>
      </w:r>
      <w:r w:rsidRPr="00AF16E8">
        <w:rPr>
          <w:rFonts w:ascii="Palatino Linotype" w:hAnsi="Palatino Linotype" w:cs="Tahoma"/>
          <w:i/>
          <w:color w:val="0D0D0D" w:themeColor="text1" w:themeTint="F2"/>
          <w:sz w:val="22"/>
          <w:szCs w:val="2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D7685EC" w14:textId="77777777" w:rsidR="00BF1413" w:rsidRPr="00AA6820" w:rsidRDefault="00BF1413" w:rsidP="00E56DB7">
      <w:pPr>
        <w:spacing w:line="360" w:lineRule="auto"/>
        <w:jc w:val="both"/>
        <w:rPr>
          <w:rFonts w:ascii="Palatino Linotype" w:hAnsi="Palatino Linotype" w:cs="Tahoma"/>
          <w:color w:val="0D0D0D" w:themeColor="text1" w:themeTint="F2"/>
        </w:rPr>
      </w:pPr>
    </w:p>
    <w:p w14:paraId="26FCA845" w14:textId="77777777" w:rsidR="00BF1413" w:rsidRPr="00AA6820" w:rsidRDefault="00BF1413" w:rsidP="00E56DB7">
      <w:pPr>
        <w:spacing w:line="360" w:lineRule="auto"/>
        <w:jc w:val="both"/>
        <w:rPr>
          <w:rFonts w:ascii="Palatino Linotype" w:hAnsi="Palatino Linotype" w:cs="Tahoma"/>
          <w:b/>
          <w:color w:val="0D0D0D" w:themeColor="text1" w:themeTint="F2"/>
        </w:rPr>
      </w:pPr>
      <w:r w:rsidRPr="00AA6820">
        <w:rPr>
          <w:rFonts w:ascii="Palatino Linotype" w:hAnsi="Palatino Linotype" w:cs="Tahoma"/>
          <w:color w:val="0D0D0D" w:themeColor="text1" w:themeTint="F2"/>
        </w:rPr>
        <w:t>Conforme a lo anterior, s</w:t>
      </w:r>
      <w:r w:rsidR="001A2AF5">
        <w:rPr>
          <w:rFonts w:ascii="Palatino Linotype" w:hAnsi="Palatino Linotype" w:cs="Tahoma"/>
          <w:color w:val="0D0D0D" w:themeColor="text1" w:themeTint="F2"/>
        </w:rPr>
        <w:t>e advierte que la fundamentación es la o</w:t>
      </w:r>
      <w:r w:rsidRPr="00AA6820">
        <w:rPr>
          <w:rFonts w:ascii="Palatino Linotype" w:hAnsi="Palatino Linotype" w:cs="Tahoma"/>
          <w:color w:val="0D0D0D" w:themeColor="text1" w:themeTint="F2"/>
        </w:rPr>
        <w:t>bligación de la autoridad que emite un acto, para citar los preceptos legales, sustantivos y adjetivos, en que se apo</w:t>
      </w:r>
      <w:r w:rsidR="001A2AF5">
        <w:rPr>
          <w:rFonts w:ascii="Palatino Linotype" w:hAnsi="Palatino Linotype" w:cs="Tahoma"/>
          <w:color w:val="0D0D0D" w:themeColor="text1" w:themeTint="F2"/>
        </w:rPr>
        <w:t>ye para la determinación tomada y por otro lado la motivación son los r</w:t>
      </w:r>
      <w:r w:rsidRPr="00AA6820">
        <w:rPr>
          <w:rFonts w:ascii="Palatino Linotype" w:hAnsi="Palatino Linotype" w:cs="Tahoma"/>
          <w:color w:val="0D0D0D" w:themeColor="text1" w:themeTint="F2"/>
        </w:rPr>
        <w:t>azonamientos lógico-jurídicos sobre porque se consideró en el caso en concreto, que se ajusta a la hipótesis normativa.</w:t>
      </w:r>
    </w:p>
    <w:p w14:paraId="45D02A5F" w14:textId="77777777" w:rsidR="00BF1413" w:rsidRPr="00AA6820" w:rsidRDefault="00BF1413" w:rsidP="00E56DB7">
      <w:pPr>
        <w:spacing w:line="360" w:lineRule="auto"/>
        <w:jc w:val="both"/>
        <w:rPr>
          <w:rFonts w:ascii="Palatino Linotype" w:hAnsi="Palatino Linotype" w:cs="Tahoma"/>
          <w:color w:val="0D0D0D" w:themeColor="text1" w:themeTint="F2"/>
        </w:rPr>
      </w:pPr>
    </w:p>
    <w:p w14:paraId="5DF6470A" w14:textId="77777777" w:rsidR="00BF1413" w:rsidRPr="00AA6820" w:rsidRDefault="00BF1413" w:rsidP="00E56DB7">
      <w:pPr>
        <w:spacing w:line="360" w:lineRule="auto"/>
        <w:jc w:val="both"/>
        <w:rPr>
          <w:rFonts w:ascii="Palatino Linotype" w:hAnsi="Palatino Linotype" w:cs="Tahoma"/>
          <w:color w:val="0D0D0D" w:themeColor="text1" w:themeTint="F2"/>
          <w:lang w:val="es-ES"/>
        </w:rPr>
      </w:pPr>
      <w:r w:rsidRPr="00AA6820">
        <w:rPr>
          <w:rFonts w:ascii="Palatino Linotype" w:hAnsi="Palatino Linotype" w:cs="Tahoma"/>
          <w:color w:val="0D0D0D" w:themeColor="text1" w:themeTint="F2"/>
          <w:lang w:val="es-ES"/>
        </w:rPr>
        <w:t xml:space="preserve">En ese orden de ideas, el Trigésimo tercero de los Lineamientos Generales establece la forma en que se debe fundamentar y motivar la reserva de la información, </w:t>
      </w:r>
      <w:r w:rsidR="00E76AA0">
        <w:rPr>
          <w:rFonts w:ascii="Palatino Linotype" w:hAnsi="Palatino Linotype" w:cs="Tahoma"/>
          <w:color w:val="0D0D0D" w:themeColor="text1" w:themeTint="F2"/>
          <w:lang w:val="es-ES"/>
        </w:rPr>
        <w:t xml:space="preserve">a saber: </w:t>
      </w:r>
    </w:p>
    <w:p w14:paraId="4C10443E" w14:textId="77777777" w:rsidR="00BF1413" w:rsidRPr="00AA6820" w:rsidRDefault="00BF1413" w:rsidP="00E56DB7">
      <w:pPr>
        <w:spacing w:line="360" w:lineRule="auto"/>
        <w:jc w:val="both"/>
        <w:rPr>
          <w:rFonts w:ascii="Palatino Linotype" w:hAnsi="Palatino Linotype" w:cs="Tahoma"/>
          <w:color w:val="0D0D0D" w:themeColor="text1" w:themeTint="F2"/>
        </w:rPr>
      </w:pPr>
    </w:p>
    <w:p w14:paraId="2716D0CC" w14:textId="77777777" w:rsidR="00BE3964" w:rsidRPr="00BE3964" w:rsidRDefault="007D0571" w:rsidP="00E56DB7">
      <w:pPr>
        <w:spacing w:line="276" w:lineRule="auto"/>
        <w:ind w:left="851" w:right="616"/>
        <w:jc w:val="both"/>
        <w:rPr>
          <w:rFonts w:ascii="Palatino Linotype" w:hAnsi="Palatino Linotype" w:cs="Arial"/>
          <w:i/>
          <w:color w:val="2F2F2F"/>
          <w:sz w:val="22"/>
          <w:szCs w:val="22"/>
        </w:rPr>
      </w:pPr>
      <w:r>
        <w:rPr>
          <w:rFonts w:ascii="Palatino Linotype" w:hAnsi="Palatino Linotype" w:cs="Helvetica"/>
          <w:b/>
          <w:bCs/>
          <w:i/>
          <w:color w:val="2F2F2F"/>
          <w:sz w:val="22"/>
          <w:szCs w:val="22"/>
        </w:rPr>
        <w:t>“</w:t>
      </w:r>
      <w:r w:rsidR="00BE3964" w:rsidRPr="00BE3964">
        <w:rPr>
          <w:rFonts w:ascii="Palatino Linotype" w:hAnsi="Palatino Linotype" w:cs="Helvetica"/>
          <w:b/>
          <w:bCs/>
          <w:i/>
          <w:color w:val="2F2F2F"/>
          <w:sz w:val="22"/>
          <w:szCs w:val="22"/>
        </w:rPr>
        <w:t>Trigésimo tercero. </w:t>
      </w:r>
      <w:r w:rsidR="00BE3964" w:rsidRPr="00BE3964">
        <w:rPr>
          <w:rFonts w:ascii="Palatino Linotype" w:hAnsi="Palatino Linotype" w:cs="Helvetica"/>
          <w:i/>
          <w:color w:val="2F2F2F"/>
          <w:sz w:val="22"/>
          <w:szCs w:val="22"/>
        </w:rPr>
        <w:t xml:space="preserve">Para la </w:t>
      </w:r>
      <w:r w:rsidR="00BE3964" w:rsidRPr="007D0571">
        <w:rPr>
          <w:rFonts w:ascii="Palatino Linotype" w:hAnsi="Palatino Linotype" w:cs="Helvetica"/>
          <w:b/>
          <w:i/>
          <w:color w:val="2F2F2F"/>
          <w:sz w:val="22"/>
          <w:szCs w:val="22"/>
          <w:u w:val="single"/>
        </w:rPr>
        <w:t>aplicación de la prueba de daño</w:t>
      </w:r>
      <w:r w:rsidR="00BE3964" w:rsidRPr="00BE3964">
        <w:rPr>
          <w:rFonts w:ascii="Palatino Linotype" w:hAnsi="Palatino Linotype" w:cs="Helvetica"/>
          <w:i/>
          <w:color w:val="2F2F2F"/>
          <w:sz w:val="22"/>
          <w:szCs w:val="22"/>
        </w:rPr>
        <w:t xml:space="preserve"> a la que hace referencia el artículo 104 de la Ley General, los sujetos obligados atenderán lo siguiente:</w:t>
      </w:r>
    </w:p>
    <w:p w14:paraId="3154E685"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b/>
          <w:bCs/>
          <w:i/>
          <w:color w:val="2F2F2F"/>
          <w:sz w:val="22"/>
          <w:szCs w:val="22"/>
        </w:rPr>
        <w:t>I.</w:t>
      </w:r>
      <w:r w:rsidRPr="00BE3964">
        <w:rPr>
          <w:rFonts w:ascii="Palatino Linotype" w:hAnsi="Palatino Linotype" w:cs="Arial"/>
          <w:i/>
          <w:color w:val="2F2F2F"/>
          <w:sz w:val="22"/>
          <w:szCs w:val="22"/>
        </w:rPr>
        <w:t>        </w:t>
      </w:r>
      <w:r w:rsidRPr="00BE3964">
        <w:rPr>
          <w:rFonts w:ascii="Palatino Linotype" w:hAnsi="Palatino Linotype" w:cs="Helvetica"/>
          <w:i/>
          <w:color w:val="2F2F2F"/>
          <w:sz w:val="22"/>
          <w:szCs w:val="22"/>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211C4FF0"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b/>
          <w:bCs/>
          <w:i/>
          <w:color w:val="2F2F2F"/>
          <w:sz w:val="22"/>
          <w:szCs w:val="22"/>
        </w:rPr>
        <w:t>II.</w:t>
      </w:r>
      <w:r w:rsidRPr="00BE3964">
        <w:rPr>
          <w:rFonts w:ascii="Palatino Linotype" w:hAnsi="Palatino Linotype" w:cs="Arial"/>
          <w:i/>
          <w:color w:val="2F2F2F"/>
          <w:sz w:val="22"/>
          <w:szCs w:val="22"/>
        </w:rPr>
        <w:t>       </w:t>
      </w:r>
      <w:r w:rsidRPr="00BE3964">
        <w:rPr>
          <w:rFonts w:ascii="Palatino Linotype" w:hAnsi="Palatino Linotype" w:cs="Helvetica"/>
          <w:i/>
          <w:color w:val="2F2F2F"/>
          <w:sz w:val="22"/>
          <w:szCs w:val="22"/>
        </w:rPr>
        <w:t xml:space="preserve">Mediante la ponderación de los intereses en conflicto, los sujetos obligados deberán demostrar que la publicidad de la información solicitada generaría un riesgo de perjuicio </w:t>
      </w:r>
      <w:proofErr w:type="gramStart"/>
      <w:r w:rsidRPr="00BE3964">
        <w:rPr>
          <w:rFonts w:ascii="Palatino Linotype" w:hAnsi="Palatino Linotype" w:cs="Helvetica"/>
          <w:i/>
          <w:color w:val="2F2F2F"/>
          <w:sz w:val="22"/>
          <w:szCs w:val="22"/>
        </w:rPr>
        <w:t>y</w:t>
      </w:r>
      <w:proofErr w:type="gramEnd"/>
      <w:r w:rsidRPr="00BE3964">
        <w:rPr>
          <w:rFonts w:ascii="Palatino Linotype" w:hAnsi="Palatino Linotype" w:cs="Helvetica"/>
          <w:i/>
          <w:color w:val="2F2F2F"/>
          <w:sz w:val="22"/>
          <w:szCs w:val="22"/>
        </w:rPr>
        <w:t xml:space="preserve"> por lo tanto, tendrán que acreditar que este último rebasa el interés público protegido por la reserva;</w:t>
      </w:r>
    </w:p>
    <w:p w14:paraId="563378F0"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b/>
          <w:bCs/>
          <w:i/>
          <w:color w:val="2F2F2F"/>
          <w:sz w:val="22"/>
          <w:szCs w:val="22"/>
        </w:rPr>
        <w:t>III.</w:t>
      </w:r>
      <w:r w:rsidRPr="00BE3964">
        <w:rPr>
          <w:rFonts w:ascii="Palatino Linotype" w:hAnsi="Palatino Linotype" w:cs="Arial"/>
          <w:i/>
          <w:color w:val="2F2F2F"/>
          <w:sz w:val="22"/>
          <w:szCs w:val="22"/>
        </w:rPr>
        <w:t>      </w:t>
      </w:r>
      <w:r w:rsidRPr="00BE3964">
        <w:rPr>
          <w:rFonts w:ascii="Palatino Linotype" w:hAnsi="Palatino Linotype" w:cs="Helvetica"/>
          <w:i/>
          <w:color w:val="2F2F2F"/>
          <w:sz w:val="22"/>
          <w:szCs w:val="22"/>
        </w:rPr>
        <w:t>Se debe de acreditar el vínculo entre la difusión de la información y la afectación del interés jurídico tutelado de que se trate;</w:t>
      </w:r>
    </w:p>
    <w:p w14:paraId="0FB3655C"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b/>
          <w:bCs/>
          <w:i/>
          <w:color w:val="2F2F2F"/>
          <w:sz w:val="22"/>
          <w:szCs w:val="22"/>
        </w:rPr>
        <w:lastRenderedPageBreak/>
        <w:t>IV.</w:t>
      </w:r>
      <w:r w:rsidRPr="00BE3964">
        <w:rPr>
          <w:rFonts w:ascii="Palatino Linotype" w:hAnsi="Palatino Linotype" w:cs="Arial"/>
          <w:i/>
          <w:color w:val="2F2F2F"/>
          <w:sz w:val="22"/>
          <w:szCs w:val="22"/>
        </w:rPr>
        <w:t>      </w:t>
      </w:r>
      <w:r w:rsidRPr="00BE3964">
        <w:rPr>
          <w:rFonts w:ascii="Palatino Linotype" w:hAnsi="Palatino Linotype" w:cs="Helvetica"/>
          <w:i/>
          <w:color w:val="2F2F2F"/>
          <w:sz w:val="22"/>
          <w:szCs w:val="22"/>
        </w:rPr>
        <w:t>Precisar las razones objetivas por las que la apertura de la información generaría una afectación, a través de los elementos de un riesgo real, demostrable e identificable;</w:t>
      </w:r>
    </w:p>
    <w:p w14:paraId="7044298D"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b/>
          <w:bCs/>
          <w:i/>
          <w:color w:val="2F2F2F"/>
          <w:sz w:val="22"/>
          <w:szCs w:val="22"/>
        </w:rPr>
        <w:t>V.</w:t>
      </w:r>
      <w:r w:rsidRPr="00BE3964">
        <w:rPr>
          <w:rFonts w:ascii="Palatino Linotype" w:hAnsi="Palatino Linotype" w:cs="Arial"/>
          <w:i/>
          <w:color w:val="2F2F2F"/>
          <w:sz w:val="22"/>
          <w:szCs w:val="22"/>
        </w:rPr>
        <w:t>       </w:t>
      </w:r>
      <w:r w:rsidRPr="00BE3964">
        <w:rPr>
          <w:rFonts w:ascii="Palatino Linotype" w:hAnsi="Palatino Linotype" w:cs="Helvetica"/>
          <w:i/>
          <w:color w:val="2F2F2F"/>
          <w:sz w:val="22"/>
          <w:szCs w:val="22"/>
        </w:rPr>
        <w:t>En la motivación de la clasificación, el sujeto obligado deberá acreditar las circunstancias de modo, tiempo y lugar del daño, y</w:t>
      </w:r>
    </w:p>
    <w:p w14:paraId="01FAE9BB"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b/>
          <w:bCs/>
          <w:i/>
          <w:color w:val="2F2F2F"/>
          <w:sz w:val="22"/>
          <w:szCs w:val="22"/>
        </w:rPr>
        <w:t>VI.</w:t>
      </w:r>
      <w:r w:rsidRPr="00BE3964">
        <w:rPr>
          <w:rFonts w:ascii="Palatino Linotype" w:hAnsi="Palatino Linotype" w:cs="Arial"/>
          <w:i/>
          <w:color w:val="2F2F2F"/>
          <w:sz w:val="22"/>
          <w:szCs w:val="22"/>
        </w:rPr>
        <w:t>      </w:t>
      </w:r>
      <w:r w:rsidRPr="00BE3964">
        <w:rPr>
          <w:rFonts w:ascii="Palatino Linotype" w:hAnsi="Palatino Linotype" w:cs="Helvetica"/>
          <w:i/>
          <w:color w:val="2F2F2F"/>
          <w:sz w:val="22"/>
          <w:szCs w:val="22"/>
        </w:rPr>
        <w:t>Deberán elegir la opción de excepción al acceso a la información que menos lo restrinja, la cual será adecuada y proporcional para la protección del interés público, y deberá interferir lo menos</w:t>
      </w:r>
    </w:p>
    <w:p w14:paraId="11E566CE" w14:textId="77777777" w:rsidR="00BE3964" w:rsidRPr="00BE3964" w:rsidRDefault="00BE3964" w:rsidP="00E56DB7">
      <w:pPr>
        <w:spacing w:line="276" w:lineRule="auto"/>
        <w:ind w:left="851" w:right="616"/>
        <w:jc w:val="both"/>
        <w:rPr>
          <w:rFonts w:ascii="Palatino Linotype" w:hAnsi="Palatino Linotype" w:cs="Arial"/>
          <w:i/>
          <w:color w:val="2F2F2F"/>
          <w:sz w:val="22"/>
          <w:szCs w:val="22"/>
        </w:rPr>
      </w:pPr>
      <w:r w:rsidRPr="00BE3964">
        <w:rPr>
          <w:rFonts w:ascii="Palatino Linotype" w:hAnsi="Palatino Linotype" w:cs="Helvetica"/>
          <w:i/>
          <w:color w:val="2F2F2F"/>
          <w:sz w:val="22"/>
          <w:szCs w:val="22"/>
        </w:rPr>
        <w:t>posible en el ejercicio efectivo del derecho de acceso a la información.</w:t>
      </w:r>
    </w:p>
    <w:p w14:paraId="28A5A556" w14:textId="77777777" w:rsidR="00BF1413" w:rsidRPr="00AA6820" w:rsidRDefault="00BF1413" w:rsidP="00E56DB7">
      <w:pPr>
        <w:spacing w:line="360" w:lineRule="auto"/>
        <w:jc w:val="both"/>
        <w:rPr>
          <w:rFonts w:ascii="Palatino Linotype" w:hAnsi="Palatino Linotype" w:cs="Tahoma"/>
          <w:color w:val="0D0D0D" w:themeColor="text1" w:themeTint="F2"/>
          <w:lang w:val="es-ES"/>
        </w:rPr>
      </w:pPr>
    </w:p>
    <w:p w14:paraId="75C49D12" w14:textId="77777777" w:rsidR="00BF1413" w:rsidRPr="00AA6820" w:rsidRDefault="00BF1413" w:rsidP="00E56DB7">
      <w:pPr>
        <w:spacing w:line="360" w:lineRule="auto"/>
        <w:jc w:val="both"/>
        <w:rPr>
          <w:rFonts w:ascii="Palatino Linotype" w:eastAsia="Calibri" w:hAnsi="Palatino Linotype" w:cs="Tahoma"/>
          <w:bCs/>
          <w:color w:val="0D0D0D" w:themeColor="text1" w:themeTint="F2"/>
          <w:lang w:eastAsia="en-US"/>
        </w:rPr>
      </w:pPr>
      <w:r w:rsidRPr="00AA6820">
        <w:rPr>
          <w:rFonts w:ascii="Palatino Linotype" w:eastAsia="Calibri" w:hAnsi="Palatino Linotype" w:cs="Tahoma"/>
          <w:bCs/>
          <w:color w:val="0D0D0D" w:themeColor="text1" w:themeTint="F2"/>
          <w:lang w:eastAsia="en-US"/>
        </w:rPr>
        <w:t xml:space="preserve">Ahora bien, del informe justificado remitido por el Sujeto Obligado, se logra vislumbrar que el Comité de Transparencia no fundamentó, ni motivó la clasificación de la información, sino que únicamente </w:t>
      </w:r>
      <w:r w:rsidR="00D14476">
        <w:rPr>
          <w:rFonts w:ascii="Palatino Linotype" w:eastAsia="Calibri" w:hAnsi="Palatino Linotype" w:cs="Tahoma"/>
          <w:bCs/>
          <w:color w:val="0D0D0D" w:themeColor="text1" w:themeTint="F2"/>
          <w:lang w:eastAsia="en-US"/>
        </w:rPr>
        <w:t xml:space="preserve">la Tesorera Municipal y el Director de Desarrollo Urbano y Obras Públicas </w:t>
      </w:r>
      <w:r w:rsidR="006E59BB">
        <w:rPr>
          <w:rFonts w:ascii="Palatino Linotype" w:eastAsia="Calibri" w:hAnsi="Palatino Linotype" w:cs="Tahoma"/>
          <w:bCs/>
          <w:color w:val="0D0D0D" w:themeColor="text1" w:themeTint="F2"/>
          <w:lang w:eastAsia="en-US"/>
        </w:rPr>
        <w:t xml:space="preserve">refirieron </w:t>
      </w:r>
      <w:r w:rsidRPr="00AA6820">
        <w:rPr>
          <w:rFonts w:ascii="Palatino Linotype" w:eastAsia="Calibri" w:hAnsi="Palatino Linotype" w:cs="Tahoma"/>
          <w:bCs/>
          <w:color w:val="0D0D0D" w:themeColor="text1" w:themeTint="F2"/>
          <w:lang w:eastAsia="en-US"/>
        </w:rPr>
        <w:t xml:space="preserve"> </w:t>
      </w:r>
      <w:r w:rsidR="00D71000">
        <w:rPr>
          <w:rFonts w:ascii="Palatino Linotype" w:eastAsia="Calibri" w:hAnsi="Palatino Linotype" w:cs="Tahoma"/>
          <w:bCs/>
          <w:i/>
          <w:color w:val="0D0D0D" w:themeColor="text1" w:themeTint="F2"/>
          <w:lang w:eastAsia="en-US"/>
        </w:rPr>
        <w:t>“Con la finalidad de dar cumplimiento a lo requerido a la solicitud de información, en este sentido deberá tenerse sigilo en la información, esto por encontrarse en el área de investigación de la Contraloría Interna Municipal</w:t>
      </w:r>
      <w:r w:rsidR="00C17AED">
        <w:rPr>
          <w:rFonts w:ascii="Palatino Linotype" w:eastAsia="Calibri" w:hAnsi="Palatino Linotype" w:cs="Tahoma"/>
          <w:bCs/>
          <w:i/>
          <w:color w:val="0D0D0D" w:themeColor="text1" w:themeTint="F2"/>
          <w:lang w:eastAsia="en-US"/>
        </w:rPr>
        <w:t>, por lo que se violentaría uno de los principios fundamentales del procedimiento</w:t>
      </w:r>
      <w:r w:rsidR="006B596B">
        <w:rPr>
          <w:rFonts w:ascii="Palatino Linotype" w:eastAsia="Calibri" w:hAnsi="Palatino Linotype" w:cs="Tahoma"/>
          <w:bCs/>
          <w:i/>
          <w:color w:val="0D0D0D" w:themeColor="text1" w:themeTint="F2"/>
          <w:lang w:eastAsia="en-US"/>
        </w:rPr>
        <w:t xml:space="preserve">”; </w:t>
      </w:r>
      <w:r w:rsidR="006B596B">
        <w:rPr>
          <w:rFonts w:ascii="Palatino Linotype" w:eastAsia="Calibri" w:hAnsi="Palatino Linotype" w:cs="Tahoma"/>
          <w:bCs/>
          <w:color w:val="0D0D0D" w:themeColor="text1" w:themeTint="F2"/>
          <w:lang w:eastAsia="en-US"/>
        </w:rPr>
        <w:t>manifestació</w:t>
      </w:r>
      <w:r w:rsidR="00FB3A9D">
        <w:rPr>
          <w:rFonts w:ascii="Palatino Linotype" w:eastAsia="Calibri" w:hAnsi="Palatino Linotype" w:cs="Tahoma"/>
          <w:bCs/>
          <w:color w:val="0D0D0D" w:themeColor="text1" w:themeTint="F2"/>
          <w:lang w:eastAsia="en-US"/>
        </w:rPr>
        <w:t>n que fundamentó en la fracción VI del artículo 140 de la Ley de Transparencia y Acceso a la Información Pública del Estado de México y Munici</w:t>
      </w:r>
      <w:r w:rsidR="008E5E44">
        <w:rPr>
          <w:rFonts w:ascii="Palatino Linotype" w:eastAsia="Calibri" w:hAnsi="Palatino Linotype" w:cs="Tahoma"/>
          <w:bCs/>
          <w:color w:val="0D0D0D" w:themeColor="text1" w:themeTint="F2"/>
          <w:lang w:eastAsia="en-US"/>
        </w:rPr>
        <w:t>pios;</w:t>
      </w:r>
      <w:r w:rsidRPr="00AA6820">
        <w:rPr>
          <w:rFonts w:ascii="Palatino Linotype" w:eastAsia="Calibri" w:hAnsi="Palatino Linotype" w:cs="Tahoma"/>
          <w:bCs/>
          <w:color w:val="0D0D0D" w:themeColor="text1" w:themeTint="F2"/>
          <w:lang w:eastAsia="en-US"/>
        </w:rPr>
        <w:t xml:space="preserve"> es por ello que se determina que el Sujeto Obligado, no atendió lo que se describe a continuación: </w:t>
      </w:r>
    </w:p>
    <w:p w14:paraId="12CAAAA9" w14:textId="77777777" w:rsidR="00BF1413" w:rsidRPr="00AA6820" w:rsidRDefault="00BF1413" w:rsidP="00E56DB7">
      <w:pPr>
        <w:spacing w:line="360" w:lineRule="auto"/>
        <w:jc w:val="both"/>
        <w:rPr>
          <w:rFonts w:ascii="Palatino Linotype" w:hAnsi="Palatino Linotype" w:cs="Tahoma"/>
          <w:color w:val="0D0D0D" w:themeColor="text1" w:themeTint="F2"/>
          <w:lang w:val="es-ES"/>
        </w:rPr>
      </w:pPr>
    </w:p>
    <w:p w14:paraId="0401D743" w14:textId="77777777" w:rsidR="00BF1413" w:rsidRPr="00AA6820" w:rsidRDefault="00BF1413" w:rsidP="00E56DB7">
      <w:pPr>
        <w:pStyle w:val="Prrafodelista"/>
        <w:numPr>
          <w:ilvl w:val="0"/>
          <w:numId w:val="12"/>
        </w:numPr>
        <w:spacing w:line="360" w:lineRule="auto"/>
        <w:jc w:val="both"/>
        <w:rPr>
          <w:rFonts w:ascii="Palatino Linotype" w:eastAsia="Calibri" w:hAnsi="Palatino Linotype" w:cs="Tahoma"/>
          <w:bCs/>
          <w:color w:val="0D0D0D" w:themeColor="text1" w:themeTint="F2"/>
          <w:lang w:eastAsia="en-US"/>
        </w:rPr>
      </w:pPr>
      <w:r w:rsidRPr="00AA6820">
        <w:rPr>
          <w:rFonts w:ascii="Palatino Linotype" w:eastAsia="Calibri" w:hAnsi="Palatino Linotype" w:cs="Tahoma"/>
          <w:bCs/>
          <w:color w:val="0D0D0D" w:themeColor="text1" w:themeTint="F2"/>
          <w:lang w:eastAsia="en-US"/>
        </w:rPr>
        <w:t>No señaló de manera clara y precisa los artículos de los ordenamientos jurídicos aplicables.</w:t>
      </w:r>
    </w:p>
    <w:p w14:paraId="55ABCBDA" w14:textId="77777777" w:rsidR="00BF1413" w:rsidRPr="00AA6820" w:rsidRDefault="00BF1413" w:rsidP="00E56DB7">
      <w:pPr>
        <w:pStyle w:val="Prrafodelista"/>
        <w:spacing w:line="360" w:lineRule="auto"/>
        <w:rPr>
          <w:rFonts w:ascii="Palatino Linotype" w:eastAsia="Calibri" w:hAnsi="Palatino Linotype" w:cs="Tahoma"/>
          <w:bCs/>
          <w:color w:val="0D0D0D" w:themeColor="text1" w:themeTint="F2"/>
          <w:lang w:eastAsia="en-US"/>
        </w:rPr>
      </w:pPr>
    </w:p>
    <w:p w14:paraId="3AB851F9" w14:textId="77777777" w:rsidR="00BF1413" w:rsidRPr="00AA6820" w:rsidRDefault="00BF1413" w:rsidP="00E56DB7">
      <w:pPr>
        <w:pStyle w:val="Prrafodelista"/>
        <w:numPr>
          <w:ilvl w:val="0"/>
          <w:numId w:val="12"/>
        </w:numPr>
        <w:spacing w:line="360" w:lineRule="auto"/>
        <w:jc w:val="both"/>
        <w:rPr>
          <w:rFonts w:ascii="Palatino Linotype" w:eastAsia="Calibri" w:hAnsi="Palatino Linotype" w:cs="Tahoma"/>
          <w:bCs/>
          <w:color w:val="0D0D0D" w:themeColor="text1" w:themeTint="F2"/>
          <w:lang w:eastAsia="en-US"/>
        </w:rPr>
      </w:pPr>
      <w:r w:rsidRPr="00AA6820">
        <w:rPr>
          <w:rFonts w:ascii="Palatino Linotype" w:eastAsia="Calibri" w:hAnsi="Palatino Linotype" w:cs="Tahoma"/>
          <w:bCs/>
          <w:color w:val="0D0D0D" w:themeColor="text1" w:themeTint="F2"/>
          <w:lang w:eastAsia="en-US"/>
        </w:rPr>
        <w:lastRenderedPageBreak/>
        <w:t xml:space="preserve">No señaló las razones objetivas, concretas y específicas por las cuales la apertura de la información generaría una afectación que rebase el interés público. </w:t>
      </w:r>
    </w:p>
    <w:p w14:paraId="4C2D86E3" w14:textId="77777777" w:rsidR="00BF1413" w:rsidRPr="00AA6820" w:rsidRDefault="00BF1413" w:rsidP="00E56DB7">
      <w:pPr>
        <w:spacing w:line="360" w:lineRule="auto"/>
        <w:jc w:val="both"/>
        <w:rPr>
          <w:rFonts w:ascii="Palatino Linotype" w:eastAsia="Calibri" w:hAnsi="Palatino Linotype" w:cs="Tahoma"/>
          <w:bCs/>
          <w:color w:val="0D0D0D" w:themeColor="text1" w:themeTint="F2"/>
          <w:lang w:eastAsia="en-US"/>
        </w:rPr>
      </w:pPr>
    </w:p>
    <w:p w14:paraId="099C8C9B" w14:textId="77777777" w:rsidR="00BF1413" w:rsidRPr="00AA6820" w:rsidRDefault="00BF1413" w:rsidP="00E56DB7">
      <w:pPr>
        <w:pStyle w:val="Prrafodelista"/>
        <w:numPr>
          <w:ilvl w:val="0"/>
          <w:numId w:val="12"/>
        </w:numPr>
        <w:spacing w:line="360" w:lineRule="auto"/>
        <w:jc w:val="both"/>
        <w:rPr>
          <w:rFonts w:ascii="Palatino Linotype" w:hAnsi="Palatino Linotype" w:cs="Tahoma"/>
          <w:color w:val="0D0D0D" w:themeColor="text1" w:themeTint="F2"/>
        </w:rPr>
      </w:pPr>
      <w:r w:rsidRPr="00AA6820">
        <w:rPr>
          <w:rFonts w:ascii="Palatino Linotype" w:hAnsi="Palatino Linotype" w:cs="Tahoma"/>
          <w:color w:val="0D0D0D" w:themeColor="text1" w:themeTint="F2"/>
        </w:rPr>
        <w:t xml:space="preserve">No acreditó el vínculo entre la información peticionada y la afectación que podría causar. </w:t>
      </w:r>
    </w:p>
    <w:p w14:paraId="55CADD7D" w14:textId="77777777" w:rsidR="00BF1413" w:rsidRPr="00AA6820" w:rsidRDefault="00BF1413" w:rsidP="00E56DB7">
      <w:pPr>
        <w:spacing w:line="360" w:lineRule="auto"/>
        <w:jc w:val="both"/>
        <w:rPr>
          <w:rFonts w:ascii="Palatino Linotype" w:hAnsi="Palatino Linotype" w:cs="Tahoma"/>
          <w:color w:val="0D0D0D" w:themeColor="text1" w:themeTint="F2"/>
        </w:rPr>
      </w:pPr>
    </w:p>
    <w:p w14:paraId="629FF3AD" w14:textId="77777777" w:rsidR="00BF1413" w:rsidRPr="00AA6820" w:rsidRDefault="00BF1413" w:rsidP="00E56DB7">
      <w:pPr>
        <w:pStyle w:val="Prrafodelista"/>
        <w:numPr>
          <w:ilvl w:val="0"/>
          <w:numId w:val="12"/>
        </w:numPr>
        <w:spacing w:line="360" w:lineRule="auto"/>
        <w:jc w:val="both"/>
        <w:rPr>
          <w:rFonts w:ascii="Palatino Linotype" w:hAnsi="Palatino Linotype" w:cs="Tahoma"/>
          <w:color w:val="0D0D0D" w:themeColor="text1" w:themeTint="F2"/>
        </w:rPr>
      </w:pPr>
      <w:r w:rsidRPr="00AA6820">
        <w:rPr>
          <w:rFonts w:ascii="Palatino Linotype" w:eastAsia="Calibri" w:hAnsi="Palatino Linotype" w:cs="Tahoma"/>
          <w:bCs/>
          <w:color w:val="0D0D0D" w:themeColor="text1" w:themeTint="F2"/>
          <w:lang w:eastAsia="en-US"/>
        </w:rPr>
        <w:t>Omitió señalar, las circunstancias de tiempo, modo y lugar del daño que produciría entregar la información peticionada</w:t>
      </w:r>
      <w:r w:rsidRPr="00AA6820">
        <w:rPr>
          <w:rFonts w:ascii="Palatino Linotype" w:hAnsi="Palatino Linotype" w:cs="Tahoma"/>
          <w:color w:val="0D0D0D" w:themeColor="text1" w:themeTint="F2"/>
        </w:rPr>
        <w:t>.</w:t>
      </w:r>
    </w:p>
    <w:p w14:paraId="2D5429F0" w14:textId="77777777" w:rsidR="00BF1413" w:rsidRPr="00AA6820" w:rsidRDefault="00BF1413" w:rsidP="00E56DB7">
      <w:pPr>
        <w:pStyle w:val="Prrafodelista"/>
        <w:spacing w:line="360" w:lineRule="auto"/>
        <w:rPr>
          <w:rFonts w:ascii="Palatino Linotype" w:hAnsi="Palatino Linotype" w:cs="Tahoma"/>
          <w:color w:val="0D0D0D" w:themeColor="text1" w:themeTint="F2"/>
        </w:rPr>
      </w:pPr>
    </w:p>
    <w:p w14:paraId="10D999DB" w14:textId="77777777" w:rsidR="00BF1413" w:rsidRPr="00AA6820" w:rsidRDefault="00BF1413" w:rsidP="00E56DB7">
      <w:pPr>
        <w:pStyle w:val="Prrafodelista"/>
        <w:numPr>
          <w:ilvl w:val="0"/>
          <w:numId w:val="12"/>
        </w:numPr>
        <w:spacing w:line="360" w:lineRule="auto"/>
        <w:jc w:val="both"/>
        <w:rPr>
          <w:rFonts w:ascii="Palatino Linotype" w:eastAsia="Calibri" w:hAnsi="Palatino Linotype" w:cs="Tahoma"/>
          <w:bCs/>
          <w:color w:val="0D0D0D" w:themeColor="text1" w:themeTint="F2"/>
          <w:lang w:eastAsia="en-US"/>
        </w:rPr>
      </w:pPr>
      <w:r w:rsidRPr="00AA6820">
        <w:rPr>
          <w:rFonts w:ascii="Palatino Linotype" w:eastAsia="Calibri" w:hAnsi="Palatino Linotype" w:cs="Tahoma"/>
          <w:bCs/>
          <w:color w:val="0D0D0D" w:themeColor="text1" w:themeTint="F2"/>
          <w:lang w:eastAsia="en-US"/>
        </w:rPr>
        <w:t>No se establecieron las razones, por las cuales la reserva era el medio menos restrictivo, para la protección del interés jurídico.</w:t>
      </w:r>
    </w:p>
    <w:p w14:paraId="06F02CD8" w14:textId="77777777" w:rsidR="00BF1413" w:rsidRPr="00AA6820" w:rsidRDefault="00BF1413" w:rsidP="00E56DB7">
      <w:pPr>
        <w:spacing w:line="360" w:lineRule="auto"/>
        <w:jc w:val="both"/>
        <w:rPr>
          <w:rFonts w:ascii="Palatino Linotype" w:hAnsi="Palatino Linotype" w:cs="Tahoma"/>
          <w:color w:val="0D0D0D" w:themeColor="text1" w:themeTint="F2"/>
          <w:lang w:val="es-ES"/>
        </w:rPr>
      </w:pPr>
    </w:p>
    <w:p w14:paraId="46F51C7B" w14:textId="77777777" w:rsidR="00BF1413" w:rsidRPr="00AA6820" w:rsidRDefault="00BF1413" w:rsidP="00E56DB7">
      <w:pPr>
        <w:spacing w:line="360" w:lineRule="auto"/>
        <w:jc w:val="both"/>
        <w:rPr>
          <w:rFonts w:ascii="Palatino Linotype" w:eastAsia="Calibri" w:hAnsi="Palatino Linotype" w:cs="Tahoma"/>
          <w:b/>
          <w:color w:val="0D0D0D" w:themeColor="text1" w:themeTint="F2"/>
          <w:lang w:eastAsia="en-US"/>
        </w:rPr>
      </w:pPr>
      <w:r w:rsidRPr="00AA6820">
        <w:rPr>
          <w:rFonts w:ascii="Palatino Linotype" w:eastAsia="Calibri" w:hAnsi="Palatino Linotype" w:cs="Tahoma"/>
          <w:bCs/>
          <w:color w:val="0D0D0D" w:themeColor="text1" w:themeTint="F2"/>
          <w:lang w:eastAsia="en-US"/>
        </w:rPr>
        <w:t xml:space="preserve">Así, se advierte que el Sujeto Obligado no fundamentó y motivó la reserva de la información, pues no acreditó que la divulgación de la información lesiona el interés jurídicamente protegido por la normatividad aplicable y que el daño que puede producirse con la publicidad de la información es mayor que el interés de conocerla. </w:t>
      </w:r>
    </w:p>
    <w:p w14:paraId="4452757F" w14:textId="77777777" w:rsidR="00BF1413" w:rsidRPr="00AA6820" w:rsidRDefault="00BF1413" w:rsidP="00E56DB7">
      <w:pPr>
        <w:spacing w:line="276" w:lineRule="auto"/>
        <w:ind w:right="616"/>
        <w:jc w:val="both"/>
        <w:rPr>
          <w:rFonts w:ascii="Palatino Linotype" w:eastAsia="Palatino Linotype" w:hAnsi="Palatino Linotype" w:cs="Palatino Linotype"/>
        </w:rPr>
      </w:pPr>
    </w:p>
    <w:p w14:paraId="2A7268AC" w14:textId="77777777" w:rsidR="00ED74D1" w:rsidRDefault="00ED74D1" w:rsidP="00E56DB7">
      <w:pPr>
        <w:spacing w:line="360" w:lineRule="auto"/>
        <w:ind w:right="49"/>
        <w:jc w:val="both"/>
        <w:rPr>
          <w:rFonts w:ascii="Palatino Linotype" w:eastAsia="Palatino Linotype" w:hAnsi="Palatino Linotype" w:cs="Palatino Linotype"/>
        </w:rPr>
      </w:pPr>
      <w:r w:rsidRPr="00AA6820">
        <w:rPr>
          <w:rFonts w:ascii="Palatino Linotype" w:eastAsia="Palatino Linotype" w:hAnsi="Palatino Linotype" w:cs="Palatino Linotype"/>
        </w:rPr>
        <w:t xml:space="preserve">Ahora bien, cabe </w:t>
      </w:r>
      <w:r w:rsidR="004C128B">
        <w:rPr>
          <w:rFonts w:ascii="Palatino Linotype" w:eastAsia="Palatino Linotype" w:hAnsi="Palatino Linotype" w:cs="Palatino Linotype"/>
        </w:rPr>
        <w:t xml:space="preserve">insistir que el </w:t>
      </w:r>
      <w:r w:rsidR="004C128B">
        <w:rPr>
          <w:rFonts w:ascii="Palatino Linotype" w:eastAsia="Palatino Linotype" w:hAnsi="Palatino Linotype" w:cs="Palatino Linotype"/>
          <w:b/>
        </w:rPr>
        <w:t xml:space="preserve">Recurrente </w:t>
      </w:r>
      <w:r w:rsidR="004C128B">
        <w:rPr>
          <w:rFonts w:ascii="Palatino Linotype" w:eastAsia="Palatino Linotype" w:hAnsi="Palatino Linotype" w:cs="Palatino Linotype"/>
        </w:rPr>
        <w:t xml:space="preserve">de manera muy precisa requirió documentación relacionada con la obra </w:t>
      </w:r>
      <w:r w:rsidR="0084343F">
        <w:rPr>
          <w:rFonts w:ascii="Palatino Linotype" w:eastAsia="Palatino Linotype" w:hAnsi="Palatino Linotype" w:cs="Palatino Linotype"/>
        </w:rPr>
        <w:t>de pavimentación y drenaje en la Avenida Veracruz (camino a ojo de agua) en las colonias las Brisas y Chiconautla; no así</w:t>
      </w:r>
      <w:r w:rsidR="00FD0E97">
        <w:rPr>
          <w:rFonts w:ascii="Palatino Linotype" w:eastAsia="Palatino Linotype" w:hAnsi="Palatino Linotype" w:cs="Palatino Linotype"/>
        </w:rPr>
        <w:t xml:space="preserve">, el expediente del procedimiento o la investigación realizada por la </w:t>
      </w:r>
      <w:r w:rsidR="00FD6A77">
        <w:rPr>
          <w:rFonts w:ascii="Palatino Linotype" w:eastAsia="Palatino Linotype" w:hAnsi="Palatino Linotype" w:cs="Palatino Linotype"/>
        </w:rPr>
        <w:t xml:space="preserve">Contraloría Interna Municipal. </w:t>
      </w:r>
    </w:p>
    <w:p w14:paraId="022658AB" w14:textId="77777777" w:rsidR="00DA5737" w:rsidRDefault="00DA5737" w:rsidP="00E56DB7">
      <w:pPr>
        <w:spacing w:line="360" w:lineRule="auto"/>
        <w:ind w:right="49"/>
        <w:jc w:val="both"/>
        <w:rPr>
          <w:rFonts w:ascii="Palatino Linotype" w:eastAsia="Palatino Linotype" w:hAnsi="Palatino Linotype" w:cs="Palatino Linotype"/>
        </w:rPr>
      </w:pPr>
    </w:p>
    <w:p w14:paraId="142444DB" w14:textId="77777777" w:rsidR="00FD6A77" w:rsidRDefault="00FD6A77" w:rsidP="00E56DB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contexto, si bien es cierto que</w:t>
      </w:r>
      <w:r w:rsidR="00B30B84">
        <w:rPr>
          <w:rFonts w:ascii="Palatino Linotype" w:eastAsia="Palatino Linotype" w:hAnsi="Palatino Linotype" w:cs="Palatino Linotype"/>
        </w:rPr>
        <w:t>,</w:t>
      </w:r>
      <w:r>
        <w:rPr>
          <w:rFonts w:ascii="Palatino Linotype" w:eastAsia="Palatino Linotype" w:hAnsi="Palatino Linotype" w:cs="Palatino Linotype"/>
        </w:rPr>
        <w:t xml:space="preserve"> con la respuesta a la solicitud de la información,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asumió contar con </w:t>
      </w:r>
      <w:r w:rsidR="006A068F">
        <w:rPr>
          <w:rFonts w:ascii="Palatino Linotype" w:eastAsia="Palatino Linotype" w:hAnsi="Palatino Linotype" w:cs="Palatino Linotype"/>
        </w:rPr>
        <w:t xml:space="preserve">la documentación, </w:t>
      </w:r>
      <w:r>
        <w:rPr>
          <w:rFonts w:ascii="Palatino Linotype" w:eastAsia="Palatino Linotype" w:hAnsi="Palatino Linotype" w:cs="Palatino Linotype"/>
        </w:rPr>
        <w:t xml:space="preserve">también lo es que es necesario realizar un análisis de cada uno de los requerimientos, con el objeto de determinar la naturaleza pública de la misma. </w:t>
      </w:r>
    </w:p>
    <w:p w14:paraId="4E7249E5" w14:textId="77777777" w:rsidR="006A068F" w:rsidRDefault="006A068F" w:rsidP="00E56DB7">
      <w:pPr>
        <w:spacing w:line="360" w:lineRule="auto"/>
        <w:ind w:right="49"/>
        <w:jc w:val="both"/>
        <w:rPr>
          <w:rFonts w:ascii="Palatino Linotype" w:eastAsia="Palatino Linotype" w:hAnsi="Palatino Linotype" w:cs="Palatino Linotype"/>
        </w:rPr>
      </w:pPr>
    </w:p>
    <w:p w14:paraId="1189B9D9" w14:textId="77777777" w:rsidR="007A002D" w:rsidRDefault="00F668AA" w:rsidP="00E56DB7">
      <w:pPr>
        <w:spacing w:before="240" w:after="240" w:line="360" w:lineRule="auto"/>
        <w:ind w:right="49"/>
        <w:jc w:val="both"/>
        <w:rPr>
          <w:rFonts w:ascii="Palatino Linotype" w:hAnsi="Palatino Linotype"/>
        </w:rPr>
      </w:pPr>
      <w:r>
        <w:rPr>
          <w:rFonts w:ascii="Palatino Linotype" w:eastAsia="Palatino Linotype" w:hAnsi="Palatino Linotype" w:cs="Palatino Linotype"/>
        </w:rPr>
        <w:t xml:space="preserve">Por cuanto hace a la información requerida en </w:t>
      </w:r>
      <w:r w:rsidR="009A1CD9">
        <w:rPr>
          <w:rFonts w:ascii="Palatino Linotype" w:eastAsia="Palatino Linotype" w:hAnsi="Palatino Linotype" w:cs="Palatino Linotype"/>
        </w:rPr>
        <w:t>el</w:t>
      </w:r>
      <w:r>
        <w:rPr>
          <w:rFonts w:ascii="Palatino Linotype" w:eastAsia="Palatino Linotype" w:hAnsi="Palatino Linotype" w:cs="Palatino Linotype"/>
        </w:rPr>
        <w:t xml:space="preserve"> numeral 1 relacionada con las </w:t>
      </w:r>
      <w:r w:rsidR="005C0AD9">
        <w:rPr>
          <w:rFonts w:ascii="Palatino Linotype" w:eastAsia="Palatino Linotype" w:hAnsi="Palatino Linotype" w:cs="Palatino Linotype"/>
        </w:rPr>
        <w:t>facturas, transferencias y pólizas con el soporte documental de las estimaciones pagad</w:t>
      </w:r>
      <w:r w:rsidR="005A2681">
        <w:rPr>
          <w:rFonts w:ascii="Palatino Linotype" w:eastAsia="Palatino Linotype" w:hAnsi="Palatino Linotype" w:cs="Palatino Linotype"/>
        </w:rPr>
        <w:t>as</w:t>
      </w:r>
      <w:r w:rsidR="00BE2DDB">
        <w:rPr>
          <w:rFonts w:ascii="Palatino Linotype" w:eastAsia="Palatino Linotype" w:hAnsi="Palatino Linotype" w:cs="Palatino Linotype"/>
        </w:rPr>
        <w:t xml:space="preserve"> de la obra de pavimentación y drenaje en la Avenida Veracruz (camino a ojo de agua) en las colonias las Brisas y Chico</w:t>
      </w:r>
      <w:r w:rsidR="004C3143">
        <w:rPr>
          <w:rFonts w:ascii="Palatino Linotype" w:eastAsia="Palatino Linotype" w:hAnsi="Palatino Linotype" w:cs="Palatino Linotype"/>
        </w:rPr>
        <w:t>naut</w:t>
      </w:r>
      <w:r w:rsidR="007A002D">
        <w:rPr>
          <w:rFonts w:ascii="Palatino Linotype" w:eastAsia="Palatino Linotype" w:hAnsi="Palatino Linotype" w:cs="Palatino Linotype"/>
        </w:rPr>
        <w:t>la; es de se</w:t>
      </w:r>
      <w:r w:rsidR="00B30B84">
        <w:rPr>
          <w:rFonts w:ascii="Palatino Linotype" w:eastAsia="Palatino Linotype" w:hAnsi="Palatino Linotype" w:cs="Palatino Linotype"/>
        </w:rPr>
        <w:t xml:space="preserve">ñalar en primer término que el </w:t>
      </w:r>
      <w:r w:rsidR="007A002D" w:rsidRPr="00A9657D">
        <w:rPr>
          <w:rFonts w:ascii="Palatino Linotype" w:hAnsi="Palatino Linotype"/>
        </w:rPr>
        <w:t>Glosario de Términos Hacendarios que emite el Instituto Hacendario del Estado de México, expresa lo siguiente:</w:t>
      </w:r>
    </w:p>
    <w:p w14:paraId="6BAB83A2" w14:textId="77777777" w:rsidR="00B30B84" w:rsidRPr="00A9657D" w:rsidRDefault="00B30B84" w:rsidP="00E56DB7">
      <w:pPr>
        <w:spacing w:before="240" w:after="240" w:line="360" w:lineRule="auto"/>
        <w:ind w:right="49"/>
        <w:jc w:val="both"/>
        <w:rPr>
          <w:rFonts w:ascii="Palatino Linotype" w:hAnsi="Palatino Linotype" w:cs="Arial"/>
        </w:rPr>
      </w:pPr>
    </w:p>
    <w:p w14:paraId="2DE5DAD5" w14:textId="77777777" w:rsidR="007A002D" w:rsidRPr="00A9657D" w:rsidRDefault="007A002D" w:rsidP="00E56DB7">
      <w:pPr>
        <w:autoSpaceDE w:val="0"/>
        <w:autoSpaceDN w:val="0"/>
        <w:adjustRightInd w:val="0"/>
        <w:spacing w:line="276" w:lineRule="auto"/>
        <w:ind w:left="851" w:right="851"/>
        <w:jc w:val="both"/>
        <w:rPr>
          <w:rFonts w:ascii="Palatino Linotype" w:hAnsi="Palatino Linotype" w:cs="Arial"/>
          <w:b/>
          <w:i/>
          <w:sz w:val="22"/>
          <w:szCs w:val="22"/>
        </w:rPr>
      </w:pPr>
      <w:r w:rsidRPr="00A9657D">
        <w:rPr>
          <w:rFonts w:ascii="Palatino Linotype" w:hAnsi="Palatino Linotype" w:cs="Arial"/>
          <w:i/>
          <w:sz w:val="22"/>
          <w:szCs w:val="22"/>
        </w:rPr>
        <w:t>“</w:t>
      </w:r>
      <w:r w:rsidRPr="00A9657D">
        <w:rPr>
          <w:rFonts w:ascii="Palatino Linotype" w:hAnsi="Palatino Linotype" w:cs="Arial"/>
          <w:b/>
          <w:i/>
          <w:sz w:val="22"/>
          <w:szCs w:val="22"/>
        </w:rPr>
        <w:t>FACTURA</w:t>
      </w:r>
    </w:p>
    <w:p w14:paraId="6608F651" w14:textId="77777777" w:rsidR="007A002D" w:rsidRPr="00A9657D" w:rsidRDefault="007A002D" w:rsidP="00E56DB7">
      <w:pPr>
        <w:autoSpaceDE w:val="0"/>
        <w:autoSpaceDN w:val="0"/>
        <w:adjustRightInd w:val="0"/>
        <w:spacing w:line="276" w:lineRule="auto"/>
        <w:ind w:left="851" w:right="851"/>
        <w:jc w:val="both"/>
        <w:rPr>
          <w:rFonts w:ascii="Palatino Linotype" w:hAnsi="Palatino Linotype" w:cs="Arial"/>
          <w:i/>
          <w:sz w:val="22"/>
          <w:szCs w:val="22"/>
        </w:rPr>
      </w:pPr>
      <w:r w:rsidRPr="00A9657D">
        <w:rPr>
          <w:rFonts w:ascii="Palatino Linotype" w:hAnsi="Palatino Linotype" w:cs="Arial"/>
          <w:i/>
          <w:sz w:val="22"/>
          <w:szCs w:val="22"/>
        </w:rPr>
        <w:t xml:space="preserve">Es el documento fiscal que emite la persona física o moral para </w:t>
      </w:r>
      <w:r w:rsidRPr="00A9657D">
        <w:rPr>
          <w:rFonts w:ascii="Palatino Linotype" w:hAnsi="Palatino Linotype" w:cs="Arial"/>
          <w:b/>
          <w:i/>
          <w:sz w:val="22"/>
          <w:szCs w:val="22"/>
          <w:u w:val="single"/>
        </w:rPr>
        <w:t>comprobar la venta o adquisición de un bien y/o servicio</w:t>
      </w:r>
      <w:r w:rsidR="009676AD">
        <w:rPr>
          <w:rFonts w:ascii="Palatino Linotype" w:hAnsi="Palatino Linotype" w:cs="Arial"/>
          <w:i/>
          <w:sz w:val="22"/>
          <w:szCs w:val="22"/>
        </w:rPr>
        <w:t xml:space="preserve">.” </w:t>
      </w:r>
    </w:p>
    <w:p w14:paraId="00DE7292" w14:textId="77777777" w:rsidR="007A002D" w:rsidRPr="00A9657D" w:rsidRDefault="007A002D" w:rsidP="00E56DB7">
      <w:pPr>
        <w:autoSpaceDE w:val="0"/>
        <w:autoSpaceDN w:val="0"/>
        <w:adjustRightInd w:val="0"/>
        <w:ind w:left="851" w:right="851"/>
        <w:jc w:val="both"/>
        <w:rPr>
          <w:rFonts w:ascii="Palatino Linotype" w:hAnsi="Palatino Linotype" w:cs="Arial"/>
          <w:i/>
          <w:sz w:val="22"/>
          <w:szCs w:val="22"/>
        </w:rPr>
      </w:pPr>
    </w:p>
    <w:p w14:paraId="70DE0927" w14:textId="77777777" w:rsidR="007A002D" w:rsidRPr="00A9657D" w:rsidRDefault="007A002D" w:rsidP="00E56DB7">
      <w:pPr>
        <w:spacing w:before="240" w:after="240" w:line="360" w:lineRule="auto"/>
        <w:jc w:val="both"/>
        <w:rPr>
          <w:rFonts w:ascii="Palatino Linotype" w:hAnsi="Palatino Linotype" w:cs="Arial"/>
        </w:rPr>
      </w:pPr>
      <w:r w:rsidRPr="00A9657D">
        <w:rPr>
          <w:rFonts w:ascii="Palatino Linotype" w:hAnsi="Palatino Linotype" w:cs="Arial"/>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A9657D">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11120D44" w14:textId="77777777" w:rsidR="00B5648E" w:rsidRDefault="00B5648E" w:rsidP="00E56DB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7C939E86" w14:textId="77777777" w:rsidR="00431638" w:rsidRDefault="00431638" w:rsidP="00E56DB7">
      <w:pPr>
        <w:widowControl w:val="0"/>
        <w:spacing w:line="360" w:lineRule="auto"/>
        <w:jc w:val="both"/>
        <w:rPr>
          <w:rFonts w:ascii="Palatino Linotype" w:eastAsia="Palatino Linotype" w:hAnsi="Palatino Linotype" w:cs="Palatino Linotype"/>
        </w:rPr>
      </w:pPr>
    </w:p>
    <w:p w14:paraId="46357D0E" w14:textId="77777777" w:rsidR="00B5648E" w:rsidRPr="009676AD" w:rsidRDefault="00B5648E" w:rsidP="00E56DB7">
      <w:pPr>
        <w:spacing w:after="120" w:line="276" w:lineRule="auto"/>
        <w:ind w:left="851" w:right="850"/>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i/>
          <w:color w:val="000000"/>
          <w:sz w:val="22"/>
          <w:szCs w:val="22"/>
        </w:rPr>
        <w:t>“</w:t>
      </w:r>
      <w:r w:rsidRPr="009676AD">
        <w:rPr>
          <w:rFonts w:ascii="Palatino Linotype" w:eastAsia="Palatino Linotype" w:hAnsi="Palatino Linotype" w:cs="Palatino Linotype"/>
          <w:b/>
          <w:i/>
          <w:sz w:val="22"/>
          <w:szCs w:val="22"/>
        </w:rPr>
        <w:t>Artículo 342.-</w:t>
      </w:r>
      <w:r w:rsidRPr="009676AD">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w:t>
      </w:r>
      <w:r w:rsidRPr="009676AD">
        <w:rPr>
          <w:rFonts w:ascii="Palatino Linotype" w:eastAsia="Palatino Linotype" w:hAnsi="Palatino Linotype" w:cs="Palatino Linotype"/>
          <w:i/>
          <w:color w:val="000000"/>
          <w:sz w:val="22"/>
          <w:szCs w:val="22"/>
        </w:rPr>
        <w:t>planeación</w:t>
      </w:r>
      <w:r w:rsidRPr="009676AD">
        <w:rPr>
          <w:rFonts w:ascii="Palatino Linotype" w:eastAsia="Palatino Linotype" w:hAnsi="Palatino Linotype" w:cs="Palatino Linotype"/>
          <w:i/>
          <w:sz w:val="22"/>
          <w:szCs w:val="22"/>
        </w:rPr>
        <w:t xml:space="preserve">, programación, presupuestación, evaluación y </w:t>
      </w:r>
      <w:r w:rsidRPr="009676AD">
        <w:rPr>
          <w:rFonts w:ascii="Palatino Linotype" w:eastAsia="Palatino Linotype" w:hAnsi="Palatino Linotype" w:cs="Palatino Linotype"/>
          <w:i/>
          <w:color w:val="000000"/>
          <w:sz w:val="22"/>
          <w:szCs w:val="22"/>
        </w:rPr>
        <w:t>contabilidad</w:t>
      </w:r>
      <w:r w:rsidRPr="009676AD">
        <w:rPr>
          <w:rFonts w:ascii="Palatino Linotype" w:eastAsia="Palatino Linotype" w:hAnsi="Palatino Linotype" w:cs="Palatino Linotype"/>
          <w:i/>
          <w:sz w:val="22"/>
          <w:szCs w:val="22"/>
        </w:rPr>
        <w:t xml:space="preserve"> gubernamental. </w:t>
      </w:r>
    </w:p>
    <w:p w14:paraId="0D0B5E07" w14:textId="77777777" w:rsidR="00B5648E" w:rsidRPr="009676AD" w:rsidRDefault="00B5648E" w:rsidP="00E56DB7">
      <w:pPr>
        <w:spacing w:before="120" w:after="120" w:line="276" w:lineRule="auto"/>
        <w:ind w:left="851" w:right="850"/>
        <w:jc w:val="both"/>
        <w:rPr>
          <w:rFonts w:ascii="Palatino Linotype" w:eastAsia="Palatino Linotype" w:hAnsi="Palatino Linotype" w:cs="Palatino Linotype"/>
          <w:b/>
          <w:i/>
          <w:sz w:val="22"/>
          <w:szCs w:val="22"/>
        </w:rPr>
      </w:pPr>
      <w:r w:rsidRPr="009676AD">
        <w:rPr>
          <w:rFonts w:ascii="Palatino Linotype" w:eastAsia="Palatino Linotype" w:hAnsi="Palatino Linotype" w:cs="Palatino Linotype"/>
          <w:b/>
          <w:i/>
          <w:color w:val="000000"/>
          <w:sz w:val="22"/>
          <w:szCs w:val="22"/>
        </w:rPr>
        <w:t>…</w:t>
      </w:r>
    </w:p>
    <w:p w14:paraId="0822E127" w14:textId="77777777" w:rsidR="00B5648E" w:rsidRPr="009676AD" w:rsidRDefault="00B5648E" w:rsidP="00E56DB7">
      <w:pPr>
        <w:spacing w:before="120" w:after="120" w:line="276" w:lineRule="auto"/>
        <w:ind w:left="851" w:right="850"/>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b/>
          <w:i/>
          <w:sz w:val="22"/>
          <w:szCs w:val="22"/>
        </w:rPr>
        <w:t>Artículo 343.-</w:t>
      </w:r>
      <w:r w:rsidRPr="009676AD">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D2447E5" w14:textId="77777777" w:rsidR="00B5648E" w:rsidRPr="009676AD" w:rsidRDefault="00B5648E" w:rsidP="00E56DB7">
      <w:pPr>
        <w:spacing w:before="120" w:after="120" w:line="276" w:lineRule="auto"/>
        <w:ind w:left="851" w:right="850"/>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i/>
          <w:sz w:val="22"/>
          <w:szCs w:val="22"/>
        </w:rPr>
        <w:t xml:space="preserve">El sistema de contabilidad sobre base acumulativa total se sustentará en los postulados básicos y el marco conceptual de la contabilidad gubernamental. </w:t>
      </w:r>
    </w:p>
    <w:p w14:paraId="33E6F4E8" w14:textId="77777777" w:rsidR="00B5648E" w:rsidRPr="009676AD" w:rsidRDefault="00B5648E" w:rsidP="00E56DB7">
      <w:pPr>
        <w:spacing w:before="120" w:after="120" w:line="276" w:lineRule="auto"/>
        <w:ind w:left="851" w:right="850"/>
        <w:jc w:val="both"/>
        <w:rPr>
          <w:rFonts w:ascii="Palatino Linotype" w:eastAsia="Palatino Linotype" w:hAnsi="Palatino Linotype" w:cs="Palatino Linotype"/>
          <w:i/>
          <w:sz w:val="22"/>
          <w:szCs w:val="22"/>
          <w:u w:val="single"/>
        </w:rPr>
      </w:pPr>
      <w:r w:rsidRPr="009676AD">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676AD">
        <w:rPr>
          <w:rFonts w:ascii="Palatino Linotype" w:eastAsia="Palatino Linotype" w:hAnsi="Palatino Linotype" w:cs="Palatino Linotype"/>
          <w:i/>
          <w:sz w:val="22"/>
          <w:szCs w:val="22"/>
        </w:rPr>
        <w:t>en el caso de los Municipios se hará por la Tesorería.</w:t>
      </w:r>
      <w:r w:rsidRPr="009676AD">
        <w:rPr>
          <w:rFonts w:ascii="Palatino Linotype" w:eastAsia="Palatino Linotype" w:hAnsi="Palatino Linotype" w:cs="Palatino Linotype"/>
          <w:i/>
          <w:sz w:val="22"/>
          <w:szCs w:val="22"/>
          <w:u w:val="single"/>
        </w:rPr>
        <w:t xml:space="preserve"> </w:t>
      </w:r>
    </w:p>
    <w:p w14:paraId="3E4E4485" w14:textId="77777777" w:rsidR="00B5648E" w:rsidRPr="009676AD" w:rsidRDefault="00B5648E" w:rsidP="00E56DB7">
      <w:pPr>
        <w:spacing w:before="120" w:after="120" w:line="276" w:lineRule="auto"/>
        <w:ind w:left="851" w:right="51"/>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i/>
          <w:sz w:val="22"/>
          <w:szCs w:val="22"/>
        </w:rPr>
        <w:t xml:space="preserve">Derogado. </w:t>
      </w:r>
    </w:p>
    <w:p w14:paraId="5BA76CCB" w14:textId="77777777" w:rsidR="00B5648E" w:rsidRPr="009676AD" w:rsidRDefault="00B5648E" w:rsidP="00E56DB7">
      <w:pPr>
        <w:spacing w:before="120" w:after="120" w:line="276" w:lineRule="auto"/>
        <w:ind w:left="851" w:right="850"/>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676AD">
        <w:rPr>
          <w:rFonts w:ascii="Palatino Linotype" w:eastAsia="Palatino Linotype" w:hAnsi="Palatino Linotype" w:cs="Palatino Linotype"/>
          <w:i/>
          <w:sz w:val="22"/>
          <w:szCs w:val="22"/>
        </w:rPr>
        <w:t xml:space="preserve"> a partir del </w:t>
      </w:r>
      <w:r w:rsidRPr="009676AD">
        <w:rPr>
          <w:rFonts w:ascii="Palatino Linotype" w:eastAsia="Palatino Linotype" w:hAnsi="Palatino Linotype" w:cs="Palatino Linotype"/>
          <w:i/>
          <w:sz w:val="22"/>
          <w:szCs w:val="22"/>
        </w:rPr>
        <w:lastRenderedPageBreak/>
        <w:t xml:space="preserve">ejercicio presupuestal siguiente al que corresponda, en el caso de los municipios se hará por la Tesorería. </w:t>
      </w:r>
    </w:p>
    <w:p w14:paraId="410596B7" w14:textId="77777777" w:rsidR="00B5648E" w:rsidRPr="009676AD" w:rsidRDefault="00B5648E" w:rsidP="00E56DB7">
      <w:pPr>
        <w:spacing w:before="120" w:after="120" w:line="276" w:lineRule="auto"/>
        <w:ind w:left="851" w:right="51"/>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i/>
          <w:sz w:val="22"/>
          <w:szCs w:val="22"/>
        </w:rPr>
        <w:t>…</w:t>
      </w:r>
    </w:p>
    <w:p w14:paraId="0E73C4B3" w14:textId="77777777" w:rsidR="00B5648E" w:rsidRPr="009676AD" w:rsidRDefault="00B5648E" w:rsidP="00E56DB7">
      <w:pPr>
        <w:spacing w:before="120" w:after="120" w:line="276" w:lineRule="auto"/>
        <w:ind w:left="851" w:right="850"/>
        <w:jc w:val="both"/>
        <w:rPr>
          <w:rFonts w:ascii="Palatino Linotype" w:eastAsia="Palatino Linotype" w:hAnsi="Palatino Linotype" w:cs="Palatino Linotype"/>
          <w:i/>
          <w:sz w:val="22"/>
          <w:szCs w:val="22"/>
        </w:rPr>
      </w:pPr>
      <w:r w:rsidRPr="009676AD">
        <w:rPr>
          <w:rFonts w:ascii="Palatino Linotype" w:eastAsia="Palatino Linotype" w:hAnsi="Palatino Linotype" w:cs="Palatino Linotype"/>
          <w:b/>
          <w:i/>
          <w:sz w:val="22"/>
          <w:szCs w:val="22"/>
        </w:rPr>
        <w:t>Artículo 345.-</w:t>
      </w:r>
      <w:r w:rsidRPr="009676AD">
        <w:rPr>
          <w:rFonts w:ascii="Palatino Linotype" w:eastAsia="Palatino Linotype" w:hAnsi="Palatino Linotype" w:cs="Palatino Linotype"/>
          <w:i/>
          <w:sz w:val="22"/>
          <w:szCs w:val="22"/>
        </w:rPr>
        <w:t xml:space="preserve"> </w:t>
      </w:r>
      <w:r w:rsidRPr="009676AD">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9676AD">
        <w:rPr>
          <w:rFonts w:ascii="Palatino Linotype" w:eastAsia="Palatino Linotype" w:hAnsi="Palatino Linotype" w:cs="Palatino Linotype"/>
          <w:i/>
          <w:sz w:val="22"/>
          <w:szCs w:val="22"/>
        </w:rPr>
        <w:t xml:space="preserve">, la remitirán en un plazo que no excederá de seis meses al Archivo Contable Gubernamental. </w:t>
      </w:r>
      <w:r w:rsidRPr="009676AD">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sidRPr="009676AD">
        <w:rPr>
          <w:rFonts w:ascii="Palatino Linotype" w:eastAsia="Palatino Linotype" w:hAnsi="Palatino Linotype" w:cs="Palatino Linotype"/>
          <w:i/>
          <w:sz w:val="22"/>
          <w:szCs w:val="22"/>
        </w:rPr>
        <w:t xml:space="preserve">. </w:t>
      </w:r>
    </w:p>
    <w:p w14:paraId="0A4DAED1" w14:textId="77777777" w:rsidR="00B5648E" w:rsidRDefault="00B5648E" w:rsidP="00E56DB7">
      <w:pPr>
        <w:spacing w:before="120" w:after="120" w:line="276" w:lineRule="auto"/>
        <w:ind w:left="851" w:right="850"/>
        <w:jc w:val="both"/>
        <w:rPr>
          <w:rFonts w:ascii="Palatino Linotype" w:eastAsia="Palatino Linotype" w:hAnsi="Palatino Linotype" w:cs="Palatino Linotype"/>
          <w:i/>
          <w:color w:val="000000"/>
        </w:rPr>
      </w:pPr>
      <w:r w:rsidRPr="009676AD">
        <w:rPr>
          <w:rFonts w:ascii="Palatino Linotype" w:eastAsia="Palatino Linotype" w:hAnsi="Palatino Linotype" w:cs="Palatino Linotype"/>
          <w:i/>
          <w:sz w:val="22"/>
          <w:szCs w:val="22"/>
        </w:rPr>
        <w:t>El plazo señalado en el párrafo anterior, empezará a contar a partir de la publicación en el Periódico Oficial, del decreto correspondiente.</w:t>
      </w:r>
      <w:r w:rsidRPr="009676AD">
        <w:rPr>
          <w:rFonts w:ascii="Palatino Linotype" w:eastAsia="Palatino Linotype" w:hAnsi="Palatino Linotype" w:cs="Palatino Linotype"/>
          <w:i/>
          <w:color w:val="000000"/>
          <w:sz w:val="22"/>
          <w:szCs w:val="22"/>
        </w:rPr>
        <w:t xml:space="preserve"> “</w:t>
      </w:r>
      <w:r w:rsidRPr="009676AD">
        <w:rPr>
          <w:rFonts w:ascii="Palatino Linotype" w:eastAsia="Palatino Linotype" w:hAnsi="Palatino Linotype" w:cs="Palatino Linotype"/>
          <w:i/>
          <w:sz w:val="22"/>
          <w:szCs w:val="22"/>
        </w:rPr>
        <w:t>(Sic)</w:t>
      </w:r>
      <w:r>
        <w:rPr>
          <w:rFonts w:ascii="Palatino Linotype" w:eastAsia="Palatino Linotype" w:hAnsi="Palatino Linotype" w:cs="Palatino Linotype"/>
          <w:i/>
          <w:color w:val="000000"/>
        </w:rPr>
        <w:t xml:space="preserve"> </w:t>
      </w:r>
    </w:p>
    <w:p w14:paraId="61384CB5" w14:textId="77777777" w:rsidR="00B5648E" w:rsidRDefault="00B5648E" w:rsidP="00E56DB7">
      <w:pPr>
        <w:spacing w:before="120" w:after="120"/>
        <w:ind w:left="851" w:right="850"/>
        <w:jc w:val="both"/>
        <w:rPr>
          <w:rFonts w:ascii="Palatino Linotype" w:eastAsia="Palatino Linotype" w:hAnsi="Palatino Linotype" w:cs="Palatino Linotype"/>
          <w:i/>
          <w:color w:val="000000"/>
        </w:rPr>
      </w:pPr>
    </w:p>
    <w:p w14:paraId="47E3B237" w14:textId="77777777" w:rsidR="00B5648E" w:rsidRDefault="00B5648E" w:rsidP="00E56DB7">
      <w:pPr>
        <w:spacing w:before="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una interpretación sistemática de los artículos transcritos, se desprende primeramente que el</w:t>
      </w:r>
      <w:r>
        <w:rPr>
          <w:rFonts w:ascii="Palatino Linotype" w:eastAsia="Palatino Linotype" w:hAnsi="Palatino Linotype" w:cs="Palatino Linotype"/>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0538C87E" w14:textId="77777777" w:rsidR="00431638" w:rsidRDefault="00431638" w:rsidP="00E56DB7">
      <w:pPr>
        <w:spacing w:before="120" w:line="360" w:lineRule="auto"/>
        <w:jc w:val="both"/>
        <w:rPr>
          <w:rFonts w:ascii="Palatino Linotype" w:eastAsia="Palatino Linotype" w:hAnsi="Palatino Linotype" w:cs="Palatino Linotype"/>
          <w:color w:val="000000"/>
        </w:rPr>
      </w:pPr>
    </w:p>
    <w:p w14:paraId="6E703B73" w14:textId="77777777" w:rsidR="00B5648E" w:rsidRDefault="00B5648E"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preciso referir una definición de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14:paraId="62A59506" w14:textId="77777777" w:rsidR="00B5648E" w:rsidRDefault="00B5648E" w:rsidP="00E56DB7">
      <w:pPr>
        <w:spacing w:line="360" w:lineRule="auto"/>
        <w:jc w:val="both"/>
        <w:rPr>
          <w:rFonts w:ascii="Palatino Linotype" w:eastAsia="Palatino Linotype" w:hAnsi="Palatino Linotype" w:cs="Palatino Linotype"/>
        </w:rPr>
      </w:pPr>
    </w:p>
    <w:p w14:paraId="0552F6E7" w14:textId="77777777" w:rsidR="00B5648E" w:rsidRPr="002C14B8" w:rsidRDefault="00B5648E" w:rsidP="00E56DB7">
      <w:pPr>
        <w:spacing w:after="120" w:line="276" w:lineRule="auto"/>
        <w:ind w:left="720" w:right="899"/>
        <w:jc w:val="both"/>
        <w:rPr>
          <w:rFonts w:ascii="Palatino Linotype" w:eastAsia="Palatino Linotype" w:hAnsi="Palatino Linotype" w:cs="Palatino Linotype"/>
          <w:b/>
          <w:i/>
          <w:sz w:val="22"/>
          <w:szCs w:val="22"/>
        </w:rPr>
      </w:pPr>
      <w:r w:rsidRPr="002C14B8">
        <w:rPr>
          <w:rFonts w:ascii="Palatino Linotype" w:eastAsia="Palatino Linotype" w:hAnsi="Palatino Linotype" w:cs="Palatino Linotype"/>
          <w:i/>
          <w:sz w:val="22"/>
          <w:szCs w:val="22"/>
        </w:rPr>
        <w:t>“</w:t>
      </w:r>
      <w:r w:rsidRPr="002C14B8">
        <w:rPr>
          <w:rFonts w:ascii="Palatino Linotype" w:eastAsia="Palatino Linotype" w:hAnsi="Palatino Linotype" w:cs="Palatino Linotype"/>
          <w:b/>
          <w:i/>
          <w:sz w:val="22"/>
          <w:szCs w:val="22"/>
        </w:rPr>
        <w:t>PÓLIZA CONTABLE</w:t>
      </w:r>
    </w:p>
    <w:p w14:paraId="5AD6A8B9" w14:textId="77777777" w:rsidR="00B5648E" w:rsidRPr="002C14B8" w:rsidRDefault="00B5648E" w:rsidP="00E56DB7">
      <w:pPr>
        <w:spacing w:before="120" w:after="120" w:line="276" w:lineRule="auto"/>
        <w:ind w:left="720" w:right="899"/>
        <w:jc w:val="both"/>
        <w:rPr>
          <w:rFonts w:ascii="Palatino Linotype" w:eastAsia="Palatino Linotype" w:hAnsi="Palatino Linotype" w:cs="Palatino Linotype"/>
          <w:i/>
          <w:sz w:val="22"/>
          <w:szCs w:val="22"/>
        </w:rPr>
      </w:pPr>
      <w:r w:rsidRPr="002C14B8">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w:t>
      </w:r>
      <w:r w:rsidR="002C14B8">
        <w:rPr>
          <w:rFonts w:ascii="Palatino Linotype" w:eastAsia="Palatino Linotype" w:hAnsi="Palatino Linotype" w:cs="Palatino Linotype"/>
          <w:i/>
          <w:sz w:val="22"/>
          <w:szCs w:val="22"/>
        </w:rPr>
        <w:t xml:space="preserve">ón de dichas operaciones.” </w:t>
      </w:r>
    </w:p>
    <w:p w14:paraId="7813B2DF" w14:textId="77777777" w:rsidR="00B5648E" w:rsidRDefault="00B5648E" w:rsidP="00E56DB7">
      <w:pPr>
        <w:spacing w:before="120" w:after="120"/>
        <w:ind w:left="851" w:right="899"/>
        <w:jc w:val="both"/>
        <w:rPr>
          <w:rFonts w:ascii="Palatino Linotype" w:eastAsia="Palatino Linotype" w:hAnsi="Palatino Linotype" w:cs="Palatino Linotype"/>
          <w:i/>
        </w:rPr>
      </w:pPr>
    </w:p>
    <w:p w14:paraId="26C203E8" w14:textId="77777777" w:rsidR="00B5648E" w:rsidRDefault="00B5648E" w:rsidP="00E56DB7">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se advierte que la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constituye un registro contable y presupuestal con el que cuentan los Organismos Descentralizados para el registro de sus operaciones relacionadas con sus ingresos y egresos y se anexan los documentos o comprobantes que justifiquen las anotaciones y cantidades en ellas registradas, lo que permite la identificación plena de dichas operaciones.</w:t>
      </w:r>
    </w:p>
    <w:p w14:paraId="7C1CAE86" w14:textId="77777777" w:rsidR="00B5648E" w:rsidRDefault="00B5648E" w:rsidP="00E56DB7">
      <w:pPr>
        <w:spacing w:line="360" w:lineRule="auto"/>
        <w:jc w:val="both"/>
        <w:rPr>
          <w:rFonts w:ascii="Palatino Linotype" w:eastAsia="Palatino Linotype" w:hAnsi="Palatino Linotype" w:cs="Palatino Linotype"/>
        </w:rPr>
      </w:pPr>
    </w:p>
    <w:p w14:paraId="73604350" w14:textId="77777777" w:rsidR="00B5648E" w:rsidRDefault="00B5648E"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Pr>
          <w:rFonts w:ascii="Palatino Linotype" w:eastAsia="Palatino Linotype" w:hAnsi="Palatino Linotype" w:cs="Palatino Linotype"/>
          <w:i/>
        </w:rPr>
        <w:t>pólizas de egresos</w:t>
      </w:r>
      <w:r>
        <w:rPr>
          <w:rFonts w:ascii="Palatino Linotype" w:eastAsia="Palatino Linotype" w:hAnsi="Palatino Linotype" w:cs="Palatino Linotype"/>
        </w:rPr>
        <w:t xml:space="preserve">, son aquellas en las cuales se anotan diariamente las operaciones que representan gastos, es decir, salidas de dinero para el </w:t>
      </w:r>
      <w:r w:rsidR="00D976C6">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que, además, deben </w:t>
      </w:r>
      <w:r w:rsidRPr="00D976C6">
        <w:rPr>
          <w:rFonts w:ascii="Palatino Linotype" w:eastAsia="Palatino Linotype" w:hAnsi="Palatino Linotype" w:cs="Palatino Linotype"/>
          <w:u w:val="single"/>
        </w:rPr>
        <w:t>encontrarse acompañadas de las documentales que sirven de soporte de dicho movimiento</w:t>
      </w:r>
      <w:r>
        <w:rPr>
          <w:rFonts w:ascii="Palatino Linotype" w:eastAsia="Palatino Linotype" w:hAnsi="Palatino Linotype" w:cs="Palatino Linotype"/>
        </w:rPr>
        <w:t xml:space="preserve">. </w:t>
      </w:r>
    </w:p>
    <w:p w14:paraId="4F033EFC" w14:textId="77777777" w:rsidR="00B5648E" w:rsidRDefault="00B5648E" w:rsidP="00E56DB7">
      <w:pPr>
        <w:spacing w:line="360" w:lineRule="auto"/>
        <w:jc w:val="both"/>
        <w:rPr>
          <w:rFonts w:ascii="Palatino Linotype" w:eastAsia="Palatino Linotype" w:hAnsi="Palatino Linotype" w:cs="Palatino Linotype"/>
        </w:rPr>
      </w:pPr>
    </w:p>
    <w:p w14:paraId="4A942B2E" w14:textId="77777777" w:rsidR="00B5648E" w:rsidRDefault="00B5648E" w:rsidP="00E56DB7">
      <w:pP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este modo, </w:t>
      </w:r>
      <w:r w:rsidR="00D976C6">
        <w:rPr>
          <w:rFonts w:ascii="Palatino Linotype" w:eastAsia="Palatino Linotype" w:hAnsi="Palatino Linotype" w:cs="Palatino Linotype"/>
          <w:color w:val="000000"/>
        </w:rPr>
        <w:t>el</w:t>
      </w:r>
      <w:r>
        <w:rPr>
          <w:rFonts w:ascii="Palatino Linotype" w:eastAsia="Palatino Linotype" w:hAnsi="Palatino Linotype" w:cs="Palatino Linotype"/>
          <w:b/>
          <w:color w:val="000000"/>
        </w:rPr>
        <w:t xml:space="preserve"> </w:t>
      </w:r>
      <w:r w:rsidR="00D976C6">
        <w:rPr>
          <w:rFonts w:ascii="Palatino Linotype" w:eastAsia="Palatino Linotype" w:hAnsi="Palatino Linotype" w:cs="Palatino Linotype"/>
          <w:b/>
          <w:color w:val="000000"/>
        </w:rPr>
        <w:t>Sujeto Obligado</w:t>
      </w:r>
      <w:r w:rsidR="00D976C6">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31495130" w14:textId="77777777" w:rsidR="00AD323E" w:rsidRPr="00A9657D" w:rsidRDefault="00AD323E" w:rsidP="00E56DB7">
      <w:pPr>
        <w:widowControl w:val="0"/>
        <w:autoSpaceDE w:val="0"/>
        <w:autoSpaceDN w:val="0"/>
        <w:adjustRightInd w:val="0"/>
        <w:spacing w:before="240" w:after="240" w:line="360" w:lineRule="auto"/>
        <w:jc w:val="both"/>
        <w:rPr>
          <w:rFonts w:ascii="Palatino Linotype" w:hAnsi="Palatino Linotype" w:cs="Arial"/>
        </w:rPr>
      </w:pPr>
      <w:r w:rsidRPr="00A9657D">
        <w:rPr>
          <w:rFonts w:ascii="Palatino Linotype" w:hAnsi="Palatino Linotype" w:cs="Arial"/>
        </w:rPr>
        <w:t>Por otro lado, los Lineamientos de Control Financiero y Administrativo para las Entidades Fiscalizables Municipales del Estado de México, en sus numerales 4, numeral 2 y 11 inciso d), establecen en su literalidad:</w:t>
      </w:r>
    </w:p>
    <w:p w14:paraId="64BC713B"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cs="Arial"/>
          <w:i/>
          <w:sz w:val="22"/>
          <w:szCs w:val="22"/>
        </w:rPr>
      </w:pPr>
      <w:r w:rsidRPr="00A9657D">
        <w:rPr>
          <w:rFonts w:ascii="Palatino Linotype" w:hAnsi="Palatino Linotype" w:cs="Arial"/>
          <w:i/>
          <w:sz w:val="22"/>
          <w:szCs w:val="22"/>
        </w:rPr>
        <w:t>“</w:t>
      </w:r>
      <w:r w:rsidRPr="00A9657D">
        <w:rPr>
          <w:rFonts w:ascii="Palatino Linotype" w:hAnsi="Palatino Linotype" w:cs="Arial"/>
          <w:b/>
          <w:i/>
          <w:sz w:val="22"/>
          <w:szCs w:val="22"/>
        </w:rPr>
        <w:t>4.</w:t>
      </w:r>
      <w:r w:rsidRPr="00A9657D">
        <w:rPr>
          <w:rFonts w:ascii="Palatino Linotype" w:hAnsi="Palatino Linotype" w:cs="Arial"/>
          <w:i/>
          <w:sz w:val="22"/>
          <w:szCs w:val="22"/>
        </w:rPr>
        <w:t xml:space="preserve"> Son sujetos de los presentes Lineamientos:</w:t>
      </w:r>
    </w:p>
    <w:p w14:paraId="2C50D99F"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b/>
          <w:i/>
          <w:sz w:val="22"/>
          <w:szCs w:val="22"/>
        </w:rPr>
      </w:pPr>
      <w:r w:rsidRPr="00A9657D">
        <w:rPr>
          <w:rFonts w:ascii="Palatino Linotype" w:hAnsi="Palatino Linotype"/>
          <w:i/>
          <w:sz w:val="22"/>
          <w:szCs w:val="22"/>
        </w:rPr>
        <w:lastRenderedPageBreak/>
        <w:t>2. En los Organismos Operadores de Agua</w:t>
      </w:r>
      <w:r w:rsidRPr="00A9657D">
        <w:rPr>
          <w:rFonts w:ascii="Palatino Linotype" w:hAnsi="Palatino Linotype"/>
          <w:b/>
          <w:i/>
          <w:sz w:val="22"/>
          <w:szCs w:val="22"/>
        </w:rPr>
        <w:t xml:space="preserve">: </w:t>
      </w:r>
    </w:p>
    <w:p w14:paraId="34B985E6"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i/>
          <w:sz w:val="22"/>
          <w:szCs w:val="22"/>
        </w:rPr>
      </w:pPr>
      <w:r w:rsidRPr="00A9657D">
        <w:rPr>
          <w:rFonts w:ascii="Palatino Linotype" w:hAnsi="Palatino Linotype"/>
          <w:i/>
          <w:sz w:val="22"/>
          <w:szCs w:val="22"/>
        </w:rPr>
        <w:t xml:space="preserve">2.1. Director General; </w:t>
      </w:r>
    </w:p>
    <w:p w14:paraId="4C5299ED"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b/>
          <w:i/>
          <w:sz w:val="22"/>
          <w:szCs w:val="22"/>
        </w:rPr>
      </w:pPr>
      <w:r w:rsidRPr="00A9657D">
        <w:rPr>
          <w:rFonts w:ascii="Palatino Linotype" w:hAnsi="Palatino Linotype"/>
          <w:b/>
          <w:i/>
          <w:sz w:val="22"/>
          <w:szCs w:val="22"/>
        </w:rPr>
        <w:t xml:space="preserve">2.2. Director de Finanzas o tesorero o sus equivalentes; </w:t>
      </w:r>
    </w:p>
    <w:p w14:paraId="17E7FCFB"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i/>
          <w:sz w:val="22"/>
          <w:szCs w:val="22"/>
        </w:rPr>
      </w:pPr>
      <w:r w:rsidRPr="00A9657D">
        <w:rPr>
          <w:rFonts w:ascii="Palatino Linotype" w:hAnsi="Palatino Linotype"/>
          <w:i/>
          <w:sz w:val="22"/>
          <w:szCs w:val="22"/>
        </w:rPr>
        <w:t xml:space="preserve">2.3. Titular del órgano de control interno. </w:t>
      </w:r>
    </w:p>
    <w:p w14:paraId="39E0E188"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i/>
          <w:sz w:val="22"/>
          <w:szCs w:val="22"/>
        </w:rPr>
      </w:pPr>
    </w:p>
    <w:p w14:paraId="0338E8AA"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i/>
          <w:sz w:val="22"/>
          <w:szCs w:val="22"/>
        </w:rPr>
      </w:pPr>
      <w:r w:rsidRPr="00A9657D">
        <w:rPr>
          <w:rFonts w:ascii="Palatino Linotype" w:hAnsi="Palatino Linotype"/>
          <w:b/>
          <w:i/>
          <w:sz w:val="22"/>
          <w:szCs w:val="22"/>
        </w:rPr>
        <w:t>11</w:t>
      </w:r>
      <w:r w:rsidRPr="00A9657D">
        <w:rPr>
          <w:rFonts w:ascii="Palatino Linotype" w:hAnsi="Palatino Linotype"/>
          <w:i/>
          <w:sz w:val="22"/>
          <w:szCs w:val="22"/>
        </w:rPr>
        <w:t xml:space="preserve">. </w:t>
      </w:r>
      <w:r w:rsidRPr="00A9657D">
        <w:rPr>
          <w:rFonts w:ascii="Palatino Linotype" w:hAnsi="Palatino Linotype"/>
          <w:b/>
          <w:i/>
          <w:sz w:val="22"/>
          <w:szCs w:val="22"/>
        </w:rPr>
        <w:t>Los servidores públicos municipales, tendrán en el ámbito de su competencia, respecto de los presentes Lineamientos, las obligaciones siguientes</w:t>
      </w:r>
      <w:r w:rsidRPr="00A9657D">
        <w:rPr>
          <w:rFonts w:ascii="Palatino Linotype" w:hAnsi="Palatino Linotype"/>
          <w:i/>
          <w:sz w:val="22"/>
          <w:szCs w:val="22"/>
        </w:rPr>
        <w:t>:</w:t>
      </w:r>
    </w:p>
    <w:p w14:paraId="39427576"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i/>
          <w:sz w:val="22"/>
          <w:szCs w:val="22"/>
        </w:rPr>
      </w:pPr>
      <w:r w:rsidRPr="00A9657D">
        <w:rPr>
          <w:rFonts w:ascii="Palatino Linotype" w:hAnsi="Palatino Linotype"/>
          <w:i/>
          <w:sz w:val="22"/>
          <w:szCs w:val="22"/>
        </w:rPr>
        <w:t>…</w:t>
      </w:r>
    </w:p>
    <w:p w14:paraId="45A0F015"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cs="Arial"/>
          <w:i/>
          <w:sz w:val="22"/>
          <w:szCs w:val="22"/>
        </w:rPr>
      </w:pPr>
      <w:r w:rsidRPr="00A9657D">
        <w:rPr>
          <w:rFonts w:ascii="Palatino Linotype" w:hAnsi="Palatino Linotype"/>
          <w:b/>
          <w:i/>
          <w:sz w:val="22"/>
          <w:szCs w:val="22"/>
        </w:rPr>
        <w:t>d)</w:t>
      </w:r>
      <w:r w:rsidRPr="00A9657D">
        <w:rPr>
          <w:rFonts w:ascii="Palatino Linotype" w:hAnsi="Palatino Linotype"/>
          <w:i/>
          <w:sz w:val="22"/>
          <w:szCs w:val="22"/>
        </w:rPr>
        <w:t xml:space="preserve"> El tesorero o equivalente debe verificar </w:t>
      </w:r>
      <w:r w:rsidRPr="00A9657D">
        <w:rPr>
          <w:rFonts w:ascii="Palatino Linotype" w:hAnsi="Palatino Linotype"/>
          <w:b/>
          <w:i/>
          <w:sz w:val="22"/>
          <w:szCs w:val="22"/>
        </w:rPr>
        <w:t>que todas las pólizas de registro contable y presupuestal, se encuentren firmadas por quién las elaboró, revisó y autorizó,</w:t>
      </w:r>
      <w:r w:rsidRPr="00A9657D">
        <w:rPr>
          <w:rFonts w:ascii="Palatino Linotype" w:hAnsi="Palatino Linotype"/>
          <w:i/>
          <w:sz w:val="22"/>
          <w:szCs w:val="22"/>
        </w:rPr>
        <w:t xml:space="preserve"> las cuáles deben estar </w:t>
      </w:r>
      <w:r w:rsidRPr="00A9657D">
        <w:rPr>
          <w:rFonts w:ascii="Palatino Linotype" w:hAnsi="Palatino Linotype"/>
          <w:b/>
          <w:i/>
          <w:sz w:val="22"/>
          <w:szCs w:val="22"/>
        </w:rPr>
        <w:t>soportadas con la documentación original, justificativa, comprobatoria, suficiente, competente, pertinente y relevante</w:t>
      </w:r>
      <w:r w:rsidRPr="00A9657D">
        <w:rPr>
          <w:rFonts w:ascii="Palatino Linotype" w:hAnsi="Palatino Linotype"/>
          <w:i/>
          <w:sz w:val="22"/>
          <w:szCs w:val="22"/>
        </w:rPr>
        <w:t xml:space="preserve">, las 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w:t>
      </w:r>
      <w:r w:rsidRPr="00A9657D">
        <w:rPr>
          <w:rFonts w:ascii="Palatino Linotype" w:hAnsi="Palatino Linotype" w:cs="Arial"/>
          <w:i/>
          <w:sz w:val="22"/>
          <w:szCs w:val="22"/>
        </w:rPr>
        <w:t>(Sic)</w:t>
      </w:r>
    </w:p>
    <w:p w14:paraId="4A2739A8" w14:textId="77777777" w:rsidR="00AD323E" w:rsidRPr="00A9657D" w:rsidRDefault="00AD323E" w:rsidP="00E56DB7">
      <w:pPr>
        <w:widowControl w:val="0"/>
        <w:tabs>
          <w:tab w:val="left" w:pos="8222"/>
        </w:tabs>
        <w:autoSpaceDE w:val="0"/>
        <w:autoSpaceDN w:val="0"/>
        <w:adjustRightInd w:val="0"/>
        <w:ind w:left="851" w:right="851"/>
        <w:jc w:val="both"/>
        <w:rPr>
          <w:rFonts w:ascii="Palatino Linotype" w:hAnsi="Palatino Linotype"/>
          <w:i/>
          <w:sz w:val="22"/>
          <w:szCs w:val="22"/>
        </w:rPr>
      </w:pPr>
    </w:p>
    <w:p w14:paraId="5DDBCEAD" w14:textId="77777777" w:rsidR="00AD323E" w:rsidRPr="00A9657D" w:rsidRDefault="00AD323E" w:rsidP="00E56DB7">
      <w:pPr>
        <w:spacing w:before="240" w:after="240" w:line="360" w:lineRule="auto"/>
        <w:jc w:val="both"/>
        <w:rPr>
          <w:rFonts w:ascii="Palatino Linotype" w:hAnsi="Palatino Linotype" w:cs="Arial"/>
        </w:rPr>
      </w:pPr>
      <w:r w:rsidRPr="00A9657D">
        <w:rPr>
          <w:rFonts w:ascii="Palatino Linotype" w:hAnsi="Palatino Linotype" w:cs="Arial"/>
        </w:rPr>
        <w:t xml:space="preserve">De lo anterior se advierte que es responsabilidad del </w:t>
      </w:r>
      <w:proofErr w:type="gramStart"/>
      <w:r w:rsidRPr="00A9657D">
        <w:rPr>
          <w:rFonts w:ascii="Palatino Linotype" w:hAnsi="Palatino Linotype" w:cs="Arial"/>
        </w:rPr>
        <w:t>Director</w:t>
      </w:r>
      <w:proofErr w:type="gramEnd"/>
      <w:r w:rsidRPr="00A9657D">
        <w:rPr>
          <w:rFonts w:ascii="Palatino Linotype" w:hAnsi="Palatino Linotype" w:cs="Arial"/>
        </w:rPr>
        <w:t xml:space="preserve"> de Finanzas o Tesorero del Organismo el verificar que todas las pólizas de registro contable y presupuestal, se encuentren firmadas por quien las elaboró.</w:t>
      </w:r>
    </w:p>
    <w:p w14:paraId="5494AB39" w14:textId="77777777" w:rsidR="00AD323E" w:rsidRPr="00A9657D" w:rsidRDefault="00AD323E" w:rsidP="00E56DB7">
      <w:pPr>
        <w:spacing w:before="240" w:after="240" w:line="360" w:lineRule="auto"/>
        <w:ind w:right="49"/>
        <w:jc w:val="both"/>
        <w:rPr>
          <w:rFonts w:ascii="Palatino Linotype" w:eastAsia="Calibri" w:hAnsi="Palatino Linotype" w:cs="Arial"/>
          <w:color w:val="000000"/>
        </w:rPr>
      </w:pPr>
      <w:r w:rsidRPr="00A9657D">
        <w:rPr>
          <w:rFonts w:ascii="Palatino Linotype" w:eastAsia="Calibri" w:hAnsi="Palatino Linotype" w:cs="Arial"/>
        </w:rPr>
        <w:t>Al respecto, cabe señalar que en el cumplimiento de los principios que rigen la función pública, la Constitución Política del Estado Libre y Soberano de México en su artículo 129 señala que l</w:t>
      </w:r>
      <w:r w:rsidRPr="00A9657D">
        <w:rPr>
          <w:rFonts w:ascii="Palatino Linotype" w:eastAsia="Calibri"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66798485" w14:textId="77777777" w:rsidR="00AD323E" w:rsidRPr="00A9657D" w:rsidRDefault="00AD323E" w:rsidP="00E56DB7">
      <w:pPr>
        <w:autoSpaceDE w:val="0"/>
        <w:autoSpaceDN w:val="0"/>
        <w:adjustRightInd w:val="0"/>
        <w:spacing w:before="240" w:after="240" w:line="360" w:lineRule="auto"/>
        <w:jc w:val="both"/>
        <w:rPr>
          <w:rFonts w:ascii="Palatino Linotype" w:eastAsia="Calibri" w:hAnsi="Palatino Linotype" w:cs="Arial"/>
          <w:color w:val="000000"/>
        </w:rPr>
      </w:pPr>
      <w:r w:rsidRPr="00A9657D">
        <w:rPr>
          <w:rFonts w:ascii="Palatino Linotype" w:eastAsia="Calibri" w:hAnsi="Palatino Linotype" w:cs="Arial"/>
          <w:color w:val="000000"/>
        </w:rPr>
        <w:t>Asimismo, dispone que todos los pagos se harán mediante orden escrita en la que se expresará la partida del presupuesto a cargo de la cual se realizan.</w:t>
      </w:r>
    </w:p>
    <w:p w14:paraId="5EDDC1D9" w14:textId="77777777" w:rsidR="00AD323E" w:rsidRPr="00A9657D" w:rsidRDefault="00AD323E" w:rsidP="00E56DB7">
      <w:pPr>
        <w:autoSpaceDE w:val="0"/>
        <w:autoSpaceDN w:val="0"/>
        <w:adjustRightInd w:val="0"/>
        <w:spacing w:before="240" w:after="240" w:line="360" w:lineRule="auto"/>
        <w:jc w:val="both"/>
        <w:rPr>
          <w:rFonts w:ascii="Palatino Linotype" w:eastAsia="Calibri" w:hAnsi="Palatino Linotype" w:cs="Arial"/>
          <w:color w:val="000000"/>
        </w:rPr>
      </w:pPr>
      <w:r w:rsidRPr="00A9657D">
        <w:rPr>
          <w:rFonts w:ascii="Palatino Linotype" w:eastAsia="Calibri" w:hAnsi="Palatino Linotype" w:cs="Arial"/>
          <w:color w:val="000000"/>
        </w:rPr>
        <w:lastRenderedPageBreak/>
        <w:t>A este respecto, el artículo 31 fracciones XVIII y XIX de la</w:t>
      </w:r>
      <w:r w:rsidRPr="00A9657D">
        <w:rPr>
          <w:rFonts w:ascii="Palatino Linotype" w:eastAsia="Calibri" w:hAnsi="Palatino Linotype" w:cs="Arial"/>
          <w:b/>
          <w:i/>
          <w:color w:val="000000"/>
        </w:rPr>
        <w:t xml:space="preserve"> </w:t>
      </w:r>
      <w:r w:rsidRPr="00A9657D">
        <w:rPr>
          <w:rFonts w:ascii="Palatino Linotype" w:eastAsia="Calibri" w:hAnsi="Palatino Linotype" w:cs="Arial"/>
          <w:color w:val="000000"/>
        </w:rPr>
        <w:t>Ley Orgánica Municipal del Estado de México prevé de manera textual lo siguiente:</w:t>
      </w:r>
    </w:p>
    <w:p w14:paraId="7C62925F"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A9657D">
        <w:rPr>
          <w:rFonts w:ascii="Palatino Linotype" w:eastAsia="Calibri" w:hAnsi="Palatino Linotype" w:cs="Arial"/>
          <w:b/>
          <w:i/>
          <w:color w:val="000000"/>
          <w:sz w:val="22"/>
          <w:szCs w:val="22"/>
        </w:rPr>
        <w:t>“Artículo 31.-</w:t>
      </w:r>
      <w:r w:rsidRPr="00A9657D">
        <w:rPr>
          <w:rFonts w:ascii="Palatino Linotype" w:eastAsia="Calibri" w:hAnsi="Palatino Linotype" w:cs="Arial"/>
          <w:i/>
          <w:color w:val="000000"/>
          <w:sz w:val="22"/>
          <w:szCs w:val="22"/>
        </w:rPr>
        <w:t xml:space="preserve"> Son </w:t>
      </w:r>
      <w:r w:rsidRPr="00A9657D">
        <w:rPr>
          <w:rFonts w:ascii="Palatino Linotype" w:eastAsia="Calibri" w:hAnsi="Palatino Linotype" w:cs="Arial"/>
          <w:b/>
          <w:i/>
          <w:color w:val="000000"/>
          <w:sz w:val="22"/>
          <w:szCs w:val="22"/>
        </w:rPr>
        <w:t>atribuciones de los ayuntamientos</w:t>
      </w:r>
      <w:r w:rsidRPr="00A9657D">
        <w:rPr>
          <w:rFonts w:ascii="Palatino Linotype" w:eastAsia="Calibri" w:hAnsi="Palatino Linotype" w:cs="Arial"/>
          <w:i/>
          <w:color w:val="000000"/>
          <w:sz w:val="22"/>
          <w:szCs w:val="22"/>
        </w:rPr>
        <w:t>:</w:t>
      </w:r>
    </w:p>
    <w:p w14:paraId="6C963FF8"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A9657D">
        <w:rPr>
          <w:rFonts w:ascii="Palatino Linotype" w:eastAsia="Calibri" w:hAnsi="Palatino Linotype" w:cs="Arial"/>
          <w:i/>
          <w:color w:val="000000"/>
          <w:sz w:val="22"/>
          <w:szCs w:val="22"/>
        </w:rPr>
        <w:t>…</w:t>
      </w:r>
    </w:p>
    <w:p w14:paraId="5B20F7DE"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A9657D">
        <w:rPr>
          <w:rFonts w:ascii="Palatino Linotype" w:eastAsia="Calibri" w:hAnsi="Palatino Linotype"/>
          <w:b/>
          <w:i/>
          <w:sz w:val="22"/>
          <w:szCs w:val="22"/>
          <w:u w:val="single"/>
        </w:rPr>
        <w:t>XVIII. Administrar su hacienda en términos de ley</w:t>
      </w:r>
      <w:r w:rsidRPr="00A9657D">
        <w:rPr>
          <w:rFonts w:ascii="Palatino Linotype" w:eastAsia="Calibri" w:hAnsi="Palatino Linotype"/>
          <w:i/>
          <w:sz w:val="22"/>
          <w:szCs w:val="22"/>
        </w:rPr>
        <w:t>, y controlar a través del presidente y síndico la aplicación del presupuesto de egresos del municipio;</w:t>
      </w:r>
      <w:r w:rsidRPr="00A9657D">
        <w:rPr>
          <w:rFonts w:ascii="Palatino Linotype" w:eastAsia="Calibri" w:hAnsi="Palatino Linotype" w:cs="Arial"/>
          <w:i/>
          <w:color w:val="000000"/>
          <w:sz w:val="22"/>
          <w:szCs w:val="22"/>
        </w:rPr>
        <w:t xml:space="preserve">                                                                                                                                                                                                                                                                                                                                                                                                         </w:t>
      </w:r>
    </w:p>
    <w:p w14:paraId="1AD1D359"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i/>
          <w:sz w:val="22"/>
          <w:szCs w:val="22"/>
        </w:rPr>
      </w:pPr>
      <w:r w:rsidRPr="00A9657D">
        <w:rPr>
          <w:rFonts w:ascii="Palatino Linotype" w:eastAsia="Calibri" w:hAnsi="Palatino Linotype"/>
          <w:b/>
          <w:i/>
          <w:sz w:val="22"/>
          <w:szCs w:val="22"/>
          <w:u w:val="single"/>
        </w:rPr>
        <w:t>XIX. Aprobar anualmente a más tardar el 20 de diciembre, su Presupuesto de Egresos, en base a los ingresos presupuestados para el ejercicio que corresponda,</w:t>
      </w:r>
      <w:r w:rsidRPr="00A9657D">
        <w:rPr>
          <w:rFonts w:ascii="Palatino Linotype" w:eastAsia="Calibri" w:hAnsi="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7EA5ACAF"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i/>
          <w:sz w:val="22"/>
          <w:szCs w:val="22"/>
        </w:rPr>
      </w:pPr>
      <w:r w:rsidRPr="00A9657D">
        <w:rPr>
          <w:rFonts w:ascii="Palatino Linotype" w:eastAsia="Calibri" w:hAnsi="Palatino Linotype"/>
          <w:i/>
          <w:sz w:val="22"/>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34DEADFC"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i/>
          <w:sz w:val="22"/>
          <w:szCs w:val="22"/>
        </w:rPr>
      </w:pPr>
      <w:r w:rsidRPr="00A9657D">
        <w:rPr>
          <w:rFonts w:ascii="Palatino Linotype" w:eastAsia="Calibri" w:hAnsi="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5DC5727D"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A9657D">
        <w:rPr>
          <w:rFonts w:ascii="Palatino Linotype" w:eastAsia="Calibri" w:hAnsi="Palatino Linotype" w:cs="Arial"/>
          <w:i/>
          <w:color w:val="000000"/>
          <w:sz w:val="22"/>
          <w:szCs w:val="22"/>
        </w:rPr>
        <w:t>…</w:t>
      </w:r>
    </w:p>
    <w:p w14:paraId="7AC60C5C" w14:textId="77777777" w:rsidR="00AD323E" w:rsidRPr="00A9657D" w:rsidRDefault="00AD323E" w:rsidP="00E56DB7">
      <w:pPr>
        <w:autoSpaceDE w:val="0"/>
        <w:autoSpaceDN w:val="0"/>
        <w:adjustRightInd w:val="0"/>
        <w:spacing w:before="240" w:after="240"/>
        <w:ind w:left="851" w:right="900"/>
        <w:jc w:val="both"/>
        <w:rPr>
          <w:rFonts w:ascii="Palatino Linotype" w:eastAsia="Calibri" w:hAnsi="Palatino Linotype" w:cs="Arial"/>
          <w:i/>
          <w:color w:val="000000"/>
          <w:sz w:val="22"/>
          <w:szCs w:val="22"/>
        </w:rPr>
      </w:pPr>
      <w:r w:rsidRPr="00A9657D">
        <w:rPr>
          <w:rFonts w:ascii="Palatino Linotype" w:eastAsia="Calibri" w:hAnsi="Palatino Linotype" w:cs="Arial"/>
          <w:i/>
          <w:color w:val="000000"/>
          <w:sz w:val="22"/>
          <w:szCs w:val="22"/>
        </w:rPr>
        <w:t>Énfasis añadido.</w:t>
      </w:r>
    </w:p>
    <w:p w14:paraId="1AD5154B" w14:textId="77777777" w:rsidR="00AD323E" w:rsidRDefault="00AD323E" w:rsidP="00E56DB7">
      <w:pPr>
        <w:spacing w:line="360" w:lineRule="auto"/>
        <w:jc w:val="both"/>
        <w:rPr>
          <w:rFonts w:ascii="Palatino Linotype" w:eastAsia="Palatino Linotype" w:hAnsi="Palatino Linotype" w:cs="Palatino Linotype"/>
          <w:color w:val="000000"/>
        </w:rPr>
      </w:pPr>
    </w:p>
    <w:p w14:paraId="7B9E9910" w14:textId="77777777" w:rsidR="00B5648E" w:rsidRDefault="00B5648E" w:rsidP="00E56DB7">
      <w:pP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igual forma, es de suma importancia destacar que el penúltimo párrafo, del artículo 23 de la </w:t>
      </w:r>
      <w:r>
        <w:rPr>
          <w:rFonts w:ascii="Palatino Linotype" w:eastAsia="Palatino Linotype" w:hAnsi="Palatino Linotype" w:cs="Palatino Linotype"/>
        </w:rPr>
        <w:t>Ley de Transparencia y Acceso a la Información Pública del Estado de México y Municipios</w:t>
      </w:r>
      <w:r>
        <w:rPr>
          <w:rFonts w:ascii="Palatino Linotype" w:eastAsia="Palatino Linotype" w:hAnsi="Palatino Linotype" w:cs="Palatino Linotype"/>
          <w:color w:val="000000"/>
        </w:rPr>
        <w:t xml:space="preserve">, establece como </w:t>
      </w:r>
      <w:r w:rsidRPr="003E7ECF">
        <w:rPr>
          <w:rFonts w:ascii="Palatino Linotype" w:eastAsia="Palatino Linotype" w:hAnsi="Palatino Linotype" w:cs="Palatino Linotype"/>
          <w:b/>
          <w:color w:val="000000"/>
          <w:u w:val="single"/>
        </w:rPr>
        <w:t xml:space="preserve">deber de los sujetos obligados de hacer </w:t>
      </w:r>
      <w:r w:rsidRPr="003E7ECF">
        <w:rPr>
          <w:rFonts w:ascii="Palatino Linotype" w:eastAsia="Palatino Linotype" w:hAnsi="Palatino Linotype" w:cs="Palatino Linotype"/>
          <w:b/>
          <w:color w:val="000000"/>
          <w:u w:val="single"/>
        </w:rPr>
        <w:lastRenderedPageBreak/>
        <w:t>pública toda la información relativa a los montos y personas a quienes se entreguen recursos públicos</w:t>
      </w:r>
      <w:r>
        <w:rPr>
          <w:rFonts w:ascii="Palatino Linotype" w:eastAsia="Palatino Linotype" w:hAnsi="Palatino Linotype" w:cs="Palatino Linotype"/>
          <w:color w:val="000000"/>
        </w:rPr>
        <w:t xml:space="preserve">,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0E62EB35" w14:textId="77777777" w:rsidR="00B5648E" w:rsidRDefault="00B5648E" w:rsidP="00E56DB7">
      <w:pPr>
        <w:ind w:right="50"/>
        <w:jc w:val="both"/>
        <w:rPr>
          <w:rFonts w:ascii="Palatino Linotype" w:eastAsia="Palatino Linotype" w:hAnsi="Palatino Linotype" w:cs="Palatino Linotype"/>
          <w:color w:val="000000"/>
        </w:rPr>
      </w:pPr>
    </w:p>
    <w:p w14:paraId="03E6156B" w14:textId="77777777" w:rsidR="00B5648E" w:rsidRPr="003E7ECF" w:rsidRDefault="00B5648E" w:rsidP="00E56DB7">
      <w:pPr>
        <w:ind w:left="851" w:right="901"/>
        <w:jc w:val="both"/>
        <w:rPr>
          <w:rFonts w:ascii="Palatino Linotype" w:eastAsia="Palatino Linotype" w:hAnsi="Palatino Linotype" w:cs="Palatino Linotype"/>
          <w:b/>
          <w:i/>
          <w:sz w:val="22"/>
          <w:szCs w:val="22"/>
        </w:rPr>
      </w:pPr>
      <w:r w:rsidRPr="003E7ECF">
        <w:rPr>
          <w:rFonts w:ascii="Palatino Linotype" w:eastAsia="Palatino Linotype" w:hAnsi="Palatino Linotype" w:cs="Palatino Linotype"/>
          <w:b/>
          <w:i/>
          <w:sz w:val="22"/>
          <w:szCs w:val="22"/>
        </w:rPr>
        <w:t>“Artículo 23…</w:t>
      </w:r>
    </w:p>
    <w:p w14:paraId="2CD05016" w14:textId="77777777" w:rsidR="00B5648E" w:rsidRPr="003E7ECF" w:rsidRDefault="00B5648E" w:rsidP="00E56DB7">
      <w:pPr>
        <w:ind w:left="851" w:right="901"/>
        <w:jc w:val="both"/>
        <w:rPr>
          <w:rFonts w:ascii="Palatino Linotype" w:eastAsia="Palatino Linotype" w:hAnsi="Palatino Linotype" w:cs="Palatino Linotype"/>
          <w:i/>
          <w:sz w:val="22"/>
          <w:szCs w:val="22"/>
        </w:rPr>
      </w:pPr>
    </w:p>
    <w:p w14:paraId="4E9D27E5" w14:textId="77777777" w:rsidR="00B5648E" w:rsidRPr="003E7ECF" w:rsidRDefault="00B5648E" w:rsidP="00E56DB7">
      <w:pPr>
        <w:ind w:left="851" w:right="901"/>
        <w:jc w:val="both"/>
        <w:rPr>
          <w:rFonts w:ascii="Palatino Linotype" w:eastAsia="Palatino Linotype" w:hAnsi="Palatino Linotype" w:cs="Palatino Linotype"/>
          <w:i/>
          <w:color w:val="000000"/>
          <w:sz w:val="22"/>
          <w:szCs w:val="22"/>
        </w:rPr>
      </w:pPr>
      <w:r w:rsidRPr="003E7EC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E10561A" w14:textId="77777777" w:rsidR="00B5648E" w:rsidRPr="003E7ECF" w:rsidRDefault="00B5648E" w:rsidP="00E56DB7">
      <w:pPr>
        <w:ind w:left="851" w:right="850"/>
        <w:jc w:val="both"/>
        <w:rPr>
          <w:rFonts w:ascii="Palatino Linotype" w:eastAsia="Palatino Linotype" w:hAnsi="Palatino Linotype" w:cs="Palatino Linotype"/>
          <w:i/>
          <w:color w:val="000000"/>
          <w:sz w:val="22"/>
          <w:szCs w:val="22"/>
        </w:rPr>
      </w:pPr>
      <w:r w:rsidRPr="003E7ECF">
        <w:rPr>
          <w:rFonts w:ascii="Palatino Linotype" w:eastAsia="Palatino Linotype" w:hAnsi="Palatino Linotype" w:cs="Palatino Linotype"/>
          <w:i/>
          <w:color w:val="000000"/>
          <w:sz w:val="22"/>
          <w:szCs w:val="22"/>
        </w:rPr>
        <w:t xml:space="preserve"> (…)”</w:t>
      </w:r>
    </w:p>
    <w:p w14:paraId="53C42273" w14:textId="77777777" w:rsidR="00667A68" w:rsidRDefault="00667A68" w:rsidP="00E56DB7">
      <w:pPr>
        <w:spacing w:line="360" w:lineRule="auto"/>
        <w:ind w:right="49"/>
        <w:jc w:val="both"/>
        <w:rPr>
          <w:rFonts w:ascii="Palatino Linotype" w:eastAsia="Palatino Linotype" w:hAnsi="Palatino Linotype" w:cs="Palatino Linotype"/>
        </w:rPr>
      </w:pPr>
    </w:p>
    <w:p w14:paraId="266A6B1F" w14:textId="77777777" w:rsidR="00B904BB" w:rsidRPr="00A9657D" w:rsidRDefault="00B904BB" w:rsidP="00E56DB7">
      <w:pPr>
        <w:spacing w:before="240" w:after="240" w:line="360" w:lineRule="auto"/>
        <w:jc w:val="both"/>
        <w:rPr>
          <w:rFonts w:ascii="Palatino Linotype" w:eastAsia="Calibri" w:hAnsi="Palatino Linotype" w:cs="Arial"/>
        </w:rPr>
      </w:pPr>
      <w:r w:rsidRPr="00A9657D">
        <w:rPr>
          <w:rFonts w:ascii="Palatino Linotype" w:eastAsia="Calibri" w:hAnsi="Palatino Linotype" w:cs="Arial"/>
        </w:rPr>
        <w:t xml:space="preserve">De lo anterior se advierte que los ayuntamientos tienen la atribución de administrar libremente su hacienda y controlar la aplicación del presupuesto de egresos aprobado por dicho cuerpo colegiado, y en el caso específico de la Dirección de Contaduría, dependiente de la Tesorería Municipal, se encarga entre otras cosas de registrar y controlar las operaciones financieras, presupuestales y contables que emanen de las dependencias de la administración pública municipal; registrar contable y presupuestalmente los egresos públicos y las operaciones financieras del municipio; recopilar, organizar y consolidar la información financiera, presupuestal y programática, así como la documentación generada por las dependencias para integrar y </w:t>
      </w:r>
      <w:r w:rsidRPr="00713B4E">
        <w:rPr>
          <w:rFonts w:ascii="Palatino Linotype" w:eastAsia="Calibri" w:hAnsi="Palatino Linotype" w:cs="Arial"/>
          <w:u w:val="single"/>
        </w:rPr>
        <w:t>presentar los informes mensuales, financieros y la cuenta pública anual</w:t>
      </w:r>
      <w:r w:rsidRPr="00A9657D">
        <w:rPr>
          <w:rFonts w:ascii="Palatino Linotype" w:eastAsia="Calibri" w:hAnsi="Palatino Linotype" w:cs="Arial"/>
        </w:rPr>
        <w:t>.</w:t>
      </w:r>
    </w:p>
    <w:p w14:paraId="5B9C59D4" w14:textId="77777777" w:rsidR="005730A1" w:rsidRDefault="00B30B84"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el Pleno de este Instituto determina dable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la entrega </w:t>
      </w:r>
      <w:r w:rsidR="005730A1">
        <w:rPr>
          <w:rFonts w:ascii="Palatino Linotype" w:eastAsia="Palatino Linotype" w:hAnsi="Palatino Linotype" w:cs="Palatino Linotype"/>
        </w:rPr>
        <w:t xml:space="preserve">en versión pública de las facturas, transferencias con su soporte </w:t>
      </w:r>
      <w:r w:rsidR="005730A1">
        <w:rPr>
          <w:rFonts w:ascii="Palatino Linotype" w:eastAsia="Palatino Linotype" w:hAnsi="Palatino Linotype" w:cs="Palatino Linotype"/>
        </w:rPr>
        <w:lastRenderedPageBreak/>
        <w:t xml:space="preserve">documental de las estimaciones pagada por la ejecución de la obra de pavimentación y drenaje en la avenida Veracruz (camino a ojo de agua) en las colonias las Brisas y Chiconautla, al veintisiete de mayo de dos mil veintidós. </w:t>
      </w:r>
    </w:p>
    <w:p w14:paraId="182F047E" w14:textId="77777777" w:rsidR="005730A1" w:rsidRPr="00B30B84" w:rsidRDefault="005730A1" w:rsidP="00E56DB7">
      <w:pPr>
        <w:spacing w:line="360" w:lineRule="auto"/>
        <w:jc w:val="both"/>
        <w:rPr>
          <w:rFonts w:ascii="Palatino Linotype" w:eastAsia="Palatino Linotype" w:hAnsi="Palatino Linotype" w:cs="Palatino Linotype"/>
        </w:rPr>
      </w:pPr>
    </w:p>
    <w:p w14:paraId="5ECC0D85" w14:textId="77777777" w:rsidR="0024054B" w:rsidRDefault="0038496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w:t>
      </w:r>
      <w:r w:rsidR="00731DA4">
        <w:rPr>
          <w:rFonts w:ascii="Palatino Linotype" w:eastAsia="Palatino Linotype" w:hAnsi="Palatino Linotype" w:cs="Palatino Linotype"/>
        </w:rPr>
        <w:t xml:space="preserve">, por cuanto hace a la información requerida en el punto número 2 </w:t>
      </w:r>
      <w:r w:rsidR="00316766">
        <w:rPr>
          <w:rFonts w:ascii="Palatino Linotype" w:eastAsia="Palatino Linotype" w:hAnsi="Palatino Linotype" w:cs="Palatino Linotype"/>
        </w:rPr>
        <w:t>relativa a</w:t>
      </w:r>
      <w:r w:rsidR="00731DA4">
        <w:rPr>
          <w:rFonts w:ascii="Palatino Linotype" w:eastAsia="Palatino Linotype" w:hAnsi="Palatino Linotype" w:cs="Palatino Linotype"/>
        </w:rPr>
        <w:t xml:space="preserve"> los </w:t>
      </w:r>
      <w:r w:rsidR="00731DA4" w:rsidRPr="008F3E97">
        <w:rPr>
          <w:rFonts w:ascii="Palatino Linotype" w:eastAsia="Palatino Linotype" w:hAnsi="Palatino Linotype" w:cs="Palatino Linotype"/>
          <w:b/>
        </w:rPr>
        <w:t>oficios con acuse de recibido en el caso de que la información haya sido enviada a alguna instancia del Gobierno Estatal o Federal o a alguna dependencia del Congreso Local o Federal</w:t>
      </w:r>
      <w:r w:rsidR="00316766">
        <w:rPr>
          <w:rFonts w:ascii="Palatino Linotype" w:eastAsia="Palatino Linotype" w:hAnsi="Palatino Linotype" w:cs="Palatino Linotype"/>
        </w:rPr>
        <w:t>,</w:t>
      </w:r>
      <w:r w:rsidR="00A110D1">
        <w:rPr>
          <w:rFonts w:ascii="Palatino Linotype" w:eastAsia="Palatino Linotype" w:hAnsi="Palatino Linotype" w:cs="Palatino Linotype"/>
        </w:rPr>
        <w:t xml:space="preserve"> es oportuno destacar que</w:t>
      </w:r>
      <w:r w:rsidR="00316766">
        <w:rPr>
          <w:rFonts w:ascii="Palatino Linotype" w:eastAsia="Palatino Linotype" w:hAnsi="Palatino Linotype" w:cs="Palatino Linotype"/>
        </w:rPr>
        <w:t xml:space="preserve"> </w:t>
      </w:r>
      <w:r w:rsidR="0024054B">
        <w:rPr>
          <w:rFonts w:ascii="Palatino Linotype" w:eastAsia="Palatino Linotype" w:hAnsi="Palatino Linotype" w:cs="Palatino Linotype"/>
        </w:rPr>
        <w:t xml:space="preserve">en primer término que el artículo 61 de la Constitución Política del Estado Libre y Soberano de México, establece en su fracción XXXIII como facultad de la Legislatura, lo siguiente: </w:t>
      </w:r>
    </w:p>
    <w:p w14:paraId="552F868D" w14:textId="77777777" w:rsidR="0024054B" w:rsidRDefault="0024054B" w:rsidP="00E56DB7">
      <w:pPr>
        <w:spacing w:line="360" w:lineRule="auto"/>
        <w:jc w:val="both"/>
        <w:rPr>
          <w:rFonts w:ascii="Palatino Linotype" w:eastAsia="Palatino Linotype" w:hAnsi="Palatino Linotype" w:cs="Palatino Linotype"/>
        </w:rPr>
      </w:pPr>
    </w:p>
    <w:p w14:paraId="1B49A3E5" w14:textId="77777777" w:rsidR="00B904BB" w:rsidRPr="00FC09DE" w:rsidRDefault="00A110D1" w:rsidP="00E56DB7">
      <w:pPr>
        <w:spacing w:line="276" w:lineRule="auto"/>
        <w:ind w:left="851" w:right="616"/>
        <w:jc w:val="both"/>
        <w:rPr>
          <w:rFonts w:ascii="Palatino Linotype" w:hAnsi="Palatino Linotype"/>
          <w:b/>
          <w:i/>
          <w:sz w:val="22"/>
          <w:szCs w:val="22"/>
          <w:u w:val="single"/>
        </w:rPr>
      </w:pPr>
      <w:r w:rsidRPr="00FC09DE">
        <w:rPr>
          <w:rFonts w:ascii="Palatino Linotype" w:eastAsia="Palatino Linotype" w:hAnsi="Palatino Linotype" w:cs="Palatino Linotype"/>
          <w:b/>
          <w:i/>
          <w:sz w:val="22"/>
          <w:szCs w:val="22"/>
          <w:u w:val="single"/>
        </w:rPr>
        <w:t xml:space="preserve"> </w:t>
      </w:r>
      <w:r w:rsidR="0024054B" w:rsidRPr="00FC09DE">
        <w:rPr>
          <w:rFonts w:ascii="Palatino Linotype" w:hAnsi="Palatino Linotype"/>
          <w:b/>
          <w:i/>
          <w:sz w:val="22"/>
          <w:szCs w:val="22"/>
          <w:u w:val="single"/>
        </w:rPr>
        <w:t>Artículo 61.- Son facultades y obligaciones de la Legislatura:</w:t>
      </w:r>
    </w:p>
    <w:p w14:paraId="73214568" w14:textId="77777777" w:rsidR="008E6FFA" w:rsidRPr="00FC09DE" w:rsidRDefault="008E6FFA" w:rsidP="00E56DB7">
      <w:pPr>
        <w:spacing w:line="276" w:lineRule="auto"/>
        <w:ind w:left="851" w:right="616"/>
        <w:jc w:val="both"/>
        <w:rPr>
          <w:rFonts w:ascii="Palatino Linotype" w:hAnsi="Palatino Linotype"/>
          <w:b/>
          <w:i/>
          <w:sz w:val="22"/>
          <w:szCs w:val="22"/>
          <w:u w:val="single"/>
        </w:rPr>
      </w:pPr>
      <w:r w:rsidRPr="00FC09DE">
        <w:rPr>
          <w:rFonts w:ascii="Palatino Linotype" w:hAnsi="Palatino Linotype"/>
          <w:b/>
          <w:i/>
          <w:sz w:val="22"/>
          <w:szCs w:val="22"/>
          <w:u w:val="single"/>
        </w:rPr>
        <w:t>…</w:t>
      </w:r>
    </w:p>
    <w:p w14:paraId="5E708FFB" w14:textId="77777777" w:rsidR="008E6FFA" w:rsidRPr="00FC09DE" w:rsidRDefault="008E6FFA" w:rsidP="00E56DB7">
      <w:pPr>
        <w:spacing w:line="276" w:lineRule="auto"/>
        <w:ind w:left="851" w:right="616"/>
        <w:jc w:val="both"/>
        <w:rPr>
          <w:rFonts w:ascii="Palatino Linotype" w:eastAsia="Palatino Linotype" w:hAnsi="Palatino Linotype" w:cs="Palatino Linotype"/>
          <w:i/>
          <w:sz w:val="22"/>
          <w:szCs w:val="22"/>
        </w:rPr>
      </w:pPr>
      <w:r w:rsidRPr="00FC09DE">
        <w:rPr>
          <w:rFonts w:ascii="Palatino Linotype" w:hAnsi="Palatino Linotype"/>
          <w:i/>
          <w:sz w:val="22"/>
          <w:szCs w:val="22"/>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1F506AED" w14:textId="77777777" w:rsidR="00B904BB" w:rsidRPr="00FC09DE" w:rsidRDefault="00B904BB" w:rsidP="00E56DB7">
      <w:pPr>
        <w:spacing w:line="276" w:lineRule="auto"/>
        <w:ind w:left="851" w:right="616"/>
        <w:jc w:val="both"/>
        <w:rPr>
          <w:rFonts w:ascii="Palatino Linotype" w:eastAsia="Palatino Linotype" w:hAnsi="Palatino Linotype" w:cs="Palatino Linotype"/>
          <w:i/>
          <w:sz w:val="22"/>
          <w:szCs w:val="22"/>
        </w:rPr>
      </w:pPr>
    </w:p>
    <w:p w14:paraId="6B22B84C" w14:textId="77777777" w:rsidR="00561298" w:rsidRDefault="00561298"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artículo 350 del Código Financiero del Estado de México y Municipios señala: </w:t>
      </w:r>
    </w:p>
    <w:p w14:paraId="2E053046" w14:textId="77777777" w:rsidR="004F32BD" w:rsidRDefault="004F32BD" w:rsidP="00E56DB7">
      <w:pPr>
        <w:spacing w:line="360" w:lineRule="auto"/>
        <w:ind w:left="851" w:right="616"/>
        <w:jc w:val="both"/>
        <w:rPr>
          <w:rFonts w:ascii="Palatino Linotype" w:hAnsi="Palatino Linotype"/>
          <w:i/>
          <w:sz w:val="22"/>
          <w:szCs w:val="22"/>
        </w:rPr>
      </w:pPr>
      <w:r>
        <w:rPr>
          <w:rFonts w:ascii="Palatino Linotype" w:hAnsi="Palatino Linotype"/>
          <w:b/>
          <w:i/>
          <w:sz w:val="22"/>
          <w:szCs w:val="22"/>
        </w:rPr>
        <w:t>“</w:t>
      </w:r>
      <w:r w:rsidRPr="004F32BD">
        <w:rPr>
          <w:rFonts w:ascii="Palatino Linotype" w:hAnsi="Palatino Linotype"/>
          <w:b/>
          <w:i/>
          <w:sz w:val="22"/>
          <w:szCs w:val="22"/>
        </w:rPr>
        <w:t>Artículo 350.-</w:t>
      </w:r>
      <w:r w:rsidRPr="004F32BD">
        <w:rPr>
          <w:rFonts w:ascii="Palatino Linotype" w:hAnsi="Palatino Linotype"/>
          <w:i/>
          <w:sz w:val="22"/>
          <w:szCs w:val="22"/>
        </w:rPr>
        <w:t xml:space="preserve"> La Secretaría y las tesorerías enviarán al Órgano Superior, de manera trimestral, dentro de los primeros veinte días hábiles posteriores al término del trimestre que se informa, para su análisis, la siguiente información: </w:t>
      </w:r>
    </w:p>
    <w:p w14:paraId="1819C03A" w14:textId="77777777" w:rsidR="004F32BD" w:rsidRDefault="004F32BD" w:rsidP="00E56DB7">
      <w:pPr>
        <w:spacing w:line="360" w:lineRule="auto"/>
        <w:ind w:left="851" w:right="616"/>
        <w:jc w:val="both"/>
        <w:rPr>
          <w:rFonts w:ascii="Palatino Linotype" w:hAnsi="Palatino Linotype"/>
          <w:i/>
          <w:sz w:val="22"/>
          <w:szCs w:val="22"/>
        </w:rPr>
      </w:pPr>
      <w:r w:rsidRPr="004F32BD">
        <w:rPr>
          <w:rFonts w:ascii="Palatino Linotype" w:hAnsi="Palatino Linotype"/>
          <w:i/>
          <w:sz w:val="22"/>
          <w:szCs w:val="22"/>
        </w:rPr>
        <w:t xml:space="preserve">I. Patrimonial. </w:t>
      </w:r>
    </w:p>
    <w:p w14:paraId="2EF03FE5" w14:textId="77777777" w:rsidR="002A4251" w:rsidRDefault="004F32BD" w:rsidP="00E56DB7">
      <w:pPr>
        <w:spacing w:line="360" w:lineRule="auto"/>
        <w:ind w:left="851" w:right="616"/>
        <w:jc w:val="both"/>
        <w:rPr>
          <w:rFonts w:ascii="Palatino Linotype" w:hAnsi="Palatino Linotype"/>
          <w:i/>
          <w:sz w:val="22"/>
          <w:szCs w:val="22"/>
        </w:rPr>
      </w:pPr>
      <w:r w:rsidRPr="004F32BD">
        <w:rPr>
          <w:rFonts w:ascii="Palatino Linotype" w:hAnsi="Palatino Linotype"/>
          <w:i/>
          <w:sz w:val="22"/>
          <w:szCs w:val="22"/>
        </w:rPr>
        <w:t xml:space="preserve">II. Presupuestal. </w:t>
      </w:r>
    </w:p>
    <w:p w14:paraId="51D01154" w14:textId="77777777" w:rsidR="002A4251" w:rsidRPr="002A4251" w:rsidRDefault="004F32BD" w:rsidP="00E56DB7">
      <w:pPr>
        <w:spacing w:line="360" w:lineRule="auto"/>
        <w:ind w:left="851" w:right="616"/>
        <w:jc w:val="both"/>
        <w:rPr>
          <w:rFonts w:ascii="Palatino Linotype" w:hAnsi="Palatino Linotype"/>
          <w:b/>
          <w:i/>
          <w:sz w:val="22"/>
          <w:szCs w:val="22"/>
          <w:u w:val="single"/>
        </w:rPr>
      </w:pPr>
      <w:r w:rsidRPr="002A4251">
        <w:rPr>
          <w:rFonts w:ascii="Palatino Linotype" w:hAnsi="Palatino Linotype"/>
          <w:b/>
          <w:i/>
          <w:sz w:val="22"/>
          <w:szCs w:val="22"/>
          <w:u w:val="single"/>
        </w:rPr>
        <w:lastRenderedPageBreak/>
        <w:t xml:space="preserve">III. De la obra pública. </w:t>
      </w:r>
    </w:p>
    <w:p w14:paraId="363594E4" w14:textId="77777777" w:rsidR="004F32BD" w:rsidRDefault="004F32BD" w:rsidP="00E56DB7">
      <w:pPr>
        <w:spacing w:line="360" w:lineRule="auto"/>
        <w:ind w:left="851" w:right="616"/>
        <w:jc w:val="both"/>
      </w:pPr>
      <w:r w:rsidRPr="004F32BD">
        <w:rPr>
          <w:rFonts w:ascii="Palatino Linotype" w:hAnsi="Palatino Linotype"/>
          <w:i/>
          <w:sz w:val="22"/>
          <w:szCs w:val="22"/>
        </w:rPr>
        <w:t>IV. De nómina</w:t>
      </w:r>
      <w:r>
        <w:t>.</w:t>
      </w:r>
    </w:p>
    <w:p w14:paraId="409DAC58" w14:textId="77777777" w:rsidR="002A4251" w:rsidRDefault="002A4251" w:rsidP="00E56DB7">
      <w:pPr>
        <w:spacing w:line="360"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rPr>
        <w:t>…”</w:t>
      </w:r>
    </w:p>
    <w:p w14:paraId="7BE98AAD" w14:textId="77777777" w:rsidR="002A4251" w:rsidRDefault="002A4251" w:rsidP="00E56DB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la </w:t>
      </w:r>
      <w:r w:rsidRPr="00B576CD">
        <w:rPr>
          <w:rFonts w:ascii="Palatino Linotype" w:eastAsia="Palatino Linotype" w:hAnsi="Palatino Linotype" w:cs="Palatino Linotype"/>
          <w:b/>
        </w:rPr>
        <w:t>Ley de Fiscalización Superior del Estado de México</w:t>
      </w:r>
      <w:r w:rsidR="00F43188">
        <w:rPr>
          <w:rFonts w:ascii="Palatino Linotype" w:eastAsia="Palatino Linotype" w:hAnsi="Palatino Linotype" w:cs="Palatino Linotype"/>
        </w:rPr>
        <w:t xml:space="preserve"> en los </w:t>
      </w:r>
      <w:r>
        <w:rPr>
          <w:rFonts w:ascii="Palatino Linotype" w:eastAsia="Palatino Linotype" w:hAnsi="Palatino Linotype" w:cs="Palatino Linotype"/>
        </w:rPr>
        <w:t>artículo</w:t>
      </w:r>
      <w:r w:rsidR="00F43188">
        <w:rPr>
          <w:rFonts w:ascii="Palatino Linotype" w:eastAsia="Palatino Linotype" w:hAnsi="Palatino Linotype" w:cs="Palatino Linotype"/>
        </w:rPr>
        <w:t>s</w:t>
      </w:r>
      <w:r>
        <w:rPr>
          <w:rFonts w:ascii="Palatino Linotype" w:eastAsia="Palatino Linotype" w:hAnsi="Palatino Linotype" w:cs="Palatino Linotype"/>
        </w:rPr>
        <w:t xml:space="preserve"> </w:t>
      </w:r>
      <w:r w:rsidR="00F43188">
        <w:rPr>
          <w:rFonts w:ascii="Palatino Linotype" w:eastAsia="Palatino Linotype" w:hAnsi="Palatino Linotype" w:cs="Palatino Linotype"/>
        </w:rPr>
        <w:t>2 fracciones VII y XI y 8</w:t>
      </w:r>
      <w:r>
        <w:rPr>
          <w:rFonts w:ascii="Palatino Linotype" w:eastAsia="Palatino Linotype" w:hAnsi="Palatino Linotype" w:cs="Palatino Linotype"/>
        </w:rPr>
        <w:t xml:space="preserve"> fracción XII</w:t>
      </w:r>
      <w:r w:rsidR="00A07AD3">
        <w:rPr>
          <w:rFonts w:ascii="Palatino Linotype" w:eastAsia="Palatino Linotype" w:hAnsi="Palatino Linotype" w:cs="Palatino Linotype"/>
        </w:rPr>
        <w:t xml:space="preserve"> </w:t>
      </w:r>
      <w:r w:rsidR="00744E29">
        <w:rPr>
          <w:rFonts w:ascii="Palatino Linotype" w:eastAsia="Palatino Linotype" w:hAnsi="Palatino Linotype" w:cs="Palatino Linotype"/>
        </w:rPr>
        <w:t>establece</w:t>
      </w:r>
      <w:r w:rsidR="00F43188">
        <w:rPr>
          <w:rFonts w:ascii="Palatino Linotype" w:eastAsia="Palatino Linotype" w:hAnsi="Palatino Linotype" w:cs="Palatino Linotype"/>
        </w:rPr>
        <w:t>n</w:t>
      </w:r>
      <w:r w:rsidR="00744E29">
        <w:rPr>
          <w:rFonts w:ascii="Palatino Linotype" w:eastAsia="Palatino Linotype" w:hAnsi="Palatino Linotype" w:cs="Palatino Linotype"/>
        </w:rPr>
        <w:t xml:space="preserve">: </w:t>
      </w:r>
    </w:p>
    <w:p w14:paraId="4979FF77" w14:textId="77777777" w:rsidR="00E33F6B" w:rsidRDefault="00E33F6B" w:rsidP="00E56DB7">
      <w:pPr>
        <w:spacing w:line="360" w:lineRule="auto"/>
        <w:ind w:right="49"/>
        <w:jc w:val="both"/>
        <w:rPr>
          <w:rFonts w:ascii="Palatino Linotype" w:eastAsia="Palatino Linotype" w:hAnsi="Palatino Linotype" w:cs="Palatino Linotype"/>
        </w:rPr>
      </w:pPr>
    </w:p>
    <w:p w14:paraId="684A525E" w14:textId="77777777" w:rsidR="00F43188" w:rsidRPr="00443476" w:rsidRDefault="009761C1" w:rsidP="00E56DB7">
      <w:pPr>
        <w:spacing w:line="276" w:lineRule="auto"/>
        <w:ind w:left="851" w:right="616"/>
        <w:jc w:val="both"/>
        <w:rPr>
          <w:rFonts w:ascii="Palatino Linotype" w:hAnsi="Palatino Linotype"/>
          <w:i/>
          <w:sz w:val="22"/>
          <w:szCs w:val="22"/>
        </w:rPr>
      </w:pPr>
      <w:r w:rsidRPr="00443476">
        <w:rPr>
          <w:rFonts w:ascii="Palatino Linotype" w:hAnsi="Palatino Linotype"/>
          <w:i/>
          <w:sz w:val="22"/>
          <w:szCs w:val="22"/>
        </w:rPr>
        <w:t>“</w:t>
      </w:r>
      <w:r w:rsidR="00F43188" w:rsidRPr="00E46819">
        <w:rPr>
          <w:rFonts w:ascii="Palatino Linotype" w:hAnsi="Palatino Linotype"/>
          <w:b/>
          <w:i/>
          <w:sz w:val="22"/>
          <w:szCs w:val="22"/>
        </w:rPr>
        <w:t>Artículo 2</w:t>
      </w:r>
      <w:r w:rsidR="00F43188" w:rsidRPr="00443476">
        <w:rPr>
          <w:rFonts w:ascii="Palatino Linotype" w:hAnsi="Palatino Linotype"/>
          <w:i/>
          <w:sz w:val="22"/>
          <w:szCs w:val="22"/>
        </w:rPr>
        <w:t>. Para los efectos de la presente Ley, se entenderá por:</w:t>
      </w:r>
    </w:p>
    <w:p w14:paraId="0646CDB3" w14:textId="77777777" w:rsidR="00443476" w:rsidRPr="00443476" w:rsidRDefault="00443476" w:rsidP="00E56DB7">
      <w:pPr>
        <w:spacing w:line="276" w:lineRule="auto"/>
        <w:ind w:left="851" w:right="616"/>
        <w:jc w:val="both"/>
        <w:rPr>
          <w:rFonts w:ascii="Palatino Linotype" w:hAnsi="Palatino Linotype"/>
          <w:i/>
          <w:sz w:val="22"/>
          <w:szCs w:val="22"/>
        </w:rPr>
      </w:pPr>
      <w:r w:rsidRPr="00443476">
        <w:rPr>
          <w:rFonts w:ascii="Palatino Linotype" w:hAnsi="Palatino Linotype"/>
          <w:i/>
          <w:sz w:val="22"/>
          <w:szCs w:val="22"/>
        </w:rPr>
        <w:t>…</w:t>
      </w:r>
    </w:p>
    <w:p w14:paraId="654DEE91" w14:textId="77777777" w:rsidR="00443476" w:rsidRDefault="00443476" w:rsidP="00E56DB7">
      <w:pPr>
        <w:spacing w:line="276" w:lineRule="auto"/>
        <w:ind w:left="851" w:right="616"/>
        <w:jc w:val="both"/>
        <w:rPr>
          <w:rFonts w:ascii="Palatino Linotype" w:hAnsi="Palatino Linotype"/>
          <w:i/>
          <w:sz w:val="22"/>
          <w:szCs w:val="22"/>
        </w:rPr>
      </w:pPr>
      <w:r w:rsidRPr="00443476">
        <w:rPr>
          <w:rFonts w:ascii="Palatino Linotype" w:hAnsi="Palatino Linotype"/>
          <w:i/>
          <w:sz w:val="22"/>
          <w:szCs w:val="22"/>
        </w:rPr>
        <w:t xml:space="preserve">VIII. </w:t>
      </w:r>
      <w:r w:rsidRPr="00E46819">
        <w:rPr>
          <w:rFonts w:ascii="Palatino Linotype" w:hAnsi="Palatino Linotype"/>
          <w:b/>
          <w:i/>
          <w:sz w:val="22"/>
          <w:szCs w:val="22"/>
        </w:rPr>
        <w:t>Cuenta Pública:</w:t>
      </w:r>
      <w:r w:rsidRPr="00443476">
        <w:rPr>
          <w:rFonts w:ascii="Palatino Linotype" w:hAnsi="Palatino Linotype"/>
          <w:i/>
          <w:sz w:val="22"/>
          <w:szCs w:val="22"/>
        </w:rPr>
        <w:t xml:space="preserve"> Los </w:t>
      </w:r>
      <w:r w:rsidRPr="00E46819">
        <w:rPr>
          <w:rFonts w:ascii="Palatino Linotype" w:hAnsi="Palatino Linotype"/>
          <w:b/>
          <w:i/>
          <w:sz w:val="22"/>
          <w:szCs w:val="22"/>
        </w:rPr>
        <w:t>informes que rinden anualmente a la Legislatura</w:t>
      </w:r>
      <w:r w:rsidRPr="00443476">
        <w:rPr>
          <w:rFonts w:ascii="Palatino Linotype" w:hAnsi="Palatino Linotype"/>
          <w:i/>
          <w:sz w:val="22"/>
          <w:szCs w:val="22"/>
        </w:rPr>
        <w:t xml:space="preserve">, el Gobernador y los </w:t>
      </w:r>
      <w:proofErr w:type="gramStart"/>
      <w:r w:rsidRPr="00443476">
        <w:rPr>
          <w:rFonts w:ascii="Palatino Linotype" w:hAnsi="Palatino Linotype"/>
          <w:i/>
          <w:sz w:val="22"/>
          <w:szCs w:val="22"/>
        </w:rPr>
        <w:t>Presidentes</w:t>
      </w:r>
      <w:proofErr w:type="gramEnd"/>
      <w:r w:rsidRPr="00443476">
        <w:rPr>
          <w:rFonts w:ascii="Palatino Linotype" w:hAnsi="Palatino Linotype"/>
          <w:i/>
          <w:sz w:val="22"/>
          <w:szCs w:val="22"/>
        </w:rPr>
        <w:t xml:space="preserve"> Municipales, respecto de los resultados y la situación financiera del ejercicio fiscal inmediato anterior según corresponda;</w:t>
      </w:r>
    </w:p>
    <w:p w14:paraId="79C626C2" w14:textId="77777777" w:rsidR="00E46819" w:rsidRPr="00443476" w:rsidRDefault="00E46819" w:rsidP="00E56DB7">
      <w:pPr>
        <w:spacing w:line="276" w:lineRule="auto"/>
        <w:ind w:left="851" w:right="616"/>
        <w:jc w:val="both"/>
        <w:rPr>
          <w:rFonts w:ascii="Palatino Linotype" w:hAnsi="Palatino Linotype"/>
          <w:i/>
          <w:sz w:val="22"/>
          <w:szCs w:val="22"/>
        </w:rPr>
      </w:pPr>
      <w:r w:rsidRPr="00443476">
        <w:rPr>
          <w:rFonts w:ascii="Palatino Linotype" w:hAnsi="Palatino Linotype"/>
          <w:b/>
          <w:i/>
          <w:sz w:val="22"/>
          <w:szCs w:val="22"/>
        </w:rPr>
        <w:t>…</w:t>
      </w:r>
    </w:p>
    <w:p w14:paraId="41C9EADF" w14:textId="77777777" w:rsidR="00E46819" w:rsidRPr="008D1F4E" w:rsidRDefault="00E46819" w:rsidP="00E56DB7">
      <w:pPr>
        <w:spacing w:line="276" w:lineRule="auto"/>
        <w:ind w:left="851" w:right="616"/>
        <w:jc w:val="both"/>
        <w:rPr>
          <w:rFonts w:ascii="Palatino Linotype" w:hAnsi="Palatino Linotype"/>
          <w:b/>
          <w:i/>
          <w:sz w:val="22"/>
          <w:szCs w:val="22"/>
        </w:rPr>
      </w:pPr>
      <w:r w:rsidRPr="00443476">
        <w:rPr>
          <w:rFonts w:ascii="Palatino Linotype" w:hAnsi="Palatino Linotype"/>
          <w:i/>
          <w:sz w:val="22"/>
          <w:szCs w:val="22"/>
        </w:rPr>
        <w:t xml:space="preserve">XI. </w:t>
      </w:r>
      <w:r w:rsidRPr="00E46819">
        <w:rPr>
          <w:rFonts w:ascii="Palatino Linotype" w:hAnsi="Palatino Linotype"/>
          <w:b/>
          <w:i/>
          <w:sz w:val="22"/>
          <w:szCs w:val="22"/>
        </w:rPr>
        <w:t>Informe Trimestral</w:t>
      </w:r>
      <w:r w:rsidRPr="00443476">
        <w:rPr>
          <w:rFonts w:ascii="Palatino Linotype" w:hAnsi="Palatino Linotype"/>
          <w:i/>
          <w:sz w:val="22"/>
          <w:szCs w:val="22"/>
        </w:rPr>
        <w:t xml:space="preserve">: Al documento físico o electrónico que trimestralmente presentan las entidades fiscalizables, a través de </w:t>
      </w:r>
      <w:r w:rsidRPr="008D1F4E">
        <w:rPr>
          <w:rFonts w:ascii="Palatino Linotype" w:hAnsi="Palatino Linotype"/>
          <w:b/>
          <w:i/>
          <w:sz w:val="22"/>
          <w:szCs w:val="22"/>
        </w:rPr>
        <w:t>las tesorerías municipales</w:t>
      </w:r>
      <w:r w:rsidRPr="00443476">
        <w:rPr>
          <w:rFonts w:ascii="Palatino Linotype" w:hAnsi="Palatino Linotype"/>
          <w:i/>
          <w:sz w:val="22"/>
          <w:szCs w:val="22"/>
        </w:rPr>
        <w:t xml:space="preserve"> y de la Secretaría de Finanzas o equivalentes, </w:t>
      </w:r>
      <w:r w:rsidRPr="008D1F4E">
        <w:rPr>
          <w:rFonts w:ascii="Palatino Linotype" w:hAnsi="Palatino Linotype"/>
          <w:b/>
          <w:i/>
          <w:sz w:val="22"/>
          <w:szCs w:val="22"/>
        </w:rPr>
        <w:t>sobre la situación económica, las finanzas públicas y, en su caso, respecto a la deuda pública, para su análisis por el Órgano Superior</w:t>
      </w:r>
    </w:p>
    <w:p w14:paraId="7A44335E" w14:textId="77777777" w:rsidR="00E46819" w:rsidRPr="00443476" w:rsidRDefault="00E46819" w:rsidP="00E56DB7">
      <w:pPr>
        <w:spacing w:line="276" w:lineRule="auto"/>
        <w:ind w:left="851" w:right="616"/>
        <w:jc w:val="both"/>
        <w:rPr>
          <w:rFonts w:ascii="Palatino Linotype" w:hAnsi="Palatino Linotype"/>
          <w:i/>
          <w:sz w:val="22"/>
          <w:szCs w:val="22"/>
        </w:rPr>
      </w:pPr>
      <w:r>
        <w:rPr>
          <w:rFonts w:ascii="Palatino Linotype" w:hAnsi="Palatino Linotype"/>
          <w:i/>
          <w:sz w:val="22"/>
          <w:szCs w:val="22"/>
        </w:rPr>
        <w:t>…”</w:t>
      </w:r>
    </w:p>
    <w:p w14:paraId="25738C7E" w14:textId="77777777" w:rsidR="00E33F6B" w:rsidRPr="00443476" w:rsidRDefault="00E33F6B" w:rsidP="00E56DB7">
      <w:pPr>
        <w:spacing w:line="276" w:lineRule="auto"/>
        <w:ind w:left="851" w:right="616"/>
        <w:jc w:val="both"/>
        <w:rPr>
          <w:rFonts w:ascii="Palatino Linotype" w:hAnsi="Palatino Linotype"/>
          <w:i/>
          <w:sz w:val="22"/>
          <w:szCs w:val="22"/>
        </w:rPr>
      </w:pPr>
      <w:r w:rsidRPr="00443476">
        <w:rPr>
          <w:rFonts w:ascii="Palatino Linotype" w:hAnsi="Palatino Linotype"/>
          <w:b/>
          <w:i/>
          <w:sz w:val="22"/>
          <w:szCs w:val="22"/>
        </w:rPr>
        <w:t>Artículo 8.</w:t>
      </w:r>
      <w:r w:rsidRPr="00443476">
        <w:rPr>
          <w:rFonts w:ascii="Palatino Linotype" w:hAnsi="Palatino Linotype"/>
          <w:i/>
          <w:sz w:val="22"/>
          <w:szCs w:val="22"/>
        </w:rPr>
        <w:t>- El Órgano Superior tendrá las siguientes atribuciones:</w:t>
      </w:r>
    </w:p>
    <w:p w14:paraId="5CE1949D" w14:textId="77777777" w:rsidR="001B7DB9" w:rsidRPr="00443476" w:rsidRDefault="001B7DB9" w:rsidP="00E56DB7">
      <w:pPr>
        <w:spacing w:line="276" w:lineRule="auto"/>
        <w:ind w:left="851" w:right="616"/>
        <w:jc w:val="both"/>
        <w:rPr>
          <w:rFonts w:ascii="Palatino Linotype" w:hAnsi="Palatino Linotype"/>
          <w:sz w:val="22"/>
          <w:szCs w:val="22"/>
        </w:rPr>
      </w:pPr>
      <w:r w:rsidRPr="00443476">
        <w:rPr>
          <w:rFonts w:ascii="Palatino Linotype" w:hAnsi="Palatino Linotype"/>
          <w:sz w:val="22"/>
          <w:szCs w:val="22"/>
        </w:rPr>
        <w:t>…</w:t>
      </w:r>
    </w:p>
    <w:p w14:paraId="550F38E1" w14:textId="77777777" w:rsidR="008D1F4E" w:rsidRPr="00886415" w:rsidRDefault="008D1F4E" w:rsidP="00E56DB7">
      <w:pPr>
        <w:spacing w:line="360" w:lineRule="auto"/>
        <w:ind w:left="851" w:right="616"/>
        <w:jc w:val="both"/>
        <w:rPr>
          <w:rFonts w:ascii="Palatino Linotype" w:hAnsi="Palatino Linotype"/>
          <w:b/>
          <w:i/>
          <w:sz w:val="22"/>
          <w:szCs w:val="22"/>
        </w:rPr>
      </w:pPr>
      <w:r w:rsidRPr="008D1F4E">
        <w:rPr>
          <w:rFonts w:ascii="Palatino Linotype" w:hAnsi="Palatino Linotype"/>
          <w:i/>
          <w:sz w:val="22"/>
          <w:szCs w:val="22"/>
        </w:rPr>
        <w:t xml:space="preserve">XI. </w:t>
      </w:r>
      <w:r w:rsidRPr="00886415">
        <w:rPr>
          <w:rFonts w:ascii="Palatino Linotype" w:hAnsi="Palatino Linotype"/>
          <w:b/>
          <w:i/>
          <w:sz w:val="22"/>
          <w:szCs w:val="22"/>
        </w:rPr>
        <w:t>Establecer los lineamientos,</w:t>
      </w:r>
      <w:r w:rsidRPr="008D1F4E">
        <w:rPr>
          <w:rFonts w:ascii="Palatino Linotype" w:hAnsi="Palatino Linotype"/>
          <w:i/>
          <w:sz w:val="22"/>
          <w:szCs w:val="22"/>
        </w:rPr>
        <w:t xml:space="preserve"> criterios, procedimientos, métodos y sistemas, así como todas aquellas disposiciones de carácter general para las acciones de control y evaluación, </w:t>
      </w:r>
      <w:r w:rsidRPr="00886415">
        <w:rPr>
          <w:rFonts w:ascii="Palatino Linotype" w:hAnsi="Palatino Linotype"/>
          <w:b/>
          <w:i/>
          <w:sz w:val="22"/>
          <w:szCs w:val="22"/>
        </w:rPr>
        <w:t>necesarios para la fiscalización de las cuentas públicas y los informes trimestrales;</w:t>
      </w:r>
    </w:p>
    <w:p w14:paraId="4405F484" w14:textId="77777777" w:rsidR="00E76740" w:rsidRPr="009761C1" w:rsidRDefault="001B7DB9" w:rsidP="00E56DB7">
      <w:pPr>
        <w:spacing w:line="360" w:lineRule="auto"/>
        <w:ind w:left="851" w:right="616"/>
        <w:jc w:val="both"/>
        <w:rPr>
          <w:rFonts w:ascii="Palatino Linotype" w:hAnsi="Palatino Linotype"/>
          <w:i/>
          <w:sz w:val="22"/>
          <w:szCs w:val="22"/>
        </w:rPr>
      </w:pPr>
      <w:r w:rsidRPr="009761C1">
        <w:rPr>
          <w:rFonts w:ascii="Palatino Linotype" w:hAnsi="Palatino Linotype"/>
          <w:i/>
          <w:sz w:val="22"/>
          <w:szCs w:val="22"/>
        </w:rPr>
        <w:t xml:space="preserve">XII: </w:t>
      </w:r>
      <w:r w:rsidRPr="009761C1">
        <w:rPr>
          <w:rFonts w:ascii="Palatino Linotype" w:hAnsi="Palatino Linotype"/>
          <w:b/>
          <w:i/>
          <w:sz w:val="22"/>
          <w:szCs w:val="22"/>
          <w:u w:val="single"/>
        </w:rPr>
        <w:t>Fiscalizar las obras públicas y servicios relacionados con las mismas</w:t>
      </w:r>
      <w:r w:rsidRPr="009761C1">
        <w:rPr>
          <w:rFonts w:ascii="Palatino Linotype" w:hAnsi="Palatino Linotype"/>
          <w:i/>
          <w:sz w:val="22"/>
          <w:szCs w:val="22"/>
        </w:rPr>
        <w:t xml:space="preserve"> que, por sí o por conducto de terceros realicen las entidades fiscalizables de conformidad con la ley de la materia.</w:t>
      </w:r>
    </w:p>
    <w:p w14:paraId="3382518F" w14:textId="77777777" w:rsidR="00561298" w:rsidRDefault="00561298" w:rsidP="00E56DB7">
      <w:pPr>
        <w:spacing w:line="360" w:lineRule="auto"/>
        <w:jc w:val="both"/>
        <w:rPr>
          <w:rFonts w:ascii="Palatino Linotype" w:eastAsia="Palatino Linotype" w:hAnsi="Palatino Linotype" w:cs="Palatino Linotype"/>
        </w:rPr>
      </w:pPr>
    </w:p>
    <w:p w14:paraId="297F9A1E" w14:textId="77777777" w:rsidR="004E2D1C" w:rsidRDefault="00886415"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el Órgano Superior de Fiscalización del Estado de México, </w:t>
      </w:r>
      <w:r w:rsidR="007955C2">
        <w:rPr>
          <w:rFonts w:ascii="Palatino Linotype" w:eastAsia="Palatino Linotype" w:hAnsi="Palatino Linotype" w:cs="Palatino Linotype"/>
        </w:rPr>
        <w:t>mediante</w:t>
      </w:r>
      <w:r w:rsidR="001E5E60">
        <w:rPr>
          <w:rFonts w:ascii="Palatino Linotype" w:eastAsia="Palatino Linotype" w:hAnsi="Palatino Linotype" w:cs="Palatino Linotype"/>
        </w:rPr>
        <w:t xml:space="preserve"> </w:t>
      </w:r>
      <w:r w:rsidR="007955C2">
        <w:rPr>
          <w:rFonts w:ascii="Palatino Linotype" w:eastAsia="Palatino Linotype" w:hAnsi="Palatino Linotype" w:cs="Palatino Linotype"/>
        </w:rPr>
        <w:t xml:space="preserve">acuerdo 06/2022 emitió los Lineamientos </w:t>
      </w:r>
      <w:r w:rsidR="00B5648E">
        <w:rPr>
          <w:rFonts w:ascii="Palatino Linotype" w:eastAsia="Palatino Linotype" w:hAnsi="Palatino Linotype" w:cs="Palatino Linotype"/>
        </w:rPr>
        <w:t>para la integración y entrega del</w:t>
      </w:r>
      <w:r w:rsidR="001E5E60">
        <w:rPr>
          <w:rFonts w:ascii="Palatino Linotype" w:eastAsia="Palatino Linotype" w:hAnsi="Palatino Linotype" w:cs="Palatino Linotype"/>
        </w:rPr>
        <w:t xml:space="preserve"> </w:t>
      </w:r>
      <w:r w:rsidR="007955C2">
        <w:rPr>
          <w:rFonts w:ascii="Palatino Linotype" w:eastAsia="Palatino Linotype" w:hAnsi="Palatino Linotype" w:cs="Palatino Linotype"/>
        </w:rPr>
        <w:t xml:space="preserve">Informe Trimestral Municipal </w:t>
      </w:r>
      <w:r w:rsidR="00B5648E">
        <w:rPr>
          <w:rFonts w:ascii="Palatino Linotype" w:eastAsia="Palatino Linotype" w:hAnsi="Palatino Linotype" w:cs="Palatino Linotype"/>
        </w:rPr>
        <w:t xml:space="preserve">2022, </w:t>
      </w:r>
      <w:r w:rsidR="00BE5714">
        <w:rPr>
          <w:rFonts w:ascii="Palatino Linotype" w:eastAsia="Palatino Linotype" w:hAnsi="Palatino Linotype" w:cs="Palatino Linotype"/>
        </w:rPr>
        <w:t>en el que</w:t>
      </w:r>
      <w:r w:rsidR="001E5E60">
        <w:rPr>
          <w:rFonts w:ascii="Palatino Linotype" w:eastAsia="Palatino Linotype" w:hAnsi="Palatino Linotype" w:cs="Palatino Linotype"/>
        </w:rPr>
        <w:t xml:space="preserve"> se definen los criterios, métodos, sistemas, formatos y documentación necesaria para que los Municipios y sus Organismos Descentralizados </w:t>
      </w:r>
      <w:r w:rsidR="004E2D1C">
        <w:rPr>
          <w:rFonts w:ascii="Palatino Linotype" w:eastAsia="Palatino Linotype" w:hAnsi="Palatino Linotype" w:cs="Palatino Linotype"/>
        </w:rPr>
        <w:t xml:space="preserve">homologuen e integren el Informe Trimestral del Ejercicio 2022. </w:t>
      </w:r>
    </w:p>
    <w:p w14:paraId="1F482919" w14:textId="77777777" w:rsidR="004E2D1C" w:rsidRDefault="004E2D1C" w:rsidP="00E56DB7">
      <w:pPr>
        <w:spacing w:line="360" w:lineRule="auto"/>
        <w:jc w:val="both"/>
        <w:rPr>
          <w:rFonts w:ascii="Palatino Linotype" w:eastAsia="Palatino Linotype" w:hAnsi="Palatino Linotype" w:cs="Palatino Linotype"/>
        </w:rPr>
      </w:pPr>
    </w:p>
    <w:p w14:paraId="2E5D6067" w14:textId="77777777" w:rsidR="00B5648E" w:rsidRDefault="00BE5714"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617F7C">
        <w:rPr>
          <w:rFonts w:ascii="Palatino Linotype" w:eastAsia="Palatino Linotype" w:hAnsi="Palatino Linotype" w:cs="Palatino Linotype"/>
        </w:rPr>
        <w:t xml:space="preserve">En este sentido, en el numeral 1 de las consideraciones de entrega del Informe Trimestral, la presentación de los Informes Trimestrales 2022 será únicamente a través del documento denominado </w:t>
      </w:r>
      <w:r w:rsidR="00617F7C">
        <w:rPr>
          <w:rFonts w:ascii="Palatino Linotype" w:eastAsia="Palatino Linotype" w:hAnsi="Palatino Linotype" w:cs="Palatino Linotype"/>
          <w:b/>
          <w:i/>
        </w:rPr>
        <w:t>“</w:t>
      </w:r>
      <w:r w:rsidR="00617F7C">
        <w:rPr>
          <w:rFonts w:ascii="Palatino Linotype" w:eastAsia="Palatino Linotype" w:hAnsi="Palatino Linotype" w:cs="Palatino Linotype"/>
          <w:b/>
        </w:rPr>
        <w:t>Oficio de Presentación del Informe Trimestral”</w:t>
      </w:r>
      <w:r w:rsidR="00232D22">
        <w:rPr>
          <w:rFonts w:ascii="Palatino Linotype" w:eastAsia="Palatino Linotype" w:hAnsi="Palatino Linotype" w:cs="Palatino Linotype"/>
          <w:b/>
        </w:rPr>
        <w:t xml:space="preserve">, </w:t>
      </w:r>
      <w:r w:rsidR="00232D22">
        <w:rPr>
          <w:rFonts w:ascii="Palatino Linotype" w:eastAsia="Palatino Linotype" w:hAnsi="Palatino Linotype" w:cs="Palatino Linotype"/>
        </w:rPr>
        <w:t>dirigido a la Aud</w:t>
      </w:r>
      <w:r w:rsidR="00C31F2C">
        <w:rPr>
          <w:rFonts w:ascii="Palatino Linotype" w:eastAsia="Palatino Linotype" w:hAnsi="Palatino Linotype" w:cs="Palatino Linotype"/>
        </w:rPr>
        <w:t>itorí</w:t>
      </w:r>
      <w:r w:rsidR="00232D22">
        <w:rPr>
          <w:rFonts w:ascii="Palatino Linotype" w:eastAsia="Palatino Linotype" w:hAnsi="Palatino Linotype" w:cs="Palatino Linotype"/>
        </w:rPr>
        <w:t>a Superior del Órgano Superior de Fiscalización del Estado de México</w:t>
      </w:r>
      <w:r w:rsidR="0079658F">
        <w:rPr>
          <w:rFonts w:ascii="Palatino Linotype" w:eastAsia="Palatino Linotype" w:hAnsi="Palatino Linotype" w:cs="Palatino Linotype"/>
        </w:rPr>
        <w:t xml:space="preserve">, tal como se muestra en la siguiente imagen: </w:t>
      </w:r>
    </w:p>
    <w:p w14:paraId="4F480B5C" w14:textId="77777777" w:rsidR="0079658F" w:rsidRDefault="0079658F" w:rsidP="00E56DB7">
      <w:pPr>
        <w:spacing w:line="360" w:lineRule="auto"/>
        <w:jc w:val="both"/>
        <w:rPr>
          <w:rFonts w:ascii="Palatino Linotype" w:eastAsia="Palatino Linotype" w:hAnsi="Palatino Linotype" w:cs="Palatino Linotype"/>
        </w:rPr>
      </w:pPr>
    </w:p>
    <w:p w14:paraId="19E8AE41" w14:textId="77777777" w:rsidR="00A02522" w:rsidRDefault="00A02522" w:rsidP="00E56DB7">
      <w:pPr>
        <w:spacing w:line="360" w:lineRule="auto"/>
        <w:jc w:val="both"/>
        <w:rPr>
          <w:rFonts w:ascii="Palatino Linotype" w:eastAsia="Palatino Linotype" w:hAnsi="Palatino Linotype" w:cs="Palatino Linotype"/>
        </w:rPr>
      </w:pPr>
      <w:r w:rsidRPr="00A02522">
        <w:rPr>
          <w:rFonts w:ascii="Palatino Linotype" w:eastAsia="Palatino Linotype" w:hAnsi="Palatino Linotype" w:cs="Palatino Linotype"/>
          <w:noProof/>
        </w:rPr>
        <w:lastRenderedPageBreak/>
        <w:drawing>
          <wp:inline distT="0" distB="0" distL="0" distR="0" wp14:anchorId="171D11F5" wp14:editId="51469E5F">
            <wp:extent cx="5612130" cy="436689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366895"/>
                    </a:xfrm>
                    <a:prstGeom prst="rect">
                      <a:avLst/>
                    </a:prstGeom>
                  </pic:spPr>
                </pic:pic>
              </a:graphicData>
            </a:graphic>
          </wp:inline>
        </w:drawing>
      </w:r>
    </w:p>
    <w:p w14:paraId="0E71A153" w14:textId="77777777" w:rsidR="0079658F" w:rsidRPr="00232D22" w:rsidRDefault="0079658F" w:rsidP="00E56DB7">
      <w:pPr>
        <w:spacing w:line="360" w:lineRule="auto"/>
        <w:jc w:val="both"/>
        <w:rPr>
          <w:rFonts w:ascii="Palatino Linotype" w:eastAsia="Palatino Linotype" w:hAnsi="Palatino Linotype" w:cs="Palatino Linotype"/>
        </w:rPr>
      </w:pPr>
    </w:p>
    <w:p w14:paraId="384698FC" w14:textId="77777777" w:rsidR="00744E29" w:rsidRDefault="005542E1"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lineamientos </w:t>
      </w:r>
      <w:r w:rsidR="006F2B9C">
        <w:rPr>
          <w:rFonts w:ascii="Palatino Linotype" w:eastAsia="Palatino Linotype" w:hAnsi="Palatino Linotype" w:cs="Palatino Linotype"/>
        </w:rPr>
        <w:t>previamente citados establecen que e</w:t>
      </w:r>
      <w:r w:rsidR="00384962">
        <w:rPr>
          <w:rFonts w:ascii="Palatino Linotype" w:eastAsia="Palatino Linotype" w:hAnsi="Palatino Linotype" w:cs="Palatino Linotype"/>
        </w:rPr>
        <w:t xml:space="preserve">l Informe Trimestral Municipal </w:t>
      </w:r>
      <w:r w:rsidR="006F2B9C">
        <w:rPr>
          <w:rFonts w:ascii="Palatino Linotype" w:eastAsia="Palatino Linotype" w:hAnsi="Palatino Linotype" w:cs="Palatino Linotype"/>
        </w:rPr>
        <w:t xml:space="preserve">estará integrado de cuatro Módulos; siendo los siguientes: </w:t>
      </w:r>
    </w:p>
    <w:p w14:paraId="0767DF5B" w14:textId="77777777" w:rsidR="003B1E95" w:rsidRDefault="003B1E95" w:rsidP="00E56DB7">
      <w:pPr>
        <w:spacing w:line="360" w:lineRule="auto"/>
        <w:jc w:val="both"/>
        <w:rPr>
          <w:rFonts w:ascii="Palatino Linotype" w:eastAsia="Palatino Linotype" w:hAnsi="Palatino Linotype" w:cs="Palatino Linotype"/>
        </w:rPr>
      </w:pPr>
      <w:r w:rsidRPr="003B1E95">
        <w:rPr>
          <w:rFonts w:ascii="Palatino Linotype" w:eastAsia="Palatino Linotype" w:hAnsi="Palatino Linotype" w:cs="Palatino Linotype"/>
          <w:noProof/>
        </w:rPr>
        <w:drawing>
          <wp:inline distT="0" distB="0" distL="0" distR="0" wp14:anchorId="1D368F76" wp14:editId="512A5963">
            <wp:extent cx="5612130" cy="1914525"/>
            <wp:effectExtent l="19050" t="19050" r="2667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14525"/>
                    </a:xfrm>
                    <a:prstGeom prst="rect">
                      <a:avLst/>
                    </a:prstGeom>
                    <a:ln w="12700">
                      <a:solidFill>
                        <a:schemeClr val="tx1"/>
                      </a:solidFill>
                    </a:ln>
                  </pic:spPr>
                </pic:pic>
              </a:graphicData>
            </a:graphic>
          </wp:inline>
        </w:drawing>
      </w:r>
    </w:p>
    <w:p w14:paraId="36F05770" w14:textId="77777777" w:rsidR="009D64F3" w:rsidRDefault="007815AD"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Módulos que su vez, se dividen en submódulos, por lo que en el caso concreto que nos ocupa </w:t>
      </w:r>
      <w:proofErr w:type="gramStart"/>
      <w:r>
        <w:rPr>
          <w:rFonts w:ascii="Palatino Linotype" w:eastAsia="Palatino Linotype" w:hAnsi="Palatino Linotype" w:cs="Palatino Linotype"/>
        </w:rPr>
        <w:t>analizar,  el</w:t>
      </w:r>
      <w:proofErr w:type="gram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Modulo</w:t>
      </w:r>
      <w:proofErr w:type="spellEnd"/>
      <w:r>
        <w:rPr>
          <w:rFonts w:ascii="Palatino Linotype" w:eastAsia="Palatino Linotype" w:hAnsi="Palatino Linotype" w:cs="Palatino Linotype"/>
        </w:rPr>
        <w:t xml:space="preserve"> </w:t>
      </w:r>
      <w:r w:rsidR="00AE6D08">
        <w:rPr>
          <w:rFonts w:ascii="Palatino Linotype" w:eastAsia="Palatino Linotype" w:hAnsi="Palatino Linotype" w:cs="Palatino Linotype"/>
        </w:rPr>
        <w:t>1</w:t>
      </w:r>
      <w:r>
        <w:rPr>
          <w:rFonts w:ascii="Palatino Linotype" w:eastAsia="Palatino Linotype" w:hAnsi="Palatino Linotype" w:cs="Palatino Linotype"/>
        </w:rPr>
        <w:t xml:space="preserve"> “</w:t>
      </w:r>
      <w:r w:rsidR="00AE6D08">
        <w:rPr>
          <w:rFonts w:ascii="Palatino Linotype" w:eastAsia="Palatino Linotype" w:hAnsi="Palatino Linotype" w:cs="Palatino Linotype"/>
        </w:rPr>
        <w:t>Información Contable y Financiera</w:t>
      </w:r>
      <w:r>
        <w:rPr>
          <w:rFonts w:ascii="Palatino Linotype" w:eastAsia="Palatino Linotype" w:hAnsi="Palatino Linotype" w:cs="Palatino Linotype"/>
        </w:rPr>
        <w:t>”</w:t>
      </w:r>
      <w:r w:rsidR="00D51ED5">
        <w:rPr>
          <w:rFonts w:ascii="Palatino Linotype" w:eastAsia="Palatino Linotype" w:hAnsi="Palatino Linotype" w:cs="Palatino Linotype"/>
        </w:rPr>
        <w:t xml:space="preserve">; módulo integrado por el </w:t>
      </w:r>
      <w:proofErr w:type="spellStart"/>
      <w:r w:rsidR="00D51ED5">
        <w:rPr>
          <w:rFonts w:ascii="Palatino Linotype" w:eastAsia="Palatino Linotype" w:hAnsi="Palatino Linotype" w:cs="Palatino Linotype"/>
        </w:rPr>
        <w:t>submodulo</w:t>
      </w:r>
      <w:proofErr w:type="spellEnd"/>
      <w:r w:rsidR="00D51ED5">
        <w:rPr>
          <w:rFonts w:ascii="Palatino Linotype" w:eastAsia="Palatino Linotype" w:hAnsi="Palatino Linotype" w:cs="Palatino Linotype"/>
        </w:rPr>
        <w:t xml:space="preserve"> “</w:t>
      </w:r>
      <w:proofErr w:type="spellStart"/>
      <w:r w:rsidR="00D51ED5">
        <w:rPr>
          <w:rFonts w:ascii="Palatino Linotype" w:eastAsia="Palatino Linotype" w:hAnsi="Palatino Linotype" w:cs="Palatino Linotype"/>
        </w:rPr>
        <w:t>Poliza</w:t>
      </w:r>
      <w:proofErr w:type="spellEnd"/>
      <w:r w:rsidR="00D51ED5">
        <w:rPr>
          <w:rFonts w:ascii="Palatino Linotype" w:eastAsia="Palatino Linotype" w:hAnsi="Palatino Linotype" w:cs="Palatino Linotype"/>
        </w:rPr>
        <w:t xml:space="preserve">” </w:t>
      </w:r>
    </w:p>
    <w:p w14:paraId="3D573210" w14:textId="77777777" w:rsidR="009D64F3" w:rsidRDefault="00724FE9"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0B41BA8" wp14:editId="7895DD0F">
                <wp:simplePos x="0" y="0"/>
                <wp:positionH relativeFrom="column">
                  <wp:posOffset>262890</wp:posOffset>
                </wp:positionH>
                <wp:positionV relativeFrom="paragraph">
                  <wp:posOffset>2401570</wp:posOffset>
                </wp:positionV>
                <wp:extent cx="5410200" cy="695325"/>
                <wp:effectExtent l="57150" t="38100" r="76200" b="104775"/>
                <wp:wrapNone/>
                <wp:docPr id="6" name="Rectángulo 6"/>
                <wp:cNvGraphicFramePr/>
                <a:graphic xmlns:a="http://schemas.openxmlformats.org/drawingml/2006/main">
                  <a:graphicData uri="http://schemas.microsoft.com/office/word/2010/wordprocessingShape">
                    <wps:wsp>
                      <wps:cNvSpPr/>
                      <wps:spPr>
                        <a:xfrm>
                          <a:off x="0" y="0"/>
                          <a:ext cx="5410200" cy="6953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7B129" id="Rectángulo 6" o:spid="_x0000_s1026" style="position:absolute;margin-left:20.7pt;margin-top:189.1pt;width:426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" filled="f" strokecolor="red" strokeweight="2.25pt">
                <v:shadow on="t" color="black" opacity="22937f" origin=",.5" offset="0,.63889mm"/>
              </v:rect>
            </w:pict>
          </mc:Fallback>
        </mc:AlternateContent>
      </w:r>
      <w:r w:rsidR="00D51ED5" w:rsidRPr="00D51ED5">
        <w:rPr>
          <w:rFonts w:ascii="Palatino Linotype" w:eastAsia="Palatino Linotype" w:hAnsi="Palatino Linotype" w:cs="Palatino Linotype"/>
          <w:noProof/>
        </w:rPr>
        <w:drawing>
          <wp:inline distT="0" distB="0" distL="0" distR="0" wp14:anchorId="284E9145" wp14:editId="6927D19D">
            <wp:extent cx="5612130" cy="3285490"/>
            <wp:effectExtent l="19050" t="19050" r="2667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285490"/>
                    </a:xfrm>
                    <a:prstGeom prst="rect">
                      <a:avLst/>
                    </a:prstGeom>
                    <a:ln w="12700">
                      <a:solidFill>
                        <a:schemeClr val="tx1"/>
                      </a:solidFill>
                    </a:ln>
                  </pic:spPr>
                </pic:pic>
              </a:graphicData>
            </a:graphic>
          </wp:inline>
        </w:drawing>
      </w:r>
    </w:p>
    <w:p w14:paraId="55286980" w14:textId="77777777" w:rsidR="004C383E" w:rsidRDefault="004C383E" w:rsidP="00E56DB7">
      <w:pPr>
        <w:spacing w:line="360" w:lineRule="auto"/>
        <w:jc w:val="both"/>
        <w:rPr>
          <w:rFonts w:ascii="Palatino Linotype" w:eastAsia="Palatino Linotype" w:hAnsi="Palatino Linotype" w:cs="Palatino Linotype"/>
        </w:rPr>
      </w:pPr>
    </w:p>
    <w:p w14:paraId="0A643D9A" w14:textId="77777777" w:rsidR="00384962" w:rsidRDefault="00384962" w:rsidP="00E56DB7">
      <w:pPr>
        <w:spacing w:line="360" w:lineRule="auto"/>
        <w:jc w:val="both"/>
        <w:rPr>
          <w:rFonts w:ascii="Palatino Linotype" w:eastAsia="Palatino Linotype" w:hAnsi="Palatino Linotype" w:cs="Palatino Linotype"/>
        </w:rPr>
      </w:pPr>
    </w:p>
    <w:p w14:paraId="429BF837" w14:textId="77777777" w:rsidR="004C383E" w:rsidRDefault="004C383E"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imagen inserta, se advierte que el Submódulo </w:t>
      </w:r>
      <w:proofErr w:type="gramStart"/>
      <w:r>
        <w:rPr>
          <w:rFonts w:ascii="Palatino Linotype" w:eastAsia="Palatino Linotype" w:hAnsi="Palatino Linotype" w:cs="Palatino Linotype"/>
        </w:rPr>
        <w:t>de  Pólizas</w:t>
      </w:r>
      <w:proofErr w:type="gramEnd"/>
      <w:r>
        <w:rPr>
          <w:rFonts w:ascii="Palatino Linotype" w:eastAsia="Palatino Linotype" w:hAnsi="Palatino Linotype" w:cs="Palatino Linotype"/>
        </w:rPr>
        <w:t xml:space="preserve"> en el numeral 33. </w:t>
      </w:r>
      <w:r w:rsidR="00556B7A">
        <w:rPr>
          <w:rFonts w:ascii="Palatino Linotype" w:eastAsia="Palatino Linotype" w:hAnsi="Palatino Linotype" w:cs="Palatino Linotype"/>
        </w:rPr>
        <w:t xml:space="preserve">Pólizas de Egresos con los documentos comprobatorios. </w:t>
      </w:r>
    </w:p>
    <w:p w14:paraId="748E2374" w14:textId="77777777" w:rsidR="00003691" w:rsidRDefault="00003691" w:rsidP="00E56DB7">
      <w:pPr>
        <w:spacing w:line="360" w:lineRule="auto"/>
        <w:jc w:val="both"/>
        <w:rPr>
          <w:rFonts w:ascii="Palatino Linotype" w:eastAsia="Palatino Linotype" w:hAnsi="Palatino Linotype" w:cs="Palatino Linotype"/>
        </w:rPr>
      </w:pPr>
    </w:p>
    <w:p w14:paraId="0BF3124E" w14:textId="77777777" w:rsidR="00003691" w:rsidRDefault="00003691" w:rsidP="00E56DB7">
      <w:pPr>
        <w:spacing w:line="360" w:lineRule="auto"/>
        <w:jc w:val="both"/>
        <w:rPr>
          <w:rFonts w:ascii="Palatino Linotype" w:eastAsia="Palatino Linotype" w:hAnsi="Palatino Linotype" w:cs="Palatino Linotype"/>
        </w:rPr>
      </w:pPr>
      <w:r>
        <w:rPr>
          <w:noProof/>
        </w:rPr>
        <w:lastRenderedPageBreak/>
        <w:drawing>
          <wp:inline distT="0" distB="0" distL="0" distR="0" wp14:anchorId="37A1742A" wp14:editId="47F239F6">
            <wp:extent cx="5580380" cy="5229225"/>
            <wp:effectExtent l="19050" t="19050" r="20320" b="28575"/>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44637" t="21130" r="24812" b="17891"/>
                    <a:stretch>
                      <a:fillRect/>
                    </a:stretch>
                  </pic:blipFill>
                  <pic:spPr>
                    <a:xfrm>
                      <a:off x="0" y="0"/>
                      <a:ext cx="5583135" cy="5231807"/>
                    </a:xfrm>
                    <a:prstGeom prst="rect">
                      <a:avLst/>
                    </a:prstGeom>
                    <a:ln w="12700">
                      <a:solidFill>
                        <a:schemeClr val="tx1"/>
                      </a:solidFill>
                    </a:ln>
                  </pic:spPr>
                </pic:pic>
              </a:graphicData>
            </a:graphic>
          </wp:inline>
        </w:drawing>
      </w:r>
    </w:p>
    <w:p w14:paraId="0711E2E0" w14:textId="77777777" w:rsidR="00B5648E" w:rsidRDefault="00B5648E" w:rsidP="00E56DB7">
      <w:pPr>
        <w:spacing w:line="360" w:lineRule="auto"/>
        <w:jc w:val="both"/>
        <w:rPr>
          <w:noProof/>
        </w:rPr>
      </w:pPr>
    </w:p>
    <w:p w14:paraId="5439691D" w14:textId="77777777" w:rsidR="00296A35" w:rsidRDefault="00C16695" w:rsidP="00E56DB7">
      <w:pPr>
        <w:spacing w:line="360" w:lineRule="auto"/>
        <w:jc w:val="both"/>
        <w:rPr>
          <w:rFonts w:ascii="Palatino Linotype" w:hAnsi="Palatino Linotype"/>
          <w:noProof/>
        </w:rPr>
      </w:pPr>
      <w:r>
        <w:rPr>
          <w:rFonts w:ascii="Palatino Linotype" w:hAnsi="Palatino Linotype"/>
          <w:noProof/>
        </w:rPr>
        <w:t>Es asi que, d</w:t>
      </w:r>
      <w:r w:rsidR="00E247E4">
        <w:rPr>
          <w:rFonts w:ascii="Palatino Linotype" w:hAnsi="Palatino Linotype"/>
          <w:noProof/>
        </w:rPr>
        <w:t xml:space="preserve">e las consideraciones señaladas, </w:t>
      </w:r>
      <w:r w:rsidR="007F41A7">
        <w:rPr>
          <w:rFonts w:ascii="Palatino Linotype" w:hAnsi="Palatino Linotype"/>
          <w:noProof/>
        </w:rPr>
        <w:t>se tiene que la información relativa a facturas, transferencias y polizas con su soporte documental, de manera enunciativ</w:t>
      </w:r>
      <w:r w:rsidR="00B1741D">
        <w:rPr>
          <w:rFonts w:ascii="Palatino Linotype" w:hAnsi="Palatino Linotype"/>
          <w:noProof/>
        </w:rPr>
        <w:t xml:space="preserve">a mas no limitativa fueron remitidas a la Legislatura del Estado </w:t>
      </w:r>
      <w:r w:rsidR="003F0E5D">
        <w:rPr>
          <w:rFonts w:ascii="Palatino Linotype" w:hAnsi="Palatino Linotype"/>
          <w:noProof/>
        </w:rPr>
        <w:t>para su revisión por el Órgano Superior de Fiscalización del Estado de M</w:t>
      </w:r>
      <w:r w:rsidR="001F2C3A">
        <w:rPr>
          <w:rFonts w:ascii="Palatino Linotype" w:hAnsi="Palatino Linotype"/>
          <w:noProof/>
        </w:rPr>
        <w:t xml:space="preserve">éxico; por lo que, el Pleno de este Instituto determina dable ordernar la entrega </w:t>
      </w:r>
      <w:r w:rsidR="002E7467">
        <w:rPr>
          <w:rFonts w:ascii="Palatino Linotype" w:hAnsi="Palatino Linotype"/>
          <w:noProof/>
        </w:rPr>
        <w:t xml:space="preserve">de los oficios con el acuse </w:t>
      </w:r>
      <w:r w:rsidR="002E7467">
        <w:rPr>
          <w:rFonts w:ascii="Palatino Linotype" w:hAnsi="Palatino Linotype"/>
          <w:noProof/>
        </w:rPr>
        <w:lastRenderedPageBreak/>
        <w:t xml:space="preserve">respectivo </w:t>
      </w:r>
      <w:r w:rsidR="00AF05D3">
        <w:rPr>
          <w:rFonts w:ascii="Palatino Linotype" w:hAnsi="Palatino Linotype"/>
          <w:noProof/>
        </w:rPr>
        <w:t xml:space="preserve">de a información enviada a alguna otra instancia de Gobierno Estatal o Fedeal o a alguna dependencia del Congreo Local o Federal. </w:t>
      </w:r>
    </w:p>
    <w:p w14:paraId="39827126" w14:textId="77777777" w:rsidR="00C262A4" w:rsidRDefault="00CB0C89" w:rsidP="00E56DB7">
      <w:pPr>
        <w:spacing w:before="240" w:after="240" w:line="360" w:lineRule="auto"/>
        <w:jc w:val="both"/>
        <w:rPr>
          <w:rFonts w:ascii="Palatino Linotype" w:hAnsi="Palatino Linotype" w:cs="Arial"/>
        </w:rPr>
      </w:pPr>
      <w:r w:rsidRPr="00CB0C89">
        <w:rPr>
          <w:rFonts w:ascii="Palatino Linotype" w:hAnsi="Palatino Linotype"/>
          <w:noProof/>
        </w:rPr>
        <w:t>Ahora bien, por cuanto hace a la información requerida en</w:t>
      </w:r>
      <w:r w:rsidR="005A7884">
        <w:rPr>
          <w:rFonts w:ascii="Palatino Linotype" w:hAnsi="Palatino Linotype"/>
          <w:noProof/>
        </w:rPr>
        <w:t xml:space="preserve"> los numerales 3, </w:t>
      </w:r>
      <w:r w:rsidRPr="00CB0C89">
        <w:rPr>
          <w:rFonts w:ascii="Palatino Linotype" w:hAnsi="Palatino Linotype"/>
          <w:noProof/>
        </w:rPr>
        <w:t>4</w:t>
      </w:r>
      <w:r w:rsidR="005A7884">
        <w:rPr>
          <w:rFonts w:ascii="Palatino Linotype" w:hAnsi="Palatino Linotype"/>
          <w:noProof/>
        </w:rPr>
        <w:t xml:space="preserve"> y 5</w:t>
      </w:r>
      <w:r w:rsidRPr="00CB0C89">
        <w:rPr>
          <w:rFonts w:ascii="Palatino Linotype" w:hAnsi="Palatino Linotype"/>
          <w:noProof/>
        </w:rPr>
        <w:t xml:space="preserve"> relativos al </w:t>
      </w:r>
      <w:r w:rsidR="00065ED1">
        <w:rPr>
          <w:rFonts w:ascii="Palatino Linotype" w:hAnsi="Palatino Linotype"/>
          <w:noProof/>
        </w:rPr>
        <w:t>p</w:t>
      </w:r>
      <w:proofErr w:type="spellStart"/>
      <w:r w:rsidR="00D6165D" w:rsidRPr="00CB0C89">
        <w:rPr>
          <w:rFonts w:ascii="Palatino Linotype" w:eastAsia="Palatino Linotype" w:hAnsi="Palatino Linotype" w:cs="Palatino Linotype"/>
          <w:color w:val="000000"/>
        </w:rPr>
        <w:t>resupuesto</w:t>
      </w:r>
      <w:proofErr w:type="spellEnd"/>
      <w:r w:rsidRPr="00CB0C89">
        <w:rPr>
          <w:rFonts w:ascii="Palatino Linotype" w:eastAsia="Palatino Linotype" w:hAnsi="Palatino Linotype" w:cs="Palatino Linotype"/>
          <w:color w:val="000000"/>
        </w:rPr>
        <w:t xml:space="preserve"> que presentado por la empresa o persona física para que lo contrataran; así como, el so</w:t>
      </w:r>
      <w:r w:rsidR="00065ED1">
        <w:rPr>
          <w:rFonts w:ascii="Palatino Linotype" w:eastAsia="Palatino Linotype" w:hAnsi="Palatino Linotype" w:cs="Palatino Linotype"/>
          <w:color w:val="000000"/>
        </w:rPr>
        <w:t xml:space="preserve">porte de sus precios unitarios; </w:t>
      </w:r>
      <w:r w:rsidR="00D6165D">
        <w:rPr>
          <w:rFonts w:ascii="Palatino Linotype" w:eastAsia="Palatino Linotype" w:hAnsi="Palatino Linotype" w:cs="Palatino Linotype"/>
          <w:color w:val="000000"/>
        </w:rPr>
        <w:t>d</w:t>
      </w:r>
      <w:r w:rsidRPr="00CB06B8">
        <w:rPr>
          <w:rFonts w:ascii="Palatino Linotype" w:eastAsia="Palatino Linotype" w:hAnsi="Palatino Linotype" w:cs="Palatino Linotype"/>
          <w:color w:val="000000"/>
        </w:rPr>
        <w:t>escripción de la planeación integral del licitante para realizar los trabajos, incluyendo el procedimiento constructivo de ejecución de los trabajos, considerando, en su caso, las restricciones técnicas que procedan conforme a los proyectos ejecutivos que establezcan las dependencias y entidades, que marca el</w:t>
      </w:r>
      <w:r>
        <w:rPr>
          <w:rFonts w:ascii="Palatino Linotype" w:eastAsia="Palatino Linotype" w:hAnsi="Palatino Linotype" w:cs="Palatino Linotype"/>
          <w:color w:val="000000"/>
        </w:rPr>
        <w:t xml:space="preserve"> reglamento de la Ley de Obras Pú</w:t>
      </w:r>
      <w:r w:rsidRPr="00CB06B8">
        <w:rPr>
          <w:rFonts w:ascii="Palatino Linotype" w:eastAsia="Palatino Linotype" w:hAnsi="Palatino Linotype" w:cs="Palatino Linotype"/>
          <w:color w:val="000000"/>
        </w:rPr>
        <w:t>blicas o el documento que hayan solicitado en las bases del concurso</w:t>
      </w:r>
      <w:r w:rsidR="00D6165D">
        <w:rPr>
          <w:rFonts w:ascii="Palatino Linotype" w:eastAsia="Palatino Linotype" w:hAnsi="Palatino Linotype" w:cs="Palatino Linotype"/>
          <w:color w:val="000000"/>
        </w:rPr>
        <w:t xml:space="preserve">, </w:t>
      </w:r>
      <w:r w:rsidR="00065ED1">
        <w:rPr>
          <w:rFonts w:ascii="Palatino Linotype" w:eastAsia="Palatino Linotype" w:hAnsi="Palatino Linotype" w:cs="Palatino Linotype"/>
          <w:color w:val="000000"/>
        </w:rPr>
        <w:t xml:space="preserve"> y el nombre del representante en la obra que esté a cargo de la vigilancia o residencia de obra y autorización de los trabajos con currículo y cédula, </w:t>
      </w:r>
      <w:r w:rsidR="0024307F">
        <w:rPr>
          <w:rFonts w:ascii="Palatino Linotype" w:eastAsia="Palatino Linotype" w:hAnsi="Palatino Linotype" w:cs="Palatino Linotype"/>
          <w:color w:val="000000"/>
        </w:rPr>
        <w:t xml:space="preserve">debe mencionarse que </w:t>
      </w:r>
      <w:r w:rsidR="00C262A4" w:rsidRPr="00A9657D">
        <w:rPr>
          <w:rFonts w:ascii="Palatino Linotype" w:hAnsi="Palatino Linotype" w:cs="Arial"/>
        </w:rPr>
        <w:t>las adquisiciones de bienes y servicios se tienen que hacer de conformidad con la Ley de Contratación Pública del Estado de México y Municipios, la cual tiene como objeto regular los actos relativos a la planeación, programación, presupuestación, ejecución y control de la adquisición, enajenación y arrendamiento de bienes y la contratación de cualquier naturaleza que realicen los ayuntamientos de los municipios y sus organismos auxiliares que componen el Estado de México</w:t>
      </w:r>
      <w:r w:rsidR="00C262A4" w:rsidRPr="00A9657D">
        <w:rPr>
          <w:rStyle w:val="Refdenotaalpie"/>
          <w:rFonts w:ascii="Palatino Linotype" w:hAnsi="Palatino Linotype" w:cs="Arial"/>
        </w:rPr>
        <w:footnoteReference w:id="3"/>
      </w:r>
      <w:r w:rsidR="00695316">
        <w:rPr>
          <w:rFonts w:ascii="Palatino Linotype" w:hAnsi="Palatino Linotype" w:cs="Arial"/>
        </w:rPr>
        <w:t>.</w:t>
      </w:r>
      <w:r w:rsidR="00C262A4" w:rsidRPr="00A9657D">
        <w:rPr>
          <w:rFonts w:ascii="Palatino Linotype" w:hAnsi="Palatino Linotype" w:cs="Arial"/>
        </w:rPr>
        <w:t xml:space="preserve"> </w:t>
      </w:r>
    </w:p>
    <w:p w14:paraId="5C3BA30F" w14:textId="77777777" w:rsidR="004C4A5F" w:rsidRPr="004E748A" w:rsidRDefault="004C4A5F"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w:t>
      </w:r>
      <w:r w:rsidRPr="004E748A">
        <w:rPr>
          <w:rFonts w:ascii="Palatino Linotype" w:eastAsia="Palatino Linotype" w:hAnsi="Palatino Linotype" w:cs="Palatino Linotype"/>
        </w:rPr>
        <w:t>s importante traer a contexto en los artículos 31, fracciones VII y XVIII y 96 Bis, fracciones IX, XIV y XXII, de la Ley Orgánica Municipal del Estado de México, que a la letra indican:</w:t>
      </w:r>
    </w:p>
    <w:p w14:paraId="76EB51A2" w14:textId="77777777" w:rsidR="004C4A5F" w:rsidRPr="004E748A" w:rsidRDefault="004C4A5F" w:rsidP="00E56DB7">
      <w:pPr>
        <w:spacing w:line="360" w:lineRule="auto"/>
        <w:jc w:val="both"/>
        <w:rPr>
          <w:rFonts w:ascii="Palatino Linotype" w:eastAsia="Palatino Linotype" w:hAnsi="Palatino Linotype" w:cs="Palatino Linotype"/>
        </w:rPr>
      </w:pPr>
    </w:p>
    <w:p w14:paraId="3CA7B63A"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31.- Son atribuciones de los ayuntamientos: </w:t>
      </w:r>
    </w:p>
    <w:p w14:paraId="0906AB03"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w:t>
      </w:r>
    </w:p>
    <w:p w14:paraId="5FDB40B2"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794DC5C0"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 </w:t>
      </w:r>
    </w:p>
    <w:p w14:paraId="37A855D4"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XVIII. Administrar su hacienda en términos de ley, y controlar a través del presidente y síndico la aplicación del presupuesto de egresos del municipio; </w:t>
      </w:r>
    </w:p>
    <w:p w14:paraId="4FF18240" w14:textId="77777777" w:rsidR="004C4A5F" w:rsidRPr="004E748A" w:rsidRDefault="004C4A5F" w:rsidP="00E56DB7">
      <w:pPr>
        <w:ind w:left="992" w:right="1043"/>
        <w:jc w:val="both"/>
        <w:rPr>
          <w:rFonts w:ascii="Palatino Linotype" w:eastAsia="Palatino Linotype" w:hAnsi="Palatino Linotype" w:cs="Palatino Linotype"/>
          <w:i/>
          <w:sz w:val="22"/>
          <w:szCs w:val="22"/>
        </w:rPr>
      </w:pPr>
    </w:p>
    <w:p w14:paraId="7F1EC217"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96. </w:t>
      </w:r>
      <w:proofErr w:type="gramStart"/>
      <w:r w:rsidRPr="004E748A">
        <w:rPr>
          <w:rFonts w:ascii="Palatino Linotype" w:eastAsia="Palatino Linotype" w:hAnsi="Palatino Linotype" w:cs="Palatino Linotype"/>
          <w:i/>
          <w:sz w:val="22"/>
          <w:szCs w:val="22"/>
        </w:rPr>
        <w:t>Bis.-</w:t>
      </w:r>
      <w:proofErr w:type="gramEnd"/>
      <w:r w:rsidRPr="004E748A">
        <w:rPr>
          <w:rFonts w:ascii="Palatino Linotype" w:eastAsia="Palatino Linotype" w:hAnsi="Palatino Linotype" w:cs="Palatino Linotype"/>
          <w:i/>
          <w:sz w:val="22"/>
          <w:szCs w:val="22"/>
        </w:rPr>
        <w:t xml:space="preserve"> El Director de Obras Públicas o el Titular de la Unidad Administrativa equivalente, tiene las siguientes atribuciones: </w:t>
      </w:r>
    </w:p>
    <w:p w14:paraId="5A08DB53"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w:t>
      </w:r>
    </w:p>
    <w:p w14:paraId="20D2D971"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3EC992B"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w:t>
      </w:r>
    </w:p>
    <w:p w14:paraId="36BCEDA6"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XIV. Cumplir y hacer cumplir la legislación y normatividad en materia de obra pública; </w:t>
      </w:r>
    </w:p>
    <w:p w14:paraId="08F5C9C8"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w:t>
      </w:r>
    </w:p>
    <w:p w14:paraId="584AB447"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XXII. </w:t>
      </w:r>
      <w:r w:rsidRPr="00EE2654">
        <w:rPr>
          <w:rFonts w:ascii="Palatino Linotype" w:eastAsia="Palatino Linotype" w:hAnsi="Palatino Linotype" w:cs="Palatino Linotype"/>
          <w:b/>
          <w:i/>
          <w:sz w:val="22"/>
          <w:szCs w:val="22"/>
          <w:u w:val="single"/>
        </w:rPr>
        <w:t>Coordinar y supervisar que todo el proceso de las obras públicas</w:t>
      </w:r>
      <w:r w:rsidRPr="004E748A">
        <w:rPr>
          <w:rFonts w:ascii="Palatino Linotype" w:eastAsia="Palatino Linotype" w:hAnsi="Palatino Linotype" w:cs="Palatino Linotype"/>
          <w:i/>
          <w:sz w:val="22"/>
          <w:szCs w:val="22"/>
        </w:rPr>
        <w:t xml:space="preserve"> que se realicen en el municipio se realice conforme a la legislación y normatividad en materia de obra pública…” (Sic)</w:t>
      </w:r>
    </w:p>
    <w:p w14:paraId="44F2F197" w14:textId="77777777" w:rsidR="004C4A5F" w:rsidRPr="004E748A" w:rsidRDefault="004C4A5F" w:rsidP="00E56DB7">
      <w:pPr>
        <w:ind w:left="992" w:right="1043"/>
        <w:jc w:val="both"/>
        <w:rPr>
          <w:rFonts w:ascii="Palatino Linotype" w:eastAsia="Palatino Linotype" w:hAnsi="Palatino Linotype" w:cs="Palatino Linotype"/>
          <w:i/>
          <w:sz w:val="22"/>
          <w:szCs w:val="22"/>
        </w:rPr>
      </w:pPr>
    </w:p>
    <w:p w14:paraId="372B19FA" w14:textId="77777777" w:rsidR="004C4A5F" w:rsidRPr="004E748A" w:rsidRDefault="004C4A5F" w:rsidP="00E56DB7">
      <w:pPr>
        <w:spacing w:line="360" w:lineRule="auto"/>
        <w:jc w:val="both"/>
        <w:rPr>
          <w:rFonts w:ascii="Palatino Linotype" w:eastAsia="Palatino Linotype" w:hAnsi="Palatino Linotype" w:cs="Palatino Linotype"/>
        </w:rPr>
      </w:pPr>
      <w:r w:rsidRPr="004E748A">
        <w:rPr>
          <w:rFonts w:ascii="Palatino Linotype" w:eastAsia="Palatino Linotype" w:hAnsi="Palatino Linotype" w:cs="Palatino Linotype"/>
        </w:rPr>
        <w:lastRenderedPageBreak/>
        <w:t>Asimismo, es importante señalar lo establecido en los artículos 12.1, fracción III, 12.8, 12.20, 12.21, 12.38, 12.60, fracción I y 12.64, del Libro Décimo Segundo del Código Administrativo del Estado de México, los cuales se transcriben a continuación:</w:t>
      </w:r>
    </w:p>
    <w:p w14:paraId="0B9069C9"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 </w:t>
      </w:r>
    </w:p>
    <w:p w14:paraId="3E36EEF4"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w:t>
      </w:r>
    </w:p>
    <w:p w14:paraId="5C79E38D"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III. Los ayuntamientos de los municipios del Estado; </w:t>
      </w:r>
    </w:p>
    <w:p w14:paraId="4B1B7B0D"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12.8.- Corresponde a la Secretaría del Ramo y a los ayuntamientos, en el ámbito de sus respectivas competencias, </w:t>
      </w:r>
      <w:r w:rsidRPr="00921859">
        <w:rPr>
          <w:rFonts w:ascii="Palatino Linotype" w:eastAsia="Palatino Linotype" w:hAnsi="Palatino Linotype" w:cs="Palatino Linotype"/>
          <w:b/>
          <w:i/>
          <w:sz w:val="22"/>
          <w:szCs w:val="22"/>
        </w:rPr>
        <w:t>ejecutar la obra pública, mediante contrato con terceros o por administración directa</w:t>
      </w:r>
      <w:r w:rsidRPr="004E748A">
        <w:rPr>
          <w:rFonts w:ascii="Palatino Linotype" w:eastAsia="Palatino Linotype" w:hAnsi="Palatino Linotype" w:cs="Palatino Linotype"/>
          <w:i/>
          <w:sz w:val="22"/>
          <w:szCs w:val="22"/>
        </w:rPr>
        <w:t xml:space="preserve">. </w:t>
      </w:r>
    </w:p>
    <w:p w14:paraId="784C91F6"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La Secretaría del Ramo podrá autorizar a las dependencias y entidades estatales, a ejecutar obras, por contrato o por administración directa, cuando a su juicio éstas cuenten con elementos propios y organización necesarios. </w:t>
      </w:r>
    </w:p>
    <w:p w14:paraId="2C888E51"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El acuerdo de autorización deberá publicarse en la Gaceta del Gobierno. </w:t>
      </w:r>
    </w:p>
    <w:p w14:paraId="0DC88E53"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Lo dispuesto en el párrafo anterior será aplicable a los ayuntamientos, tratándose de la realización de obras con cargo a fondos estatales total o parcialmente. Para la mejor planeación de la obra pública en el Estado, las dependencias, entidades y ayuntamientos que ejecuten obra, deberán dar aviso a la Secretaría del Ramo, de sus proyectos y programación de ejecución, independientemente del origen de los recursos. </w:t>
      </w:r>
    </w:p>
    <w:p w14:paraId="6208B1E9"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12.20.- Los contratos a que se refiere este Libro, se adjudicarán a través de licitaciones públicas, mediante convocatoria pública. </w:t>
      </w:r>
    </w:p>
    <w:p w14:paraId="029E147C"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12.21.- Las dependencias, entidades y </w:t>
      </w:r>
      <w:r w:rsidRPr="00EE2654">
        <w:rPr>
          <w:rFonts w:ascii="Palatino Linotype" w:eastAsia="Palatino Linotype" w:hAnsi="Palatino Linotype" w:cs="Palatino Linotype"/>
          <w:b/>
          <w:i/>
          <w:sz w:val="22"/>
          <w:szCs w:val="22"/>
        </w:rPr>
        <w:t>ayuntamientos podrán adjudicar contratos para la ejecución de obra pública o servicios relacionados con la misma</w:t>
      </w:r>
      <w:r w:rsidRPr="004E748A">
        <w:rPr>
          <w:rFonts w:ascii="Palatino Linotype" w:eastAsia="Palatino Linotype" w:hAnsi="Palatino Linotype" w:cs="Palatino Linotype"/>
          <w:i/>
          <w:sz w:val="22"/>
          <w:szCs w:val="22"/>
        </w:rPr>
        <w:t xml:space="preserve"> mediante las excepciones al procedimiento de licitación siguientes: </w:t>
      </w:r>
    </w:p>
    <w:p w14:paraId="05848E8D" w14:textId="77777777" w:rsidR="004C4A5F" w:rsidRPr="00EE2654" w:rsidRDefault="004C4A5F" w:rsidP="00E56DB7">
      <w:pPr>
        <w:spacing w:before="240" w:after="240"/>
        <w:ind w:left="993" w:right="1041"/>
        <w:jc w:val="both"/>
        <w:rPr>
          <w:rFonts w:ascii="Palatino Linotype" w:eastAsia="Palatino Linotype" w:hAnsi="Palatino Linotype" w:cs="Palatino Linotype"/>
          <w:b/>
          <w:i/>
          <w:sz w:val="22"/>
          <w:szCs w:val="22"/>
          <w:u w:val="single"/>
        </w:rPr>
      </w:pPr>
      <w:r w:rsidRPr="004E748A">
        <w:rPr>
          <w:rFonts w:ascii="Palatino Linotype" w:eastAsia="Palatino Linotype" w:hAnsi="Palatino Linotype" w:cs="Palatino Linotype"/>
          <w:i/>
          <w:sz w:val="22"/>
          <w:szCs w:val="22"/>
        </w:rPr>
        <w:t xml:space="preserve">I. </w:t>
      </w:r>
      <w:r w:rsidRPr="00EE2654">
        <w:rPr>
          <w:rFonts w:ascii="Palatino Linotype" w:eastAsia="Palatino Linotype" w:hAnsi="Palatino Linotype" w:cs="Palatino Linotype"/>
          <w:b/>
          <w:i/>
          <w:sz w:val="22"/>
          <w:szCs w:val="22"/>
          <w:u w:val="single"/>
        </w:rPr>
        <w:t xml:space="preserve">Invitación restringida; </w:t>
      </w:r>
    </w:p>
    <w:p w14:paraId="495D5EDD" w14:textId="77777777" w:rsidR="004C4A5F" w:rsidRPr="00EE2654" w:rsidRDefault="004C4A5F" w:rsidP="00E56DB7">
      <w:pPr>
        <w:spacing w:before="240" w:after="240"/>
        <w:ind w:left="993" w:right="1041"/>
        <w:jc w:val="both"/>
        <w:rPr>
          <w:rFonts w:ascii="Palatino Linotype" w:eastAsia="Palatino Linotype" w:hAnsi="Palatino Linotype" w:cs="Palatino Linotype"/>
          <w:b/>
          <w:i/>
          <w:sz w:val="22"/>
          <w:szCs w:val="22"/>
          <w:u w:val="single"/>
        </w:rPr>
      </w:pPr>
      <w:r w:rsidRPr="00EE2654">
        <w:rPr>
          <w:rFonts w:ascii="Palatino Linotype" w:eastAsia="Palatino Linotype" w:hAnsi="Palatino Linotype" w:cs="Palatino Linotype"/>
          <w:b/>
          <w:i/>
          <w:sz w:val="22"/>
          <w:szCs w:val="22"/>
          <w:u w:val="single"/>
        </w:rPr>
        <w:lastRenderedPageBreak/>
        <w:t xml:space="preserve">II. Adjudicación directa. </w:t>
      </w:r>
    </w:p>
    <w:p w14:paraId="1E0D1221"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12.38.- La </w:t>
      </w:r>
      <w:r w:rsidRPr="00EE2654">
        <w:rPr>
          <w:rFonts w:ascii="Palatino Linotype" w:eastAsia="Palatino Linotype" w:hAnsi="Palatino Linotype" w:cs="Palatino Linotype"/>
          <w:b/>
          <w:i/>
          <w:sz w:val="22"/>
          <w:szCs w:val="22"/>
        </w:rPr>
        <w:t>adjudicación de la obra</w:t>
      </w:r>
      <w:r w:rsidRPr="004E748A">
        <w:rPr>
          <w:rFonts w:ascii="Palatino Linotype" w:eastAsia="Palatino Linotype" w:hAnsi="Palatino Linotype" w:cs="Palatino Linotype"/>
          <w:i/>
          <w:sz w:val="22"/>
          <w:szCs w:val="22"/>
        </w:rPr>
        <w:t xml:space="preserve"> o servicios relacionados con la misma obligará a la dependencia, entidad o ayuntamiento y a la persona en que hubiere recaído, a suscribir el contrato respectivo dentro de los diez días hábiles siguientes al de la notificación del fallo. </w:t>
      </w:r>
    </w:p>
    <w:p w14:paraId="767D3BF9"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Si la dependencia, entidad o ayuntamiento no firmare el contrato dentro del plazo a que se refiere el párrafo anterior, el licitante ganador podrá exigir que se le cubran los gastos que realizo en preparar y elaborar su propuesta. </w:t>
      </w:r>
    </w:p>
    <w:p w14:paraId="3D72C44E"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12.60.- Las dependencias, entidades y ayuntamientos podrán realizar obras por administración directa, siempre que posean la capacidad técnica y los elementos necesarios, consistentes en: maquinaria y equipo de construcción, personal técnico, trabajadores y materiales y podrán: </w:t>
      </w:r>
    </w:p>
    <w:p w14:paraId="76E1C01F"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 Utilizar mano de obra local complementaria, la que necesariamente deberá contratarse por obra determinada; </w:t>
      </w:r>
    </w:p>
    <w:p w14:paraId="4D9452A8"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 Alquilar equipo y maquinaria de construcción complementaria; </w:t>
      </w:r>
    </w:p>
    <w:p w14:paraId="4E33D85D"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III. Utilizar preferentemente los materiales de la región; </w:t>
      </w:r>
    </w:p>
    <w:p w14:paraId="36003FC0"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IV. Contratar equipos, instrumentos, elementos prefabricados terminados y materiales u otros bienes que deban ser instalados, montados, colocados o aplicados; </w:t>
      </w:r>
    </w:p>
    <w:p w14:paraId="429A8C08"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V. Utilizar servicios de fletes y acarreos complementarios. </w:t>
      </w:r>
    </w:p>
    <w:p w14:paraId="3DFADC3C"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w:t>
      </w:r>
    </w:p>
    <w:p w14:paraId="5BDFAEA8" w14:textId="77777777" w:rsidR="004C4A5F" w:rsidRPr="004E748A" w:rsidRDefault="004C4A5F"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12.64.- Las dependencias, entidades y </w:t>
      </w:r>
      <w:r w:rsidRPr="000A24E9">
        <w:rPr>
          <w:rFonts w:ascii="Palatino Linotype" w:eastAsia="Palatino Linotype" w:hAnsi="Palatino Linotype" w:cs="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4E748A">
        <w:rPr>
          <w:rFonts w:ascii="Palatino Linotype" w:eastAsia="Palatino Linotype" w:hAnsi="Palatino Linotype" w:cs="Palatino Linotype"/>
          <w:i/>
          <w:sz w:val="22"/>
          <w:szCs w:val="22"/>
        </w:rPr>
        <w:t>.” (Sic)</w:t>
      </w:r>
    </w:p>
    <w:p w14:paraId="2F3C3A19" w14:textId="77777777" w:rsidR="004C4A5F" w:rsidRDefault="004C4A5F" w:rsidP="00E56DB7">
      <w:pPr>
        <w:spacing w:line="360" w:lineRule="auto"/>
        <w:jc w:val="both"/>
        <w:rPr>
          <w:rFonts w:ascii="Palatino Linotype" w:eastAsia="Palatino Linotype" w:hAnsi="Palatino Linotype" w:cs="Palatino Linotype"/>
        </w:rPr>
      </w:pPr>
      <w:r w:rsidRPr="004E748A">
        <w:rPr>
          <w:rFonts w:ascii="Palatino Linotype" w:eastAsia="Palatino Linotype" w:hAnsi="Palatino Linotype" w:cs="Palatino Linotype"/>
        </w:rPr>
        <w:t xml:space="preserve">De lo anterior, se puede advertir los Ayuntamientos tienen la atribución de convenir, contratar o concesionar la ejecución de obras y administrar los recursos obtenidos de su hacienda, en los términos de la legislación aplicable; asimismo, los </w:t>
      </w:r>
      <w:r w:rsidRPr="004E748A">
        <w:rPr>
          <w:rFonts w:ascii="Palatino Linotype" w:eastAsia="Palatino Linotype" w:hAnsi="Palatino Linotype" w:cs="Palatino Linotype"/>
        </w:rPr>
        <w:lastRenderedPageBreak/>
        <w:t xml:space="preserve">procedimientos de obra desde su planeación, programación, presupuestación, adjudicación, contratación, ejecución y control de la obra pública involucran la participación tanto del </w:t>
      </w:r>
      <w:proofErr w:type="gramStart"/>
      <w:r w:rsidRPr="004E748A">
        <w:rPr>
          <w:rFonts w:ascii="Palatino Linotype" w:eastAsia="Palatino Linotype" w:hAnsi="Palatino Linotype" w:cs="Palatino Linotype"/>
        </w:rPr>
        <w:t>Director</w:t>
      </w:r>
      <w:proofErr w:type="gramEnd"/>
      <w:r w:rsidRPr="004E748A">
        <w:rPr>
          <w:rFonts w:ascii="Palatino Linotype" w:eastAsia="Palatino Linotype" w:hAnsi="Palatino Linotype" w:cs="Palatino Linotype"/>
        </w:rPr>
        <w:t xml:space="preserve"> de </w:t>
      </w:r>
      <w:r w:rsidR="00D4776E">
        <w:rPr>
          <w:rFonts w:ascii="Palatino Linotype" w:eastAsia="Palatino Linotype" w:hAnsi="Palatino Linotype" w:cs="Palatino Linotype"/>
        </w:rPr>
        <w:t>Obra Pública, o su equivalente.</w:t>
      </w:r>
    </w:p>
    <w:p w14:paraId="348DAD78" w14:textId="77777777" w:rsidR="00D4776E" w:rsidRPr="004E748A" w:rsidRDefault="00D4776E" w:rsidP="00E56DB7">
      <w:pPr>
        <w:spacing w:line="360" w:lineRule="auto"/>
        <w:jc w:val="both"/>
        <w:rPr>
          <w:rFonts w:ascii="Palatino Linotype" w:eastAsia="Palatino Linotype" w:hAnsi="Palatino Linotype" w:cs="Palatino Linotype"/>
        </w:rPr>
      </w:pPr>
    </w:p>
    <w:p w14:paraId="3A44AD03" w14:textId="77777777" w:rsidR="004C4A5F" w:rsidRPr="004E748A" w:rsidRDefault="0038496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Preceptos jurídicos que disponen que</w:t>
      </w:r>
      <w:r w:rsidR="004C4A5F" w:rsidRPr="004E748A">
        <w:rPr>
          <w:rFonts w:ascii="Palatino Linotype" w:eastAsia="Palatino Linotype" w:hAnsi="Palatino Linotype" w:cs="Palatino Linotype"/>
        </w:rPr>
        <w:t>, la ejecución de obra pública puede llevarse a cabo a través de dos vías, la administración directa, o bien, mediante la contratación de terceros.</w:t>
      </w:r>
    </w:p>
    <w:p w14:paraId="77AE0C73" w14:textId="77777777" w:rsidR="004C4A5F" w:rsidRDefault="004C4A5F" w:rsidP="00E56DB7">
      <w:pPr>
        <w:spacing w:line="360" w:lineRule="auto"/>
        <w:jc w:val="both"/>
        <w:rPr>
          <w:rFonts w:ascii="Palatino Linotype" w:eastAsia="Palatino Linotype" w:hAnsi="Palatino Linotype" w:cs="Palatino Linotype"/>
        </w:rPr>
      </w:pPr>
    </w:p>
    <w:p w14:paraId="6B20991A" w14:textId="77777777" w:rsidR="00A168FE" w:rsidRPr="004E748A" w:rsidRDefault="00A168FE" w:rsidP="00E56DB7">
      <w:pPr>
        <w:spacing w:line="360" w:lineRule="auto"/>
        <w:jc w:val="both"/>
        <w:rPr>
          <w:rFonts w:ascii="Palatino Linotype" w:eastAsia="Palatino Linotype" w:hAnsi="Palatino Linotype" w:cs="Palatino Linotype"/>
        </w:rPr>
      </w:pPr>
      <w:r w:rsidRPr="004E748A">
        <w:rPr>
          <w:rFonts w:ascii="Palatino Linotype" w:eastAsia="Palatino Linotype" w:hAnsi="Palatino Linotype" w:cs="Palatino Linotype"/>
        </w:rPr>
        <w:t xml:space="preserve">Aunado a lo anterior, debe observarse lo establecido en los artículos 8, 214, 215, </w:t>
      </w:r>
      <w:r w:rsidR="00A833BE">
        <w:rPr>
          <w:rFonts w:ascii="Palatino Linotype" w:eastAsia="Palatino Linotype" w:hAnsi="Palatino Linotype" w:cs="Palatino Linotype"/>
        </w:rPr>
        <w:t xml:space="preserve">216, </w:t>
      </w:r>
      <w:r w:rsidRPr="004E748A">
        <w:rPr>
          <w:rFonts w:ascii="Palatino Linotype" w:eastAsia="Palatino Linotype" w:hAnsi="Palatino Linotype" w:cs="Palatino Linotype"/>
        </w:rPr>
        <w:t>217, 218 y 219, del Reglamento del Libro Décimo Segundo del Código Administrativo del Estado de México:</w:t>
      </w:r>
    </w:p>
    <w:p w14:paraId="5C9E6810"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“Artículo 8.- Las dependencias, entidades y, en su caso</w:t>
      </w:r>
      <w:r w:rsidRPr="00AE600B">
        <w:rPr>
          <w:rFonts w:ascii="Palatino Linotype" w:eastAsia="Palatino Linotype" w:hAnsi="Palatino Linotype" w:cs="Palatino Linotype"/>
          <w:b/>
          <w:i/>
          <w:sz w:val="22"/>
          <w:szCs w:val="22"/>
          <w:u w:val="single"/>
        </w:rPr>
        <w:t>, los ayuntamientos</w:t>
      </w:r>
      <w:r w:rsidRPr="004E748A">
        <w:rPr>
          <w:rFonts w:ascii="Palatino Linotype" w:eastAsia="Palatino Linotype" w:hAnsi="Palatino Linotype" w:cs="Palatino Linotype"/>
          <w:i/>
          <w:sz w:val="22"/>
          <w:szCs w:val="22"/>
        </w:rPr>
        <w:t xml:space="preserve">, al realizar la planeación de una obra pública o servicio, deberán considerar, además de lo previsto en el Libro, lo siguiente: </w:t>
      </w:r>
    </w:p>
    <w:p w14:paraId="440B2420"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 Que los proyectos arquitectónicos y de ingeniería aseguren condiciones adecuadas de accesibilidad y libertad de movimiento para todas las personas,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14:paraId="7A75B231"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 La debida realización del análisis de factibilidad técnica, económica, social, ecológica, ambiental y, en su caso, los estudios de costo beneficio; </w:t>
      </w:r>
    </w:p>
    <w:p w14:paraId="10420873"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III. La congruencia de la obra con las características ambientales, climáticas y geográficas de la región donde se realizará, así como los impactos previsibles; </w:t>
      </w:r>
    </w:p>
    <w:p w14:paraId="504AE6FD"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IV. La determinación de la forma de ejecución, por contrato o administración directa. En el caso de contrato, </w:t>
      </w:r>
      <w:r w:rsidRPr="008C1D85">
        <w:rPr>
          <w:rFonts w:ascii="Palatino Linotype" w:eastAsia="Palatino Linotype" w:hAnsi="Palatino Linotype" w:cs="Palatino Linotype"/>
          <w:b/>
          <w:i/>
          <w:sz w:val="22"/>
          <w:szCs w:val="22"/>
        </w:rPr>
        <w:t>precisar las áreas responsables de la contratación y la supervisión de los trabajos</w:t>
      </w:r>
      <w:r w:rsidRPr="004E748A">
        <w:rPr>
          <w:rFonts w:ascii="Palatino Linotype" w:eastAsia="Palatino Linotype" w:hAnsi="Palatino Linotype" w:cs="Palatino Linotype"/>
          <w:i/>
          <w:sz w:val="22"/>
          <w:szCs w:val="22"/>
        </w:rPr>
        <w:t xml:space="preserve">; y en el caso de obras por administración directa, de los responsables de las áreas de ejecución; </w:t>
      </w:r>
    </w:p>
    <w:p w14:paraId="648C4F20"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lastRenderedPageBreak/>
        <w:t xml:space="preserve">V. La coordinación con otras dependencias, entidades o ayuntamientos que realicen trabajos en el lugar de ejecución, o bien, que cuenten con instalaciones en operación, con el propósito de identificar aquellos trabajos que pudieran ocasionar daños, interferencias o suspensiones de los servicios públicos. Para tal efecto, las dependencias o entidades y, en su caso, ayuntamientos, delimitarán los alcances de los trabajos que a cada una de ellas corresponda realizar. </w:t>
      </w:r>
      <w:r w:rsidRPr="00A168FE">
        <w:rPr>
          <w:rFonts w:ascii="Palatino Linotype" w:eastAsia="Palatino Linotype" w:hAnsi="Palatino Linotype" w:cs="Palatino Linotype"/>
          <w:b/>
          <w:i/>
          <w:sz w:val="22"/>
          <w:szCs w:val="22"/>
          <w:u w:val="single"/>
        </w:rPr>
        <w:t>El programa de ejecución preverá una secuencia de actividades, que evite la duplicidad o repetición de acciones y trabajos;</w:t>
      </w:r>
      <w:r w:rsidRPr="004E748A">
        <w:rPr>
          <w:rFonts w:ascii="Palatino Linotype" w:eastAsia="Palatino Linotype" w:hAnsi="Palatino Linotype" w:cs="Palatino Linotype"/>
          <w:i/>
          <w:sz w:val="22"/>
          <w:szCs w:val="22"/>
        </w:rPr>
        <w:t xml:space="preserve"> </w:t>
      </w:r>
    </w:p>
    <w:p w14:paraId="75C468F2"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VI. La determinación de los materiales, productos, equipos y procedimientos de construcción que satisfagan los requerimientos técnicos y económicos del proyecto, considerando preferentemente el empleo de los recursos humanos y los materiales propios de la región donde se ubiquen las obras; </w:t>
      </w:r>
    </w:p>
    <w:p w14:paraId="0AFB0274"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VII. El análisis de los avances tecnológicos y la determinación de los criterios de tecnología aplicables en función de la naturaleza de la obra pública y los servicios que satisfagan los requerimientos técnicos, económicos, ambientales y culturales; </w:t>
      </w:r>
    </w:p>
    <w:p w14:paraId="5A99DD67"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VIII. La definición de las obras principales, de infraestructura; de las complementarias, inducidas y accesorias; y de las acciones requeridas para ponerlas en servicio e incorporarlas en el programa general de la obra; </w:t>
      </w:r>
    </w:p>
    <w:p w14:paraId="5BCF9A46" w14:textId="77777777" w:rsidR="00A168FE" w:rsidRPr="003B16F2" w:rsidRDefault="00A168FE" w:rsidP="00E56DB7">
      <w:pPr>
        <w:spacing w:before="240" w:after="240"/>
        <w:ind w:left="993" w:right="1041"/>
        <w:jc w:val="both"/>
        <w:rPr>
          <w:rFonts w:ascii="Palatino Linotype" w:eastAsia="Palatino Linotype" w:hAnsi="Palatino Linotype" w:cs="Palatino Linotype"/>
          <w:b/>
          <w:i/>
          <w:sz w:val="22"/>
          <w:szCs w:val="22"/>
          <w:u w:val="single"/>
        </w:rPr>
      </w:pPr>
      <w:r w:rsidRPr="004E748A">
        <w:rPr>
          <w:rFonts w:ascii="Palatino Linotype" w:eastAsia="Palatino Linotype" w:hAnsi="Palatino Linotype" w:cs="Palatino Linotype"/>
          <w:i/>
          <w:sz w:val="22"/>
          <w:szCs w:val="22"/>
        </w:rPr>
        <w:t xml:space="preserve">IX. </w:t>
      </w:r>
      <w:r w:rsidRPr="003B16F2">
        <w:rPr>
          <w:rFonts w:ascii="Palatino Linotype" w:eastAsia="Palatino Linotype" w:hAnsi="Palatino Linotype" w:cs="Palatino Linotype"/>
          <w:b/>
          <w:i/>
          <w:sz w:val="22"/>
          <w:szCs w:val="22"/>
          <w:u w:val="single"/>
        </w:rPr>
        <w:t xml:space="preserve">La determinación del presupuesto total de la obra y, en su caso, por ejercicios presupuéstales; </w:t>
      </w:r>
    </w:p>
    <w:p w14:paraId="465E51CF"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X. La determinación de acciones de adquisición y, en su caso, de regularización de la tenencia de la tierra; y </w:t>
      </w:r>
    </w:p>
    <w:p w14:paraId="2B755EFF"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XI. En el caso de las obras por administración directa, la evaluación de la disponibilidad de personal en las áreas responsables de la ejecución, así como de la maquinaria y equipo, que determine la capacidad real para ejecutar la obra con recursos propios </w:t>
      </w:r>
    </w:p>
    <w:p w14:paraId="50CA2C96" w14:textId="77777777" w:rsidR="00A168FE" w:rsidRPr="003B16F2" w:rsidRDefault="00A168FE" w:rsidP="00E56DB7">
      <w:pPr>
        <w:spacing w:before="240" w:after="240"/>
        <w:ind w:left="993" w:right="1041"/>
        <w:jc w:val="both"/>
        <w:rPr>
          <w:rFonts w:ascii="Palatino Linotype" w:eastAsia="Palatino Linotype" w:hAnsi="Palatino Linotype" w:cs="Palatino Linotype"/>
          <w:b/>
          <w:i/>
          <w:sz w:val="22"/>
          <w:szCs w:val="22"/>
          <w:u w:val="single"/>
        </w:rPr>
      </w:pPr>
      <w:r w:rsidRPr="004E748A">
        <w:rPr>
          <w:rFonts w:ascii="Palatino Linotype" w:eastAsia="Palatino Linotype" w:hAnsi="Palatino Linotype" w:cs="Palatino Linotype"/>
          <w:i/>
          <w:sz w:val="22"/>
          <w:szCs w:val="22"/>
        </w:rPr>
        <w:t xml:space="preserve">Artículo 214.- </w:t>
      </w:r>
      <w:r w:rsidRPr="003B16F2">
        <w:rPr>
          <w:rFonts w:ascii="Palatino Linotype" w:eastAsia="Palatino Linotype" w:hAnsi="Palatino Linotype" w:cs="Palatino Linotype"/>
          <w:b/>
          <w:i/>
          <w:sz w:val="22"/>
          <w:szCs w:val="22"/>
          <w:u w:val="single"/>
        </w:rPr>
        <w:t xml:space="preserve">La ejecución de los trabajos deberá realizarse en el orden y tiempo previstos en los programas pactados en el contrato. </w:t>
      </w:r>
    </w:p>
    <w:p w14:paraId="771D490F" w14:textId="77777777" w:rsidR="00A168FE"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215.- Para dar inicio a la ejecución de los trabajos, el contratante nombrará </w:t>
      </w:r>
      <w:r w:rsidRPr="003F1C15">
        <w:rPr>
          <w:rFonts w:ascii="Palatino Linotype" w:eastAsia="Palatino Linotype" w:hAnsi="Palatino Linotype" w:cs="Palatino Linotype"/>
          <w:b/>
          <w:i/>
          <w:sz w:val="22"/>
          <w:szCs w:val="22"/>
          <w:u w:val="single"/>
        </w:rPr>
        <w:t xml:space="preserve">al servidor público residente de obra; y el contratista, al </w:t>
      </w:r>
      <w:r w:rsidRPr="003F1C15">
        <w:rPr>
          <w:rFonts w:ascii="Palatino Linotype" w:eastAsia="Palatino Linotype" w:hAnsi="Palatino Linotype" w:cs="Palatino Linotype"/>
          <w:b/>
          <w:i/>
          <w:sz w:val="22"/>
          <w:szCs w:val="22"/>
          <w:u w:val="single"/>
        </w:rPr>
        <w:lastRenderedPageBreak/>
        <w:t>superintendente de la obra que lo representará</w:t>
      </w:r>
      <w:r w:rsidRPr="004E748A">
        <w:rPr>
          <w:rFonts w:ascii="Palatino Linotype" w:eastAsia="Palatino Linotype" w:hAnsi="Palatino Linotype" w:cs="Palatino Linotype"/>
          <w:i/>
          <w:sz w:val="22"/>
          <w:szCs w:val="22"/>
        </w:rPr>
        <w:t xml:space="preserve">. Cuando la supervisión sea contratada con terceras personas, es conveniente que participe desde el fallo del procedimiento de adjudicación del contrato de obra. </w:t>
      </w:r>
    </w:p>
    <w:p w14:paraId="3988CB19" w14:textId="77777777" w:rsidR="00A833BE" w:rsidRPr="00A833BE" w:rsidRDefault="00A833BE" w:rsidP="00E56DB7">
      <w:pPr>
        <w:spacing w:before="240" w:after="240"/>
        <w:ind w:left="993" w:right="1041"/>
        <w:jc w:val="both"/>
        <w:rPr>
          <w:rFonts w:ascii="Palatino Linotype" w:eastAsia="Palatino Linotype" w:hAnsi="Palatino Linotype" w:cs="Palatino Linotype"/>
          <w:i/>
          <w:sz w:val="22"/>
          <w:szCs w:val="22"/>
        </w:rPr>
      </w:pPr>
      <w:r w:rsidRPr="00A833BE">
        <w:rPr>
          <w:rFonts w:ascii="Palatino Linotype" w:hAnsi="Palatino Linotype"/>
          <w:b/>
          <w:i/>
          <w:sz w:val="22"/>
          <w:szCs w:val="22"/>
        </w:rPr>
        <w:t>Artículo 216</w:t>
      </w:r>
      <w:r w:rsidRPr="00A833BE">
        <w:rPr>
          <w:rFonts w:ascii="Palatino Linotype" w:hAnsi="Palatino Linotype"/>
          <w:i/>
          <w:sz w:val="22"/>
          <w:szCs w:val="22"/>
        </w:rPr>
        <w:t xml:space="preserve">.- </w:t>
      </w:r>
      <w:r w:rsidRPr="00A833BE">
        <w:rPr>
          <w:rFonts w:ascii="Palatino Linotype" w:hAnsi="Palatino Linotype"/>
          <w:b/>
          <w:i/>
          <w:sz w:val="22"/>
          <w:szCs w:val="22"/>
        </w:rPr>
        <w:t>Para designar al residente de obra</w:t>
      </w:r>
      <w:r w:rsidRPr="00A833BE">
        <w:rPr>
          <w:rFonts w:ascii="Palatino Linotype" w:hAnsi="Palatino Linotype"/>
          <w:i/>
          <w:sz w:val="22"/>
          <w:szCs w:val="22"/>
        </w:rPr>
        <w:t xml:space="preserve">, el contratante deberá prever que tenga los conocimientos, experiencia, habilidades y capacidad suficiente para administrar y dirigir los trabajos; </w:t>
      </w:r>
      <w:r w:rsidRPr="00A833BE">
        <w:rPr>
          <w:rFonts w:ascii="Palatino Linotype" w:hAnsi="Palatino Linotype"/>
          <w:b/>
          <w:i/>
          <w:sz w:val="22"/>
          <w:szCs w:val="22"/>
          <w:u w:val="single"/>
        </w:rPr>
        <w:t>considerando la formación profesional, la experiencia en administración y construcción de obras, el desarrollo profesional y el conocimiento de obras similares a las que se hará cargo. Para acreditar esto el servidor público designado deberá presentar la certificación de conocimientos y habilidades expedida en la materia.</w:t>
      </w:r>
    </w:p>
    <w:p w14:paraId="4FE4414B"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217.- </w:t>
      </w:r>
      <w:r w:rsidRPr="003F1C15">
        <w:rPr>
          <w:rFonts w:ascii="Palatino Linotype" w:eastAsia="Palatino Linotype" w:hAnsi="Palatino Linotype" w:cs="Palatino Linotype"/>
          <w:b/>
          <w:i/>
          <w:sz w:val="22"/>
          <w:szCs w:val="22"/>
          <w:u w:val="single"/>
        </w:rPr>
        <w:t>Las funciones de la residencia de obra serán:</w:t>
      </w:r>
      <w:r w:rsidRPr="004E748A">
        <w:rPr>
          <w:rFonts w:ascii="Palatino Linotype" w:eastAsia="Palatino Linotype" w:hAnsi="Palatino Linotype" w:cs="Palatino Linotype"/>
          <w:i/>
          <w:sz w:val="22"/>
          <w:szCs w:val="22"/>
        </w:rPr>
        <w:t xml:space="preserve"> </w:t>
      </w:r>
    </w:p>
    <w:p w14:paraId="02A9B177"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 Vigilar que se cuente con el oficio de autorización de los recursos presupuestales; </w:t>
      </w:r>
    </w:p>
    <w:p w14:paraId="4309E631"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 Verificar que, antes del inicio de la obra, se cuente con los proyectos arquitectónicos y de ingeniería, especificaciones de calidad de los materiales y especificaciones generales y particulares de construcción, catálogo de conceptos con sus análisis de precios unitarios o alcance de las actividades de obra, programas de ejecución y suministros o utilización, términos de referencia y alcance de servicios; en caso contrario, informar a su inmediato superior; </w:t>
      </w:r>
    </w:p>
    <w:p w14:paraId="6DD0B5F9"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III. Abrir la bitácora de obra, la cual quedará bajo su resguardo, y por medio de ella dar las instrucciones pertinentes, y recibir las solicitudes que le formule la supervisión y el contratista; </w:t>
      </w:r>
    </w:p>
    <w:p w14:paraId="7AE20FEF"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IV. Supervisar, revisar, vigilar y controlar los trabajos; </w:t>
      </w:r>
    </w:p>
    <w:p w14:paraId="4D8A350A"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V. Vigilar y controlar el desarrollo de los trabajos, en sus aspectos de tiempo, calidad, costo y apego a los programas de ejecución de los trabajos de acuerdo con los avances, recursos asignados, rendimientos y consumos pactados en el contrato; </w:t>
      </w:r>
    </w:p>
    <w:p w14:paraId="4A21AC28"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218.- La supervisión es el auxiliar de la residencia de obra. Tendrá las funciones que se señalan en este Reglamento, así como las que, en su caso, se pacten en el contrato de supervisión. </w:t>
      </w:r>
    </w:p>
    <w:p w14:paraId="08D6471D" w14:textId="77777777" w:rsidR="00A168FE" w:rsidRPr="003F1C15" w:rsidRDefault="00A168FE" w:rsidP="00E56DB7">
      <w:pPr>
        <w:spacing w:before="240" w:after="240"/>
        <w:ind w:left="993" w:right="1041"/>
        <w:jc w:val="both"/>
        <w:rPr>
          <w:rFonts w:ascii="Palatino Linotype" w:eastAsia="Palatino Linotype" w:hAnsi="Palatino Linotype" w:cs="Palatino Linotype"/>
          <w:b/>
          <w:i/>
          <w:sz w:val="22"/>
          <w:szCs w:val="22"/>
          <w:u w:val="single"/>
        </w:rPr>
      </w:pPr>
      <w:r w:rsidRPr="003F1C15">
        <w:rPr>
          <w:rFonts w:ascii="Palatino Linotype" w:eastAsia="Palatino Linotype" w:hAnsi="Palatino Linotype" w:cs="Palatino Linotype"/>
          <w:b/>
          <w:i/>
          <w:sz w:val="22"/>
          <w:szCs w:val="22"/>
          <w:u w:val="single"/>
        </w:rPr>
        <w:lastRenderedPageBreak/>
        <w:t xml:space="preserve">Para tal función se deberá contar con la certificación de conocimientos y habilidades en la materia. </w:t>
      </w:r>
    </w:p>
    <w:p w14:paraId="1F72C914"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219.- Las funciones de la supervisión serán: </w:t>
      </w:r>
    </w:p>
    <w:p w14:paraId="1198B7D2"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I. Revisar, antes del inicio de los trabajos, la información que le proporcione la residencia de obra respecto del contrato, con el objeto de enterarse con detalle de las características del proyecto y del sitio de la obra, obteniendo la información que le permita iniciar los trabajos de supervisión según lo programado y ejecutarlos ininterrumpidamente hasta su conclusión;</w:t>
      </w:r>
    </w:p>
    <w:p w14:paraId="2AD0A591" w14:textId="77777777" w:rsidR="00A168FE" w:rsidRPr="004E748A"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 […] </w:t>
      </w:r>
    </w:p>
    <w:p w14:paraId="216C80F2" w14:textId="77777777" w:rsidR="00A168FE" w:rsidRDefault="00A168FE" w:rsidP="00E56DB7">
      <w:pPr>
        <w:spacing w:before="240" w:after="240"/>
        <w:ind w:left="993" w:right="1041"/>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III. Integrar y mantener en orden y actualizado el archivo y documentación derivada de la realización de los trabajos, el que contendrá, entre otros: a. Contrato, convenios, programas de obra y suministros, números generadores, cantidades de obra realizadas y faltantes de ejecutar y presupuesto; b. Permisos, licencias y autorizaciones; c. Especificaciones de construcción y procedimientos constructivos; d. Registro y control de la bitácora y de las minutas de las juntas de obra; e. Copia de planos y sus modificaciones; f. Matrices de precios unitarios o cédula de avances y pagos programados, según corresponda; g. Estimaciones; h. Reportes de laboratorio y resultado de las pruebas, y i. Manuales y garantía de la maquinaria y equipo…”(Sic)</w:t>
      </w:r>
    </w:p>
    <w:p w14:paraId="5A9B9283" w14:textId="77777777" w:rsidR="00A168FE" w:rsidRDefault="00A168FE" w:rsidP="00E56DB7">
      <w:pPr>
        <w:spacing w:line="360" w:lineRule="auto"/>
        <w:jc w:val="both"/>
        <w:rPr>
          <w:rFonts w:ascii="Palatino Linotype" w:eastAsia="Palatino Linotype" w:hAnsi="Palatino Linotype" w:cs="Palatino Linotype"/>
        </w:rPr>
      </w:pPr>
    </w:p>
    <w:p w14:paraId="1D509A30" w14:textId="77777777" w:rsidR="004C4A5F" w:rsidRPr="004E748A" w:rsidRDefault="004C4A5F" w:rsidP="00E56DB7">
      <w:pPr>
        <w:spacing w:line="360" w:lineRule="auto"/>
        <w:jc w:val="both"/>
        <w:rPr>
          <w:rFonts w:ascii="Palatino Linotype" w:eastAsia="Palatino Linotype" w:hAnsi="Palatino Linotype" w:cs="Palatino Linotype"/>
        </w:rPr>
      </w:pPr>
      <w:r w:rsidRPr="004E748A">
        <w:rPr>
          <w:rFonts w:ascii="Palatino Linotype" w:eastAsia="Palatino Linotype" w:hAnsi="Palatino Linotype" w:cs="Palatino Linotype"/>
        </w:rPr>
        <w:t xml:space="preserve">En ese sentido, </w:t>
      </w:r>
      <w:r w:rsidR="00194D86">
        <w:rPr>
          <w:rFonts w:ascii="Palatino Linotype" w:eastAsia="Palatino Linotype" w:hAnsi="Palatino Linotype" w:cs="Palatino Linotype"/>
        </w:rPr>
        <w:t xml:space="preserve">en </w:t>
      </w:r>
      <w:r w:rsidRPr="004E748A">
        <w:rPr>
          <w:rFonts w:ascii="Palatino Linotype" w:eastAsia="Palatino Linotype" w:hAnsi="Palatino Linotype" w:cs="Palatino Linotype"/>
        </w:rPr>
        <w:t>el procedimiento de licitación</w:t>
      </w:r>
      <w:r w:rsidR="00194D86">
        <w:rPr>
          <w:rFonts w:ascii="Palatino Linotype" w:eastAsia="Palatino Linotype" w:hAnsi="Palatino Linotype" w:cs="Palatino Linotype"/>
        </w:rPr>
        <w:t xml:space="preserve"> pública</w:t>
      </w:r>
      <w:r w:rsidRPr="004E748A">
        <w:rPr>
          <w:rFonts w:ascii="Palatino Linotype" w:eastAsia="Palatino Linotype" w:hAnsi="Palatino Linotype" w:cs="Palatino Linotype"/>
        </w:rPr>
        <w:t>, o bien, de manera excepcional, mediante los procedimientos de invitación restringida y adjudicación directa, se requiere la generación de diversa información, entre ella, de manera enunciativa más no limitativa, la referida en el artículo 92, fracción XXIX, de la Ley de la Materia:</w:t>
      </w:r>
    </w:p>
    <w:p w14:paraId="3837DACF" w14:textId="77777777" w:rsidR="004C4A5F" w:rsidRPr="004E748A" w:rsidRDefault="004C4A5F" w:rsidP="00E56DB7">
      <w:pPr>
        <w:ind w:left="992" w:right="1043"/>
        <w:jc w:val="both"/>
        <w:rPr>
          <w:rFonts w:ascii="Palatino Linotype" w:eastAsia="Palatino Linotype" w:hAnsi="Palatino Linotype" w:cs="Palatino Linotype"/>
          <w:i/>
          <w:sz w:val="22"/>
          <w:szCs w:val="22"/>
        </w:rPr>
      </w:pPr>
    </w:p>
    <w:p w14:paraId="51D219F4"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“Artículo 92. Los sujetos obligados deberán poner a </w:t>
      </w:r>
      <w:r w:rsidRPr="00194D86">
        <w:rPr>
          <w:rFonts w:ascii="Palatino Linotype" w:eastAsia="Palatino Linotype" w:hAnsi="Palatino Linotype" w:cs="Palatino Linotype"/>
          <w:b/>
          <w:i/>
          <w:sz w:val="22"/>
          <w:szCs w:val="22"/>
          <w:u w:val="single"/>
        </w:rPr>
        <w:t>disposición del público de manera permanente y actualizad</w:t>
      </w:r>
      <w:r w:rsidRPr="004E748A">
        <w:rPr>
          <w:rFonts w:ascii="Palatino Linotype" w:eastAsia="Palatino Linotype" w:hAnsi="Palatino Linotype" w:cs="Palatino Linotype"/>
          <w:i/>
          <w:sz w:val="22"/>
          <w:szCs w:val="22"/>
        </w:rPr>
        <w:t xml:space="preserve">a de forma sencilla, precisa y entendible, en los respectivos medios electrónicos, de acuerdo con sus facultades, atribuciones, funciones u objeto social, según corresponda, la </w:t>
      </w:r>
      <w:r w:rsidRPr="004E748A">
        <w:rPr>
          <w:rFonts w:ascii="Palatino Linotype" w:eastAsia="Palatino Linotype" w:hAnsi="Palatino Linotype" w:cs="Palatino Linotype"/>
          <w:i/>
          <w:sz w:val="22"/>
          <w:szCs w:val="22"/>
        </w:rPr>
        <w:lastRenderedPageBreak/>
        <w:t xml:space="preserve">información, por lo menos, de los temas, documentos y políticas que a continuación se señalan: […] </w:t>
      </w:r>
    </w:p>
    <w:p w14:paraId="043A8EEB"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558988B7"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a) </w:t>
      </w:r>
      <w:r w:rsidRPr="00E02622">
        <w:rPr>
          <w:rFonts w:ascii="Palatino Linotype" w:eastAsia="Palatino Linotype" w:hAnsi="Palatino Linotype" w:cs="Palatino Linotype"/>
          <w:b/>
          <w:i/>
          <w:sz w:val="22"/>
          <w:szCs w:val="22"/>
          <w:u w:val="single"/>
        </w:rPr>
        <w:t>De licitaciones públicas o procedimientos de invitación restringida</w:t>
      </w:r>
      <w:r w:rsidRPr="004E748A">
        <w:rPr>
          <w:rFonts w:ascii="Palatino Linotype" w:eastAsia="Palatino Linotype" w:hAnsi="Palatino Linotype" w:cs="Palatino Linotype"/>
          <w:i/>
          <w:sz w:val="22"/>
          <w:szCs w:val="22"/>
        </w:rPr>
        <w:t xml:space="preserve">: </w:t>
      </w:r>
    </w:p>
    <w:p w14:paraId="184EA8ED"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1CB35AC6"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2) Los nombres de los participantes o invitados; </w:t>
      </w:r>
    </w:p>
    <w:p w14:paraId="27AE2D21"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3</w:t>
      </w:r>
      <w:r w:rsidRPr="00384962">
        <w:rPr>
          <w:rFonts w:ascii="Palatino Linotype" w:eastAsia="Palatino Linotype" w:hAnsi="Palatino Linotype" w:cs="Palatino Linotype"/>
          <w:b/>
          <w:i/>
          <w:sz w:val="22"/>
          <w:szCs w:val="22"/>
        </w:rPr>
        <w:t>) El nombre del ganador y las razones que lo justifican;</w:t>
      </w:r>
      <w:r w:rsidRPr="004E748A">
        <w:rPr>
          <w:rFonts w:ascii="Palatino Linotype" w:eastAsia="Palatino Linotype" w:hAnsi="Palatino Linotype" w:cs="Palatino Linotype"/>
          <w:i/>
          <w:sz w:val="22"/>
          <w:szCs w:val="22"/>
        </w:rPr>
        <w:t xml:space="preserve"> </w:t>
      </w:r>
    </w:p>
    <w:p w14:paraId="6006249A"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4) El área solicitante y la responsable de su ejecución; </w:t>
      </w:r>
    </w:p>
    <w:p w14:paraId="66B70B13"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5) Las convocatorias e invitaciones emitidas; </w:t>
      </w:r>
    </w:p>
    <w:p w14:paraId="1730BDA8"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6) Los dictámenes y fallo de adjudicación; </w:t>
      </w:r>
    </w:p>
    <w:p w14:paraId="43E8A322"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7) El contrato y, en su caso, sus anexos; </w:t>
      </w:r>
    </w:p>
    <w:p w14:paraId="4EC725AB"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8) </w:t>
      </w:r>
      <w:r w:rsidRPr="00384962">
        <w:rPr>
          <w:rFonts w:ascii="Palatino Linotype" w:eastAsia="Palatino Linotype" w:hAnsi="Palatino Linotype" w:cs="Palatino Linotype"/>
          <w:b/>
          <w:i/>
          <w:sz w:val="22"/>
          <w:szCs w:val="22"/>
        </w:rPr>
        <w:t>Los mecanismos de vigilancia y supervisión, incluyendo en su caso, los estudios de impacto urbano y ambiental, según corresponda</w:t>
      </w:r>
      <w:r w:rsidRPr="004E748A">
        <w:rPr>
          <w:rFonts w:ascii="Palatino Linotype" w:eastAsia="Palatino Linotype" w:hAnsi="Palatino Linotype" w:cs="Palatino Linotype"/>
          <w:i/>
          <w:sz w:val="22"/>
          <w:szCs w:val="22"/>
        </w:rPr>
        <w:t xml:space="preserve">; </w:t>
      </w:r>
    </w:p>
    <w:p w14:paraId="48FCF48D"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9) </w:t>
      </w:r>
      <w:r w:rsidRPr="007F3842">
        <w:rPr>
          <w:rFonts w:ascii="Palatino Linotype" w:eastAsia="Palatino Linotype" w:hAnsi="Palatino Linotype" w:cs="Palatino Linotype"/>
          <w:i/>
          <w:sz w:val="22"/>
          <w:szCs w:val="22"/>
        </w:rPr>
        <w:t>La partida presupuestal, de conformidad con el clasificador por objeto del gasto, en el caso de ser aplicable;</w:t>
      </w:r>
      <w:r w:rsidRPr="004E748A">
        <w:rPr>
          <w:rFonts w:ascii="Palatino Linotype" w:eastAsia="Palatino Linotype" w:hAnsi="Palatino Linotype" w:cs="Palatino Linotype"/>
          <w:i/>
          <w:sz w:val="22"/>
          <w:szCs w:val="22"/>
        </w:rPr>
        <w:t xml:space="preserve"> </w:t>
      </w:r>
    </w:p>
    <w:p w14:paraId="2B3EA07D" w14:textId="77777777" w:rsidR="004C4A5F" w:rsidRPr="00384962" w:rsidRDefault="004C4A5F" w:rsidP="00E56DB7">
      <w:pPr>
        <w:ind w:left="992" w:right="1043"/>
        <w:jc w:val="both"/>
        <w:rPr>
          <w:b/>
        </w:rPr>
      </w:pPr>
      <w:r w:rsidRPr="004E748A">
        <w:rPr>
          <w:rFonts w:ascii="Palatino Linotype" w:eastAsia="Palatino Linotype" w:hAnsi="Palatino Linotype" w:cs="Palatino Linotype"/>
          <w:i/>
          <w:sz w:val="22"/>
          <w:szCs w:val="22"/>
        </w:rPr>
        <w:t xml:space="preserve">10) </w:t>
      </w:r>
      <w:r w:rsidRPr="00332264">
        <w:rPr>
          <w:rFonts w:ascii="Palatino Linotype" w:eastAsia="Palatino Linotype" w:hAnsi="Palatino Linotype" w:cs="Palatino Linotype"/>
          <w:i/>
          <w:sz w:val="22"/>
          <w:szCs w:val="22"/>
        </w:rPr>
        <w:t>Origen de los recursos especificando si son federales, estatales o municipales, así como el tipo de fondo de participación o aportación respectiva; 11) Los convenios modificatorios que, en su caso, sean firmados, precisando el objeto y la fecha de celebración;</w:t>
      </w:r>
      <w:r w:rsidRPr="00384962">
        <w:rPr>
          <w:b/>
        </w:rPr>
        <w:t xml:space="preserve"> </w:t>
      </w:r>
    </w:p>
    <w:p w14:paraId="1C9F9808"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12) Los informes de avance físico y financiero sobre las obras o servicios contratados; </w:t>
      </w:r>
    </w:p>
    <w:p w14:paraId="31981C5C"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13) El convenio de terminación; y </w:t>
      </w:r>
    </w:p>
    <w:p w14:paraId="3384CAC4"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14) El finiquito.</w:t>
      </w:r>
    </w:p>
    <w:p w14:paraId="086396C6" w14:textId="77777777" w:rsidR="004C4A5F" w:rsidRPr="008C1D85" w:rsidRDefault="004C4A5F" w:rsidP="00E56DB7">
      <w:pPr>
        <w:ind w:left="992" w:right="1043"/>
        <w:jc w:val="both"/>
        <w:rPr>
          <w:rFonts w:ascii="Palatino Linotype" w:eastAsia="Palatino Linotype" w:hAnsi="Palatino Linotype" w:cs="Palatino Linotype"/>
          <w:b/>
          <w:i/>
          <w:sz w:val="22"/>
          <w:szCs w:val="22"/>
        </w:rPr>
      </w:pPr>
      <w:r w:rsidRPr="008C1D85">
        <w:rPr>
          <w:rFonts w:ascii="Palatino Linotype" w:eastAsia="Palatino Linotype" w:hAnsi="Palatino Linotype" w:cs="Palatino Linotype"/>
          <w:b/>
          <w:i/>
          <w:sz w:val="22"/>
          <w:szCs w:val="22"/>
        </w:rPr>
        <w:t xml:space="preserve"> b) De las adjudicaciones directas: </w:t>
      </w:r>
    </w:p>
    <w:p w14:paraId="6F9BEE09" w14:textId="77777777" w:rsidR="004C4A5F" w:rsidRPr="003F3784" w:rsidRDefault="004C4A5F" w:rsidP="00E56DB7">
      <w:pPr>
        <w:ind w:left="992" w:right="1043"/>
        <w:jc w:val="both"/>
        <w:rPr>
          <w:rFonts w:ascii="Palatino Linotype" w:eastAsia="Palatino Linotype" w:hAnsi="Palatino Linotype" w:cs="Palatino Linotype"/>
          <w:b/>
          <w:i/>
          <w:sz w:val="22"/>
          <w:szCs w:val="22"/>
          <w:u w:val="single"/>
        </w:rPr>
      </w:pPr>
      <w:r w:rsidRPr="004E748A">
        <w:rPr>
          <w:rFonts w:ascii="Palatino Linotype" w:eastAsia="Palatino Linotype" w:hAnsi="Palatino Linotype" w:cs="Palatino Linotype"/>
          <w:i/>
          <w:sz w:val="22"/>
          <w:szCs w:val="22"/>
        </w:rPr>
        <w:t>1</w:t>
      </w:r>
      <w:r w:rsidRPr="003F3784">
        <w:rPr>
          <w:rFonts w:ascii="Palatino Linotype" w:eastAsia="Palatino Linotype" w:hAnsi="Palatino Linotype" w:cs="Palatino Linotype"/>
          <w:b/>
          <w:i/>
          <w:sz w:val="22"/>
          <w:szCs w:val="22"/>
          <w:u w:val="single"/>
        </w:rPr>
        <w:t xml:space="preserve">) La propuesta enviada por el participante; </w:t>
      </w:r>
    </w:p>
    <w:p w14:paraId="4C07D3BE"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2) Los motivos y fundamentos legales aplicados para llevarla a cabo; </w:t>
      </w:r>
    </w:p>
    <w:p w14:paraId="6352FF41"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3) La autorización del ejercicio de la opción; </w:t>
      </w:r>
    </w:p>
    <w:p w14:paraId="02175BA6" w14:textId="77777777" w:rsidR="004C4A5F" w:rsidRPr="003F3784" w:rsidRDefault="004C4A5F" w:rsidP="00E56DB7">
      <w:pPr>
        <w:ind w:left="992" w:right="1043"/>
        <w:jc w:val="both"/>
        <w:rPr>
          <w:rFonts w:ascii="Palatino Linotype" w:eastAsia="Palatino Linotype" w:hAnsi="Palatino Linotype" w:cs="Palatino Linotype"/>
          <w:b/>
          <w:i/>
          <w:sz w:val="22"/>
          <w:szCs w:val="22"/>
          <w:u w:val="single"/>
        </w:rPr>
      </w:pPr>
      <w:r w:rsidRPr="003F3784">
        <w:rPr>
          <w:rFonts w:ascii="Palatino Linotype" w:eastAsia="Palatino Linotype" w:hAnsi="Palatino Linotype" w:cs="Palatino Linotype"/>
          <w:b/>
          <w:i/>
          <w:sz w:val="22"/>
          <w:szCs w:val="22"/>
          <w:u w:val="single"/>
        </w:rPr>
        <w:t xml:space="preserve">4) En su caso, las cotizaciones consideradas, especificando los nombres de los proveedores y sus montos; </w:t>
      </w:r>
    </w:p>
    <w:p w14:paraId="5523AC85"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5) El nombre de la persona física o jurídica colectiva adjudicada; </w:t>
      </w:r>
    </w:p>
    <w:p w14:paraId="549E5384"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6) La unidad administrativa solicitante y la responsable de su ejecución; </w:t>
      </w:r>
    </w:p>
    <w:p w14:paraId="58F6E0B1"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1216DC2B"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8) </w:t>
      </w:r>
      <w:r w:rsidRPr="00384962">
        <w:rPr>
          <w:rFonts w:ascii="Palatino Linotype" w:eastAsia="Palatino Linotype" w:hAnsi="Palatino Linotype" w:cs="Palatino Linotype"/>
          <w:b/>
          <w:i/>
          <w:sz w:val="22"/>
          <w:szCs w:val="22"/>
        </w:rPr>
        <w:t>Los mecanismos de vigilancia y supervisión, incluyendo, en su caso, los estudios de impacto urbano y ambiental, según corresponda</w:t>
      </w:r>
      <w:r w:rsidRPr="004E748A">
        <w:rPr>
          <w:rFonts w:ascii="Palatino Linotype" w:eastAsia="Palatino Linotype" w:hAnsi="Palatino Linotype" w:cs="Palatino Linotype"/>
          <w:i/>
          <w:sz w:val="22"/>
          <w:szCs w:val="22"/>
        </w:rPr>
        <w:t xml:space="preserve">; </w:t>
      </w:r>
    </w:p>
    <w:p w14:paraId="12090663"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lastRenderedPageBreak/>
        <w:t xml:space="preserve">9) Los informes de avance sobre las obras o servicios contratados; </w:t>
      </w:r>
    </w:p>
    <w:p w14:paraId="7F46B03E"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10) El convenio de terminación; y </w:t>
      </w:r>
    </w:p>
    <w:p w14:paraId="55E44823" w14:textId="77777777" w:rsidR="004C4A5F" w:rsidRPr="004E748A" w:rsidRDefault="004C4A5F" w:rsidP="00E56DB7">
      <w:pPr>
        <w:ind w:left="992" w:right="1043"/>
        <w:jc w:val="both"/>
        <w:rPr>
          <w:rFonts w:ascii="Palatino Linotype" w:eastAsia="Palatino Linotype" w:hAnsi="Palatino Linotype" w:cs="Palatino Linotype"/>
          <w:i/>
          <w:sz w:val="22"/>
          <w:szCs w:val="22"/>
        </w:rPr>
      </w:pPr>
      <w:r w:rsidRPr="004E748A">
        <w:rPr>
          <w:rFonts w:ascii="Palatino Linotype" w:eastAsia="Palatino Linotype" w:hAnsi="Palatino Linotype" w:cs="Palatino Linotype"/>
          <w:i/>
          <w:sz w:val="22"/>
          <w:szCs w:val="22"/>
        </w:rPr>
        <w:t xml:space="preserve">11) El finiquito.” (Sic) </w:t>
      </w:r>
    </w:p>
    <w:p w14:paraId="31B04C3E" w14:textId="77777777" w:rsidR="004C4A5F" w:rsidRPr="004E748A" w:rsidRDefault="004C4A5F" w:rsidP="00E56DB7">
      <w:pPr>
        <w:spacing w:line="360" w:lineRule="auto"/>
        <w:jc w:val="both"/>
        <w:rPr>
          <w:rFonts w:ascii="Palatino Linotype" w:eastAsia="Palatino Linotype" w:hAnsi="Palatino Linotype" w:cs="Palatino Linotype"/>
        </w:rPr>
      </w:pPr>
    </w:p>
    <w:p w14:paraId="5369C515" w14:textId="77777777" w:rsidR="00332264" w:rsidRDefault="00194D86"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w:t>
      </w:r>
      <w:r w:rsidR="008C1D85">
        <w:rPr>
          <w:rFonts w:ascii="Palatino Linotype" w:eastAsia="Palatino Linotype" w:hAnsi="Palatino Linotype" w:cs="Palatino Linotype"/>
        </w:rPr>
        <w:t xml:space="preserve">de manera enunciativa mas no limitativa </w:t>
      </w:r>
      <w:r w:rsidR="00332264">
        <w:rPr>
          <w:rFonts w:ascii="Palatino Linotype" w:eastAsia="Palatino Linotype" w:hAnsi="Palatino Linotype" w:cs="Palatino Linotype"/>
        </w:rPr>
        <w:t>de la documentación integrada a expedientes del</w:t>
      </w:r>
      <w:r w:rsidR="008C1D85">
        <w:rPr>
          <w:rFonts w:ascii="Palatino Linotype" w:eastAsia="Palatino Linotype" w:hAnsi="Palatino Linotype" w:cs="Palatino Linotype"/>
        </w:rPr>
        <w:t xml:space="preserve"> procedimiento de </w:t>
      </w:r>
      <w:r w:rsidR="00332264">
        <w:rPr>
          <w:rFonts w:ascii="Palatino Linotype" w:eastAsia="Palatino Linotype" w:hAnsi="Palatino Linotype" w:cs="Palatino Linotype"/>
        </w:rPr>
        <w:t>la</w:t>
      </w:r>
      <w:r w:rsidR="008C1D85">
        <w:rPr>
          <w:rFonts w:ascii="Palatino Linotype" w:eastAsia="Palatino Linotype" w:hAnsi="Palatino Linotype" w:cs="Palatino Linotype"/>
        </w:rPr>
        <w:t xml:space="preserve"> licitación </w:t>
      </w:r>
      <w:proofErr w:type="spellStart"/>
      <w:r w:rsidR="008C1D85">
        <w:rPr>
          <w:rFonts w:ascii="Palatino Linotype" w:eastAsia="Palatino Linotype" w:hAnsi="Palatino Linotype" w:cs="Palatino Linotype"/>
        </w:rPr>
        <w:t>publica</w:t>
      </w:r>
      <w:proofErr w:type="spellEnd"/>
      <w:r w:rsidR="008C1D85">
        <w:rPr>
          <w:rFonts w:ascii="Palatino Linotype" w:eastAsia="Palatino Linotype" w:hAnsi="Palatino Linotype" w:cs="Palatino Linotype"/>
        </w:rPr>
        <w:t>, invitación restringida o adjudicación</w:t>
      </w:r>
      <w:r w:rsidR="00332264">
        <w:rPr>
          <w:rFonts w:ascii="Palatino Linotype" w:eastAsia="Palatino Linotype" w:hAnsi="Palatino Linotype" w:cs="Palatino Linotype"/>
        </w:rPr>
        <w:t xml:space="preserve"> directa de la multicitada obra, de acuerdo la modalidad por la que se llevó a cabo la adjudicación y contratación de la obra, contiene la información requerida </w:t>
      </w:r>
      <w:r>
        <w:rPr>
          <w:rFonts w:ascii="Palatino Linotype" w:eastAsia="Palatino Linotype" w:hAnsi="Palatino Linotype" w:cs="Palatino Linotype"/>
        </w:rPr>
        <w:t>analizada</w:t>
      </w:r>
      <w:r w:rsidR="00332264">
        <w:rPr>
          <w:rFonts w:ascii="Palatino Linotype" w:eastAsia="Palatino Linotype" w:hAnsi="Palatino Linotype" w:cs="Palatino Linotype"/>
        </w:rPr>
        <w:t xml:space="preserve"> en los puntos descritos en este rubro, por lo que, atendiendo la naturaleza pública de la información </w:t>
      </w:r>
      <w:r>
        <w:rPr>
          <w:rFonts w:ascii="Palatino Linotype" w:eastAsia="Palatino Linotype" w:hAnsi="Palatino Linotype" w:cs="Palatino Linotype"/>
        </w:rPr>
        <w:t xml:space="preserve">solicitada por tratarse de información que los Sujetos Obligados deben poner a disposición de manera permanente y actualizada, </w:t>
      </w:r>
      <w:r w:rsidR="00A833BE">
        <w:rPr>
          <w:rFonts w:ascii="Palatino Linotype" w:eastAsia="Palatino Linotype" w:hAnsi="Palatino Linotype" w:cs="Palatino Linotype"/>
        </w:rPr>
        <w:t xml:space="preserve">el Pleno de este Instituto determina </w:t>
      </w:r>
      <w:r>
        <w:rPr>
          <w:rFonts w:ascii="Palatino Linotype" w:eastAsia="Palatino Linotype" w:hAnsi="Palatino Linotype" w:cs="Palatino Linotype"/>
        </w:rPr>
        <w:t xml:space="preserve"> procedente </w:t>
      </w:r>
      <w:r w:rsidR="00332264">
        <w:rPr>
          <w:rFonts w:ascii="Palatino Linotype" w:eastAsia="Palatino Linotype" w:hAnsi="Palatino Linotype" w:cs="Palatino Linotype"/>
        </w:rPr>
        <w:t xml:space="preserve">ordenar la documentación donde conste: </w:t>
      </w:r>
    </w:p>
    <w:p w14:paraId="1BBA9950" w14:textId="77777777" w:rsidR="00A833BE" w:rsidRDefault="00A833BE" w:rsidP="00E56DB7">
      <w:pPr>
        <w:spacing w:line="360" w:lineRule="auto"/>
        <w:jc w:val="both"/>
        <w:rPr>
          <w:rFonts w:ascii="Palatino Linotype" w:eastAsia="Palatino Linotype" w:hAnsi="Palatino Linotype" w:cs="Palatino Linotype"/>
        </w:rPr>
      </w:pPr>
    </w:p>
    <w:p w14:paraId="60984E01" w14:textId="77777777" w:rsidR="00332264" w:rsidRDefault="00332264"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1.- E</w:t>
      </w:r>
      <w:r w:rsidR="00194D86">
        <w:rPr>
          <w:rFonts w:ascii="Palatino Linotype" w:eastAsia="Palatino Linotype" w:hAnsi="Palatino Linotype" w:cs="Palatino Linotype"/>
        </w:rPr>
        <w:t>l presupuesto presentado por la o el concursante</w:t>
      </w:r>
      <w:r w:rsidRPr="00332264">
        <w:rPr>
          <w:rFonts w:ascii="Palatino Linotype" w:eastAsia="Palatino Linotype" w:hAnsi="Palatino Linotype" w:cs="Palatino Linotype"/>
        </w:rPr>
        <w:t xml:space="preserve"> con el so</w:t>
      </w:r>
      <w:r w:rsidR="00194D86">
        <w:rPr>
          <w:rFonts w:ascii="Palatino Linotype" w:eastAsia="Palatino Linotype" w:hAnsi="Palatino Linotype" w:cs="Palatino Linotype"/>
        </w:rPr>
        <w:t>porte de los</w:t>
      </w:r>
      <w:r>
        <w:rPr>
          <w:rFonts w:ascii="Palatino Linotype" w:eastAsia="Palatino Linotype" w:hAnsi="Palatino Linotype" w:cs="Palatino Linotype"/>
        </w:rPr>
        <w:t xml:space="preserve"> precios unitarios; </w:t>
      </w:r>
    </w:p>
    <w:p w14:paraId="4DF56231" w14:textId="77777777" w:rsidR="00332264" w:rsidRDefault="00332264" w:rsidP="00E56DB7">
      <w:pPr>
        <w:spacing w:line="360" w:lineRule="auto"/>
        <w:jc w:val="both"/>
        <w:rPr>
          <w:rFonts w:ascii="Palatino Linotype" w:eastAsia="Palatino Linotype" w:hAnsi="Palatino Linotype" w:cs="Palatino Linotype"/>
        </w:rPr>
      </w:pPr>
      <w:r w:rsidRPr="00332264">
        <w:rPr>
          <w:rFonts w:ascii="Palatino Linotype" w:eastAsia="Palatino Linotype" w:hAnsi="Palatino Linotype" w:cs="Palatino Linotype"/>
        </w:rPr>
        <w:t xml:space="preserve">2.- Descripción de la planeación </w:t>
      </w:r>
      <w:r w:rsidR="00F159F5">
        <w:rPr>
          <w:rFonts w:ascii="Palatino Linotype" w:eastAsia="Palatino Linotype" w:hAnsi="Palatino Linotype" w:cs="Palatino Linotype"/>
        </w:rPr>
        <w:t xml:space="preserve">presentada por el concursante </w:t>
      </w:r>
      <w:r w:rsidRPr="00332264">
        <w:rPr>
          <w:rFonts w:ascii="Palatino Linotype" w:eastAsia="Palatino Linotype" w:hAnsi="Palatino Linotype" w:cs="Palatino Linotype"/>
        </w:rPr>
        <w:t>para realizar los trabajos, incluyendo el procedimiento construc</w:t>
      </w:r>
      <w:r w:rsidR="00F159F5">
        <w:rPr>
          <w:rFonts w:ascii="Palatino Linotype" w:eastAsia="Palatino Linotype" w:hAnsi="Palatino Linotype" w:cs="Palatino Linotype"/>
        </w:rPr>
        <w:t>tivo de ejecución</w:t>
      </w:r>
      <w:r w:rsidRPr="00332264">
        <w:rPr>
          <w:rFonts w:ascii="Palatino Linotype" w:eastAsia="Palatino Linotype" w:hAnsi="Palatino Linotype" w:cs="Palatino Linotype"/>
        </w:rPr>
        <w:t xml:space="preserve">, en su caso, las restricciones técnicas o el documento que </w:t>
      </w:r>
      <w:r w:rsidR="00F159F5">
        <w:rPr>
          <w:rFonts w:ascii="Palatino Linotype" w:eastAsia="Palatino Linotype" w:hAnsi="Palatino Linotype" w:cs="Palatino Linotype"/>
        </w:rPr>
        <w:t xml:space="preserve">se </w:t>
      </w:r>
      <w:r w:rsidRPr="00332264">
        <w:rPr>
          <w:rFonts w:ascii="Palatino Linotype" w:eastAsia="Palatino Linotype" w:hAnsi="Palatino Linotype" w:cs="Palatino Linotype"/>
        </w:rPr>
        <w:t>ha</w:t>
      </w:r>
      <w:r w:rsidR="00F159F5">
        <w:rPr>
          <w:rFonts w:ascii="Palatino Linotype" w:eastAsia="Palatino Linotype" w:hAnsi="Palatino Linotype" w:cs="Palatino Linotype"/>
        </w:rPr>
        <w:t>ya</w:t>
      </w:r>
      <w:r w:rsidRPr="00332264">
        <w:rPr>
          <w:rFonts w:ascii="Palatino Linotype" w:eastAsia="Palatino Linotype" w:hAnsi="Palatino Linotype" w:cs="Palatino Linotype"/>
        </w:rPr>
        <w:t xml:space="preserve"> solici</w:t>
      </w:r>
      <w:r>
        <w:rPr>
          <w:rFonts w:ascii="Palatino Linotype" w:eastAsia="Palatino Linotype" w:hAnsi="Palatino Linotype" w:cs="Palatino Linotype"/>
        </w:rPr>
        <w:t>tado en las bases del concurso;</w:t>
      </w:r>
      <w:r w:rsidR="00F159F5">
        <w:rPr>
          <w:rFonts w:ascii="Palatino Linotype" w:eastAsia="Palatino Linotype" w:hAnsi="Palatino Linotype" w:cs="Palatino Linotype"/>
        </w:rPr>
        <w:t xml:space="preserve"> y, </w:t>
      </w:r>
    </w:p>
    <w:p w14:paraId="59C4C5DE" w14:textId="77777777" w:rsidR="008C1D85" w:rsidRDefault="00332264" w:rsidP="00E56DB7">
      <w:pPr>
        <w:spacing w:line="360" w:lineRule="auto"/>
        <w:jc w:val="both"/>
        <w:rPr>
          <w:rFonts w:ascii="Palatino Linotype" w:eastAsia="Palatino Linotype" w:hAnsi="Palatino Linotype" w:cs="Palatino Linotype"/>
        </w:rPr>
      </w:pPr>
      <w:r w:rsidRPr="00332264">
        <w:rPr>
          <w:rFonts w:ascii="Palatino Linotype" w:eastAsia="Palatino Linotype" w:hAnsi="Palatino Linotype" w:cs="Palatino Linotype"/>
        </w:rPr>
        <w:t xml:space="preserve">3.- </w:t>
      </w:r>
      <w:r>
        <w:rPr>
          <w:rFonts w:ascii="Palatino Linotype" w:eastAsia="Palatino Linotype" w:hAnsi="Palatino Linotype" w:cs="Palatino Linotype"/>
        </w:rPr>
        <w:t xml:space="preserve">El nombre del </w:t>
      </w:r>
      <w:r w:rsidRPr="00332264">
        <w:rPr>
          <w:rFonts w:ascii="Palatino Linotype" w:eastAsia="Palatino Linotype" w:hAnsi="Palatino Linotype" w:cs="Palatino Linotype"/>
        </w:rPr>
        <w:t xml:space="preserve">representante en la obra, que este a cargo de la vigilancia o residencia de obra </w:t>
      </w:r>
      <w:r>
        <w:rPr>
          <w:rFonts w:ascii="Palatino Linotype" w:eastAsia="Palatino Linotype" w:hAnsi="Palatino Linotype" w:cs="Palatino Linotype"/>
        </w:rPr>
        <w:t xml:space="preserve">y autorización de los trabajos; así como su </w:t>
      </w:r>
      <w:r w:rsidR="00A833BE" w:rsidRPr="00332264">
        <w:rPr>
          <w:rFonts w:ascii="Palatino Linotype" w:eastAsia="Palatino Linotype" w:hAnsi="Palatino Linotype" w:cs="Palatino Linotype"/>
        </w:rPr>
        <w:t>currículo</w:t>
      </w:r>
      <w:r w:rsidR="00A833BE">
        <w:rPr>
          <w:rFonts w:ascii="Palatino Linotype" w:eastAsia="Palatino Linotype" w:hAnsi="Palatino Linotype" w:cs="Palatino Linotype"/>
        </w:rPr>
        <w:t xml:space="preserve"> y cé</w:t>
      </w:r>
      <w:r w:rsidRPr="00332264">
        <w:rPr>
          <w:rFonts w:ascii="Palatino Linotype" w:eastAsia="Palatino Linotype" w:hAnsi="Palatino Linotype" w:cs="Palatino Linotype"/>
        </w:rPr>
        <w:t>dula profesional.</w:t>
      </w:r>
    </w:p>
    <w:p w14:paraId="6CE7CE35" w14:textId="77777777" w:rsidR="00332264" w:rsidRDefault="00332264" w:rsidP="00E56DB7">
      <w:pPr>
        <w:spacing w:line="360" w:lineRule="auto"/>
        <w:jc w:val="both"/>
        <w:rPr>
          <w:rFonts w:ascii="Palatino Linotype" w:eastAsia="Palatino Linotype" w:hAnsi="Palatino Linotype" w:cs="Palatino Linotype"/>
        </w:rPr>
      </w:pPr>
    </w:p>
    <w:p w14:paraId="13DEAB10" w14:textId="77777777" w:rsidR="00A833BE" w:rsidRPr="001E6606" w:rsidRDefault="00A833BE" w:rsidP="00E56DB7">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A833BE">
        <w:rPr>
          <w:rFonts w:ascii="Palatino Linotype" w:hAnsi="Palatino Linotype" w:cs="Arial"/>
        </w:rPr>
        <w:lastRenderedPageBreak/>
        <w:t xml:space="preserve">Finalmente, </w:t>
      </w:r>
      <w:r>
        <w:rPr>
          <w:rFonts w:ascii="Palatino Linotype" w:hAnsi="Palatino Linotype" w:cs="Arial"/>
        </w:rPr>
        <w:t xml:space="preserve">por cuanto hace </w:t>
      </w:r>
      <w:r w:rsidRPr="00A833BE">
        <w:rPr>
          <w:rFonts w:ascii="Palatino Linotype" w:hAnsi="Palatino Linotype" w:cs="Arial"/>
        </w:rPr>
        <w:t xml:space="preserve">a la información solicitada </w:t>
      </w:r>
      <w:r>
        <w:rPr>
          <w:rFonts w:ascii="Palatino Linotype" w:hAnsi="Palatino Linotype" w:cs="Arial"/>
        </w:rPr>
        <w:t>d</w:t>
      </w:r>
      <w:r>
        <w:rPr>
          <w:rFonts w:ascii="Palatino Linotype" w:eastAsia="Palatino Linotype" w:hAnsi="Palatino Linotype" w:cs="Palatino Linotype"/>
          <w:color w:val="000000"/>
        </w:rPr>
        <w:t xml:space="preserve">e la Contraloría Municipal, </w:t>
      </w:r>
      <w:r w:rsidRPr="001E6606">
        <w:rPr>
          <w:rFonts w:ascii="Palatino Linotype" w:eastAsia="Palatino Linotype" w:hAnsi="Palatino Linotype" w:cs="Palatino Linotype"/>
        </w:rPr>
        <w:t>referente a:</w:t>
      </w:r>
    </w:p>
    <w:p w14:paraId="60553630" w14:textId="77777777" w:rsidR="00A833BE" w:rsidRPr="001E6606" w:rsidRDefault="00A833BE" w:rsidP="00E56DB7">
      <w:pPr>
        <w:pStyle w:val="Prrafodelista"/>
        <w:numPr>
          <w:ilvl w:val="0"/>
          <w:numId w:val="20"/>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1E6606">
        <w:rPr>
          <w:rFonts w:ascii="Palatino Linotype" w:eastAsia="Palatino Linotype" w:hAnsi="Palatino Linotype" w:cs="Palatino Linotype"/>
        </w:rPr>
        <w:t xml:space="preserve">Nombre del testigo </w:t>
      </w:r>
      <w:proofErr w:type="gramStart"/>
      <w:r w:rsidRPr="001E6606">
        <w:rPr>
          <w:rFonts w:ascii="Palatino Linotype" w:eastAsia="Palatino Linotype" w:hAnsi="Palatino Linotype" w:cs="Palatino Linotype"/>
        </w:rPr>
        <w:t xml:space="preserve">social </w:t>
      </w:r>
      <w:r w:rsidR="00C37DC0" w:rsidRPr="001E6606">
        <w:rPr>
          <w:rFonts w:ascii="Palatino Linotype" w:eastAsia="Palatino Linotype" w:hAnsi="Palatino Linotype" w:cs="Palatino Linotype"/>
        </w:rPr>
        <w:t xml:space="preserve"> y</w:t>
      </w:r>
      <w:proofErr w:type="gramEnd"/>
      <w:r w:rsidR="00C37DC0" w:rsidRPr="001E6606">
        <w:rPr>
          <w:rFonts w:ascii="Palatino Linotype" w:eastAsia="Palatino Linotype" w:hAnsi="Palatino Linotype" w:cs="Palatino Linotype"/>
        </w:rPr>
        <w:t xml:space="preserve"> documento donde conste el proceso de elección</w:t>
      </w:r>
      <w:r w:rsidRPr="001E6606">
        <w:rPr>
          <w:rFonts w:ascii="Palatino Linotype" w:eastAsia="Palatino Linotype" w:hAnsi="Palatino Linotype" w:cs="Palatino Linotype"/>
        </w:rPr>
        <w:t>;</w:t>
      </w:r>
    </w:p>
    <w:p w14:paraId="400CC42D" w14:textId="77777777" w:rsidR="00A833BE" w:rsidRPr="001E6606" w:rsidRDefault="00996A09" w:rsidP="00E56DB7">
      <w:pPr>
        <w:pStyle w:val="Prrafodelista"/>
        <w:numPr>
          <w:ilvl w:val="0"/>
          <w:numId w:val="20"/>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1E6606">
        <w:rPr>
          <w:rFonts w:ascii="Palatino Linotype" w:eastAsia="Palatino Linotype" w:hAnsi="Palatino Linotype" w:cs="Palatino Linotype"/>
        </w:rPr>
        <w:t>Convocatoria para la integración del Comité de Vigilancia y el nombre de sus integrantes; y,</w:t>
      </w:r>
    </w:p>
    <w:p w14:paraId="44CECC09" w14:textId="77777777" w:rsidR="00A833BE" w:rsidRPr="001E6606" w:rsidRDefault="00233A29" w:rsidP="00E56DB7">
      <w:pPr>
        <w:pStyle w:val="Prrafodelista"/>
        <w:numPr>
          <w:ilvl w:val="0"/>
          <w:numId w:val="20"/>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1E6606">
        <w:rPr>
          <w:rFonts w:ascii="Palatino Linotype" w:eastAsia="Palatino Linotype" w:hAnsi="Palatino Linotype" w:cs="Palatino Linotype"/>
        </w:rPr>
        <w:t>Soporte documental que dé cuenta o en el que se advierta la participación de la Contraloría Municipal en la vigilancia de la calidad de la obra</w:t>
      </w:r>
      <w:r w:rsidR="00A833BE" w:rsidRPr="001E6606">
        <w:rPr>
          <w:rFonts w:ascii="Palatino Linotype" w:eastAsia="Palatino Linotype" w:hAnsi="Palatino Linotype" w:cs="Palatino Linotype"/>
        </w:rPr>
        <w:t>.</w:t>
      </w:r>
    </w:p>
    <w:p w14:paraId="4C765F5E" w14:textId="77777777" w:rsidR="005E4D44" w:rsidRDefault="00635D03" w:rsidP="00E56DB7">
      <w:pPr>
        <w:spacing w:before="240" w:after="240" w:line="360" w:lineRule="auto"/>
        <w:contextualSpacing/>
        <w:jc w:val="both"/>
        <w:rPr>
          <w:rFonts w:ascii="Palatino Linotype" w:hAnsi="Palatino Linotype" w:cs="Arial"/>
        </w:rPr>
      </w:pPr>
      <w:r>
        <w:rPr>
          <w:rFonts w:ascii="Palatino Linotype" w:hAnsi="Palatino Linotype" w:cs="Arial"/>
        </w:rPr>
        <w:t xml:space="preserve">Por cuanto hace a la documentación requerida a la Contraloría Interna Municipal </w:t>
      </w:r>
      <w:r w:rsidR="003504DC">
        <w:rPr>
          <w:rFonts w:ascii="Palatino Linotype" w:hAnsi="Palatino Linotype" w:cs="Arial"/>
        </w:rPr>
        <w:t xml:space="preserve">relativa al nombre del testigo social y documento donde conste el proceso de elección del mismo, </w:t>
      </w:r>
      <w:r w:rsidR="005E4D44">
        <w:rPr>
          <w:rFonts w:ascii="Palatino Linotype" w:hAnsi="Palatino Linotype" w:cs="Arial"/>
        </w:rPr>
        <w:t>los</w:t>
      </w:r>
      <w:r w:rsidR="005E4D44" w:rsidRPr="005E4D44">
        <w:rPr>
          <w:rFonts w:ascii="Palatino Linotype" w:hAnsi="Palatino Linotype" w:cs="Arial"/>
        </w:rPr>
        <w:t xml:space="preserve"> artículo</w:t>
      </w:r>
      <w:r w:rsidR="005E4D44">
        <w:rPr>
          <w:rFonts w:ascii="Palatino Linotype" w:hAnsi="Palatino Linotype" w:cs="Arial"/>
        </w:rPr>
        <w:t>s</w:t>
      </w:r>
      <w:r w:rsidR="005E4D44" w:rsidRPr="005E4D44">
        <w:rPr>
          <w:rFonts w:ascii="Palatino Linotype" w:hAnsi="Palatino Linotype" w:cs="Arial"/>
        </w:rPr>
        <w:t xml:space="preserve"> 1.42</w:t>
      </w:r>
      <w:r w:rsidR="005E4D44">
        <w:rPr>
          <w:rFonts w:ascii="Palatino Linotype" w:hAnsi="Palatino Linotype" w:cs="Arial"/>
        </w:rPr>
        <w:t>, 1.43, 1.44, y 1.45</w:t>
      </w:r>
      <w:r w:rsidR="005E4D44" w:rsidRPr="005E4D44">
        <w:rPr>
          <w:rFonts w:ascii="Palatino Linotype" w:hAnsi="Palatino Linotype" w:cs="Arial"/>
        </w:rPr>
        <w:t xml:space="preserve"> del Código Administrativo del Estado de México, establece</w:t>
      </w:r>
      <w:r w:rsidR="005E4D44">
        <w:rPr>
          <w:rFonts w:ascii="Palatino Linotype" w:hAnsi="Palatino Linotype" w:cs="Arial"/>
        </w:rPr>
        <w:t xml:space="preserve">n: </w:t>
      </w:r>
    </w:p>
    <w:p w14:paraId="74357AC7" w14:textId="77777777" w:rsidR="005E4D44" w:rsidRDefault="005E4D44" w:rsidP="00E56DB7">
      <w:pPr>
        <w:spacing w:before="240" w:after="240" w:line="360" w:lineRule="auto"/>
        <w:contextualSpacing/>
        <w:jc w:val="both"/>
        <w:rPr>
          <w:rFonts w:ascii="Palatino Linotype" w:hAnsi="Palatino Linotype" w:cs="Arial"/>
        </w:rPr>
      </w:pPr>
    </w:p>
    <w:p w14:paraId="42B41822"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b/>
          <w:i/>
          <w:sz w:val="22"/>
          <w:szCs w:val="22"/>
        </w:rPr>
        <w:t>Artículo 1.42.-</w:t>
      </w:r>
      <w:r w:rsidRPr="005E4D44">
        <w:rPr>
          <w:rFonts w:ascii="Palatino Linotype" w:hAnsi="Palatino Linotype"/>
          <w:i/>
          <w:sz w:val="22"/>
          <w:szCs w:val="22"/>
        </w:rPr>
        <w:t xml:space="preserve"> </w:t>
      </w:r>
      <w:r w:rsidRPr="005E4D44">
        <w:rPr>
          <w:rFonts w:ascii="Palatino Linotype" w:hAnsi="Palatino Linotype"/>
          <w:b/>
          <w:i/>
          <w:sz w:val="22"/>
          <w:szCs w:val="22"/>
        </w:rPr>
        <w:t>El Testigo Social</w:t>
      </w:r>
      <w:r w:rsidRPr="005E4D44">
        <w:rPr>
          <w:rFonts w:ascii="Palatino Linotype" w:hAnsi="Palatino Linotype"/>
          <w:i/>
          <w:sz w:val="22"/>
          <w:szCs w:val="22"/>
        </w:rPr>
        <w:t xml:space="preserve"> es un mecanismo de participación ciudadana, por medio del cual se involucra a la sociedad civil en los procedimientos de contratación pública relevantes; procedimientos en los que por su complejidad, impacto o monto de recursos requieren una atención especial, para minimizar riesgos de opacidad y corrupción. </w:t>
      </w:r>
    </w:p>
    <w:p w14:paraId="120EA34D"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i/>
          <w:sz w:val="22"/>
          <w:szCs w:val="22"/>
        </w:rPr>
        <w:t xml:space="preserve">En los casos en los que participe un Testigo Social se informará sobre su participación y el objetivo de ésta desde las bases de licitación. </w:t>
      </w:r>
    </w:p>
    <w:p w14:paraId="569B775F"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p>
    <w:p w14:paraId="253F4C68"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b/>
          <w:i/>
          <w:sz w:val="22"/>
          <w:szCs w:val="22"/>
        </w:rPr>
        <w:t>Artículo 1.43.-</w:t>
      </w:r>
      <w:r w:rsidRPr="005E4D44">
        <w:rPr>
          <w:rFonts w:ascii="Palatino Linotype" w:hAnsi="Palatino Linotype"/>
          <w:i/>
          <w:sz w:val="22"/>
          <w:szCs w:val="22"/>
        </w:rPr>
        <w:t xml:space="preserve"> Testigo Social es aquella </w:t>
      </w:r>
      <w:r w:rsidRPr="005E4D44">
        <w:rPr>
          <w:rFonts w:ascii="Palatino Linotype" w:hAnsi="Palatino Linotype"/>
          <w:b/>
          <w:i/>
          <w:sz w:val="22"/>
          <w:szCs w:val="22"/>
        </w:rPr>
        <w:t>persona física o moral que como representante de la sociedad civil participa en las contrataciones que llevan a cabo</w:t>
      </w:r>
      <w:r w:rsidRPr="005E4D44">
        <w:rPr>
          <w:rFonts w:ascii="Palatino Linotype" w:hAnsi="Palatino Linotype"/>
          <w:i/>
          <w:sz w:val="22"/>
          <w:szCs w:val="22"/>
        </w:rPr>
        <w:t xml:space="preserve">: </w:t>
      </w:r>
    </w:p>
    <w:p w14:paraId="086303E8"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i/>
          <w:sz w:val="22"/>
          <w:szCs w:val="22"/>
        </w:rPr>
        <w:t xml:space="preserve">I. Las Secretarías y Unidades Administrativas del Poder Ejecutivo del Estado; </w:t>
      </w:r>
    </w:p>
    <w:p w14:paraId="599991C1"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i/>
          <w:sz w:val="22"/>
          <w:szCs w:val="22"/>
        </w:rPr>
        <w:t xml:space="preserve">II. La Procuraduría General de Justicia del Estado de México; </w:t>
      </w:r>
    </w:p>
    <w:p w14:paraId="737974F9" w14:textId="77777777" w:rsidR="005E4D44" w:rsidRPr="005E4D44" w:rsidRDefault="005E4D44" w:rsidP="00E56DB7">
      <w:pPr>
        <w:spacing w:before="240" w:after="240" w:line="276" w:lineRule="auto"/>
        <w:ind w:left="709" w:right="616"/>
        <w:contextualSpacing/>
        <w:jc w:val="both"/>
        <w:rPr>
          <w:rFonts w:ascii="Palatino Linotype" w:hAnsi="Palatino Linotype"/>
          <w:b/>
          <w:i/>
          <w:sz w:val="22"/>
          <w:szCs w:val="22"/>
          <w:u w:val="single"/>
        </w:rPr>
      </w:pPr>
      <w:r w:rsidRPr="005E4D44">
        <w:rPr>
          <w:rFonts w:ascii="Palatino Linotype" w:hAnsi="Palatino Linotype"/>
          <w:b/>
          <w:i/>
          <w:sz w:val="22"/>
          <w:szCs w:val="22"/>
          <w:u w:val="single"/>
        </w:rPr>
        <w:t xml:space="preserve">III. Los Ayuntamientos; </w:t>
      </w:r>
    </w:p>
    <w:p w14:paraId="158968D3"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i/>
          <w:sz w:val="22"/>
          <w:szCs w:val="22"/>
        </w:rPr>
        <w:t xml:space="preserve">IV. Los Organismos Auxiliares del Estado y municipios; y </w:t>
      </w:r>
    </w:p>
    <w:p w14:paraId="53871D93" w14:textId="77777777" w:rsidR="005E4D44"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i/>
          <w:sz w:val="22"/>
          <w:szCs w:val="22"/>
        </w:rPr>
        <w:lastRenderedPageBreak/>
        <w:t xml:space="preserve">V. Los Tribunales Administrativos. Los poderes Legislativo y Judicial, así como los Organismos Autónomos, aplicarán los procedimientos previstos para la participación del Testigo Social, en todo lo que no se oponga a los ordenamientos legales que los regulan. </w:t>
      </w:r>
    </w:p>
    <w:p w14:paraId="01866FB7" w14:textId="77777777" w:rsidR="00CD5677" w:rsidRDefault="00CD5677" w:rsidP="00E56DB7">
      <w:pPr>
        <w:spacing w:before="240" w:after="240" w:line="276" w:lineRule="auto"/>
        <w:ind w:left="709" w:right="616"/>
        <w:contextualSpacing/>
        <w:jc w:val="both"/>
        <w:rPr>
          <w:rFonts w:ascii="Palatino Linotype" w:hAnsi="Palatino Linotype"/>
          <w:i/>
          <w:sz w:val="22"/>
          <w:szCs w:val="22"/>
        </w:rPr>
      </w:pPr>
    </w:p>
    <w:p w14:paraId="1D7874C2" w14:textId="77777777" w:rsidR="00CD5677" w:rsidRDefault="005E4D44" w:rsidP="00E56DB7">
      <w:pPr>
        <w:spacing w:before="240" w:after="240" w:line="276" w:lineRule="auto"/>
        <w:ind w:left="709" w:right="616"/>
        <w:contextualSpacing/>
        <w:jc w:val="both"/>
        <w:rPr>
          <w:rFonts w:ascii="Palatino Linotype" w:hAnsi="Palatino Linotype"/>
          <w:b/>
          <w:i/>
          <w:sz w:val="22"/>
          <w:szCs w:val="22"/>
        </w:rPr>
      </w:pPr>
      <w:r w:rsidRPr="00CD5677">
        <w:rPr>
          <w:rFonts w:ascii="Palatino Linotype" w:hAnsi="Palatino Linotype"/>
          <w:b/>
          <w:i/>
          <w:sz w:val="22"/>
          <w:szCs w:val="22"/>
        </w:rPr>
        <w:t>Artículo 1.44</w:t>
      </w:r>
      <w:r w:rsidRPr="005E4D44">
        <w:rPr>
          <w:rFonts w:ascii="Palatino Linotype" w:hAnsi="Palatino Linotype"/>
          <w:i/>
          <w:sz w:val="22"/>
          <w:szCs w:val="22"/>
        </w:rPr>
        <w:t xml:space="preserve">.- El Testigo Social </w:t>
      </w:r>
      <w:r w:rsidRPr="00CD5677">
        <w:rPr>
          <w:rFonts w:ascii="Palatino Linotype" w:hAnsi="Palatino Linotype"/>
          <w:i/>
          <w:sz w:val="22"/>
          <w:szCs w:val="22"/>
        </w:rPr>
        <w:t>tiene derecho a voz en los procedimientos de contratación pública</w:t>
      </w:r>
      <w:r w:rsidRPr="005E4D44">
        <w:rPr>
          <w:rFonts w:ascii="Palatino Linotype" w:hAnsi="Palatino Linotype"/>
          <w:i/>
          <w:sz w:val="22"/>
          <w:szCs w:val="22"/>
        </w:rPr>
        <w:t xml:space="preserve"> en los que participe y </w:t>
      </w:r>
      <w:r w:rsidRPr="00CD5677">
        <w:rPr>
          <w:rFonts w:ascii="Palatino Linotype" w:hAnsi="Palatino Linotype"/>
          <w:b/>
          <w:i/>
          <w:sz w:val="22"/>
          <w:szCs w:val="22"/>
        </w:rPr>
        <w:t xml:space="preserve">deberá emitir su testimonio al término de su participación. </w:t>
      </w:r>
    </w:p>
    <w:p w14:paraId="3123EF93" w14:textId="77777777" w:rsidR="00CD5677" w:rsidRPr="00CD5677" w:rsidRDefault="00CD5677" w:rsidP="00E56DB7">
      <w:pPr>
        <w:spacing w:before="240" w:after="240" w:line="276" w:lineRule="auto"/>
        <w:ind w:left="709" w:right="616"/>
        <w:contextualSpacing/>
        <w:jc w:val="both"/>
        <w:rPr>
          <w:rFonts w:ascii="Palatino Linotype" w:hAnsi="Palatino Linotype"/>
          <w:b/>
          <w:i/>
          <w:sz w:val="22"/>
          <w:szCs w:val="22"/>
        </w:rPr>
      </w:pPr>
    </w:p>
    <w:p w14:paraId="4AAAA91D" w14:textId="77777777" w:rsidR="00CD5677" w:rsidRDefault="005E4D44" w:rsidP="00E56DB7">
      <w:pPr>
        <w:spacing w:before="240" w:after="240" w:line="276" w:lineRule="auto"/>
        <w:ind w:left="709" w:right="616"/>
        <w:contextualSpacing/>
        <w:jc w:val="both"/>
        <w:rPr>
          <w:rFonts w:ascii="Palatino Linotype" w:hAnsi="Palatino Linotype"/>
          <w:i/>
          <w:sz w:val="22"/>
          <w:szCs w:val="22"/>
        </w:rPr>
      </w:pPr>
      <w:r w:rsidRPr="005E4D44">
        <w:rPr>
          <w:rFonts w:ascii="Palatino Linotype" w:hAnsi="Palatino Linotype"/>
          <w:i/>
          <w:sz w:val="22"/>
          <w:szCs w:val="22"/>
        </w:rPr>
        <w:t xml:space="preserve">Artículo 1.45.- </w:t>
      </w:r>
      <w:r w:rsidRPr="00CD5677">
        <w:rPr>
          <w:rFonts w:ascii="Palatino Linotype" w:hAnsi="Palatino Linotype"/>
          <w:b/>
          <w:i/>
          <w:sz w:val="22"/>
          <w:szCs w:val="22"/>
          <w:u w:val="single"/>
        </w:rPr>
        <w:t>El testimonio que emita el Testigo Social</w:t>
      </w:r>
      <w:r w:rsidRPr="005E4D44">
        <w:rPr>
          <w:rFonts w:ascii="Palatino Linotype" w:hAnsi="Palatino Linotype"/>
          <w:i/>
          <w:sz w:val="22"/>
          <w:szCs w:val="22"/>
        </w:rPr>
        <w:t xml:space="preserve"> versará </w:t>
      </w:r>
      <w:r w:rsidRPr="00CD5677">
        <w:rPr>
          <w:rFonts w:ascii="Palatino Linotype" w:hAnsi="Palatino Linotype"/>
          <w:b/>
          <w:i/>
          <w:sz w:val="22"/>
          <w:szCs w:val="22"/>
        </w:rPr>
        <w:t>sobre el desarrollo de las etapas del procedimiento de contratación correspondiente</w:t>
      </w:r>
      <w:r w:rsidRPr="005E4D44">
        <w:rPr>
          <w:rFonts w:ascii="Palatino Linotype" w:hAnsi="Palatino Linotype"/>
          <w:i/>
          <w:sz w:val="22"/>
          <w:szCs w:val="22"/>
        </w:rPr>
        <w:t xml:space="preserve"> y en caso de irregularidades deberá de notificar de inmediato a la Secretaría de la Contraloría. </w:t>
      </w:r>
    </w:p>
    <w:p w14:paraId="1026A367" w14:textId="77777777" w:rsidR="00CD5677" w:rsidRDefault="005E4D44" w:rsidP="00E56DB7">
      <w:pPr>
        <w:spacing w:before="240" w:after="240" w:line="276" w:lineRule="auto"/>
        <w:ind w:left="709" w:right="616"/>
        <w:contextualSpacing/>
        <w:jc w:val="both"/>
        <w:rPr>
          <w:rFonts w:ascii="Palatino Linotype" w:hAnsi="Palatino Linotype"/>
          <w:i/>
          <w:sz w:val="22"/>
          <w:szCs w:val="22"/>
        </w:rPr>
      </w:pPr>
      <w:r w:rsidRPr="00CD5677">
        <w:rPr>
          <w:rFonts w:ascii="Palatino Linotype" w:hAnsi="Palatino Linotype"/>
          <w:b/>
          <w:i/>
          <w:sz w:val="22"/>
          <w:szCs w:val="22"/>
        </w:rPr>
        <w:t>En los casos de los Ayuntamientos</w:t>
      </w:r>
      <w:r w:rsidRPr="005E4D44">
        <w:rPr>
          <w:rFonts w:ascii="Palatino Linotype" w:hAnsi="Palatino Linotype"/>
          <w:i/>
          <w:sz w:val="22"/>
          <w:szCs w:val="22"/>
        </w:rPr>
        <w:t xml:space="preserve">, sus organismos auxiliares, y los Tribunales Administrativos; dicha notificación </w:t>
      </w:r>
      <w:r w:rsidRPr="00CD5677">
        <w:rPr>
          <w:rFonts w:ascii="Palatino Linotype" w:hAnsi="Palatino Linotype"/>
          <w:b/>
          <w:i/>
          <w:sz w:val="22"/>
          <w:szCs w:val="22"/>
          <w:u w:val="single"/>
        </w:rPr>
        <w:t>deberá realizarse ante los Órganos de Control</w:t>
      </w:r>
      <w:r w:rsidRPr="005E4D44">
        <w:rPr>
          <w:rFonts w:ascii="Palatino Linotype" w:hAnsi="Palatino Linotype"/>
          <w:i/>
          <w:sz w:val="22"/>
          <w:szCs w:val="22"/>
        </w:rPr>
        <w:t xml:space="preserve"> correspondientes. </w:t>
      </w:r>
    </w:p>
    <w:p w14:paraId="35576AC1" w14:textId="77777777" w:rsidR="00CD5677" w:rsidRDefault="00CD5677" w:rsidP="00E56DB7">
      <w:pPr>
        <w:spacing w:before="240" w:after="240" w:line="276" w:lineRule="auto"/>
        <w:ind w:left="709" w:right="616"/>
        <w:contextualSpacing/>
        <w:jc w:val="both"/>
        <w:rPr>
          <w:rFonts w:ascii="Palatino Linotype" w:hAnsi="Palatino Linotype"/>
          <w:i/>
          <w:sz w:val="22"/>
          <w:szCs w:val="22"/>
        </w:rPr>
      </w:pPr>
    </w:p>
    <w:p w14:paraId="75A73AC3" w14:textId="77777777" w:rsidR="005E4D44" w:rsidRPr="005E4D44" w:rsidRDefault="005E4D44" w:rsidP="00E56DB7">
      <w:pPr>
        <w:spacing w:before="240" w:after="240" w:line="276" w:lineRule="auto"/>
        <w:ind w:left="709" w:right="616"/>
        <w:contextualSpacing/>
        <w:jc w:val="both"/>
        <w:rPr>
          <w:rFonts w:ascii="Palatino Linotype" w:hAnsi="Palatino Linotype" w:cs="Arial"/>
          <w:i/>
          <w:sz w:val="22"/>
          <w:szCs w:val="22"/>
        </w:rPr>
      </w:pPr>
      <w:r w:rsidRPr="005E4D44">
        <w:rPr>
          <w:rFonts w:ascii="Palatino Linotype" w:hAnsi="Palatino Linotype"/>
          <w:i/>
          <w:sz w:val="22"/>
          <w:szCs w:val="22"/>
        </w:rPr>
        <w:t xml:space="preserve">Artículo 1.46.- Las unidades administrativas mencionadas en el artículo 1.43 </w:t>
      </w:r>
      <w:r w:rsidRPr="00CD5677">
        <w:rPr>
          <w:rFonts w:ascii="Palatino Linotype" w:hAnsi="Palatino Linotype"/>
          <w:b/>
          <w:i/>
          <w:sz w:val="22"/>
          <w:szCs w:val="22"/>
          <w:u w:val="single"/>
        </w:rPr>
        <w:t xml:space="preserve">podrán solicitar la participación de los Testigos Sociales en los procedimientos de contratación que estimen convenientes </w:t>
      </w:r>
      <w:r w:rsidRPr="005E4D44">
        <w:rPr>
          <w:rFonts w:ascii="Palatino Linotype" w:hAnsi="Palatino Linotype"/>
          <w:i/>
          <w:sz w:val="22"/>
          <w:szCs w:val="22"/>
        </w:rPr>
        <w:t>de acuerdo con los criterios y disposiciones establecidos en el presente título.</w:t>
      </w:r>
    </w:p>
    <w:p w14:paraId="2B864413" w14:textId="77777777" w:rsidR="005E4D44" w:rsidRDefault="005E4D44" w:rsidP="00E56DB7">
      <w:pPr>
        <w:spacing w:before="240" w:after="240" w:line="360" w:lineRule="auto"/>
        <w:contextualSpacing/>
        <w:jc w:val="both"/>
        <w:rPr>
          <w:rFonts w:ascii="Palatino Linotype" w:hAnsi="Palatino Linotype" w:cs="Arial"/>
        </w:rPr>
      </w:pPr>
    </w:p>
    <w:p w14:paraId="58EE62D8" w14:textId="77777777" w:rsidR="005E4D44" w:rsidRDefault="00CD5677" w:rsidP="00E56DB7">
      <w:pPr>
        <w:spacing w:before="240" w:after="240" w:line="360" w:lineRule="auto"/>
        <w:contextualSpacing/>
        <w:jc w:val="both"/>
        <w:rPr>
          <w:rFonts w:ascii="Palatino Linotype" w:hAnsi="Palatino Linotype" w:cs="Arial"/>
        </w:rPr>
      </w:pPr>
      <w:r>
        <w:rPr>
          <w:rFonts w:ascii="Palatino Linotype" w:hAnsi="Palatino Linotype" w:cs="Arial"/>
        </w:rPr>
        <w:t>Es así que, de los preceptos normativos citados, se tiene que el</w:t>
      </w:r>
      <w:r w:rsidR="005E4D44" w:rsidRPr="005E4D44">
        <w:rPr>
          <w:rFonts w:ascii="Palatino Linotype" w:hAnsi="Palatino Linotype" w:cs="Arial"/>
        </w:rPr>
        <w:t xml:space="preserve"> Testigo Social</w:t>
      </w:r>
      <w:r>
        <w:rPr>
          <w:rFonts w:ascii="Palatino Linotype" w:hAnsi="Palatino Linotype" w:cs="Arial"/>
        </w:rPr>
        <w:t xml:space="preserve"> es la persona física o jurídica colectiva representante de la sociedad civil que </w:t>
      </w:r>
      <w:r w:rsidRPr="005E4D44">
        <w:rPr>
          <w:rFonts w:ascii="Palatino Linotype" w:hAnsi="Palatino Linotype" w:cs="Arial"/>
        </w:rPr>
        <w:t>participa con el objeto de coadyuvar para que la conducción de los procedimie</w:t>
      </w:r>
      <w:r>
        <w:rPr>
          <w:rFonts w:ascii="Palatino Linotype" w:hAnsi="Palatino Linotype" w:cs="Arial"/>
        </w:rPr>
        <w:t xml:space="preserve">ntos de contratación se realicen </w:t>
      </w:r>
      <w:r w:rsidRPr="005E4D44">
        <w:rPr>
          <w:rFonts w:ascii="Palatino Linotype" w:hAnsi="Palatino Linotype" w:cs="Arial"/>
        </w:rPr>
        <w:t>en términos de legalidad y transparencia</w:t>
      </w:r>
      <w:r w:rsidR="005E4D44" w:rsidRPr="005E4D44">
        <w:rPr>
          <w:rFonts w:ascii="Palatino Linotype" w:hAnsi="Palatino Linotype" w:cs="Arial"/>
        </w:rPr>
        <w:t xml:space="preserve">; </w:t>
      </w:r>
      <w:r>
        <w:rPr>
          <w:rFonts w:ascii="Palatino Linotype" w:hAnsi="Palatino Linotype" w:cs="Arial"/>
        </w:rPr>
        <w:t>que de acuerdo a su</w:t>
      </w:r>
      <w:r w:rsidR="005E4D44" w:rsidRPr="005E4D44">
        <w:rPr>
          <w:rFonts w:ascii="Palatino Linotype" w:hAnsi="Palatino Linotype" w:cs="Arial"/>
        </w:rPr>
        <w:t xml:space="preserve"> complejidad, impacto o monto de recursos requieren una atención especial, para minimizar ri</w:t>
      </w:r>
      <w:r>
        <w:rPr>
          <w:rFonts w:ascii="Palatino Linotype" w:hAnsi="Palatino Linotype" w:cs="Arial"/>
        </w:rPr>
        <w:t xml:space="preserve">esgos de opacidad y corrupción; cuya participación podrá solicitarse por el Ayuntamiento en los procesos de contratación que así estime conveniente. </w:t>
      </w:r>
    </w:p>
    <w:p w14:paraId="4C52DF6B" w14:textId="77777777" w:rsidR="005E4D44" w:rsidRDefault="005E4D44" w:rsidP="00E56DB7">
      <w:pPr>
        <w:spacing w:before="240" w:after="240" w:line="360" w:lineRule="auto"/>
        <w:contextualSpacing/>
        <w:jc w:val="both"/>
        <w:rPr>
          <w:rFonts w:ascii="Palatino Linotype" w:hAnsi="Palatino Linotype" w:cs="Arial"/>
        </w:rPr>
      </w:pPr>
    </w:p>
    <w:p w14:paraId="2251FBBE" w14:textId="77777777" w:rsidR="00C2769B" w:rsidRDefault="00CD5677" w:rsidP="00E56DB7">
      <w:pPr>
        <w:spacing w:before="240" w:after="240" w:line="360" w:lineRule="auto"/>
        <w:contextualSpacing/>
        <w:jc w:val="both"/>
        <w:rPr>
          <w:rFonts w:ascii="Palatino Linotype" w:hAnsi="Palatino Linotype" w:cs="Arial"/>
        </w:rPr>
      </w:pPr>
      <w:r>
        <w:rPr>
          <w:rFonts w:ascii="Palatino Linotype" w:hAnsi="Palatino Linotype" w:cs="Arial"/>
        </w:rPr>
        <w:lastRenderedPageBreak/>
        <w:t>Es oportuno referir que p</w:t>
      </w:r>
      <w:r w:rsidR="005E4D44" w:rsidRPr="005E4D44">
        <w:rPr>
          <w:rFonts w:ascii="Palatino Linotype" w:hAnsi="Palatino Linotype" w:cs="Arial"/>
        </w:rPr>
        <w:t xml:space="preserve">ara ser testigo social se requiere del registro correspondiente </w:t>
      </w:r>
      <w:r w:rsidR="00C2769B">
        <w:rPr>
          <w:rFonts w:ascii="Palatino Linotype" w:hAnsi="Palatino Linotype" w:cs="Arial"/>
        </w:rPr>
        <w:t xml:space="preserve">otorgado por la Universidad Autónoma del Estado de México y el Instituto de </w:t>
      </w:r>
      <w:r w:rsidR="00C2769B" w:rsidRPr="00C2769B">
        <w:rPr>
          <w:rFonts w:ascii="Palatino Linotype" w:hAnsi="Palatino Linotype" w:cs="Arial"/>
        </w:rPr>
        <w:t>Transparencia y Acce</w:t>
      </w:r>
      <w:r w:rsidR="00C2769B">
        <w:rPr>
          <w:rFonts w:ascii="Palatino Linotype" w:hAnsi="Palatino Linotype" w:cs="Arial"/>
        </w:rPr>
        <w:t xml:space="preserve">so a la Información Pública del </w:t>
      </w:r>
      <w:r w:rsidR="00C2769B" w:rsidRPr="00C2769B">
        <w:rPr>
          <w:rFonts w:ascii="Palatino Linotype" w:hAnsi="Palatino Linotype" w:cs="Arial"/>
        </w:rPr>
        <w:t xml:space="preserve">Estado de México y Municipios </w:t>
      </w:r>
      <w:r w:rsidR="00C2769B">
        <w:rPr>
          <w:rFonts w:ascii="Palatino Linotype" w:hAnsi="Palatino Linotype" w:cs="Arial"/>
        </w:rPr>
        <w:t xml:space="preserve">de conformidad con lo dispuesto en el artículo 1.49 del Código Administrativo que es del tenor literal siguiente: </w:t>
      </w:r>
    </w:p>
    <w:p w14:paraId="3E3362C5" w14:textId="77777777" w:rsidR="00C2769B" w:rsidRDefault="00C2769B" w:rsidP="00E56DB7">
      <w:pPr>
        <w:spacing w:before="240" w:after="240" w:line="360" w:lineRule="auto"/>
        <w:contextualSpacing/>
        <w:jc w:val="both"/>
        <w:rPr>
          <w:rFonts w:ascii="Palatino Linotype" w:hAnsi="Palatino Linotype" w:cs="Arial"/>
        </w:rPr>
      </w:pPr>
    </w:p>
    <w:p w14:paraId="5460E2A0" w14:textId="77777777" w:rsidR="00C2769B" w:rsidRDefault="00C2769B" w:rsidP="00E56DB7">
      <w:pPr>
        <w:spacing w:before="240" w:after="240" w:line="276" w:lineRule="auto"/>
        <w:ind w:left="851" w:right="616"/>
        <w:contextualSpacing/>
        <w:jc w:val="both"/>
        <w:rPr>
          <w:rFonts w:ascii="Palatino Linotype" w:hAnsi="Palatino Linotype"/>
          <w:i/>
          <w:sz w:val="22"/>
          <w:szCs w:val="22"/>
        </w:rPr>
      </w:pPr>
      <w:r w:rsidRPr="00C2769B">
        <w:rPr>
          <w:rFonts w:ascii="Palatino Linotype" w:hAnsi="Palatino Linotype"/>
          <w:i/>
          <w:sz w:val="22"/>
          <w:szCs w:val="22"/>
        </w:rPr>
        <w:t xml:space="preserve">Artículo 1.49.- Para ser testigo social se requiere del registro correspondiente otorgado conjuntamente por la Universidad Autónoma del Estado de México y el Instituto de Transparencia y Acceso a la Información Pública del Estado de México y Municipios, con base en el dictamen emitido por el Comité de Registro de Testigos Sociales que se integrará para tal fin, y que se regulará a través de los lineamientos que al efecto expidan estas instituciones. </w:t>
      </w:r>
    </w:p>
    <w:p w14:paraId="23E303C5" w14:textId="77777777" w:rsidR="00C2769B" w:rsidRDefault="00C2769B" w:rsidP="00E56DB7">
      <w:pPr>
        <w:spacing w:before="240" w:after="240" w:line="276" w:lineRule="auto"/>
        <w:ind w:left="851" w:right="616"/>
        <w:contextualSpacing/>
        <w:jc w:val="both"/>
        <w:rPr>
          <w:rFonts w:ascii="Palatino Linotype" w:hAnsi="Palatino Linotype"/>
          <w:i/>
          <w:sz w:val="22"/>
          <w:szCs w:val="22"/>
        </w:rPr>
      </w:pPr>
      <w:r w:rsidRPr="00C2769B">
        <w:rPr>
          <w:rFonts w:ascii="Palatino Linotype" w:hAnsi="Palatino Linotype"/>
          <w:i/>
          <w:sz w:val="22"/>
          <w:szCs w:val="22"/>
        </w:rPr>
        <w:t xml:space="preserve">La Universidad Autónoma del Estado de México y el Instituto de Transparencia y Acceso a la Información Pública del Estado de México y Municipios, mantendrán una lista actualizada de los Testigos Sociales registrados y la harán pública en sus respectivos portales de internet. </w:t>
      </w:r>
    </w:p>
    <w:p w14:paraId="571468C4" w14:textId="77777777" w:rsidR="00C2769B" w:rsidRPr="00C2769B" w:rsidRDefault="00C2769B" w:rsidP="00E56DB7">
      <w:pPr>
        <w:spacing w:before="240" w:after="240" w:line="276" w:lineRule="auto"/>
        <w:ind w:left="851" w:right="616"/>
        <w:contextualSpacing/>
        <w:jc w:val="both"/>
        <w:rPr>
          <w:rFonts w:ascii="Palatino Linotype" w:hAnsi="Palatino Linotype"/>
          <w:i/>
          <w:sz w:val="22"/>
          <w:szCs w:val="22"/>
        </w:rPr>
      </w:pPr>
      <w:r w:rsidRPr="00C2769B">
        <w:rPr>
          <w:rFonts w:ascii="Palatino Linotype" w:hAnsi="Palatino Linotype"/>
          <w:i/>
          <w:sz w:val="22"/>
          <w:szCs w:val="22"/>
        </w:rPr>
        <w:t>De la misma manera se publicará y actualizará una lista de los Testigos Sociales que hayan perdido su registro</w:t>
      </w:r>
    </w:p>
    <w:p w14:paraId="45041CFE" w14:textId="77777777" w:rsidR="00C2769B" w:rsidRDefault="00C2769B" w:rsidP="00E56DB7">
      <w:pPr>
        <w:spacing w:before="240" w:after="240" w:line="360" w:lineRule="auto"/>
        <w:contextualSpacing/>
        <w:jc w:val="both"/>
        <w:rPr>
          <w:rFonts w:ascii="Palatino Linotype" w:hAnsi="Palatino Linotype" w:cs="Arial"/>
        </w:rPr>
      </w:pPr>
    </w:p>
    <w:p w14:paraId="49D9046E" w14:textId="77777777" w:rsidR="005E4D44" w:rsidRDefault="00C2769B" w:rsidP="00E56DB7">
      <w:pPr>
        <w:spacing w:before="240" w:after="240" w:line="360" w:lineRule="auto"/>
        <w:contextualSpacing/>
        <w:jc w:val="both"/>
        <w:rPr>
          <w:rFonts w:ascii="Palatino Linotype" w:hAnsi="Palatino Linotype" w:cs="Arial"/>
        </w:rPr>
      </w:pPr>
      <w:r>
        <w:rPr>
          <w:rFonts w:ascii="Palatino Linotype" w:hAnsi="Palatino Linotype" w:cs="Arial"/>
        </w:rPr>
        <w:t xml:space="preserve">En este orden de ideas, el artículo 1.66 del ordenamiento previamente citado, dispone. </w:t>
      </w:r>
    </w:p>
    <w:p w14:paraId="258BC6BB" w14:textId="77777777" w:rsidR="00C2769B" w:rsidRDefault="00C2769B" w:rsidP="00E56DB7">
      <w:pPr>
        <w:spacing w:before="240" w:after="240" w:line="360" w:lineRule="auto"/>
        <w:ind w:left="851" w:right="616"/>
        <w:contextualSpacing/>
        <w:jc w:val="both"/>
        <w:rPr>
          <w:rFonts w:ascii="Palatino Linotype" w:hAnsi="Palatino Linotype"/>
          <w:i/>
          <w:sz w:val="22"/>
          <w:szCs w:val="22"/>
        </w:rPr>
      </w:pPr>
      <w:r>
        <w:rPr>
          <w:rFonts w:ascii="Palatino Linotype" w:hAnsi="Palatino Linotype"/>
          <w:b/>
          <w:i/>
          <w:sz w:val="22"/>
          <w:szCs w:val="22"/>
        </w:rPr>
        <w:t>“</w:t>
      </w:r>
      <w:r w:rsidRPr="00C2769B">
        <w:rPr>
          <w:rFonts w:ascii="Palatino Linotype" w:hAnsi="Palatino Linotype"/>
          <w:b/>
          <w:i/>
          <w:sz w:val="22"/>
          <w:szCs w:val="22"/>
        </w:rPr>
        <w:t>Artículo 1.66.</w:t>
      </w:r>
      <w:r w:rsidRPr="00C2769B">
        <w:rPr>
          <w:rFonts w:ascii="Palatino Linotype" w:hAnsi="Palatino Linotype"/>
          <w:i/>
          <w:sz w:val="22"/>
          <w:szCs w:val="22"/>
        </w:rPr>
        <w:t xml:space="preserve">- </w:t>
      </w:r>
      <w:r w:rsidRPr="0083799E">
        <w:rPr>
          <w:rFonts w:ascii="Palatino Linotype" w:hAnsi="Palatino Linotype"/>
          <w:b/>
          <w:i/>
          <w:sz w:val="22"/>
          <w:szCs w:val="22"/>
          <w:u w:val="single"/>
        </w:rPr>
        <w:t xml:space="preserve">El Testigo Social podrá participar en los procedimientos de adjudicación </w:t>
      </w:r>
      <w:r w:rsidRPr="00C2769B">
        <w:rPr>
          <w:rFonts w:ascii="Palatino Linotype" w:hAnsi="Palatino Linotype"/>
          <w:i/>
          <w:sz w:val="22"/>
          <w:szCs w:val="22"/>
        </w:rPr>
        <w:t xml:space="preserve">contenidos en el presente Código, relativos a: </w:t>
      </w:r>
    </w:p>
    <w:p w14:paraId="7E53B472" w14:textId="77777777" w:rsidR="00C2769B" w:rsidRDefault="00C2769B" w:rsidP="00E56DB7">
      <w:pPr>
        <w:spacing w:before="240" w:after="240" w:line="360" w:lineRule="auto"/>
        <w:ind w:left="851" w:right="616"/>
        <w:contextualSpacing/>
        <w:jc w:val="both"/>
        <w:rPr>
          <w:rFonts w:ascii="Palatino Linotype" w:hAnsi="Palatino Linotype"/>
          <w:i/>
          <w:sz w:val="22"/>
          <w:szCs w:val="22"/>
        </w:rPr>
      </w:pPr>
      <w:r w:rsidRPr="00C2769B">
        <w:rPr>
          <w:rFonts w:ascii="Palatino Linotype" w:hAnsi="Palatino Linotype"/>
          <w:i/>
          <w:sz w:val="22"/>
          <w:szCs w:val="22"/>
        </w:rPr>
        <w:t xml:space="preserve">I. La concesión de infraestructura vial, regulada en el Libro Séptimo; </w:t>
      </w:r>
    </w:p>
    <w:p w14:paraId="6C3E6250" w14:textId="77777777" w:rsidR="00C2769B" w:rsidRDefault="00C2769B" w:rsidP="00E56DB7">
      <w:pPr>
        <w:spacing w:before="240" w:after="240" w:line="360" w:lineRule="auto"/>
        <w:ind w:left="851" w:right="616"/>
        <w:contextualSpacing/>
        <w:jc w:val="both"/>
        <w:rPr>
          <w:rFonts w:ascii="Palatino Linotype" w:hAnsi="Palatino Linotype"/>
          <w:i/>
          <w:sz w:val="22"/>
          <w:szCs w:val="22"/>
        </w:rPr>
      </w:pPr>
      <w:r w:rsidRPr="00C2769B">
        <w:rPr>
          <w:rFonts w:ascii="Palatino Linotype" w:hAnsi="Palatino Linotype"/>
          <w:i/>
          <w:sz w:val="22"/>
          <w:szCs w:val="22"/>
        </w:rPr>
        <w:t xml:space="preserve">II. </w:t>
      </w:r>
      <w:r w:rsidRPr="00C2769B">
        <w:rPr>
          <w:rFonts w:ascii="Palatino Linotype" w:hAnsi="Palatino Linotype"/>
          <w:b/>
          <w:i/>
          <w:sz w:val="22"/>
          <w:szCs w:val="22"/>
          <w:u w:val="single"/>
        </w:rPr>
        <w:t>La obra pública y servicios relacionados con la misma, establecida en el Libro Décimo Segundo</w:t>
      </w:r>
      <w:r w:rsidRPr="00C2769B">
        <w:rPr>
          <w:rFonts w:ascii="Palatino Linotype" w:hAnsi="Palatino Linotype"/>
          <w:i/>
          <w:sz w:val="22"/>
          <w:szCs w:val="22"/>
        </w:rPr>
        <w:t>;</w:t>
      </w:r>
    </w:p>
    <w:p w14:paraId="304E7C4B" w14:textId="77777777" w:rsidR="00C2769B" w:rsidRPr="00C2769B" w:rsidRDefault="00C2769B" w:rsidP="00E56DB7">
      <w:pPr>
        <w:spacing w:before="240" w:after="240" w:line="360" w:lineRule="auto"/>
        <w:ind w:left="851" w:right="616"/>
        <w:contextualSpacing/>
        <w:jc w:val="both"/>
        <w:rPr>
          <w:rFonts w:ascii="Palatino Linotype" w:hAnsi="Palatino Linotype" w:cs="Arial"/>
          <w:i/>
          <w:sz w:val="22"/>
          <w:szCs w:val="22"/>
        </w:rPr>
      </w:pPr>
      <w:r>
        <w:rPr>
          <w:rFonts w:ascii="Palatino Linotype" w:hAnsi="Palatino Linotype"/>
          <w:i/>
          <w:sz w:val="22"/>
          <w:szCs w:val="22"/>
        </w:rPr>
        <w:t>…</w:t>
      </w:r>
    </w:p>
    <w:p w14:paraId="4E030C02" w14:textId="77777777" w:rsidR="005E4D44" w:rsidRPr="005E4D44" w:rsidRDefault="002E2C33" w:rsidP="00E56DB7">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Es oportuno precisar que el Libro Décimo Segundo del Código Administrativo del Estado de México </w:t>
      </w:r>
      <w:r w:rsidR="005E4D44" w:rsidRPr="005E4D44">
        <w:rPr>
          <w:rFonts w:ascii="Palatino Linotype" w:hAnsi="Palatino Linotype" w:cs="Arial"/>
        </w:rPr>
        <w:t>regula los actos relativos a la planeación, programación, presupuestación, adjudicación, contratación, ejecución y control de la obra pública, así como los servicios relacionados con la misma, que por sí o por</w:t>
      </w:r>
      <w:r>
        <w:rPr>
          <w:rFonts w:ascii="Palatino Linotype" w:hAnsi="Palatino Linotype" w:cs="Arial"/>
        </w:rPr>
        <w:t xml:space="preserve"> conducto de terceros realicen las S</w:t>
      </w:r>
      <w:r w:rsidR="005E4D44" w:rsidRPr="005E4D44">
        <w:rPr>
          <w:rFonts w:ascii="Palatino Linotype" w:hAnsi="Palatino Linotype" w:cs="Arial"/>
        </w:rPr>
        <w:t>ecretarías y Unidades Administrativas d</w:t>
      </w:r>
      <w:r>
        <w:rPr>
          <w:rFonts w:ascii="Palatino Linotype" w:hAnsi="Palatino Linotype" w:cs="Arial"/>
        </w:rPr>
        <w:t>el Poder Ejecutivo del Estado; l</w:t>
      </w:r>
      <w:r w:rsidR="005E4D44" w:rsidRPr="005E4D44">
        <w:rPr>
          <w:rFonts w:ascii="Palatino Linotype" w:hAnsi="Palatino Linotype" w:cs="Arial"/>
        </w:rPr>
        <w:t xml:space="preserve">a Fiscalía General de </w:t>
      </w:r>
      <w:r>
        <w:rPr>
          <w:rFonts w:ascii="Palatino Linotype" w:hAnsi="Palatino Linotype" w:cs="Arial"/>
        </w:rPr>
        <w:t>Justicia del Estado de México; los Ayuntamientos; l</w:t>
      </w:r>
      <w:r w:rsidR="005E4D44" w:rsidRPr="005E4D44">
        <w:rPr>
          <w:rFonts w:ascii="Palatino Linotype" w:hAnsi="Palatino Linotype" w:cs="Arial"/>
        </w:rPr>
        <w:t>os Organismos Auxili</w:t>
      </w:r>
      <w:r>
        <w:rPr>
          <w:rFonts w:ascii="Palatino Linotype" w:hAnsi="Palatino Linotype" w:cs="Arial"/>
        </w:rPr>
        <w:t xml:space="preserve">ares del Estado y municipios;  y, </w:t>
      </w:r>
      <w:r w:rsidR="005E4D44" w:rsidRPr="005E4D44">
        <w:rPr>
          <w:rFonts w:ascii="Palatino Linotype" w:hAnsi="Palatino Linotype" w:cs="Arial"/>
        </w:rPr>
        <w:t xml:space="preserve">Los Tribunales Administrativos. </w:t>
      </w:r>
    </w:p>
    <w:p w14:paraId="65F07C7F" w14:textId="77777777" w:rsidR="005E4D44" w:rsidRPr="005E4D44" w:rsidRDefault="005E4D44" w:rsidP="00E56DB7">
      <w:pPr>
        <w:spacing w:before="240" w:after="240" w:line="360" w:lineRule="auto"/>
        <w:contextualSpacing/>
        <w:jc w:val="both"/>
        <w:rPr>
          <w:rFonts w:ascii="Palatino Linotype" w:hAnsi="Palatino Linotype" w:cs="Arial"/>
        </w:rPr>
      </w:pPr>
    </w:p>
    <w:p w14:paraId="55E4F0D2" w14:textId="77777777" w:rsidR="005E4D44" w:rsidRDefault="005E4D44" w:rsidP="00E56DB7">
      <w:pPr>
        <w:spacing w:before="240" w:after="240" w:line="360" w:lineRule="auto"/>
        <w:contextualSpacing/>
        <w:jc w:val="both"/>
        <w:rPr>
          <w:rFonts w:ascii="Palatino Linotype" w:hAnsi="Palatino Linotype" w:cs="Arial"/>
        </w:rPr>
      </w:pPr>
      <w:r w:rsidRPr="005E4D44">
        <w:rPr>
          <w:rFonts w:ascii="Palatino Linotype" w:hAnsi="Palatino Linotype" w:cs="Arial"/>
        </w:rPr>
        <w:t xml:space="preserve">Las disposiciones de este libro tienen como finalidad asegurar al Gobierno del Estado y a los municipios, las mejores condiciones disponibles en cuanto a precio, calidad, financiamiento, oportunidad y demás circunstancias pertinentes, en la contratación de la obra pública y los servicios relacionados con la misma, en un marco de legalidad y transparencia. </w:t>
      </w:r>
    </w:p>
    <w:p w14:paraId="4AF79C94" w14:textId="77777777" w:rsidR="00465CF4" w:rsidRDefault="00465CF4" w:rsidP="00E56DB7">
      <w:pPr>
        <w:spacing w:before="240" w:after="240" w:line="360" w:lineRule="auto"/>
        <w:contextualSpacing/>
        <w:jc w:val="both"/>
        <w:rPr>
          <w:rFonts w:ascii="Palatino Linotype" w:hAnsi="Palatino Linotype" w:cs="Arial"/>
        </w:rPr>
      </w:pPr>
    </w:p>
    <w:p w14:paraId="183EB003" w14:textId="77777777" w:rsidR="00465CF4" w:rsidRDefault="0013412A" w:rsidP="00E56DB7">
      <w:pPr>
        <w:spacing w:before="240" w:after="240" w:line="360" w:lineRule="auto"/>
        <w:contextualSpacing/>
        <w:jc w:val="both"/>
        <w:rPr>
          <w:rFonts w:ascii="Palatino Linotype" w:hAnsi="Palatino Linotype" w:cs="Arial"/>
        </w:rPr>
      </w:pPr>
      <w:r>
        <w:rPr>
          <w:rFonts w:ascii="Palatino Linotype" w:hAnsi="Palatino Linotype" w:cs="Arial"/>
        </w:rPr>
        <w:t xml:space="preserve">En este sentido, </w:t>
      </w:r>
      <w:r w:rsidR="0011636A">
        <w:rPr>
          <w:rFonts w:ascii="Palatino Linotype" w:hAnsi="Palatino Linotype" w:cs="Arial"/>
        </w:rPr>
        <w:t xml:space="preserve">tomando en consideración que los Ayuntamientos cuentan con la facultad potestativa para </w:t>
      </w:r>
      <w:r w:rsidR="009841E4">
        <w:rPr>
          <w:rFonts w:ascii="Palatino Linotype" w:hAnsi="Palatino Linotype" w:cs="Arial"/>
        </w:rPr>
        <w:t xml:space="preserve">solicitar la participación de un Testigo Social </w:t>
      </w:r>
      <w:r w:rsidR="00DD317D">
        <w:rPr>
          <w:rFonts w:ascii="Palatino Linotype" w:hAnsi="Palatino Linotype" w:cs="Arial"/>
        </w:rPr>
        <w:t>en el procedimiento de adjudicación de obras p</w:t>
      </w:r>
      <w:r w:rsidR="008D13B4">
        <w:rPr>
          <w:rFonts w:ascii="Palatino Linotype" w:hAnsi="Palatino Linotype" w:cs="Arial"/>
        </w:rPr>
        <w:t xml:space="preserve">úblicas; el Pleno de este Instituto, determina dable ordenar la entrega del </w:t>
      </w:r>
      <w:r w:rsidR="007A02D8">
        <w:rPr>
          <w:rFonts w:ascii="Palatino Linotype" w:hAnsi="Palatino Linotype" w:cs="Arial"/>
        </w:rPr>
        <w:t xml:space="preserve">nombre del testigo social y documentos donde conste el procedimiento de designación del mismo para la obra denominada y descrita en la solicitud de información. </w:t>
      </w:r>
    </w:p>
    <w:p w14:paraId="37F31930" w14:textId="77777777" w:rsidR="00713753" w:rsidRDefault="00713753" w:rsidP="00E56DB7">
      <w:pPr>
        <w:spacing w:before="240" w:after="240" w:line="360" w:lineRule="auto"/>
        <w:contextualSpacing/>
        <w:jc w:val="both"/>
        <w:rPr>
          <w:rFonts w:ascii="Palatino Linotype" w:hAnsi="Palatino Linotype" w:cs="Arial"/>
        </w:rPr>
      </w:pPr>
    </w:p>
    <w:p w14:paraId="041A25D3" w14:textId="77777777" w:rsidR="00713753" w:rsidRPr="00434B13" w:rsidRDefault="00713753" w:rsidP="00E56DB7">
      <w:pPr>
        <w:spacing w:line="360" w:lineRule="auto"/>
        <w:jc w:val="both"/>
        <w:rPr>
          <w:rFonts w:ascii="Palatino Linotype" w:hAnsi="Palatino Linotype" w:cs="Tahoma"/>
          <w:bCs/>
        </w:rPr>
      </w:pPr>
      <w:r w:rsidRPr="00434B13">
        <w:rPr>
          <w:rFonts w:ascii="Palatino Linotype" w:hAnsi="Palatino Linotype" w:cs="Tahoma"/>
          <w:bCs/>
        </w:rPr>
        <w:t xml:space="preserve">Cabe precisar que, para el caso </w:t>
      </w:r>
      <w:r>
        <w:rPr>
          <w:rFonts w:ascii="Palatino Linotype" w:hAnsi="Palatino Linotype" w:cs="Tahoma"/>
          <w:bCs/>
        </w:rPr>
        <w:t>de</w:t>
      </w:r>
      <w:r w:rsidRPr="00434B13">
        <w:rPr>
          <w:rFonts w:ascii="Palatino Linotype" w:hAnsi="Palatino Linotype" w:cs="Tahoma"/>
          <w:bCs/>
        </w:rPr>
        <w:t xml:space="preserve"> no se haya generado la información </w:t>
      </w:r>
      <w:r>
        <w:rPr>
          <w:rFonts w:ascii="Palatino Linotype" w:hAnsi="Palatino Linotype" w:cs="Tahoma"/>
          <w:bCs/>
        </w:rPr>
        <w:t xml:space="preserve">que se ordena referente al nombre del testigo social y el procedimiento </w:t>
      </w:r>
      <w:r w:rsidR="006F3995">
        <w:rPr>
          <w:rFonts w:ascii="Palatino Linotype" w:hAnsi="Palatino Linotype" w:cs="Tahoma"/>
          <w:bCs/>
        </w:rPr>
        <w:t>de designación</w:t>
      </w:r>
      <w:r w:rsidRPr="00434B13">
        <w:rPr>
          <w:rFonts w:ascii="Palatino Linotype" w:hAnsi="Palatino Linotype" w:cs="Tahoma"/>
          <w:bCs/>
        </w:rPr>
        <w:t xml:space="preserve">, </w:t>
      </w:r>
      <w:r>
        <w:rPr>
          <w:rFonts w:ascii="Palatino Linotype" w:hAnsi="Palatino Linotype" w:cs="Tahoma"/>
          <w:bCs/>
        </w:rPr>
        <w:t xml:space="preserve">bastará con que lo haga </w:t>
      </w:r>
      <w:r w:rsidRPr="00434B13">
        <w:rPr>
          <w:rFonts w:ascii="Palatino Linotype" w:hAnsi="Palatino Linotype" w:cs="Tahoma"/>
          <w:bCs/>
        </w:rPr>
        <w:t xml:space="preserve">del conocimiento al ahora </w:t>
      </w:r>
      <w:r w:rsidRPr="00434B13">
        <w:rPr>
          <w:rFonts w:ascii="Palatino Linotype" w:hAnsi="Palatino Linotype" w:cs="Tahoma"/>
          <w:b/>
          <w:bCs/>
        </w:rPr>
        <w:t>Recurrente</w:t>
      </w:r>
      <w:r w:rsidRPr="00434B13">
        <w:rPr>
          <w:rFonts w:ascii="Palatino Linotype" w:hAnsi="Palatino Linotype" w:cs="Tahoma"/>
          <w:bCs/>
        </w:rPr>
        <w:t xml:space="preserve">, en términos del artículo 19, </w:t>
      </w:r>
      <w:r w:rsidRPr="00434B13">
        <w:rPr>
          <w:rFonts w:ascii="Palatino Linotype" w:hAnsi="Palatino Linotype" w:cs="Tahoma"/>
          <w:bCs/>
        </w:rPr>
        <w:lastRenderedPageBreak/>
        <w:t>párrafo segundo, de la Ley de Transparencia y Acceso a la Información Pública del Estado de México y Municipios.</w:t>
      </w:r>
    </w:p>
    <w:p w14:paraId="7A29CBE4" w14:textId="77777777" w:rsidR="0011636A" w:rsidRPr="0013412A" w:rsidRDefault="0011636A" w:rsidP="00E56DB7">
      <w:pPr>
        <w:spacing w:before="240" w:after="240" w:line="360" w:lineRule="auto"/>
        <w:contextualSpacing/>
        <w:jc w:val="both"/>
        <w:rPr>
          <w:rFonts w:ascii="Palatino Linotype" w:hAnsi="Palatino Linotype" w:cs="Arial"/>
          <w:b/>
        </w:rPr>
      </w:pPr>
    </w:p>
    <w:p w14:paraId="307FEB88" w14:textId="77777777" w:rsidR="003F7B69" w:rsidRPr="001C7567" w:rsidRDefault="004A431C" w:rsidP="00E56DB7">
      <w:pPr>
        <w:pBdr>
          <w:top w:val="nil"/>
          <w:left w:val="nil"/>
          <w:bottom w:val="nil"/>
          <w:right w:val="nil"/>
          <w:between w:val="nil"/>
        </w:pBdr>
        <w:spacing w:line="360" w:lineRule="auto"/>
        <w:ind w:right="-150"/>
        <w:jc w:val="both"/>
        <w:rPr>
          <w:rFonts w:ascii="Palatino Linotype" w:eastAsia="Palatino Linotype" w:hAnsi="Palatino Linotype" w:cs="Palatino Linotype"/>
          <w:i/>
          <w:sz w:val="22"/>
        </w:rPr>
      </w:pPr>
      <w:r>
        <w:rPr>
          <w:rFonts w:ascii="Palatino Linotype" w:eastAsia="Palatino Linotype" w:hAnsi="Palatino Linotype" w:cs="Palatino Linotype"/>
          <w:color w:val="000000"/>
        </w:rPr>
        <w:t>Por cuanto hace a la c</w:t>
      </w:r>
      <w:r w:rsidR="0011636A" w:rsidRPr="00476875">
        <w:rPr>
          <w:rFonts w:ascii="Palatino Linotype" w:eastAsia="Palatino Linotype" w:hAnsi="Palatino Linotype" w:cs="Palatino Linotype"/>
          <w:color w:val="000000"/>
        </w:rPr>
        <w:t>onvocatoria para la integración del Comité de Vigilancia y el nombre de sus integrantes</w:t>
      </w:r>
      <w:r w:rsidR="001C7567">
        <w:rPr>
          <w:rFonts w:ascii="Palatino Linotype" w:eastAsia="Palatino Linotype" w:hAnsi="Palatino Linotype" w:cs="Palatino Linotype"/>
          <w:i/>
          <w:sz w:val="22"/>
        </w:rPr>
        <w:t xml:space="preserve"> </w:t>
      </w:r>
      <w:r w:rsidR="003F7B69" w:rsidRPr="00B95925">
        <w:rPr>
          <w:rFonts w:ascii="Palatino Linotype" w:eastAsia="Palatino Linotype" w:hAnsi="Palatino Linotype" w:cs="Palatino Linotype"/>
        </w:rPr>
        <w:t>la Ley Orgánica Municipal</w:t>
      </w:r>
      <w:r w:rsidR="00EE14D7">
        <w:rPr>
          <w:rFonts w:ascii="Palatino Linotype" w:eastAsia="Palatino Linotype" w:hAnsi="Palatino Linotype" w:cs="Palatino Linotype"/>
        </w:rPr>
        <w:t xml:space="preserve"> del Estado de México</w:t>
      </w:r>
      <w:r w:rsidR="003F7B69" w:rsidRPr="00B95925">
        <w:rPr>
          <w:rFonts w:ascii="Palatino Linotype" w:eastAsia="Palatino Linotype" w:hAnsi="Palatino Linotype" w:cs="Palatino Linotype"/>
        </w:rPr>
        <w:t>, establece en su</w:t>
      </w:r>
      <w:r w:rsidR="00A7131F">
        <w:rPr>
          <w:rFonts w:ascii="Palatino Linotype" w:eastAsia="Palatino Linotype" w:hAnsi="Palatino Linotype" w:cs="Palatino Linotype"/>
        </w:rPr>
        <w:t>s</w:t>
      </w:r>
      <w:r w:rsidR="003F7B69" w:rsidRPr="00B95925">
        <w:rPr>
          <w:rFonts w:ascii="Palatino Linotype" w:eastAsia="Palatino Linotype" w:hAnsi="Palatino Linotype" w:cs="Palatino Linotype"/>
        </w:rPr>
        <w:t xml:space="preserve"> artículo</w:t>
      </w:r>
      <w:r w:rsidR="00A7131F">
        <w:rPr>
          <w:rFonts w:ascii="Palatino Linotype" w:eastAsia="Palatino Linotype" w:hAnsi="Palatino Linotype" w:cs="Palatino Linotype"/>
        </w:rPr>
        <w:t>s</w:t>
      </w:r>
      <w:r w:rsidR="003F7B69" w:rsidRPr="00B95925">
        <w:rPr>
          <w:rFonts w:ascii="Palatino Linotype" w:eastAsia="Palatino Linotype" w:hAnsi="Palatino Linotype" w:cs="Palatino Linotype"/>
        </w:rPr>
        <w:t xml:space="preserve"> 113</w:t>
      </w:r>
      <w:r w:rsidR="00A7131F">
        <w:rPr>
          <w:rFonts w:ascii="Palatino Linotype" w:eastAsia="Palatino Linotype" w:hAnsi="Palatino Linotype" w:cs="Palatino Linotype"/>
        </w:rPr>
        <w:t xml:space="preserve"> </w:t>
      </w:r>
      <w:r w:rsidR="003F7B69" w:rsidRPr="00B95925">
        <w:rPr>
          <w:rFonts w:ascii="Palatino Linotype" w:eastAsia="Palatino Linotype" w:hAnsi="Palatino Linotype" w:cs="Palatino Linotype"/>
        </w:rPr>
        <w:t>A</w:t>
      </w:r>
      <w:r w:rsidR="00A7131F">
        <w:rPr>
          <w:rFonts w:ascii="Palatino Linotype" w:eastAsia="Palatino Linotype" w:hAnsi="Palatino Linotype" w:cs="Palatino Linotype"/>
        </w:rPr>
        <w:t>, 113 B</w:t>
      </w:r>
      <w:r w:rsidR="00321B4D">
        <w:rPr>
          <w:rFonts w:ascii="Palatino Linotype" w:eastAsia="Palatino Linotype" w:hAnsi="Palatino Linotype" w:cs="Palatino Linotype"/>
        </w:rPr>
        <w:t>, 113C y 113 D</w:t>
      </w:r>
      <w:r w:rsidR="003F7B69" w:rsidRPr="00B95925">
        <w:rPr>
          <w:rFonts w:ascii="Palatino Linotype" w:eastAsia="Palatino Linotype" w:hAnsi="Palatino Linotype" w:cs="Palatino Linotype"/>
        </w:rPr>
        <w:t xml:space="preserve"> que los ayuntamientos promoverán la constitución de comités ciudadanos de control y vigilancia los cuales son responsables de supervisar las obras públicas estatales y municipales, precepto</w:t>
      </w:r>
      <w:r w:rsidR="00321B4D">
        <w:rPr>
          <w:rFonts w:ascii="Palatino Linotype" w:eastAsia="Palatino Linotype" w:hAnsi="Palatino Linotype" w:cs="Palatino Linotype"/>
        </w:rPr>
        <w:t>s</w:t>
      </w:r>
      <w:r w:rsidR="003F7B69" w:rsidRPr="00B95925">
        <w:rPr>
          <w:rFonts w:ascii="Palatino Linotype" w:eastAsia="Palatino Linotype" w:hAnsi="Palatino Linotype" w:cs="Palatino Linotype"/>
        </w:rPr>
        <w:t xml:space="preserve"> normativo</w:t>
      </w:r>
      <w:r w:rsidR="00321B4D">
        <w:rPr>
          <w:rFonts w:ascii="Palatino Linotype" w:eastAsia="Palatino Linotype" w:hAnsi="Palatino Linotype" w:cs="Palatino Linotype"/>
        </w:rPr>
        <w:t>s</w:t>
      </w:r>
      <w:r w:rsidR="003F7B69" w:rsidRPr="00B95925">
        <w:rPr>
          <w:rFonts w:ascii="Palatino Linotype" w:eastAsia="Palatino Linotype" w:hAnsi="Palatino Linotype" w:cs="Palatino Linotype"/>
        </w:rPr>
        <w:t xml:space="preserve"> que a la letra dice</w:t>
      </w:r>
      <w:r w:rsidR="00321B4D">
        <w:rPr>
          <w:rFonts w:ascii="Palatino Linotype" w:eastAsia="Palatino Linotype" w:hAnsi="Palatino Linotype" w:cs="Palatino Linotype"/>
        </w:rPr>
        <w:t>n</w:t>
      </w:r>
      <w:r w:rsidR="003F7B69" w:rsidRPr="00B95925">
        <w:rPr>
          <w:rFonts w:ascii="Palatino Linotype" w:eastAsia="Palatino Linotype" w:hAnsi="Palatino Linotype" w:cs="Palatino Linotype"/>
        </w:rPr>
        <w:t xml:space="preserve">: </w:t>
      </w:r>
    </w:p>
    <w:p w14:paraId="367B8411" w14:textId="77777777" w:rsidR="003F7B69" w:rsidRPr="00B95925" w:rsidRDefault="003F7B69" w:rsidP="00E56DB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B865AD7" w14:textId="77777777" w:rsidR="003F7B69" w:rsidRDefault="003F7B69" w:rsidP="00E56DB7">
      <w:pPr>
        <w:pBdr>
          <w:top w:val="nil"/>
          <w:left w:val="nil"/>
          <w:bottom w:val="nil"/>
          <w:right w:val="nil"/>
          <w:between w:val="nil"/>
        </w:pBdr>
        <w:spacing w:line="360" w:lineRule="auto"/>
        <w:ind w:left="567" w:right="616"/>
        <w:jc w:val="both"/>
        <w:rPr>
          <w:rFonts w:ascii="Palatino Linotype" w:hAnsi="Palatino Linotype"/>
          <w:i/>
          <w:sz w:val="22"/>
        </w:rPr>
      </w:pPr>
      <w:r w:rsidRPr="00B95925">
        <w:rPr>
          <w:rFonts w:ascii="Palatino Linotype" w:hAnsi="Palatino Linotype"/>
          <w:b/>
          <w:i/>
          <w:sz w:val="22"/>
        </w:rPr>
        <w:t>Artículo 113 A.-</w:t>
      </w:r>
      <w:r w:rsidRPr="00B95925">
        <w:rPr>
          <w:rFonts w:ascii="Palatino Linotype" w:hAnsi="Palatino Linotype"/>
          <w:i/>
          <w:sz w:val="22"/>
        </w:rPr>
        <w:t xml:space="preserve"> </w:t>
      </w:r>
      <w:r w:rsidRPr="00EE14D7">
        <w:rPr>
          <w:rFonts w:ascii="Palatino Linotype" w:hAnsi="Palatino Linotype"/>
          <w:b/>
          <w:i/>
          <w:sz w:val="22"/>
          <w:u w:val="single"/>
        </w:rPr>
        <w:t>Los ayuntamientos promoverán la constitución de comités ciudadanos de control y vigilancia, los que serán responsables de supervisar la obra pública estatal y municipal.</w:t>
      </w:r>
      <w:r w:rsidRPr="00B95925">
        <w:rPr>
          <w:rFonts w:ascii="Palatino Linotype" w:hAnsi="Palatino Linotype"/>
          <w:i/>
          <w:sz w:val="22"/>
        </w:rPr>
        <w:t xml:space="preserve"> </w:t>
      </w:r>
    </w:p>
    <w:p w14:paraId="2C57BBB4" w14:textId="77777777" w:rsidR="00321B4D" w:rsidRPr="009C22D3" w:rsidRDefault="00321B4D"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b/>
          <w:i/>
          <w:sz w:val="22"/>
          <w:szCs w:val="22"/>
        </w:rPr>
        <w:t>Artículo 113 B.-</w:t>
      </w:r>
      <w:r w:rsidRPr="009C22D3">
        <w:rPr>
          <w:rFonts w:ascii="Palatino Linotype" w:hAnsi="Palatino Linotype"/>
          <w:i/>
          <w:sz w:val="22"/>
          <w:szCs w:val="22"/>
        </w:rPr>
        <w:t xml:space="preserve"> Los comités ciudadanos de control y vigilancia estarán </w:t>
      </w:r>
      <w:r w:rsidRPr="00CC1EC0">
        <w:rPr>
          <w:rFonts w:ascii="Palatino Linotype" w:hAnsi="Palatino Linotype"/>
          <w:b/>
          <w:i/>
          <w:sz w:val="22"/>
          <w:szCs w:val="22"/>
          <w:u w:val="single"/>
        </w:rPr>
        <w:t>integrados por tres vecinos de la localidad en la que se construya la obra</w:t>
      </w:r>
      <w:r w:rsidRPr="009C22D3">
        <w:rPr>
          <w:rFonts w:ascii="Palatino Linotype" w:hAnsi="Palatino Linotype"/>
          <w:i/>
          <w:sz w:val="22"/>
          <w:szCs w:val="22"/>
        </w:rPr>
        <w:t>, serán electos en asamblea general, por los ciudadanos beneficiados por aquélla. El cargo de integrante del comité será honorífico</w:t>
      </w:r>
      <w:r w:rsidR="009C22D3" w:rsidRPr="009C22D3">
        <w:rPr>
          <w:rFonts w:ascii="Palatino Linotype" w:hAnsi="Palatino Linotype"/>
          <w:i/>
          <w:sz w:val="22"/>
          <w:szCs w:val="22"/>
        </w:rPr>
        <w:t>.</w:t>
      </w:r>
    </w:p>
    <w:p w14:paraId="3CC8BAD0" w14:textId="77777777" w:rsidR="009C22D3" w:rsidRPr="009C22D3"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No podrán ser integrantes de los comités las personas que sean dirigentes de organizaciones políticas o servidores públicos.</w:t>
      </w:r>
    </w:p>
    <w:p w14:paraId="7BB38FE8"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b/>
          <w:i/>
          <w:sz w:val="22"/>
          <w:szCs w:val="22"/>
        </w:rPr>
        <w:t>Artículo 113 C</w:t>
      </w:r>
      <w:r w:rsidRPr="009C22D3">
        <w:rPr>
          <w:rFonts w:ascii="Palatino Linotype" w:hAnsi="Palatino Linotype"/>
          <w:i/>
          <w:sz w:val="22"/>
          <w:szCs w:val="22"/>
        </w:rPr>
        <w:t xml:space="preserve">.- </w:t>
      </w:r>
      <w:r w:rsidRPr="00CC1EC0">
        <w:rPr>
          <w:rFonts w:ascii="Palatino Linotype" w:hAnsi="Palatino Linotype"/>
          <w:b/>
          <w:i/>
          <w:sz w:val="22"/>
          <w:szCs w:val="22"/>
        </w:rPr>
        <w:t>Para cada obra estatal o municipal se constituirá un comité ciudadano de control y vigilancia.</w:t>
      </w:r>
      <w:r w:rsidRPr="009C22D3">
        <w:rPr>
          <w:rFonts w:ascii="Palatino Linotype" w:hAnsi="Palatino Linotype"/>
          <w:i/>
          <w:sz w:val="22"/>
          <w:szCs w:val="22"/>
        </w:rPr>
        <w:t xml:space="preserve"> Sin embargo, en aquellos casos en que las características técnicas o las dimensiones de la obra lo ameriten, podrán integrarse más de uno. </w:t>
      </w:r>
    </w:p>
    <w:p w14:paraId="32A4A906"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Artículo 113 D.- </w:t>
      </w:r>
      <w:r w:rsidRPr="00D86EFC">
        <w:rPr>
          <w:rFonts w:ascii="Palatino Linotype" w:hAnsi="Palatino Linotype"/>
          <w:b/>
          <w:i/>
          <w:sz w:val="22"/>
          <w:szCs w:val="22"/>
        </w:rPr>
        <w:t xml:space="preserve">Los comités ciudadanos de control y vigilancia </w:t>
      </w:r>
      <w:proofErr w:type="gramStart"/>
      <w:r w:rsidRPr="00D86EFC">
        <w:rPr>
          <w:rFonts w:ascii="Palatino Linotype" w:hAnsi="Palatino Linotype"/>
          <w:b/>
          <w:i/>
          <w:sz w:val="22"/>
          <w:szCs w:val="22"/>
        </w:rPr>
        <w:t>tendrán</w:t>
      </w:r>
      <w:proofErr w:type="gramEnd"/>
      <w:r w:rsidRPr="00D86EFC">
        <w:rPr>
          <w:rFonts w:ascii="Palatino Linotype" w:hAnsi="Palatino Linotype"/>
          <w:b/>
          <w:i/>
          <w:sz w:val="22"/>
          <w:szCs w:val="22"/>
        </w:rPr>
        <w:t xml:space="preserve"> además, las siguientes funcione</w:t>
      </w:r>
      <w:r w:rsidRPr="009C22D3">
        <w:rPr>
          <w:rFonts w:ascii="Palatino Linotype" w:hAnsi="Palatino Linotype"/>
          <w:i/>
          <w:sz w:val="22"/>
          <w:szCs w:val="22"/>
        </w:rPr>
        <w:t xml:space="preserve">s: </w:t>
      </w:r>
    </w:p>
    <w:p w14:paraId="71F51AD3"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I. Vigilar que la obra pública se realice de acuerdo al expediente técnico y dentro de la normatividad correspondiente; </w:t>
      </w:r>
    </w:p>
    <w:p w14:paraId="63131413"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II. Participar como observador en los procesos o actos administrativos relacionados con la adjudicación o concesión de la ejecución de la obra; </w:t>
      </w:r>
    </w:p>
    <w:p w14:paraId="6DF60DD1"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lastRenderedPageBreak/>
        <w:t xml:space="preserve">III. Hacer visitas de inspección y llevar registro de sus resultados; </w:t>
      </w:r>
    </w:p>
    <w:p w14:paraId="137D00DE"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IV. Verificar la calidad con que se realiza la obra pública, </w:t>
      </w:r>
    </w:p>
    <w:p w14:paraId="3D96F487"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V. Hacer del conocimiento de las autoridades correspondientes las irregularidades que observe durante el desempeño de sus funciones o las quejas que reciba de la ciudadanía, con motivo de las obras objeto de supervisión, </w:t>
      </w:r>
    </w:p>
    <w:p w14:paraId="632FBB81"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VI. Integrar un archivo con la documentación que se derive de la supervisión de las obras, </w:t>
      </w:r>
    </w:p>
    <w:p w14:paraId="3939233F" w14:textId="77777777" w:rsidR="00CC1EC0"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 xml:space="preserve">VII. Intervenir en los actos de entrega-recepción de las obras y acciones, informando a los vecinos el resultado del desempeño de sus funciones; y </w:t>
      </w:r>
    </w:p>
    <w:p w14:paraId="600A0A7E" w14:textId="77777777" w:rsidR="009C22D3" w:rsidRPr="009C22D3" w:rsidRDefault="009C22D3" w:rsidP="00E56DB7">
      <w:pPr>
        <w:pBdr>
          <w:top w:val="nil"/>
          <w:left w:val="nil"/>
          <w:bottom w:val="nil"/>
          <w:right w:val="nil"/>
          <w:between w:val="nil"/>
        </w:pBdr>
        <w:spacing w:line="276" w:lineRule="auto"/>
        <w:ind w:left="567" w:right="616"/>
        <w:jc w:val="both"/>
        <w:rPr>
          <w:rFonts w:ascii="Palatino Linotype" w:hAnsi="Palatino Linotype"/>
          <w:i/>
          <w:sz w:val="22"/>
          <w:szCs w:val="22"/>
        </w:rPr>
      </w:pPr>
      <w:r w:rsidRPr="009C22D3">
        <w:rPr>
          <w:rFonts w:ascii="Palatino Linotype" w:hAnsi="Palatino Linotype"/>
          <w:i/>
          <w:sz w:val="22"/>
          <w:szCs w:val="22"/>
        </w:rPr>
        <w:t>VIII. Promover el adecuado mantenimiento de la obra pública ante las autoridades municipales</w:t>
      </w:r>
      <w:r w:rsidR="00CC1EC0">
        <w:rPr>
          <w:rFonts w:ascii="Palatino Linotype" w:hAnsi="Palatino Linotype"/>
          <w:i/>
          <w:sz w:val="22"/>
          <w:szCs w:val="22"/>
        </w:rPr>
        <w:t>.”</w:t>
      </w:r>
    </w:p>
    <w:p w14:paraId="7C415F1C" w14:textId="77777777" w:rsidR="009C22D3" w:rsidRPr="009C22D3" w:rsidRDefault="009C22D3" w:rsidP="00E56DB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72EA9F1E" w14:textId="77777777" w:rsidR="003F7B69" w:rsidRDefault="0030070A" w:rsidP="00E56DB7">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Correlativo a lo anterior</w:t>
      </w:r>
      <w:r w:rsidR="003F7B69" w:rsidRPr="00B95925">
        <w:rPr>
          <w:rFonts w:ascii="Palatino Linotype" w:eastAsia="Palatino Linotype" w:hAnsi="Palatino Linotype" w:cs="Palatino Linotype"/>
        </w:rPr>
        <w:t xml:space="preserve">, el Bando Municipal de </w:t>
      </w:r>
      <w:r w:rsidR="002F060E">
        <w:rPr>
          <w:rFonts w:ascii="Palatino Linotype" w:eastAsia="Palatino Linotype" w:hAnsi="Palatino Linotype" w:cs="Palatino Linotype"/>
        </w:rPr>
        <w:t>Ecatepec de M</w:t>
      </w:r>
      <w:r w:rsidR="00990469">
        <w:rPr>
          <w:rFonts w:ascii="Palatino Linotype" w:eastAsia="Palatino Linotype" w:hAnsi="Palatino Linotype" w:cs="Palatino Linotype"/>
        </w:rPr>
        <w:t xml:space="preserve">orelos establece como atribución de la Contraloría Interna la creación de la figura </w:t>
      </w:r>
      <w:r w:rsidR="00CD41BD">
        <w:rPr>
          <w:rFonts w:ascii="Palatino Linotype" w:eastAsia="Palatino Linotype" w:hAnsi="Palatino Linotype" w:cs="Palatino Linotype"/>
        </w:rPr>
        <w:t xml:space="preserve">del Contralor Social </w:t>
      </w:r>
      <w:r w:rsidR="00025FC4">
        <w:rPr>
          <w:rFonts w:ascii="Palatino Linotype" w:eastAsia="Palatino Linotype" w:hAnsi="Palatino Linotype" w:cs="Palatino Linotype"/>
        </w:rPr>
        <w:t>en el art</w:t>
      </w:r>
      <w:r w:rsidR="002A763F">
        <w:rPr>
          <w:rFonts w:ascii="Palatino Linotype" w:eastAsia="Palatino Linotype" w:hAnsi="Palatino Linotype" w:cs="Palatino Linotype"/>
        </w:rPr>
        <w:t xml:space="preserve">ículo 48, segundo párrafo que es del texto literal siguiente: </w:t>
      </w:r>
    </w:p>
    <w:p w14:paraId="2DE73C1C" w14:textId="77777777" w:rsidR="00904375" w:rsidRDefault="00904375" w:rsidP="00E56DB7">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AF9BB8A" w14:textId="77777777" w:rsidR="00E25F72" w:rsidRPr="00394A9F" w:rsidRDefault="00D42820" w:rsidP="00E56DB7">
      <w:pPr>
        <w:pBdr>
          <w:top w:val="nil"/>
          <w:left w:val="nil"/>
          <w:bottom w:val="nil"/>
          <w:right w:val="nil"/>
          <w:between w:val="nil"/>
        </w:pBdr>
        <w:spacing w:line="276" w:lineRule="auto"/>
        <w:ind w:left="851" w:right="616"/>
        <w:jc w:val="both"/>
        <w:rPr>
          <w:rFonts w:ascii="Palatino Linotype" w:hAnsi="Palatino Linotype"/>
          <w:i/>
          <w:sz w:val="22"/>
          <w:szCs w:val="22"/>
        </w:rPr>
      </w:pPr>
      <w:r w:rsidRPr="00394A9F">
        <w:rPr>
          <w:rFonts w:ascii="Palatino Linotype" w:hAnsi="Palatino Linotype"/>
          <w:i/>
          <w:sz w:val="22"/>
          <w:szCs w:val="22"/>
        </w:rPr>
        <w:t>“</w:t>
      </w:r>
      <w:r w:rsidR="00904375" w:rsidRPr="00394A9F">
        <w:rPr>
          <w:rFonts w:ascii="Palatino Linotype" w:hAnsi="Palatino Linotype"/>
          <w:b/>
          <w:i/>
          <w:sz w:val="22"/>
          <w:szCs w:val="22"/>
        </w:rPr>
        <w:t>Artículo 48</w:t>
      </w:r>
      <w:r w:rsidR="00904375" w:rsidRPr="00394A9F">
        <w:rPr>
          <w:rFonts w:ascii="Palatino Linotype" w:hAnsi="Palatino Linotype"/>
          <w:i/>
          <w:sz w:val="22"/>
          <w:szCs w:val="22"/>
        </w:rPr>
        <w:t xml:space="preserve">. </w:t>
      </w:r>
      <w:r w:rsidR="007512FA">
        <w:rPr>
          <w:rFonts w:ascii="Palatino Linotype" w:hAnsi="Palatino Linotype"/>
          <w:i/>
          <w:sz w:val="22"/>
          <w:szCs w:val="22"/>
        </w:rPr>
        <w:t>…</w:t>
      </w:r>
    </w:p>
    <w:p w14:paraId="799C6DE7" w14:textId="77777777" w:rsidR="006B0AC5" w:rsidRDefault="006B0AC5" w:rsidP="00E56DB7">
      <w:pPr>
        <w:pBdr>
          <w:top w:val="nil"/>
          <w:left w:val="nil"/>
          <w:bottom w:val="nil"/>
          <w:right w:val="nil"/>
          <w:between w:val="nil"/>
        </w:pBdr>
        <w:spacing w:line="276" w:lineRule="auto"/>
        <w:ind w:left="851" w:right="616"/>
        <w:jc w:val="both"/>
        <w:rPr>
          <w:rFonts w:ascii="Palatino Linotype" w:hAnsi="Palatino Linotype"/>
          <w:i/>
          <w:sz w:val="22"/>
          <w:szCs w:val="22"/>
        </w:rPr>
      </w:pPr>
    </w:p>
    <w:p w14:paraId="01312FC8" w14:textId="77777777" w:rsidR="00904375" w:rsidRPr="00394A9F" w:rsidRDefault="00904375" w:rsidP="00E56DB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394A9F">
        <w:rPr>
          <w:rFonts w:ascii="Palatino Linotype" w:hAnsi="Palatino Linotype"/>
          <w:i/>
          <w:sz w:val="22"/>
          <w:szCs w:val="22"/>
        </w:rPr>
        <w:t xml:space="preserve">Para efectos de mejorar el servicio público municipal, a través de la Contraloría Interna se crea la figura del Contralor Social mediante los </w:t>
      </w:r>
      <w:r w:rsidRPr="001F4A70">
        <w:rPr>
          <w:rFonts w:ascii="Palatino Linotype" w:hAnsi="Palatino Linotype"/>
          <w:b/>
          <w:i/>
          <w:sz w:val="22"/>
          <w:szCs w:val="22"/>
          <w:u w:val="single"/>
        </w:rPr>
        <w:t>Comités Ciudadanos de Control y Vigilancia (COCICOVIS)</w:t>
      </w:r>
      <w:r w:rsidRPr="00394A9F">
        <w:rPr>
          <w:rFonts w:ascii="Palatino Linotype" w:hAnsi="Palatino Linotype"/>
          <w:i/>
          <w:sz w:val="22"/>
          <w:szCs w:val="22"/>
        </w:rPr>
        <w:t xml:space="preserve">, entendiéndose como tal </w:t>
      </w:r>
      <w:r w:rsidRPr="00C41D82">
        <w:rPr>
          <w:rFonts w:ascii="Palatino Linotype" w:hAnsi="Palatino Linotype"/>
          <w:b/>
          <w:i/>
          <w:sz w:val="22"/>
          <w:szCs w:val="22"/>
        </w:rPr>
        <w:t xml:space="preserve">a todo ciudadano </w:t>
      </w:r>
      <w:proofErr w:type="spellStart"/>
      <w:r w:rsidRPr="00C41D82">
        <w:rPr>
          <w:rFonts w:ascii="Palatino Linotype" w:hAnsi="Palatino Linotype"/>
          <w:b/>
          <w:i/>
          <w:sz w:val="22"/>
          <w:szCs w:val="22"/>
        </w:rPr>
        <w:t>ecatepense</w:t>
      </w:r>
      <w:proofErr w:type="spellEnd"/>
      <w:r w:rsidRPr="00C41D82">
        <w:rPr>
          <w:rFonts w:ascii="Palatino Linotype" w:hAnsi="Palatino Linotype"/>
          <w:b/>
          <w:i/>
          <w:sz w:val="22"/>
          <w:szCs w:val="22"/>
        </w:rPr>
        <w:t xml:space="preserve"> que reúna previamente los requisitos establecidos en la norma, a fin de que lleve a cabo acciones de control, observancia, vigilancia, reporte y evaluación, de manera conjunta, </w:t>
      </w:r>
      <w:r w:rsidRPr="00394A9F">
        <w:rPr>
          <w:rFonts w:ascii="Palatino Linotype" w:hAnsi="Palatino Linotype"/>
          <w:i/>
          <w:sz w:val="22"/>
          <w:szCs w:val="22"/>
        </w:rPr>
        <w:t>con el propósito de contribuir a que la gestión gubernamental y que el manejo de los recursos públicos se efectúe con eficiencia, eficacia, economía, transparencia y honradez.</w:t>
      </w:r>
    </w:p>
    <w:p w14:paraId="5702BEAE" w14:textId="77777777" w:rsidR="003F7B69" w:rsidRPr="00904375" w:rsidRDefault="00904375" w:rsidP="00E56DB7">
      <w:pPr>
        <w:pBdr>
          <w:top w:val="nil"/>
          <w:left w:val="nil"/>
          <w:bottom w:val="nil"/>
          <w:right w:val="nil"/>
          <w:between w:val="nil"/>
        </w:pBdr>
        <w:tabs>
          <w:tab w:val="left" w:pos="3735"/>
        </w:tabs>
        <w:spacing w:line="276" w:lineRule="auto"/>
        <w:ind w:left="851" w:right="616"/>
        <w:jc w:val="both"/>
        <w:rPr>
          <w:rFonts w:ascii="Palatino Linotype" w:eastAsia="Palatino Linotype" w:hAnsi="Palatino Linotype" w:cs="Palatino Linotype"/>
          <w:i/>
        </w:rPr>
      </w:pPr>
      <w:r w:rsidRPr="00904375">
        <w:rPr>
          <w:rFonts w:ascii="Palatino Linotype" w:eastAsia="Palatino Linotype" w:hAnsi="Palatino Linotype" w:cs="Palatino Linotype"/>
          <w:i/>
        </w:rPr>
        <w:tab/>
      </w:r>
    </w:p>
    <w:p w14:paraId="1F5A0DCE" w14:textId="77777777" w:rsidR="003F7B69" w:rsidRPr="00B95925" w:rsidRDefault="00A94BFF" w:rsidP="00E56DB7">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w:t>
      </w:r>
      <w:proofErr w:type="gramStart"/>
      <w:r>
        <w:rPr>
          <w:rFonts w:ascii="Palatino Linotype" w:eastAsia="Palatino Linotype" w:hAnsi="Palatino Linotype" w:cs="Palatino Linotype"/>
        </w:rPr>
        <w:t xml:space="preserve">la </w:t>
      </w:r>
      <w:r w:rsidR="003F7B69" w:rsidRPr="00B95925">
        <w:rPr>
          <w:rFonts w:ascii="Palatino Linotype" w:eastAsia="Palatino Linotype" w:hAnsi="Palatino Linotype" w:cs="Palatino Linotype"/>
        </w:rPr>
        <w:t xml:space="preserve"> Contralor</w:t>
      </w:r>
      <w:r>
        <w:rPr>
          <w:rFonts w:ascii="Palatino Linotype" w:eastAsia="Palatino Linotype" w:hAnsi="Palatino Linotype" w:cs="Palatino Linotype"/>
        </w:rPr>
        <w:t>ía</w:t>
      </w:r>
      <w:proofErr w:type="gramEnd"/>
      <w:r>
        <w:rPr>
          <w:rFonts w:ascii="Palatino Linotype" w:eastAsia="Palatino Linotype" w:hAnsi="Palatino Linotype" w:cs="Palatino Linotype"/>
        </w:rPr>
        <w:t xml:space="preserve"> </w:t>
      </w:r>
      <w:r w:rsidR="003F7B69" w:rsidRPr="00B95925">
        <w:rPr>
          <w:rFonts w:ascii="Palatino Linotype" w:eastAsia="Palatino Linotype" w:hAnsi="Palatino Linotype" w:cs="Palatino Linotype"/>
        </w:rPr>
        <w:t xml:space="preserve">Municipal conoce y se encarga de la conformación e integración de los Comités Ciudadanos de Control y Vigilancia, los cuales, tal como el Bando del Municipio establece se encuentran facultados </w:t>
      </w:r>
      <w:r>
        <w:rPr>
          <w:rFonts w:ascii="Palatino Linotype" w:eastAsia="Palatino Linotype" w:hAnsi="Palatino Linotype" w:cs="Palatino Linotype"/>
        </w:rPr>
        <w:t>acciones de control, observancia, vigilancia, reporte y evaluación</w:t>
      </w:r>
      <w:r w:rsidR="003F7B69" w:rsidRPr="00B95925">
        <w:rPr>
          <w:rFonts w:ascii="Palatino Linotype" w:eastAsia="Palatino Linotype" w:hAnsi="Palatino Linotype" w:cs="Palatino Linotype"/>
        </w:rPr>
        <w:t xml:space="preserve">. </w:t>
      </w:r>
    </w:p>
    <w:p w14:paraId="5CD048B0" w14:textId="77777777" w:rsidR="005E4D44" w:rsidRDefault="00DF39AA" w:rsidP="00E56DB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En este sentido, una vez determinada la competencia de la Contraloría Municipal para generar, administrar y poseer la información pública solicitad, es proc</w:t>
      </w:r>
      <w:r w:rsidR="00CB6871">
        <w:rPr>
          <w:rFonts w:ascii="Palatino Linotype" w:eastAsia="Palatino Linotype" w:hAnsi="Palatino Linotype" w:cs="Palatino Linotype"/>
        </w:rPr>
        <w:t>edente ordenar la en</w:t>
      </w:r>
      <w:r w:rsidR="00606641">
        <w:rPr>
          <w:rFonts w:ascii="Palatino Linotype" w:eastAsia="Palatino Linotype" w:hAnsi="Palatino Linotype" w:cs="Palatino Linotype"/>
        </w:rPr>
        <w:t xml:space="preserve">trega de </w:t>
      </w:r>
      <w:r w:rsidR="00CB6871">
        <w:rPr>
          <w:rFonts w:ascii="Palatino Linotype" w:eastAsia="Palatino Linotype" w:hAnsi="Palatino Linotype" w:cs="Palatino Linotype"/>
          <w:color w:val="000000"/>
        </w:rPr>
        <w:t>la c</w:t>
      </w:r>
      <w:r w:rsidR="00CB6871" w:rsidRPr="00476875">
        <w:rPr>
          <w:rFonts w:ascii="Palatino Linotype" w:eastAsia="Palatino Linotype" w:hAnsi="Palatino Linotype" w:cs="Palatino Linotype"/>
          <w:color w:val="000000"/>
        </w:rPr>
        <w:t>onvocatoria para la integración del Comité</w:t>
      </w:r>
      <w:r w:rsidR="00CB6871">
        <w:rPr>
          <w:rFonts w:ascii="Palatino Linotype" w:eastAsia="Palatino Linotype" w:hAnsi="Palatino Linotype" w:cs="Palatino Linotype"/>
          <w:color w:val="000000"/>
        </w:rPr>
        <w:t xml:space="preserve"> Ciudadano de Control y </w:t>
      </w:r>
      <w:r w:rsidR="00CB6871" w:rsidRPr="00476875">
        <w:rPr>
          <w:rFonts w:ascii="Palatino Linotype" w:eastAsia="Palatino Linotype" w:hAnsi="Palatino Linotype" w:cs="Palatino Linotype"/>
          <w:color w:val="000000"/>
        </w:rPr>
        <w:t>Vigilancia</w:t>
      </w:r>
      <w:r w:rsidR="00606641">
        <w:rPr>
          <w:rFonts w:ascii="Palatino Linotype" w:eastAsia="Palatino Linotype" w:hAnsi="Palatino Linotype" w:cs="Palatino Linotype"/>
          <w:color w:val="000000"/>
        </w:rPr>
        <w:t xml:space="preserve">; así como el documento donde conste </w:t>
      </w:r>
      <w:r w:rsidR="00CB6871" w:rsidRPr="00476875">
        <w:rPr>
          <w:rFonts w:ascii="Palatino Linotype" w:eastAsia="Palatino Linotype" w:hAnsi="Palatino Linotype" w:cs="Palatino Linotype"/>
          <w:color w:val="000000"/>
        </w:rPr>
        <w:t>el nombre de sus integrantes</w:t>
      </w:r>
    </w:p>
    <w:p w14:paraId="3D817243" w14:textId="77777777" w:rsidR="00D86EFC" w:rsidRDefault="00D86EFC" w:rsidP="00E56DB7">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2A094484" w14:textId="77777777" w:rsidR="0032537A" w:rsidRDefault="00D86EFC" w:rsidP="00E56DB7">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D86EFC">
        <w:rPr>
          <w:rFonts w:ascii="Palatino Linotype" w:eastAsia="Palatino Linotype" w:hAnsi="Palatino Linotype" w:cs="Palatino Linotype"/>
          <w:color w:val="000000"/>
        </w:rPr>
        <w:t xml:space="preserve">Por último, en relación a la pretensión formulada por el entonces solicitante, relacionada con </w:t>
      </w:r>
      <w:r>
        <w:rPr>
          <w:rFonts w:ascii="Palatino Linotype" w:eastAsia="Palatino Linotype" w:hAnsi="Palatino Linotype" w:cs="Palatino Linotype"/>
          <w:color w:val="000000"/>
        </w:rPr>
        <w:t xml:space="preserve">el </w:t>
      </w:r>
      <w:r w:rsidR="00233A29">
        <w:rPr>
          <w:rFonts w:ascii="Palatino Linotype" w:eastAsia="Palatino Linotype" w:hAnsi="Palatino Linotype" w:cs="Palatino Linotype"/>
        </w:rPr>
        <w:t xml:space="preserve">soporte documental que dé cuenta o en el que se advierta </w:t>
      </w:r>
      <w:r w:rsidR="00233A29" w:rsidRPr="00233A29">
        <w:rPr>
          <w:rFonts w:ascii="Palatino Linotype" w:eastAsia="Palatino Linotype" w:hAnsi="Palatino Linotype" w:cs="Palatino Linotype"/>
          <w:u w:val="single"/>
        </w:rPr>
        <w:t xml:space="preserve">la </w:t>
      </w:r>
      <w:r w:rsidR="00233A29" w:rsidRPr="00233A29">
        <w:rPr>
          <w:rFonts w:ascii="Palatino Linotype" w:eastAsia="Palatino Linotype" w:hAnsi="Palatino Linotype" w:cs="Palatino Linotype"/>
          <w:color w:val="000000"/>
          <w:u w:val="single"/>
        </w:rPr>
        <w:t>participación de la Contraloría Municipal en la vigilancia de la calidad de la obra</w:t>
      </w:r>
      <w:r w:rsidR="00233A29">
        <w:rPr>
          <w:rFonts w:ascii="Palatino Linotype" w:eastAsia="Palatino Linotype" w:hAnsi="Palatino Linotype" w:cs="Palatino Linotype"/>
          <w:color w:val="000000"/>
        </w:rPr>
        <w:t xml:space="preserve"> </w:t>
      </w:r>
      <w:r w:rsidR="0046725B">
        <w:rPr>
          <w:rFonts w:ascii="Palatino Linotype" w:eastAsia="Palatino Linotype" w:hAnsi="Palatino Linotype" w:cs="Palatino Linotype"/>
          <w:color w:val="000000"/>
        </w:rPr>
        <w:t xml:space="preserve">y, es de señalar </w:t>
      </w:r>
      <w:r w:rsidR="00163B01">
        <w:rPr>
          <w:rFonts w:ascii="Palatino Linotype" w:eastAsia="Palatino Linotype" w:hAnsi="Palatino Linotype" w:cs="Palatino Linotype"/>
          <w:color w:val="000000"/>
        </w:rPr>
        <w:t>que el art</w:t>
      </w:r>
      <w:r w:rsidR="0032537A">
        <w:rPr>
          <w:rFonts w:ascii="Palatino Linotype" w:eastAsia="Palatino Linotype" w:hAnsi="Palatino Linotype" w:cs="Palatino Linotype"/>
          <w:color w:val="000000"/>
        </w:rPr>
        <w:t>ículo 112, fracciones VII y VIII</w:t>
      </w:r>
      <w:r w:rsidR="001D2F67">
        <w:rPr>
          <w:rFonts w:ascii="Palatino Linotype" w:eastAsia="Palatino Linotype" w:hAnsi="Palatino Linotype" w:cs="Palatino Linotype"/>
          <w:color w:val="000000"/>
        </w:rPr>
        <w:t xml:space="preserve"> y 113 E</w:t>
      </w:r>
      <w:r w:rsidR="0032537A">
        <w:rPr>
          <w:rFonts w:ascii="Palatino Linotype" w:eastAsia="Palatino Linotype" w:hAnsi="Palatino Linotype" w:cs="Palatino Linotype"/>
          <w:color w:val="000000"/>
        </w:rPr>
        <w:t xml:space="preserve"> </w:t>
      </w:r>
      <w:r w:rsidR="00163B01">
        <w:rPr>
          <w:rFonts w:ascii="Palatino Linotype" w:eastAsia="Palatino Linotype" w:hAnsi="Palatino Linotype" w:cs="Palatino Linotype"/>
          <w:color w:val="000000"/>
        </w:rPr>
        <w:t xml:space="preserve">de la </w:t>
      </w:r>
      <w:r w:rsidR="00163B01" w:rsidRPr="00163B01">
        <w:rPr>
          <w:rFonts w:ascii="Palatino Linotype" w:eastAsia="Palatino Linotype" w:hAnsi="Palatino Linotype" w:cs="Palatino Linotype"/>
          <w:color w:val="000000"/>
        </w:rPr>
        <w:t xml:space="preserve">Ley Orgánica Municipal del Estado de México </w:t>
      </w:r>
      <w:r w:rsidR="00163B01">
        <w:rPr>
          <w:rFonts w:ascii="Palatino Linotype" w:eastAsia="Palatino Linotype" w:hAnsi="Palatino Linotype" w:cs="Palatino Linotype"/>
          <w:color w:val="000000"/>
        </w:rPr>
        <w:t>establece</w:t>
      </w:r>
      <w:r w:rsidR="0032537A">
        <w:rPr>
          <w:rFonts w:ascii="Palatino Linotype" w:eastAsia="Palatino Linotype" w:hAnsi="Palatino Linotype" w:cs="Palatino Linotype"/>
          <w:color w:val="000000"/>
        </w:rPr>
        <w:t>n</w:t>
      </w:r>
      <w:r w:rsidR="00163B01">
        <w:rPr>
          <w:rFonts w:ascii="Palatino Linotype" w:eastAsia="Palatino Linotype" w:hAnsi="Palatino Linotype" w:cs="Palatino Linotype"/>
          <w:color w:val="000000"/>
        </w:rPr>
        <w:t xml:space="preserve"> como funci</w:t>
      </w:r>
      <w:r w:rsidR="0032537A">
        <w:rPr>
          <w:rFonts w:ascii="Palatino Linotype" w:eastAsia="Palatino Linotype" w:hAnsi="Palatino Linotype" w:cs="Palatino Linotype"/>
          <w:color w:val="000000"/>
        </w:rPr>
        <w:t>ones</w:t>
      </w:r>
      <w:r w:rsidR="00163B01">
        <w:rPr>
          <w:rFonts w:ascii="Palatino Linotype" w:eastAsia="Palatino Linotype" w:hAnsi="Palatino Linotype" w:cs="Palatino Linotype"/>
          <w:color w:val="000000"/>
        </w:rPr>
        <w:t xml:space="preserve"> de la Contraloría Interna</w:t>
      </w:r>
      <w:r w:rsidR="0032537A">
        <w:rPr>
          <w:rFonts w:ascii="Palatino Linotype" w:eastAsia="Palatino Linotype" w:hAnsi="Palatino Linotype" w:cs="Palatino Linotype"/>
          <w:color w:val="000000"/>
        </w:rPr>
        <w:t xml:space="preserve"> las siguientes: </w:t>
      </w:r>
    </w:p>
    <w:p w14:paraId="40963D11" w14:textId="77777777" w:rsidR="00336847" w:rsidRDefault="00336847" w:rsidP="00E56DB7">
      <w:pPr>
        <w:pBdr>
          <w:top w:val="nil"/>
          <w:left w:val="nil"/>
          <w:bottom w:val="nil"/>
          <w:right w:val="nil"/>
          <w:between w:val="nil"/>
        </w:pBdr>
        <w:spacing w:after="240" w:line="276" w:lineRule="auto"/>
        <w:ind w:left="851" w:right="616"/>
        <w:jc w:val="both"/>
        <w:rPr>
          <w:rFonts w:ascii="Palatino Linotype" w:hAnsi="Palatino Linotype"/>
          <w:i/>
          <w:sz w:val="22"/>
          <w:szCs w:val="22"/>
        </w:rPr>
      </w:pPr>
      <w:r>
        <w:rPr>
          <w:rFonts w:ascii="Palatino Linotype" w:hAnsi="Palatino Linotype"/>
          <w:b/>
          <w:i/>
          <w:sz w:val="22"/>
          <w:szCs w:val="22"/>
        </w:rPr>
        <w:t>“</w:t>
      </w:r>
      <w:r w:rsidR="0032537A" w:rsidRPr="00336847">
        <w:rPr>
          <w:rFonts w:ascii="Palatino Linotype" w:hAnsi="Palatino Linotype"/>
          <w:b/>
          <w:i/>
          <w:sz w:val="22"/>
          <w:szCs w:val="22"/>
        </w:rPr>
        <w:t>Artículo 112.</w:t>
      </w:r>
      <w:r w:rsidR="0032537A" w:rsidRPr="00336847">
        <w:rPr>
          <w:rFonts w:ascii="Palatino Linotype" w:hAnsi="Palatino Linotype"/>
          <w:i/>
          <w:sz w:val="22"/>
          <w:szCs w:val="22"/>
        </w:rPr>
        <w:t xml:space="preserve"> El </w:t>
      </w:r>
      <w:r w:rsidR="0032537A" w:rsidRPr="00A63506">
        <w:rPr>
          <w:rFonts w:ascii="Palatino Linotype" w:hAnsi="Palatino Linotype"/>
          <w:b/>
          <w:i/>
          <w:sz w:val="22"/>
          <w:szCs w:val="22"/>
        </w:rPr>
        <w:t>órgano interno de control municipal</w:t>
      </w:r>
      <w:r w:rsidR="0032537A" w:rsidRPr="00336847">
        <w:rPr>
          <w:rFonts w:ascii="Palatino Linotype" w:hAnsi="Palatino Linotype"/>
          <w:i/>
          <w:sz w:val="22"/>
          <w:szCs w:val="22"/>
        </w:rPr>
        <w:t>, tendrá a su cargo las funciones siguientes:</w:t>
      </w:r>
    </w:p>
    <w:p w14:paraId="5EB18918" w14:textId="77777777" w:rsidR="00336847" w:rsidRPr="00336847" w:rsidRDefault="00336847" w:rsidP="00E56DB7">
      <w:pPr>
        <w:pBdr>
          <w:top w:val="nil"/>
          <w:left w:val="nil"/>
          <w:bottom w:val="nil"/>
          <w:right w:val="nil"/>
          <w:between w:val="nil"/>
        </w:pBdr>
        <w:spacing w:after="240" w:line="276" w:lineRule="auto"/>
        <w:ind w:left="851" w:right="616"/>
        <w:jc w:val="both"/>
        <w:rPr>
          <w:rFonts w:ascii="Palatino Linotype" w:hAnsi="Palatino Linotype"/>
          <w:i/>
          <w:sz w:val="22"/>
          <w:szCs w:val="22"/>
        </w:rPr>
      </w:pPr>
      <w:r>
        <w:rPr>
          <w:rFonts w:ascii="Palatino Linotype" w:hAnsi="Palatino Linotype"/>
          <w:b/>
          <w:i/>
          <w:sz w:val="22"/>
          <w:szCs w:val="22"/>
        </w:rPr>
        <w:t>…</w:t>
      </w:r>
    </w:p>
    <w:p w14:paraId="5BE54857" w14:textId="77777777" w:rsidR="00336847" w:rsidRPr="00336847" w:rsidRDefault="00336847" w:rsidP="00E56DB7">
      <w:pPr>
        <w:pBdr>
          <w:top w:val="nil"/>
          <w:left w:val="nil"/>
          <w:bottom w:val="nil"/>
          <w:right w:val="nil"/>
          <w:between w:val="nil"/>
        </w:pBdr>
        <w:spacing w:after="240" w:line="276" w:lineRule="auto"/>
        <w:ind w:left="851" w:right="616"/>
        <w:jc w:val="both"/>
        <w:rPr>
          <w:rFonts w:ascii="Palatino Linotype" w:hAnsi="Palatino Linotype"/>
          <w:i/>
          <w:sz w:val="22"/>
          <w:szCs w:val="22"/>
        </w:rPr>
      </w:pPr>
      <w:r w:rsidRPr="00336847">
        <w:rPr>
          <w:rFonts w:ascii="Palatino Linotype" w:hAnsi="Palatino Linotype"/>
          <w:i/>
          <w:sz w:val="22"/>
          <w:szCs w:val="22"/>
        </w:rPr>
        <w:t>VII</w:t>
      </w:r>
      <w:r w:rsidRPr="00A63506">
        <w:rPr>
          <w:rFonts w:ascii="Palatino Linotype" w:hAnsi="Palatino Linotype"/>
          <w:b/>
          <w:i/>
          <w:sz w:val="22"/>
          <w:szCs w:val="22"/>
          <w:u w:val="single"/>
        </w:rPr>
        <w:t>. Vigilar el cumplimiento de las obligaciones de proveedores y contratistas de la administración pública municipal</w:t>
      </w:r>
      <w:r w:rsidRPr="00336847">
        <w:rPr>
          <w:rFonts w:ascii="Palatino Linotype" w:hAnsi="Palatino Linotype"/>
          <w:i/>
          <w:sz w:val="22"/>
          <w:szCs w:val="22"/>
        </w:rPr>
        <w:t xml:space="preserve">; </w:t>
      </w:r>
    </w:p>
    <w:p w14:paraId="06151DA8" w14:textId="77777777" w:rsidR="0046725B" w:rsidRDefault="00336847" w:rsidP="00E56DB7">
      <w:pPr>
        <w:pBdr>
          <w:top w:val="nil"/>
          <w:left w:val="nil"/>
          <w:bottom w:val="nil"/>
          <w:right w:val="nil"/>
          <w:between w:val="nil"/>
        </w:pBdr>
        <w:spacing w:after="240" w:line="276" w:lineRule="auto"/>
        <w:ind w:left="851" w:right="616"/>
        <w:jc w:val="both"/>
        <w:rPr>
          <w:rFonts w:ascii="Palatino Linotype" w:eastAsia="Palatino Linotype" w:hAnsi="Palatino Linotype" w:cs="Palatino Linotype"/>
          <w:i/>
          <w:color w:val="000000"/>
          <w:sz w:val="22"/>
          <w:szCs w:val="22"/>
        </w:rPr>
      </w:pPr>
      <w:r w:rsidRPr="00336847">
        <w:rPr>
          <w:rFonts w:ascii="Palatino Linotype" w:hAnsi="Palatino Linotype"/>
          <w:i/>
          <w:sz w:val="22"/>
          <w:szCs w:val="22"/>
        </w:rPr>
        <w:t>VIII. Coordinarse con el Órgano Superior de Fiscalización del Estado de México y la Contraloría del Poder Legislativo y con la Secretaría de la Contraloría del Estado para el cumplimiento de sus funciones;</w:t>
      </w:r>
      <w:r w:rsidR="00163B01" w:rsidRPr="00336847">
        <w:rPr>
          <w:rFonts w:ascii="Palatino Linotype" w:eastAsia="Palatino Linotype" w:hAnsi="Palatino Linotype" w:cs="Palatino Linotype"/>
          <w:i/>
          <w:color w:val="000000"/>
          <w:sz w:val="22"/>
          <w:szCs w:val="22"/>
        </w:rPr>
        <w:t xml:space="preserve"> </w:t>
      </w:r>
    </w:p>
    <w:p w14:paraId="731F66A8" w14:textId="77777777" w:rsidR="00336847" w:rsidRDefault="00336847" w:rsidP="00E56DB7">
      <w:pPr>
        <w:pBdr>
          <w:top w:val="nil"/>
          <w:left w:val="nil"/>
          <w:bottom w:val="nil"/>
          <w:right w:val="nil"/>
          <w:between w:val="nil"/>
        </w:pBdr>
        <w:spacing w:after="240"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6B236D1" w14:textId="77777777" w:rsidR="007512FA" w:rsidRDefault="001D2F67" w:rsidP="00E56DB7">
      <w:pPr>
        <w:pBdr>
          <w:top w:val="nil"/>
          <w:left w:val="nil"/>
          <w:bottom w:val="nil"/>
          <w:right w:val="nil"/>
          <w:between w:val="nil"/>
        </w:pBdr>
        <w:spacing w:after="240" w:line="276" w:lineRule="auto"/>
        <w:ind w:left="851" w:right="616"/>
        <w:jc w:val="both"/>
        <w:rPr>
          <w:rFonts w:ascii="Palatino Linotype" w:hAnsi="Palatino Linotype"/>
          <w:i/>
          <w:sz w:val="22"/>
          <w:szCs w:val="22"/>
        </w:rPr>
      </w:pPr>
      <w:r w:rsidRPr="00A63506">
        <w:rPr>
          <w:rFonts w:ascii="Palatino Linotype" w:hAnsi="Palatino Linotype"/>
          <w:b/>
          <w:i/>
          <w:sz w:val="22"/>
          <w:szCs w:val="22"/>
        </w:rPr>
        <w:t>Artículo 113 E</w:t>
      </w:r>
      <w:r w:rsidRPr="001D2F67">
        <w:rPr>
          <w:rFonts w:ascii="Palatino Linotype" w:hAnsi="Palatino Linotype"/>
          <w:i/>
          <w:sz w:val="22"/>
          <w:szCs w:val="22"/>
        </w:rPr>
        <w:t xml:space="preserve">.- Los comités ciudadanos de control y vigilancia </w:t>
      </w:r>
      <w:r w:rsidRPr="00A63506">
        <w:rPr>
          <w:rFonts w:ascii="Palatino Linotype" w:hAnsi="Palatino Linotype"/>
          <w:b/>
          <w:i/>
          <w:sz w:val="22"/>
          <w:szCs w:val="22"/>
          <w:u w:val="single"/>
        </w:rPr>
        <w:t>deberán apoyarse en las contralorías municipal</w:t>
      </w:r>
      <w:r w:rsidRPr="001D2F67">
        <w:rPr>
          <w:rFonts w:ascii="Palatino Linotype" w:hAnsi="Palatino Linotype"/>
          <w:i/>
          <w:sz w:val="22"/>
          <w:szCs w:val="22"/>
        </w:rPr>
        <w:t xml:space="preserve"> y estatal y coadyuvar con el órgano de control interno municipal en el desempeño de las funciones a que se refieren las fracciones VII y VIII del artículo 112 de esta ley</w:t>
      </w:r>
    </w:p>
    <w:p w14:paraId="4DEDA619" w14:textId="77777777" w:rsidR="00A63506" w:rsidRPr="007512FA" w:rsidRDefault="007512FA" w:rsidP="00E56DB7">
      <w:pPr>
        <w:pBdr>
          <w:top w:val="nil"/>
          <w:left w:val="nil"/>
          <w:bottom w:val="nil"/>
          <w:right w:val="nil"/>
          <w:between w:val="nil"/>
        </w:pBdr>
        <w:spacing w:after="240" w:line="360" w:lineRule="auto"/>
        <w:ind w:right="616"/>
        <w:jc w:val="both"/>
        <w:rPr>
          <w:rFonts w:ascii="Palatino Linotype" w:hAnsi="Palatino Linotype"/>
          <w:i/>
          <w:sz w:val="22"/>
          <w:szCs w:val="22"/>
        </w:rPr>
      </w:pPr>
      <w:r>
        <w:rPr>
          <w:rFonts w:ascii="Palatino Linotype" w:eastAsia="Palatino Linotype" w:hAnsi="Palatino Linotype" w:cs="Palatino Linotype"/>
          <w:color w:val="000000"/>
        </w:rPr>
        <w:lastRenderedPageBreak/>
        <w:t>Correlativo a lo anterior, el artículo 48 del Bando Municipal de Ecatepec de Morelos estipula:</w:t>
      </w:r>
    </w:p>
    <w:p w14:paraId="3109F36F" w14:textId="77777777" w:rsidR="00D86EFC" w:rsidRPr="00CB6871" w:rsidRDefault="007512FA" w:rsidP="00E56DB7">
      <w:pPr>
        <w:pBdr>
          <w:top w:val="nil"/>
          <w:left w:val="nil"/>
          <w:bottom w:val="nil"/>
          <w:right w:val="nil"/>
          <w:between w:val="nil"/>
        </w:pBdr>
        <w:spacing w:line="276" w:lineRule="auto"/>
        <w:ind w:left="851" w:right="616"/>
        <w:jc w:val="both"/>
        <w:rPr>
          <w:rFonts w:ascii="Palatino Linotype" w:eastAsia="Palatino Linotype" w:hAnsi="Palatino Linotype" w:cs="Palatino Linotype"/>
        </w:rPr>
      </w:pPr>
      <w:r w:rsidRPr="00394A9F">
        <w:rPr>
          <w:rFonts w:ascii="Palatino Linotype" w:hAnsi="Palatino Linotype"/>
          <w:i/>
          <w:sz w:val="22"/>
          <w:szCs w:val="22"/>
        </w:rPr>
        <w:t>“</w:t>
      </w:r>
      <w:r w:rsidRPr="00394A9F">
        <w:rPr>
          <w:rFonts w:ascii="Palatino Linotype" w:hAnsi="Palatino Linotype"/>
          <w:b/>
          <w:i/>
          <w:sz w:val="22"/>
          <w:szCs w:val="22"/>
        </w:rPr>
        <w:t>Artículo 48</w:t>
      </w:r>
      <w:r w:rsidRPr="00FD24F9">
        <w:rPr>
          <w:rFonts w:ascii="Palatino Linotype" w:hAnsi="Palatino Linotype"/>
          <w:b/>
          <w:i/>
          <w:sz w:val="22"/>
          <w:szCs w:val="22"/>
          <w:u w:val="single"/>
        </w:rPr>
        <w:t>. La Contraloría Interna Municipal</w:t>
      </w:r>
      <w:r w:rsidRPr="00394A9F">
        <w:rPr>
          <w:rFonts w:ascii="Palatino Linotype" w:hAnsi="Palatino Linotype"/>
          <w:i/>
          <w:sz w:val="22"/>
          <w:szCs w:val="22"/>
        </w:rPr>
        <w:t xml:space="preserve"> establecerá y ejecutará los sistemas de control y fiscalización y vigilará que la administración de la Hacienda Pública Municipal y las acciones de los servidores públicos se conduzcan en cumplimiento a las disposiciones legales vigentes aplicables. Asimismo</w:t>
      </w:r>
      <w:r w:rsidRPr="00FD24F9">
        <w:rPr>
          <w:rFonts w:ascii="Palatino Linotype" w:hAnsi="Palatino Linotype"/>
          <w:b/>
          <w:i/>
          <w:sz w:val="22"/>
          <w:szCs w:val="22"/>
          <w:u w:val="single"/>
        </w:rPr>
        <w:t>, planeará y programará el sistema de control y evaluación de la gestión pública municipal; establecerá las bases generales para la realización de auditorías, inspecciones y supervisiones; además de vigilar el cumplimiento de las obligaciones de proveedores y contratistas de la Administración Pública Municipal</w:t>
      </w:r>
      <w:r w:rsidRPr="00394A9F">
        <w:rPr>
          <w:rFonts w:ascii="Palatino Linotype" w:hAnsi="Palatino Linotype"/>
          <w:i/>
          <w:sz w:val="22"/>
          <w:szCs w:val="22"/>
        </w:rPr>
        <w:t>, así como la supervisión del análisis de riesgo y comités de riesgo, independientemente de las demás atribuciones que le señale la Constitución Política del Estado Libre y Soberano de México, la Ley Orgánica Municipal del Estado de México, la Ley de Responsabilidades Administrativas del Estado de México y Municipios, y demás disposiciones legales vigentes aplicables.</w:t>
      </w:r>
    </w:p>
    <w:p w14:paraId="65CCC7CF" w14:textId="77777777" w:rsidR="009F5960" w:rsidRDefault="009F5960" w:rsidP="00E56DB7">
      <w:pPr>
        <w:spacing w:line="360" w:lineRule="auto"/>
        <w:jc w:val="both"/>
        <w:rPr>
          <w:rFonts w:ascii="Palatino Linotype" w:eastAsia="Palatino Linotype" w:hAnsi="Palatino Linotype" w:cs="Palatino Linotype"/>
          <w:b/>
        </w:rPr>
      </w:pPr>
    </w:p>
    <w:p w14:paraId="7C1A2BE8" w14:textId="77777777" w:rsidR="00FD24F9" w:rsidRDefault="00FD24F9"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y una vez analizados los preceptos normativos citados se desprende que la Contraloría Municipal es competente para realizar acciones tendientes a vigilar el cumplimiento de las obligacione</w:t>
      </w:r>
      <w:r w:rsidR="00FD3B4E">
        <w:rPr>
          <w:rFonts w:ascii="Palatino Linotype" w:eastAsia="Palatino Linotype" w:hAnsi="Palatino Linotype" w:cs="Palatino Linotype"/>
        </w:rPr>
        <w:t>s de proveedores y contratistas; aunado a que cuenta con atribuciones para re</w:t>
      </w:r>
      <w:r w:rsidR="005F1250">
        <w:rPr>
          <w:rFonts w:ascii="Palatino Linotype" w:eastAsia="Palatino Linotype" w:hAnsi="Palatino Linotype" w:cs="Palatino Linotype"/>
        </w:rPr>
        <w:t>a</w:t>
      </w:r>
      <w:r w:rsidR="00FD3B4E">
        <w:rPr>
          <w:rFonts w:ascii="Palatino Linotype" w:eastAsia="Palatino Linotype" w:hAnsi="Palatino Linotype" w:cs="Palatino Linotype"/>
        </w:rPr>
        <w:t xml:space="preserve">lizar auditorías, inspecciones y supervisiones. </w:t>
      </w:r>
    </w:p>
    <w:p w14:paraId="13137013" w14:textId="77777777" w:rsidR="00FD3B4E" w:rsidRDefault="00FD3B4E" w:rsidP="00E56DB7">
      <w:pPr>
        <w:spacing w:line="360" w:lineRule="auto"/>
        <w:jc w:val="both"/>
        <w:rPr>
          <w:rFonts w:ascii="Palatino Linotype" w:eastAsia="Palatino Linotype" w:hAnsi="Palatino Linotype" w:cs="Palatino Linotype"/>
        </w:rPr>
      </w:pPr>
    </w:p>
    <w:p w14:paraId="6BBF4811" w14:textId="77777777" w:rsidR="005F1250" w:rsidRPr="005F1250" w:rsidRDefault="005F1250" w:rsidP="00E56DB7">
      <w:pPr>
        <w:autoSpaceDE w:val="0"/>
        <w:autoSpaceDN w:val="0"/>
        <w:adjustRightInd w:val="0"/>
        <w:spacing w:line="360" w:lineRule="auto"/>
        <w:jc w:val="both"/>
        <w:rPr>
          <w:rFonts w:ascii="Palatino Linotype" w:eastAsia="MS Mincho" w:hAnsi="Palatino Linotype" w:cstheme="minorBidi"/>
          <w:lang w:val="es-ES_tradnl"/>
        </w:rPr>
      </w:pPr>
      <w:r w:rsidRPr="005F1250">
        <w:rPr>
          <w:rFonts w:ascii="Palatino Linotype" w:hAnsi="Palatino Linotype"/>
        </w:rPr>
        <w:t xml:space="preserve">Derivado de lo anterior, </w:t>
      </w:r>
      <w:r w:rsidRPr="005F1250">
        <w:rPr>
          <w:rFonts w:ascii="Palatino Linotype" w:eastAsia="MS Mincho" w:hAnsi="Palatino Linotype" w:cstheme="minorBidi"/>
          <w:lang w:val="es-ES_tradnl"/>
        </w:rPr>
        <w:t>es necesario destacar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14:paraId="243C92BD" w14:textId="77777777" w:rsidR="005F1250" w:rsidRPr="005F1250" w:rsidRDefault="005F1250" w:rsidP="00E56DB7">
      <w:pPr>
        <w:autoSpaceDE w:val="0"/>
        <w:autoSpaceDN w:val="0"/>
        <w:adjustRightInd w:val="0"/>
        <w:spacing w:line="360" w:lineRule="auto"/>
        <w:jc w:val="both"/>
        <w:rPr>
          <w:rFonts w:ascii="Palatino Linotype" w:eastAsia="MS Mincho" w:hAnsi="Palatino Linotype" w:cstheme="minorBidi"/>
          <w:lang w:val="es-ES_tradnl"/>
        </w:rPr>
      </w:pPr>
    </w:p>
    <w:p w14:paraId="42D61921" w14:textId="77777777" w:rsidR="005F1250" w:rsidRPr="005F1250" w:rsidRDefault="005F1250" w:rsidP="00E56DB7">
      <w:pPr>
        <w:autoSpaceDE w:val="0"/>
        <w:autoSpaceDN w:val="0"/>
        <w:adjustRightInd w:val="0"/>
        <w:spacing w:line="276" w:lineRule="auto"/>
        <w:ind w:left="851" w:right="902"/>
        <w:jc w:val="both"/>
        <w:rPr>
          <w:rFonts w:ascii="Palatino Linotype" w:eastAsiaTheme="minorEastAsia" w:hAnsi="Palatino Linotype" w:cs="Arial"/>
          <w:i/>
          <w:sz w:val="22"/>
          <w:szCs w:val="22"/>
        </w:rPr>
      </w:pPr>
      <w:r w:rsidRPr="005F1250">
        <w:rPr>
          <w:rFonts w:ascii="Palatino Linotype" w:eastAsiaTheme="minorEastAsia" w:hAnsi="Palatino Linotype" w:cs="Arial"/>
          <w:b/>
          <w:bCs/>
          <w:i/>
          <w:sz w:val="22"/>
          <w:szCs w:val="22"/>
        </w:rPr>
        <w:lastRenderedPageBreak/>
        <w:t xml:space="preserve">“Artículo 18. </w:t>
      </w:r>
      <w:r w:rsidRPr="005F1250">
        <w:rPr>
          <w:rFonts w:ascii="Palatino Linotype" w:eastAsiaTheme="minorEastAsia" w:hAnsi="Palatino Linotype" w:cs="Arial"/>
          <w:i/>
          <w:sz w:val="22"/>
          <w:szCs w:val="22"/>
        </w:rPr>
        <w:t xml:space="preserve">Los sujetos obligados deberán </w:t>
      </w:r>
      <w:r w:rsidRPr="00CA2BFF">
        <w:rPr>
          <w:rFonts w:ascii="Palatino Linotype" w:eastAsiaTheme="minorEastAsia" w:hAnsi="Palatino Linotype" w:cs="Arial"/>
          <w:b/>
          <w:i/>
          <w:sz w:val="22"/>
          <w:szCs w:val="22"/>
          <w:u w:val="single"/>
        </w:rPr>
        <w:t>documentar todo acto que derive del ejercicio de sus facultades, competencias o funciones</w:t>
      </w:r>
      <w:r w:rsidRPr="005F1250">
        <w:rPr>
          <w:rFonts w:ascii="Palatino Linotype" w:eastAsiaTheme="minorEastAsia" w:hAnsi="Palatino Linotype" w:cs="Arial"/>
          <w:i/>
          <w:sz w:val="22"/>
          <w:szCs w:val="22"/>
        </w:rPr>
        <w:t>, considerando desde su origen la eventual publicidad y reutilización de la información que generen.” (Sic)</w:t>
      </w:r>
    </w:p>
    <w:p w14:paraId="2A8ED0DF" w14:textId="77777777" w:rsidR="005F1250" w:rsidRPr="005F1250" w:rsidRDefault="005F1250" w:rsidP="00E56DB7">
      <w:pPr>
        <w:autoSpaceDE w:val="0"/>
        <w:autoSpaceDN w:val="0"/>
        <w:adjustRightInd w:val="0"/>
        <w:spacing w:line="360" w:lineRule="auto"/>
        <w:ind w:left="851" w:right="902"/>
        <w:jc w:val="both"/>
        <w:rPr>
          <w:rFonts w:ascii="Palatino Linotype" w:eastAsiaTheme="minorEastAsia" w:hAnsi="Palatino Linotype" w:cs="Arial"/>
          <w:b/>
          <w:i/>
          <w:sz w:val="22"/>
          <w:szCs w:val="22"/>
        </w:rPr>
      </w:pPr>
    </w:p>
    <w:p w14:paraId="43EFB23C" w14:textId="77777777" w:rsidR="005F1250" w:rsidRPr="005F1250" w:rsidRDefault="005F1250" w:rsidP="00E56DB7">
      <w:pPr>
        <w:autoSpaceDE w:val="0"/>
        <w:autoSpaceDN w:val="0"/>
        <w:adjustRightInd w:val="0"/>
        <w:spacing w:line="360" w:lineRule="auto"/>
        <w:jc w:val="both"/>
        <w:rPr>
          <w:rFonts w:ascii="Palatino Linotype" w:eastAsia="MS Mincho" w:hAnsi="Palatino Linotype" w:cs="Tahoma"/>
          <w:lang w:val="es-ES_tradnl"/>
        </w:rPr>
      </w:pPr>
      <w:r w:rsidRPr="005F1250">
        <w:rPr>
          <w:rFonts w:ascii="Palatino Linotype" w:eastAsiaTheme="minorEastAsia" w:hAnsi="Palatino Linotype" w:cs="Arial"/>
          <w:lang w:val="es-ES_tradnl"/>
        </w:rPr>
        <w:t xml:space="preserve">De la misma </w:t>
      </w:r>
      <w:r w:rsidRPr="005F1250">
        <w:rPr>
          <w:rFonts w:ascii="Palatino Linotype" w:eastAsia="MS Mincho" w:hAnsi="Palatino Linotype" w:cstheme="minorBidi"/>
          <w:lang w:val="es-ES_tradnl"/>
        </w:rPr>
        <w:t>forma</w:t>
      </w:r>
      <w:r w:rsidRPr="005F1250">
        <w:rPr>
          <w:rFonts w:ascii="Palatino Linotype" w:eastAsiaTheme="minorEastAsia" w:hAnsi="Palatino Linotype" w:cs="Arial"/>
          <w:lang w:val="es-ES_tradnl"/>
        </w:rPr>
        <w:t xml:space="preserve">, </w:t>
      </w:r>
      <w:r w:rsidRPr="005F1250">
        <w:rPr>
          <w:rFonts w:ascii="Palatino Linotype" w:eastAsia="MS Mincho" w:hAnsi="Palatino Linotype" w:cstheme="minorBidi"/>
          <w:lang w:val="es-ES_tradnl"/>
        </w:rPr>
        <w:t>se cita el contenido del artículo 160</w:t>
      </w:r>
      <w:r w:rsidRPr="005F1250">
        <w:rPr>
          <w:rFonts w:ascii="Palatino Linotype" w:eastAsiaTheme="minorEastAsia" w:hAnsi="Palatino Linotype" w:cs="Arial"/>
          <w:lang w:val="es-ES_tradnl"/>
        </w:rPr>
        <w:t xml:space="preserve"> de la Ley </w:t>
      </w:r>
      <w:r w:rsidRPr="005F1250">
        <w:rPr>
          <w:rFonts w:ascii="Palatino Linotype" w:eastAsia="MS Mincho" w:hAnsi="Palatino Linotype" w:cs="Tahoma"/>
          <w:lang w:val="es-ES_tradnl"/>
        </w:rPr>
        <w:t>General de Transparencia y Acceso a la Información Pública que a la letra dispone:</w:t>
      </w:r>
    </w:p>
    <w:p w14:paraId="5D957C9D" w14:textId="77777777" w:rsidR="005F1250" w:rsidRPr="005F1250" w:rsidRDefault="005F1250" w:rsidP="00E56DB7">
      <w:pPr>
        <w:autoSpaceDE w:val="0"/>
        <w:autoSpaceDN w:val="0"/>
        <w:adjustRightInd w:val="0"/>
        <w:spacing w:line="360" w:lineRule="auto"/>
        <w:jc w:val="both"/>
        <w:rPr>
          <w:rFonts w:ascii="Palatino Linotype" w:eastAsia="MS Mincho" w:hAnsi="Palatino Linotype" w:cs="Tahoma"/>
          <w:lang w:val="es-ES_tradnl"/>
        </w:rPr>
      </w:pPr>
    </w:p>
    <w:p w14:paraId="4ADA848D" w14:textId="77777777" w:rsidR="005F1250" w:rsidRPr="005F1250" w:rsidRDefault="005F1250" w:rsidP="00E56DB7">
      <w:pPr>
        <w:spacing w:line="276" w:lineRule="auto"/>
        <w:ind w:left="851" w:right="901"/>
        <w:jc w:val="both"/>
        <w:rPr>
          <w:rFonts w:ascii="Palatino Linotype" w:eastAsiaTheme="minorEastAsia" w:hAnsi="Palatino Linotype" w:cs="Arial"/>
          <w:i/>
          <w:sz w:val="22"/>
          <w:szCs w:val="22"/>
          <w:lang w:val="es-ES_tradnl" w:eastAsia="gl-ES"/>
        </w:rPr>
      </w:pPr>
      <w:r w:rsidRPr="005F1250">
        <w:rPr>
          <w:rFonts w:ascii="Palatino Linotype" w:eastAsiaTheme="minorEastAsia" w:hAnsi="Palatino Linotype" w:cs="Arial"/>
          <w:b/>
          <w:i/>
          <w:sz w:val="22"/>
          <w:szCs w:val="22"/>
          <w:lang w:val="es-ES_tradnl" w:eastAsia="gl-ES"/>
        </w:rPr>
        <w:t>“Artículo 160</w:t>
      </w:r>
      <w:r w:rsidRPr="005F1250">
        <w:rPr>
          <w:rFonts w:ascii="Palatino Linotype" w:eastAsiaTheme="minorEastAsia" w:hAnsi="Palatino Linotype" w:cs="Arial"/>
          <w:i/>
          <w:sz w:val="22"/>
          <w:szCs w:val="22"/>
          <w:lang w:val="es-ES_tradnl" w:eastAsia="gl-ES"/>
        </w:rPr>
        <w:t xml:space="preserve">. Los </w:t>
      </w:r>
      <w:r w:rsidRPr="005F1250">
        <w:rPr>
          <w:rFonts w:ascii="Palatino Linotype" w:eastAsiaTheme="minorEastAsia" w:hAnsi="Palatino Linotype" w:cs="Arial"/>
          <w:i/>
          <w:sz w:val="22"/>
          <w:szCs w:val="22"/>
          <w:lang w:val="es-ES_tradnl"/>
        </w:rPr>
        <w:t>sujetos</w:t>
      </w:r>
      <w:r w:rsidRPr="005F1250">
        <w:rPr>
          <w:rFonts w:ascii="Palatino Linotype" w:eastAsiaTheme="minorEastAsia" w:hAnsi="Palatino Linotype" w:cs="Arial"/>
          <w:i/>
          <w:sz w:val="22"/>
          <w:szCs w:val="22"/>
          <w:lang w:val="es-ES_tradnl" w:eastAsia="gl-ES"/>
        </w:rPr>
        <w:t xml:space="preserve"> obligados deberán otorgar acceso a los documentos que se encuentren en sus archivos o </w:t>
      </w:r>
      <w:r w:rsidRPr="00CA2BFF">
        <w:rPr>
          <w:rFonts w:ascii="Palatino Linotype" w:eastAsiaTheme="minorEastAsia" w:hAnsi="Palatino Linotype" w:cs="Arial"/>
          <w:b/>
          <w:i/>
          <w:sz w:val="22"/>
          <w:szCs w:val="22"/>
          <w:u w:val="single"/>
          <w:lang w:val="es-ES_tradnl" w:eastAsia="gl-ES"/>
        </w:rPr>
        <w:t xml:space="preserve">que estén obligados a documentar de acuerdo con sus facultades, competencias o funciones </w:t>
      </w:r>
      <w:r w:rsidRPr="005F1250">
        <w:rPr>
          <w:rFonts w:ascii="Palatino Linotype" w:eastAsiaTheme="minorEastAsia" w:hAnsi="Palatino Linotype" w:cs="Arial"/>
          <w:i/>
          <w:sz w:val="22"/>
          <w:szCs w:val="22"/>
          <w:lang w:val="es-ES_tradnl" w:eastAsia="gl-ES"/>
        </w:rPr>
        <w:t>en el formato que el solicitante manifieste, de entre aquellos formatos existentes, conforme a las características físicas de la información o del lugar donde se encuentre así lo permita”</w:t>
      </w:r>
      <w:r w:rsidRPr="005F1250">
        <w:rPr>
          <w:rFonts w:ascii="Palatino Linotype" w:eastAsiaTheme="minorEastAsia" w:hAnsi="Palatino Linotype" w:cs="Arial"/>
          <w:i/>
          <w:sz w:val="22"/>
          <w:szCs w:val="22"/>
        </w:rPr>
        <w:t xml:space="preserve"> (Sic)</w:t>
      </w:r>
    </w:p>
    <w:p w14:paraId="3C1BF62E" w14:textId="77777777" w:rsidR="005F1250" w:rsidRDefault="005F1250" w:rsidP="00E56DB7">
      <w:pPr>
        <w:spacing w:line="360" w:lineRule="auto"/>
        <w:jc w:val="both"/>
        <w:rPr>
          <w:rFonts w:ascii="Palatino Linotype" w:eastAsia="Palatino Linotype" w:hAnsi="Palatino Linotype" w:cs="Palatino Linotype"/>
        </w:rPr>
      </w:pPr>
    </w:p>
    <w:p w14:paraId="17C01E33" w14:textId="77777777" w:rsidR="00FD3B4E" w:rsidRDefault="003214A1"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en atención a las consideraciones señaladas es procedente ordenar la entrega del soporte documental que dé cuenta o en el que se advierta</w:t>
      </w:r>
      <w:r w:rsidR="00FD3AC6">
        <w:rPr>
          <w:rFonts w:ascii="Palatino Linotype" w:eastAsia="Palatino Linotype" w:hAnsi="Palatino Linotype" w:cs="Palatino Linotype"/>
        </w:rPr>
        <w:t xml:space="preserve"> la </w:t>
      </w:r>
      <w:r w:rsidR="00FD3AC6">
        <w:rPr>
          <w:rFonts w:ascii="Palatino Linotype" w:eastAsia="Palatino Linotype" w:hAnsi="Palatino Linotype" w:cs="Palatino Linotype"/>
          <w:color w:val="000000"/>
        </w:rPr>
        <w:t xml:space="preserve">participación de la Contraloría Municipal en la vigilancia de la calidad de la obra </w:t>
      </w:r>
      <w:r w:rsidR="00EA2E04">
        <w:rPr>
          <w:rFonts w:ascii="Palatino Linotype" w:eastAsia="Palatino Linotype" w:hAnsi="Palatino Linotype" w:cs="Palatino Linotype"/>
        </w:rPr>
        <w:t xml:space="preserve">de pavimentación y drenaje en la Avenida Veracruz (camino a ojo de agua) en las colonias las Brisas y Chiconautla, de ser procedente en versión pública. </w:t>
      </w:r>
    </w:p>
    <w:p w14:paraId="40535C0D" w14:textId="77777777" w:rsidR="008C041B" w:rsidRDefault="008C041B" w:rsidP="00E56DB7">
      <w:pPr>
        <w:spacing w:line="360" w:lineRule="auto"/>
        <w:jc w:val="both"/>
        <w:rPr>
          <w:rFonts w:ascii="Palatino Linotype" w:eastAsia="Palatino Linotype" w:hAnsi="Palatino Linotype" w:cs="Palatino Linotype"/>
        </w:rPr>
      </w:pPr>
    </w:p>
    <w:p w14:paraId="58FF2A2D" w14:textId="77777777" w:rsidR="008C041B" w:rsidRPr="008C041B" w:rsidRDefault="008C041B" w:rsidP="00E56DB7">
      <w:pPr>
        <w:spacing w:line="360" w:lineRule="auto"/>
        <w:jc w:val="both"/>
        <w:rPr>
          <w:rFonts w:ascii="Palatino Linotype" w:eastAsia="Calibri" w:hAnsi="Palatino Linotype" w:cs="Tahoma"/>
          <w:iCs/>
          <w:lang w:val="es-ES" w:eastAsia="es-ES_tradnl"/>
        </w:rPr>
      </w:pPr>
      <w:r w:rsidRPr="008C041B">
        <w:rPr>
          <w:rFonts w:ascii="Palatino Linotype" w:eastAsia="Calibri" w:hAnsi="Palatino Linotype" w:cs="Tahoma"/>
          <w:iCs/>
          <w:lang w:val="es-ES" w:eastAsia="es-ES_tradnl"/>
        </w:rPr>
        <w:t xml:space="preserve">Es preciso señalar que en materia de transparencia, para que resulte procedente la entrega de la información que se solicite, es necesario que esta obre en cualquier documento que el Sujeto Obligado,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w:t>
      </w:r>
      <w:r w:rsidRPr="008C041B">
        <w:rPr>
          <w:rFonts w:ascii="Palatino Linotype" w:eastAsia="Calibri" w:hAnsi="Palatino Linotype" w:cs="Tahoma"/>
          <w:iCs/>
          <w:lang w:val="es-ES" w:eastAsia="es-ES_tradnl"/>
        </w:rPr>
        <w:lastRenderedPageBreak/>
        <w:t xml:space="preserve">información que el Particular desea conocer; por lo que resulta poco garante reservar la información solicitada, pues el Sujeto Obligado cuenta en sus archivos con diversos documentos que son públicos, por lo que solo se dilata la atención del derecho de acceso a la información pública del Recurrente; y lo procedente es proporcionar los documentos que no sufren modificación alguna, además de que en caso de sufrir alguna modificación se debe generar otro documento, </w:t>
      </w:r>
      <w:r w:rsidR="004310DB">
        <w:rPr>
          <w:rFonts w:ascii="Palatino Linotype" w:eastAsia="Calibri" w:hAnsi="Palatino Linotype" w:cs="Tahoma"/>
          <w:iCs/>
          <w:lang w:val="es-ES" w:eastAsia="es-ES_tradnl"/>
        </w:rPr>
        <w:t xml:space="preserve">pero la documentación generada y recibida </w:t>
      </w:r>
      <w:r w:rsidRPr="008C041B">
        <w:rPr>
          <w:rFonts w:ascii="Palatino Linotype" w:eastAsia="Calibri" w:hAnsi="Palatino Linotype" w:cs="Tahoma"/>
          <w:iCs/>
          <w:lang w:val="es-ES" w:eastAsia="es-ES_tradnl"/>
        </w:rPr>
        <w:t>por el Ayuntamiento en ejercicio de sus funciones resulta ser público, ahora bien, resulta prudente tomar en consideración lo plasmado en el criterio 09/2004 emitido por la Suprema Corte de Justicia de la Nación, e incluso referido por el Particular en sus motivos de inconformidad cuya literalidad es la siguiente:</w:t>
      </w:r>
    </w:p>
    <w:p w14:paraId="5001D6D0" w14:textId="77777777" w:rsidR="008C041B" w:rsidRPr="008C041B" w:rsidRDefault="008C041B" w:rsidP="00E56DB7">
      <w:pPr>
        <w:tabs>
          <w:tab w:val="left" w:pos="4962"/>
        </w:tabs>
        <w:spacing w:line="360" w:lineRule="auto"/>
        <w:jc w:val="both"/>
        <w:rPr>
          <w:rFonts w:ascii="Palatino Linotype" w:eastAsia="Calibri" w:hAnsi="Palatino Linotype" w:cs="Tahoma"/>
          <w:iCs/>
          <w:sz w:val="22"/>
          <w:szCs w:val="22"/>
          <w:lang w:val="es-ES" w:eastAsia="es-ES_tradnl"/>
        </w:rPr>
      </w:pPr>
    </w:p>
    <w:p w14:paraId="719ADAED" w14:textId="77777777" w:rsidR="008C041B" w:rsidRPr="008C041B" w:rsidRDefault="008C041B" w:rsidP="00E56DB7">
      <w:pPr>
        <w:tabs>
          <w:tab w:val="left" w:pos="4962"/>
        </w:tabs>
        <w:spacing w:line="276" w:lineRule="auto"/>
        <w:ind w:left="567" w:right="539"/>
        <w:jc w:val="both"/>
        <w:rPr>
          <w:rFonts w:ascii="Palatino Linotype" w:eastAsia="Calibri" w:hAnsi="Palatino Linotype" w:cs="Tahoma"/>
          <w:i/>
          <w:iCs/>
          <w:sz w:val="22"/>
          <w:szCs w:val="22"/>
          <w:lang w:val="es-ES" w:eastAsia="es-ES_tradnl"/>
        </w:rPr>
      </w:pPr>
      <w:r w:rsidRPr="008C041B">
        <w:rPr>
          <w:rFonts w:ascii="Palatino Linotype" w:eastAsia="Calibri" w:hAnsi="Palatino Linotype" w:cs="Tahoma"/>
          <w:i/>
          <w:iCs/>
          <w:sz w:val="22"/>
          <w:szCs w:val="22"/>
          <w:lang w:val="es-ES" w:eastAsia="es-ES_tradnl"/>
        </w:rPr>
        <w:t>"</w:t>
      </w:r>
      <w:r w:rsidRPr="008C041B">
        <w:rPr>
          <w:rFonts w:ascii="Palatino Linotype" w:eastAsia="Calibri" w:hAnsi="Palatino Linotype" w:cs="Tahoma"/>
          <w:b/>
          <w:i/>
          <w:iCs/>
          <w:sz w:val="22"/>
          <w:szCs w:val="22"/>
          <w:lang w:val="es-ES" w:eastAsia="es-ES_tradnl"/>
        </w:rPr>
        <w:t>INFORMACIÓN SUJETA A REVISIÓN. SI YA CONSTA EN UN DOCUMENTO DEFINITIVO, DEBE PERMITIRSE EL ACCESO A ÉSTE</w:t>
      </w:r>
      <w:r w:rsidRPr="008C041B">
        <w:rPr>
          <w:rFonts w:ascii="Palatino Linotype" w:eastAsia="Calibri" w:hAnsi="Palatino Linotype" w:cs="Tahoma"/>
          <w:i/>
          <w:iCs/>
          <w:sz w:val="22"/>
          <w:szCs w:val="22"/>
          <w:lang w:val="es-ES" w:eastAsia="es-ES_tradnl"/>
        </w:rPr>
        <w:t xml:space="preserve">. Para el otorgamiento del acceso a la información que consta en un documento definitivo, </w:t>
      </w:r>
      <w:r w:rsidRPr="004310DB">
        <w:rPr>
          <w:rFonts w:ascii="Palatino Linotype" w:eastAsia="Calibri" w:hAnsi="Palatino Linotype" w:cs="Tahoma"/>
          <w:b/>
          <w:i/>
          <w:iCs/>
          <w:sz w:val="22"/>
          <w:szCs w:val="22"/>
          <w:u w:val="single"/>
          <w:lang w:val="es-ES" w:eastAsia="es-ES_tradnl"/>
        </w:rPr>
        <w:t>no obsta que el mismo se encuentre sujeto a un proceso de revisión, pues la información existe y se encuentra plasmada en un documento</w:t>
      </w:r>
      <w:r w:rsidRPr="008C041B">
        <w:rPr>
          <w:rFonts w:ascii="Palatino Linotype" w:eastAsia="Calibri" w:hAnsi="Palatino Linotype" w:cs="Tahoma"/>
          <w:i/>
          <w:iCs/>
          <w:sz w:val="22"/>
          <w:szCs w:val="22"/>
          <w:lang w:val="es-ES" w:eastAsia="es-ES_tradnl"/>
        </w:rPr>
        <w:t xml:space="preserve">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5CCDAF7B" w14:textId="77777777" w:rsidR="008C041B" w:rsidRPr="008C041B" w:rsidRDefault="008C041B" w:rsidP="00E56DB7">
      <w:pPr>
        <w:tabs>
          <w:tab w:val="left" w:pos="4962"/>
        </w:tabs>
        <w:spacing w:line="276" w:lineRule="auto"/>
        <w:ind w:left="567" w:right="539"/>
        <w:jc w:val="both"/>
        <w:rPr>
          <w:rFonts w:ascii="Palatino Linotype" w:eastAsia="Calibri" w:hAnsi="Palatino Linotype" w:cs="Tahoma"/>
          <w:i/>
          <w:iCs/>
          <w:sz w:val="22"/>
          <w:szCs w:val="22"/>
          <w:lang w:val="es-ES" w:eastAsia="es-ES_tradnl"/>
        </w:rPr>
      </w:pPr>
      <w:r w:rsidRPr="008C041B">
        <w:rPr>
          <w:rFonts w:ascii="Palatino Linotype" w:eastAsia="Calibri" w:hAnsi="Palatino Linotype" w:cs="Tahoma"/>
          <w:i/>
          <w:iCs/>
          <w:sz w:val="22"/>
          <w:szCs w:val="22"/>
          <w:lang w:val="es-ES" w:eastAsia="es-ES_tradnl"/>
        </w:rPr>
        <w:t>Clasificación de la información 10/2004-J, 19 de mayo de 2004.</w:t>
      </w:r>
    </w:p>
    <w:p w14:paraId="59D1E569" w14:textId="77777777" w:rsidR="008C041B" w:rsidRPr="008C041B" w:rsidRDefault="008C041B" w:rsidP="00E56DB7">
      <w:pPr>
        <w:tabs>
          <w:tab w:val="left" w:pos="4962"/>
        </w:tabs>
        <w:spacing w:line="276" w:lineRule="auto"/>
        <w:ind w:left="567" w:right="539"/>
        <w:jc w:val="both"/>
        <w:rPr>
          <w:rFonts w:ascii="Palatino Linotype" w:eastAsia="Calibri" w:hAnsi="Palatino Linotype" w:cs="Tahoma"/>
          <w:i/>
          <w:iCs/>
          <w:sz w:val="22"/>
          <w:szCs w:val="22"/>
          <w:lang w:val="es-ES" w:eastAsia="es-ES_tradnl"/>
        </w:rPr>
      </w:pPr>
      <w:r w:rsidRPr="008C041B">
        <w:rPr>
          <w:rFonts w:ascii="Palatino Linotype" w:eastAsia="Calibri" w:hAnsi="Palatino Linotype" w:cs="Tahoma"/>
          <w:i/>
          <w:iCs/>
          <w:sz w:val="22"/>
          <w:szCs w:val="22"/>
          <w:lang w:val="es-ES" w:eastAsia="es-ES_tradnl"/>
        </w:rPr>
        <w:t>Unanimidad de votos"</w:t>
      </w:r>
    </w:p>
    <w:p w14:paraId="645AE447" w14:textId="77777777" w:rsidR="008C041B" w:rsidRPr="008C041B" w:rsidRDefault="008C041B" w:rsidP="00E56DB7">
      <w:pPr>
        <w:tabs>
          <w:tab w:val="left" w:pos="4962"/>
        </w:tabs>
        <w:spacing w:line="360" w:lineRule="auto"/>
        <w:jc w:val="both"/>
        <w:rPr>
          <w:rFonts w:ascii="Palatino Linotype" w:eastAsia="Calibri" w:hAnsi="Palatino Linotype" w:cs="Tahoma"/>
          <w:iCs/>
          <w:sz w:val="22"/>
          <w:szCs w:val="22"/>
          <w:lang w:val="es-ES" w:eastAsia="es-ES_tradnl"/>
        </w:rPr>
      </w:pPr>
    </w:p>
    <w:p w14:paraId="0DF470A8" w14:textId="77777777" w:rsidR="008C041B" w:rsidRPr="008C041B" w:rsidRDefault="008C041B" w:rsidP="00E56DB7">
      <w:pPr>
        <w:tabs>
          <w:tab w:val="left" w:pos="4962"/>
        </w:tabs>
        <w:spacing w:line="360" w:lineRule="auto"/>
        <w:jc w:val="both"/>
        <w:rPr>
          <w:rFonts w:ascii="Palatino Linotype" w:eastAsia="Calibri" w:hAnsi="Palatino Linotype" w:cs="Tahoma"/>
          <w:iCs/>
          <w:lang w:val="es-ES" w:eastAsia="es-ES_tradnl"/>
        </w:rPr>
      </w:pPr>
      <w:r w:rsidRPr="008C041B">
        <w:rPr>
          <w:rFonts w:ascii="Palatino Linotype" w:eastAsia="Calibri" w:hAnsi="Palatino Linotype" w:cs="Tahoma"/>
          <w:iCs/>
          <w:lang w:val="es-ES" w:eastAsia="es-ES_tradnl"/>
        </w:rPr>
        <w:lastRenderedPageBreak/>
        <w:t>Del anterior criterio se puede deducir que para el caso de acceso sobre documentos que se encuentren en un proceso de revisión no debe implicar la falta de estos, siempre que sean definitivos, por lo que deberá per</w:t>
      </w:r>
      <w:r w:rsidR="00DB31D3">
        <w:rPr>
          <w:rFonts w:ascii="Palatino Linotype" w:eastAsia="Calibri" w:hAnsi="Palatino Linotype" w:cs="Tahoma"/>
          <w:iCs/>
          <w:lang w:val="es-ES" w:eastAsia="es-ES_tradnl"/>
        </w:rPr>
        <w:t>mitirse el acceso a los mismos.</w:t>
      </w:r>
    </w:p>
    <w:p w14:paraId="75928FFB" w14:textId="77777777" w:rsidR="008C041B" w:rsidRPr="008C041B" w:rsidRDefault="008C041B" w:rsidP="00E56DB7">
      <w:pPr>
        <w:spacing w:line="360" w:lineRule="auto"/>
        <w:jc w:val="both"/>
        <w:rPr>
          <w:rFonts w:ascii="Palatino Linotype" w:eastAsia="Calibri" w:hAnsi="Palatino Linotype" w:cs="Tahoma"/>
          <w:iCs/>
          <w:lang w:val="es-ES" w:eastAsia="es-ES_tradnl"/>
        </w:rPr>
      </w:pPr>
    </w:p>
    <w:p w14:paraId="12AA7DCF" w14:textId="77777777" w:rsidR="008C041B" w:rsidRPr="008C041B" w:rsidRDefault="008C041B" w:rsidP="00E56DB7">
      <w:pPr>
        <w:spacing w:line="360" w:lineRule="auto"/>
        <w:jc w:val="both"/>
        <w:rPr>
          <w:rFonts w:ascii="Palatino Linotype" w:eastAsia="Calibri" w:hAnsi="Palatino Linotype" w:cs="Tahoma"/>
          <w:iCs/>
          <w:lang w:val="es-ES" w:eastAsia="es-ES_tradnl"/>
        </w:rPr>
      </w:pPr>
      <w:r w:rsidRPr="008C041B">
        <w:rPr>
          <w:rFonts w:ascii="Palatino Linotype" w:eastAsia="Calibri" w:hAnsi="Palatino Linotype" w:cs="Tahoma"/>
          <w:iCs/>
          <w:lang w:val="es-ES" w:eastAsia="es-ES_tradnl"/>
        </w:rPr>
        <w:t>En concordancia con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por lo que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31A917C9" w14:textId="77777777" w:rsidR="008C041B" w:rsidRPr="008C041B" w:rsidRDefault="008C041B" w:rsidP="00E56DB7">
      <w:pPr>
        <w:spacing w:line="360" w:lineRule="auto"/>
        <w:jc w:val="both"/>
        <w:rPr>
          <w:rFonts w:ascii="Palatino Linotype" w:eastAsia="Calibri" w:hAnsi="Palatino Linotype" w:cs="Tahoma"/>
          <w:iCs/>
          <w:lang w:val="es-ES" w:eastAsia="es-ES_tradnl"/>
        </w:rPr>
      </w:pPr>
    </w:p>
    <w:p w14:paraId="3F024C97" w14:textId="77777777" w:rsidR="008C041B" w:rsidRPr="008C041B" w:rsidRDefault="008C041B" w:rsidP="00E56DB7">
      <w:pPr>
        <w:spacing w:line="360" w:lineRule="auto"/>
        <w:jc w:val="both"/>
        <w:rPr>
          <w:rFonts w:ascii="Palatino Linotype" w:eastAsia="Calibri" w:hAnsi="Palatino Linotype" w:cs="Tahoma"/>
          <w:iCs/>
          <w:lang w:val="es-ES" w:eastAsia="es-ES_tradnl"/>
        </w:rPr>
      </w:pPr>
      <w:r w:rsidRPr="008C041B">
        <w:rPr>
          <w:rFonts w:ascii="Palatino Linotype" w:eastAsia="Calibri" w:hAnsi="Palatino Linotype" w:cs="Tahoma"/>
          <w:iCs/>
          <w:lang w:val="es-ES" w:eastAsia="es-ES_tradnl"/>
        </w:rPr>
        <w:t xml:space="preserve">De lo señalado,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w:t>
      </w:r>
      <w:r w:rsidRPr="008C041B">
        <w:rPr>
          <w:rFonts w:ascii="Palatino Linotype" w:eastAsia="Calibri" w:hAnsi="Palatino Linotype" w:cs="Tahoma"/>
          <w:iCs/>
          <w:lang w:val="es-ES" w:eastAsia="es-ES_tradnl"/>
        </w:rPr>
        <w:lastRenderedPageBreak/>
        <w:t xml:space="preserve">acceso sobre lo que es el actuar de las instituciones, por lo que resulta dable ordenar </w:t>
      </w:r>
      <w:r w:rsidR="007D72FC">
        <w:rPr>
          <w:rFonts w:ascii="Palatino Linotype" w:eastAsia="Calibri" w:hAnsi="Palatino Linotype" w:cs="Tahoma"/>
          <w:iCs/>
          <w:lang w:val="es-ES" w:eastAsia="es-ES_tradnl"/>
        </w:rPr>
        <w:t xml:space="preserve">la documentación solicitada relacionada con la obra pública </w:t>
      </w:r>
      <w:r w:rsidR="007D72FC" w:rsidRPr="007D72FC">
        <w:rPr>
          <w:rFonts w:ascii="Palatino Linotype" w:eastAsia="Calibri" w:hAnsi="Palatino Linotype" w:cs="Tahoma"/>
          <w:iCs/>
          <w:lang w:val="es-ES" w:eastAsia="es-ES_tradnl"/>
        </w:rPr>
        <w:t>pavimentación y también Drenaje en la av. Veracruz (camino a ojo de agua) en las colonias las Brisas y Chiconautla</w:t>
      </w:r>
      <w:r w:rsidR="006A5EF5">
        <w:rPr>
          <w:rFonts w:ascii="Palatino Linotype" w:eastAsia="Calibri" w:hAnsi="Palatino Linotype" w:cs="Tahoma"/>
          <w:iCs/>
          <w:lang w:val="es-ES" w:eastAsia="es-ES_tradnl"/>
        </w:rPr>
        <w:t xml:space="preserve">; en versión pública. </w:t>
      </w:r>
    </w:p>
    <w:p w14:paraId="56411D23" w14:textId="77777777" w:rsidR="008C041B" w:rsidRPr="00FD24F9" w:rsidRDefault="008C041B" w:rsidP="00E56DB7">
      <w:pPr>
        <w:spacing w:line="360" w:lineRule="auto"/>
        <w:jc w:val="both"/>
        <w:rPr>
          <w:rFonts w:ascii="Palatino Linotype" w:eastAsia="Palatino Linotype" w:hAnsi="Palatino Linotype" w:cs="Palatino Linotype"/>
        </w:rPr>
      </w:pPr>
    </w:p>
    <w:p w14:paraId="1B07B137" w14:textId="77777777" w:rsidR="00EF3C82"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sidRPr="00626D9A">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w:t>
      </w:r>
      <w:r w:rsidRPr="00626D9A">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sin menoscabar el derecho a la protección de los datos personales de terceros.</w:t>
      </w:r>
    </w:p>
    <w:p w14:paraId="11265B3B" w14:textId="77777777" w:rsidR="00EF3C82" w:rsidRDefault="00EF3C82" w:rsidP="00E56DB7">
      <w:pPr>
        <w:spacing w:line="360" w:lineRule="auto"/>
        <w:jc w:val="both"/>
        <w:rPr>
          <w:rFonts w:ascii="Palatino Linotype" w:eastAsia="Palatino Linotype" w:hAnsi="Palatino Linotype" w:cs="Palatino Linotype"/>
        </w:rPr>
      </w:pPr>
    </w:p>
    <w:p w14:paraId="0786AE85"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4E1CDC0"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759F29BF" w14:textId="77777777" w:rsidR="00EF3C82" w:rsidRPr="00626D9A" w:rsidRDefault="00EF3C82" w:rsidP="00E56DB7">
      <w:pPr>
        <w:pStyle w:val="Cita"/>
        <w:spacing w:before="0" w:after="0"/>
        <w:jc w:val="both"/>
        <w:rPr>
          <w:rFonts w:ascii="Palatino Linotype" w:eastAsia="Palatino Linotype" w:hAnsi="Palatino Linotype"/>
          <w:b/>
          <w:sz w:val="22"/>
          <w:szCs w:val="22"/>
        </w:rPr>
      </w:pPr>
      <w:r w:rsidRPr="00626D9A">
        <w:rPr>
          <w:rFonts w:ascii="Palatino Linotype" w:eastAsia="Palatino Linotype" w:hAnsi="Palatino Linotype"/>
          <w:b/>
          <w:sz w:val="22"/>
          <w:szCs w:val="22"/>
        </w:rPr>
        <w:t>Artículo 3. Para los efectos de la presente Ley se entenderá por:</w:t>
      </w:r>
    </w:p>
    <w:p w14:paraId="76116CE9"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IX. Datos personales:</w:t>
      </w:r>
      <w:r w:rsidRPr="00626D9A">
        <w:rPr>
          <w:rFonts w:ascii="Palatino Linotype" w:eastAsia="Palatino Linotype" w:hAnsi="Palatino Linotype"/>
          <w:sz w:val="22"/>
          <w:szCs w:val="22"/>
        </w:rPr>
        <w:t xml:space="preserve"> </w:t>
      </w:r>
      <w:r w:rsidRPr="00626D9A">
        <w:rPr>
          <w:rFonts w:ascii="Palatino Linotype" w:eastAsia="Palatino Linotype" w:hAnsi="Palatino Linotype"/>
          <w:b/>
          <w:sz w:val="22"/>
          <w:szCs w:val="22"/>
        </w:rPr>
        <w:t>La información concerniente a una persona, identificada o identificable</w:t>
      </w:r>
      <w:r w:rsidRPr="00626D9A">
        <w:rPr>
          <w:rFonts w:ascii="Palatino Linotype" w:eastAsia="Palatino Linotype" w:hAnsi="Palatino Linotype"/>
          <w:sz w:val="22"/>
          <w:szCs w:val="22"/>
        </w:rPr>
        <w:t xml:space="preserve"> según lo dispuesto por la Ley de Protección de Datos Personales del Estado de México;</w:t>
      </w:r>
    </w:p>
    <w:p w14:paraId="158C0F79"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XX. Información clasificada:</w:t>
      </w:r>
      <w:r w:rsidRPr="00626D9A">
        <w:rPr>
          <w:rFonts w:ascii="Palatino Linotype" w:eastAsia="Palatino Linotype" w:hAnsi="Palatino Linotype"/>
          <w:sz w:val="22"/>
          <w:szCs w:val="22"/>
        </w:rPr>
        <w:t xml:space="preserve"> Aquella considerada por la presente Ley como reservada o confidencial;</w:t>
      </w:r>
    </w:p>
    <w:p w14:paraId="393A4CEE"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lastRenderedPageBreak/>
        <w:t>XXXII. Protección de Datos Personales:</w:t>
      </w:r>
      <w:r w:rsidRPr="00626D9A">
        <w:rPr>
          <w:rFonts w:ascii="Palatino Linotype" w:eastAsia="Palatino Linotype" w:hAnsi="Palatino Linotype"/>
          <w:sz w:val="22"/>
          <w:szCs w:val="22"/>
        </w:rPr>
        <w:t xml:space="preserve"> Derecho humano que tutela la privacidad de datos personales en poder de los sujetos obligados y sujetos particulares;</w:t>
      </w:r>
    </w:p>
    <w:p w14:paraId="0CA6143D"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XLV. Versión pública</w:t>
      </w:r>
      <w:r w:rsidRPr="00626D9A">
        <w:rPr>
          <w:rFonts w:ascii="Palatino Linotype" w:eastAsia="Palatino Linotype" w:hAnsi="Palatino Linotype"/>
          <w:sz w:val="22"/>
          <w:szCs w:val="22"/>
        </w:rPr>
        <w:t>: Documento en el que se elimine, suprime o borra la información clasificada como reservada o confidencial para permitir su acceso.”</w:t>
      </w:r>
    </w:p>
    <w:p w14:paraId="5A633077"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2A4729F0"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Artículo 6.</w:t>
      </w:r>
      <w:r w:rsidRPr="00626D9A">
        <w:rPr>
          <w:rFonts w:ascii="Palatino Linotype" w:eastAsia="Palatino Linotype" w:hAnsi="Palatino Linotype"/>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7209476"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07EC3628" w14:textId="77777777" w:rsidR="00EF3C82" w:rsidRPr="00626D9A" w:rsidRDefault="00EF3C82" w:rsidP="00E56DB7">
      <w:pPr>
        <w:pStyle w:val="Cita"/>
        <w:spacing w:before="0" w:after="0"/>
        <w:jc w:val="both"/>
        <w:rPr>
          <w:rFonts w:ascii="Palatino Linotype" w:eastAsia="Palatino Linotype" w:hAnsi="Palatino Linotype"/>
          <w:b/>
          <w:sz w:val="22"/>
          <w:szCs w:val="22"/>
        </w:rPr>
      </w:pPr>
      <w:r w:rsidRPr="00626D9A">
        <w:rPr>
          <w:rFonts w:ascii="Palatino Linotype" w:eastAsia="Palatino Linotype" w:hAnsi="Palatino Linotype"/>
          <w:b/>
          <w:sz w:val="22"/>
          <w:szCs w:val="22"/>
        </w:rPr>
        <w:t>Artículo 137.</w:t>
      </w:r>
      <w:r w:rsidRPr="00626D9A">
        <w:rPr>
          <w:rFonts w:ascii="Palatino Linotype" w:eastAsia="Palatino Linotype" w:hAnsi="Palatino Linotype"/>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E6545B" w14:textId="77777777" w:rsidR="00EF3C82" w:rsidRPr="00626D9A" w:rsidRDefault="00EF3C82" w:rsidP="00E56DB7">
      <w:pPr>
        <w:pStyle w:val="Cita"/>
        <w:spacing w:before="0" w:after="0"/>
        <w:jc w:val="both"/>
        <w:rPr>
          <w:rFonts w:ascii="Palatino Linotype" w:eastAsia="Palatino Linotype" w:hAnsi="Palatino Linotype"/>
          <w:b/>
          <w:sz w:val="22"/>
          <w:szCs w:val="22"/>
        </w:rPr>
      </w:pPr>
    </w:p>
    <w:p w14:paraId="1E3EE6E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Artículo 143</w:t>
      </w:r>
      <w:r w:rsidRPr="00626D9A">
        <w:rPr>
          <w:rFonts w:ascii="Palatino Linotype" w:eastAsia="Palatino Linotype" w:hAnsi="Palatino Linotype"/>
          <w:sz w:val="22"/>
          <w:szCs w:val="22"/>
        </w:rPr>
        <w:t>. Para los efectos de esta Ley se considera información confidencial, la clasificada como tal, de manera permanente, por su naturaleza, cuando:</w:t>
      </w:r>
    </w:p>
    <w:p w14:paraId="6E2CD61A"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I.</w:t>
      </w:r>
      <w:r w:rsidRPr="00626D9A">
        <w:rPr>
          <w:rFonts w:ascii="Palatino Linotype" w:eastAsia="Palatino Linotype" w:hAnsi="Palatino Linotype"/>
          <w:sz w:val="22"/>
          <w:szCs w:val="22"/>
        </w:rPr>
        <w:t xml:space="preserve"> Se refiera a la información privada y los datos personales concernientes a una persona física o jurídica colectiva identificada o identificable;</w:t>
      </w:r>
    </w:p>
    <w:p w14:paraId="491E876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33D39E2"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III. La que presenten los particulares a los sujetos obligados, de conformidad con lo dispuesto por las leyes o los tratados internacionales.</w:t>
      </w:r>
    </w:p>
    <w:p w14:paraId="4EE2672C"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5E9CD52E" w14:textId="77777777" w:rsidR="00EF3C82" w:rsidRDefault="00EF3C82" w:rsidP="00E56DB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626D9A">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w:t>
      </w:r>
      <w:r>
        <w:rPr>
          <w:rFonts w:ascii="Palatino Linotype" w:eastAsia="Palatino Linotype" w:hAnsi="Palatino Linotype" w:cs="Palatino Linotype"/>
        </w:rPr>
        <w:lastRenderedPageBreak/>
        <w:t xml:space="preserve">satisfacer el Derecho de Acceso a la Información Pública de </w:t>
      </w:r>
      <w:r w:rsidRPr="00626D9A">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1AB2984" w14:textId="77777777" w:rsidR="00EF3C82" w:rsidRDefault="00EF3C82" w:rsidP="00E56DB7">
      <w:pPr>
        <w:spacing w:line="360" w:lineRule="auto"/>
        <w:ind w:right="51"/>
        <w:jc w:val="both"/>
        <w:rPr>
          <w:rFonts w:ascii="Palatino Linotype" w:eastAsia="Palatino Linotype" w:hAnsi="Palatino Linotype" w:cs="Palatino Linotype"/>
        </w:rPr>
      </w:pPr>
    </w:p>
    <w:p w14:paraId="5E6484B1"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1436F0A" w14:textId="77777777" w:rsidR="00EF3C82" w:rsidRDefault="00EF3C82" w:rsidP="00E56DB7">
      <w:pPr>
        <w:spacing w:line="360" w:lineRule="auto"/>
        <w:ind w:right="50"/>
        <w:jc w:val="both"/>
        <w:rPr>
          <w:rFonts w:ascii="Palatino Linotype" w:eastAsia="Palatino Linotype" w:hAnsi="Palatino Linotype" w:cs="Palatino Linotype"/>
        </w:rPr>
      </w:pPr>
    </w:p>
    <w:p w14:paraId="2307AC53" w14:textId="77777777" w:rsidR="00EF3C82" w:rsidRDefault="00EF3C82" w:rsidP="00E56DB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786AAFE2"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2FEA7919"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Artículo 49.</w:t>
      </w:r>
      <w:r w:rsidRPr="00626D9A">
        <w:rPr>
          <w:rFonts w:ascii="Palatino Linotype" w:eastAsia="Palatino Linotype" w:hAnsi="Palatino Linotype"/>
          <w:sz w:val="22"/>
          <w:szCs w:val="22"/>
        </w:rPr>
        <w:t xml:space="preserve"> </w:t>
      </w:r>
      <w:r w:rsidRPr="00626D9A">
        <w:rPr>
          <w:rFonts w:ascii="Palatino Linotype" w:eastAsia="Palatino Linotype" w:hAnsi="Palatino Linotype"/>
          <w:b/>
          <w:sz w:val="22"/>
          <w:szCs w:val="22"/>
        </w:rPr>
        <w:t>Los Comités de Transparencia</w:t>
      </w:r>
      <w:r w:rsidRPr="00626D9A">
        <w:rPr>
          <w:rFonts w:ascii="Palatino Linotype" w:eastAsia="Palatino Linotype" w:hAnsi="Palatino Linotype"/>
          <w:sz w:val="22"/>
          <w:szCs w:val="22"/>
        </w:rPr>
        <w:t xml:space="preserve"> tendrán las siguientes atribuciones:</w:t>
      </w:r>
    </w:p>
    <w:p w14:paraId="513481A2"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w:t>
      </w:r>
    </w:p>
    <w:p w14:paraId="665DFD9D"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VIII. Aprobar, modificar o revocar la clasificación de la información</w:t>
      </w:r>
      <w:r w:rsidRPr="00626D9A">
        <w:rPr>
          <w:rFonts w:ascii="Palatino Linotype" w:eastAsia="Palatino Linotype" w:hAnsi="Palatino Linotype"/>
          <w:sz w:val="22"/>
          <w:szCs w:val="22"/>
        </w:rPr>
        <w:t>;</w:t>
      </w:r>
    </w:p>
    <w:p w14:paraId="3ED7611A"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w:t>
      </w:r>
      <w:r w:rsidRPr="00626D9A">
        <w:rPr>
          <w:rFonts w:ascii="Palatino Linotype" w:eastAsia="Palatino Linotype" w:hAnsi="Palatino Linotype"/>
          <w:sz w:val="22"/>
          <w:szCs w:val="22"/>
        </w:rPr>
        <w:t>…)</w:t>
      </w:r>
    </w:p>
    <w:p w14:paraId="67B4FFF4"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25CC27DB"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lastRenderedPageBreak/>
        <w:t>Artículo 53.</w:t>
      </w:r>
      <w:r w:rsidRPr="00626D9A">
        <w:rPr>
          <w:rFonts w:ascii="Palatino Linotype" w:eastAsia="Palatino Linotype" w:hAnsi="Palatino Linotype"/>
          <w:sz w:val="22"/>
          <w:szCs w:val="22"/>
        </w:rPr>
        <w:t xml:space="preserve"> Las </w:t>
      </w:r>
      <w:r w:rsidRPr="00626D9A">
        <w:rPr>
          <w:rFonts w:ascii="Palatino Linotype" w:eastAsia="Palatino Linotype" w:hAnsi="Palatino Linotype"/>
          <w:b/>
          <w:sz w:val="22"/>
          <w:szCs w:val="22"/>
        </w:rPr>
        <w:t>Unidades de Transparencia</w:t>
      </w:r>
      <w:r w:rsidRPr="00626D9A">
        <w:rPr>
          <w:rFonts w:ascii="Palatino Linotype" w:eastAsia="Palatino Linotype" w:hAnsi="Palatino Linotype"/>
          <w:sz w:val="22"/>
          <w:szCs w:val="22"/>
        </w:rPr>
        <w:t xml:space="preserve"> tendrán las siguientes </w:t>
      </w:r>
      <w:r w:rsidRPr="00626D9A">
        <w:rPr>
          <w:rFonts w:ascii="Palatino Linotype" w:eastAsia="Palatino Linotype" w:hAnsi="Palatino Linotype"/>
          <w:b/>
          <w:sz w:val="22"/>
          <w:szCs w:val="22"/>
        </w:rPr>
        <w:t>funciones</w:t>
      </w:r>
      <w:r w:rsidRPr="00626D9A">
        <w:rPr>
          <w:rFonts w:ascii="Palatino Linotype" w:eastAsia="Palatino Linotype" w:hAnsi="Palatino Linotype"/>
          <w:sz w:val="22"/>
          <w:szCs w:val="22"/>
        </w:rPr>
        <w:t>:</w:t>
      </w:r>
    </w:p>
    <w:p w14:paraId="2421CBD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w:t>
      </w:r>
      <w:r w:rsidRPr="00626D9A">
        <w:rPr>
          <w:rFonts w:ascii="Palatino Linotype" w:eastAsia="Palatino Linotype" w:hAnsi="Palatino Linotype"/>
          <w:sz w:val="22"/>
          <w:szCs w:val="22"/>
        </w:rPr>
        <w:t>)</w:t>
      </w:r>
    </w:p>
    <w:p w14:paraId="3F958AF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X. Presentar ante el Comité, el proyecto de clasificación de información;</w:t>
      </w:r>
    </w:p>
    <w:p w14:paraId="6700DE60"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w:t>
      </w:r>
    </w:p>
    <w:p w14:paraId="275FEF01"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2660C2F2"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Artículo 59.</w:t>
      </w:r>
      <w:r w:rsidRPr="00626D9A">
        <w:rPr>
          <w:rFonts w:ascii="Palatino Linotype" w:eastAsia="Palatino Linotype" w:hAnsi="Palatino Linotype"/>
          <w:sz w:val="22"/>
          <w:szCs w:val="22"/>
        </w:rPr>
        <w:t xml:space="preserve"> Los </w:t>
      </w:r>
      <w:r w:rsidRPr="00626D9A">
        <w:rPr>
          <w:rFonts w:ascii="Palatino Linotype" w:eastAsia="Palatino Linotype" w:hAnsi="Palatino Linotype"/>
          <w:b/>
          <w:sz w:val="22"/>
          <w:szCs w:val="22"/>
        </w:rPr>
        <w:t>servidores públicos habilitados</w:t>
      </w:r>
      <w:r w:rsidRPr="00626D9A">
        <w:rPr>
          <w:rFonts w:ascii="Palatino Linotype" w:eastAsia="Palatino Linotype" w:hAnsi="Palatino Linotype"/>
          <w:sz w:val="22"/>
          <w:szCs w:val="22"/>
        </w:rPr>
        <w:t xml:space="preserve"> tendrán las </w:t>
      </w:r>
      <w:r w:rsidRPr="00626D9A">
        <w:rPr>
          <w:rFonts w:ascii="Palatino Linotype" w:eastAsia="Palatino Linotype" w:hAnsi="Palatino Linotype"/>
          <w:b/>
          <w:sz w:val="22"/>
          <w:szCs w:val="22"/>
        </w:rPr>
        <w:t>funciones</w:t>
      </w:r>
      <w:r w:rsidRPr="00626D9A">
        <w:rPr>
          <w:rFonts w:ascii="Palatino Linotype" w:eastAsia="Palatino Linotype" w:hAnsi="Palatino Linotype"/>
          <w:sz w:val="22"/>
          <w:szCs w:val="22"/>
        </w:rPr>
        <w:t xml:space="preserve"> siguientes:</w:t>
      </w:r>
    </w:p>
    <w:p w14:paraId="69237FA0"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w:t>
      </w:r>
      <w:r w:rsidRPr="00626D9A">
        <w:rPr>
          <w:rFonts w:ascii="Palatino Linotype" w:eastAsia="Palatino Linotype" w:hAnsi="Palatino Linotype"/>
          <w:sz w:val="22"/>
          <w:szCs w:val="22"/>
        </w:rPr>
        <w:t>)</w:t>
      </w:r>
    </w:p>
    <w:p w14:paraId="11E4026E"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V. Integrar y presentar al responsable de la Unidad de Transparencia la propuesta de clasificación de información</w:t>
      </w:r>
      <w:r w:rsidRPr="00626D9A">
        <w:rPr>
          <w:rFonts w:ascii="Palatino Linotype" w:eastAsia="Palatino Linotype" w:hAnsi="Palatino Linotype"/>
          <w:sz w:val="22"/>
          <w:szCs w:val="22"/>
        </w:rPr>
        <w:t>, la cual tendrá los fundamentos y argumentos en que se basa dicha propuesta;</w:t>
      </w:r>
    </w:p>
    <w:p w14:paraId="733DFF9D"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w:t>
      </w:r>
    </w:p>
    <w:p w14:paraId="2C841915"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62C2F598" w14:textId="77777777" w:rsidR="00EF3C82"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C54C68C" w14:textId="77777777" w:rsidR="00EF3C82" w:rsidRDefault="00EF3C82" w:rsidP="00E56DB7">
      <w:pPr>
        <w:spacing w:line="360" w:lineRule="auto"/>
        <w:jc w:val="both"/>
        <w:rPr>
          <w:rFonts w:ascii="Palatino Linotype" w:eastAsia="Palatino Linotype" w:hAnsi="Palatino Linotype" w:cs="Palatino Linotype"/>
        </w:rPr>
      </w:pPr>
    </w:p>
    <w:p w14:paraId="0B51CC25" w14:textId="77777777" w:rsidR="00EF3C82"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C114E7A"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1EFC9083"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Artículo 149.</w:t>
      </w:r>
      <w:r w:rsidRPr="00626D9A">
        <w:rPr>
          <w:rFonts w:ascii="Palatino Linotype" w:eastAsia="Palatino Linotype" w:hAnsi="Palatino Linotype"/>
          <w:sz w:val="22"/>
          <w:szCs w:val="22"/>
        </w:rPr>
        <w:t xml:space="preserve"> El </w:t>
      </w:r>
      <w:r w:rsidRPr="00626D9A">
        <w:rPr>
          <w:rFonts w:ascii="Palatino Linotype" w:eastAsia="Palatino Linotype" w:hAnsi="Palatino Linotype"/>
          <w:b/>
          <w:sz w:val="22"/>
          <w:szCs w:val="22"/>
        </w:rPr>
        <w:t>acuerdo que clasifique la información como confidencial</w:t>
      </w:r>
      <w:r w:rsidRPr="00626D9A">
        <w:rPr>
          <w:rFonts w:ascii="Palatino Linotype" w:eastAsia="Palatino Linotype" w:hAnsi="Palatino Linotype"/>
          <w:sz w:val="22"/>
          <w:szCs w:val="22"/>
        </w:rPr>
        <w:t xml:space="preserve"> deberá contener un razonamiento lógico en el que demuestre que la información se encuentra en alguna o algunas de las hipótesis previstas en la presente Ley.</w:t>
      </w:r>
    </w:p>
    <w:p w14:paraId="5A40C489"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01C09889" w14:textId="77777777" w:rsidR="00EF3C82" w:rsidRDefault="00EF3C82" w:rsidP="00E56DB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decir, </w:t>
      </w:r>
      <w:r w:rsidRPr="00626D9A">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4A86E4D" w14:textId="77777777" w:rsidR="00EF3C82"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C9C5218" w14:textId="77777777" w:rsidR="00EF3C82" w:rsidRDefault="00EF3C82" w:rsidP="00E56DB7">
      <w:pPr>
        <w:spacing w:line="360" w:lineRule="auto"/>
        <w:ind w:right="50"/>
        <w:jc w:val="both"/>
        <w:rPr>
          <w:rFonts w:ascii="Palatino Linotype" w:eastAsia="Palatino Linotype" w:hAnsi="Palatino Linotype" w:cs="Palatino Linotype"/>
        </w:rPr>
      </w:pPr>
    </w:p>
    <w:p w14:paraId="7406568E" w14:textId="77777777" w:rsidR="00EF3C82" w:rsidRDefault="00EF3C82" w:rsidP="00E56DB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2337EBF" w14:textId="77777777" w:rsidR="00EF3C82" w:rsidRDefault="00EF3C82" w:rsidP="00E56DB7">
      <w:pPr>
        <w:spacing w:line="360" w:lineRule="auto"/>
        <w:ind w:right="51"/>
        <w:jc w:val="both"/>
        <w:rPr>
          <w:rFonts w:ascii="Palatino Linotype" w:eastAsia="Palatino Linotype" w:hAnsi="Palatino Linotype" w:cs="Palatino Linotype"/>
        </w:rPr>
      </w:pPr>
    </w:p>
    <w:p w14:paraId="7C923448"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encuentra sustento en el criterio 10/17 emitido por el Instituto Nacional de Transparencia y Acceso a la Información Pública del Estado de México y Municipios, que a la letra dicen:</w:t>
      </w:r>
    </w:p>
    <w:p w14:paraId="0FECB8A1" w14:textId="77777777" w:rsidR="00EF3C82" w:rsidRPr="00626D9A" w:rsidRDefault="00EF3C82" w:rsidP="00E56DB7">
      <w:pPr>
        <w:pStyle w:val="Cita"/>
        <w:jc w:val="both"/>
        <w:rPr>
          <w:rFonts w:ascii="Palatino Linotype" w:eastAsia="Palatino Linotype" w:hAnsi="Palatino Linotype"/>
          <w:sz w:val="22"/>
          <w:szCs w:val="22"/>
        </w:rPr>
      </w:pPr>
    </w:p>
    <w:p w14:paraId="07739F61" w14:textId="77777777" w:rsidR="00EF3C82" w:rsidRPr="00626D9A" w:rsidRDefault="00EF3C82" w:rsidP="00E56DB7">
      <w:pPr>
        <w:pStyle w:val="Cita"/>
        <w:jc w:val="both"/>
        <w:rPr>
          <w:rFonts w:ascii="Palatino Linotype" w:eastAsia="Palatino Linotype" w:hAnsi="Palatino Linotype"/>
          <w:sz w:val="22"/>
          <w:szCs w:val="22"/>
        </w:rPr>
      </w:pPr>
      <w:r w:rsidRPr="00626D9A">
        <w:rPr>
          <w:rFonts w:ascii="Palatino Linotype" w:eastAsia="Palatino Linotype" w:hAnsi="Palatino Linotype"/>
          <w:b/>
          <w:sz w:val="22"/>
          <w:szCs w:val="22"/>
        </w:rPr>
        <w:t>Cuentas bancarias y/o CLABE interbancaria de personas físicas y morales privadas.</w:t>
      </w:r>
      <w:r w:rsidRPr="00626D9A">
        <w:rPr>
          <w:rFonts w:ascii="Palatino Linotype" w:eastAsia="Palatino Linotype" w:hAnsi="Palatino Linotype"/>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9B60A20"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57AF6F2D"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0048ED70"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b/>
          <w:sz w:val="22"/>
          <w:szCs w:val="22"/>
        </w:rPr>
        <w:t>Cuentas bancarias y/o CLABE interbancaria de sujetos obligados que reciben y/o transfieren recursos públicos, son información pública.</w:t>
      </w:r>
      <w:r w:rsidRPr="00626D9A">
        <w:rPr>
          <w:rFonts w:ascii="Palatino Linotype" w:eastAsia="Palatino Linotype" w:hAnsi="Palatino Linotype"/>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8C99E3C"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39C80E49"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Sobre el RFC, dada la naturaleza de la información que se ordena, es importante resaltar que, si bien este Instituto ha sostenido que el RFC y domicilio de las personas físicas debe ser testado por los Sujetos Obligados, en las versiones públicas </w:t>
      </w:r>
      <w:r>
        <w:rPr>
          <w:rFonts w:ascii="Palatino Linotype" w:eastAsia="Palatino Linotype" w:hAnsi="Palatino Linotype" w:cs="Palatino Linotype"/>
        </w:rPr>
        <w:lastRenderedPageBreak/>
        <w:t>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AD8C7FF" w14:textId="77777777" w:rsidR="00EF3C82" w:rsidRDefault="00EF3C82" w:rsidP="00E56DB7">
      <w:pPr>
        <w:spacing w:line="360" w:lineRule="auto"/>
        <w:ind w:right="50"/>
        <w:jc w:val="both"/>
        <w:rPr>
          <w:rFonts w:ascii="Palatino Linotype" w:eastAsia="Palatino Linotype" w:hAnsi="Palatino Linotype" w:cs="Palatino Linotype"/>
        </w:rPr>
      </w:pPr>
    </w:p>
    <w:p w14:paraId="797D691C"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B365174" w14:textId="77777777" w:rsidR="00EF3C82" w:rsidRDefault="00EF3C82" w:rsidP="00E56DB7">
      <w:pPr>
        <w:spacing w:line="360" w:lineRule="auto"/>
        <w:ind w:right="50"/>
        <w:jc w:val="both"/>
        <w:rPr>
          <w:rFonts w:ascii="Palatino Linotype" w:eastAsia="Palatino Linotype" w:hAnsi="Palatino Linotype" w:cs="Palatino Linotype"/>
        </w:rPr>
      </w:pPr>
    </w:p>
    <w:p w14:paraId="4DDFB9C3" w14:textId="77777777" w:rsidR="00EF3C82" w:rsidRDefault="00EF3C82" w:rsidP="00E56DB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AE659E4" w14:textId="77777777" w:rsidR="00EF3C82" w:rsidRDefault="00EF3C82" w:rsidP="00E56DB7">
      <w:pPr>
        <w:spacing w:line="360" w:lineRule="auto"/>
        <w:ind w:right="50"/>
        <w:jc w:val="both"/>
        <w:rPr>
          <w:rFonts w:ascii="Palatino Linotype" w:eastAsia="Palatino Linotype" w:hAnsi="Palatino Linotype" w:cs="Palatino Linotype"/>
        </w:rPr>
      </w:pPr>
    </w:p>
    <w:p w14:paraId="12133076" w14:textId="77777777" w:rsidR="00EF3C82" w:rsidRPr="00626D9A"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w:t>
      </w:r>
      <w:r>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0536CDED"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Lineamientos Generales en materia de Clasificación y Desclasificación de la Información, así como para la elaboración de Versiones Públicas</w:t>
      </w:r>
    </w:p>
    <w:p w14:paraId="2286B346" w14:textId="77777777" w:rsidR="00EF3C82" w:rsidRDefault="00EF3C82" w:rsidP="00E56DB7">
      <w:pPr>
        <w:pStyle w:val="Cita"/>
        <w:spacing w:before="0" w:after="0"/>
        <w:jc w:val="both"/>
        <w:rPr>
          <w:rFonts w:ascii="Palatino Linotype" w:eastAsia="Palatino Linotype" w:hAnsi="Palatino Linotype"/>
          <w:sz w:val="22"/>
          <w:szCs w:val="22"/>
        </w:rPr>
      </w:pPr>
    </w:p>
    <w:p w14:paraId="2498446C" w14:textId="77777777" w:rsidR="00EF3C82" w:rsidRPr="00626D9A" w:rsidRDefault="00EF3C82" w:rsidP="00E56DB7">
      <w:pPr>
        <w:pStyle w:val="Cita"/>
        <w:spacing w:before="0" w:after="0"/>
        <w:jc w:val="both"/>
        <w:rPr>
          <w:rFonts w:ascii="Palatino Linotype" w:eastAsia="Palatino Linotype" w:hAnsi="Palatino Linotype"/>
          <w:sz w:val="22"/>
          <w:szCs w:val="22"/>
        </w:rPr>
      </w:pPr>
      <w:proofErr w:type="gramStart"/>
      <w:r w:rsidRPr="00626D9A">
        <w:rPr>
          <w:rFonts w:ascii="Palatino Linotype" w:eastAsia="Palatino Linotype" w:hAnsi="Palatino Linotype"/>
          <w:sz w:val="22"/>
          <w:szCs w:val="22"/>
        </w:rPr>
        <w:t>Segundo.-</w:t>
      </w:r>
      <w:proofErr w:type="gramEnd"/>
      <w:r w:rsidRPr="00626D9A">
        <w:rPr>
          <w:rFonts w:ascii="Palatino Linotype" w:eastAsia="Palatino Linotype" w:hAnsi="Palatino Linotype"/>
          <w:sz w:val="22"/>
          <w:szCs w:val="22"/>
        </w:rPr>
        <w:t xml:space="preserve"> Para efectos de los presentes Lineamientos Generales, se entenderá por:</w:t>
      </w:r>
    </w:p>
    <w:p w14:paraId="00859B5C"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 xml:space="preserve">XVIII. Versión pública: El documento a partir del que se otorga acceso a la información, en el que se testan partes o secciones clasificadas, indicando el contenido de éstas de manera genérica, </w:t>
      </w:r>
      <w:r w:rsidRPr="00626D9A">
        <w:rPr>
          <w:rFonts w:ascii="Palatino Linotype" w:eastAsia="Palatino Linotype" w:hAnsi="Palatino Linotype"/>
          <w:sz w:val="22"/>
          <w:szCs w:val="22"/>
          <w:u w:val="single"/>
        </w:rPr>
        <w:t>fundando y motivando la</w:t>
      </w:r>
      <w:r w:rsidRPr="00626D9A">
        <w:rPr>
          <w:rFonts w:ascii="Palatino Linotype" w:eastAsia="Palatino Linotype" w:hAnsi="Palatino Linotype"/>
          <w:sz w:val="22"/>
          <w:szCs w:val="22"/>
        </w:rPr>
        <w:t xml:space="preserve"> reserva o </w:t>
      </w:r>
      <w:r w:rsidRPr="00626D9A">
        <w:rPr>
          <w:rFonts w:ascii="Palatino Linotype" w:eastAsia="Palatino Linotype" w:hAnsi="Palatino Linotype"/>
          <w:sz w:val="22"/>
          <w:szCs w:val="22"/>
          <w:u w:val="single"/>
        </w:rPr>
        <w:t>confidencialidad</w:t>
      </w:r>
      <w:r w:rsidRPr="00626D9A">
        <w:rPr>
          <w:rFonts w:ascii="Palatino Linotype" w:eastAsia="Palatino Linotype" w:hAnsi="Palatino Linotype"/>
          <w:sz w:val="22"/>
          <w:szCs w:val="22"/>
        </w:rPr>
        <w:t>, a través de la resolución que para tal efecto emita el Comité de Transparencia.</w:t>
      </w:r>
    </w:p>
    <w:p w14:paraId="20A5CDC6" w14:textId="77777777" w:rsidR="00EF3C82" w:rsidRDefault="00EF3C82" w:rsidP="00E56DB7">
      <w:pPr>
        <w:pStyle w:val="Cita"/>
        <w:spacing w:before="0" w:after="0"/>
        <w:jc w:val="both"/>
        <w:rPr>
          <w:rFonts w:ascii="Palatino Linotype" w:eastAsia="Palatino Linotype" w:hAnsi="Palatino Linotype"/>
          <w:sz w:val="22"/>
          <w:szCs w:val="22"/>
        </w:rPr>
      </w:pPr>
    </w:p>
    <w:p w14:paraId="13D3E4FF"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04D53A"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Los sujetos obligados deberán aplicar, de manera estricta, las excepciones al derecho de acceso a la información y sólo podrán invocarlas cuando acrediten su procedencia.</w:t>
      </w:r>
    </w:p>
    <w:p w14:paraId="2B74F850" w14:textId="77777777" w:rsidR="00EF3C82" w:rsidRDefault="00EF3C82" w:rsidP="00E56DB7">
      <w:pPr>
        <w:pStyle w:val="Cita"/>
        <w:spacing w:before="0" w:after="0"/>
        <w:jc w:val="both"/>
        <w:rPr>
          <w:rFonts w:ascii="Palatino Linotype" w:eastAsia="Palatino Linotype" w:hAnsi="Palatino Linotype"/>
          <w:sz w:val="22"/>
          <w:szCs w:val="22"/>
        </w:rPr>
      </w:pPr>
    </w:p>
    <w:p w14:paraId="4166D5F3"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 xml:space="preserve">Quinto. La carga de la prueba para justificar toda negativa de acceso a la información, por actualizarse cualquiera de los supuestos de clasificación </w:t>
      </w:r>
      <w:r w:rsidRPr="00626D9A">
        <w:rPr>
          <w:rFonts w:ascii="Palatino Linotype" w:eastAsia="Palatino Linotype" w:hAnsi="Palatino Linotype"/>
          <w:sz w:val="22"/>
          <w:szCs w:val="22"/>
        </w:rPr>
        <w:lastRenderedPageBreak/>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2AB0A8" w14:textId="77777777" w:rsidR="00EF3C82" w:rsidRDefault="00EF3C82" w:rsidP="00E56DB7">
      <w:pPr>
        <w:pStyle w:val="Cita"/>
        <w:spacing w:before="0" w:after="0"/>
        <w:jc w:val="both"/>
        <w:rPr>
          <w:rFonts w:ascii="Palatino Linotype" w:eastAsia="Palatino Linotype" w:hAnsi="Palatino Linotype"/>
          <w:sz w:val="22"/>
          <w:szCs w:val="22"/>
        </w:rPr>
      </w:pPr>
    </w:p>
    <w:p w14:paraId="7DC7EDA7"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79F50A9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La clasificación de información se realizará conforme a un análisis caso por caso, mediante la aplicación de la prueba de daño y de interés público.</w:t>
      </w:r>
    </w:p>
    <w:p w14:paraId="48A4247D" w14:textId="77777777" w:rsidR="00EF3C82" w:rsidRDefault="00EF3C82" w:rsidP="00E56DB7">
      <w:pPr>
        <w:pStyle w:val="Cita"/>
        <w:spacing w:before="0" w:after="0"/>
        <w:jc w:val="both"/>
        <w:rPr>
          <w:rFonts w:ascii="Palatino Linotype" w:eastAsia="Palatino Linotype" w:hAnsi="Palatino Linotype"/>
          <w:sz w:val="22"/>
          <w:szCs w:val="22"/>
        </w:rPr>
      </w:pPr>
    </w:p>
    <w:p w14:paraId="5C189CF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Séptimo. La clasificación de la información se llevará a cabo en el momento en que:</w:t>
      </w:r>
    </w:p>
    <w:p w14:paraId="374A6322"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I. Se reciba una solicitud de acceso a la información;</w:t>
      </w:r>
    </w:p>
    <w:p w14:paraId="3BC9DA0E"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II. Se determine mediante resolución de autoridad competente, o</w:t>
      </w:r>
    </w:p>
    <w:p w14:paraId="49BF2899"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III. Se generen versiones públicas para dar cumplimiento a las obligaciones de transparencia previstas en la Ley General, la Ley Federal y las correspondientes de las entidades federativas.</w:t>
      </w:r>
    </w:p>
    <w:p w14:paraId="4585436F"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Los titulares de las áreas deberán revisar la clasificación al momento de la recepción de una solicitud de acceso a la información, para verificar si encuadra en una causal de reserva o de confidencialidad.</w:t>
      </w:r>
    </w:p>
    <w:p w14:paraId="2478C89A" w14:textId="77777777" w:rsidR="00EF3C82" w:rsidRDefault="00EF3C82" w:rsidP="00E56DB7">
      <w:pPr>
        <w:pStyle w:val="Cita"/>
        <w:spacing w:before="0" w:after="0"/>
        <w:jc w:val="both"/>
        <w:rPr>
          <w:rFonts w:ascii="Palatino Linotype" w:eastAsia="Palatino Linotype" w:hAnsi="Palatino Linotype"/>
          <w:sz w:val="22"/>
          <w:szCs w:val="22"/>
        </w:rPr>
      </w:pPr>
    </w:p>
    <w:p w14:paraId="48B4762A"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4E260844"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Para motivar la clasificación se deberán señalar las razones o circunstancias especiales que lo llevaron a concluir que el caso particular se ajusta al supuesto previsto por la norma legal invocada como fundamento.</w:t>
      </w:r>
    </w:p>
    <w:p w14:paraId="2417FED5"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En caso de referirse a información reservada, la motivación de la clasificación también deberá comprender las circunstancias que justifican el establecimiento de determinado plazo de reserva.</w:t>
      </w:r>
    </w:p>
    <w:p w14:paraId="4797FAF5"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C837115"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lastRenderedPageBreak/>
        <w:t>Los documentos contenidos en los archivos históricos y los identificados como históricos confidenciales no serán susceptibles de clasificación como reservados.</w:t>
      </w:r>
    </w:p>
    <w:p w14:paraId="4995F192" w14:textId="77777777" w:rsidR="00EF3C82" w:rsidRDefault="00EF3C82" w:rsidP="00E56DB7">
      <w:pPr>
        <w:pStyle w:val="Cita"/>
        <w:spacing w:before="0" w:after="0"/>
        <w:jc w:val="both"/>
        <w:rPr>
          <w:rFonts w:ascii="Palatino Linotype" w:eastAsia="Palatino Linotype" w:hAnsi="Palatino Linotype"/>
          <w:sz w:val="22"/>
          <w:szCs w:val="22"/>
        </w:rPr>
      </w:pPr>
    </w:p>
    <w:p w14:paraId="186137B2"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A27058" w14:textId="77777777" w:rsidR="00EF3C82" w:rsidRDefault="00EF3C82" w:rsidP="00E56DB7">
      <w:pPr>
        <w:pStyle w:val="Cita"/>
        <w:spacing w:before="0" w:after="0"/>
        <w:jc w:val="both"/>
        <w:rPr>
          <w:rFonts w:ascii="Palatino Linotype" w:eastAsia="Palatino Linotype" w:hAnsi="Palatino Linotype"/>
          <w:sz w:val="22"/>
          <w:szCs w:val="22"/>
        </w:rPr>
      </w:pPr>
    </w:p>
    <w:p w14:paraId="46BCC127"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24ABF32"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En ausencia de los titulares de las áreas, la información será clasificada o desclasificada por la persona que lo supla, en términos de la normativa que rija la actuación del sujeto obligado.</w:t>
      </w:r>
    </w:p>
    <w:p w14:paraId="1895CCB0" w14:textId="77777777" w:rsidR="00EF3C82" w:rsidRDefault="00EF3C82" w:rsidP="00E56DB7">
      <w:pPr>
        <w:pStyle w:val="Cita"/>
        <w:spacing w:before="0" w:after="0"/>
        <w:jc w:val="both"/>
        <w:rPr>
          <w:rFonts w:ascii="Palatino Linotype" w:eastAsia="Palatino Linotype" w:hAnsi="Palatino Linotype"/>
          <w:sz w:val="22"/>
          <w:szCs w:val="22"/>
        </w:rPr>
      </w:pPr>
    </w:p>
    <w:p w14:paraId="45DA4884"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21CBBDB"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w:t>
      </w:r>
    </w:p>
    <w:p w14:paraId="035F9A7A" w14:textId="77777777" w:rsidR="00EF3C82" w:rsidRDefault="00EF3C82" w:rsidP="00E56DB7">
      <w:pPr>
        <w:pStyle w:val="Cita"/>
        <w:spacing w:before="0" w:after="0"/>
        <w:jc w:val="both"/>
        <w:rPr>
          <w:rFonts w:ascii="Palatino Linotype" w:eastAsia="Palatino Linotype" w:hAnsi="Palatino Linotype"/>
          <w:sz w:val="22"/>
          <w:szCs w:val="22"/>
        </w:rPr>
      </w:pPr>
    </w:p>
    <w:p w14:paraId="05B5EC9A"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CAPÍTULO VIII</w:t>
      </w:r>
    </w:p>
    <w:p w14:paraId="2F427EDA"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DE LA LEYENDA DE CLASIFICACIÓN</w:t>
      </w:r>
    </w:p>
    <w:p w14:paraId="25093FCC" w14:textId="77777777" w:rsidR="00EF3C82" w:rsidRDefault="00EF3C82" w:rsidP="00E56DB7">
      <w:pPr>
        <w:pStyle w:val="Cita"/>
        <w:spacing w:before="0" w:after="0"/>
        <w:jc w:val="both"/>
        <w:rPr>
          <w:rFonts w:ascii="Palatino Linotype" w:eastAsia="Palatino Linotype" w:hAnsi="Palatino Linotype"/>
          <w:sz w:val="22"/>
          <w:szCs w:val="22"/>
        </w:rPr>
      </w:pPr>
    </w:p>
    <w:p w14:paraId="6EE13D56" w14:textId="77777777" w:rsidR="00EF3C82" w:rsidRPr="00626D9A"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 xml:space="preserve">Quincuagésimo. </w:t>
      </w:r>
      <w:r w:rsidRPr="00626D9A">
        <w:rPr>
          <w:rFonts w:ascii="Palatino Linotype" w:eastAsia="Palatino Linotype" w:hAnsi="Palatino Linotype"/>
          <w:sz w:val="22"/>
          <w:szCs w:val="22"/>
          <w:u w:val="single"/>
        </w:rPr>
        <w:t>Los titulares de las áreas de los sujetos obligados podrán utilizar los formatos contenidos en el presente Capítulo como modelo</w:t>
      </w:r>
      <w:r w:rsidRPr="00626D9A">
        <w:rPr>
          <w:rFonts w:ascii="Palatino Linotype" w:eastAsia="Palatino Linotype" w:hAnsi="Palatino Linotype"/>
          <w:sz w:val="22"/>
          <w:szCs w:val="22"/>
        </w:rPr>
        <w:t xml:space="preserve"> para señalar la clasificación de documentos o expedientes, sin perjuicio de que establezcan los propios.</w:t>
      </w:r>
    </w:p>
    <w:p w14:paraId="51FB1057" w14:textId="77777777" w:rsidR="00EF3C82" w:rsidRPr="00626D9A" w:rsidRDefault="00EF3C82" w:rsidP="00E56DB7">
      <w:pPr>
        <w:pStyle w:val="Cita"/>
        <w:spacing w:before="0" w:after="0"/>
        <w:jc w:val="both"/>
        <w:rPr>
          <w:rFonts w:ascii="Palatino Linotype" w:eastAsia="Palatino Linotype" w:hAnsi="Palatino Linotype"/>
          <w:sz w:val="22"/>
          <w:szCs w:val="22"/>
        </w:rPr>
      </w:pPr>
    </w:p>
    <w:p w14:paraId="27AEBC70" w14:textId="77777777" w:rsidR="00EF3C82" w:rsidRDefault="00EF3C82" w:rsidP="00E56DB7">
      <w:pPr>
        <w:pStyle w:val="Cita"/>
        <w:spacing w:before="0" w:after="0"/>
        <w:jc w:val="both"/>
        <w:rPr>
          <w:rFonts w:ascii="Palatino Linotype" w:eastAsia="Palatino Linotype" w:hAnsi="Palatino Linotype"/>
          <w:sz w:val="22"/>
          <w:szCs w:val="22"/>
        </w:rPr>
      </w:pPr>
      <w:r w:rsidRPr="00626D9A">
        <w:rPr>
          <w:rFonts w:ascii="Palatino Linotype" w:eastAsia="Palatino Linotype" w:hAnsi="Palatino Linotype"/>
          <w:sz w:val="22"/>
          <w:szCs w:val="22"/>
        </w:rPr>
        <w:t xml:space="preserve">Quincuagésimo tercero. </w:t>
      </w:r>
      <w:r w:rsidRPr="00626D9A">
        <w:rPr>
          <w:rFonts w:ascii="Palatino Linotype" w:eastAsia="Palatino Linotype" w:hAnsi="Palatino Linotype"/>
          <w:sz w:val="22"/>
          <w:szCs w:val="22"/>
          <w:u w:val="single"/>
        </w:rPr>
        <w:t>El formato para señalar la clasificación parcial de un documento</w:t>
      </w:r>
      <w:r w:rsidRPr="00626D9A">
        <w:rPr>
          <w:rFonts w:ascii="Palatino Linotype" w:eastAsia="Palatino Linotype" w:hAnsi="Palatino Linotype"/>
          <w:sz w:val="22"/>
          <w:szCs w:val="22"/>
        </w:rPr>
        <w:t>, es el siguiente:</w:t>
      </w:r>
    </w:p>
    <w:p w14:paraId="757FDE90" w14:textId="77777777" w:rsidR="00EF3C82" w:rsidRPr="00826158" w:rsidRDefault="00EF3C82" w:rsidP="00E56DB7">
      <w:pPr>
        <w:rPr>
          <w:rFonts w:eastAsia="Palatino Linotype"/>
        </w:rPr>
      </w:pP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EF3C82" w:rsidRPr="001F5984" w14:paraId="2D919435" w14:textId="77777777" w:rsidTr="00BE2DDB">
        <w:trPr>
          <w:jc w:val="center"/>
        </w:trPr>
        <w:tc>
          <w:tcPr>
            <w:tcW w:w="1159" w:type="dxa"/>
            <w:tcBorders>
              <w:top w:val="nil"/>
              <w:left w:val="nil"/>
              <w:bottom w:val="single" w:sz="4" w:space="0" w:color="000000"/>
              <w:right w:val="single" w:sz="4" w:space="0" w:color="000000"/>
            </w:tcBorders>
          </w:tcPr>
          <w:p w14:paraId="458A3E43" w14:textId="77777777" w:rsidR="00EF3C82" w:rsidRPr="001F5984" w:rsidRDefault="00EF3C82" w:rsidP="00E56DB7">
            <w:pPr>
              <w:jc w:val="both"/>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6383653B" w14:textId="77777777" w:rsidR="00EF3C82" w:rsidRPr="001F5984" w:rsidRDefault="00EF3C82" w:rsidP="00E56DB7">
            <w:pPr>
              <w:jc w:val="center"/>
              <w:rPr>
                <w:rFonts w:ascii="Palatino Linotype" w:eastAsia="Palatino Linotype" w:hAnsi="Palatino Linotype" w:cs="Palatino Linotype"/>
                <w:b/>
                <w:i/>
                <w:sz w:val="22"/>
                <w:szCs w:val="22"/>
              </w:rPr>
            </w:pPr>
            <w:r w:rsidRPr="001F5984">
              <w:rPr>
                <w:rFonts w:ascii="Palatino Linotype" w:eastAsia="Palatino Linotype" w:hAnsi="Palatino Linotype" w:cs="Palatino Linotype"/>
                <w:b/>
                <w:i/>
                <w:sz w:val="22"/>
                <w:szCs w:val="22"/>
              </w:rPr>
              <w:t>Concepto</w:t>
            </w:r>
          </w:p>
        </w:tc>
        <w:tc>
          <w:tcPr>
            <w:tcW w:w="4531" w:type="dxa"/>
            <w:tcBorders>
              <w:top w:val="single" w:sz="4" w:space="0" w:color="000000"/>
              <w:left w:val="single" w:sz="4" w:space="0" w:color="000000"/>
              <w:bottom w:val="single" w:sz="4" w:space="0" w:color="000000"/>
              <w:right w:val="single" w:sz="4" w:space="0" w:color="000000"/>
            </w:tcBorders>
          </w:tcPr>
          <w:p w14:paraId="42CF80EB" w14:textId="77777777" w:rsidR="00EF3C82" w:rsidRPr="001F5984" w:rsidRDefault="00EF3C82" w:rsidP="00E56DB7">
            <w:pPr>
              <w:jc w:val="center"/>
              <w:rPr>
                <w:rFonts w:ascii="Palatino Linotype" w:eastAsia="Palatino Linotype" w:hAnsi="Palatino Linotype" w:cs="Palatino Linotype"/>
                <w:b/>
                <w:i/>
                <w:sz w:val="22"/>
                <w:szCs w:val="22"/>
              </w:rPr>
            </w:pPr>
            <w:r w:rsidRPr="001F5984">
              <w:rPr>
                <w:rFonts w:ascii="Palatino Linotype" w:eastAsia="Palatino Linotype" w:hAnsi="Palatino Linotype" w:cs="Palatino Linotype"/>
                <w:b/>
                <w:i/>
                <w:sz w:val="22"/>
                <w:szCs w:val="22"/>
              </w:rPr>
              <w:t>Dónde:</w:t>
            </w:r>
          </w:p>
        </w:tc>
      </w:tr>
      <w:tr w:rsidR="00EF3C82" w:rsidRPr="001F5984" w14:paraId="407A3C8B" w14:textId="77777777" w:rsidTr="00BE2DDB">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44EF911E" w14:textId="77777777" w:rsidR="00EF3C82" w:rsidRPr="001F5984" w:rsidRDefault="00EF3C82" w:rsidP="00E56DB7">
            <w:pPr>
              <w:jc w:val="center"/>
              <w:rPr>
                <w:rFonts w:ascii="Palatino Linotype" w:eastAsia="Palatino Linotype" w:hAnsi="Palatino Linotype" w:cs="Palatino Linotype"/>
                <w:b/>
                <w:i/>
                <w:sz w:val="22"/>
                <w:szCs w:val="22"/>
              </w:rPr>
            </w:pPr>
            <w:r w:rsidRPr="001F5984">
              <w:rPr>
                <w:rFonts w:ascii="Palatino Linotype" w:eastAsia="Palatino Linotype" w:hAnsi="Palatino Linotype" w:cs="Palatino Linotype"/>
                <w:b/>
                <w:i/>
                <w:sz w:val="22"/>
                <w:szCs w:val="22"/>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359EF9E6"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EE5C9C4"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EF3C82" w:rsidRPr="001F5984" w14:paraId="3D668F4D"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C718042"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19521CB3"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Área</w:t>
            </w:r>
          </w:p>
        </w:tc>
        <w:tc>
          <w:tcPr>
            <w:tcW w:w="4531" w:type="dxa"/>
            <w:tcBorders>
              <w:top w:val="single" w:sz="4" w:space="0" w:color="000000"/>
              <w:left w:val="single" w:sz="4" w:space="0" w:color="000000"/>
              <w:bottom w:val="single" w:sz="4" w:space="0" w:color="000000"/>
              <w:right w:val="single" w:sz="4" w:space="0" w:color="000000"/>
            </w:tcBorders>
          </w:tcPr>
          <w:p w14:paraId="7E23C5C2"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señalará el nombre del área del cual es titular quien clasifica.</w:t>
            </w:r>
          </w:p>
        </w:tc>
      </w:tr>
      <w:tr w:rsidR="00EF3C82" w:rsidRPr="001F5984" w14:paraId="22226D97"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2943F23"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C46E41A"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36A990BD"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F3C82" w:rsidRPr="001F5984" w14:paraId="078C08C5"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DD305E9"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3967D22"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F4B51BF"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EF3C82" w:rsidRPr="001F5984" w14:paraId="57106F28"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2393520"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7B7D203"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2007836"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EF3C82" w:rsidRPr="001F5984" w14:paraId="26BB4FB4"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C852C92"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C0BAB1E"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6B05BB7"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EF3C82" w:rsidRPr="001F5984" w14:paraId="30BF9BB6"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AED6628"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0750E76"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Confidencial</w:t>
            </w:r>
          </w:p>
        </w:tc>
        <w:tc>
          <w:tcPr>
            <w:tcW w:w="4531" w:type="dxa"/>
            <w:tcBorders>
              <w:top w:val="single" w:sz="4" w:space="0" w:color="000000"/>
              <w:left w:val="single" w:sz="4" w:space="0" w:color="000000"/>
              <w:bottom w:val="single" w:sz="4" w:space="0" w:color="000000"/>
              <w:right w:val="single" w:sz="4" w:space="0" w:color="000000"/>
            </w:tcBorders>
          </w:tcPr>
          <w:p w14:paraId="25B87725"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F3C82" w:rsidRPr="001F5984" w14:paraId="1930772A"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1C56F38"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E488E39"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084FED1"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EF3C82" w:rsidRPr="001F5984" w14:paraId="06667E28"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3583490"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19E55BE5"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F03231B"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Rúbrica autógrafa de quien clasifica.</w:t>
            </w:r>
          </w:p>
        </w:tc>
      </w:tr>
      <w:tr w:rsidR="00EF3C82" w:rsidRPr="001F5984" w14:paraId="112A950B"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502729D"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69F3BFB5"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70E7851" w14:textId="77777777" w:rsidR="00EF3C82" w:rsidRPr="001F5984" w:rsidRDefault="00EF3C82" w:rsidP="00E56DB7">
            <w:pPr>
              <w:jc w:val="both"/>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Se anotará la fecha en que se desclasifica el documento.</w:t>
            </w:r>
          </w:p>
        </w:tc>
      </w:tr>
      <w:tr w:rsidR="00EF3C82" w:rsidRPr="001F5984" w14:paraId="5CC4011B" w14:textId="77777777" w:rsidTr="00BE2DDB">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9A483C4" w14:textId="77777777" w:rsidR="00EF3C82" w:rsidRPr="001F5984" w:rsidRDefault="00EF3C82" w:rsidP="00E56D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75FB598" w14:textId="77777777" w:rsidR="00EF3C82" w:rsidRPr="001F5984" w:rsidRDefault="00EF3C82" w:rsidP="00E56DB7">
            <w:pPr>
              <w:jc w:val="cente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DC65553" w14:textId="77777777" w:rsidR="00EF3C82" w:rsidRPr="001F5984" w:rsidRDefault="00EF3C82" w:rsidP="00E56DB7">
            <w:pPr>
              <w:rPr>
                <w:rFonts w:ascii="Palatino Linotype" w:eastAsia="Palatino Linotype" w:hAnsi="Palatino Linotype" w:cs="Palatino Linotype"/>
                <w:i/>
                <w:sz w:val="22"/>
                <w:szCs w:val="22"/>
              </w:rPr>
            </w:pPr>
            <w:r w:rsidRPr="001F5984">
              <w:rPr>
                <w:rFonts w:ascii="Palatino Linotype" w:eastAsia="Palatino Linotype" w:hAnsi="Palatino Linotype" w:cs="Palatino Linotype"/>
                <w:i/>
                <w:sz w:val="22"/>
                <w:szCs w:val="22"/>
              </w:rPr>
              <w:t>Rúbrica autógrafa de quien desclasifica.</w:t>
            </w:r>
          </w:p>
        </w:tc>
      </w:tr>
    </w:tbl>
    <w:p w14:paraId="666B4C3D" w14:textId="77777777" w:rsidR="00EF3C82" w:rsidRDefault="00EF3C82" w:rsidP="00E56DB7">
      <w:pPr>
        <w:spacing w:line="360" w:lineRule="auto"/>
        <w:jc w:val="both"/>
        <w:rPr>
          <w:rFonts w:ascii="Palatino Linotype" w:eastAsia="Palatino Linotype" w:hAnsi="Palatino Linotype" w:cs="Palatino Linotype"/>
        </w:rPr>
      </w:pPr>
    </w:p>
    <w:p w14:paraId="3D589B6C" w14:textId="77777777" w:rsidR="00EF3C82"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0B4F6138" w14:textId="77777777" w:rsidR="00EF3C82" w:rsidRDefault="00EF3C82" w:rsidP="00E56DB7">
      <w:pPr>
        <w:spacing w:line="360" w:lineRule="auto"/>
        <w:jc w:val="both"/>
        <w:rPr>
          <w:rFonts w:ascii="Palatino Linotype" w:eastAsia="Palatino Linotype" w:hAnsi="Palatino Linotype" w:cs="Palatino Linotype"/>
        </w:rPr>
      </w:pPr>
    </w:p>
    <w:p w14:paraId="7F5152CB" w14:textId="77777777" w:rsidR="00EF3C82" w:rsidRDefault="00EF3C82" w:rsidP="00E56DB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6DE23173" w14:textId="77777777" w:rsidR="00EF3C82" w:rsidRDefault="00EF3C82" w:rsidP="00E56DB7">
      <w:pPr>
        <w:spacing w:line="360" w:lineRule="auto"/>
        <w:ind w:right="51"/>
        <w:jc w:val="both"/>
        <w:rPr>
          <w:rFonts w:ascii="Palatino Linotype" w:eastAsia="Palatino Linotype" w:hAnsi="Palatino Linotype" w:cs="Palatino Linotype"/>
        </w:rPr>
      </w:pPr>
    </w:p>
    <w:p w14:paraId="199004C9" w14:textId="77777777" w:rsidR="00EF3C82" w:rsidRDefault="00EF3C82" w:rsidP="00E56D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45145E2C" w14:textId="77777777" w:rsidR="00F83EF1" w:rsidRDefault="004A73E3" w:rsidP="00E56D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14:paraId="396D9EF1" w14:textId="77777777" w:rsidR="00F83EF1" w:rsidRDefault="004A73E3" w:rsidP="00E56DB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omitió</w:t>
      </w:r>
      <w:r w:rsidR="00FC26DC">
        <w:rPr>
          <w:rFonts w:ascii="Palatino Linotype" w:eastAsia="Palatino Linotype" w:hAnsi="Palatino Linotype" w:cs="Palatino Linotype"/>
        </w:rPr>
        <w:t xml:space="preserve"> proporcionar la respuesta a la solicitud</w:t>
      </w:r>
      <w:r>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D775F0A" w14:textId="77777777" w:rsidR="00F83EF1" w:rsidRDefault="004A73E3" w:rsidP="00E56DB7">
      <w:pPr>
        <w:spacing w:before="240" w:after="240" w:line="360" w:lineRule="auto"/>
        <w:jc w:val="both"/>
        <w:rPr>
          <w:rFonts w:ascii="Palatino Linotype" w:eastAsia="Palatino Linotype" w:hAnsi="Palatino Linotype" w:cs="Palatino Linotype"/>
        </w:rPr>
      </w:pPr>
      <w:bookmarkStart w:id="7" w:name="_heading=h.1fob9te" w:colFirst="0" w:colLast="0"/>
      <w:bookmarkEnd w:id="7"/>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785D428" w14:textId="77777777" w:rsidR="00F83EF1" w:rsidRDefault="004A73E3" w:rsidP="00E56D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5428CDFC" w14:textId="77777777" w:rsidR="00F83EF1" w:rsidRDefault="004A73E3" w:rsidP="00E56D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sidR="00EF7E00">
        <w:rPr>
          <w:rFonts w:ascii="Palatino Linotype" w:eastAsia="Palatino Linotype" w:hAnsi="Palatino Linotype" w:cs="Palatino Linotype"/>
        </w:rPr>
        <w:t xml:space="preserve">en el recurso de revisión </w:t>
      </w:r>
      <w:r w:rsidR="00EF7E00">
        <w:rPr>
          <w:rFonts w:ascii="Palatino Linotype" w:eastAsia="Palatino Linotype" w:hAnsi="Palatino Linotype" w:cs="Palatino Linotype"/>
          <w:b/>
        </w:rPr>
        <w:t xml:space="preserve">12214/INFOEM/IP/RR/2022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3C731304" w14:textId="77777777" w:rsidR="00DF3DAD" w:rsidRDefault="00DF3DAD" w:rsidP="00E56DB7">
      <w:pPr>
        <w:spacing w:before="240" w:after="240" w:line="360" w:lineRule="auto"/>
        <w:ind w:right="48"/>
        <w:jc w:val="both"/>
        <w:rPr>
          <w:rFonts w:ascii="Palatino Linotype" w:eastAsia="Palatino Linotype" w:hAnsi="Palatino Linotype" w:cs="Palatino Linotype"/>
        </w:rPr>
      </w:pPr>
      <w:bookmarkStart w:id="8" w:name="_heading=h.3dy6vkm" w:colFirst="0" w:colLast="0"/>
      <w:bookmarkEnd w:id="8"/>
      <w:r>
        <w:rPr>
          <w:rFonts w:ascii="Palatino Linotype" w:eastAsia="Palatino Linotype" w:hAnsi="Palatino Linotype" w:cs="Palatino Linotype"/>
          <w:b/>
        </w:rPr>
        <w:lastRenderedPageBreak/>
        <w:t>Segundo</w:t>
      </w:r>
      <w:r w:rsidRPr="00434B13">
        <w:rPr>
          <w:rFonts w:ascii="Palatino Linotype" w:eastAsia="Palatino Linotype" w:hAnsi="Palatino Linotype" w:cs="Palatino Linotype"/>
          <w:b/>
        </w:rPr>
        <w:t>.</w:t>
      </w:r>
      <w:r w:rsidRPr="00434B13">
        <w:rPr>
          <w:rFonts w:ascii="Palatino Linotype" w:eastAsia="Palatino Linotype" w:hAnsi="Palatino Linotype" w:cs="Palatino Linotype"/>
        </w:rPr>
        <w:t xml:space="preserve"> </w:t>
      </w:r>
      <w:r w:rsidRPr="00434B13">
        <w:rPr>
          <w:rFonts w:ascii="Palatino Linotype" w:eastAsia="Calibri" w:hAnsi="Palatino Linotype" w:cs="Arial"/>
        </w:rPr>
        <w:t>Se</w:t>
      </w:r>
      <w:r w:rsidRPr="00434B13">
        <w:rPr>
          <w:rFonts w:ascii="Palatino Linotype" w:eastAsia="Calibri" w:hAnsi="Palatino Linotype" w:cs="Arial"/>
          <w:b/>
        </w:rPr>
        <w:t xml:space="preserve"> </w:t>
      </w:r>
      <w:r w:rsidRPr="0025794F">
        <w:rPr>
          <w:rFonts w:ascii="Palatino Linotype" w:eastAsia="Palatino Linotype" w:hAnsi="Palatino Linotype" w:cs="Palatino Linotype"/>
          <w:b/>
        </w:rPr>
        <w:t xml:space="preserve">Ordena </w:t>
      </w:r>
      <w:r w:rsidRPr="0025794F">
        <w:rPr>
          <w:rFonts w:ascii="Palatino Linotype" w:eastAsia="Palatino Linotype" w:hAnsi="Palatino Linotype" w:cs="Palatino Linotype"/>
        </w:rPr>
        <w:t xml:space="preserve">al </w:t>
      </w:r>
      <w:r w:rsidRPr="0025794F">
        <w:rPr>
          <w:rFonts w:ascii="Palatino Linotype" w:eastAsia="Palatino Linotype" w:hAnsi="Palatino Linotype" w:cs="Palatino Linotype"/>
          <w:b/>
        </w:rPr>
        <w:t xml:space="preserve">Sujeto Obligado </w:t>
      </w:r>
      <w:r w:rsidRPr="0025794F">
        <w:rPr>
          <w:rFonts w:ascii="Palatino Linotype" w:eastAsia="Palatino Linotype" w:hAnsi="Palatino Linotype" w:cs="Palatino Linotype"/>
        </w:rPr>
        <w:t>haga entrega vía Sistema de Acceso a la Información Mexiquense (SAIMEX),</w:t>
      </w:r>
      <w:r>
        <w:rPr>
          <w:rFonts w:ascii="Palatino Linotype" w:eastAsia="Palatino Linotype" w:hAnsi="Palatino Linotype" w:cs="Palatino Linotype"/>
        </w:rPr>
        <w:t xml:space="preserve"> </w:t>
      </w:r>
      <w:r w:rsidRPr="0025794F">
        <w:rPr>
          <w:rFonts w:ascii="Palatino Linotype" w:eastAsia="Palatino Linotype" w:hAnsi="Palatino Linotype" w:cs="Palatino Linotype"/>
        </w:rPr>
        <w:t xml:space="preserve">en versión pública, </w:t>
      </w:r>
      <w:r w:rsidR="00CF487F">
        <w:rPr>
          <w:rFonts w:ascii="Palatino Linotype" w:eastAsia="Palatino Linotype" w:hAnsi="Palatino Linotype" w:cs="Palatino Linotype"/>
        </w:rPr>
        <w:t>de la obra de pavimentación y drenaje en la Avenida Veracruz (camino a ojo de agua) en las colonias las Brisas y Chiconautla</w:t>
      </w:r>
      <w:r w:rsidR="004A49C4">
        <w:rPr>
          <w:rFonts w:ascii="Palatino Linotype" w:eastAsia="Palatino Linotype" w:hAnsi="Palatino Linotype" w:cs="Palatino Linotype"/>
        </w:rPr>
        <w:t xml:space="preserve">, </w:t>
      </w:r>
      <w:r>
        <w:rPr>
          <w:rFonts w:ascii="Palatino Linotype" w:eastAsia="Palatino Linotype" w:hAnsi="Palatino Linotype" w:cs="Palatino Linotype"/>
        </w:rPr>
        <w:t>los documentos</w:t>
      </w:r>
      <w:r w:rsidR="00384962">
        <w:rPr>
          <w:rFonts w:ascii="Palatino Linotype" w:eastAsia="Palatino Linotype" w:hAnsi="Palatino Linotype" w:cs="Palatino Linotype"/>
        </w:rPr>
        <w:t xml:space="preserve"> generados al veintisiete de mayo de dos mil veintidós</w:t>
      </w:r>
      <w:r>
        <w:rPr>
          <w:rFonts w:ascii="Palatino Linotype" w:eastAsia="Palatino Linotype" w:hAnsi="Palatino Linotype" w:cs="Palatino Linotype"/>
        </w:rPr>
        <w:t xml:space="preserve"> donde conste </w:t>
      </w:r>
      <w:r w:rsidRPr="0025794F">
        <w:rPr>
          <w:rFonts w:ascii="Palatino Linotype" w:eastAsia="Palatino Linotype" w:hAnsi="Palatino Linotype" w:cs="Palatino Linotype"/>
        </w:rPr>
        <w:t xml:space="preserve">la siguiente </w:t>
      </w:r>
      <w:r w:rsidR="00384962" w:rsidRPr="0025794F">
        <w:rPr>
          <w:rFonts w:ascii="Palatino Linotype" w:eastAsia="Palatino Linotype" w:hAnsi="Palatino Linotype" w:cs="Palatino Linotype"/>
        </w:rPr>
        <w:t>información</w:t>
      </w:r>
      <w:r w:rsidR="00384962">
        <w:rPr>
          <w:rFonts w:ascii="Palatino Linotype" w:eastAsia="Palatino Linotype" w:hAnsi="Palatino Linotype" w:cs="Palatino Linotype"/>
        </w:rPr>
        <w:t>,</w:t>
      </w:r>
      <w:r w:rsidRPr="0025794F">
        <w:rPr>
          <w:rFonts w:ascii="Palatino Linotype" w:eastAsia="Palatino Linotype" w:hAnsi="Palatino Linotype" w:cs="Palatino Linotype"/>
        </w:rPr>
        <w:t xml:space="preserve"> </w:t>
      </w:r>
    </w:p>
    <w:p w14:paraId="25AD4B75" w14:textId="77777777" w:rsidR="00DF3DAD" w:rsidRDefault="005730A1" w:rsidP="00E56DB7">
      <w:pPr>
        <w:pStyle w:val="Prrafodelista"/>
        <w:numPr>
          <w:ilvl w:val="0"/>
          <w:numId w:val="14"/>
        </w:numPr>
        <w:spacing w:before="240" w:after="240" w:line="360" w:lineRule="auto"/>
        <w:ind w:right="48"/>
        <w:contextualSpacing w:val="0"/>
        <w:jc w:val="both"/>
        <w:rPr>
          <w:rFonts w:ascii="Palatino Linotype" w:eastAsia="Palatino Linotype" w:hAnsi="Palatino Linotype" w:cs="Palatino Linotype"/>
          <w:i/>
        </w:rPr>
      </w:pPr>
      <w:r>
        <w:rPr>
          <w:rFonts w:ascii="Palatino Linotype" w:eastAsia="Palatino Linotype" w:hAnsi="Palatino Linotype" w:cs="Palatino Linotype"/>
          <w:i/>
        </w:rPr>
        <w:t>F</w:t>
      </w:r>
      <w:r w:rsidRPr="005730A1">
        <w:rPr>
          <w:rFonts w:ascii="Palatino Linotype" w:eastAsia="Palatino Linotype" w:hAnsi="Palatino Linotype" w:cs="Palatino Linotype"/>
          <w:i/>
        </w:rPr>
        <w:t>acturas, transferencias</w:t>
      </w:r>
      <w:r>
        <w:rPr>
          <w:rFonts w:ascii="Palatino Linotype" w:eastAsia="Palatino Linotype" w:hAnsi="Palatino Linotype" w:cs="Palatino Linotype"/>
          <w:i/>
        </w:rPr>
        <w:t xml:space="preserve"> y pólizas </w:t>
      </w:r>
      <w:r w:rsidRPr="005730A1">
        <w:rPr>
          <w:rFonts w:ascii="Palatino Linotype" w:eastAsia="Palatino Linotype" w:hAnsi="Palatino Linotype" w:cs="Palatino Linotype"/>
          <w:i/>
        </w:rPr>
        <w:t>con su soporte documental de las estimaciones pagada</w:t>
      </w:r>
      <w:r>
        <w:rPr>
          <w:rFonts w:ascii="Palatino Linotype" w:eastAsia="Palatino Linotype" w:hAnsi="Palatino Linotype" w:cs="Palatino Linotype"/>
          <w:i/>
        </w:rPr>
        <w:t>s</w:t>
      </w:r>
      <w:r w:rsidRPr="005730A1">
        <w:rPr>
          <w:rFonts w:ascii="Palatino Linotype" w:eastAsia="Palatino Linotype" w:hAnsi="Palatino Linotype" w:cs="Palatino Linotype"/>
          <w:i/>
        </w:rPr>
        <w:t xml:space="preserve"> por la ejecución de la obra</w:t>
      </w:r>
      <w:r w:rsidR="004A49C4" w:rsidRPr="005730A1">
        <w:rPr>
          <w:rFonts w:ascii="Palatino Linotype" w:eastAsia="Palatino Linotype" w:hAnsi="Palatino Linotype" w:cs="Palatino Linotype"/>
          <w:i/>
        </w:rPr>
        <w:t>;</w:t>
      </w:r>
    </w:p>
    <w:p w14:paraId="04349A87" w14:textId="77777777" w:rsidR="004A49C4" w:rsidRDefault="004A49C4" w:rsidP="00E56DB7">
      <w:pPr>
        <w:pStyle w:val="Prrafodelista"/>
        <w:numPr>
          <w:ilvl w:val="0"/>
          <w:numId w:val="14"/>
        </w:numPr>
        <w:spacing w:before="240" w:after="240" w:line="360" w:lineRule="auto"/>
        <w:ind w:right="48"/>
        <w:contextualSpacing w:val="0"/>
        <w:jc w:val="both"/>
        <w:rPr>
          <w:rFonts w:ascii="Palatino Linotype" w:eastAsia="Palatino Linotype" w:hAnsi="Palatino Linotype" w:cs="Palatino Linotype"/>
          <w:i/>
        </w:rPr>
      </w:pPr>
      <w:r>
        <w:rPr>
          <w:rFonts w:ascii="Palatino Linotype" w:eastAsia="Palatino Linotype" w:hAnsi="Palatino Linotype" w:cs="Palatino Linotype"/>
          <w:i/>
        </w:rPr>
        <w:t xml:space="preserve">Oficios con acuse respectivo </w:t>
      </w:r>
      <w:r w:rsidR="004302C3">
        <w:rPr>
          <w:rFonts w:ascii="Palatino Linotype" w:eastAsia="Palatino Linotype" w:hAnsi="Palatino Linotype" w:cs="Palatino Linotype"/>
          <w:i/>
        </w:rPr>
        <w:t xml:space="preserve">de la información enviada a instancias del Gobierno Federal o Estatal o al Congreso Local o Federal; </w:t>
      </w:r>
    </w:p>
    <w:p w14:paraId="7118EA68" w14:textId="77777777" w:rsidR="00A833BE" w:rsidRPr="00A833BE" w:rsidRDefault="00A833BE" w:rsidP="00E56DB7">
      <w:pPr>
        <w:pStyle w:val="Prrafodelista"/>
        <w:numPr>
          <w:ilvl w:val="0"/>
          <w:numId w:val="14"/>
        </w:numPr>
        <w:spacing w:before="240" w:after="240" w:line="360" w:lineRule="auto"/>
        <w:ind w:right="48"/>
        <w:jc w:val="both"/>
        <w:rPr>
          <w:rFonts w:ascii="Palatino Linotype" w:eastAsia="Palatino Linotype" w:hAnsi="Palatino Linotype" w:cs="Palatino Linotype"/>
          <w:i/>
        </w:rPr>
      </w:pPr>
      <w:r>
        <w:rPr>
          <w:rFonts w:ascii="Palatino Linotype" w:eastAsia="Palatino Linotype" w:hAnsi="Palatino Linotype" w:cs="Palatino Linotype"/>
          <w:i/>
        </w:rPr>
        <w:t>P</w:t>
      </w:r>
      <w:r w:rsidRPr="00A833BE">
        <w:rPr>
          <w:rFonts w:ascii="Palatino Linotype" w:eastAsia="Palatino Linotype" w:hAnsi="Palatino Linotype" w:cs="Palatino Linotype"/>
          <w:i/>
        </w:rPr>
        <w:t xml:space="preserve">resupuesto presentado por la o el concursante con el soporte de los precios unitarios; </w:t>
      </w:r>
    </w:p>
    <w:p w14:paraId="63E58EEA" w14:textId="77777777" w:rsidR="00A833BE" w:rsidRPr="00A833BE" w:rsidRDefault="00A833BE" w:rsidP="00E56DB7">
      <w:pPr>
        <w:pStyle w:val="Prrafodelista"/>
        <w:numPr>
          <w:ilvl w:val="0"/>
          <w:numId w:val="14"/>
        </w:numPr>
        <w:spacing w:before="240" w:after="240" w:line="360" w:lineRule="auto"/>
        <w:ind w:right="48"/>
        <w:jc w:val="both"/>
        <w:rPr>
          <w:rFonts w:ascii="Palatino Linotype" w:eastAsia="Palatino Linotype" w:hAnsi="Palatino Linotype" w:cs="Palatino Linotype"/>
          <w:i/>
        </w:rPr>
      </w:pPr>
      <w:r w:rsidRPr="00A833BE">
        <w:rPr>
          <w:rFonts w:ascii="Palatino Linotype" w:eastAsia="Palatino Linotype" w:hAnsi="Palatino Linotype" w:cs="Palatino Linotype"/>
          <w:i/>
        </w:rPr>
        <w:t xml:space="preserve">Descripción de la planeación presentada por el concursante para realizar los trabajos, incluyendo el procedimiento constructivo de ejecución, en su caso, las restricciones técnicas o el documento que se haya solicitado en las bases del concurso; y, </w:t>
      </w:r>
    </w:p>
    <w:p w14:paraId="78A8A004" w14:textId="77777777" w:rsidR="004302C3" w:rsidRPr="00DC2309" w:rsidRDefault="00A833BE" w:rsidP="00E56DB7">
      <w:pPr>
        <w:pStyle w:val="Prrafodelista"/>
        <w:numPr>
          <w:ilvl w:val="0"/>
          <w:numId w:val="14"/>
        </w:numPr>
        <w:spacing w:before="240" w:after="240" w:line="360" w:lineRule="auto"/>
        <w:ind w:right="48"/>
        <w:contextualSpacing w:val="0"/>
        <w:jc w:val="both"/>
        <w:rPr>
          <w:rFonts w:ascii="Palatino Linotype" w:eastAsia="Palatino Linotype" w:hAnsi="Palatino Linotype" w:cs="Palatino Linotype"/>
          <w:i/>
          <w:highlight w:val="yellow"/>
        </w:rPr>
      </w:pPr>
      <w:r>
        <w:rPr>
          <w:rFonts w:ascii="Palatino Linotype" w:eastAsia="Palatino Linotype" w:hAnsi="Palatino Linotype" w:cs="Palatino Linotype"/>
          <w:i/>
        </w:rPr>
        <w:t>N</w:t>
      </w:r>
      <w:r w:rsidRPr="00A833BE">
        <w:rPr>
          <w:rFonts w:ascii="Palatino Linotype" w:eastAsia="Palatino Linotype" w:hAnsi="Palatino Linotype" w:cs="Palatino Linotype"/>
          <w:i/>
        </w:rPr>
        <w:t xml:space="preserve">ombre del representante en la obra, que este a cargo de la vigilancia o residencia de obra y autorización de los trabajos; así </w:t>
      </w:r>
      <w:r w:rsidRPr="00DC2309">
        <w:rPr>
          <w:rFonts w:ascii="Palatino Linotype" w:eastAsia="Palatino Linotype" w:hAnsi="Palatino Linotype" w:cs="Palatino Linotype"/>
          <w:i/>
          <w:highlight w:val="yellow"/>
        </w:rPr>
        <w:t>como su currículo y cédula profesional.</w:t>
      </w:r>
    </w:p>
    <w:p w14:paraId="780FA0B4" w14:textId="77777777" w:rsidR="006F3995" w:rsidRDefault="006F3995" w:rsidP="00E56DB7">
      <w:pPr>
        <w:pStyle w:val="Prrafodelista"/>
        <w:numPr>
          <w:ilvl w:val="0"/>
          <w:numId w:val="14"/>
        </w:numPr>
        <w:spacing w:before="240" w:after="240" w:line="360" w:lineRule="auto"/>
        <w:ind w:right="48"/>
        <w:contextualSpacing w:val="0"/>
        <w:jc w:val="both"/>
        <w:rPr>
          <w:rFonts w:ascii="Palatino Linotype" w:eastAsia="Palatino Linotype" w:hAnsi="Palatino Linotype" w:cs="Palatino Linotype"/>
          <w:i/>
        </w:rPr>
      </w:pPr>
      <w:r>
        <w:rPr>
          <w:rFonts w:ascii="Palatino Linotype" w:eastAsia="Palatino Linotype" w:hAnsi="Palatino Linotype" w:cs="Palatino Linotype"/>
          <w:i/>
        </w:rPr>
        <w:t>N</w:t>
      </w:r>
      <w:r w:rsidRPr="006F3995">
        <w:rPr>
          <w:rFonts w:ascii="Palatino Linotype" w:eastAsia="Palatino Linotype" w:hAnsi="Palatino Linotype" w:cs="Palatino Linotype"/>
          <w:i/>
        </w:rPr>
        <w:t>ombre del testigo social y documentos donde conste el procedimiento de designación del mismo para la obra denominada y descrita en la solicitud de información.</w:t>
      </w:r>
    </w:p>
    <w:p w14:paraId="0A94FEEC" w14:textId="77777777" w:rsidR="00606641" w:rsidRDefault="00606641" w:rsidP="00E56DB7">
      <w:pPr>
        <w:pStyle w:val="Prrafodelista"/>
        <w:numPr>
          <w:ilvl w:val="0"/>
          <w:numId w:val="14"/>
        </w:numPr>
        <w:spacing w:before="240" w:after="240" w:line="360" w:lineRule="auto"/>
        <w:ind w:right="48"/>
        <w:contextualSpacing w:val="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C</w:t>
      </w:r>
      <w:r w:rsidRPr="00606641">
        <w:rPr>
          <w:rFonts w:ascii="Palatino Linotype" w:eastAsia="Palatino Linotype" w:hAnsi="Palatino Linotype" w:cs="Palatino Linotype"/>
          <w:i/>
        </w:rPr>
        <w:t>onvocatoria</w:t>
      </w:r>
      <w:r>
        <w:rPr>
          <w:rFonts w:ascii="Palatino Linotype" w:eastAsia="Palatino Linotype" w:hAnsi="Palatino Linotype" w:cs="Palatino Linotype"/>
          <w:i/>
        </w:rPr>
        <w:t xml:space="preserve"> emitida por el Sujeto Obligado</w:t>
      </w:r>
      <w:r w:rsidRPr="00606641">
        <w:rPr>
          <w:rFonts w:ascii="Palatino Linotype" w:eastAsia="Palatino Linotype" w:hAnsi="Palatino Linotype" w:cs="Palatino Linotype"/>
          <w:i/>
        </w:rPr>
        <w:t xml:space="preserve"> para la integración del Comité Ciudadano de Control y Vigilancia; así como</w:t>
      </w:r>
      <w:r w:rsidR="00676A58">
        <w:rPr>
          <w:rFonts w:ascii="Palatino Linotype" w:eastAsia="Palatino Linotype" w:hAnsi="Palatino Linotype" w:cs="Palatino Linotype"/>
          <w:i/>
        </w:rPr>
        <w:t>,</w:t>
      </w:r>
      <w:r w:rsidRPr="00606641">
        <w:rPr>
          <w:rFonts w:ascii="Palatino Linotype" w:eastAsia="Palatino Linotype" w:hAnsi="Palatino Linotype" w:cs="Palatino Linotype"/>
          <w:i/>
        </w:rPr>
        <w:t xml:space="preserve"> el documento donde con</w:t>
      </w:r>
      <w:r w:rsidR="00676A58">
        <w:rPr>
          <w:rFonts w:ascii="Palatino Linotype" w:eastAsia="Palatino Linotype" w:hAnsi="Palatino Linotype" w:cs="Palatino Linotype"/>
          <w:i/>
        </w:rPr>
        <w:t xml:space="preserve">ste </w:t>
      </w:r>
      <w:r w:rsidR="005448CA">
        <w:rPr>
          <w:rFonts w:ascii="Palatino Linotype" w:eastAsia="Palatino Linotype" w:hAnsi="Palatino Linotype" w:cs="Palatino Linotype"/>
          <w:i/>
        </w:rPr>
        <w:t xml:space="preserve">el nombre de los integrantes. </w:t>
      </w:r>
    </w:p>
    <w:p w14:paraId="11045C02" w14:textId="77777777" w:rsidR="00EA2E04" w:rsidRPr="00E0569C" w:rsidRDefault="00EA2E04" w:rsidP="00E56DB7">
      <w:pPr>
        <w:pStyle w:val="Prrafodelista"/>
        <w:numPr>
          <w:ilvl w:val="0"/>
          <w:numId w:val="14"/>
        </w:numPr>
        <w:spacing w:before="240" w:after="240" w:line="360" w:lineRule="auto"/>
        <w:ind w:right="48"/>
        <w:contextualSpacing w:val="0"/>
        <w:jc w:val="both"/>
        <w:rPr>
          <w:rFonts w:ascii="Palatino Linotype" w:eastAsia="Palatino Linotype" w:hAnsi="Palatino Linotype" w:cs="Palatino Linotype"/>
          <w:i/>
        </w:rPr>
      </w:pPr>
      <w:r>
        <w:rPr>
          <w:rFonts w:ascii="Palatino Linotype" w:eastAsia="Palatino Linotype" w:hAnsi="Palatino Linotype" w:cs="Palatino Linotype"/>
          <w:i/>
        </w:rPr>
        <w:t>S</w:t>
      </w:r>
      <w:r w:rsidRPr="00EA2E04">
        <w:rPr>
          <w:rFonts w:ascii="Palatino Linotype" w:eastAsia="Palatino Linotype" w:hAnsi="Palatino Linotype" w:cs="Palatino Linotype"/>
          <w:i/>
        </w:rPr>
        <w:t>oporte documental que dé cuenta o en el que se advierta la participación de la Contraloría Municipal en la vigilancia de la calidad de la obra</w:t>
      </w:r>
      <w:r>
        <w:rPr>
          <w:rFonts w:ascii="Palatino Linotype" w:eastAsia="Palatino Linotype" w:hAnsi="Palatino Linotype" w:cs="Palatino Linotype"/>
          <w:i/>
        </w:rPr>
        <w:t xml:space="preserve">. </w:t>
      </w:r>
    </w:p>
    <w:p w14:paraId="6F4A7C02" w14:textId="77777777" w:rsidR="00DF3DAD" w:rsidRDefault="00DF3DAD" w:rsidP="00E56DB7">
      <w:pPr>
        <w:pStyle w:val="Prrafodelista"/>
        <w:pBdr>
          <w:top w:val="nil"/>
          <w:left w:val="nil"/>
          <w:bottom w:val="nil"/>
          <w:right w:val="nil"/>
          <w:between w:val="nil"/>
        </w:pBdr>
        <w:spacing w:before="240" w:after="240" w:line="360" w:lineRule="auto"/>
        <w:jc w:val="both"/>
        <w:rPr>
          <w:rFonts w:ascii="Palatino Linotype" w:eastAsia="Calibri" w:hAnsi="Palatino Linotype" w:cs="Tahoma"/>
          <w:i/>
          <w:iCs/>
          <w:lang w:eastAsia="es-ES_tradnl"/>
        </w:rPr>
      </w:pPr>
      <w:r w:rsidRPr="00434B13">
        <w:rPr>
          <w:rFonts w:ascii="Palatino Linotype" w:eastAsia="Calibri" w:hAnsi="Palatino Linotype" w:cs="Tahoma"/>
          <w:i/>
          <w:iCs/>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7845D47" w14:textId="77777777" w:rsidR="005B1729" w:rsidRDefault="005B1729" w:rsidP="00E56DB7">
      <w:pPr>
        <w:pStyle w:val="Prrafodelista"/>
        <w:pBdr>
          <w:top w:val="nil"/>
          <w:left w:val="nil"/>
          <w:bottom w:val="nil"/>
          <w:right w:val="nil"/>
          <w:between w:val="nil"/>
        </w:pBdr>
        <w:spacing w:before="240" w:after="240" w:line="360" w:lineRule="auto"/>
        <w:jc w:val="both"/>
        <w:rPr>
          <w:rFonts w:ascii="Palatino Linotype" w:eastAsia="Calibri" w:hAnsi="Palatino Linotype" w:cs="Tahoma"/>
          <w:i/>
          <w:iCs/>
          <w:lang w:eastAsia="es-ES_tradnl"/>
        </w:rPr>
      </w:pPr>
    </w:p>
    <w:p w14:paraId="4BFB2CB5" w14:textId="77777777" w:rsidR="005B1729" w:rsidRDefault="005B1729" w:rsidP="00E56DB7">
      <w:pPr>
        <w:pStyle w:val="Prrafodelista"/>
        <w:pBdr>
          <w:top w:val="nil"/>
          <w:left w:val="nil"/>
          <w:bottom w:val="nil"/>
          <w:right w:val="nil"/>
          <w:between w:val="nil"/>
        </w:pBdr>
        <w:spacing w:before="240" w:after="240" w:line="360" w:lineRule="auto"/>
        <w:jc w:val="both"/>
        <w:rPr>
          <w:rFonts w:ascii="Palatino Linotype" w:eastAsia="Calibri" w:hAnsi="Palatino Linotype" w:cs="Tahoma"/>
          <w:bCs/>
          <w:i/>
          <w:iCs/>
        </w:rPr>
      </w:pPr>
      <w:r w:rsidRPr="00434B13">
        <w:rPr>
          <w:rFonts w:ascii="Palatino Linotype" w:eastAsia="Calibri" w:hAnsi="Palatino Linotype" w:cs="Tahoma"/>
          <w:bCs/>
          <w:i/>
          <w:iCs/>
        </w:rPr>
        <w:t xml:space="preserve">Para </w:t>
      </w:r>
      <w:r>
        <w:rPr>
          <w:rFonts w:ascii="Palatino Linotype" w:eastAsia="Calibri" w:hAnsi="Palatino Linotype" w:cs="Tahoma"/>
          <w:bCs/>
          <w:i/>
          <w:iCs/>
        </w:rPr>
        <w:t>de que el</w:t>
      </w:r>
      <w:r w:rsidRPr="00143C13">
        <w:rPr>
          <w:rFonts w:ascii="Palatino Linotype" w:eastAsia="Calibri" w:hAnsi="Palatino Linotype" w:cs="Tahoma"/>
          <w:bCs/>
          <w:i/>
          <w:iCs/>
        </w:rPr>
        <w:t xml:space="preserve"> Sujeto Obligado </w:t>
      </w:r>
      <w:r>
        <w:rPr>
          <w:rFonts w:ascii="Palatino Linotype" w:eastAsia="Calibri" w:hAnsi="Palatino Linotype" w:cs="Tahoma"/>
          <w:bCs/>
          <w:i/>
          <w:iCs/>
        </w:rPr>
        <w:t xml:space="preserve">no </w:t>
      </w:r>
      <w:r w:rsidRPr="00143C13">
        <w:rPr>
          <w:rFonts w:ascii="Palatino Linotype" w:eastAsia="Calibri" w:hAnsi="Palatino Linotype" w:cs="Tahoma"/>
          <w:bCs/>
          <w:i/>
          <w:iCs/>
        </w:rPr>
        <w:t xml:space="preserve">haya generado </w:t>
      </w:r>
      <w:r>
        <w:rPr>
          <w:rFonts w:ascii="Palatino Linotype" w:eastAsia="Calibri" w:hAnsi="Palatino Linotype" w:cs="Tahoma"/>
          <w:bCs/>
          <w:i/>
          <w:iCs/>
        </w:rPr>
        <w:t>la información que se ordena</w:t>
      </w:r>
      <w:r w:rsidRPr="00143C13">
        <w:rPr>
          <w:rFonts w:ascii="Palatino Linotype" w:eastAsia="Calibri" w:hAnsi="Palatino Linotype" w:cs="Tahoma"/>
          <w:bCs/>
          <w:i/>
          <w:iCs/>
        </w:rPr>
        <w:t xml:space="preserve"> </w:t>
      </w:r>
      <w:r>
        <w:rPr>
          <w:rFonts w:ascii="Palatino Linotype" w:eastAsia="Calibri" w:hAnsi="Palatino Linotype" w:cs="Tahoma"/>
          <w:bCs/>
          <w:i/>
          <w:iCs/>
        </w:rPr>
        <w:t xml:space="preserve">en el </w:t>
      </w:r>
      <w:r w:rsidR="006D7541">
        <w:rPr>
          <w:rFonts w:ascii="Palatino Linotype" w:eastAsia="Calibri" w:hAnsi="Palatino Linotype" w:cs="Tahoma"/>
          <w:bCs/>
          <w:i/>
          <w:iCs/>
        </w:rPr>
        <w:t xml:space="preserve">en el numeral 5 relativa al currículo y cédula profesional y en el </w:t>
      </w:r>
      <w:r>
        <w:rPr>
          <w:rFonts w:ascii="Palatino Linotype" w:eastAsia="Calibri" w:hAnsi="Palatino Linotype" w:cs="Tahoma"/>
          <w:bCs/>
          <w:i/>
          <w:iCs/>
        </w:rPr>
        <w:t>numeral 6</w:t>
      </w:r>
      <w:r w:rsidRPr="00143C13">
        <w:rPr>
          <w:rFonts w:ascii="Palatino Linotype" w:eastAsia="Calibri" w:hAnsi="Palatino Linotype" w:cs="Tahoma"/>
          <w:bCs/>
          <w:i/>
          <w:iCs/>
        </w:rPr>
        <w:t xml:space="preserve"> deberá hacerl</w:t>
      </w:r>
      <w:r>
        <w:rPr>
          <w:rFonts w:ascii="Palatino Linotype" w:eastAsia="Calibri" w:hAnsi="Palatino Linotype" w:cs="Tahoma"/>
          <w:bCs/>
          <w:i/>
          <w:iCs/>
        </w:rPr>
        <w:t>o</w:t>
      </w:r>
      <w:r w:rsidRPr="00143C13">
        <w:rPr>
          <w:rFonts w:ascii="Palatino Linotype" w:eastAsia="Calibri" w:hAnsi="Palatino Linotype" w:cs="Tahoma"/>
          <w:bCs/>
          <w:i/>
          <w:iCs/>
        </w:rPr>
        <w:t xml:space="preserve"> del conocimiento al ahora Recurrente, en términos del artículo 19, párrafo segundo, de la Ley de Transparencia y Acceso a la Información Pública del Estado de México y Municipios.</w:t>
      </w:r>
      <w:r w:rsidR="00572E55">
        <w:rPr>
          <w:rFonts w:ascii="Palatino Linotype" w:eastAsia="Calibri" w:hAnsi="Palatino Linotype" w:cs="Tahoma"/>
          <w:bCs/>
          <w:i/>
          <w:iCs/>
        </w:rPr>
        <w:t xml:space="preserve"> </w:t>
      </w:r>
    </w:p>
    <w:p w14:paraId="7DEEF344"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2F77DE6" w14:textId="77777777" w:rsidR="00F83EF1" w:rsidRDefault="004A73E3" w:rsidP="00E56D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BA5C6AE" w14:textId="77777777" w:rsidR="00F83EF1" w:rsidRDefault="004A73E3" w:rsidP="00E56D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1C3F128" w14:textId="77777777" w:rsidR="00F83EF1" w:rsidRDefault="004A73E3" w:rsidP="00E56D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w:t>
      </w:r>
      <w:r w:rsidR="00EE5E6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75074D64" w14:textId="77777777" w:rsidR="00F83EF1" w:rsidRDefault="004A73E3" w:rsidP="00E56DB7">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3430E892" w14:textId="77777777" w:rsidR="00F83EF1" w:rsidRDefault="004A73E3" w:rsidP="00E56DB7">
      <w:pPr>
        <w:spacing w:line="360" w:lineRule="auto"/>
        <w:jc w:val="both"/>
        <w:rPr>
          <w:rFonts w:ascii="Palatino Linotype" w:eastAsia="Palatino Linotype" w:hAnsi="Palatino Linotype" w:cs="Palatino Linotype"/>
        </w:rPr>
      </w:pPr>
      <w:bookmarkStart w:id="10" w:name="_heading=h.4d34og8" w:colFirst="0" w:colLast="0"/>
      <w:bookmarkEnd w:id="10"/>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EE5E6F">
        <w:rPr>
          <w:rFonts w:ascii="Palatino Linotype" w:eastAsia="Palatino Linotype" w:hAnsi="Palatino Linotype" w:cs="Palatino Linotype"/>
        </w:rPr>
        <w:t>RAMÍREZ PEÑA; EN LA DÉCIMA PRIMERA</w:t>
      </w:r>
      <w:r>
        <w:rPr>
          <w:rFonts w:ascii="Palatino Linotype" w:eastAsia="Palatino Linotype" w:hAnsi="Palatino Linotype" w:cs="Palatino Linotype"/>
        </w:rPr>
        <w:t xml:space="preserve"> SESIÓN </w:t>
      </w:r>
      <w:r w:rsidR="00EE5E6F">
        <w:rPr>
          <w:rFonts w:ascii="Palatino Linotype" w:eastAsia="Palatino Linotype" w:hAnsi="Palatino Linotype" w:cs="Palatino Linotype"/>
        </w:rPr>
        <w:t xml:space="preserve">ORDINARIA CELEBRADA EL </w:t>
      </w:r>
      <w:r w:rsidR="00726D70">
        <w:rPr>
          <w:rFonts w:ascii="Palatino Linotype" w:eastAsia="Palatino Linotype" w:hAnsi="Palatino Linotype" w:cs="Palatino Linotype"/>
        </w:rPr>
        <w:t>VEINTIDÓS</w:t>
      </w:r>
      <w:r>
        <w:rPr>
          <w:rFonts w:ascii="Palatino Linotype" w:eastAsia="Palatino Linotype" w:hAnsi="Palatino Linotype" w:cs="Palatino Linotype"/>
        </w:rPr>
        <w:t xml:space="preserve"> DE </w:t>
      </w:r>
      <w:r w:rsidR="00D22A11">
        <w:rPr>
          <w:rFonts w:ascii="Palatino Linotype" w:eastAsia="Palatino Linotype" w:hAnsi="Palatino Linotype" w:cs="Palatino Linotype"/>
        </w:rPr>
        <w:t>MARZO</w:t>
      </w:r>
      <w:r>
        <w:rPr>
          <w:rFonts w:ascii="Palatino Linotype" w:eastAsia="Palatino Linotype" w:hAnsi="Palatino Linotype" w:cs="Palatino Linotype"/>
        </w:rPr>
        <w:t xml:space="preserve"> DE DOS MIL VEINTI</w:t>
      </w:r>
      <w:r w:rsidR="00D22A11">
        <w:rPr>
          <w:rFonts w:ascii="Palatino Linotype" w:eastAsia="Palatino Linotype" w:hAnsi="Palatino Linotype" w:cs="Palatino Linotype"/>
        </w:rPr>
        <w:t>TRÉS</w:t>
      </w:r>
      <w:r>
        <w:rPr>
          <w:rFonts w:ascii="Palatino Linotype" w:eastAsia="Palatino Linotype" w:hAnsi="Palatino Linotype" w:cs="Palatino Linotype"/>
        </w:rPr>
        <w:t>, ANTE EL SECRETARIO TÉCNICO DEL PLENO ALEXIS TAPIA RAMÍREZ.</w:t>
      </w:r>
    </w:p>
    <w:p w14:paraId="5356EA9A" w14:textId="77777777" w:rsidR="00F83EF1" w:rsidRDefault="00F83EF1" w:rsidP="00E56DB7">
      <w:pPr>
        <w:spacing w:line="360" w:lineRule="auto"/>
        <w:jc w:val="both"/>
        <w:rPr>
          <w:rFonts w:ascii="Palatino Linotype" w:eastAsia="Palatino Linotype" w:hAnsi="Palatino Linotype" w:cs="Palatino Linotype"/>
        </w:rPr>
      </w:pPr>
    </w:p>
    <w:p w14:paraId="4872ED50" w14:textId="77777777" w:rsidR="00F83EF1" w:rsidRDefault="002B3776" w:rsidP="00E56DB7">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32A66FE1" wp14:editId="361ED897">
                <wp:simplePos x="0" y="0"/>
                <wp:positionH relativeFrom="column">
                  <wp:posOffset>262889</wp:posOffset>
                </wp:positionH>
                <wp:positionV relativeFrom="paragraph">
                  <wp:posOffset>116840</wp:posOffset>
                </wp:positionV>
                <wp:extent cx="5000625" cy="38100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000625" cy="38100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94CC86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7pt,9.2pt" to="414.45pt,3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" strokecolor="#f68c36 [3049]"/>
            </w:pict>
          </mc:Fallback>
        </mc:AlternateContent>
      </w:r>
    </w:p>
    <w:p w14:paraId="7C06E7F5" w14:textId="77777777" w:rsidR="00F83EF1" w:rsidRDefault="00F83EF1" w:rsidP="00E56DB7">
      <w:pPr>
        <w:spacing w:line="360" w:lineRule="auto"/>
        <w:jc w:val="both"/>
        <w:rPr>
          <w:rFonts w:ascii="Palatino Linotype" w:eastAsia="Palatino Linotype" w:hAnsi="Palatino Linotype" w:cs="Palatino Linotype"/>
        </w:rPr>
      </w:pPr>
      <w:bookmarkStart w:id="11" w:name="_heading=h.1t3h5sf" w:colFirst="0" w:colLast="0"/>
      <w:bookmarkEnd w:id="11"/>
    </w:p>
    <w:p w14:paraId="2FFD904D" w14:textId="77777777" w:rsidR="00F83EF1" w:rsidRDefault="00F83EF1" w:rsidP="00E56DB7">
      <w:pPr>
        <w:spacing w:line="360" w:lineRule="auto"/>
        <w:jc w:val="both"/>
        <w:rPr>
          <w:rFonts w:ascii="Palatino Linotype" w:eastAsia="Palatino Linotype" w:hAnsi="Palatino Linotype" w:cs="Palatino Linotype"/>
        </w:rPr>
      </w:pPr>
    </w:p>
    <w:p w14:paraId="2D959BD6" w14:textId="77777777" w:rsidR="00F83EF1" w:rsidRDefault="00F83EF1" w:rsidP="00E56DB7">
      <w:pPr>
        <w:spacing w:line="360" w:lineRule="auto"/>
        <w:jc w:val="both"/>
        <w:rPr>
          <w:rFonts w:ascii="Palatino Linotype" w:eastAsia="Palatino Linotype" w:hAnsi="Palatino Linotype" w:cs="Palatino Linotype"/>
        </w:rPr>
      </w:pPr>
    </w:p>
    <w:p w14:paraId="5F882D9E" w14:textId="77777777" w:rsidR="00F83EF1" w:rsidRDefault="00F83EF1" w:rsidP="00E56DB7">
      <w:pPr>
        <w:spacing w:line="360" w:lineRule="auto"/>
        <w:jc w:val="both"/>
        <w:rPr>
          <w:rFonts w:ascii="Palatino Linotype" w:eastAsia="Palatino Linotype" w:hAnsi="Palatino Linotype" w:cs="Palatino Linotype"/>
        </w:rPr>
      </w:pPr>
    </w:p>
    <w:p w14:paraId="064AEE2E" w14:textId="77777777" w:rsidR="00F83EF1" w:rsidRDefault="00F83EF1" w:rsidP="00E56DB7">
      <w:pPr>
        <w:spacing w:line="360" w:lineRule="auto"/>
        <w:jc w:val="both"/>
        <w:rPr>
          <w:rFonts w:ascii="Palatino Linotype" w:eastAsia="Palatino Linotype" w:hAnsi="Palatino Linotype" w:cs="Palatino Linotype"/>
        </w:rPr>
      </w:pPr>
    </w:p>
    <w:p w14:paraId="039FFDC8" w14:textId="77777777" w:rsidR="00F83EF1" w:rsidRDefault="00F83EF1" w:rsidP="00E56DB7">
      <w:pPr>
        <w:spacing w:line="360" w:lineRule="auto"/>
        <w:jc w:val="both"/>
        <w:rPr>
          <w:rFonts w:ascii="Palatino Linotype" w:eastAsia="Palatino Linotype" w:hAnsi="Palatino Linotype" w:cs="Palatino Linotype"/>
        </w:rPr>
      </w:pPr>
    </w:p>
    <w:p w14:paraId="2BD7956F" w14:textId="77777777" w:rsidR="00F83EF1" w:rsidRDefault="00F83EF1" w:rsidP="00E56DB7">
      <w:pPr>
        <w:spacing w:line="360" w:lineRule="auto"/>
        <w:jc w:val="both"/>
        <w:rPr>
          <w:rFonts w:ascii="Palatino Linotype" w:eastAsia="Palatino Linotype" w:hAnsi="Palatino Linotype" w:cs="Palatino Linotype"/>
        </w:rPr>
      </w:pPr>
    </w:p>
    <w:p w14:paraId="088C8A83" w14:textId="77777777" w:rsidR="00F83EF1" w:rsidRDefault="00F83EF1" w:rsidP="00E56DB7">
      <w:pPr>
        <w:spacing w:line="360" w:lineRule="auto"/>
        <w:jc w:val="both"/>
        <w:rPr>
          <w:rFonts w:ascii="Palatino Linotype" w:eastAsia="Palatino Linotype" w:hAnsi="Palatino Linotype" w:cs="Palatino Linotype"/>
        </w:rPr>
      </w:pPr>
    </w:p>
    <w:p w14:paraId="12AA6623" w14:textId="77777777" w:rsidR="00F83EF1" w:rsidRDefault="00F83EF1" w:rsidP="00E56DB7">
      <w:pPr>
        <w:spacing w:line="360" w:lineRule="auto"/>
        <w:jc w:val="both"/>
        <w:rPr>
          <w:rFonts w:ascii="Palatino Linotype" w:eastAsia="Palatino Linotype" w:hAnsi="Palatino Linotype" w:cs="Palatino Linotype"/>
        </w:rPr>
      </w:pPr>
    </w:p>
    <w:p w14:paraId="2E1CF614" w14:textId="77777777" w:rsidR="00F83EF1" w:rsidRDefault="00F83EF1" w:rsidP="00E56DB7">
      <w:pPr>
        <w:spacing w:line="360" w:lineRule="auto"/>
        <w:jc w:val="both"/>
        <w:rPr>
          <w:rFonts w:ascii="Palatino Linotype" w:eastAsia="Palatino Linotype" w:hAnsi="Palatino Linotype" w:cs="Palatino Linotype"/>
        </w:rPr>
      </w:pPr>
    </w:p>
    <w:p w14:paraId="28191AEF" w14:textId="77777777" w:rsidR="00F83EF1" w:rsidRDefault="00F83EF1" w:rsidP="00E56DB7">
      <w:pPr>
        <w:spacing w:line="360" w:lineRule="auto"/>
        <w:jc w:val="both"/>
        <w:rPr>
          <w:rFonts w:ascii="Palatino Linotype" w:eastAsia="Palatino Linotype" w:hAnsi="Palatino Linotype" w:cs="Palatino Linotype"/>
        </w:rPr>
      </w:pPr>
    </w:p>
    <w:p w14:paraId="662B091B" w14:textId="77777777" w:rsidR="00F83EF1" w:rsidRDefault="00F83EF1" w:rsidP="00E56DB7">
      <w:pPr>
        <w:spacing w:line="360" w:lineRule="auto"/>
        <w:jc w:val="both"/>
        <w:rPr>
          <w:rFonts w:ascii="Palatino Linotype" w:eastAsia="Palatino Linotype" w:hAnsi="Palatino Linotype" w:cs="Palatino Linotype"/>
        </w:rPr>
      </w:pPr>
    </w:p>
    <w:p w14:paraId="1C093930" w14:textId="77777777" w:rsidR="00F83EF1" w:rsidRDefault="00F83EF1" w:rsidP="00E56DB7">
      <w:pPr>
        <w:spacing w:line="360" w:lineRule="auto"/>
        <w:jc w:val="both"/>
        <w:rPr>
          <w:rFonts w:ascii="Palatino Linotype" w:eastAsia="Palatino Linotype" w:hAnsi="Palatino Linotype" w:cs="Palatino Linotype"/>
        </w:rPr>
      </w:pPr>
    </w:p>
    <w:p w14:paraId="28E39AE4" w14:textId="77777777" w:rsidR="00F83EF1" w:rsidRDefault="00F83EF1" w:rsidP="00E56DB7">
      <w:pPr>
        <w:spacing w:line="360" w:lineRule="auto"/>
        <w:jc w:val="both"/>
        <w:rPr>
          <w:rFonts w:ascii="Palatino Linotype" w:eastAsia="Palatino Linotype" w:hAnsi="Palatino Linotype" w:cs="Palatino Linotype"/>
        </w:rPr>
      </w:pPr>
    </w:p>
    <w:p w14:paraId="3EB9D600" w14:textId="77777777" w:rsidR="00F83EF1" w:rsidRDefault="00F83EF1" w:rsidP="00E56DB7">
      <w:pPr>
        <w:spacing w:line="360" w:lineRule="auto"/>
        <w:jc w:val="both"/>
        <w:rPr>
          <w:rFonts w:ascii="Palatino Linotype" w:eastAsia="Palatino Linotype" w:hAnsi="Palatino Linotype" w:cs="Palatino Linotype"/>
        </w:rPr>
      </w:pPr>
    </w:p>
    <w:p w14:paraId="7A53882D" w14:textId="77777777" w:rsidR="00F83EF1" w:rsidRDefault="00F83EF1" w:rsidP="00E56DB7">
      <w:pPr>
        <w:spacing w:line="360" w:lineRule="auto"/>
        <w:jc w:val="both"/>
        <w:rPr>
          <w:rFonts w:ascii="Palatino Linotype" w:eastAsia="Palatino Linotype" w:hAnsi="Palatino Linotype" w:cs="Palatino Linotype"/>
        </w:rPr>
      </w:pPr>
    </w:p>
    <w:p w14:paraId="719C1FCE" w14:textId="77777777" w:rsidR="00F83EF1" w:rsidRDefault="00F83EF1" w:rsidP="00E56DB7">
      <w:pPr>
        <w:spacing w:line="360" w:lineRule="auto"/>
        <w:jc w:val="both"/>
        <w:rPr>
          <w:rFonts w:ascii="Palatino Linotype" w:eastAsia="Palatino Linotype" w:hAnsi="Palatino Linotype" w:cs="Palatino Linotype"/>
        </w:rPr>
      </w:pPr>
    </w:p>
    <w:p w14:paraId="0D7D0C9D" w14:textId="77777777" w:rsidR="00F83EF1" w:rsidRDefault="00F83EF1" w:rsidP="00E56DB7">
      <w:pPr>
        <w:spacing w:line="360" w:lineRule="auto"/>
        <w:jc w:val="both"/>
        <w:rPr>
          <w:rFonts w:ascii="Palatino Linotype" w:eastAsia="Palatino Linotype" w:hAnsi="Palatino Linotype" w:cs="Palatino Linotype"/>
        </w:rPr>
      </w:pPr>
    </w:p>
    <w:p w14:paraId="1159905F" w14:textId="77777777" w:rsidR="00F83EF1" w:rsidRDefault="00F83EF1" w:rsidP="00E56DB7">
      <w:pPr>
        <w:spacing w:line="360" w:lineRule="auto"/>
        <w:jc w:val="both"/>
        <w:rPr>
          <w:rFonts w:ascii="Palatino Linotype" w:eastAsia="Palatino Linotype" w:hAnsi="Palatino Linotype" w:cs="Palatino Linotype"/>
        </w:rPr>
      </w:pPr>
    </w:p>
    <w:p w14:paraId="34043BDE" w14:textId="77777777" w:rsidR="00F83EF1" w:rsidRDefault="00F83EF1" w:rsidP="00E56DB7">
      <w:pPr>
        <w:spacing w:line="360" w:lineRule="auto"/>
        <w:jc w:val="both"/>
        <w:rPr>
          <w:rFonts w:ascii="Palatino Linotype" w:eastAsia="Palatino Linotype" w:hAnsi="Palatino Linotype" w:cs="Palatino Linotype"/>
        </w:rPr>
      </w:pPr>
    </w:p>
    <w:p w14:paraId="217985B2" w14:textId="77777777" w:rsidR="00F83EF1" w:rsidRDefault="00F83EF1" w:rsidP="00E56DB7">
      <w:pPr>
        <w:spacing w:line="360" w:lineRule="auto"/>
        <w:jc w:val="both"/>
        <w:rPr>
          <w:rFonts w:ascii="Palatino Linotype" w:eastAsia="Palatino Linotype" w:hAnsi="Palatino Linotype" w:cs="Palatino Linotype"/>
        </w:rPr>
      </w:pPr>
    </w:p>
    <w:sectPr w:rsidR="00F83EF1">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70FD" w14:textId="77777777" w:rsidR="00845823" w:rsidRDefault="00845823">
      <w:r>
        <w:separator/>
      </w:r>
    </w:p>
  </w:endnote>
  <w:endnote w:type="continuationSeparator" w:id="0">
    <w:p w14:paraId="673685D9" w14:textId="77777777" w:rsidR="00845823" w:rsidRDefault="0084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CCD" w14:textId="77777777" w:rsidR="002D5599" w:rsidRDefault="002D55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4E6E">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4E6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63EE0057" w14:textId="77777777" w:rsidR="002D5599" w:rsidRDefault="002D559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35CB" w14:textId="77777777" w:rsidR="002D5599" w:rsidRDefault="002D55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4E6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4E6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671C628B" w14:textId="77777777" w:rsidR="002D5599" w:rsidRDefault="002D559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E821" w14:textId="77777777" w:rsidR="00845823" w:rsidRDefault="00845823">
      <w:r>
        <w:separator/>
      </w:r>
    </w:p>
  </w:footnote>
  <w:footnote w:type="continuationSeparator" w:id="0">
    <w:p w14:paraId="4DA5320C" w14:textId="77777777" w:rsidR="00845823" w:rsidRDefault="00845823">
      <w:r>
        <w:continuationSeparator/>
      </w:r>
    </w:p>
  </w:footnote>
  <w:footnote w:id="1">
    <w:p w14:paraId="1A2B1BB6" w14:textId="77777777" w:rsidR="002D5599" w:rsidRDefault="002D5599" w:rsidP="007E7A9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2D2D33D" w14:textId="77777777" w:rsidR="002D5599" w:rsidRDefault="002D5599" w:rsidP="007E7A9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CFE6E86" w14:textId="77777777" w:rsidR="002D5599" w:rsidRPr="00EB6F6F" w:rsidRDefault="002D5599" w:rsidP="00C262A4">
      <w:pPr>
        <w:pStyle w:val="Textonotapie"/>
        <w:rPr>
          <w:rFonts w:ascii="Palatino Linotype" w:hAnsi="Palatino Linotype"/>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r w:rsidRPr="00EB6F6F">
        <w:rPr>
          <w:rFonts w:ascii="Palatino Linotype" w:hAnsi="Palatino Linotype"/>
          <w:b/>
          <w:i/>
          <w:iCs/>
          <w:sz w:val="16"/>
          <w:szCs w:val="16"/>
        </w:rPr>
        <w:t>Artículo 1.-</w:t>
      </w:r>
      <w:r w:rsidRPr="00EB6F6F">
        <w:rPr>
          <w:rFonts w:ascii="Palatino Linotype" w:hAnsi="Palatino Linotype"/>
          <w:i/>
          <w:iCs/>
          <w:sz w:val="16"/>
          <w:szCs w:val="16"/>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77E300B1" w14:textId="77777777" w:rsidR="002D5599" w:rsidRPr="00EB6F6F" w:rsidRDefault="002D5599" w:rsidP="00C262A4">
      <w:pPr>
        <w:pStyle w:val="Textonotapie"/>
        <w:numPr>
          <w:ilvl w:val="0"/>
          <w:numId w:val="16"/>
        </w:numPr>
        <w:rPr>
          <w:rFonts w:ascii="Palatino Linotype" w:hAnsi="Palatino Linotype"/>
          <w:i/>
          <w:iCs/>
          <w:sz w:val="16"/>
          <w:szCs w:val="16"/>
        </w:rPr>
      </w:pPr>
      <w:r w:rsidRPr="00EB6F6F">
        <w:rPr>
          <w:rFonts w:ascii="Palatino Linotype" w:hAnsi="Palatino Linotype"/>
          <w:i/>
          <w:iCs/>
          <w:sz w:val="16"/>
          <w:szCs w:val="16"/>
        </w:rPr>
        <w:t xml:space="preserve">Las secretarías y las unidades administrativas del Poder Ejecutivo del Estado. </w:t>
      </w:r>
    </w:p>
    <w:p w14:paraId="5A9E7A5D" w14:textId="77777777" w:rsidR="002D5599" w:rsidRPr="00EB6F6F" w:rsidRDefault="002D5599" w:rsidP="00C262A4">
      <w:pPr>
        <w:pStyle w:val="Textonotapie"/>
        <w:numPr>
          <w:ilvl w:val="0"/>
          <w:numId w:val="16"/>
        </w:numPr>
        <w:rPr>
          <w:rFonts w:ascii="Palatino Linotype" w:hAnsi="Palatino Linotype"/>
          <w:i/>
          <w:iCs/>
          <w:sz w:val="16"/>
          <w:szCs w:val="16"/>
        </w:rPr>
      </w:pPr>
      <w:r w:rsidRPr="00EB6F6F">
        <w:rPr>
          <w:rFonts w:ascii="Palatino Linotype" w:hAnsi="Palatino Linotype"/>
          <w:i/>
          <w:iCs/>
          <w:sz w:val="16"/>
          <w:szCs w:val="16"/>
        </w:rPr>
        <w:t xml:space="preserve">La Procuraduría General de Justicia. </w:t>
      </w:r>
    </w:p>
    <w:p w14:paraId="0CC92990" w14:textId="77777777" w:rsidR="002D5599" w:rsidRPr="00EB6F6F" w:rsidRDefault="002D5599" w:rsidP="00C262A4">
      <w:pPr>
        <w:pStyle w:val="Textonotapie"/>
        <w:numPr>
          <w:ilvl w:val="0"/>
          <w:numId w:val="16"/>
        </w:numPr>
        <w:rPr>
          <w:rFonts w:ascii="Palatino Linotype" w:hAnsi="Palatino Linotype"/>
          <w:i/>
          <w:iCs/>
          <w:sz w:val="16"/>
          <w:szCs w:val="16"/>
        </w:rPr>
      </w:pPr>
      <w:r w:rsidRPr="00EB6F6F">
        <w:rPr>
          <w:rFonts w:ascii="Palatino Linotype" w:hAnsi="Palatino Linotype"/>
          <w:i/>
          <w:iCs/>
          <w:sz w:val="16"/>
          <w:szCs w:val="16"/>
        </w:rPr>
        <w:t xml:space="preserve">Los ayuntamientos de los municipios del Estado. </w:t>
      </w:r>
    </w:p>
    <w:p w14:paraId="1C4C42BF" w14:textId="77777777" w:rsidR="002D5599" w:rsidRPr="00EB6F6F" w:rsidRDefault="002D5599" w:rsidP="00C262A4">
      <w:pPr>
        <w:pStyle w:val="Textonotapie"/>
        <w:numPr>
          <w:ilvl w:val="0"/>
          <w:numId w:val="16"/>
        </w:numPr>
        <w:rPr>
          <w:rFonts w:ascii="Palatino Linotype" w:hAnsi="Palatino Linotype"/>
          <w:i/>
          <w:iCs/>
          <w:sz w:val="16"/>
          <w:szCs w:val="16"/>
        </w:rPr>
      </w:pPr>
      <w:r w:rsidRPr="00EB6F6F">
        <w:rPr>
          <w:rFonts w:ascii="Palatino Linotype" w:hAnsi="Palatino Linotype"/>
          <w:i/>
          <w:iCs/>
          <w:sz w:val="16"/>
          <w:szCs w:val="16"/>
        </w:rPr>
        <w:t xml:space="preserve">Los organismos auxiliares y fideicomisos públicos, de carácter estatal o municipal. </w:t>
      </w:r>
    </w:p>
    <w:p w14:paraId="34A94D2A" w14:textId="77777777" w:rsidR="002D5599" w:rsidRPr="00EB6F6F" w:rsidRDefault="002D5599" w:rsidP="00C262A4">
      <w:pPr>
        <w:pStyle w:val="Textonotapie"/>
        <w:numPr>
          <w:ilvl w:val="0"/>
          <w:numId w:val="16"/>
        </w:numPr>
        <w:rPr>
          <w:rFonts w:ascii="Palatino Linotype" w:hAnsi="Palatino Linotype"/>
          <w:i/>
          <w:iCs/>
          <w:sz w:val="16"/>
          <w:szCs w:val="16"/>
        </w:rPr>
      </w:pPr>
      <w:r w:rsidRPr="00EB6F6F">
        <w:rPr>
          <w:rFonts w:ascii="Palatino Linotype" w:hAnsi="Palatino Linotype"/>
          <w:i/>
          <w:iCs/>
          <w:sz w:val="16"/>
          <w:szCs w:val="16"/>
        </w:rPr>
        <w:t>Los tribunales administrativos.</w:t>
      </w:r>
    </w:p>
    <w:p w14:paraId="5E020B70" w14:textId="77777777" w:rsidR="002D5599" w:rsidRPr="00EB6F6F" w:rsidRDefault="002D5599" w:rsidP="00C262A4">
      <w:pPr>
        <w:pStyle w:val="Textonotapie"/>
        <w:ind w:left="360"/>
        <w:rPr>
          <w:rFonts w:ascii="Palatino Linotype" w:hAnsi="Palatino Linotype"/>
          <w:i/>
          <w:iCs/>
          <w:sz w:val="16"/>
          <w:szCs w:val="16"/>
        </w:rPr>
      </w:pPr>
      <w:r w:rsidRPr="00EB6F6F">
        <w:rPr>
          <w:rFonts w:ascii="Palatino Linotype" w:hAnsi="Palatino Linotype"/>
          <w:i/>
          <w:iCs/>
          <w:sz w:val="16"/>
          <w:szCs w:val="16"/>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0F7DB6F6" w14:textId="77777777" w:rsidR="002D5599" w:rsidRPr="00EB6F6F" w:rsidRDefault="002D5599" w:rsidP="00C262A4">
      <w:pPr>
        <w:pStyle w:val="Textonotapie"/>
        <w:ind w:left="360"/>
        <w:rPr>
          <w:rFonts w:ascii="Palatino Linotype" w:hAnsi="Palatino Linotype"/>
          <w:i/>
          <w:iCs/>
          <w:sz w:val="16"/>
          <w:szCs w:val="16"/>
        </w:rPr>
      </w:pPr>
      <w:r w:rsidRPr="00EB6F6F">
        <w:rPr>
          <w:rFonts w:ascii="Palatino Linotype" w:hAnsi="Palatino Linotype"/>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04E0" w14:textId="77777777" w:rsidR="002D5599" w:rsidRDefault="002D5599">
    <w:pPr>
      <w:rPr>
        <w:rFonts w:ascii="Cambria" w:eastAsia="Cambria" w:hAnsi="Cambria" w:cs="Cambria"/>
        <w:color w:val="000000"/>
      </w:rPr>
    </w:pPr>
    <w:r>
      <w:rPr>
        <w:noProof/>
      </w:rPr>
      <w:drawing>
        <wp:anchor distT="0" distB="0" distL="0" distR="0" simplePos="0" relativeHeight="251658240" behindDoc="1" locked="0" layoutInCell="1" hidden="0" allowOverlap="1" wp14:anchorId="66205AFF" wp14:editId="024FE0AD">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146" w:type="dxa"/>
      <w:tblLayout w:type="fixed"/>
      <w:tblLook w:val="0400" w:firstRow="0" w:lastRow="0" w:firstColumn="0" w:lastColumn="0" w:noHBand="0" w:noVBand="1"/>
    </w:tblPr>
    <w:tblGrid>
      <w:gridCol w:w="2489"/>
      <w:gridCol w:w="3464"/>
    </w:tblGrid>
    <w:tr w:rsidR="002D5599" w14:paraId="0413F359" w14:textId="77777777">
      <w:tc>
        <w:tcPr>
          <w:tcW w:w="2489" w:type="dxa"/>
          <w:shd w:val="clear" w:color="auto" w:fill="auto"/>
        </w:tcPr>
        <w:p w14:paraId="660FE68E" w14:textId="77777777" w:rsidR="002D5599" w:rsidRDefault="002D55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B0CC5FB" w14:textId="77777777" w:rsidR="002D5599" w:rsidRDefault="002D5599" w:rsidP="00910C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12214/INFOEM/IP/RR/2022</w:t>
          </w:r>
        </w:p>
      </w:tc>
    </w:tr>
    <w:tr w:rsidR="002D5599" w14:paraId="67819BC0" w14:textId="77777777">
      <w:trPr>
        <w:trHeight w:val="228"/>
      </w:trPr>
      <w:tc>
        <w:tcPr>
          <w:tcW w:w="2489" w:type="dxa"/>
          <w:shd w:val="clear" w:color="auto" w:fill="auto"/>
          <w:vAlign w:val="center"/>
        </w:tcPr>
        <w:p w14:paraId="0C6B438D" w14:textId="77777777" w:rsidR="002D5599" w:rsidRDefault="002D55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A0B1DC4" w14:textId="77777777" w:rsidR="002D5599" w:rsidRDefault="002D559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2D5599" w14:paraId="190B865B" w14:textId="77777777">
      <w:tc>
        <w:tcPr>
          <w:tcW w:w="2489" w:type="dxa"/>
          <w:shd w:val="clear" w:color="auto" w:fill="auto"/>
          <w:vAlign w:val="center"/>
        </w:tcPr>
        <w:p w14:paraId="724113C0" w14:textId="77777777" w:rsidR="002D5599" w:rsidRDefault="002D559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59FA862" w14:textId="77777777" w:rsidR="002D5599" w:rsidRDefault="002D55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2E00DC" w14:textId="77777777" w:rsidR="002D5599" w:rsidRDefault="002D559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6DB7" w14:textId="77777777" w:rsidR="002D5599" w:rsidRDefault="002D559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D6B0E42" wp14:editId="1F0EE9C6">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670" w:type="dxa"/>
      <w:tblInd w:w="3146" w:type="dxa"/>
      <w:tblLayout w:type="fixed"/>
      <w:tblLook w:val="0400" w:firstRow="0" w:lastRow="0" w:firstColumn="0" w:lastColumn="0" w:noHBand="0" w:noVBand="1"/>
    </w:tblPr>
    <w:tblGrid>
      <w:gridCol w:w="2551"/>
      <w:gridCol w:w="3119"/>
    </w:tblGrid>
    <w:tr w:rsidR="002D5599" w14:paraId="7C8D60A4" w14:textId="77777777">
      <w:tc>
        <w:tcPr>
          <w:tcW w:w="2551" w:type="dxa"/>
          <w:shd w:val="clear" w:color="auto" w:fill="auto"/>
          <w:vAlign w:val="center"/>
        </w:tcPr>
        <w:p w14:paraId="24A5FE7E" w14:textId="77777777" w:rsidR="002D5599" w:rsidRDefault="002D55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F20E8BD" w14:textId="77777777" w:rsidR="002D5599" w:rsidRDefault="002D5599" w:rsidP="00910C4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12214/INFOEM/IP/RR/2022</w:t>
          </w:r>
        </w:p>
      </w:tc>
    </w:tr>
    <w:tr w:rsidR="002D5599" w14:paraId="63785C3C" w14:textId="77777777">
      <w:trPr>
        <w:trHeight w:val="130"/>
      </w:trPr>
      <w:tc>
        <w:tcPr>
          <w:tcW w:w="2551" w:type="dxa"/>
          <w:shd w:val="clear" w:color="auto" w:fill="auto"/>
          <w:vAlign w:val="center"/>
        </w:tcPr>
        <w:p w14:paraId="56C16671" w14:textId="77777777" w:rsidR="002D5599" w:rsidRDefault="002D55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483E86C" w14:textId="3CEC5FCF" w:rsidR="002D5599" w:rsidRDefault="00103EC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w:t>
          </w:r>
        </w:p>
      </w:tc>
    </w:tr>
    <w:tr w:rsidR="002D5599" w14:paraId="68F1572E" w14:textId="77777777">
      <w:trPr>
        <w:trHeight w:val="228"/>
      </w:trPr>
      <w:tc>
        <w:tcPr>
          <w:tcW w:w="2551" w:type="dxa"/>
          <w:shd w:val="clear" w:color="auto" w:fill="auto"/>
          <w:vAlign w:val="center"/>
        </w:tcPr>
        <w:p w14:paraId="1B77644F" w14:textId="77777777" w:rsidR="002D5599" w:rsidRDefault="002D55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E4FDD80" w14:textId="77777777" w:rsidR="002D5599" w:rsidRDefault="002D5599" w:rsidP="00910C4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Ecatepec de Morelos </w:t>
          </w:r>
        </w:p>
      </w:tc>
    </w:tr>
    <w:tr w:rsidR="002D5599" w14:paraId="0A653A1E" w14:textId="77777777">
      <w:tc>
        <w:tcPr>
          <w:tcW w:w="2551" w:type="dxa"/>
          <w:shd w:val="clear" w:color="auto" w:fill="auto"/>
          <w:vAlign w:val="center"/>
        </w:tcPr>
        <w:p w14:paraId="0DAA7E31" w14:textId="77777777" w:rsidR="002D5599" w:rsidRDefault="002D55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0B7E8A7" w14:textId="77777777" w:rsidR="002D5599" w:rsidRDefault="002D559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35681" w14:textId="77777777" w:rsidR="002D5599" w:rsidRDefault="002D559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7D9"/>
    <w:multiLevelType w:val="multilevel"/>
    <w:tmpl w:val="98FC940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C13810"/>
    <w:multiLevelType w:val="hybridMultilevel"/>
    <w:tmpl w:val="FE8AA7CA"/>
    <w:lvl w:ilvl="0" w:tplc="8EA622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094C80"/>
    <w:multiLevelType w:val="hybridMultilevel"/>
    <w:tmpl w:val="22D81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1D096D"/>
    <w:multiLevelType w:val="hybridMultilevel"/>
    <w:tmpl w:val="2F9012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CEE2794"/>
    <w:multiLevelType w:val="hybridMultilevel"/>
    <w:tmpl w:val="6096BD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CC4B06"/>
    <w:multiLevelType w:val="hybridMultilevel"/>
    <w:tmpl w:val="AF3ADEFC"/>
    <w:lvl w:ilvl="0" w:tplc="90DCAA88">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2" w15:restartNumberingAfterBreak="0">
    <w:nsid w:val="3F8927AB"/>
    <w:multiLevelType w:val="hybridMultilevel"/>
    <w:tmpl w:val="C8A890B6"/>
    <w:lvl w:ilvl="0" w:tplc="EF24BB52">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53F3DE9"/>
    <w:multiLevelType w:val="hybridMultilevel"/>
    <w:tmpl w:val="6096BD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BC7F06"/>
    <w:multiLevelType w:val="hybridMultilevel"/>
    <w:tmpl w:val="106A2A82"/>
    <w:lvl w:ilvl="0" w:tplc="B89CC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65455E72"/>
    <w:multiLevelType w:val="hybridMultilevel"/>
    <w:tmpl w:val="F5DC9CF6"/>
    <w:lvl w:ilvl="0" w:tplc="27FC502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14B1CA4"/>
    <w:multiLevelType w:val="hybridMultilevel"/>
    <w:tmpl w:val="CD6E6AA0"/>
    <w:lvl w:ilvl="0" w:tplc="BDF62E8A">
      <w:start w:val="1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201C12"/>
    <w:multiLevelType w:val="hybridMultilevel"/>
    <w:tmpl w:val="2F9012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9073CD"/>
    <w:multiLevelType w:val="hybridMultilevel"/>
    <w:tmpl w:val="2F9012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8"/>
  </w:num>
  <w:num w:numId="2">
    <w:abstractNumId w:val="1"/>
  </w:num>
  <w:num w:numId="3">
    <w:abstractNumId w:val="23"/>
  </w:num>
  <w:num w:numId="4">
    <w:abstractNumId w:val="16"/>
  </w:num>
  <w:num w:numId="5">
    <w:abstractNumId w:val="17"/>
  </w:num>
  <w:num w:numId="6">
    <w:abstractNumId w:val="4"/>
  </w:num>
  <w:num w:numId="7">
    <w:abstractNumId w:val="5"/>
  </w:num>
  <w:num w:numId="8">
    <w:abstractNumId w:val="10"/>
  </w:num>
  <w:num w:numId="9">
    <w:abstractNumId w:val="22"/>
  </w:num>
  <w:num w:numId="10">
    <w:abstractNumId w:val="2"/>
  </w:num>
  <w:num w:numId="11">
    <w:abstractNumId w:val="14"/>
  </w:num>
  <w:num w:numId="12">
    <w:abstractNumId w:val="9"/>
  </w:num>
  <w:num w:numId="13">
    <w:abstractNumId w:val="19"/>
  </w:num>
  <w:num w:numId="14">
    <w:abstractNumId w:val="12"/>
  </w:num>
  <w:num w:numId="15">
    <w:abstractNumId w:val="13"/>
  </w:num>
  <w:num w:numId="16">
    <w:abstractNumId w:val="15"/>
  </w:num>
  <w:num w:numId="17">
    <w:abstractNumId w:val="7"/>
  </w:num>
  <w:num w:numId="18">
    <w:abstractNumId w:val="11"/>
  </w:num>
  <w:num w:numId="19">
    <w:abstractNumId w:val="3"/>
  </w:num>
  <w:num w:numId="20">
    <w:abstractNumId w:val="21"/>
  </w:num>
  <w:num w:numId="21">
    <w:abstractNumId w:val="20"/>
  </w:num>
  <w:num w:numId="22">
    <w:abstractNumId w:val="6"/>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F1"/>
    <w:rsid w:val="00003691"/>
    <w:rsid w:val="0002066A"/>
    <w:rsid w:val="00025FC4"/>
    <w:rsid w:val="000328A3"/>
    <w:rsid w:val="00041BB6"/>
    <w:rsid w:val="0006045B"/>
    <w:rsid w:val="00060588"/>
    <w:rsid w:val="00065ED1"/>
    <w:rsid w:val="00092F56"/>
    <w:rsid w:val="000A24E9"/>
    <w:rsid w:val="00103EC4"/>
    <w:rsid w:val="001120D2"/>
    <w:rsid w:val="001156EC"/>
    <w:rsid w:val="0011636A"/>
    <w:rsid w:val="0013412A"/>
    <w:rsid w:val="00144E6E"/>
    <w:rsid w:val="00163B01"/>
    <w:rsid w:val="00192F04"/>
    <w:rsid w:val="00194D86"/>
    <w:rsid w:val="0019621A"/>
    <w:rsid w:val="001A2AF5"/>
    <w:rsid w:val="001B7DB9"/>
    <w:rsid w:val="001C048C"/>
    <w:rsid w:val="001C7567"/>
    <w:rsid w:val="001D2F67"/>
    <w:rsid w:val="001D5A83"/>
    <w:rsid w:val="001E5E60"/>
    <w:rsid w:val="001E6606"/>
    <w:rsid w:val="001F2C3A"/>
    <w:rsid w:val="001F4A70"/>
    <w:rsid w:val="00202E3A"/>
    <w:rsid w:val="0021798B"/>
    <w:rsid w:val="00232D22"/>
    <w:rsid w:val="00233A29"/>
    <w:rsid w:val="002402AD"/>
    <w:rsid w:val="0024054B"/>
    <w:rsid w:val="0024307F"/>
    <w:rsid w:val="002440FB"/>
    <w:rsid w:val="00277DBF"/>
    <w:rsid w:val="0028081B"/>
    <w:rsid w:val="00281A2C"/>
    <w:rsid w:val="002902EA"/>
    <w:rsid w:val="00296A35"/>
    <w:rsid w:val="002A3554"/>
    <w:rsid w:val="002A4251"/>
    <w:rsid w:val="002A763F"/>
    <w:rsid w:val="002B3776"/>
    <w:rsid w:val="002C14B8"/>
    <w:rsid w:val="002D5599"/>
    <w:rsid w:val="002E2C33"/>
    <w:rsid w:val="002E7467"/>
    <w:rsid w:val="002F060E"/>
    <w:rsid w:val="0030070A"/>
    <w:rsid w:val="00316766"/>
    <w:rsid w:val="003214A1"/>
    <w:rsid w:val="00321B4D"/>
    <w:rsid w:val="0032537A"/>
    <w:rsid w:val="00332264"/>
    <w:rsid w:val="00336847"/>
    <w:rsid w:val="003504DC"/>
    <w:rsid w:val="00384962"/>
    <w:rsid w:val="00394A9F"/>
    <w:rsid w:val="003B16F2"/>
    <w:rsid w:val="003B1E95"/>
    <w:rsid w:val="003E7ECF"/>
    <w:rsid w:val="003F0E5D"/>
    <w:rsid w:val="003F1C15"/>
    <w:rsid w:val="003F3784"/>
    <w:rsid w:val="003F7B69"/>
    <w:rsid w:val="00415046"/>
    <w:rsid w:val="004302C3"/>
    <w:rsid w:val="004310DB"/>
    <w:rsid w:val="00431638"/>
    <w:rsid w:val="00443476"/>
    <w:rsid w:val="00447BB0"/>
    <w:rsid w:val="00465CF4"/>
    <w:rsid w:val="0046725B"/>
    <w:rsid w:val="00476875"/>
    <w:rsid w:val="00485EE7"/>
    <w:rsid w:val="004A431C"/>
    <w:rsid w:val="004A49C4"/>
    <w:rsid w:val="004A73E3"/>
    <w:rsid w:val="004C128B"/>
    <w:rsid w:val="004C3143"/>
    <w:rsid w:val="004C383E"/>
    <w:rsid w:val="004C4A5F"/>
    <w:rsid w:val="004E2D1C"/>
    <w:rsid w:val="004F32BD"/>
    <w:rsid w:val="0052476A"/>
    <w:rsid w:val="005448CA"/>
    <w:rsid w:val="00547D28"/>
    <w:rsid w:val="005542E1"/>
    <w:rsid w:val="00556B7A"/>
    <w:rsid w:val="005602D5"/>
    <w:rsid w:val="00561298"/>
    <w:rsid w:val="00562B69"/>
    <w:rsid w:val="00572E55"/>
    <w:rsid w:val="005730A1"/>
    <w:rsid w:val="005A2681"/>
    <w:rsid w:val="005A7884"/>
    <w:rsid w:val="005B0EF4"/>
    <w:rsid w:val="005B1200"/>
    <w:rsid w:val="005B1729"/>
    <w:rsid w:val="005C0AD9"/>
    <w:rsid w:val="005E3D22"/>
    <w:rsid w:val="005E4D44"/>
    <w:rsid w:val="005F1250"/>
    <w:rsid w:val="005F1A74"/>
    <w:rsid w:val="00601239"/>
    <w:rsid w:val="0060527D"/>
    <w:rsid w:val="00606641"/>
    <w:rsid w:val="00616EA8"/>
    <w:rsid w:val="00617F7C"/>
    <w:rsid w:val="00635D03"/>
    <w:rsid w:val="00640F1C"/>
    <w:rsid w:val="00651DD6"/>
    <w:rsid w:val="00652552"/>
    <w:rsid w:val="00667A68"/>
    <w:rsid w:val="00671927"/>
    <w:rsid w:val="00676A58"/>
    <w:rsid w:val="00695316"/>
    <w:rsid w:val="006A068F"/>
    <w:rsid w:val="006A14AE"/>
    <w:rsid w:val="006A5EF5"/>
    <w:rsid w:val="006B0AC5"/>
    <w:rsid w:val="006B596B"/>
    <w:rsid w:val="006D2C9D"/>
    <w:rsid w:val="006D7541"/>
    <w:rsid w:val="006E31B8"/>
    <w:rsid w:val="006E59BB"/>
    <w:rsid w:val="006F0984"/>
    <w:rsid w:val="006F2B9C"/>
    <w:rsid w:val="006F3995"/>
    <w:rsid w:val="00713753"/>
    <w:rsid w:val="00713B4E"/>
    <w:rsid w:val="00724FE9"/>
    <w:rsid w:val="00726D70"/>
    <w:rsid w:val="00731DA4"/>
    <w:rsid w:val="0073533A"/>
    <w:rsid w:val="00744E29"/>
    <w:rsid w:val="007512FA"/>
    <w:rsid w:val="00753166"/>
    <w:rsid w:val="00767D53"/>
    <w:rsid w:val="007815AD"/>
    <w:rsid w:val="00783FBE"/>
    <w:rsid w:val="007943FA"/>
    <w:rsid w:val="007955C2"/>
    <w:rsid w:val="0079658F"/>
    <w:rsid w:val="007A002D"/>
    <w:rsid w:val="007A02D8"/>
    <w:rsid w:val="007B38EB"/>
    <w:rsid w:val="007C1DC3"/>
    <w:rsid w:val="007D0571"/>
    <w:rsid w:val="007D0EB4"/>
    <w:rsid w:val="007D16D4"/>
    <w:rsid w:val="007D72FC"/>
    <w:rsid w:val="007E7A9D"/>
    <w:rsid w:val="007F3229"/>
    <w:rsid w:val="007F3842"/>
    <w:rsid w:val="007F41A7"/>
    <w:rsid w:val="008068E6"/>
    <w:rsid w:val="0081034F"/>
    <w:rsid w:val="0083444F"/>
    <w:rsid w:val="0083799E"/>
    <w:rsid w:val="0084343F"/>
    <w:rsid w:val="00845823"/>
    <w:rsid w:val="008479AA"/>
    <w:rsid w:val="00862C7C"/>
    <w:rsid w:val="00871AE8"/>
    <w:rsid w:val="00886415"/>
    <w:rsid w:val="008B5B30"/>
    <w:rsid w:val="008C041B"/>
    <w:rsid w:val="008C1D85"/>
    <w:rsid w:val="008D13B4"/>
    <w:rsid w:val="008D1F4E"/>
    <w:rsid w:val="008E5E44"/>
    <w:rsid w:val="008E6FFA"/>
    <w:rsid w:val="008F3E97"/>
    <w:rsid w:val="0090391D"/>
    <w:rsid w:val="00904375"/>
    <w:rsid w:val="00910C48"/>
    <w:rsid w:val="00914E1C"/>
    <w:rsid w:val="00921859"/>
    <w:rsid w:val="0092347A"/>
    <w:rsid w:val="00957735"/>
    <w:rsid w:val="00965145"/>
    <w:rsid w:val="009676AD"/>
    <w:rsid w:val="009761C1"/>
    <w:rsid w:val="009841E4"/>
    <w:rsid w:val="00990469"/>
    <w:rsid w:val="00996A09"/>
    <w:rsid w:val="009A1CD9"/>
    <w:rsid w:val="009B11AD"/>
    <w:rsid w:val="009C22D3"/>
    <w:rsid w:val="009D295D"/>
    <w:rsid w:val="009D4C54"/>
    <w:rsid w:val="009D64F3"/>
    <w:rsid w:val="009F5819"/>
    <w:rsid w:val="009F5960"/>
    <w:rsid w:val="00A02522"/>
    <w:rsid w:val="00A07AD3"/>
    <w:rsid w:val="00A110D1"/>
    <w:rsid w:val="00A168FE"/>
    <w:rsid w:val="00A434A0"/>
    <w:rsid w:val="00A5258B"/>
    <w:rsid w:val="00A63506"/>
    <w:rsid w:val="00A7131F"/>
    <w:rsid w:val="00A779FD"/>
    <w:rsid w:val="00A833BE"/>
    <w:rsid w:val="00A8720D"/>
    <w:rsid w:val="00A87D57"/>
    <w:rsid w:val="00A94BFF"/>
    <w:rsid w:val="00AA2E29"/>
    <w:rsid w:val="00AA6820"/>
    <w:rsid w:val="00AD323E"/>
    <w:rsid w:val="00AE0736"/>
    <w:rsid w:val="00AE56C7"/>
    <w:rsid w:val="00AE600B"/>
    <w:rsid w:val="00AE6D08"/>
    <w:rsid w:val="00AF05D3"/>
    <w:rsid w:val="00AF16E8"/>
    <w:rsid w:val="00B15F59"/>
    <w:rsid w:val="00B1741D"/>
    <w:rsid w:val="00B30B84"/>
    <w:rsid w:val="00B5648E"/>
    <w:rsid w:val="00B576CD"/>
    <w:rsid w:val="00B904BB"/>
    <w:rsid w:val="00BC67AD"/>
    <w:rsid w:val="00BC76F6"/>
    <w:rsid w:val="00BD1E19"/>
    <w:rsid w:val="00BD6054"/>
    <w:rsid w:val="00BE2DDB"/>
    <w:rsid w:val="00BE3964"/>
    <w:rsid w:val="00BE5714"/>
    <w:rsid w:val="00BF1413"/>
    <w:rsid w:val="00BF75C8"/>
    <w:rsid w:val="00C058E0"/>
    <w:rsid w:val="00C16695"/>
    <w:rsid w:val="00C17AED"/>
    <w:rsid w:val="00C262A4"/>
    <w:rsid w:val="00C2769B"/>
    <w:rsid w:val="00C30A18"/>
    <w:rsid w:val="00C31F2C"/>
    <w:rsid w:val="00C37DC0"/>
    <w:rsid w:val="00C41D82"/>
    <w:rsid w:val="00C6674F"/>
    <w:rsid w:val="00C66F5E"/>
    <w:rsid w:val="00C672C9"/>
    <w:rsid w:val="00CA2BFF"/>
    <w:rsid w:val="00CB06B8"/>
    <w:rsid w:val="00CB0C89"/>
    <w:rsid w:val="00CB6871"/>
    <w:rsid w:val="00CC1EC0"/>
    <w:rsid w:val="00CD41BD"/>
    <w:rsid w:val="00CD5677"/>
    <w:rsid w:val="00CE2B19"/>
    <w:rsid w:val="00CF487F"/>
    <w:rsid w:val="00D14476"/>
    <w:rsid w:val="00D16931"/>
    <w:rsid w:val="00D22A11"/>
    <w:rsid w:val="00D25BA6"/>
    <w:rsid w:val="00D42820"/>
    <w:rsid w:val="00D44299"/>
    <w:rsid w:val="00D4776E"/>
    <w:rsid w:val="00D51ED5"/>
    <w:rsid w:val="00D6165D"/>
    <w:rsid w:val="00D71000"/>
    <w:rsid w:val="00D86EFC"/>
    <w:rsid w:val="00D976C6"/>
    <w:rsid w:val="00D97D67"/>
    <w:rsid w:val="00DA5737"/>
    <w:rsid w:val="00DB31D3"/>
    <w:rsid w:val="00DC2309"/>
    <w:rsid w:val="00DD317D"/>
    <w:rsid w:val="00DE3A5C"/>
    <w:rsid w:val="00DF39AA"/>
    <w:rsid w:val="00DF3DAD"/>
    <w:rsid w:val="00E02197"/>
    <w:rsid w:val="00E02622"/>
    <w:rsid w:val="00E054A2"/>
    <w:rsid w:val="00E07D81"/>
    <w:rsid w:val="00E1507E"/>
    <w:rsid w:val="00E23382"/>
    <w:rsid w:val="00E247E4"/>
    <w:rsid w:val="00E25F72"/>
    <w:rsid w:val="00E33F6B"/>
    <w:rsid w:val="00E46819"/>
    <w:rsid w:val="00E513D8"/>
    <w:rsid w:val="00E56DB7"/>
    <w:rsid w:val="00E76740"/>
    <w:rsid w:val="00E76AA0"/>
    <w:rsid w:val="00E847F7"/>
    <w:rsid w:val="00E9446B"/>
    <w:rsid w:val="00EA2E04"/>
    <w:rsid w:val="00EB4ECE"/>
    <w:rsid w:val="00ED74D1"/>
    <w:rsid w:val="00EE14D7"/>
    <w:rsid w:val="00EE2654"/>
    <w:rsid w:val="00EE5E6F"/>
    <w:rsid w:val="00EF3C82"/>
    <w:rsid w:val="00EF735E"/>
    <w:rsid w:val="00EF78F1"/>
    <w:rsid w:val="00EF7E00"/>
    <w:rsid w:val="00F159F5"/>
    <w:rsid w:val="00F26F0B"/>
    <w:rsid w:val="00F30B1E"/>
    <w:rsid w:val="00F43188"/>
    <w:rsid w:val="00F668AA"/>
    <w:rsid w:val="00F83EF1"/>
    <w:rsid w:val="00F91393"/>
    <w:rsid w:val="00FA2B44"/>
    <w:rsid w:val="00FB3A9D"/>
    <w:rsid w:val="00FC09DE"/>
    <w:rsid w:val="00FC26DC"/>
    <w:rsid w:val="00FC76AA"/>
    <w:rsid w:val="00FD0E97"/>
    <w:rsid w:val="00FD24F9"/>
    <w:rsid w:val="00FD3AC6"/>
    <w:rsid w:val="00FD3B4E"/>
    <w:rsid w:val="00FD6A77"/>
    <w:rsid w:val="00FD7151"/>
    <w:rsid w:val="00FE1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753A"/>
  <w15:docId w15:val="{F3712666-8141-49E6-9CE9-5B1ED361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5">
    <w:name w:val="25"/>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2"/>
    <w:tblPr>
      <w:tblStyleRowBandSize w:val="1"/>
      <w:tblStyleColBandSize w:val="1"/>
      <w:tblCellMar>
        <w:left w:w="115" w:type="dxa"/>
        <w:right w:w="115" w:type="dxa"/>
      </w:tblCellMar>
    </w:tblPr>
  </w:style>
  <w:style w:type="table" w:customStyle="1" w:styleId="19">
    <w:name w:val="19"/>
    <w:basedOn w:val="TableNormal2"/>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115" w:type="dxa"/>
        <w:right w:w="115" w:type="dxa"/>
      </w:tblCellMar>
    </w:tblPr>
  </w:style>
  <w:style w:type="table" w:customStyle="1" w:styleId="14">
    <w:name w:val="14"/>
    <w:basedOn w:val="TableNormal5"/>
    <w:tblPr>
      <w:tblStyleRowBandSize w:val="1"/>
      <w:tblStyleColBandSize w:val="1"/>
      <w:tblCellMar>
        <w:left w:w="115" w:type="dxa"/>
        <w:right w:w="115" w:type="dxa"/>
      </w:tblCellMar>
    </w:tblPr>
  </w:style>
  <w:style w:type="table" w:customStyle="1" w:styleId="13">
    <w:name w:val="13"/>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12">
    <w:name w:val="12"/>
    <w:basedOn w:val="TableNormal6"/>
    <w:tblPr>
      <w:tblStyleRowBandSize w:val="1"/>
      <w:tblStyleColBandSize w:val="1"/>
      <w:tblCellMar>
        <w:left w:w="115" w:type="dxa"/>
        <w:right w:w="115" w:type="dxa"/>
      </w:tblCellMar>
    </w:tblPr>
  </w:style>
  <w:style w:type="table" w:customStyle="1" w:styleId="11">
    <w:name w:val="11"/>
    <w:basedOn w:val="TableNormal6"/>
    <w:tblPr>
      <w:tblStyleRowBandSize w:val="1"/>
      <w:tblStyleColBandSize w:val="1"/>
      <w:tblCellMar>
        <w:left w:w="115" w:type="dxa"/>
        <w:right w:w="115" w:type="dxa"/>
      </w:tblCellMar>
    </w:tblPr>
  </w:style>
  <w:style w:type="table" w:customStyle="1" w:styleId="10">
    <w:name w:val="10"/>
    <w:basedOn w:val="TableNormal7"/>
    <w:tblPr>
      <w:tblStyleRowBandSize w:val="1"/>
      <w:tblStyleColBandSize w:val="1"/>
      <w:tblCellMar>
        <w:left w:w="115" w:type="dxa"/>
        <w:right w:w="115" w:type="dxa"/>
      </w:tblCellMar>
    </w:tblPr>
  </w:style>
  <w:style w:type="table" w:customStyle="1" w:styleId="9">
    <w:name w:val="9"/>
    <w:basedOn w:val="TableNormal7"/>
    <w:tblPr>
      <w:tblStyleRowBandSize w:val="1"/>
      <w:tblStyleColBandSize w:val="1"/>
      <w:tblCellMar>
        <w:left w:w="115" w:type="dxa"/>
        <w:right w:w="115" w:type="dxa"/>
      </w:tblCellMar>
    </w:tblPr>
  </w:style>
  <w:style w:type="table" w:customStyle="1" w:styleId="8">
    <w:name w:val="8"/>
    <w:basedOn w:val="TableNormal8"/>
    <w:tblPr>
      <w:tblStyleRowBandSize w:val="1"/>
      <w:tblStyleColBandSize w:val="1"/>
      <w:tblCellMar>
        <w:left w:w="115" w:type="dxa"/>
        <w:right w:w="115" w:type="dxa"/>
      </w:tblCellMar>
    </w:tblPr>
  </w:style>
  <w:style w:type="table" w:customStyle="1" w:styleId="7">
    <w:name w:val="7"/>
    <w:basedOn w:val="TableNormal8"/>
    <w:tblPr>
      <w:tblStyleRowBandSize w:val="1"/>
      <w:tblStyleColBandSize w:val="1"/>
      <w:tblCellMar>
        <w:left w:w="115" w:type="dxa"/>
        <w:right w:w="115" w:type="dxa"/>
      </w:tblCellMar>
    </w:tblPr>
  </w:style>
  <w:style w:type="table" w:customStyle="1" w:styleId="6">
    <w:name w:val="6"/>
    <w:basedOn w:val="TableNormal9"/>
    <w:tblPr>
      <w:tblStyleRowBandSize w:val="1"/>
      <w:tblStyleColBandSize w:val="1"/>
      <w:tblCellMar>
        <w:left w:w="115" w:type="dxa"/>
        <w:right w:w="115" w:type="dxa"/>
      </w:tblCellMar>
    </w:tblPr>
  </w:style>
  <w:style w:type="table" w:customStyle="1" w:styleId="5">
    <w:name w:val="5"/>
    <w:basedOn w:val="TableNormal9"/>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1"/>
    <w:tblPr>
      <w:tblStyleRowBandSize w:val="1"/>
      <w:tblStyleColBandSize w:val="1"/>
      <w:tblCellMar>
        <w:left w:w="115" w:type="dxa"/>
        <w:right w:w="115" w:type="dxa"/>
      </w:tblCellMar>
    </w:tblPr>
  </w:style>
  <w:style w:type="table" w:customStyle="1" w:styleId="1">
    <w:name w:val="1"/>
    <w:basedOn w:val="TableNormal1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EF3C8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3C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926">
      <w:bodyDiv w:val="1"/>
      <w:marLeft w:val="0"/>
      <w:marRight w:val="0"/>
      <w:marTop w:val="0"/>
      <w:marBottom w:val="0"/>
      <w:divBdr>
        <w:top w:val="none" w:sz="0" w:space="0" w:color="auto"/>
        <w:left w:val="none" w:sz="0" w:space="0" w:color="auto"/>
        <w:bottom w:val="none" w:sz="0" w:space="0" w:color="auto"/>
        <w:right w:val="none" w:sz="0" w:space="0" w:color="auto"/>
      </w:divBdr>
      <w:divsChild>
        <w:div w:id="934049835">
          <w:marLeft w:val="0"/>
          <w:marRight w:val="0"/>
          <w:marTop w:val="0"/>
          <w:marBottom w:val="84"/>
          <w:divBdr>
            <w:top w:val="none" w:sz="0" w:space="0" w:color="auto"/>
            <w:left w:val="none" w:sz="0" w:space="0" w:color="auto"/>
            <w:bottom w:val="none" w:sz="0" w:space="0" w:color="auto"/>
            <w:right w:val="none" w:sz="0" w:space="0" w:color="auto"/>
          </w:divBdr>
        </w:div>
        <w:div w:id="1109471515">
          <w:marLeft w:val="0"/>
          <w:marRight w:val="0"/>
          <w:marTop w:val="0"/>
          <w:marBottom w:val="84"/>
          <w:divBdr>
            <w:top w:val="none" w:sz="0" w:space="0" w:color="auto"/>
            <w:left w:val="none" w:sz="0" w:space="0" w:color="auto"/>
            <w:bottom w:val="none" w:sz="0" w:space="0" w:color="auto"/>
            <w:right w:val="none" w:sz="0" w:space="0" w:color="auto"/>
          </w:divBdr>
        </w:div>
        <w:div w:id="2017877347">
          <w:marLeft w:val="0"/>
          <w:marRight w:val="0"/>
          <w:marTop w:val="0"/>
          <w:marBottom w:val="84"/>
          <w:divBdr>
            <w:top w:val="none" w:sz="0" w:space="0" w:color="auto"/>
            <w:left w:val="none" w:sz="0" w:space="0" w:color="auto"/>
            <w:bottom w:val="none" w:sz="0" w:space="0" w:color="auto"/>
            <w:right w:val="none" w:sz="0" w:space="0" w:color="auto"/>
          </w:divBdr>
        </w:div>
        <w:div w:id="872184913">
          <w:marLeft w:val="0"/>
          <w:marRight w:val="0"/>
          <w:marTop w:val="0"/>
          <w:marBottom w:val="84"/>
          <w:divBdr>
            <w:top w:val="none" w:sz="0" w:space="0" w:color="auto"/>
            <w:left w:val="none" w:sz="0" w:space="0" w:color="auto"/>
            <w:bottom w:val="none" w:sz="0" w:space="0" w:color="auto"/>
            <w:right w:val="none" w:sz="0" w:space="0" w:color="auto"/>
          </w:divBdr>
        </w:div>
        <w:div w:id="1749771191">
          <w:marLeft w:val="0"/>
          <w:marRight w:val="0"/>
          <w:marTop w:val="0"/>
          <w:marBottom w:val="84"/>
          <w:divBdr>
            <w:top w:val="none" w:sz="0" w:space="0" w:color="auto"/>
            <w:left w:val="none" w:sz="0" w:space="0" w:color="auto"/>
            <w:bottom w:val="none" w:sz="0" w:space="0" w:color="auto"/>
            <w:right w:val="none" w:sz="0" w:space="0" w:color="auto"/>
          </w:divBdr>
        </w:div>
      </w:divsChild>
    </w:div>
    <w:div w:id="362637326">
      <w:bodyDiv w:val="1"/>
      <w:marLeft w:val="0"/>
      <w:marRight w:val="0"/>
      <w:marTop w:val="0"/>
      <w:marBottom w:val="0"/>
      <w:divBdr>
        <w:top w:val="none" w:sz="0" w:space="0" w:color="auto"/>
        <w:left w:val="none" w:sz="0" w:space="0" w:color="auto"/>
        <w:bottom w:val="none" w:sz="0" w:space="0" w:color="auto"/>
        <w:right w:val="none" w:sz="0" w:space="0" w:color="auto"/>
      </w:divBdr>
      <w:divsChild>
        <w:div w:id="1115518418">
          <w:marLeft w:val="0"/>
          <w:marRight w:val="0"/>
          <w:marTop w:val="0"/>
          <w:marBottom w:val="82"/>
          <w:divBdr>
            <w:top w:val="none" w:sz="0" w:space="0" w:color="auto"/>
            <w:left w:val="none" w:sz="0" w:space="0" w:color="auto"/>
            <w:bottom w:val="none" w:sz="0" w:space="0" w:color="auto"/>
            <w:right w:val="none" w:sz="0" w:space="0" w:color="auto"/>
          </w:divBdr>
        </w:div>
        <w:div w:id="587616633">
          <w:marLeft w:val="864"/>
          <w:marRight w:val="0"/>
          <w:marTop w:val="0"/>
          <w:marBottom w:val="82"/>
          <w:divBdr>
            <w:top w:val="none" w:sz="0" w:space="0" w:color="auto"/>
            <w:left w:val="none" w:sz="0" w:space="0" w:color="auto"/>
            <w:bottom w:val="none" w:sz="0" w:space="0" w:color="auto"/>
            <w:right w:val="none" w:sz="0" w:space="0" w:color="auto"/>
          </w:divBdr>
        </w:div>
        <w:div w:id="518854541">
          <w:marLeft w:val="864"/>
          <w:marRight w:val="0"/>
          <w:marTop w:val="0"/>
          <w:marBottom w:val="82"/>
          <w:divBdr>
            <w:top w:val="none" w:sz="0" w:space="0" w:color="auto"/>
            <w:left w:val="none" w:sz="0" w:space="0" w:color="auto"/>
            <w:bottom w:val="none" w:sz="0" w:space="0" w:color="auto"/>
            <w:right w:val="none" w:sz="0" w:space="0" w:color="auto"/>
          </w:divBdr>
        </w:div>
        <w:div w:id="267348373">
          <w:marLeft w:val="864"/>
          <w:marRight w:val="0"/>
          <w:marTop w:val="0"/>
          <w:marBottom w:val="82"/>
          <w:divBdr>
            <w:top w:val="none" w:sz="0" w:space="0" w:color="auto"/>
            <w:left w:val="none" w:sz="0" w:space="0" w:color="auto"/>
            <w:bottom w:val="none" w:sz="0" w:space="0" w:color="auto"/>
            <w:right w:val="none" w:sz="0" w:space="0" w:color="auto"/>
          </w:divBdr>
        </w:div>
        <w:div w:id="596795848">
          <w:marLeft w:val="864"/>
          <w:marRight w:val="0"/>
          <w:marTop w:val="0"/>
          <w:marBottom w:val="82"/>
          <w:divBdr>
            <w:top w:val="none" w:sz="0" w:space="0" w:color="auto"/>
            <w:left w:val="none" w:sz="0" w:space="0" w:color="auto"/>
            <w:bottom w:val="none" w:sz="0" w:space="0" w:color="auto"/>
            <w:right w:val="none" w:sz="0" w:space="0" w:color="auto"/>
          </w:divBdr>
        </w:div>
        <w:div w:id="1331905697">
          <w:marLeft w:val="864"/>
          <w:marRight w:val="0"/>
          <w:marTop w:val="0"/>
          <w:marBottom w:val="82"/>
          <w:divBdr>
            <w:top w:val="none" w:sz="0" w:space="0" w:color="auto"/>
            <w:left w:val="none" w:sz="0" w:space="0" w:color="auto"/>
            <w:bottom w:val="none" w:sz="0" w:space="0" w:color="auto"/>
            <w:right w:val="none" w:sz="0" w:space="0" w:color="auto"/>
          </w:divBdr>
        </w:div>
        <w:div w:id="1972250379">
          <w:marLeft w:val="864"/>
          <w:marRight w:val="0"/>
          <w:marTop w:val="0"/>
          <w:marBottom w:val="82"/>
          <w:divBdr>
            <w:top w:val="none" w:sz="0" w:space="0" w:color="auto"/>
            <w:left w:val="none" w:sz="0" w:space="0" w:color="auto"/>
            <w:bottom w:val="none" w:sz="0" w:space="0" w:color="auto"/>
            <w:right w:val="none" w:sz="0" w:space="0" w:color="auto"/>
          </w:divBdr>
        </w:div>
        <w:div w:id="1762722993">
          <w:marLeft w:val="864"/>
          <w:marRight w:val="0"/>
          <w:marTop w:val="0"/>
          <w:marBottom w:val="82"/>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82</Pages>
  <Words>20220</Words>
  <Characters>111215</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2023-03-24T15:45:00Z</cp:lastPrinted>
  <dcterms:created xsi:type="dcterms:W3CDTF">2023-03-28T19:49:00Z</dcterms:created>
  <dcterms:modified xsi:type="dcterms:W3CDTF">2023-03-28T19:49:00Z</dcterms:modified>
</cp:coreProperties>
</file>