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0F1" w:rsidRPr="00AB0024" w:rsidRDefault="00C85659">
      <w:pPr>
        <w:spacing w:before="240" w:after="240"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AB0024">
        <w:rPr>
          <w:rFonts w:ascii="Palatino Linotype" w:eastAsia="Palatino Linotype" w:hAnsi="Palatino Linotype" w:cs="Palatino Linotype"/>
          <w:b/>
        </w:rPr>
        <w:t>veinticinco de octubre de dos mil veintitrés</w:t>
      </w:r>
      <w:r w:rsidRPr="00AB0024">
        <w:rPr>
          <w:rFonts w:ascii="Palatino Linotype" w:eastAsia="Palatino Linotype" w:hAnsi="Palatino Linotype" w:cs="Palatino Linotype"/>
        </w:rPr>
        <w:t xml:space="preserve">. </w:t>
      </w:r>
    </w:p>
    <w:p w:rsidR="00A620F1" w:rsidRPr="00AB0024" w:rsidRDefault="00C85659">
      <w:pPr>
        <w:spacing w:before="240" w:after="240"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b/>
        </w:rPr>
        <w:t>Visto</w:t>
      </w:r>
      <w:r w:rsidRPr="00AB0024">
        <w:rPr>
          <w:rFonts w:ascii="Palatino Linotype" w:eastAsia="Palatino Linotype" w:hAnsi="Palatino Linotype" w:cs="Palatino Linotype"/>
        </w:rPr>
        <w:t xml:space="preserve"> el expediente formado con motivo del recurso de revisión </w:t>
      </w:r>
      <w:r w:rsidRPr="00AB0024">
        <w:rPr>
          <w:rFonts w:ascii="Palatino Linotype" w:eastAsia="Palatino Linotype" w:hAnsi="Palatino Linotype" w:cs="Palatino Linotype"/>
          <w:b/>
        </w:rPr>
        <w:t>03339/INFOEM/IP/RR/2023</w:t>
      </w:r>
      <w:r w:rsidRPr="00AB0024">
        <w:rPr>
          <w:rFonts w:ascii="Palatino Linotype" w:eastAsia="Palatino Linotype" w:hAnsi="Palatino Linotype" w:cs="Palatino Linotype"/>
          <w:color w:val="000000"/>
        </w:rPr>
        <w:t xml:space="preserve">, </w:t>
      </w:r>
      <w:r w:rsidRPr="00AB0024">
        <w:rPr>
          <w:rFonts w:ascii="Palatino Linotype" w:eastAsia="Palatino Linotype" w:hAnsi="Palatino Linotype" w:cs="Palatino Linotype"/>
        </w:rPr>
        <w:t>por interpuesto por</w:t>
      </w:r>
      <w:r w:rsidR="00D57C2A">
        <w:rPr>
          <w:rFonts w:ascii="Palatino Linotype" w:eastAsia="Palatino Linotype" w:hAnsi="Palatino Linotype" w:cs="Palatino Linotype"/>
          <w:b/>
        </w:rPr>
        <w:t xml:space="preserve"> XXXXX XXXXXX XXXXX,</w:t>
      </w:r>
      <w:bookmarkStart w:id="0" w:name="_GoBack"/>
      <w:bookmarkEnd w:id="0"/>
      <w:r w:rsidRPr="00AB0024">
        <w:rPr>
          <w:rFonts w:ascii="Palatino Linotype" w:eastAsia="Palatino Linotype" w:hAnsi="Palatino Linotype" w:cs="Palatino Linotype"/>
        </w:rPr>
        <w:t xml:space="preserve"> en lo sucesivo </w:t>
      </w:r>
      <w:r w:rsidRPr="00AB0024">
        <w:rPr>
          <w:rFonts w:ascii="Palatino Linotype" w:eastAsia="Palatino Linotype" w:hAnsi="Palatino Linotype" w:cs="Palatino Linotype"/>
          <w:b/>
        </w:rPr>
        <w:t>la parte Recurrente,</w:t>
      </w:r>
      <w:r w:rsidRPr="00AB0024">
        <w:rPr>
          <w:rFonts w:ascii="Palatino Linotype" w:eastAsia="Palatino Linotype" w:hAnsi="Palatino Linotype" w:cs="Palatino Linotype"/>
        </w:rPr>
        <w:t xml:space="preserve"> en contra de la respuesta a su solicitud por parte del </w:t>
      </w:r>
      <w:r w:rsidRPr="00AB0024">
        <w:rPr>
          <w:rFonts w:ascii="Palatino Linotype" w:eastAsia="Palatino Linotype" w:hAnsi="Palatino Linotype" w:cs="Palatino Linotype"/>
          <w:b/>
        </w:rPr>
        <w:t xml:space="preserve">Ayuntamiento de </w:t>
      </w:r>
      <w:proofErr w:type="spellStart"/>
      <w:r w:rsidRPr="00AB0024">
        <w:rPr>
          <w:rFonts w:ascii="Palatino Linotype" w:eastAsia="Palatino Linotype" w:hAnsi="Palatino Linotype" w:cs="Palatino Linotype"/>
          <w:b/>
        </w:rPr>
        <w:t>Amanalco</w:t>
      </w:r>
      <w:proofErr w:type="spellEnd"/>
      <w:r w:rsidRPr="00AB0024">
        <w:rPr>
          <w:rFonts w:ascii="Palatino Linotype" w:eastAsia="Palatino Linotype" w:hAnsi="Palatino Linotype" w:cs="Palatino Linotype"/>
          <w:b/>
        </w:rPr>
        <w:t xml:space="preserve">, </w:t>
      </w:r>
      <w:r w:rsidRPr="00AB0024">
        <w:rPr>
          <w:rFonts w:ascii="Palatino Linotype" w:eastAsia="Palatino Linotype" w:hAnsi="Palatino Linotype" w:cs="Palatino Linotype"/>
        </w:rPr>
        <w:t xml:space="preserve">en lo sucesivo el </w:t>
      </w:r>
      <w:r w:rsidRPr="00AB0024">
        <w:rPr>
          <w:rFonts w:ascii="Palatino Linotype" w:eastAsia="Palatino Linotype" w:hAnsi="Palatino Linotype" w:cs="Palatino Linotype"/>
          <w:b/>
        </w:rPr>
        <w:t xml:space="preserve">Sujeto Obligado, </w:t>
      </w:r>
      <w:r w:rsidRPr="00AB0024">
        <w:rPr>
          <w:rFonts w:ascii="Palatino Linotype" w:eastAsia="Palatino Linotype" w:hAnsi="Palatino Linotype" w:cs="Palatino Linotype"/>
        </w:rPr>
        <w:t xml:space="preserve">se procede a dictar la presente resolución con base en los siguientes: </w:t>
      </w:r>
    </w:p>
    <w:p w:rsidR="00A620F1" w:rsidRPr="00AB0024" w:rsidRDefault="00C85659">
      <w:pPr>
        <w:spacing w:before="240" w:after="240" w:line="360" w:lineRule="auto"/>
        <w:jc w:val="center"/>
        <w:rPr>
          <w:rFonts w:ascii="Palatino Linotype" w:eastAsia="Palatino Linotype" w:hAnsi="Palatino Linotype" w:cs="Palatino Linotype"/>
          <w:b/>
        </w:rPr>
      </w:pPr>
      <w:r w:rsidRPr="00AB0024">
        <w:rPr>
          <w:rFonts w:ascii="Palatino Linotype" w:eastAsia="Palatino Linotype" w:hAnsi="Palatino Linotype" w:cs="Palatino Linotype"/>
          <w:b/>
        </w:rPr>
        <w:t>I. A N T E C E D E N T E S</w:t>
      </w:r>
    </w:p>
    <w:p w:rsidR="00A620F1" w:rsidRPr="00AB0024" w:rsidRDefault="00C85659">
      <w:pPr>
        <w:spacing w:before="240" w:after="240"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b/>
        </w:rPr>
        <w:t>1. Solicitud de acceso a la información.</w:t>
      </w:r>
      <w:r w:rsidRPr="00AB0024">
        <w:rPr>
          <w:rFonts w:ascii="Palatino Linotype" w:eastAsia="Palatino Linotype" w:hAnsi="Palatino Linotype" w:cs="Palatino Linotype"/>
        </w:rPr>
        <w:t xml:space="preserve"> El </w:t>
      </w:r>
      <w:r w:rsidRPr="00AB0024">
        <w:rPr>
          <w:rFonts w:ascii="Palatino Linotype" w:eastAsia="Palatino Linotype" w:hAnsi="Palatino Linotype" w:cs="Palatino Linotype"/>
          <w:b/>
        </w:rPr>
        <w:t>quince</w:t>
      </w:r>
      <w:r w:rsidRPr="00AB0024">
        <w:rPr>
          <w:rFonts w:ascii="Palatino Linotype" w:eastAsia="Palatino Linotype" w:hAnsi="Palatino Linotype" w:cs="Palatino Linotype"/>
        </w:rPr>
        <w:t xml:space="preserve"> </w:t>
      </w:r>
      <w:r w:rsidRPr="00AB0024">
        <w:rPr>
          <w:rFonts w:ascii="Palatino Linotype" w:eastAsia="Palatino Linotype" w:hAnsi="Palatino Linotype" w:cs="Palatino Linotype"/>
          <w:b/>
        </w:rPr>
        <w:t>de mayo del dos mil veintitrés,</w:t>
      </w:r>
      <w:r w:rsidRPr="00AB0024">
        <w:rPr>
          <w:rFonts w:ascii="Palatino Linotype" w:eastAsia="Palatino Linotype" w:hAnsi="Palatino Linotype" w:cs="Palatino Linotype"/>
        </w:rPr>
        <w:t xml:space="preserve"> </w:t>
      </w:r>
      <w:r w:rsidRPr="00AB0024">
        <w:rPr>
          <w:rFonts w:ascii="Palatino Linotype" w:eastAsia="Palatino Linotype" w:hAnsi="Palatino Linotype" w:cs="Palatino Linotype"/>
          <w:b/>
        </w:rPr>
        <w:t xml:space="preserve">la parte Recurrente </w:t>
      </w:r>
      <w:r w:rsidRPr="00AB0024">
        <w:rPr>
          <w:rFonts w:ascii="Palatino Linotype" w:eastAsia="Palatino Linotype" w:hAnsi="Palatino Linotype" w:cs="Palatino Linotype"/>
        </w:rPr>
        <w:t xml:space="preserve">presentó, a través del Sistema de Acceso a la Información Mexiquense, en lo subsecuente el </w:t>
      </w:r>
      <w:r w:rsidRPr="00AB0024">
        <w:rPr>
          <w:rFonts w:ascii="Palatino Linotype" w:eastAsia="Palatino Linotype" w:hAnsi="Palatino Linotype" w:cs="Palatino Linotype"/>
          <w:b/>
        </w:rPr>
        <w:t>SAIMEX,</w:t>
      </w:r>
      <w:r w:rsidRPr="00AB0024">
        <w:rPr>
          <w:rFonts w:ascii="Palatino Linotype" w:eastAsia="Palatino Linotype" w:hAnsi="Palatino Linotype" w:cs="Palatino Linotype"/>
        </w:rPr>
        <w:t xml:space="preserve"> ante el </w:t>
      </w:r>
      <w:r w:rsidRPr="00AB0024">
        <w:rPr>
          <w:rFonts w:ascii="Palatino Linotype" w:eastAsia="Palatino Linotype" w:hAnsi="Palatino Linotype" w:cs="Palatino Linotype"/>
          <w:b/>
        </w:rPr>
        <w:t>Sujeto Obligado</w:t>
      </w:r>
      <w:r w:rsidRPr="00AB0024">
        <w:rPr>
          <w:rFonts w:ascii="Palatino Linotype" w:eastAsia="Palatino Linotype" w:hAnsi="Palatino Linotype" w:cs="Palatino Linotype"/>
        </w:rPr>
        <w:t>, la solicitud de acceso a la información pública, a la que se le asignó el número</w:t>
      </w:r>
      <w:r w:rsidRPr="00AB0024">
        <w:rPr>
          <w:rFonts w:ascii="Palatino Linotype" w:eastAsia="Palatino Linotype" w:hAnsi="Palatino Linotype" w:cs="Palatino Linotype"/>
          <w:b/>
        </w:rPr>
        <w:t xml:space="preserve"> 00022/AMANALCO/IP/2023, </w:t>
      </w:r>
      <w:r w:rsidRPr="00AB0024">
        <w:rPr>
          <w:rFonts w:ascii="Palatino Linotype" w:eastAsia="Palatino Linotype" w:hAnsi="Palatino Linotype" w:cs="Palatino Linotype"/>
        </w:rPr>
        <w:t xml:space="preserve">mediante la cual requirió la información siguiente: </w:t>
      </w:r>
    </w:p>
    <w:p w:rsidR="00A620F1" w:rsidRPr="00AB0024" w:rsidRDefault="00C85659">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AB0024">
        <w:rPr>
          <w:rFonts w:ascii="Palatino Linotype" w:eastAsia="Palatino Linotype" w:hAnsi="Palatino Linotype" w:cs="Palatino Linotype"/>
          <w:i/>
          <w:sz w:val="22"/>
          <w:szCs w:val="22"/>
        </w:rPr>
        <w:t>“SE SOLICITA AMABLEMENTE A ESTE ORGANO POLITICO PARTIDO REVOLUCIONARIO INSTITUCIONAL PRI DEL ESTADO DE MEXICO Y AL MUNICIPIO DE AMANALCO, EDO DE MEXICO, INFORME Y OTORGUE SU MAXIMA PUBLICIDAD SOBRE LO SIGUIENTE: 1</w:t>
      </w:r>
      <w:proofErr w:type="gramStart"/>
      <w:r w:rsidRPr="00AB0024">
        <w:rPr>
          <w:rFonts w:ascii="Palatino Linotype" w:eastAsia="Palatino Linotype" w:hAnsi="Palatino Linotype" w:cs="Palatino Linotype"/>
          <w:i/>
          <w:sz w:val="22"/>
          <w:szCs w:val="22"/>
        </w:rPr>
        <w:t>)DE</w:t>
      </w:r>
      <w:proofErr w:type="gramEnd"/>
      <w:r w:rsidRPr="00AB0024">
        <w:rPr>
          <w:rFonts w:ascii="Palatino Linotype" w:eastAsia="Palatino Linotype" w:hAnsi="Palatino Linotype" w:cs="Palatino Linotype"/>
          <w:i/>
          <w:sz w:val="22"/>
          <w:szCs w:val="22"/>
        </w:rPr>
        <w:t xml:space="preserve"> LA OFICINA UBICADA EN: CALLE 5 DE MAYO SUR #6 JUNTO AL MOLINO ENTRE CALLE MIGUEL HIDALGO Y 16 DE SEPTIEMBRE EN EL CENTRO DEL MUNICIPIO DE AMANALCO EDO DE MÉXICO, CON CP.51260. (Anexo imagen para mejor proveer) INFORME: A) AVISO O REGISTRO QUE ACREDITE LA DIRECCION OFICIAL DE LA OFICINA DEL COMITÉ MUNICIPAL DEL PRI EN EL MUNICIPIO DE AMANALCO, EDO DE MEXICO. B) DE INCISO QUE ANTECEDE, INFORME SI DICHA OFICINA OCUPADA POR EL COMITÉ </w:t>
      </w:r>
      <w:r w:rsidRPr="00AB0024">
        <w:rPr>
          <w:rFonts w:ascii="Palatino Linotype" w:eastAsia="Palatino Linotype" w:hAnsi="Palatino Linotype" w:cs="Palatino Linotype"/>
          <w:i/>
          <w:sz w:val="22"/>
          <w:szCs w:val="22"/>
        </w:rPr>
        <w:lastRenderedPageBreak/>
        <w:t xml:space="preserve">MUNICIPAL DEL PRI EN EL MUNICIPIO DE AMANALCO EDO DE MEXICO CUENTA CON (CONTRATO DE ARRENDAMIENTO U OTRO) Y SI SE DESTINA RECURSOS PARA EL PAGO DE RENTA U OTRO Y DE SERVICIOS. C) DE INCISO QUE ANTECEDE, INFORME SI DICHA OFICINA OCUPADA POR EL COMITÉ MUNICIPAL DEL PRI EN EL MUNICIPIO DE AMANALCO EDO DE MEXICO CUENTA CON TODOS LOS SERVICIOS COMO: ENERGIA ELECTRICA, AGUA POTABLE, SANITARIO, TELEFONO, INTERNET U OTROS. D) DE LA EXISTENCIA O INEXISTENCIA DEL REGISTRO Y AVISO SOBRE LA OFICINA ESTABLECIDA Y REFERIDA ANTE EL ORGANO ADMINISTRATIVO MUNICIPIO DE AMANALCO, EDO DE MEXICO, COMO DISPONE EN EL VIGENTE BANDO MUNICIPAL 2023 REFERENTE AL ARTICULO 30º, QUE DISPONE: Art.30.- Las Instituciones u organizaciones particulares constituidas legalmente, para prestar un Servicio Público de beneficencia o realizar actividades de participación social, en los aspectos culturales o políticos, deberán registrarse ante la autoridad competente y dar conocimiento al Municipio. </w:t>
      </w:r>
      <w:proofErr w:type="gramStart"/>
      <w:r w:rsidRPr="00AB0024">
        <w:rPr>
          <w:rFonts w:ascii="Palatino Linotype" w:eastAsia="Palatino Linotype" w:hAnsi="Palatino Linotype" w:cs="Palatino Linotype"/>
          <w:i/>
          <w:sz w:val="22"/>
          <w:szCs w:val="22"/>
        </w:rPr>
        <w:t>2)DE</w:t>
      </w:r>
      <w:proofErr w:type="gramEnd"/>
      <w:r w:rsidRPr="00AB0024">
        <w:rPr>
          <w:rFonts w:ascii="Palatino Linotype" w:eastAsia="Palatino Linotype" w:hAnsi="Palatino Linotype" w:cs="Palatino Linotype"/>
          <w:i/>
          <w:sz w:val="22"/>
          <w:szCs w:val="22"/>
        </w:rPr>
        <w:t xml:space="preserve"> LA EXISTENCIA O INEXISTENCIA DE LA DOCUMENTACION QUE ACREDITE EL FUNCIONAMIENTO LEGAL DEL SALON DE FIESTAS O REUNIONES EN EL REFERIDO INMUEBLE EN SU ENTRADA LATERAL SOBRE LA CALLE MIGUEL HIDALGO. • EN CASO DE SER SU RESPUESTA POSITIVA, EMITA SU MAXIMA PUBLICIDAD, INCLUYENDO LOS OFICIOS CON SUS RESPECTIVOS ANEXOS DE LAS AREAS COMPETENTES QUE DIERON ATENCION A MI SOLICITUD. • EN CASO DE SER SU RESPUESTA NEGATIVA, DECLARE LA INEXISTENCIA DEBIDAMENTE FUNDADA Y MOTIVADA. • EXPIDA A MI ENTERA COSTA COPIA CERTIFICADA DE LOS OFICIOS Y ANEXOS DE RESPUESTA DE LAS AREAS COMPETENTES. GRACIAS. 15 MAYO 2023” (Sic) (Énfasis añadido)</w:t>
      </w:r>
    </w:p>
    <w:p w:rsidR="00A620F1" w:rsidRPr="00AB0024" w:rsidRDefault="00C85659">
      <w:pPr>
        <w:spacing w:before="240" w:line="360" w:lineRule="auto"/>
        <w:ind w:left="851" w:right="902"/>
        <w:jc w:val="both"/>
        <w:rPr>
          <w:rFonts w:ascii="Palatino Linotype" w:eastAsia="Palatino Linotype" w:hAnsi="Palatino Linotype" w:cs="Palatino Linotype"/>
        </w:rPr>
      </w:pPr>
      <w:r w:rsidRPr="00AB0024">
        <w:rPr>
          <w:rFonts w:ascii="Palatino Linotype" w:eastAsia="Palatino Linotype" w:hAnsi="Palatino Linotype" w:cs="Palatino Linotype"/>
          <w:b/>
          <w:sz w:val="22"/>
          <w:szCs w:val="22"/>
        </w:rPr>
        <w:t>Archivo adjunto: “</w:t>
      </w:r>
      <w:r w:rsidRPr="00AB0024">
        <w:rPr>
          <w:rFonts w:ascii="Palatino Linotype" w:eastAsia="Palatino Linotype" w:hAnsi="Palatino Linotype" w:cs="Palatino Linotype"/>
          <w:b/>
          <w:i/>
          <w:sz w:val="22"/>
          <w:szCs w:val="22"/>
        </w:rPr>
        <w:t xml:space="preserve">I.docx”: </w:t>
      </w:r>
      <w:r w:rsidRPr="00AB0024">
        <w:rPr>
          <w:rFonts w:ascii="Palatino Linotype" w:eastAsia="Palatino Linotype" w:hAnsi="Palatino Linotype" w:cs="Palatino Linotype"/>
        </w:rPr>
        <w:t xml:space="preserve">Archivo de una foja en el que se reitera la solicitud de información. </w:t>
      </w:r>
    </w:p>
    <w:p w:rsidR="00A620F1" w:rsidRPr="00AB0024" w:rsidRDefault="00C85659">
      <w:pPr>
        <w:spacing w:before="240"/>
        <w:ind w:left="851" w:right="902"/>
        <w:jc w:val="both"/>
        <w:rPr>
          <w:rFonts w:ascii="Palatino Linotype" w:eastAsia="Palatino Linotype" w:hAnsi="Palatino Linotype" w:cs="Palatino Linotype"/>
          <w:u w:val="single"/>
        </w:rPr>
      </w:pPr>
      <w:r w:rsidRPr="00AB0024">
        <w:rPr>
          <w:rFonts w:ascii="Palatino Linotype" w:eastAsia="Palatino Linotype" w:hAnsi="Palatino Linotype" w:cs="Palatino Linotype"/>
          <w:noProof/>
          <w:u w:val="single"/>
          <w:lang w:val="es-MX"/>
        </w:rPr>
        <w:lastRenderedPageBreak/>
        <w:drawing>
          <wp:inline distT="0" distB="0" distL="0" distR="0">
            <wp:extent cx="4160424" cy="5376261"/>
            <wp:effectExtent l="0" t="0" r="0" b="0"/>
            <wp:docPr id="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r="-2" b="673"/>
                    <a:stretch>
                      <a:fillRect/>
                    </a:stretch>
                  </pic:blipFill>
                  <pic:spPr>
                    <a:xfrm>
                      <a:off x="0" y="0"/>
                      <a:ext cx="4160424" cy="5376261"/>
                    </a:xfrm>
                    <a:prstGeom prst="rect">
                      <a:avLst/>
                    </a:prstGeom>
                    <a:ln/>
                  </pic:spPr>
                </pic:pic>
              </a:graphicData>
            </a:graphic>
          </wp:inline>
        </w:drawing>
      </w:r>
    </w:p>
    <w:p w:rsidR="00A620F1" w:rsidRPr="00AB0024" w:rsidRDefault="00C85659">
      <w:pPr>
        <w:spacing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b/>
        </w:rPr>
        <w:t>Modalidad de Entrega:</w:t>
      </w:r>
      <w:r w:rsidRPr="00AB0024">
        <w:rPr>
          <w:rFonts w:ascii="Palatino Linotype" w:eastAsia="Palatino Linotype" w:hAnsi="Palatino Linotype" w:cs="Palatino Linotype"/>
        </w:rPr>
        <w:t xml:space="preserve"> A través de </w:t>
      </w:r>
      <w:r w:rsidRPr="00AB0024">
        <w:rPr>
          <w:rFonts w:ascii="Palatino Linotype" w:eastAsia="Palatino Linotype" w:hAnsi="Palatino Linotype" w:cs="Palatino Linotype"/>
          <w:b/>
        </w:rPr>
        <w:t>SAIMEX y copias certificadas</w:t>
      </w:r>
      <w:r w:rsidRPr="00AB0024">
        <w:rPr>
          <w:rFonts w:ascii="Palatino Linotype" w:eastAsia="Palatino Linotype" w:hAnsi="Palatino Linotype" w:cs="Palatino Linotype"/>
        </w:rPr>
        <w:t>.</w:t>
      </w:r>
    </w:p>
    <w:p w:rsidR="00A620F1" w:rsidRPr="00AB0024" w:rsidRDefault="00A620F1">
      <w:pPr>
        <w:spacing w:line="360" w:lineRule="auto"/>
        <w:jc w:val="both"/>
        <w:rPr>
          <w:rFonts w:ascii="Palatino Linotype" w:eastAsia="Palatino Linotype" w:hAnsi="Palatino Linotype" w:cs="Palatino Linotype"/>
        </w:rPr>
      </w:pPr>
    </w:p>
    <w:p w:rsidR="00A620F1" w:rsidRPr="00AB0024" w:rsidRDefault="00C85659">
      <w:pPr>
        <w:spacing w:after="240" w:line="360" w:lineRule="auto"/>
        <w:jc w:val="both"/>
        <w:rPr>
          <w:rFonts w:ascii="Palatino Linotype" w:eastAsia="Palatino Linotype" w:hAnsi="Palatino Linotype" w:cs="Palatino Linotype"/>
          <w:b/>
        </w:rPr>
      </w:pPr>
      <w:r w:rsidRPr="00AB0024">
        <w:rPr>
          <w:rFonts w:ascii="Palatino Linotype" w:eastAsia="Palatino Linotype" w:hAnsi="Palatino Linotype" w:cs="Palatino Linotype"/>
          <w:b/>
        </w:rPr>
        <w:t xml:space="preserve">2. Respuesta. </w:t>
      </w:r>
      <w:r w:rsidRPr="00AB0024">
        <w:rPr>
          <w:rFonts w:ascii="Palatino Linotype" w:eastAsia="Palatino Linotype" w:hAnsi="Palatino Linotype" w:cs="Palatino Linotype"/>
        </w:rPr>
        <w:t xml:space="preserve">El </w:t>
      </w:r>
      <w:r w:rsidRPr="00AB0024">
        <w:rPr>
          <w:rFonts w:ascii="Palatino Linotype" w:eastAsia="Palatino Linotype" w:hAnsi="Palatino Linotype" w:cs="Palatino Linotype"/>
          <w:b/>
        </w:rPr>
        <w:t>treinta de mayo de dos mil veintitrés</w:t>
      </w:r>
      <w:r w:rsidRPr="00AB0024">
        <w:rPr>
          <w:rFonts w:ascii="Palatino Linotype" w:eastAsia="Palatino Linotype" w:hAnsi="Palatino Linotype" w:cs="Palatino Linotype"/>
        </w:rPr>
        <w:t xml:space="preserve">, el </w:t>
      </w:r>
      <w:r w:rsidRPr="00AB0024">
        <w:rPr>
          <w:rFonts w:ascii="Palatino Linotype" w:eastAsia="Palatino Linotype" w:hAnsi="Palatino Linotype" w:cs="Palatino Linotype"/>
          <w:b/>
        </w:rPr>
        <w:t xml:space="preserve">Sujeto Obligado </w:t>
      </w:r>
      <w:r w:rsidRPr="00AB0024">
        <w:rPr>
          <w:rFonts w:ascii="Palatino Linotype" w:eastAsia="Palatino Linotype" w:hAnsi="Palatino Linotype" w:cs="Palatino Linotype"/>
        </w:rPr>
        <w:t xml:space="preserve">remitió su respuesta a la solicitud de acceso a la información a través de SAIMEX, sustancialmente en los términos siguientes:   </w:t>
      </w:r>
    </w:p>
    <w:p w:rsidR="00A620F1" w:rsidRPr="00AB0024" w:rsidRDefault="00C85659">
      <w:pPr>
        <w:spacing w:before="240" w:after="240"/>
        <w:ind w:left="567" w:right="902"/>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“Se le da seguimiento a la solicitud</w:t>
      </w:r>
    </w:p>
    <w:p w:rsidR="00A620F1" w:rsidRPr="00AB0024" w:rsidRDefault="00C85659">
      <w:pPr>
        <w:spacing w:before="240" w:after="240"/>
        <w:ind w:left="567" w:right="902"/>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lastRenderedPageBreak/>
        <w:t>ATENTAMENTE” (Sic) (Énfasis añadido)</w:t>
      </w:r>
    </w:p>
    <w:p w:rsidR="00A620F1" w:rsidRPr="00AB0024" w:rsidRDefault="00C85659">
      <w:pPr>
        <w:spacing w:before="240" w:after="240" w:line="360" w:lineRule="auto"/>
        <w:ind w:left="567" w:right="902"/>
        <w:jc w:val="both"/>
        <w:rPr>
          <w:rFonts w:ascii="Palatino Linotype" w:eastAsia="Palatino Linotype" w:hAnsi="Palatino Linotype" w:cs="Palatino Linotype"/>
        </w:rPr>
      </w:pPr>
      <w:r w:rsidRPr="00AB0024">
        <w:rPr>
          <w:rFonts w:ascii="Palatino Linotype" w:eastAsia="Palatino Linotype" w:hAnsi="Palatino Linotype" w:cs="Palatino Linotype"/>
          <w:b/>
        </w:rPr>
        <w:t>Archivos adjuntos: “</w:t>
      </w:r>
      <w:r w:rsidRPr="00AB0024">
        <w:rPr>
          <w:rFonts w:ascii="Palatino Linotype" w:eastAsia="Palatino Linotype" w:hAnsi="Palatino Linotype" w:cs="Palatino Linotype"/>
          <w:b/>
          <w:i/>
        </w:rPr>
        <w:t xml:space="preserve">A quien corresponda 22 2023.pdf”: </w:t>
      </w:r>
      <w:r w:rsidRPr="00AB0024">
        <w:rPr>
          <w:rFonts w:ascii="Palatino Linotype" w:eastAsia="Palatino Linotype" w:hAnsi="Palatino Linotype" w:cs="Palatino Linotype"/>
        </w:rPr>
        <w:t xml:space="preserve">Documento de cinco fojas en las que se aprecia el pronunciamiento de la Directora de Gobierno Municipal, se inserta un extracto para referencia. </w:t>
      </w:r>
    </w:p>
    <w:p w:rsidR="00A620F1" w:rsidRPr="00AB0024" w:rsidRDefault="00C85659">
      <w:pPr>
        <w:spacing w:before="240" w:after="240" w:line="360" w:lineRule="auto"/>
        <w:ind w:left="567" w:right="902"/>
        <w:jc w:val="both"/>
        <w:rPr>
          <w:rFonts w:ascii="Palatino Linotype" w:eastAsia="Palatino Linotype" w:hAnsi="Palatino Linotype" w:cs="Palatino Linotype"/>
          <w:sz w:val="22"/>
          <w:szCs w:val="22"/>
        </w:rPr>
      </w:pPr>
      <w:r w:rsidRPr="00AB0024">
        <w:rPr>
          <w:rFonts w:ascii="Palatino Linotype" w:eastAsia="Palatino Linotype" w:hAnsi="Palatino Linotype" w:cs="Palatino Linotype"/>
          <w:noProof/>
          <w:sz w:val="22"/>
          <w:szCs w:val="22"/>
          <w:lang w:val="es-MX"/>
        </w:rPr>
        <w:drawing>
          <wp:inline distT="0" distB="0" distL="0" distR="0">
            <wp:extent cx="4963218" cy="5582429"/>
            <wp:effectExtent l="0" t="0" r="0" b="0"/>
            <wp:docPr id="9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963218" cy="5582429"/>
                    </a:xfrm>
                    <a:prstGeom prst="rect">
                      <a:avLst/>
                    </a:prstGeom>
                    <a:ln/>
                  </pic:spPr>
                </pic:pic>
              </a:graphicData>
            </a:graphic>
          </wp:inline>
        </w:drawing>
      </w:r>
    </w:p>
    <w:p w:rsidR="00A620F1" w:rsidRPr="00AB0024" w:rsidRDefault="00C85659">
      <w:pPr>
        <w:spacing w:before="240" w:after="240" w:line="360" w:lineRule="auto"/>
        <w:ind w:right="49"/>
        <w:jc w:val="both"/>
        <w:rPr>
          <w:rFonts w:ascii="Palatino Linotype" w:eastAsia="Palatino Linotype" w:hAnsi="Palatino Linotype" w:cs="Palatino Linotype"/>
        </w:rPr>
      </w:pPr>
      <w:r w:rsidRPr="00AB0024">
        <w:rPr>
          <w:rFonts w:ascii="Palatino Linotype" w:eastAsia="Palatino Linotype" w:hAnsi="Palatino Linotype" w:cs="Palatino Linotype"/>
          <w:b/>
        </w:rPr>
        <w:lastRenderedPageBreak/>
        <w:t xml:space="preserve">3. Interposición del recurso de revisión. </w:t>
      </w:r>
      <w:r w:rsidRPr="00AB0024">
        <w:rPr>
          <w:rFonts w:ascii="Palatino Linotype" w:eastAsia="Palatino Linotype" w:hAnsi="Palatino Linotype" w:cs="Palatino Linotype"/>
        </w:rPr>
        <w:t xml:space="preserve">Inconforme con los términos de la respuesta emitida por parte del </w:t>
      </w:r>
      <w:r w:rsidRPr="00AB0024">
        <w:rPr>
          <w:rFonts w:ascii="Palatino Linotype" w:eastAsia="Palatino Linotype" w:hAnsi="Palatino Linotype" w:cs="Palatino Linotype"/>
          <w:b/>
        </w:rPr>
        <w:t>Sujeto Obligado</w:t>
      </w:r>
      <w:r w:rsidRPr="00AB0024">
        <w:rPr>
          <w:rFonts w:ascii="Palatino Linotype" w:eastAsia="Palatino Linotype" w:hAnsi="Palatino Linotype" w:cs="Palatino Linotype"/>
        </w:rPr>
        <w:t xml:space="preserve">, el </w:t>
      </w:r>
      <w:r w:rsidRPr="00AB0024">
        <w:rPr>
          <w:rFonts w:ascii="Palatino Linotype" w:eastAsia="Palatino Linotype" w:hAnsi="Palatino Linotype" w:cs="Palatino Linotype"/>
          <w:b/>
        </w:rPr>
        <w:t>trece de junio de dos mil veintitrés,</w:t>
      </w:r>
      <w:r w:rsidRPr="00AB0024">
        <w:rPr>
          <w:rFonts w:ascii="Palatino Linotype" w:eastAsia="Palatino Linotype" w:hAnsi="Palatino Linotype" w:cs="Palatino Linotype"/>
        </w:rPr>
        <w:t xml:space="preserve"> </w:t>
      </w:r>
      <w:r w:rsidRPr="00AB0024">
        <w:rPr>
          <w:rFonts w:ascii="Palatino Linotype" w:eastAsia="Palatino Linotype" w:hAnsi="Palatino Linotype" w:cs="Palatino Linotype"/>
          <w:b/>
        </w:rPr>
        <w:t>la parte Recurrente</w:t>
      </w:r>
      <w:r w:rsidRPr="00AB0024">
        <w:rPr>
          <w:rFonts w:ascii="Palatino Linotype" w:eastAsia="Palatino Linotype" w:hAnsi="Palatino Linotype" w:cs="Palatino Linotype"/>
        </w:rPr>
        <w:t xml:space="preserve"> interpuso el recurso de revisión a través de </w:t>
      </w:r>
      <w:r w:rsidRPr="00AB0024">
        <w:rPr>
          <w:rFonts w:ascii="Palatino Linotype" w:eastAsia="Palatino Linotype" w:hAnsi="Palatino Linotype" w:cs="Palatino Linotype"/>
          <w:b/>
        </w:rPr>
        <w:t xml:space="preserve">SAIMEX, </w:t>
      </w:r>
      <w:r w:rsidRPr="00AB0024">
        <w:rPr>
          <w:rFonts w:ascii="Palatino Linotype" w:eastAsia="Palatino Linotype" w:hAnsi="Palatino Linotype" w:cs="Palatino Linotype"/>
        </w:rPr>
        <w:t>en donde se manifestó de la siguiente manera:</w:t>
      </w:r>
    </w:p>
    <w:p w:rsidR="00A620F1" w:rsidRPr="00AB0024" w:rsidRDefault="00C85659">
      <w:pPr>
        <w:tabs>
          <w:tab w:val="left" w:pos="2745"/>
        </w:tabs>
        <w:spacing w:before="240" w:after="240" w:line="360" w:lineRule="auto"/>
        <w:jc w:val="both"/>
        <w:rPr>
          <w:rFonts w:ascii="Palatino Linotype" w:eastAsia="Palatino Linotype" w:hAnsi="Palatino Linotype" w:cs="Palatino Linotype"/>
          <w:b/>
        </w:rPr>
      </w:pPr>
      <w:r w:rsidRPr="00AB0024">
        <w:rPr>
          <w:rFonts w:ascii="Palatino Linotype" w:eastAsia="Palatino Linotype" w:hAnsi="Palatino Linotype" w:cs="Palatino Linotype"/>
          <w:b/>
        </w:rPr>
        <w:t xml:space="preserve">a) Acto impugnado: </w:t>
      </w:r>
      <w:r w:rsidRPr="00AB0024">
        <w:rPr>
          <w:rFonts w:ascii="Palatino Linotype" w:eastAsia="Palatino Linotype" w:hAnsi="Palatino Linotype" w:cs="Palatino Linotype"/>
          <w:b/>
        </w:rPr>
        <w:tab/>
      </w:r>
    </w:p>
    <w:p w:rsidR="00A620F1" w:rsidRPr="00AB0024" w:rsidRDefault="00C85659">
      <w:pPr>
        <w:ind w:left="567" w:right="902"/>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“Oficio No. Oficio AMA/PM/GM/077/2023 fechado el veinticinco de mayo de dos mil </w:t>
      </w:r>
      <w:proofErr w:type="spellStart"/>
      <w:r w:rsidRPr="00AB0024">
        <w:rPr>
          <w:rFonts w:ascii="Palatino Linotype" w:eastAsia="Palatino Linotype" w:hAnsi="Palatino Linotype" w:cs="Palatino Linotype"/>
          <w:i/>
          <w:sz w:val="22"/>
          <w:szCs w:val="22"/>
        </w:rPr>
        <w:t>veintitré</w:t>
      </w:r>
      <w:proofErr w:type="spellEnd"/>
      <w:r w:rsidRPr="00AB0024">
        <w:rPr>
          <w:rFonts w:ascii="Palatino Linotype" w:eastAsia="Palatino Linotype" w:hAnsi="Palatino Linotype" w:cs="Palatino Linotype"/>
          <w:i/>
          <w:sz w:val="22"/>
          <w:szCs w:val="22"/>
        </w:rPr>
        <w:t xml:space="preserve">, como </w:t>
      </w:r>
      <w:proofErr w:type="spellStart"/>
      <w:r w:rsidRPr="00AB0024">
        <w:rPr>
          <w:rFonts w:ascii="Palatino Linotype" w:eastAsia="Palatino Linotype" w:hAnsi="Palatino Linotype" w:cs="Palatino Linotype"/>
          <w:i/>
          <w:sz w:val="22"/>
          <w:szCs w:val="22"/>
        </w:rPr>
        <w:t>Unico</w:t>
      </w:r>
      <w:proofErr w:type="spellEnd"/>
      <w:r w:rsidRPr="00AB0024">
        <w:rPr>
          <w:rFonts w:ascii="Palatino Linotype" w:eastAsia="Palatino Linotype" w:hAnsi="Palatino Linotype" w:cs="Palatino Linotype"/>
          <w:i/>
          <w:sz w:val="22"/>
          <w:szCs w:val="22"/>
        </w:rPr>
        <w:t xml:space="preserve"> documento emitido por el Sujeto Obligado.” (Sic)</w:t>
      </w:r>
    </w:p>
    <w:p w:rsidR="00A620F1" w:rsidRPr="00AB0024" w:rsidRDefault="00A620F1">
      <w:pPr>
        <w:ind w:left="851" w:right="902"/>
        <w:jc w:val="both"/>
        <w:rPr>
          <w:rFonts w:ascii="Palatino Linotype" w:eastAsia="Palatino Linotype" w:hAnsi="Palatino Linotype" w:cs="Palatino Linotype"/>
          <w:i/>
          <w:sz w:val="22"/>
          <w:szCs w:val="22"/>
        </w:rPr>
      </w:pPr>
    </w:p>
    <w:p w:rsidR="00A620F1" w:rsidRPr="00AB0024" w:rsidRDefault="00C85659">
      <w:pPr>
        <w:spacing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b/>
        </w:rPr>
        <w:t>b) Razones o motivos de inconformidad</w:t>
      </w:r>
      <w:r w:rsidRPr="00AB0024">
        <w:rPr>
          <w:rFonts w:ascii="Palatino Linotype" w:eastAsia="Palatino Linotype" w:hAnsi="Palatino Linotype" w:cs="Palatino Linotype"/>
        </w:rPr>
        <w:t>:</w:t>
      </w:r>
    </w:p>
    <w:p w:rsidR="00A620F1" w:rsidRPr="00AB0024" w:rsidRDefault="00C85659">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AB0024">
        <w:rPr>
          <w:rFonts w:ascii="Palatino Linotype" w:eastAsia="Palatino Linotype" w:hAnsi="Palatino Linotype" w:cs="Palatino Linotype"/>
          <w:i/>
          <w:sz w:val="22"/>
          <w:szCs w:val="22"/>
        </w:rPr>
        <w:t xml:space="preserve"> “Por la Omisión, </w:t>
      </w:r>
      <w:proofErr w:type="spellStart"/>
      <w:r w:rsidRPr="00AB0024">
        <w:rPr>
          <w:rFonts w:ascii="Palatino Linotype" w:eastAsia="Palatino Linotype" w:hAnsi="Palatino Linotype" w:cs="Palatino Linotype"/>
          <w:i/>
          <w:sz w:val="22"/>
          <w:szCs w:val="22"/>
        </w:rPr>
        <w:t>Ocultamiento</w:t>
      </w:r>
      <w:proofErr w:type="gramStart"/>
      <w:r w:rsidRPr="00AB0024">
        <w:rPr>
          <w:rFonts w:ascii="Palatino Linotype" w:eastAsia="Palatino Linotype" w:hAnsi="Palatino Linotype" w:cs="Palatino Linotype"/>
          <w:i/>
          <w:sz w:val="22"/>
          <w:szCs w:val="22"/>
        </w:rPr>
        <w:t>;Negación</w:t>
      </w:r>
      <w:proofErr w:type="spellEnd"/>
      <w:proofErr w:type="gramEnd"/>
      <w:r w:rsidRPr="00AB0024">
        <w:rPr>
          <w:rFonts w:ascii="Palatino Linotype" w:eastAsia="Palatino Linotype" w:hAnsi="Palatino Linotype" w:cs="Palatino Linotype"/>
          <w:i/>
          <w:sz w:val="22"/>
          <w:szCs w:val="22"/>
        </w:rPr>
        <w:t xml:space="preserve"> de la </w:t>
      </w:r>
      <w:proofErr w:type="spellStart"/>
      <w:r w:rsidRPr="00AB0024">
        <w:rPr>
          <w:rFonts w:ascii="Palatino Linotype" w:eastAsia="Palatino Linotype" w:hAnsi="Palatino Linotype" w:cs="Palatino Linotype"/>
          <w:i/>
          <w:sz w:val="22"/>
          <w:szCs w:val="22"/>
        </w:rPr>
        <w:t>informacion</w:t>
      </w:r>
      <w:proofErr w:type="spellEnd"/>
      <w:r w:rsidRPr="00AB0024">
        <w:rPr>
          <w:rFonts w:ascii="Palatino Linotype" w:eastAsia="Palatino Linotype" w:hAnsi="Palatino Linotype" w:cs="Palatino Linotype"/>
          <w:i/>
          <w:sz w:val="22"/>
          <w:szCs w:val="22"/>
        </w:rPr>
        <w:t xml:space="preserve"> solicitada. III.- La declaración de inexistencia de la información, IV.- La declaración de incompetencia por el sujeto obligado, V. La entrega de información incompleta, VII. La falta de respuesta a una solicitud de acceso a la información. XI. La falta de trámite a una solicitud; XII. La negativa a permitir la consulta directa de la información; XIII. La falta, deficiencia o insuficiencia de la fundamentación y/o motivación en la respuesta; y” (Sic) </w:t>
      </w:r>
    </w:p>
    <w:p w:rsidR="00A620F1" w:rsidRPr="00AB0024" w:rsidRDefault="00A620F1">
      <w:pPr>
        <w:ind w:left="567" w:right="902"/>
        <w:jc w:val="both"/>
        <w:rPr>
          <w:rFonts w:ascii="Palatino Linotype" w:eastAsia="Palatino Linotype" w:hAnsi="Palatino Linotype" w:cs="Palatino Linotype"/>
          <w:i/>
          <w:sz w:val="22"/>
          <w:szCs w:val="22"/>
        </w:rPr>
      </w:pPr>
    </w:p>
    <w:p w:rsidR="00A620F1" w:rsidRPr="00AB0024" w:rsidRDefault="00C85659">
      <w:pPr>
        <w:ind w:right="902"/>
        <w:jc w:val="both"/>
        <w:rPr>
          <w:rFonts w:ascii="Palatino Linotype" w:eastAsia="Palatino Linotype" w:hAnsi="Palatino Linotype" w:cs="Palatino Linotype"/>
          <w:b/>
        </w:rPr>
      </w:pPr>
      <w:r w:rsidRPr="00AB0024">
        <w:rPr>
          <w:rFonts w:ascii="Palatino Linotype" w:eastAsia="Palatino Linotype" w:hAnsi="Palatino Linotype" w:cs="Palatino Linotype"/>
          <w:b/>
        </w:rPr>
        <w:t xml:space="preserve">Archivos adjuntos: </w:t>
      </w:r>
    </w:p>
    <w:p w:rsidR="00A620F1" w:rsidRPr="00AB0024" w:rsidRDefault="00A620F1">
      <w:pPr>
        <w:ind w:right="902"/>
        <w:jc w:val="both"/>
        <w:rPr>
          <w:rFonts w:ascii="Palatino Linotype" w:eastAsia="Palatino Linotype" w:hAnsi="Palatino Linotype" w:cs="Palatino Linotype"/>
          <w:b/>
        </w:rPr>
      </w:pPr>
    </w:p>
    <w:p w:rsidR="00A620F1" w:rsidRPr="00AB0024" w:rsidRDefault="00C85659">
      <w:pPr>
        <w:numPr>
          <w:ilvl w:val="0"/>
          <w:numId w:val="1"/>
        </w:numPr>
        <w:pBdr>
          <w:top w:val="nil"/>
          <w:left w:val="nil"/>
          <w:bottom w:val="nil"/>
          <w:right w:val="nil"/>
          <w:between w:val="nil"/>
        </w:pBdr>
        <w:spacing w:line="360" w:lineRule="auto"/>
        <w:ind w:left="567" w:right="902" w:hanging="141"/>
        <w:jc w:val="both"/>
        <w:rPr>
          <w:rFonts w:ascii="Palatino Linotype" w:eastAsia="Palatino Linotype" w:hAnsi="Palatino Linotype" w:cs="Palatino Linotype"/>
          <w:color w:val="000000"/>
          <w:sz w:val="22"/>
          <w:szCs w:val="22"/>
        </w:rPr>
      </w:pPr>
      <w:r w:rsidRPr="00AB0024">
        <w:rPr>
          <w:rFonts w:ascii="Palatino Linotype" w:eastAsia="Palatino Linotype" w:hAnsi="Palatino Linotype" w:cs="Palatino Linotype"/>
          <w:b/>
          <w:i/>
          <w:color w:val="000000"/>
          <w:sz w:val="22"/>
          <w:szCs w:val="22"/>
        </w:rPr>
        <w:t xml:space="preserve">“OFICIO_038_DGOB_AMANALCO_FOLIO 00010-AMANL_2023.pdf”: </w:t>
      </w:r>
      <w:r w:rsidRPr="00AB0024">
        <w:rPr>
          <w:rFonts w:ascii="Palatino Linotype" w:eastAsia="Palatino Linotype" w:hAnsi="Palatino Linotype" w:cs="Palatino Linotype"/>
          <w:color w:val="000000"/>
        </w:rPr>
        <w:t xml:space="preserve">Oficio por el que el Titular de la Unidad de Transparencia remite la respuesta de la Directora de Gobernación Municipal. </w:t>
      </w:r>
    </w:p>
    <w:p w:rsidR="00A620F1" w:rsidRPr="00AB0024" w:rsidRDefault="00C85659">
      <w:pPr>
        <w:numPr>
          <w:ilvl w:val="0"/>
          <w:numId w:val="1"/>
        </w:numPr>
        <w:pBdr>
          <w:top w:val="nil"/>
          <w:left w:val="nil"/>
          <w:bottom w:val="nil"/>
          <w:right w:val="nil"/>
          <w:between w:val="nil"/>
        </w:pBdr>
        <w:spacing w:line="360" w:lineRule="auto"/>
        <w:ind w:left="567" w:right="902" w:hanging="141"/>
        <w:jc w:val="both"/>
        <w:rPr>
          <w:rFonts w:ascii="Palatino Linotype" w:eastAsia="Palatino Linotype" w:hAnsi="Palatino Linotype" w:cs="Palatino Linotype"/>
          <w:color w:val="000000"/>
          <w:sz w:val="22"/>
          <w:szCs w:val="22"/>
        </w:rPr>
      </w:pPr>
      <w:r w:rsidRPr="00AB0024">
        <w:rPr>
          <w:rFonts w:ascii="Palatino Linotype" w:eastAsia="Palatino Linotype" w:hAnsi="Palatino Linotype" w:cs="Palatino Linotype"/>
          <w:b/>
          <w:i/>
          <w:color w:val="000000"/>
          <w:sz w:val="22"/>
          <w:szCs w:val="22"/>
        </w:rPr>
        <w:t xml:space="preserve">“NOTIFICACION_OFICIO_77_DGOBERNACION_FOLIO00022_15MAY02023.pdf”: </w:t>
      </w:r>
      <w:r w:rsidRPr="00AB0024">
        <w:rPr>
          <w:rFonts w:ascii="Palatino Linotype" w:eastAsia="Palatino Linotype" w:hAnsi="Palatino Linotype" w:cs="Palatino Linotype"/>
          <w:color w:val="000000"/>
        </w:rPr>
        <w:t>Documento de cinco fojas en las que se aprecia el pronunciamiento de la Directora de Gobierno Municipal.</w:t>
      </w:r>
    </w:p>
    <w:p w:rsidR="00A620F1" w:rsidRPr="00AB0024" w:rsidRDefault="00C85659">
      <w:pPr>
        <w:numPr>
          <w:ilvl w:val="0"/>
          <w:numId w:val="1"/>
        </w:numPr>
        <w:pBdr>
          <w:top w:val="nil"/>
          <w:left w:val="nil"/>
          <w:bottom w:val="nil"/>
          <w:right w:val="nil"/>
          <w:between w:val="nil"/>
        </w:pBdr>
        <w:spacing w:line="360" w:lineRule="auto"/>
        <w:ind w:left="567" w:right="902" w:hanging="141"/>
        <w:jc w:val="both"/>
        <w:rPr>
          <w:rFonts w:ascii="Palatino Linotype" w:eastAsia="Palatino Linotype" w:hAnsi="Palatino Linotype" w:cs="Palatino Linotype"/>
          <w:b/>
          <w:i/>
          <w:color w:val="000000"/>
        </w:rPr>
      </w:pPr>
      <w:r w:rsidRPr="00AB0024">
        <w:rPr>
          <w:rFonts w:ascii="Palatino Linotype" w:eastAsia="Palatino Linotype" w:hAnsi="Palatino Linotype" w:cs="Palatino Linotype"/>
          <w:b/>
          <w:i/>
          <w:color w:val="000000"/>
          <w:sz w:val="22"/>
          <w:szCs w:val="22"/>
        </w:rPr>
        <w:t xml:space="preserve">“PDF DESAHOGO_OFICIO_077AMANALCO_DGOBERNACION_13062023.pdf”: </w:t>
      </w:r>
      <w:r w:rsidRPr="00AB0024">
        <w:rPr>
          <w:rFonts w:ascii="Palatino Linotype" w:eastAsia="Palatino Linotype" w:hAnsi="Palatino Linotype" w:cs="Palatino Linotype"/>
          <w:color w:val="000000"/>
        </w:rPr>
        <w:t xml:space="preserve">Documento de tres fojas, en las cuales, la parte Recurrente precisa a mayor detalle los motivos de su inconformidad. </w:t>
      </w:r>
    </w:p>
    <w:p w:rsidR="00A620F1" w:rsidRPr="00AB0024" w:rsidRDefault="00A620F1">
      <w:pPr>
        <w:ind w:left="567" w:right="902"/>
        <w:jc w:val="both"/>
        <w:rPr>
          <w:rFonts w:ascii="Palatino Linotype" w:eastAsia="Palatino Linotype" w:hAnsi="Palatino Linotype" w:cs="Palatino Linotype"/>
          <w:b/>
          <w:sz w:val="22"/>
          <w:szCs w:val="22"/>
        </w:rPr>
      </w:pPr>
    </w:p>
    <w:p w:rsidR="00A620F1" w:rsidRPr="00AB0024" w:rsidRDefault="00A620F1">
      <w:pPr>
        <w:ind w:right="902"/>
        <w:jc w:val="both"/>
        <w:rPr>
          <w:rFonts w:ascii="Palatino Linotype" w:eastAsia="Palatino Linotype" w:hAnsi="Palatino Linotype" w:cs="Palatino Linotype"/>
          <w:i/>
          <w:sz w:val="22"/>
          <w:szCs w:val="22"/>
        </w:rPr>
      </w:pPr>
    </w:p>
    <w:p w:rsidR="00A620F1" w:rsidRPr="00AB0024" w:rsidRDefault="00A620F1">
      <w:pPr>
        <w:ind w:right="902"/>
        <w:jc w:val="both"/>
        <w:rPr>
          <w:rFonts w:ascii="Palatino Linotype" w:eastAsia="Palatino Linotype" w:hAnsi="Palatino Linotype" w:cs="Palatino Linotype"/>
          <w:sz w:val="22"/>
          <w:szCs w:val="22"/>
        </w:rPr>
      </w:pPr>
    </w:p>
    <w:p w:rsidR="00A620F1" w:rsidRPr="00AB0024" w:rsidRDefault="00C85659">
      <w:pPr>
        <w:spacing w:line="360" w:lineRule="auto"/>
        <w:ind w:right="51"/>
        <w:jc w:val="both"/>
        <w:rPr>
          <w:rFonts w:ascii="Palatino Linotype" w:eastAsia="Palatino Linotype" w:hAnsi="Palatino Linotype" w:cs="Palatino Linotype"/>
        </w:rPr>
      </w:pPr>
      <w:r w:rsidRPr="00AB0024">
        <w:rPr>
          <w:rFonts w:ascii="Palatino Linotype" w:eastAsia="Palatino Linotype" w:hAnsi="Palatino Linotype" w:cs="Palatino Linotype"/>
          <w:b/>
        </w:rPr>
        <w:t xml:space="preserve">4. Turno. </w:t>
      </w:r>
      <w:r w:rsidRPr="00AB0024">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AB0024">
        <w:rPr>
          <w:rFonts w:ascii="Palatino Linotype" w:eastAsia="Palatino Linotype" w:hAnsi="Palatino Linotype" w:cs="Palatino Linotype"/>
          <w:b/>
        </w:rPr>
        <w:t>Comisionada</w:t>
      </w:r>
      <w:r w:rsidRPr="00AB0024">
        <w:rPr>
          <w:rFonts w:ascii="Palatino Linotype" w:eastAsia="Palatino Linotype" w:hAnsi="Palatino Linotype" w:cs="Palatino Linotype"/>
        </w:rPr>
        <w:t xml:space="preserve"> </w:t>
      </w:r>
      <w:r w:rsidRPr="00AB0024">
        <w:rPr>
          <w:rFonts w:ascii="Palatino Linotype" w:eastAsia="Palatino Linotype" w:hAnsi="Palatino Linotype" w:cs="Palatino Linotype"/>
          <w:b/>
        </w:rPr>
        <w:t xml:space="preserve">Guadalupe Ramírez Peña, </w:t>
      </w:r>
      <w:r w:rsidRPr="00AB0024">
        <w:rPr>
          <w:rFonts w:ascii="Palatino Linotype" w:eastAsia="Palatino Linotype" w:hAnsi="Palatino Linotype" w:cs="Palatino Linotype"/>
        </w:rPr>
        <w:t xml:space="preserve">a efecto de que analizará sobre su admisión o su </w:t>
      </w:r>
      <w:proofErr w:type="spellStart"/>
      <w:r w:rsidRPr="00AB0024">
        <w:rPr>
          <w:rFonts w:ascii="Palatino Linotype" w:eastAsia="Palatino Linotype" w:hAnsi="Palatino Linotype" w:cs="Palatino Linotype"/>
        </w:rPr>
        <w:t>desechamiento</w:t>
      </w:r>
      <w:proofErr w:type="spellEnd"/>
      <w:r w:rsidRPr="00AB0024">
        <w:rPr>
          <w:rFonts w:ascii="Palatino Linotype" w:eastAsia="Palatino Linotype" w:hAnsi="Palatino Linotype" w:cs="Palatino Linotype"/>
        </w:rPr>
        <w:t>.</w:t>
      </w:r>
    </w:p>
    <w:p w:rsidR="00A620F1" w:rsidRPr="00AB0024" w:rsidRDefault="00A620F1">
      <w:pPr>
        <w:spacing w:line="360" w:lineRule="auto"/>
        <w:ind w:right="51"/>
        <w:jc w:val="both"/>
        <w:rPr>
          <w:rFonts w:ascii="Palatino Linotype" w:eastAsia="Palatino Linotype" w:hAnsi="Palatino Linotype" w:cs="Palatino Linotype"/>
        </w:rPr>
      </w:pPr>
    </w:p>
    <w:p w:rsidR="00A620F1" w:rsidRPr="00AB0024" w:rsidRDefault="00C85659">
      <w:pPr>
        <w:spacing w:after="240"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b/>
        </w:rPr>
        <w:t>5. Admisión del Recurso de Revisión.</w:t>
      </w:r>
      <w:r w:rsidRPr="00AB0024">
        <w:rPr>
          <w:rFonts w:ascii="Palatino Linotype" w:eastAsia="Palatino Linotype" w:hAnsi="Palatino Linotype" w:cs="Palatino Linotype"/>
        </w:rPr>
        <w:t xml:space="preserve"> El </w:t>
      </w:r>
      <w:r w:rsidRPr="00AB0024">
        <w:rPr>
          <w:rFonts w:ascii="Palatino Linotype" w:eastAsia="Palatino Linotype" w:hAnsi="Palatino Linotype" w:cs="Palatino Linotype"/>
          <w:b/>
        </w:rPr>
        <w:t xml:space="preserve">dieciséis de junio de dos mil veintitrés, </w:t>
      </w:r>
      <w:r w:rsidRPr="00AB0024">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B0024">
        <w:rPr>
          <w:rFonts w:ascii="Palatino Linotype" w:eastAsia="Palatino Linotype" w:hAnsi="Palatino Linotype" w:cs="Palatino Linotype"/>
          <w:b/>
        </w:rPr>
        <w:t xml:space="preserve">Sujeto Obligado </w:t>
      </w:r>
      <w:r w:rsidRPr="00AB0024">
        <w:rPr>
          <w:rFonts w:ascii="Palatino Linotype" w:eastAsia="Palatino Linotype" w:hAnsi="Palatino Linotype" w:cs="Palatino Linotype"/>
        </w:rPr>
        <w:t>presentara su informe justificado.</w:t>
      </w:r>
    </w:p>
    <w:p w:rsidR="00A620F1" w:rsidRPr="00AB0024" w:rsidRDefault="00C85659">
      <w:pPr>
        <w:spacing w:after="240" w:line="360" w:lineRule="auto"/>
        <w:jc w:val="both"/>
        <w:rPr>
          <w:rFonts w:ascii="Palatino Linotype" w:eastAsia="Palatino Linotype" w:hAnsi="Palatino Linotype" w:cs="Palatino Linotype"/>
        </w:rPr>
      </w:pPr>
      <w:bookmarkStart w:id="3" w:name="_heading=h.2s8eyo1" w:colFirst="0" w:colLast="0"/>
      <w:bookmarkEnd w:id="3"/>
      <w:r w:rsidRPr="00AB0024">
        <w:rPr>
          <w:rFonts w:ascii="Palatino Linotype" w:eastAsia="Palatino Linotype" w:hAnsi="Palatino Linotype" w:cs="Palatino Linotype"/>
          <w:b/>
        </w:rPr>
        <w:t>6. Manifestaciones</w:t>
      </w:r>
      <w:r w:rsidRPr="00AB0024">
        <w:rPr>
          <w:rFonts w:ascii="Palatino Linotype" w:eastAsia="Palatino Linotype" w:hAnsi="Palatino Linotype" w:cs="Palatino Linotype"/>
        </w:rPr>
        <w:t xml:space="preserve">. El </w:t>
      </w:r>
      <w:r w:rsidRPr="00AB0024">
        <w:rPr>
          <w:rFonts w:ascii="Palatino Linotype" w:eastAsia="Palatino Linotype" w:hAnsi="Palatino Linotype" w:cs="Palatino Linotype"/>
          <w:b/>
        </w:rPr>
        <w:t>veintiocho de junio de dos mil veintitrés, la parte Recurrente</w:t>
      </w:r>
      <w:r w:rsidRPr="00AB0024">
        <w:rPr>
          <w:rFonts w:ascii="Palatino Linotype" w:eastAsia="Palatino Linotype" w:hAnsi="Palatino Linotype" w:cs="Palatino Linotype"/>
        </w:rPr>
        <w:t xml:space="preserve"> remitió los siguientes archivos: </w:t>
      </w:r>
    </w:p>
    <w:p w:rsidR="00A620F1" w:rsidRPr="00AB0024" w:rsidRDefault="00C85659">
      <w:pPr>
        <w:spacing w:after="240" w:line="360" w:lineRule="auto"/>
        <w:ind w:left="567" w:right="900"/>
        <w:jc w:val="both"/>
        <w:rPr>
          <w:rFonts w:ascii="Palatino Linotype" w:eastAsia="Palatino Linotype" w:hAnsi="Palatino Linotype" w:cs="Palatino Linotype"/>
          <w:b/>
          <w:i/>
        </w:rPr>
      </w:pPr>
      <w:r w:rsidRPr="00AB0024">
        <w:rPr>
          <w:rFonts w:ascii="Palatino Linotype" w:eastAsia="Palatino Linotype" w:hAnsi="Palatino Linotype" w:cs="Palatino Linotype"/>
          <w:b/>
          <w:i/>
        </w:rPr>
        <w:t xml:space="preserve">“OFICIO_CDE-PRI-SFA-DGT-043-2023.pdf”: </w:t>
      </w:r>
      <w:r w:rsidRPr="00AB0024">
        <w:rPr>
          <w:rFonts w:ascii="Palatino Linotype" w:eastAsia="Palatino Linotype" w:hAnsi="Palatino Linotype" w:cs="Palatino Linotype"/>
        </w:rPr>
        <w:t xml:space="preserve">Documento de cuatro fojas, signado por el funcionario partidista habilitado de la Secretaría de Finanzas y Administración del CDE del Partido Revolucionario Institucional, el cual otorgó respuesta a los mismos requerimientos de información formulados para el recurso de revisión que nos ocupa. </w:t>
      </w:r>
      <w:r w:rsidRPr="00AB0024">
        <w:rPr>
          <w:rFonts w:ascii="Palatino Linotype" w:eastAsia="Palatino Linotype" w:hAnsi="Palatino Linotype" w:cs="Palatino Linotype"/>
          <w:b/>
          <w:i/>
        </w:rPr>
        <w:tab/>
      </w:r>
    </w:p>
    <w:p w:rsidR="00A620F1" w:rsidRPr="00AB0024" w:rsidRDefault="00C85659">
      <w:pPr>
        <w:spacing w:after="240" w:line="360" w:lineRule="auto"/>
        <w:ind w:left="567" w:right="900"/>
        <w:jc w:val="both"/>
        <w:rPr>
          <w:rFonts w:ascii="Palatino Linotype" w:eastAsia="Palatino Linotype" w:hAnsi="Palatino Linotype" w:cs="Palatino Linotype"/>
          <w:b/>
          <w:i/>
        </w:rPr>
      </w:pPr>
      <w:r w:rsidRPr="00AB0024">
        <w:rPr>
          <w:rFonts w:ascii="Palatino Linotype" w:eastAsia="Palatino Linotype" w:hAnsi="Palatino Linotype" w:cs="Palatino Linotype"/>
          <w:b/>
          <w:i/>
        </w:rPr>
        <w:lastRenderedPageBreak/>
        <w:t xml:space="preserve">“PDF_DESAHOGO_VISTA_RR03339_28JUN23.pdf”: </w:t>
      </w:r>
      <w:r w:rsidRPr="00AB0024">
        <w:rPr>
          <w:rFonts w:ascii="Palatino Linotype" w:eastAsia="Palatino Linotype" w:hAnsi="Palatino Linotype" w:cs="Palatino Linotype"/>
        </w:rPr>
        <w:t xml:space="preserve">Documento de dieciséis fojas, en el cual, </w:t>
      </w:r>
      <w:r w:rsidRPr="00AB0024">
        <w:rPr>
          <w:rFonts w:ascii="Palatino Linotype" w:eastAsia="Palatino Linotype" w:hAnsi="Palatino Linotype" w:cs="Palatino Linotype"/>
          <w:b/>
        </w:rPr>
        <w:t>la parte Recurrente</w:t>
      </w:r>
      <w:r w:rsidRPr="00AB0024">
        <w:rPr>
          <w:rFonts w:ascii="Palatino Linotype" w:eastAsia="Palatino Linotype" w:hAnsi="Palatino Linotype" w:cs="Palatino Linotype"/>
        </w:rPr>
        <w:t xml:space="preserve"> desglosa su inconformidad por cada planteamiento vertido.</w:t>
      </w:r>
      <w:r w:rsidRPr="00AB0024">
        <w:rPr>
          <w:rFonts w:ascii="Palatino Linotype" w:eastAsia="Palatino Linotype" w:hAnsi="Palatino Linotype" w:cs="Palatino Linotype"/>
          <w:b/>
          <w:i/>
        </w:rPr>
        <w:tab/>
      </w:r>
    </w:p>
    <w:p w:rsidR="00A620F1" w:rsidRPr="00AB0024" w:rsidRDefault="00C85659">
      <w:pPr>
        <w:spacing w:after="240" w:line="360" w:lineRule="auto"/>
        <w:ind w:left="567" w:right="900"/>
        <w:jc w:val="both"/>
        <w:rPr>
          <w:rFonts w:ascii="Palatino Linotype" w:eastAsia="Palatino Linotype" w:hAnsi="Palatino Linotype" w:cs="Palatino Linotype"/>
        </w:rPr>
      </w:pPr>
      <w:r w:rsidRPr="00AB0024">
        <w:rPr>
          <w:rFonts w:ascii="Palatino Linotype" w:eastAsia="Palatino Linotype" w:hAnsi="Palatino Linotype" w:cs="Palatino Linotype"/>
          <w:b/>
          <w:i/>
        </w:rPr>
        <w:t xml:space="preserve">“Acuse de </w:t>
      </w:r>
      <w:proofErr w:type="spellStart"/>
      <w:r w:rsidRPr="00AB0024">
        <w:rPr>
          <w:rFonts w:ascii="Palatino Linotype" w:eastAsia="Palatino Linotype" w:hAnsi="Palatino Linotype" w:cs="Palatino Linotype"/>
          <w:b/>
          <w:i/>
        </w:rPr>
        <w:t>respuesta_SUJETO</w:t>
      </w:r>
      <w:proofErr w:type="spellEnd"/>
      <w:r w:rsidRPr="00AB0024">
        <w:rPr>
          <w:rFonts w:ascii="Palatino Linotype" w:eastAsia="Palatino Linotype" w:hAnsi="Palatino Linotype" w:cs="Palatino Linotype"/>
          <w:b/>
          <w:i/>
        </w:rPr>
        <w:t xml:space="preserve"> OBLIGADO1_REGINA.pdf”: </w:t>
      </w:r>
      <w:r w:rsidRPr="00AB0024">
        <w:rPr>
          <w:rFonts w:ascii="Palatino Linotype" w:eastAsia="Palatino Linotype" w:hAnsi="Palatino Linotype" w:cs="Palatino Linotype"/>
        </w:rPr>
        <w:t>Acuse de la respuesta a la presente solicitud de información.</w:t>
      </w:r>
    </w:p>
    <w:p w:rsidR="00A620F1" w:rsidRPr="00AB0024" w:rsidRDefault="00C85659">
      <w:pPr>
        <w:spacing w:after="240" w:line="360" w:lineRule="auto"/>
        <w:ind w:left="567" w:right="900"/>
        <w:jc w:val="both"/>
        <w:rPr>
          <w:rFonts w:ascii="Palatino Linotype" w:eastAsia="Palatino Linotype" w:hAnsi="Palatino Linotype" w:cs="Palatino Linotype"/>
          <w:b/>
          <w:i/>
        </w:rPr>
      </w:pPr>
      <w:r w:rsidRPr="00AB0024">
        <w:rPr>
          <w:rFonts w:ascii="Palatino Linotype" w:eastAsia="Palatino Linotype" w:hAnsi="Palatino Linotype" w:cs="Palatino Linotype"/>
          <w:b/>
          <w:i/>
        </w:rPr>
        <w:t xml:space="preserve">“ADMISION_RR_03339_2023_DELFOLIO_00022_AMANALCO_IP_2023.pdf”: </w:t>
      </w:r>
      <w:r w:rsidRPr="00AB0024">
        <w:rPr>
          <w:rFonts w:ascii="Palatino Linotype" w:eastAsia="Palatino Linotype" w:hAnsi="Palatino Linotype" w:cs="Palatino Linotype"/>
        </w:rPr>
        <w:t>Acuerdo de admisión emitido por la Comisionada Ponente.</w:t>
      </w:r>
    </w:p>
    <w:p w:rsidR="00A620F1" w:rsidRPr="00AB0024" w:rsidRDefault="00C85659">
      <w:pPr>
        <w:spacing w:after="240"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rPr>
        <w:t xml:space="preserve">El </w:t>
      </w:r>
      <w:r w:rsidRPr="00AB0024">
        <w:rPr>
          <w:rFonts w:ascii="Palatino Linotype" w:eastAsia="Palatino Linotype" w:hAnsi="Palatino Linotype" w:cs="Palatino Linotype"/>
          <w:b/>
        </w:rPr>
        <w:t>siete de agosto de dos mil veintitrés</w:t>
      </w:r>
      <w:r w:rsidRPr="00AB0024">
        <w:rPr>
          <w:rFonts w:ascii="Palatino Linotype" w:eastAsia="Palatino Linotype" w:hAnsi="Palatino Linotype" w:cs="Palatino Linotype"/>
        </w:rPr>
        <w:t xml:space="preserve">, el </w:t>
      </w:r>
      <w:r w:rsidRPr="00AB0024">
        <w:rPr>
          <w:rFonts w:ascii="Palatino Linotype" w:eastAsia="Palatino Linotype" w:hAnsi="Palatino Linotype" w:cs="Palatino Linotype"/>
          <w:b/>
        </w:rPr>
        <w:t>Sujeto Obligado</w:t>
      </w:r>
      <w:r w:rsidRPr="00AB0024">
        <w:rPr>
          <w:rFonts w:ascii="Palatino Linotype" w:eastAsia="Palatino Linotype" w:hAnsi="Palatino Linotype" w:cs="Palatino Linotype"/>
        </w:rPr>
        <w:t xml:space="preserve"> remitió su informe justificado mediante el archivo electrónico “</w:t>
      </w:r>
      <w:r w:rsidRPr="00AB0024">
        <w:rPr>
          <w:rFonts w:ascii="Palatino Linotype" w:eastAsia="Palatino Linotype" w:hAnsi="Palatino Linotype" w:cs="Palatino Linotype"/>
          <w:b/>
          <w:i/>
        </w:rPr>
        <w:t xml:space="preserve">A quien corresponda RR 03339 2023.pdf”, </w:t>
      </w:r>
      <w:r w:rsidRPr="00AB0024">
        <w:rPr>
          <w:rFonts w:ascii="Palatino Linotype" w:eastAsia="Palatino Linotype" w:hAnsi="Palatino Linotype" w:cs="Palatino Linotype"/>
        </w:rPr>
        <w:t xml:space="preserve">en el cual obran los pronunciamientos del Secretario del Ayuntamiento, Directora de Desarrollo Económico y Directora de Gobierno Municipal, los cuales medularmente niegan contar con información referente al predio referido en la solicitud de información; es de precisar que una vez analizada esta documentación, se determinó ponerla a la vista de </w:t>
      </w:r>
      <w:r w:rsidRPr="00AB0024">
        <w:rPr>
          <w:rFonts w:ascii="Palatino Linotype" w:eastAsia="Palatino Linotype" w:hAnsi="Palatino Linotype" w:cs="Palatino Linotype"/>
          <w:b/>
        </w:rPr>
        <w:t>la parte Recurrente</w:t>
      </w:r>
      <w:r w:rsidRPr="00AB0024">
        <w:rPr>
          <w:rFonts w:ascii="Palatino Linotype" w:eastAsia="Palatino Linotype" w:hAnsi="Palatino Linotype" w:cs="Palatino Linotype"/>
        </w:rPr>
        <w:t xml:space="preserve"> mediante acuerdo signado por la Comisionada Ponente el </w:t>
      </w:r>
      <w:r w:rsidRPr="00AB0024">
        <w:rPr>
          <w:rFonts w:ascii="Palatino Linotype" w:eastAsia="Palatino Linotype" w:hAnsi="Palatino Linotype" w:cs="Palatino Linotype"/>
          <w:b/>
        </w:rPr>
        <w:t>cuatro de septiembre de dos mil veintitrés</w:t>
      </w:r>
      <w:r w:rsidRPr="00AB0024">
        <w:rPr>
          <w:rFonts w:ascii="Palatino Linotype" w:eastAsia="Palatino Linotype" w:hAnsi="Palatino Linotype" w:cs="Palatino Linotype"/>
        </w:rPr>
        <w:t xml:space="preserve">. </w:t>
      </w:r>
    </w:p>
    <w:p w:rsidR="00A620F1" w:rsidRPr="00AB0024" w:rsidRDefault="00C85659">
      <w:pPr>
        <w:spacing w:after="240"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rPr>
        <w:t xml:space="preserve">Posteriormente el </w:t>
      </w:r>
      <w:r w:rsidRPr="00AB0024">
        <w:rPr>
          <w:rFonts w:ascii="Palatino Linotype" w:eastAsia="Palatino Linotype" w:hAnsi="Palatino Linotype" w:cs="Palatino Linotype"/>
          <w:b/>
        </w:rPr>
        <w:t>siete de septiembre de dos mil veintitrés</w:t>
      </w:r>
      <w:r w:rsidRPr="00AB0024">
        <w:rPr>
          <w:rFonts w:ascii="Palatino Linotype" w:eastAsia="Palatino Linotype" w:hAnsi="Palatino Linotype" w:cs="Palatino Linotype"/>
        </w:rPr>
        <w:t xml:space="preserve">, </w:t>
      </w:r>
      <w:r w:rsidRPr="00AB0024">
        <w:rPr>
          <w:rFonts w:ascii="Palatino Linotype" w:eastAsia="Palatino Linotype" w:hAnsi="Palatino Linotype" w:cs="Palatino Linotype"/>
          <w:b/>
        </w:rPr>
        <w:t>la parte Recurrente</w:t>
      </w:r>
      <w:r w:rsidRPr="00AB0024">
        <w:rPr>
          <w:rFonts w:ascii="Palatino Linotype" w:eastAsia="Palatino Linotype" w:hAnsi="Palatino Linotype" w:cs="Palatino Linotype"/>
        </w:rPr>
        <w:t xml:space="preserve"> adjuntó los archivos electrónicos </w:t>
      </w:r>
      <w:r w:rsidRPr="00AB0024">
        <w:rPr>
          <w:rFonts w:ascii="Palatino Linotype" w:eastAsia="Palatino Linotype" w:hAnsi="Palatino Linotype" w:cs="Palatino Linotype"/>
          <w:b/>
          <w:i/>
        </w:rPr>
        <w:t xml:space="preserve">“OFICIO_CDE-PRI-SFA-DGT-043-2023.pdf”: </w:t>
      </w:r>
      <w:r w:rsidRPr="00AB0024">
        <w:rPr>
          <w:rFonts w:ascii="Palatino Linotype" w:eastAsia="Palatino Linotype" w:hAnsi="Palatino Linotype" w:cs="Palatino Linotype"/>
        </w:rPr>
        <w:t>Documento de cuatro fojas, signado por el funcionario partidista habilitado de la Secretaría de Finanzas y Administración del CDE del Partido Revolucionario Institucional, el cual otorgó respuesta a los mismos requerimientos de información formulados para el recurso de revisión que nos ocupa.</w:t>
      </w:r>
      <w:r w:rsidRPr="00AB0024">
        <w:rPr>
          <w:rFonts w:ascii="Palatino Linotype" w:eastAsia="Palatino Linotype" w:hAnsi="Palatino Linotype" w:cs="Palatino Linotype"/>
          <w:b/>
          <w:i/>
        </w:rPr>
        <w:tab/>
      </w:r>
    </w:p>
    <w:p w:rsidR="00A620F1" w:rsidRPr="00AB0024" w:rsidRDefault="00C85659">
      <w:pPr>
        <w:spacing w:after="240" w:line="360" w:lineRule="auto"/>
        <w:ind w:right="49"/>
        <w:jc w:val="both"/>
        <w:rPr>
          <w:rFonts w:ascii="Palatino Linotype" w:eastAsia="Palatino Linotype" w:hAnsi="Palatino Linotype" w:cs="Palatino Linotype"/>
          <w:b/>
          <w:i/>
        </w:rPr>
      </w:pPr>
      <w:r w:rsidRPr="00AB0024">
        <w:rPr>
          <w:rFonts w:ascii="Palatino Linotype" w:eastAsia="Palatino Linotype" w:hAnsi="Palatino Linotype" w:cs="Palatino Linotype"/>
          <w:b/>
          <w:i/>
        </w:rPr>
        <w:lastRenderedPageBreak/>
        <w:t xml:space="preserve">“2o. ACTO DE IMPUGNACION 2-RR03339-2023.pdf”: </w:t>
      </w:r>
      <w:r w:rsidRPr="00AB0024">
        <w:rPr>
          <w:rFonts w:ascii="Palatino Linotype" w:eastAsia="Palatino Linotype" w:hAnsi="Palatino Linotype" w:cs="Palatino Linotype"/>
        </w:rPr>
        <w:t xml:space="preserve">Documento de dieciséis fojas, en el cual, </w:t>
      </w:r>
      <w:r w:rsidRPr="00AB0024">
        <w:rPr>
          <w:rFonts w:ascii="Palatino Linotype" w:eastAsia="Palatino Linotype" w:hAnsi="Palatino Linotype" w:cs="Palatino Linotype"/>
          <w:b/>
        </w:rPr>
        <w:t>la parte Recurrente</w:t>
      </w:r>
      <w:r w:rsidRPr="00AB0024">
        <w:rPr>
          <w:rFonts w:ascii="Palatino Linotype" w:eastAsia="Palatino Linotype" w:hAnsi="Palatino Linotype" w:cs="Palatino Linotype"/>
        </w:rPr>
        <w:t xml:space="preserve"> desglosa su inconformidad por cada planteamiento vertido.</w:t>
      </w:r>
    </w:p>
    <w:p w:rsidR="00A620F1" w:rsidRPr="00AB0024" w:rsidRDefault="00C85659">
      <w:pPr>
        <w:widowControl w:val="0"/>
        <w:spacing w:after="240"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b/>
        </w:rPr>
        <w:t>7.</w:t>
      </w:r>
      <w:r w:rsidRPr="00AB0024">
        <w:rPr>
          <w:rFonts w:ascii="Palatino Linotype" w:eastAsia="Palatino Linotype" w:hAnsi="Palatino Linotype" w:cs="Palatino Linotype"/>
        </w:rPr>
        <w:t xml:space="preserve"> </w:t>
      </w:r>
      <w:r w:rsidRPr="00AB0024">
        <w:rPr>
          <w:rFonts w:ascii="Palatino Linotype" w:eastAsia="Palatino Linotype" w:hAnsi="Palatino Linotype" w:cs="Palatino Linotype"/>
          <w:b/>
        </w:rPr>
        <w:t>Ampliación del plazo para emitir resolución.</w:t>
      </w:r>
      <w:r w:rsidRPr="00AB0024">
        <w:rPr>
          <w:rFonts w:ascii="Palatino Linotype" w:eastAsia="Palatino Linotype" w:hAnsi="Palatino Linotype" w:cs="Palatino Linotype"/>
        </w:rPr>
        <w:t xml:space="preserve"> El </w:t>
      </w:r>
      <w:r w:rsidRPr="00AB0024">
        <w:rPr>
          <w:rFonts w:ascii="Palatino Linotype" w:eastAsia="Palatino Linotype" w:hAnsi="Palatino Linotype" w:cs="Palatino Linotype"/>
          <w:b/>
        </w:rPr>
        <w:t>veintiocho de septiembre del año dos mil veintitrés</w:t>
      </w:r>
      <w:r w:rsidRPr="00AB0024">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A620F1" w:rsidRPr="00AB0024" w:rsidRDefault="00C85659">
      <w:pPr>
        <w:spacing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AB0024">
        <w:rPr>
          <w:rFonts w:ascii="Palatino Linotype" w:eastAsia="Palatino Linotype" w:hAnsi="Palatino Linotype" w:cs="Palatino Linotype"/>
          <w:color w:val="000000"/>
        </w:rPr>
        <w:t xml:space="preserve">recursos de revisión recibidos dentro del año dos mil veintidós, que, en comparación con los recibidos el año dos mil veintiuno dentro del mismo periodo, se incrementó aproximadamente un 300%, </w:t>
      </w:r>
      <w:r w:rsidRPr="00AB0024">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rsidR="00A620F1" w:rsidRPr="00AB0024" w:rsidRDefault="00A620F1">
      <w:pPr>
        <w:spacing w:line="360" w:lineRule="auto"/>
        <w:jc w:val="both"/>
        <w:rPr>
          <w:rFonts w:ascii="Palatino Linotype" w:eastAsia="Palatino Linotype" w:hAnsi="Palatino Linotype" w:cs="Palatino Linotype"/>
        </w:rPr>
      </w:pPr>
    </w:p>
    <w:p w:rsidR="00A620F1" w:rsidRPr="00AB0024" w:rsidRDefault="00C85659">
      <w:pPr>
        <w:spacing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A620F1" w:rsidRPr="00AB0024" w:rsidRDefault="00A620F1">
      <w:pPr>
        <w:spacing w:line="360" w:lineRule="auto"/>
        <w:jc w:val="both"/>
        <w:rPr>
          <w:rFonts w:ascii="Palatino Linotype" w:eastAsia="Palatino Linotype" w:hAnsi="Palatino Linotype" w:cs="Palatino Linotype"/>
        </w:rPr>
      </w:pPr>
    </w:p>
    <w:p w:rsidR="00A620F1" w:rsidRPr="00AB0024" w:rsidRDefault="00C85659">
      <w:pPr>
        <w:spacing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AB0024">
        <w:rPr>
          <w:rFonts w:ascii="Palatino Linotype" w:eastAsia="Palatino Linotype" w:hAnsi="Palatino Linotype" w:cs="Palatino Linotype"/>
        </w:rPr>
        <w:lastRenderedPageBreak/>
        <w:t>en el menor tiempo posible, tomando en consideración la dilación total del procedimiento; esto es, en un plazo razonable.</w:t>
      </w:r>
    </w:p>
    <w:p w:rsidR="00A620F1" w:rsidRPr="00AB0024" w:rsidRDefault="00A620F1">
      <w:pPr>
        <w:spacing w:line="360" w:lineRule="auto"/>
        <w:jc w:val="both"/>
        <w:rPr>
          <w:rFonts w:ascii="Palatino Linotype" w:eastAsia="Palatino Linotype" w:hAnsi="Palatino Linotype" w:cs="Palatino Linotype"/>
        </w:rPr>
      </w:pPr>
    </w:p>
    <w:p w:rsidR="00A620F1" w:rsidRPr="00AB0024" w:rsidRDefault="00C85659">
      <w:pPr>
        <w:spacing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A620F1" w:rsidRPr="00AB0024" w:rsidRDefault="00A620F1">
      <w:pPr>
        <w:spacing w:line="360" w:lineRule="auto"/>
        <w:jc w:val="both"/>
        <w:rPr>
          <w:rFonts w:ascii="Palatino Linotype" w:eastAsia="Palatino Linotype" w:hAnsi="Palatino Linotype" w:cs="Palatino Linotype"/>
        </w:rPr>
      </w:pPr>
    </w:p>
    <w:p w:rsidR="00A620F1" w:rsidRPr="00AB0024" w:rsidRDefault="00C85659">
      <w:pPr>
        <w:spacing w:line="360" w:lineRule="auto"/>
        <w:jc w:val="both"/>
        <w:rPr>
          <w:rFonts w:ascii="Palatino Linotype" w:eastAsia="Palatino Linotype" w:hAnsi="Palatino Linotype" w:cs="Palatino Linotype"/>
          <w:strike/>
          <w:color w:val="FF0000"/>
        </w:rPr>
      </w:pPr>
      <w:r w:rsidRPr="00AB002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A620F1" w:rsidRPr="00AB0024" w:rsidRDefault="00A620F1">
      <w:pPr>
        <w:spacing w:line="360" w:lineRule="auto"/>
        <w:jc w:val="both"/>
        <w:rPr>
          <w:rFonts w:ascii="Palatino Linotype" w:eastAsia="Palatino Linotype" w:hAnsi="Palatino Linotype" w:cs="Palatino Linotype"/>
        </w:rPr>
      </w:pPr>
    </w:p>
    <w:p w:rsidR="00A620F1" w:rsidRPr="00AB0024" w:rsidRDefault="00C85659">
      <w:pPr>
        <w:numPr>
          <w:ilvl w:val="0"/>
          <w:numId w:val="5"/>
        </w:numPr>
        <w:spacing w:line="360" w:lineRule="auto"/>
        <w:ind w:left="567" w:right="900" w:hanging="283"/>
        <w:jc w:val="both"/>
        <w:rPr>
          <w:rFonts w:ascii="Palatino Linotype" w:eastAsia="Palatino Linotype" w:hAnsi="Palatino Linotype" w:cs="Palatino Linotype"/>
        </w:rPr>
      </w:pPr>
      <w:r w:rsidRPr="00AB0024">
        <w:rPr>
          <w:rFonts w:ascii="Palatino Linotype" w:eastAsia="Palatino Linotype" w:hAnsi="Palatino Linotype" w:cs="Palatino Linotype"/>
          <w:b/>
        </w:rPr>
        <w:t>Complejidad del Asunto:</w:t>
      </w:r>
      <w:r w:rsidRPr="00AB0024">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A620F1" w:rsidRPr="00AB0024" w:rsidRDefault="00A620F1">
      <w:pPr>
        <w:spacing w:line="360" w:lineRule="auto"/>
        <w:ind w:left="567" w:right="900" w:hanging="283"/>
        <w:jc w:val="both"/>
        <w:rPr>
          <w:rFonts w:ascii="Palatino Linotype" w:eastAsia="Palatino Linotype" w:hAnsi="Palatino Linotype" w:cs="Palatino Linotype"/>
        </w:rPr>
      </w:pPr>
    </w:p>
    <w:p w:rsidR="00A620F1" w:rsidRPr="00AB0024" w:rsidRDefault="00C85659">
      <w:pPr>
        <w:numPr>
          <w:ilvl w:val="0"/>
          <w:numId w:val="5"/>
        </w:numPr>
        <w:spacing w:line="360" w:lineRule="auto"/>
        <w:ind w:left="567" w:right="900" w:hanging="283"/>
        <w:jc w:val="both"/>
        <w:rPr>
          <w:rFonts w:ascii="Palatino Linotype" w:eastAsia="Palatino Linotype" w:hAnsi="Palatino Linotype" w:cs="Palatino Linotype"/>
        </w:rPr>
      </w:pPr>
      <w:r w:rsidRPr="00AB0024">
        <w:rPr>
          <w:rFonts w:ascii="Palatino Linotype" w:eastAsia="Palatino Linotype" w:hAnsi="Palatino Linotype" w:cs="Palatino Linotype"/>
          <w:b/>
        </w:rPr>
        <w:t>Actividad Procesal del interesado</w:t>
      </w:r>
      <w:r w:rsidRPr="00AB0024">
        <w:rPr>
          <w:rFonts w:ascii="Palatino Linotype" w:eastAsia="Palatino Linotype" w:hAnsi="Palatino Linotype" w:cs="Palatino Linotype"/>
        </w:rPr>
        <w:t>. Acciones u omisiones del interesado.</w:t>
      </w:r>
    </w:p>
    <w:p w:rsidR="00A620F1" w:rsidRPr="00AB0024" w:rsidRDefault="00A620F1">
      <w:pPr>
        <w:spacing w:line="360" w:lineRule="auto"/>
        <w:ind w:left="567" w:right="900" w:hanging="283"/>
        <w:jc w:val="both"/>
        <w:rPr>
          <w:rFonts w:ascii="Palatino Linotype" w:eastAsia="Palatino Linotype" w:hAnsi="Palatino Linotype" w:cs="Palatino Linotype"/>
          <w:b/>
        </w:rPr>
      </w:pPr>
    </w:p>
    <w:p w:rsidR="00A620F1" w:rsidRPr="00AB0024" w:rsidRDefault="00C85659">
      <w:pPr>
        <w:numPr>
          <w:ilvl w:val="0"/>
          <w:numId w:val="5"/>
        </w:numPr>
        <w:spacing w:line="360" w:lineRule="auto"/>
        <w:ind w:left="567" w:right="900" w:hanging="283"/>
        <w:jc w:val="both"/>
        <w:rPr>
          <w:rFonts w:ascii="Palatino Linotype" w:eastAsia="Palatino Linotype" w:hAnsi="Palatino Linotype" w:cs="Palatino Linotype"/>
        </w:rPr>
      </w:pPr>
      <w:r w:rsidRPr="00AB0024">
        <w:rPr>
          <w:rFonts w:ascii="Palatino Linotype" w:eastAsia="Palatino Linotype" w:hAnsi="Palatino Linotype" w:cs="Palatino Linotype"/>
          <w:b/>
        </w:rPr>
        <w:t>Conducta de la Autoridad:</w:t>
      </w:r>
      <w:r w:rsidRPr="00AB0024">
        <w:rPr>
          <w:rFonts w:ascii="Palatino Linotype" w:eastAsia="Palatino Linotype" w:hAnsi="Palatino Linotype" w:cs="Palatino Linotype"/>
        </w:rPr>
        <w:t xml:space="preserve"> Las Acciones u omisiones realizadas en el procedimiento. Así como si la autoridad actuó con la debida diligencia.</w:t>
      </w:r>
    </w:p>
    <w:p w:rsidR="00A620F1" w:rsidRPr="00AB0024" w:rsidRDefault="00A620F1">
      <w:pPr>
        <w:spacing w:line="360" w:lineRule="auto"/>
        <w:ind w:left="567" w:right="900" w:hanging="283"/>
        <w:rPr>
          <w:rFonts w:ascii="Palatino Linotype" w:eastAsia="Palatino Linotype" w:hAnsi="Palatino Linotype" w:cs="Palatino Linotype"/>
        </w:rPr>
      </w:pPr>
    </w:p>
    <w:p w:rsidR="00A620F1" w:rsidRPr="00AB0024" w:rsidRDefault="00C85659">
      <w:pPr>
        <w:spacing w:line="360" w:lineRule="auto"/>
        <w:ind w:left="567" w:right="900" w:hanging="283"/>
        <w:jc w:val="both"/>
        <w:rPr>
          <w:rFonts w:ascii="Palatino Linotype" w:eastAsia="Palatino Linotype" w:hAnsi="Palatino Linotype" w:cs="Palatino Linotype"/>
        </w:rPr>
      </w:pPr>
      <w:r w:rsidRPr="00AB0024">
        <w:rPr>
          <w:rFonts w:ascii="Palatino Linotype" w:eastAsia="Palatino Linotype" w:hAnsi="Palatino Linotype" w:cs="Palatino Linotype"/>
          <w:b/>
        </w:rPr>
        <w:lastRenderedPageBreak/>
        <w:t>d) La afectación generada en la situación jurídica de la persona involucrada en el proceso:</w:t>
      </w:r>
      <w:r w:rsidRPr="00AB0024">
        <w:rPr>
          <w:rFonts w:ascii="Palatino Linotype" w:eastAsia="Palatino Linotype" w:hAnsi="Palatino Linotype" w:cs="Palatino Linotype"/>
        </w:rPr>
        <w:t xml:space="preserve"> Violación a sus derechos humanos.</w:t>
      </w:r>
    </w:p>
    <w:p w:rsidR="00A620F1" w:rsidRPr="00AB0024" w:rsidRDefault="00A620F1">
      <w:pPr>
        <w:spacing w:line="360" w:lineRule="auto"/>
        <w:jc w:val="both"/>
        <w:rPr>
          <w:rFonts w:ascii="Palatino Linotype" w:eastAsia="Palatino Linotype" w:hAnsi="Palatino Linotype" w:cs="Palatino Linotype"/>
        </w:rPr>
      </w:pPr>
    </w:p>
    <w:p w:rsidR="00A620F1" w:rsidRPr="00AB0024" w:rsidRDefault="00C85659">
      <w:pPr>
        <w:spacing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A620F1" w:rsidRPr="00AB0024" w:rsidRDefault="00A620F1">
      <w:pPr>
        <w:spacing w:line="360" w:lineRule="auto"/>
        <w:jc w:val="both"/>
        <w:rPr>
          <w:rFonts w:ascii="Palatino Linotype" w:eastAsia="Palatino Linotype" w:hAnsi="Palatino Linotype" w:cs="Palatino Linotype"/>
        </w:rPr>
      </w:pPr>
    </w:p>
    <w:p w:rsidR="00A620F1" w:rsidRPr="00AB0024" w:rsidRDefault="00C85659">
      <w:pPr>
        <w:spacing w:line="360" w:lineRule="auto"/>
        <w:jc w:val="both"/>
        <w:rPr>
          <w:rFonts w:ascii="Palatino Linotype" w:eastAsia="Palatino Linotype" w:hAnsi="Palatino Linotype" w:cs="Palatino Linotype"/>
          <w:b/>
        </w:rPr>
      </w:pPr>
      <w:r w:rsidRPr="00AB0024">
        <w:rPr>
          <w:rFonts w:ascii="Palatino Linotype" w:eastAsia="Palatino Linotype" w:hAnsi="Palatino Linotype" w:cs="Palatino Linotype"/>
        </w:rPr>
        <w:t>Argumento que encuentra sustento en la jurisprudencia P</w:t>
      </w:r>
      <w:proofErr w:type="gramStart"/>
      <w:r w:rsidRPr="00AB0024">
        <w:rPr>
          <w:rFonts w:ascii="Palatino Linotype" w:eastAsia="Palatino Linotype" w:hAnsi="Palatino Linotype" w:cs="Palatino Linotype"/>
        </w:rPr>
        <w:t>./</w:t>
      </w:r>
      <w:proofErr w:type="gramEnd"/>
      <w:r w:rsidRPr="00AB0024">
        <w:rPr>
          <w:rFonts w:ascii="Palatino Linotype" w:eastAsia="Palatino Linotype" w:hAnsi="Palatino Linotype" w:cs="Palatino Linotype"/>
        </w:rPr>
        <w:t xml:space="preserve">J. 32/92 emitida por el Pleno de la Suprema Corte de Justicia de la Nación de rubro </w:t>
      </w:r>
      <w:r w:rsidRPr="00AB002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AB0024">
        <w:rPr>
          <w:rFonts w:ascii="Palatino Linotype" w:eastAsia="Palatino Linotype" w:hAnsi="Palatino Linotype" w:cs="Palatino Linotype"/>
        </w:rPr>
        <w:t>, visible en la Gaceta del Seminario Judicial de la Federación con el registro digital 205635.</w:t>
      </w:r>
    </w:p>
    <w:p w:rsidR="00A620F1" w:rsidRPr="00AB0024" w:rsidRDefault="00A620F1">
      <w:pPr>
        <w:spacing w:line="360" w:lineRule="auto"/>
        <w:jc w:val="both"/>
        <w:rPr>
          <w:rFonts w:ascii="Palatino Linotype" w:eastAsia="Palatino Linotype" w:hAnsi="Palatino Linotype" w:cs="Palatino Linotype"/>
        </w:rPr>
      </w:pPr>
    </w:p>
    <w:p w:rsidR="00A620F1" w:rsidRPr="00AB0024" w:rsidRDefault="00C85659">
      <w:pPr>
        <w:spacing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AB0024">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rsidR="00A620F1" w:rsidRPr="00AB0024" w:rsidRDefault="00A620F1">
      <w:pPr>
        <w:spacing w:line="360" w:lineRule="auto"/>
        <w:jc w:val="both"/>
        <w:rPr>
          <w:rFonts w:ascii="Palatino Linotype" w:eastAsia="Palatino Linotype" w:hAnsi="Palatino Linotype" w:cs="Palatino Linotype"/>
        </w:rPr>
      </w:pPr>
    </w:p>
    <w:p w:rsidR="00A620F1" w:rsidRPr="00AB0024" w:rsidRDefault="00C85659">
      <w:pPr>
        <w:spacing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A620F1" w:rsidRPr="00AB0024" w:rsidRDefault="00A620F1">
      <w:pPr>
        <w:spacing w:line="360" w:lineRule="auto"/>
        <w:jc w:val="both"/>
        <w:rPr>
          <w:rFonts w:ascii="Palatino Linotype" w:eastAsia="Palatino Linotype" w:hAnsi="Palatino Linotype" w:cs="Palatino Linotype"/>
        </w:rPr>
      </w:pPr>
    </w:p>
    <w:p w:rsidR="00A620F1" w:rsidRPr="00AB0024" w:rsidRDefault="00C85659">
      <w:pPr>
        <w:spacing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rPr>
        <w:t xml:space="preserve"> </w:t>
      </w:r>
      <w:r w:rsidRPr="00AB0024">
        <w:rPr>
          <w:rFonts w:ascii="Palatino Linotype" w:eastAsia="Palatino Linotype" w:hAnsi="Palatino Linotype" w:cs="Palatino Linotype"/>
          <w:i/>
        </w:rPr>
        <w:t>“PLAZO RAZONABLE PARA RESOLVER. DIMENSIÓN Y EFECTOS DE ESTE CONCEPTO CUANDO SE ADUCE EXCESIVA CARGA DE TRABAJO.”</w:t>
      </w:r>
      <w:r w:rsidRPr="00AB0024">
        <w:rPr>
          <w:rFonts w:ascii="Palatino Linotype" w:eastAsia="Palatino Linotype" w:hAnsi="Palatino Linotype" w:cs="Palatino Linotype"/>
        </w:rPr>
        <w:t xml:space="preserve"> consultable en el Seminario Judicial de la Federación y su gaceta, con el registro digital 2002351.</w:t>
      </w:r>
    </w:p>
    <w:p w:rsidR="00A620F1" w:rsidRPr="00AB0024" w:rsidRDefault="00A620F1">
      <w:pPr>
        <w:spacing w:line="360" w:lineRule="auto"/>
        <w:jc w:val="both"/>
        <w:rPr>
          <w:rFonts w:ascii="Palatino Linotype" w:eastAsia="Palatino Linotype" w:hAnsi="Palatino Linotype" w:cs="Palatino Linotype"/>
          <w:b/>
        </w:rPr>
      </w:pPr>
    </w:p>
    <w:p w:rsidR="00A620F1" w:rsidRPr="00AB0024" w:rsidRDefault="00C85659">
      <w:pPr>
        <w:spacing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i/>
        </w:rPr>
        <w:t>“PLAZO RAZONABLE PARA RESOLVER. CONCEPTO Y ELEMENTOS QUE LO INTEGRAN A LA LUZ DEL DERECHO INTERNACIONAL DE LOS DERECHOS HUMANOS.”</w:t>
      </w:r>
      <w:r w:rsidRPr="00AB0024">
        <w:rPr>
          <w:rFonts w:ascii="Palatino Linotype" w:eastAsia="Palatino Linotype" w:hAnsi="Palatino Linotype" w:cs="Palatino Linotype"/>
        </w:rPr>
        <w:t>, visible en el Seminario Judicial de la Federación y su gaceta, con el registro digital 2002350.</w:t>
      </w:r>
    </w:p>
    <w:p w:rsidR="00A620F1" w:rsidRPr="00AB0024" w:rsidRDefault="00A620F1">
      <w:pPr>
        <w:spacing w:line="360" w:lineRule="auto"/>
        <w:jc w:val="both"/>
        <w:rPr>
          <w:rFonts w:ascii="Palatino Linotype" w:eastAsia="Palatino Linotype" w:hAnsi="Palatino Linotype" w:cs="Palatino Linotype"/>
        </w:rPr>
      </w:pPr>
    </w:p>
    <w:p w:rsidR="00A620F1" w:rsidRPr="00AB0024" w:rsidRDefault="00C85659">
      <w:pPr>
        <w:spacing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A620F1" w:rsidRPr="00AB0024" w:rsidRDefault="00A620F1">
      <w:pPr>
        <w:widowControl w:val="0"/>
        <w:spacing w:line="360" w:lineRule="auto"/>
        <w:ind w:right="49"/>
        <w:jc w:val="both"/>
        <w:rPr>
          <w:rFonts w:ascii="Palatino Linotype" w:eastAsia="Palatino Linotype" w:hAnsi="Palatino Linotype" w:cs="Palatino Linotype"/>
        </w:rPr>
      </w:pPr>
    </w:p>
    <w:p w:rsidR="00A620F1" w:rsidRPr="00AB0024" w:rsidRDefault="00C85659">
      <w:pPr>
        <w:widowControl w:val="0"/>
        <w:spacing w:line="360" w:lineRule="auto"/>
        <w:ind w:right="49"/>
        <w:jc w:val="both"/>
        <w:rPr>
          <w:rFonts w:ascii="Palatino Linotype" w:eastAsia="Palatino Linotype" w:hAnsi="Palatino Linotype" w:cs="Palatino Linotype"/>
          <w:b/>
        </w:rPr>
      </w:pPr>
      <w:r w:rsidRPr="00AB0024">
        <w:rPr>
          <w:rFonts w:ascii="Palatino Linotype" w:eastAsia="Palatino Linotype" w:hAnsi="Palatino Linotype" w:cs="Palatino Linotype"/>
          <w:b/>
        </w:rPr>
        <w:t>8.</w:t>
      </w:r>
      <w:r w:rsidRPr="00AB0024">
        <w:rPr>
          <w:rFonts w:ascii="Palatino Linotype" w:eastAsia="Palatino Linotype" w:hAnsi="Palatino Linotype" w:cs="Palatino Linotype"/>
        </w:rPr>
        <w:t xml:space="preserve"> </w:t>
      </w:r>
      <w:r w:rsidRPr="00AB0024">
        <w:rPr>
          <w:rFonts w:ascii="Palatino Linotype" w:eastAsia="Palatino Linotype" w:hAnsi="Palatino Linotype" w:cs="Palatino Linotype"/>
          <w:b/>
        </w:rPr>
        <w:t xml:space="preserve">Cierre de instrucción. </w:t>
      </w:r>
      <w:r w:rsidRPr="00AB0024">
        <w:rPr>
          <w:rFonts w:ascii="Palatino Linotype" w:eastAsia="Palatino Linotype" w:hAnsi="Palatino Linotype" w:cs="Palatino Linotype"/>
        </w:rPr>
        <w:t xml:space="preserve">Una vez transcurrido el periodo otorgado a las partes para realizar sus manifestaciones y no habiendo documentos que integrar al expediente, </w:t>
      </w:r>
      <w:r w:rsidRPr="00AB0024">
        <w:rPr>
          <w:rFonts w:ascii="Palatino Linotype" w:eastAsia="Palatino Linotype" w:hAnsi="Palatino Linotype" w:cs="Palatino Linotype"/>
        </w:rPr>
        <w:lastRenderedPageBreak/>
        <w:t xml:space="preserve">con fecha </w:t>
      </w:r>
      <w:r w:rsidRPr="00AB0024">
        <w:rPr>
          <w:rFonts w:ascii="Palatino Linotype" w:eastAsia="Palatino Linotype" w:hAnsi="Palatino Linotype" w:cs="Palatino Linotype"/>
          <w:b/>
        </w:rPr>
        <w:t xml:space="preserve">diecinueve </w:t>
      </w:r>
      <w:r w:rsidRPr="00AB0024">
        <w:rPr>
          <w:rFonts w:ascii="Palatino Linotype" w:eastAsia="Palatino Linotype" w:hAnsi="Palatino Linotype" w:cs="Palatino Linotype"/>
          <w:b/>
          <w:color w:val="000000"/>
        </w:rPr>
        <w:t>de octubre de dos mil veintitrés</w:t>
      </w:r>
      <w:r w:rsidRPr="00AB0024">
        <w:rPr>
          <w:rFonts w:ascii="Palatino Linotype" w:eastAsia="Palatino Linotype" w:hAnsi="Palatino Linotype" w:cs="Palatino Linotype"/>
          <w:color w:val="000000"/>
        </w:rPr>
        <w:t xml:space="preserve">, </w:t>
      </w:r>
      <w:r w:rsidRPr="00AB0024">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rsidR="00A620F1" w:rsidRPr="00AB0024" w:rsidRDefault="00C85659">
      <w:pPr>
        <w:spacing w:before="240" w:after="240"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A620F1" w:rsidRPr="00AB0024" w:rsidRDefault="00C85659">
      <w:pPr>
        <w:widowControl w:val="0"/>
        <w:spacing w:line="360" w:lineRule="auto"/>
        <w:jc w:val="center"/>
        <w:rPr>
          <w:rFonts w:ascii="Palatino Linotype" w:eastAsia="Palatino Linotype" w:hAnsi="Palatino Linotype" w:cs="Palatino Linotype"/>
          <w:b/>
        </w:rPr>
      </w:pPr>
      <w:r w:rsidRPr="00AB0024">
        <w:rPr>
          <w:rFonts w:ascii="Palatino Linotype" w:eastAsia="Palatino Linotype" w:hAnsi="Palatino Linotype" w:cs="Palatino Linotype"/>
          <w:b/>
        </w:rPr>
        <w:t>II. C O N S I D E R A N D O S</w:t>
      </w:r>
    </w:p>
    <w:p w:rsidR="00A620F1" w:rsidRPr="00AB0024" w:rsidRDefault="00A620F1">
      <w:pPr>
        <w:widowControl w:val="0"/>
        <w:spacing w:line="360" w:lineRule="auto"/>
        <w:jc w:val="center"/>
        <w:rPr>
          <w:rFonts w:ascii="Palatino Linotype" w:eastAsia="Palatino Linotype" w:hAnsi="Palatino Linotype" w:cs="Palatino Linotype"/>
          <w:b/>
        </w:rPr>
      </w:pPr>
    </w:p>
    <w:p w:rsidR="00A620F1" w:rsidRPr="00AB0024" w:rsidRDefault="00C85659">
      <w:pPr>
        <w:spacing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b/>
        </w:rPr>
        <w:t>Primero. Competencia.</w:t>
      </w:r>
      <w:r w:rsidRPr="00AB0024">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A620F1" w:rsidRPr="00AB0024" w:rsidRDefault="00C85659">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AB0024">
        <w:rPr>
          <w:rFonts w:ascii="Palatino Linotype" w:eastAsia="Palatino Linotype" w:hAnsi="Palatino Linotype" w:cs="Palatino Linotype"/>
          <w:b/>
        </w:rPr>
        <w:t xml:space="preserve">Segundo. Oportunidad y </w:t>
      </w:r>
      <w:proofErr w:type="spellStart"/>
      <w:r w:rsidRPr="00AB0024">
        <w:rPr>
          <w:rFonts w:ascii="Palatino Linotype" w:eastAsia="Palatino Linotype" w:hAnsi="Palatino Linotype" w:cs="Palatino Linotype"/>
          <w:b/>
        </w:rPr>
        <w:t>Procedibilidad</w:t>
      </w:r>
      <w:proofErr w:type="spellEnd"/>
      <w:r w:rsidRPr="00AB0024">
        <w:rPr>
          <w:rFonts w:ascii="Palatino Linotype" w:eastAsia="Palatino Linotype" w:hAnsi="Palatino Linotype" w:cs="Palatino Linotype"/>
          <w:b/>
        </w:rPr>
        <w:t xml:space="preserve"> del Recurso de Revisión. </w:t>
      </w:r>
      <w:r w:rsidRPr="00AB0024">
        <w:rPr>
          <w:rFonts w:ascii="Palatino Linotype" w:eastAsia="Palatino Linotype" w:hAnsi="Palatino Linotype" w:cs="Palatino Linotype"/>
        </w:rPr>
        <w:t xml:space="preserve">Previo al estudio del fondo del asunto, se procede a analizar los requisitos de oportunidad y </w:t>
      </w:r>
      <w:proofErr w:type="spellStart"/>
      <w:r w:rsidRPr="00AB0024">
        <w:rPr>
          <w:rFonts w:ascii="Palatino Linotype" w:eastAsia="Palatino Linotype" w:hAnsi="Palatino Linotype" w:cs="Palatino Linotype"/>
        </w:rPr>
        <w:t>procedibilidad</w:t>
      </w:r>
      <w:proofErr w:type="spellEnd"/>
      <w:r w:rsidRPr="00AB0024">
        <w:rPr>
          <w:rFonts w:ascii="Palatino Linotype" w:eastAsia="Palatino Linotype" w:hAnsi="Palatino Linotype" w:cs="Palatino Linotype"/>
        </w:rPr>
        <w:t xml:space="preserve"> que debe reunir el recurso de revisión interpuesto, previstos en los </w:t>
      </w:r>
      <w:r w:rsidRPr="00AB0024">
        <w:rPr>
          <w:rFonts w:ascii="Palatino Linotype" w:eastAsia="Palatino Linotype" w:hAnsi="Palatino Linotype" w:cs="Palatino Linotype"/>
        </w:rPr>
        <w:lastRenderedPageBreak/>
        <w:t>artículos 178 y 180 de la Ley de Transparencia y Acceso a la Información Pública del Estado de México y Municipios.</w:t>
      </w:r>
    </w:p>
    <w:p w:rsidR="00A620F1" w:rsidRPr="00AB0024" w:rsidRDefault="00C85659">
      <w:pPr>
        <w:spacing w:before="240" w:after="240"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rPr>
        <w:t>Al respecto la Ley de Transparencia y Acceso a la Información Pública del Estado de México y Municipios, establece lo siguiente:</w:t>
      </w:r>
    </w:p>
    <w:p w:rsidR="00A620F1" w:rsidRPr="00AB0024" w:rsidRDefault="00C85659">
      <w:pPr>
        <w:ind w:left="851" w:right="900"/>
        <w:jc w:val="both"/>
        <w:rPr>
          <w:rFonts w:ascii="Palatino Linotype" w:eastAsia="Palatino Linotype" w:hAnsi="Palatino Linotype" w:cs="Palatino Linotype"/>
          <w:i/>
          <w:sz w:val="28"/>
          <w:szCs w:val="28"/>
        </w:rPr>
      </w:pPr>
      <w:r w:rsidRPr="00AB0024">
        <w:rPr>
          <w:rFonts w:ascii="Palatino Linotype" w:eastAsia="Palatino Linotype" w:hAnsi="Palatino Linotype" w:cs="Palatino Linotype"/>
          <w:b/>
          <w:i/>
          <w:sz w:val="22"/>
          <w:szCs w:val="22"/>
        </w:rPr>
        <w:t xml:space="preserve">“Artículo 178. </w:t>
      </w:r>
      <w:r w:rsidRPr="00AB0024">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620F1" w:rsidRPr="00AB0024" w:rsidRDefault="00C85659">
      <w:pPr>
        <w:spacing w:before="240" w:after="240"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AB0024">
        <w:rPr>
          <w:rFonts w:ascii="Palatino Linotype" w:eastAsia="Palatino Linotype" w:hAnsi="Palatino Linotype" w:cs="Palatino Linotype"/>
          <w:b/>
        </w:rPr>
        <w:t xml:space="preserve">Sujeto Obligado </w:t>
      </w:r>
      <w:r w:rsidRPr="00AB0024">
        <w:rPr>
          <w:rFonts w:ascii="Palatino Linotype" w:eastAsia="Palatino Linotype" w:hAnsi="Palatino Linotype" w:cs="Palatino Linotype"/>
        </w:rPr>
        <w:t xml:space="preserve">remitió la respuesta a la solicitud de información el día </w:t>
      </w:r>
      <w:r w:rsidRPr="00AB0024">
        <w:rPr>
          <w:rFonts w:ascii="Palatino Linotype" w:eastAsia="Palatino Linotype" w:hAnsi="Palatino Linotype" w:cs="Palatino Linotype"/>
          <w:b/>
        </w:rPr>
        <w:t xml:space="preserve">treinta de mayo de dos mil veintitrés, </w:t>
      </w:r>
      <w:r w:rsidRPr="00AB0024">
        <w:rPr>
          <w:rFonts w:ascii="Palatino Linotype" w:eastAsia="Palatino Linotype" w:hAnsi="Palatino Linotype" w:cs="Palatino Linotype"/>
        </w:rPr>
        <w:t xml:space="preserve">mientras que el recurso de revisión interpuesto por </w:t>
      </w:r>
      <w:r w:rsidRPr="00AB0024">
        <w:rPr>
          <w:rFonts w:ascii="Palatino Linotype" w:eastAsia="Palatino Linotype" w:hAnsi="Palatino Linotype" w:cs="Palatino Linotype"/>
          <w:b/>
        </w:rPr>
        <w:t>la parte Recurrente</w:t>
      </w:r>
      <w:r w:rsidRPr="00AB0024">
        <w:rPr>
          <w:rFonts w:ascii="Palatino Linotype" w:eastAsia="Palatino Linotype" w:hAnsi="Palatino Linotype" w:cs="Palatino Linotype"/>
        </w:rPr>
        <w:t xml:space="preserve">, se tuvo por presentado el </w:t>
      </w:r>
      <w:r w:rsidRPr="00AB0024">
        <w:rPr>
          <w:rFonts w:ascii="Palatino Linotype" w:eastAsia="Palatino Linotype" w:hAnsi="Palatino Linotype" w:cs="Palatino Linotype"/>
          <w:color w:val="000000"/>
        </w:rPr>
        <w:t xml:space="preserve">día </w:t>
      </w:r>
      <w:r w:rsidRPr="00AB0024">
        <w:rPr>
          <w:rFonts w:ascii="Palatino Linotype" w:eastAsia="Palatino Linotype" w:hAnsi="Palatino Linotype" w:cs="Palatino Linotype"/>
          <w:b/>
          <w:color w:val="000000"/>
        </w:rPr>
        <w:t>trece de junio de dos mil veintitrés</w:t>
      </w:r>
      <w:r w:rsidRPr="00AB0024">
        <w:rPr>
          <w:rFonts w:ascii="Palatino Linotype" w:eastAsia="Palatino Linotype" w:hAnsi="Palatino Linotype" w:cs="Palatino Linotype"/>
          <w:color w:val="000000"/>
        </w:rPr>
        <w:t xml:space="preserve">; esto es, al </w:t>
      </w:r>
      <w:r w:rsidRPr="00AB0024">
        <w:rPr>
          <w:rFonts w:ascii="Palatino Linotype" w:eastAsia="Palatino Linotype" w:hAnsi="Palatino Linotype" w:cs="Palatino Linotype"/>
          <w:b/>
          <w:color w:val="000000"/>
        </w:rPr>
        <w:t xml:space="preserve">décimo día hábil siguiente </w:t>
      </w:r>
      <w:r w:rsidRPr="00AB0024">
        <w:rPr>
          <w:rFonts w:ascii="Palatino Linotype" w:eastAsia="Palatino Linotype" w:hAnsi="Palatino Linotype" w:cs="Palatino Linotype"/>
        </w:rPr>
        <w:t xml:space="preserve">en que tuvo conocimiento de la respuesta impugnada. </w:t>
      </w:r>
    </w:p>
    <w:p w:rsidR="00A620F1" w:rsidRPr="00AB0024" w:rsidRDefault="00C85659">
      <w:pPr>
        <w:spacing w:before="240" w:after="240" w:line="360" w:lineRule="auto"/>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En este sentido, al considerar la fecha en que se formuló la solicitud y la fecha en que respondió a esta el </w:t>
      </w:r>
      <w:r w:rsidRPr="00AB0024">
        <w:rPr>
          <w:rFonts w:ascii="Palatino Linotype" w:eastAsia="Palatino Linotype" w:hAnsi="Palatino Linotype" w:cs="Palatino Linotype"/>
          <w:b/>
          <w:color w:val="000000"/>
        </w:rPr>
        <w:t>Sujeto Obligado</w:t>
      </w:r>
      <w:r w:rsidRPr="00AB0024">
        <w:rPr>
          <w:rFonts w:ascii="Palatino Linotype" w:eastAsia="Palatino Linotype" w:hAnsi="Palatino Linotype" w:cs="Palatino Linotype"/>
          <w:color w:val="000000"/>
        </w:rPr>
        <w:t>; así como la fecha en que se interpuso el recurso de revisión, se concluye que el presente recurso de revisión se encuentra dentro de los márgenes temporales previstos las disposiciones legales referidas.</w:t>
      </w:r>
    </w:p>
    <w:p w:rsidR="00A620F1" w:rsidRPr="00AB0024" w:rsidRDefault="00C85659">
      <w:pPr>
        <w:spacing w:before="240" w:after="240"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rPr>
        <w:lastRenderedPageBreak/>
        <w:t xml:space="preserve">Así también, por cuanto hace a la </w:t>
      </w:r>
      <w:proofErr w:type="spellStart"/>
      <w:r w:rsidRPr="00AB0024">
        <w:rPr>
          <w:rFonts w:ascii="Palatino Linotype" w:eastAsia="Palatino Linotype" w:hAnsi="Palatino Linotype" w:cs="Palatino Linotype"/>
        </w:rPr>
        <w:t>procedibilidad</w:t>
      </w:r>
      <w:proofErr w:type="spellEnd"/>
      <w:r w:rsidRPr="00AB0024">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A620F1" w:rsidRPr="00AB0024" w:rsidRDefault="00C85659">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Ahora bien, resulta procedente la interposición del recurso, según lo aducido por la parte recurrente en sus razones o motivos de inconformidad, de acuerdo al artículo 179, fracciones III, IV, V, VII, XI, XII y XIII de la Ley de Transparencia y Acceso a la Información Pública del Estado de México y Municipios; que a la letra dice:</w:t>
      </w:r>
    </w:p>
    <w:p w:rsidR="00A620F1" w:rsidRPr="00AB0024" w:rsidRDefault="00C8565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b/>
          <w:i/>
          <w:color w:val="000000"/>
          <w:sz w:val="22"/>
          <w:szCs w:val="22"/>
        </w:rPr>
        <w:t>“Artículo 179</w:t>
      </w:r>
      <w:r w:rsidRPr="00AB0024">
        <w:rPr>
          <w:rFonts w:ascii="Palatino Linotype" w:eastAsia="Palatino Linotype" w:hAnsi="Palatino Linotype" w:cs="Palatino Linotype"/>
          <w:i/>
          <w:color w:val="000000"/>
          <w:sz w:val="22"/>
          <w:szCs w:val="22"/>
        </w:rPr>
        <w:t xml:space="preserve">. </w:t>
      </w:r>
      <w:r w:rsidRPr="00AB0024">
        <w:rPr>
          <w:rFonts w:ascii="Palatino Linotype" w:eastAsia="Palatino Linotype" w:hAnsi="Palatino Linotype" w:cs="Palatino Linotype"/>
          <w:b/>
          <w:i/>
          <w:color w:val="000000"/>
          <w:sz w:val="22"/>
          <w:szCs w:val="22"/>
        </w:rPr>
        <w:t>El recurso de revisión</w:t>
      </w:r>
      <w:r w:rsidRPr="00AB0024">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sidRPr="00AB0024">
        <w:rPr>
          <w:rFonts w:ascii="Palatino Linotype" w:eastAsia="Palatino Linotype" w:hAnsi="Palatino Linotype" w:cs="Palatino Linotype"/>
          <w:b/>
          <w:i/>
          <w:color w:val="000000"/>
          <w:sz w:val="22"/>
          <w:szCs w:val="22"/>
        </w:rPr>
        <w:t>, y procederá en contra de las siguientes causas</w:t>
      </w:r>
      <w:r w:rsidRPr="00AB0024">
        <w:rPr>
          <w:rFonts w:ascii="Palatino Linotype" w:eastAsia="Palatino Linotype" w:hAnsi="Palatino Linotype" w:cs="Palatino Linotype"/>
          <w:i/>
          <w:color w:val="000000"/>
          <w:sz w:val="22"/>
          <w:szCs w:val="22"/>
        </w:rPr>
        <w:t>:</w:t>
      </w:r>
    </w:p>
    <w:p w:rsidR="00A620F1" w:rsidRPr="00AB0024" w:rsidRDefault="00C8565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w:t>
      </w:r>
    </w:p>
    <w:p w:rsidR="00A620F1" w:rsidRPr="00AB0024" w:rsidRDefault="00C8565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color w:val="000000"/>
          <w:sz w:val="22"/>
          <w:szCs w:val="22"/>
        </w:rPr>
      </w:pPr>
      <w:r w:rsidRPr="00AB0024">
        <w:rPr>
          <w:rFonts w:ascii="Palatino Linotype" w:eastAsia="Palatino Linotype" w:hAnsi="Palatino Linotype" w:cs="Palatino Linotype"/>
          <w:b/>
          <w:i/>
          <w:color w:val="000000"/>
          <w:sz w:val="22"/>
          <w:szCs w:val="22"/>
        </w:rPr>
        <w:t>III. La declaración de inexistencia de la información;</w:t>
      </w:r>
    </w:p>
    <w:p w:rsidR="00A620F1" w:rsidRPr="00AB0024" w:rsidRDefault="00C8565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color w:val="000000"/>
          <w:sz w:val="22"/>
          <w:szCs w:val="22"/>
        </w:rPr>
      </w:pPr>
      <w:r w:rsidRPr="00AB0024">
        <w:rPr>
          <w:rFonts w:ascii="Palatino Linotype" w:eastAsia="Palatino Linotype" w:hAnsi="Palatino Linotype" w:cs="Palatino Linotype"/>
          <w:b/>
          <w:i/>
          <w:color w:val="000000"/>
          <w:sz w:val="22"/>
          <w:szCs w:val="22"/>
        </w:rPr>
        <w:t>IV. La declaración de incompetencia por el sujeto obligado;</w:t>
      </w:r>
    </w:p>
    <w:p w:rsidR="00A620F1" w:rsidRPr="00AB0024" w:rsidRDefault="00C8565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b/>
          <w:i/>
          <w:color w:val="000000"/>
          <w:sz w:val="22"/>
          <w:szCs w:val="22"/>
        </w:rPr>
        <w:t>V. La entrega de información incompleta</w:t>
      </w:r>
      <w:r w:rsidRPr="00AB0024">
        <w:rPr>
          <w:rFonts w:ascii="Palatino Linotype" w:eastAsia="Palatino Linotype" w:hAnsi="Palatino Linotype" w:cs="Palatino Linotype"/>
          <w:i/>
          <w:color w:val="000000"/>
          <w:sz w:val="22"/>
          <w:szCs w:val="22"/>
        </w:rPr>
        <w:t>;</w:t>
      </w:r>
    </w:p>
    <w:p w:rsidR="00A620F1" w:rsidRPr="00AB0024" w:rsidRDefault="00C8565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w:t>
      </w:r>
    </w:p>
    <w:p w:rsidR="00A620F1" w:rsidRPr="00AB0024" w:rsidRDefault="00C8565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color w:val="000000"/>
          <w:sz w:val="22"/>
          <w:szCs w:val="22"/>
        </w:rPr>
      </w:pPr>
      <w:r w:rsidRPr="00AB0024">
        <w:rPr>
          <w:rFonts w:ascii="Palatino Linotype" w:eastAsia="Palatino Linotype" w:hAnsi="Palatino Linotype" w:cs="Palatino Linotype"/>
          <w:b/>
          <w:i/>
          <w:color w:val="000000"/>
          <w:sz w:val="22"/>
          <w:szCs w:val="22"/>
        </w:rPr>
        <w:t>VII. La falta de respuesta a una solicitud de acceso a la información;</w:t>
      </w:r>
    </w:p>
    <w:p w:rsidR="00A620F1" w:rsidRPr="00AB0024" w:rsidRDefault="00C8565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w:t>
      </w:r>
    </w:p>
    <w:p w:rsidR="00A620F1" w:rsidRPr="00AB0024" w:rsidRDefault="00C8565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color w:val="000000"/>
          <w:sz w:val="22"/>
          <w:szCs w:val="22"/>
        </w:rPr>
      </w:pPr>
      <w:r w:rsidRPr="00AB0024">
        <w:rPr>
          <w:rFonts w:ascii="Palatino Linotype" w:eastAsia="Palatino Linotype" w:hAnsi="Palatino Linotype" w:cs="Palatino Linotype"/>
          <w:b/>
          <w:i/>
          <w:color w:val="000000"/>
          <w:sz w:val="22"/>
          <w:szCs w:val="22"/>
        </w:rPr>
        <w:t>XI. La falta de trámite a una solicitud;</w:t>
      </w:r>
    </w:p>
    <w:p w:rsidR="00A620F1" w:rsidRPr="00AB0024" w:rsidRDefault="00C8565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color w:val="000000"/>
          <w:sz w:val="22"/>
          <w:szCs w:val="22"/>
        </w:rPr>
      </w:pPr>
      <w:r w:rsidRPr="00AB0024">
        <w:rPr>
          <w:rFonts w:ascii="Palatino Linotype" w:eastAsia="Palatino Linotype" w:hAnsi="Palatino Linotype" w:cs="Palatino Linotype"/>
          <w:b/>
          <w:i/>
          <w:color w:val="000000"/>
          <w:sz w:val="22"/>
          <w:szCs w:val="22"/>
        </w:rPr>
        <w:t>XII. La negativa a permitir la consulta directa de la información;</w:t>
      </w:r>
    </w:p>
    <w:p w:rsidR="00A620F1" w:rsidRPr="00AB0024" w:rsidRDefault="00C8565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b/>
          <w:i/>
          <w:color w:val="000000"/>
          <w:sz w:val="22"/>
          <w:szCs w:val="22"/>
        </w:rPr>
        <w:lastRenderedPageBreak/>
        <w:t>XIII. La falta, deficiencia o insuficiencia de la fundamentación y/o motivación en la respuesta</w:t>
      </w:r>
      <w:r w:rsidRPr="00AB0024">
        <w:rPr>
          <w:rFonts w:ascii="Palatino Linotype" w:eastAsia="Palatino Linotype" w:hAnsi="Palatino Linotype" w:cs="Palatino Linotype"/>
          <w:i/>
          <w:color w:val="000000"/>
          <w:sz w:val="22"/>
          <w:szCs w:val="22"/>
        </w:rPr>
        <w:t>” (Énfasis añadido)</w:t>
      </w:r>
    </w:p>
    <w:p w:rsidR="00A620F1" w:rsidRPr="00AB0024" w:rsidRDefault="00C85659">
      <w:pPr>
        <w:spacing w:before="240" w:after="240"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b/>
        </w:rPr>
        <w:t xml:space="preserve">Tercero. Materia de la revisión. </w:t>
      </w:r>
      <w:r w:rsidRPr="00AB0024">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AB0024">
        <w:rPr>
          <w:rFonts w:ascii="Palatino Linotype" w:eastAsia="Palatino Linotype" w:hAnsi="Palatino Linotype" w:cs="Palatino Linotype"/>
          <w:b/>
        </w:rPr>
        <w:t xml:space="preserve">verificar si la respuesta e informe justificado otorgados por el Sujeto Obligado es adecuada y suficiente para satisfacer el derecho de acceso a la información pública </w:t>
      </w:r>
      <w:r w:rsidRPr="00AB0024">
        <w:rPr>
          <w:rFonts w:ascii="Palatino Linotype" w:eastAsia="Palatino Linotype" w:hAnsi="Palatino Linotype" w:cs="Palatino Linotype"/>
        </w:rPr>
        <w:t xml:space="preserve">de </w:t>
      </w:r>
      <w:r w:rsidRPr="00AB0024">
        <w:rPr>
          <w:rFonts w:ascii="Palatino Linotype" w:eastAsia="Palatino Linotype" w:hAnsi="Palatino Linotype" w:cs="Palatino Linotype"/>
          <w:b/>
        </w:rPr>
        <w:t>la parte Recurrente,</w:t>
      </w:r>
      <w:r w:rsidRPr="00AB0024">
        <w:rPr>
          <w:rFonts w:ascii="Palatino Linotype" w:eastAsia="Palatino Linotype" w:hAnsi="Palatino Linotype" w:cs="Palatino Linotype"/>
        </w:rPr>
        <w:t xml:space="preserve"> o en su defecto, en caso de ser procedente, ordenar la entrega de información oportuna.</w:t>
      </w:r>
    </w:p>
    <w:p w:rsidR="00A620F1" w:rsidRPr="00AB0024" w:rsidRDefault="00C85659">
      <w:pPr>
        <w:pBdr>
          <w:top w:val="nil"/>
          <w:left w:val="nil"/>
          <w:bottom w:val="nil"/>
          <w:right w:val="nil"/>
          <w:between w:val="nil"/>
        </w:pBdr>
        <w:spacing w:before="240" w:after="240" w:line="360" w:lineRule="auto"/>
        <w:jc w:val="both"/>
        <w:rPr>
          <w:color w:val="000000"/>
        </w:rPr>
      </w:pPr>
      <w:r w:rsidRPr="00AB0024">
        <w:rPr>
          <w:rFonts w:ascii="Palatino Linotype" w:eastAsia="Palatino Linotype" w:hAnsi="Palatino Linotype" w:cs="Palatino Linotype"/>
          <w:b/>
          <w:color w:val="000000"/>
        </w:rPr>
        <w:t xml:space="preserve">Cuarto. Estudio del asunto. </w:t>
      </w:r>
      <w:r w:rsidRPr="00AB0024">
        <w:rPr>
          <w:rFonts w:ascii="Palatino Linotype" w:eastAsia="Palatino Linotype" w:hAnsi="Palatino Linotype" w:cs="Palatino Linotype"/>
          <w:color w:val="000000"/>
        </w:rPr>
        <w:t xml:space="preserve">Antes de entrar al análisis de los pronunciamientos del </w:t>
      </w:r>
      <w:r w:rsidRPr="00AB0024">
        <w:rPr>
          <w:rFonts w:ascii="Palatino Linotype" w:eastAsia="Palatino Linotype" w:hAnsi="Palatino Linotype" w:cs="Palatino Linotype"/>
          <w:b/>
          <w:color w:val="000000"/>
        </w:rPr>
        <w:t>Sujeto Obligado</w:t>
      </w:r>
      <w:r w:rsidRPr="00AB0024">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A620F1" w:rsidRPr="00AB0024" w:rsidRDefault="00C85659">
      <w:pPr>
        <w:pBdr>
          <w:top w:val="nil"/>
          <w:left w:val="nil"/>
          <w:bottom w:val="nil"/>
          <w:right w:val="nil"/>
          <w:between w:val="nil"/>
        </w:pBdr>
        <w:spacing w:before="240" w:after="240"/>
        <w:ind w:left="851" w:right="850"/>
        <w:jc w:val="both"/>
        <w:rPr>
          <w:color w:val="000000"/>
        </w:rPr>
      </w:pPr>
      <w:r w:rsidRPr="00AB0024">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AB0024">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rsidR="00A620F1" w:rsidRPr="00AB0024" w:rsidRDefault="00C85659">
      <w:pPr>
        <w:pBdr>
          <w:top w:val="nil"/>
          <w:left w:val="nil"/>
          <w:bottom w:val="nil"/>
          <w:right w:val="nil"/>
          <w:between w:val="nil"/>
        </w:pBdr>
        <w:spacing w:before="240" w:after="240"/>
        <w:ind w:left="851" w:right="850"/>
        <w:jc w:val="both"/>
        <w:rPr>
          <w:color w:val="000000"/>
        </w:rPr>
      </w:pPr>
      <w:r w:rsidRPr="00AB0024">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rsidR="00A620F1" w:rsidRPr="00AB0024" w:rsidRDefault="00C85659">
      <w:pPr>
        <w:pBdr>
          <w:top w:val="nil"/>
          <w:left w:val="nil"/>
          <w:bottom w:val="nil"/>
          <w:right w:val="nil"/>
          <w:between w:val="nil"/>
        </w:pBdr>
        <w:spacing w:before="240" w:after="240"/>
        <w:ind w:left="851" w:right="850"/>
        <w:jc w:val="both"/>
        <w:rPr>
          <w:color w:val="000000"/>
        </w:rPr>
      </w:pPr>
      <w:r w:rsidRPr="00AB0024">
        <w:rPr>
          <w:rFonts w:ascii="Palatino Linotype" w:eastAsia="Palatino Linotype" w:hAnsi="Palatino Linotype" w:cs="Palatino Linotype"/>
          <w:b/>
          <w:i/>
          <w:color w:val="000000"/>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AB0024">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rsidR="00A620F1" w:rsidRPr="00AB0024" w:rsidRDefault="00C85659">
      <w:pPr>
        <w:pBdr>
          <w:top w:val="nil"/>
          <w:left w:val="nil"/>
          <w:bottom w:val="nil"/>
          <w:right w:val="nil"/>
          <w:between w:val="nil"/>
        </w:pBdr>
        <w:spacing w:before="240" w:after="240"/>
        <w:ind w:left="851" w:right="850"/>
        <w:jc w:val="both"/>
        <w:rPr>
          <w:color w:val="000000"/>
        </w:rPr>
      </w:pPr>
      <w:r w:rsidRPr="00AB0024">
        <w:rPr>
          <w:rFonts w:ascii="Palatino Linotype" w:eastAsia="Palatino Linotype" w:hAnsi="Palatino Linotype" w:cs="Palatino Linotype"/>
          <w:i/>
          <w:color w:val="000000"/>
          <w:sz w:val="22"/>
          <w:szCs w:val="22"/>
        </w:rPr>
        <w:t>[…]</w:t>
      </w:r>
    </w:p>
    <w:p w:rsidR="00A620F1" w:rsidRPr="00AB0024" w:rsidRDefault="00C85659">
      <w:pPr>
        <w:pBdr>
          <w:top w:val="nil"/>
          <w:left w:val="nil"/>
          <w:bottom w:val="nil"/>
          <w:right w:val="nil"/>
          <w:between w:val="nil"/>
        </w:pBdr>
        <w:spacing w:before="240" w:after="240"/>
        <w:ind w:left="851" w:right="901"/>
        <w:jc w:val="both"/>
        <w:rPr>
          <w:color w:val="000000"/>
        </w:rPr>
      </w:pPr>
      <w:r w:rsidRPr="00AB0024">
        <w:rPr>
          <w:rFonts w:ascii="Palatino Linotype" w:eastAsia="Palatino Linotype" w:hAnsi="Palatino Linotype" w:cs="Palatino Linotype"/>
          <w:b/>
          <w:i/>
          <w:color w:val="000000"/>
          <w:sz w:val="22"/>
          <w:szCs w:val="22"/>
        </w:rPr>
        <w:t>“Artículo 6o.</w:t>
      </w:r>
    </w:p>
    <w:p w:rsidR="00A620F1" w:rsidRPr="00AB0024" w:rsidRDefault="00C85659">
      <w:pPr>
        <w:pBdr>
          <w:top w:val="nil"/>
          <w:left w:val="nil"/>
          <w:bottom w:val="nil"/>
          <w:right w:val="nil"/>
          <w:between w:val="nil"/>
        </w:pBdr>
        <w:spacing w:before="240" w:after="240"/>
        <w:ind w:left="851" w:right="901"/>
        <w:jc w:val="both"/>
        <w:rPr>
          <w:color w:val="000000"/>
        </w:rPr>
      </w:pPr>
      <w:r w:rsidRPr="00AB0024">
        <w:rPr>
          <w:rFonts w:ascii="Palatino Linotype" w:eastAsia="Palatino Linotype" w:hAnsi="Palatino Linotype" w:cs="Palatino Linotype"/>
          <w:i/>
          <w:color w:val="000000"/>
          <w:sz w:val="22"/>
          <w:szCs w:val="22"/>
        </w:rPr>
        <w:t>[...]</w:t>
      </w:r>
    </w:p>
    <w:p w:rsidR="00A620F1" w:rsidRPr="00AB0024" w:rsidRDefault="00C85659">
      <w:pPr>
        <w:pBdr>
          <w:top w:val="nil"/>
          <w:left w:val="nil"/>
          <w:bottom w:val="nil"/>
          <w:right w:val="nil"/>
          <w:between w:val="nil"/>
        </w:pBdr>
        <w:spacing w:before="240" w:after="240"/>
        <w:ind w:left="851" w:right="851"/>
        <w:jc w:val="both"/>
        <w:rPr>
          <w:color w:val="000000"/>
        </w:rPr>
      </w:pPr>
      <w:r w:rsidRPr="00AB0024">
        <w:rPr>
          <w:rFonts w:ascii="Palatino Linotype" w:eastAsia="Palatino Linotype" w:hAnsi="Palatino Linotype" w:cs="Palatino Linotype"/>
          <w:b/>
          <w:i/>
          <w:color w:val="000000"/>
          <w:sz w:val="22"/>
          <w:szCs w:val="22"/>
        </w:rPr>
        <w:t xml:space="preserve">A. Para el ejercicio del derecho de acceso a la información, la Federación y </w:t>
      </w:r>
      <w:r w:rsidRPr="00AB0024">
        <w:rPr>
          <w:rFonts w:ascii="Palatino Linotype" w:eastAsia="Palatino Linotype" w:hAnsi="Palatino Linotype" w:cs="Palatino Linotype"/>
          <w:b/>
          <w:i/>
          <w:color w:val="000000"/>
          <w:sz w:val="22"/>
          <w:szCs w:val="22"/>
          <w:u w:val="single"/>
        </w:rPr>
        <w:t>las entidades federativas</w:t>
      </w:r>
      <w:r w:rsidRPr="00AB0024">
        <w:rPr>
          <w:rFonts w:ascii="Palatino Linotype" w:eastAsia="Palatino Linotype" w:hAnsi="Palatino Linotype" w:cs="Palatino Linotype"/>
          <w:b/>
          <w:i/>
          <w:color w:val="000000"/>
          <w:sz w:val="22"/>
          <w:szCs w:val="22"/>
        </w:rPr>
        <w:t>,</w:t>
      </w:r>
      <w:r w:rsidRPr="00AB0024">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rsidR="00A620F1" w:rsidRPr="00AB0024" w:rsidRDefault="00C85659">
      <w:pPr>
        <w:pBdr>
          <w:top w:val="nil"/>
          <w:left w:val="nil"/>
          <w:bottom w:val="nil"/>
          <w:right w:val="nil"/>
          <w:between w:val="nil"/>
        </w:pBdr>
        <w:spacing w:before="240" w:after="240"/>
        <w:ind w:left="851" w:right="851"/>
        <w:jc w:val="both"/>
        <w:rPr>
          <w:color w:val="000000"/>
        </w:rPr>
      </w:pPr>
      <w:r w:rsidRPr="00AB0024">
        <w:rPr>
          <w:rFonts w:ascii="Palatino Linotype" w:eastAsia="Palatino Linotype" w:hAnsi="Palatino Linotype" w:cs="Palatino Linotype"/>
          <w:i/>
          <w:color w:val="000000"/>
          <w:sz w:val="22"/>
          <w:szCs w:val="22"/>
        </w:rPr>
        <w:t> </w:t>
      </w:r>
      <w:r w:rsidRPr="00AB0024">
        <w:rPr>
          <w:rFonts w:ascii="Palatino Linotype" w:eastAsia="Palatino Linotype" w:hAnsi="Palatino Linotype" w:cs="Palatino Linotype"/>
          <w:b/>
          <w:i/>
          <w:color w:val="000000"/>
          <w:sz w:val="22"/>
          <w:szCs w:val="22"/>
        </w:rPr>
        <w:t xml:space="preserve">I. </w:t>
      </w:r>
      <w:r w:rsidRPr="00AB0024">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sidRPr="00AB0024">
        <w:rPr>
          <w:rFonts w:ascii="Palatino Linotype" w:eastAsia="Palatino Linotype" w:hAnsi="Palatino Linotype" w:cs="Palatino Linotype"/>
          <w:i/>
          <w:color w:val="000000"/>
          <w:sz w:val="22"/>
          <w:szCs w:val="22"/>
        </w:rPr>
        <w:t xml:space="preserve"> Ejecutivo, Legislativo </w:t>
      </w:r>
      <w:r w:rsidRPr="00AB0024">
        <w:rPr>
          <w:rFonts w:ascii="Palatino Linotype" w:eastAsia="Palatino Linotype" w:hAnsi="Palatino Linotype" w:cs="Palatino Linotype"/>
          <w:b/>
          <w:i/>
          <w:color w:val="000000"/>
          <w:sz w:val="22"/>
          <w:szCs w:val="22"/>
          <w:u w:val="single"/>
        </w:rPr>
        <w:t>y Judicial</w:t>
      </w:r>
      <w:r w:rsidRPr="00AB0024">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AB0024">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sidRPr="00AB0024">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620F1" w:rsidRPr="00AB0024" w:rsidRDefault="00C85659">
      <w:pPr>
        <w:pBdr>
          <w:top w:val="nil"/>
          <w:left w:val="nil"/>
          <w:bottom w:val="nil"/>
          <w:right w:val="nil"/>
          <w:between w:val="nil"/>
        </w:pBdr>
        <w:spacing w:before="240" w:after="240"/>
        <w:ind w:left="851" w:right="851"/>
        <w:jc w:val="both"/>
        <w:rPr>
          <w:color w:val="000000"/>
        </w:rPr>
      </w:pPr>
      <w:r w:rsidRPr="00AB0024">
        <w:rPr>
          <w:rFonts w:ascii="Palatino Linotype" w:eastAsia="Palatino Linotype" w:hAnsi="Palatino Linotype" w:cs="Palatino Linotype"/>
          <w:i/>
          <w:color w:val="000000"/>
          <w:sz w:val="22"/>
          <w:szCs w:val="22"/>
        </w:rPr>
        <w:t> </w:t>
      </w:r>
      <w:r w:rsidRPr="00AB0024">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rsidR="00A620F1" w:rsidRPr="00AB0024" w:rsidRDefault="00C85659">
      <w:pPr>
        <w:pBdr>
          <w:top w:val="nil"/>
          <w:left w:val="nil"/>
          <w:bottom w:val="nil"/>
          <w:right w:val="nil"/>
          <w:between w:val="nil"/>
        </w:pBdr>
        <w:spacing w:before="240" w:after="240"/>
        <w:ind w:left="851" w:right="851"/>
        <w:jc w:val="both"/>
        <w:rPr>
          <w:color w:val="000000"/>
        </w:rPr>
      </w:pPr>
      <w:r w:rsidRPr="00AB0024">
        <w:rPr>
          <w:rFonts w:ascii="Palatino Linotype" w:eastAsia="Palatino Linotype" w:hAnsi="Palatino Linotype" w:cs="Palatino Linotype"/>
          <w:i/>
          <w:color w:val="000000"/>
          <w:sz w:val="22"/>
          <w:szCs w:val="22"/>
        </w:rPr>
        <w:t> </w:t>
      </w:r>
      <w:r w:rsidRPr="00AB0024">
        <w:rPr>
          <w:rFonts w:ascii="Palatino Linotype" w:eastAsia="Palatino Linotype" w:hAnsi="Palatino Linotype" w:cs="Palatino Linotype"/>
          <w:b/>
          <w:i/>
          <w:color w:val="000000"/>
          <w:sz w:val="22"/>
          <w:szCs w:val="22"/>
        </w:rPr>
        <w:t xml:space="preserve">III. </w:t>
      </w:r>
      <w:r w:rsidRPr="00AB0024">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sidRPr="00AB0024">
        <w:rPr>
          <w:rFonts w:ascii="Palatino Linotype" w:eastAsia="Palatino Linotype" w:hAnsi="Palatino Linotype" w:cs="Palatino Linotype"/>
          <w:i/>
          <w:color w:val="000000"/>
          <w:sz w:val="22"/>
          <w:szCs w:val="22"/>
        </w:rPr>
        <w:t xml:space="preserve"> a sus datos personales o a la rectificación de éstos.</w:t>
      </w:r>
    </w:p>
    <w:p w:rsidR="00A620F1" w:rsidRPr="00AB0024" w:rsidRDefault="00C85659">
      <w:pPr>
        <w:pBdr>
          <w:top w:val="nil"/>
          <w:left w:val="nil"/>
          <w:bottom w:val="nil"/>
          <w:right w:val="nil"/>
          <w:between w:val="nil"/>
        </w:pBdr>
        <w:spacing w:before="240" w:after="240"/>
        <w:ind w:left="851" w:right="851"/>
        <w:jc w:val="both"/>
        <w:rPr>
          <w:color w:val="000000"/>
        </w:rPr>
      </w:pPr>
      <w:r w:rsidRPr="00AB0024">
        <w:rPr>
          <w:rFonts w:ascii="Palatino Linotype" w:eastAsia="Palatino Linotype" w:hAnsi="Palatino Linotype" w:cs="Palatino Linotype"/>
          <w:i/>
          <w:color w:val="000000"/>
          <w:sz w:val="22"/>
          <w:szCs w:val="22"/>
        </w:rPr>
        <w:t> </w:t>
      </w:r>
      <w:r w:rsidRPr="00AB0024">
        <w:rPr>
          <w:rFonts w:ascii="Palatino Linotype" w:eastAsia="Palatino Linotype" w:hAnsi="Palatino Linotype" w:cs="Palatino Linotype"/>
          <w:b/>
          <w:i/>
          <w:color w:val="000000"/>
          <w:sz w:val="22"/>
          <w:szCs w:val="22"/>
        </w:rPr>
        <w:t xml:space="preserve">IV. </w:t>
      </w:r>
      <w:r w:rsidRPr="00AB0024">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rsidR="00A620F1" w:rsidRPr="00AB0024" w:rsidRDefault="00C85659">
      <w:pPr>
        <w:pBdr>
          <w:top w:val="nil"/>
          <w:left w:val="nil"/>
          <w:bottom w:val="nil"/>
          <w:right w:val="nil"/>
          <w:between w:val="nil"/>
        </w:pBdr>
        <w:spacing w:before="240" w:after="240"/>
        <w:ind w:left="851" w:right="851"/>
        <w:jc w:val="both"/>
        <w:rPr>
          <w:color w:val="000000"/>
        </w:rPr>
      </w:pPr>
      <w:r w:rsidRPr="00AB0024">
        <w:rPr>
          <w:rFonts w:ascii="Palatino Linotype" w:eastAsia="Palatino Linotype" w:hAnsi="Palatino Linotype" w:cs="Palatino Linotype"/>
          <w:b/>
          <w:i/>
          <w:color w:val="000000"/>
          <w:sz w:val="22"/>
          <w:szCs w:val="22"/>
        </w:rPr>
        <w:t xml:space="preserve">V. </w:t>
      </w:r>
      <w:r w:rsidRPr="00AB0024">
        <w:rPr>
          <w:rFonts w:ascii="Palatino Linotype" w:eastAsia="Palatino Linotype" w:hAnsi="Palatino Linotype" w:cs="Palatino Linotype"/>
          <w:i/>
          <w:color w:val="000000"/>
          <w:sz w:val="22"/>
          <w:szCs w:val="22"/>
        </w:rPr>
        <w:t xml:space="preserve">Los sujetos obligados deberán preservar sus documentos en archivos administrativos actualizados y publicarán, a través de los medios electrónicos </w:t>
      </w:r>
      <w:r w:rsidRPr="00AB0024">
        <w:rPr>
          <w:rFonts w:ascii="Palatino Linotype" w:eastAsia="Palatino Linotype" w:hAnsi="Palatino Linotype" w:cs="Palatino Linotype"/>
          <w:i/>
          <w:color w:val="000000"/>
          <w:sz w:val="22"/>
          <w:szCs w:val="22"/>
        </w:rPr>
        <w:lastRenderedPageBreak/>
        <w:t>disponibles, la información completa y actualizada sobre el ejercicio de los recursos públicos y los indicadores que permitan rendir cuenta del cumplimiento de sus objetivos y de los resultados obtenidos.</w:t>
      </w:r>
    </w:p>
    <w:p w:rsidR="00A620F1" w:rsidRPr="00AB0024" w:rsidRDefault="00C85659">
      <w:pPr>
        <w:pBdr>
          <w:top w:val="nil"/>
          <w:left w:val="nil"/>
          <w:bottom w:val="nil"/>
          <w:right w:val="nil"/>
          <w:between w:val="nil"/>
        </w:pBdr>
        <w:spacing w:before="240" w:after="240"/>
        <w:ind w:left="851" w:right="851"/>
        <w:jc w:val="both"/>
        <w:rPr>
          <w:color w:val="000000"/>
        </w:rPr>
      </w:pPr>
      <w:r w:rsidRPr="00AB0024">
        <w:rPr>
          <w:rFonts w:ascii="Palatino Linotype" w:eastAsia="Palatino Linotype" w:hAnsi="Palatino Linotype" w:cs="Palatino Linotype"/>
          <w:i/>
          <w:color w:val="000000"/>
          <w:sz w:val="22"/>
          <w:szCs w:val="22"/>
        </w:rPr>
        <w:t> </w:t>
      </w:r>
      <w:r w:rsidRPr="00AB0024">
        <w:rPr>
          <w:rFonts w:ascii="Palatino Linotype" w:eastAsia="Palatino Linotype" w:hAnsi="Palatino Linotype" w:cs="Palatino Linotype"/>
          <w:b/>
          <w:i/>
          <w:color w:val="000000"/>
          <w:sz w:val="22"/>
          <w:szCs w:val="22"/>
        </w:rPr>
        <w:t xml:space="preserve">VI. </w:t>
      </w:r>
      <w:r w:rsidRPr="00AB0024">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rsidR="00A620F1" w:rsidRPr="00AB0024" w:rsidRDefault="00C85659">
      <w:pPr>
        <w:pBdr>
          <w:top w:val="nil"/>
          <w:left w:val="nil"/>
          <w:bottom w:val="nil"/>
          <w:right w:val="nil"/>
          <w:between w:val="nil"/>
        </w:pBdr>
        <w:spacing w:before="240" w:after="240"/>
        <w:ind w:left="851" w:right="851"/>
        <w:jc w:val="both"/>
        <w:rPr>
          <w:color w:val="000000"/>
        </w:rPr>
      </w:pPr>
      <w:r w:rsidRPr="00AB0024">
        <w:rPr>
          <w:rFonts w:ascii="Palatino Linotype" w:eastAsia="Palatino Linotype" w:hAnsi="Palatino Linotype" w:cs="Palatino Linotype"/>
          <w:i/>
          <w:color w:val="000000"/>
          <w:sz w:val="22"/>
          <w:szCs w:val="22"/>
        </w:rPr>
        <w:t> </w:t>
      </w:r>
      <w:r w:rsidRPr="00AB0024">
        <w:rPr>
          <w:rFonts w:ascii="Palatino Linotype" w:eastAsia="Palatino Linotype" w:hAnsi="Palatino Linotype" w:cs="Palatino Linotype"/>
          <w:b/>
          <w:i/>
          <w:color w:val="000000"/>
          <w:sz w:val="22"/>
          <w:szCs w:val="22"/>
        </w:rPr>
        <w:t xml:space="preserve">VII. </w:t>
      </w:r>
      <w:r w:rsidRPr="00AB0024">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rsidR="00A620F1" w:rsidRPr="00AB0024" w:rsidRDefault="00C85659">
      <w:pPr>
        <w:pBdr>
          <w:top w:val="nil"/>
          <w:left w:val="nil"/>
          <w:bottom w:val="nil"/>
          <w:right w:val="nil"/>
          <w:between w:val="nil"/>
        </w:pBdr>
        <w:spacing w:before="240" w:after="240" w:line="360" w:lineRule="auto"/>
        <w:jc w:val="both"/>
        <w:rPr>
          <w:color w:val="000000"/>
        </w:rPr>
      </w:pPr>
      <w:r w:rsidRPr="00AB0024">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A620F1" w:rsidRPr="00AB0024" w:rsidRDefault="00C85659">
      <w:pPr>
        <w:pBdr>
          <w:top w:val="nil"/>
          <w:left w:val="nil"/>
          <w:bottom w:val="nil"/>
          <w:right w:val="nil"/>
          <w:between w:val="nil"/>
        </w:pBdr>
        <w:spacing w:before="240" w:after="240"/>
        <w:ind w:left="709" w:right="760"/>
        <w:jc w:val="both"/>
        <w:rPr>
          <w:color w:val="000000"/>
        </w:rPr>
      </w:pPr>
      <w:r w:rsidRPr="00AB0024">
        <w:rPr>
          <w:rFonts w:ascii="Palatino Linotype" w:eastAsia="Palatino Linotype" w:hAnsi="Palatino Linotype" w:cs="Palatino Linotype"/>
          <w:i/>
          <w:color w:val="000000"/>
          <w:sz w:val="22"/>
          <w:szCs w:val="22"/>
        </w:rPr>
        <w:t>“</w:t>
      </w:r>
      <w:r w:rsidRPr="00AB0024">
        <w:rPr>
          <w:rFonts w:ascii="Palatino Linotype" w:eastAsia="Palatino Linotype" w:hAnsi="Palatino Linotype" w:cs="Palatino Linotype"/>
          <w:b/>
          <w:i/>
          <w:color w:val="000000"/>
          <w:sz w:val="22"/>
          <w:szCs w:val="22"/>
        </w:rPr>
        <w:t>Artículo 4</w:t>
      </w:r>
      <w:r w:rsidRPr="00AB0024">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A620F1" w:rsidRPr="00AB0024" w:rsidRDefault="00C85659">
      <w:pPr>
        <w:pBdr>
          <w:top w:val="nil"/>
          <w:left w:val="nil"/>
          <w:bottom w:val="nil"/>
          <w:right w:val="nil"/>
          <w:between w:val="nil"/>
        </w:pBdr>
        <w:spacing w:before="240" w:after="240"/>
        <w:ind w:left="709" w:right="760"/>
        <w:jc w:val="both"/>
        <w:rPr>
          <w:color w:val="000000"/>
        </w:rPr>
      </w:pPr>
      <w:r w:rsidRPr="00AB0024">
        <w:rPr>
          <w:rFonts w:ascii="Palatino Linotype" w:eastAsia="Palatino Linotype" w:hAnsi="Palatino Linotype" w:cs="Palatino Linotype"/>
          <w:b/>
          <w:i/>
          <w:color w:val="000000"/>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sidRPr="00AB0024">
        <w:rPr>
          <w:rFonts w:ascii="Palatino Linotype" w:eastAsia="Palatino Linotype" w:hAnsi="Palatino Linotype" w:cs="Palatino Linotype"/>
          <w:b/>
          <w:i/>
          <w:color w:val="000000"/>
          <w:sz w:val="22"/>
          <w:szCs w:val="22"/>
        </w:rPr>
        <w:lastRenderedPageBreak/>
        <w:t>público, en los términos de las causas legítimas y estrictamente necesarias previstas por esta Ley.</w:t>
      </w:r>
    </w:p>
    <w:p w:rsidR="00A620F1" w:rsidRPr="00AB0024" w:rsidRDefault="00C85659">
      <w:pPr>
        <w:pBdr>
          <w:top w:val="nil"/>
          <w:left w:val="nil"/>
          <w:bottom w:val="nil"/>
          <w:right w:val="nil"/>
          <w:between w:val="nil"/>
        </w:pBdr>
        <w:spacing w:before="240" w:after="240"/>
        <w:ind w:left="709" w:right="760"/>
        <w:jc w:val="both"/>
        <w:rPr>
          <w:color w:val="000000"/>
        </w:rPr>
      </w:pPr>
      <w:r w:rsidRPr="00AB0024">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w:t>
      </w:r>
    </w:p>
    <w:p w:rsidR="00A620F1" w:rsidRPr="00AB0024" w:rsidRDefault="00C85659">
      <w:pPr>
        <w:pBdr>
          <w:top w:val="nil"/>
          <w:left w:val="nil"/>
          <w:bottom w:val="nil"/>
          <w:right w:val="nil"/>
          <w:between w:val="nil"/>
        </w:pBdr>
        <w:spacing w:before="240" w:after="240" w:line="360" w:lineRule="auto"/>
        <w:jc w:val="both"/>
        <w:rPr>
          <w:color w:val="000000"/>
        </w:rPr>
      </w:pPr>
      <w:r w:rsidRPr="00AB0024">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A620F1" w:rsidRPr="00AB0024" w:rsidRDefault="00C85659">
      <w:pPr>
        <w:pBdr>
          <w:top w:val="nil"/>
          <w:left w:val="nil"/>
          <w:bottom w:val="nil"/>
          <w:right w:val="nil"/>
          <w:between w:val="nil"/>
        </w:pBdr>
        <w:spacing w:before="240" w:after="240"/>
        <w:ind w:left="567" w:right="758"/>
        <w:jc w:val="both"/>
        <w:rPr>
          <w:color w:val="000000"/>
        </w:rPr>
      </w:pPr>
      <w:r w:rsidRPr="00AB0024">
        <w:rPr>
          <w:rFonts w:ascii="Palatino Linotype" w:eastAsia="Palatino Linotype" w:hAnsi="Palatino Linotype" w:cs="Palatino Linotype"/>
          <w:i/>
          <w:color w:val="000000"/>
          <w:sz w:val="22"/>
          <w:szCs w:val="22"/>
        </w:rPr>
        <w:t>“</w:t>
      </w:r>
      <w:r w:rsidRPr="00AB0024">
        <w:rPr>
          <w:rFonts w:ascii="Palatino Linotype" w:eastAsia="Palatino Linotype" w:hAnsi="Palatino Linotype" w:cs="Palatino Linotype"/>
          <w:b/>
          <w:i/>
          <w:color w:val="000000"/>
          <w:sz w:val="22"/>
          <w:szCs w:val="22"/>
        </w:rPr>
        <w:t>Artículo 12</w:t>
      </w:r>
      <w:r w:rsidRPr="00AB0024">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rsidR="00A620F1" w:rsidRPr="00AB0024" w:rsidRDefault="00C85659">
      <w:pPr>
        <w:pBdr>
          <w:top w:val="nil"/>
          <w:left w:val="nil"/>
          <w:bottom w:val="nil"/>
          <w:right w:val="nil"/>
          <w:between w:val="nil"/>
        </w:pBdr>
        <w:spacing w:before="240" w:after="240"/>
        <w:ind w:left="567" w:right="758"/>
        <w:jc w:val="both"/>
        <w:rPr>
          <w:color w:val="000000"/>
        </w:rPr>
      </w:pPr>
      <w:r w:rsidRPr="00AB0024">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620F1" w:rsidRPr="00AB0024" w:rsidRDefault="00C85659">
      <w:pPr>
        <w:pBdr>
          <w:top w:val="nil"/>
          <w:left w:val="nil"/>
          <w:bottom w:val="nil"/>
          <w:right w:val="nil"/>
          <w:between w:val="nil"/>
        </w:pBdr>
        <w:spacing w:before="240" w:after="240" w:line="360" w:lineRule="auto"/>
        <w:jc w:val="both"/>
        <w:rPr>
          <w:color w:val="000000"/>
        </w:rPr>
      </w:pPr>
      <w:r w:rsidRPr="00AB0024">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AB0024">
        <w:rPr>
          <w:rFonts w:ascii="Palatino Linotype" w:eastAsia="Palatino Linotype" w:hAnsi="Palatino Linotype" w:cs="Palatino Linotype"/>
          <w:b/>
          <w:color w:val="000000"/>
        </w:rPr>
        <w:t xml:space="preserve"> </w:t>
      </w:r>
      <w:r w:rsidRPr="00AB0024">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AB0024">
        <w:rPr>
          <w:rFonts w:ascii="Palatino Linotype" w:eastAsia="Palatino Linotype" w:hAnsi="Palatino Linotype" w:cs="Palatino Linotype"/>
          <w:i/>
          <w:color w:val="000000"/>
        </w:rPr>
        <w:t>ad hoc</w:t>
      </w:r>
      <w:r w:rsidRPr="00AB0024">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A620F1" w:rsidRPr="00AB0024" w:rsidRDefault="00C85659">
      <w:pPr>
        <w:pBdr>
          <w:top w:val="nil"/>
          <w:left w:val="nil"/>
          <w:bottom w:val="nil"/>
          <w:right w:val="nil"/>
          <w:between w:val="nil"/>
        </w:pBdr>
        <w:spacing w:before="240" w:after="240"/>
        <w:ind w:left="567" w:right="567"/>
        <w:jc w:val="both"/>
        <w:rPr>
          <w:color w:val="000000"/>
        </w:rPr>
      </w:pPr>
      <w:r w:rsidRPr="00AB0024">
        <w:rPr>
          <w:rFonts w:ascii="Palatino Linotype" w:eastAsia="Palatino Linotype" w:hAnsi="Palatino Linotype" w:cs="Palatino Linotype"/>
          <w:b/>
          <w:i/>
          <w:color w:val="000000"/>
          <w:sz w:val="22"/>
          <w:szCs w:val="22"/>
        </w:rPr>
        <w:t>03/17</w:t>
      </w:r>
    </w:p>
    <w:p w:rsidR="00A620F1" w:rsidRPr="00AB0024" w:rsidRDefault="00C85659">
      <w:pPr>
        <w:pBdr>
          <w:top w:val="nil"/>
          <w:left w:val="nil"/>
          <w:bottom w:val="nil"/>
          <w:right w:val="nil"/>
          <w:between w:val="nil"/>
        </w:pBdr>
        <w:spacing w:before="240" w:after="240"/>
        <w:ind w:left="567" w:right="567"/>
        <w:jc w:val="both"/>
        <w:rPr>
          <w:color w:val="000000"/>
        </w:rPr>
      </w:pPr>
      <w:r w:rsidRPr="00AB0024">
        <w:rPr>
          <w:rFonts w:ascii="Palatino Linotype" w:eastAsia="Palatino Linotype" w:hAnsi="Palatino Linotype" w:cs="Palatino Linotype"/>
          <w:b/>
          <w:i/>
          <w:color w:val="000000"/>
          <w:sz w:val="22"/>
          <w:szCs w:val="22"/>
        </w:rPr>
        <w:lastRenderedPageBreak/>
        <w:t>“NO EXISTE OBLIGACIÓN DE ELABORAR DOCUMENTOS AD HOC PARA ATENDER LAS SOLICITUDES DE ACCESO A LA INFORMACIÓN.</w:t>
      </w:r>
    </w:p>
    <w:p w:rsidR="00A620F1" w:rsidRPr="00AB0024" w:rsidRDefault="00C85659">
      <w:pPr>
        <w:pBdr>
          <w:top w:val="nil"/>
          <w:left w:val="nil"/>
          <w:bottom w:val="nil"/>
          <w:right w:val="nil"/>
          <w:between w:val="nil"/>
        </w:pBdr>
        <w:spacing w:before="240" w:after="240"/>
        <w:ind w:left="567" w:right="567"/>
        <w:jc w:val="both"/>
        <w:rPr>
          <w:color w:val="000000"/>
        </w:rPr>
      </w:pPr>
      <w:r w:rsidRPr="00AB0024">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A620F1" w:rsidRPr="00AB0024" w:rsidRDefault="00C85659">
      <w:pPr>
        <w:pBdr>
          <w:top w:val="nil"/>
          <w:left w:val="nil"/>
          <w:bottom w:val="nil"/>
          <w:right w:val="nil"/>
          <w:between w:val="nil"/>
        </w:pBdr>
        <w:spacing w:before="240" w:after="240" w:line="360" w:lineRule="auto"/>
        <w:jc w:val="both"/>
        <w:rPr>
          <w:color w:val="000000"/>
        </w:rPr>
      </w:pPr>
      <w:r w:rsidRPr="00AB0024">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A620F1" w:rsidRPr="00AB0024" w:rsidRDefault="00C85659">
      <w:pPr>
        <w:pBdr>
          <w:top w:val="nil"/>
          <w:left w:val="nil"/>
          <w:bottom w:val="nil"/>
          <w:right w:val="nil"/>
          <w:between w:val="nil"/>
        </w:pBdr>
        <w:spacing w:before="240" w:after="240" w:line="360" w:lineRule="auto"/>
        <w:ind w:right="49"/>
        <w:jc w:val="both"/>
        <w:rPr>
          <w:color w:val="000000"/>
        </w:rPr>
      </w:pPr>
      <w:r w:rsidRPr="00AB0024">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A620F1" w:rsidRPr="00AB0024" w:rsidRDefault="00C85659">
      <w:pPr>
        <w:pBdr>
          <w:top w:val="nil"/>
          <w:left w:val="nil"/>
          <w:bottom w:val="nil"/>
          <w:right w:val="nil"/>
          <w:between w:val="nil"/>
        </w:pBdr>
        <w:spacing w:before="240" w:after="240" w:line="360" w:lineRule="auto"/>
        <w:jc w:val="both"/>
        <w:rPr>
          <w:color w:val="000000"/>
        </w:rPr>
      </w:pPr>
      <w:r w:rsidRPr="00AB0024">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AB0024">
        <w:rPr>
          <w:rFonts w:ascii="Palatino Linotype" w:eastAsia="Palatino Linotype" w:hAnsi="Palatino Linotype" w:cs="Palatino Linotype"/>
          <w:color w:val="000000"/>
        </w:rPr>
        <w:lastRenderedPageBreak/>
        <w:t>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A620F1" w:rsidRPr="00AB0024" w:rsidRDefault="00C85659">
      <w:pPr>
        <w:pBdr>
          <w:top w:val="nil"/>
          <w:left w:val="nil"/>
          <w:bottom w:val="nil"/>
          <w:right w:val="nil"/>
          <w:between w:val="nil"/>
        </w:pBdr>
        <w:spacing w:before="240" w:after="240"/>
        <w:ind w:left="567" w:right="567"/>
        <w:jc w:val="both"/>
        <w:rPr>
          <w:color w:val="000000"/>
        </w:rPr>
      </w:pPr>
      <w:r w:rsidRPr="00AB0024">
        <w:rPr>
          <w:rFonts w:ascii="Palatino Linotype" w:eastAsia="Palatino Linotype" w:hAnsi="Palatino Linotype" w:cs="Palatino Linotype"/>
          <w:i/>
          <w:color w:val="000000"/>
          <w:sz w:val="22"/>
          <w:szCs w:val="22"/>
        </w:rPr>
        <w:t>“</w:t>
      </w:r>
      <w:r w:rsidRPr="00AB0024">
        <w:rPr>
          <w:rFonts w:ascii="Palatino Linotype" w:eastAsia="Palatino Linotype" w:hAnsi="Palatino Linotype" w:cs="Palatino Linotype"/>
          <w:b/>
          <w:i/>
          <w:color w:val="000000"/>
          <w:sz w:val="22"/>
          <w:szCs w:val="22"/>
        </w:rPr>
        <w:t xml:space="preserve">Artículo 3. </w:t>
      </w:r>
      <w:r w:rsidRPr="00AB0024">
        <w:rPr>
          <w:rFonts w:ascii="Palatino Linotype" w:eastAsia="Palatino Linotype" w:hAnsi="Palatino Linotype" w:cs="Palatino Linotype"/>
          <w:i/>
          <w:color w:val="000000"/>
          <w:sz w:val="22"/>
          <w:szCs w:val="22"/>
        </w:rPr>
        <w:t>Para los efectos de la presente Ley se entenderá por:</w:t>
      </w:r>
    </w:p>
    <w:p w:rsidR="00A620F1" w:rsidRPr="00AB0024" w:rsidRDefault="00C85659">
      <w:pPr>
        <w:pBdr>
          <w:top w:val="nil"/>
          <w:left w:val="nil"/>
          <w:bottom w:val="nil"/>
          <w:right w:val="nil"/>
          <w:between w:val="nil"/>
        </w:pBdr>
        <w:spacing w:before="240" w:after="240"/>
        <w:ind w:left="567" w:right="567"/>
        <w:jc w:val="both"/>
        <w:rPr>
          <w:color w:val="000000"/>
        </w:rPr>
      </w:pPr>
      <w:r w:rsidRPr="00AB0024">
        <w:rPr>
          <w:rFonts w:ascii="Palatino Linotype" w:eastAsia="Palatino Linotype" w:hAnsi="Palatino Linotype" w:cs="Palatino Linotype"/>
          <w:i/>
          <w:color w:val="000000"/>
          <w:sz w:val="22"/>
          <w:szCs w:val="22"/>
        </w:rPr>
        <w:t>…</w:t>
      </w:r>
    </w:p>
    <w:p w:rsidR="00A620F1" w:rsidRPr="00AB0024" w:rsidRDefault="00C85659">
      <w:pPr>
        <w:pBdr>
          <w:top w:val="nil"/>
          <w:left w:val="nil"/>
          <w:bottom w:val="nil"/>
          <w:right w:val="nil"/>
          <w:between w:val="nil"/>
        </w:pBdr>
        <w:spacing w:before="240" w:after="240"/>
        <w:ind w:left="567" w:right="567"/>
        <w:jc w:val="both"/>
        <w:rPr>
          <w:color w:val="000000"/>
        </w:rPr>
      </w:pPr>
      <w:r w:rsidRPr="00AB0024">
        <w:rPr>
          <w:rFonts w:ascii="Palatino Linotype" w:eastAsia="Palatino Linotype" w:hAnsi="Palatino Linotype" w:cs="Palatino Linotype"/>
          <w:b/>
          <w:i/>
          <w:color w:val="000000"/>
          <w:sz w:val="22"/>
          <w:szCs w:val="22"/>
        </w:rPr>
        <w:t>XI. Documento:</w:t>
      </w:r>
      <w:r w:rsidRPr="00AB0024">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AB0024">
        <w:rPr>
          <w:rFonts w:ascii="Palatino Linotype" w:eastAsia="Palatino Linotype" w:hAnsi="Palatino Linotype" w:cs="Palatino Linotype"/>
          <w:b/>
          <w:i/>
          <w:color w:val="000000"/>
          <w:sz w:val="22"/>
          <w:szCs w:val="22"/>
        </w:rPr>
        <w:t>…</w:t>
      </w:r>
      <w:r w:rsidRPr="00AB0024">
        <w:rPr>
          <w:rFonts w:ascii="Palatino Linotype" w:eastAsia="Palatino Linotype" w:hAnsi="Palatino Linotype" w:cs="Palatino Linotype"/>
          <w:i/>
          <w:color w:val="000000"/>
          <w:sz w:val="22"/>
          <w:szCs w:val="22"/>
        </w:rPr>
        <w:t>” (Sic)</w:t>
      </w:r>
    </w:p>
    <w:p w:rsidR="00A620F1" w:rsidRPr="00AB0024" w:rsidRDefault="00C85659">
      <w:pPr>
        <w:pBdr>
          <w:top w:val="nil"/>
          <w:left w:val="nil"/>
          <w:bottom w:val="nil"/>
          <w:right w:val="nil"/>
          <w:between w:val="nil"/>
        </w:pBdr>
        <w:spacing w:before="240" w:after="240" w:line="360" w:lineRule="auto"/>
        <w:jc w:val="both"/>
        <w:rPr>
          <w:color w:val="000000"/>
        </w:rPr>
      </w:pPr>
      <w:r w:rsidRPr="00AB0024">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A620F1" w:rsidRPr="00AB0024" w:rsidRDefault="00C85659">
      <w:pPr>
        <w:pBdr>
          <w:top w:val="nil"/>
          <w:left w:val="nil"/>
          <w:bottom w:val="nil"/>
          <w:right w:val="nil"/>
          <w:between w:val="nil"/>
        </w:pBdr>
        <w:spacing w:before="240" w:after="240"/>
        <w:ind w:left="567" w:right="567"/>
        <w:jc w:val="both"/>
        <w:rPr>
          <w:color w:val="000000"/>
        </w:rPr>
      </w:pPr>
      <w:r w:rsidRPr="00AB0024">
        <w:rPr>
          <w:rFonts w:ascii="Palatino Linotype" w:eastAsia="Palatino Linotype" w:hAnsi="Palatino Linotype" w:cs="Palatino Linotype"/>
          <w:b/>
          <w:color w:val="000000"/>
          <w:sz w:val="22"/>
          <w:szCs w:val="22"/>
        </w:rPr>
        <w:t>“</w:t>
      </w:r>
      <w:r w:rsidRPr="00AB0024">
        <w:rPr>
          <w:rFonts w:ascii="Palatino Linotype" w:eastAsia="Palatino Linotype" w:hAnsi="Palatino Linotype" w:cs="Palatino Linotype"/>
          <w:b/>
          <w:i/>
          <w:color w:val="000000"/>
          <w:sz w:val="22"/>
          <w:szCs w:val="22"/>
        </w:rPr>
        <w:t>CRITERIO 0002-11</w:t>
      </w:r>
    </w:p>
    <w:p w:rsidR="00A620F1" w:rsidRPr="00AB0024" w:rsidRDefault="00C85659">
      <w:pPr>
        <w:pBdr>
          <w:top w:val="nil"/>
          <w:left w:val="nil"/>
          <w:bottom w:val="nil"/>
          <w:right w:val="nil"/>
          <w:between w:val="nil"/>
        </w:pBdr>
        <w:spacing w:before="240" w:after="240"/>
        <w:ind w:left="567" w:right="567"/>
        <w:jc w:val="both"/>
        <w:rPr>
          <w:color w:val="000000"/>
        </w:rPr>
      </w:pPr>
      <w:r w:rsidRPr="00AB0024">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sidRPr="00AB0024">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w:t>
      </w:r>
      <w:r w:rsidRPr="00AB0024">
        <w:rPr>
          <w:rFonts w:ascii="Palatino Linotype" w:eastAsia="Palatino Linotype" w:hAnsi="Palatino Linotype" w:cs="Palatino Linotype"/>
          <w:i/>
          <w:color w:val="000000"/>
          <w:sz w:val="22"/>
          <w:szCs w:val="22"/>
        </w:rPr>
        <w:lastRenderedPageBreak/>
        <w:t>en virtud del ejercicio de sus funciones de derecho público, sin importar su fuente, soporte o fecha de elaboración.</w:t>
      </w:r>
    </w:p>
    <w:p w:rsidR="00A620F1" w:rsidRPr="00AB0024" w:rsidRDefault="00C85659">
      <w:pPr>
        <w:pBdr>
          <w:top w:val="nil"/>
          <w:left w:val="nil"/>
          <w:bottom w:val="nil"/>
          <w:right w:val="nil"/>
          <w:between w:val="nil"/>
        </w:pBdr>
        <w:spacing w:before="240" w:after="240"/>
        <w:ind w:left="567" w:right="567"/>
        <w:jc w:val="both"/>
        <w:rPr>
          <w:color w:val="000000"/>
        </w:rPr>
      </w:pPr>
      <w:r w:rsidRPr="00AB0024">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rsidR="00A620F1" w:rsidRPr="00AB0024" w:rsidRDefault="00C85659">
      <w:pPr>
        <w:numPr>
          <w:ilvl w:val="0"/>
          <w:numId w:val="8"/>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A620F1" w:rsidRPr="00AB0024" w:rsidRDefault="00C85659">
      <w:pPr>
        <w:numPr>
          <w:ilvl w:val="0"/>
          <w:numId w:val="8"/>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A620F1" w:rsidRPr="00AB0024" w:rsidRDefault="00C85659">
      <w:pPr>
        <w:pBdr>
          <w:top w:val="nil"/>
          <w:left w:val="nil"/>
          <w:bottom w:val="nil"/>
          <w:right w:val="nil"/>
          <w:between w:val="nil"/>
        </w:pBdr>
        <w:spacing w:before="240" w:after="240"/>
        <w:ind w:left="567" w:right="567" w:hanging="284"/>
        <w:jc w:val="both"/>
        <w:rPr>
          <w:color w:val="000000"/>
        </w:rPr>
      </w:pPr>
      <w:r w:rsidRPr="00AB0024">
        <w:rPr>
          <w:rFonts w:ascii="Palatino Linotype" w:eastAsia="Palatino Linotype" w:hAnsi="Palatino Linotype" w:cs="Palatino Linotype"/>
          <w:i/>
          <w:color w:val="000000"/>
          <w:sz w:val="22"/>
          <w:szCs w:val="22"/>
        </w:rPr>
        <w:t xml:space="preserve">3. </w:t>
      </w:r>
      <w:r w:rsidRPr="00AB0024">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(Énfasis añadido)</w:t>
      </w:r>
    </w:p>
    <w:p w:rsidR="00A620F1" w:rsidRPr="00AB0024" w:rsidRDefault="00C85659">
      <w:pPr>
        <w:pBdr>
          <w:top w:val="nil"/>
          <w:left w:val="nil"/>
          <w:bottom w:val="nil"/>
          <w:right w:val="nil"/>
          <w:between w:val="nil"/>
        </w:pBdr>
        <w:spacing w:before="240" w:after="240" w:line="360" w:lineRule="auto"/>
        <w:jc w:val="both"/>
        <w:rPr>
          <w:color w:val="000000"/>
        </w:rPr>
      </w:pPr>
      <w:r w:rsidRPr="00AB0024">
        <w:rPr>
          <w:rFonts w:ascii="Palatino Linotype" w:eastAsia="Palatino Linotype" w:hAnsi="Palatino Linotype" w:cs="Palatino Linotype"/>
          <w:color w:val="000000"/>
        </w:rPr>
        <w:t xml:space="preserve">De ahí que el </w:t>
      </w:r>
      <w:r w:rsidRPr="00AB0024">
        <w:rPr>
          <w:rFonts w:ascii="Palatino Linotype" w:eastAsia="Palatino Linotype" w:hAnsi="Palatino Linotype" w:cs="Palatino Linotype"/>
          <w:b/>
          <w:color w:val="000000"/>
        </w:rPr>
        <w:t>Sujeto Obligado</w:t>
      </w:r>
      <w:r w:rsidRPr="00AB0024">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A620F1" w:rsidRPr="00AB0024" w:rsidRDefault="00C8565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Ahora bien, para profundizar en el estudio del presente asunto, es conveniente recordar que la parte solicitante requirió al </w:t>
      </w:r>
      <w:r w:rsidRPr="00AB0024">
        <w:rPr>
          <w:rFonts w:ascii="Palatino Linotype" w:eastAsia="Palatino Linotype" w:hAnsi="Palatino Linotype" w:cs="Palatino Linotype"/>
          <w:b/>
          <w:color w:val="000000"/>
        </w:rPr>
        <w:t>Sujeto Obligado</w:t>
      </w:r>
      <w:r w:rsidRPr="00AB0024">
        <w:rPr>
          <w:rFonts w:ascii="Palatino Linotype" w:eastAsia="Palatino Linotype" w:hAnsi="Palatino Linotype" w:cs="Palatino Linotype"/>
          <w:color w:val="000000"/>
        </w:rPr>
        <w:t>, le proporcionara lo siguiente:</w:t>
      </w:r>
    </w:p>
    <w:p w:rsidR="00A620F1" w:rsidRPr="00AB0024" w:rsidRDefault="00C85659">
      <w:pPr>
        <w:numPr>
          <w:ilvl w:val="0"/>
          <w:numId w:val="3"/>
        </w:numPr>
        <w:pBdr>
          <w:top w:val="nil"/>
          <w:left w:val="nil"/>
          <w:bottom w:val="nil"/>
          <w:right w:val="nil"/>
          <w:between w:val="nil"/>
        </w:pBdr>
        <w:spacing w:before="240" w:line="360" w:lineRule="auto"/>
        <w:ind w:left="567" w:right="900" w:hanging="141"/>
        <w:jc w:val="both"/>
        <w:rPr>
          <w:rFonts w:ascii="Palatino Linotype" w:eastAsia="Palatino Linotype" w:hAnsi="Palatino Linotype" w:cs="Palatino Linotype"/>
          <w:b/>
          <w:color w:val="000000"/>
        </w:rPr>
      </w:pPr>
      <w:r w:rsidRPr="00AB0024">
        <w:rPr>
          <w:rFonts w:ascii="Palatino Linotype" w:eastAsia="Palatino Linotype" w:hAnsi="Palatino Linotype" w:cs="Palatino Linotype"/>
          <w:b/>
          <w:color w:val="000000"/>
        </w:rPr>
        <w:t xml:space="preserve">De la oficina ubicada en: calle 5 de mayo sur #6 junto al molino entre calle miguel hidalgo y 16 de septiembre en el centro del municipio de </w:t>
      </w:r>
      <w:proofErr w:type="spellStart"/>
      <w:r w:rsidRPr="00AB0024">
        <w:rPr>
          <w:rFonts w:ascii="Palatino Linotype" w:eastAsia="Palatino Linotype" w:hAnsi="Palatino Linotype" w:cs="Palatino Linotype"/>
          <w:b/>
          <w:color w:val="000000"/>
        </w:rPr>
        <w:t>Amanalco</w:t>
      </w:r>
      <w:proofErr w:type="spellEnd"/>
      <w:r w:rsidRPr="00AB0024">
        <w:rPr>
          <w:rFonts w:ascii="Palatino Linotype" w:eastAsia="Palatino Linotype" w:hAnsi="Palatino Linotype" w:cs="Palatino Linotype"/>
          <w:b/>
          <w:color w:val="000000"/>
        </w:rPr>
        <w:t xml:space="preserve">, Estado de México, con C.P 51260: </w:t>
      </w:r>
    </w:p>
    <w:p w:rsidR="00A620F1" w:rsidRPr="00AB0024" w:rsidRDefault="00A620F1">
      <w:pPr>
        <w:pBdr>
          <w:top w:val="nil"/>
          <w:left w:val="nil"/>
          <w:bottom w:val="nil"/>
          <w:right w:val="nil"/>
          <w:between w:val="nil"/>
        </w:pBdr>
        <w:spacing w:line="360" w:lineRule="auto"/>
        <w:ind w:left="567" w:right="900"/>
        <w:jc w:val="both"/>
        <w:rPr>
          <w:rFonts w:ascii="Palatino Linotype" w:eastAsia="Palatino Linotype" w:hAnsi="Palatino Linotype" w:cs="Palatino Linotype"/>
          <w:b/>
          <w:color w:val="000000"/>
        </w:rPr>
      </w:pPr>
    </w:p>
    <w:p w:rsidR="00A620F1" w:rsidRPr="00AB0024" w:rsidRDefault="00C85659">
      <w:pPr>
        <w:pBdr>
          <w:top w:val="nil"/>
          <w:left w:val="nil"/>
          <w:bottom w:val="nil"/>
          <w:right w:val="nil"/>
          <w:between w:val="nil"/>
        </w:pBdr>
        <w:spacing w:line="360" w:lineRule="auto"/>
        <w:ind w:left="567" w:right="900"/>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a) Aviso o registro de la oficina del comité municipal del PRI en el municipio de </w:t>
      </w:r>
      <w:proofErr w:type="spellStart"/>
      <w:r w:rsidRPr="00AB0024">
        <w:rPr>
          <w:rFonts w:ascii="Palatino Linotype" w:eastAsia="Palatino Linotype" w:hAnsi="Palatino Linotype" w:cs="Palatino Linotype"/>
          <w:color w:val="000000"/>
        </w:rPr>
        <w:t>Amanalco</w:t>
      </w:r>
      <w:proofErr w:type="spellEnd"/>
      <w:r w:rsidRPr="00AB0024">
        <w:rPr>
          <w:rFonts w:ascii="Palatino Linotype" w:eastAsia="Palatino Linotype" w:hAnsi="Palatino Linotype" w:cs="Palatino Linotype"/>
          <w:color w:val="000000"/>
        </w:rPr>
        <w:t xml:space="preserve">, Edo de México. </w:t>
      </w:r>
    </w:p>
    <w:p w:rsidR="00A620F1" w:rsidRPr="00AB0024" w:rsidRDefault="00A620F1">
      <w:pPr>
        <w:pBdr>
          <w:top w:val="nil"/>
          <w:left w:val="nil"/>
          <w:bottom w:val="nil"/>
          <w:right w:val="nil"/>
          <w:between w:val="nil"/>
        </w:pBdr>
        <w:spacing w:line="360" w:lineRule="auto"/>
        <w:ind w:left="567" w:right="900"/>
        <w:jc w:val="both"/>
        <w:rPr>
          <w:rFonts w:ascii="Palatino Linotype" w:eastAsia="Palatino Linotype" w:hAnsi="Palatino Linotype" w:cs="Palatino Linotype"/>
          <w:color w:val="000000"/>
        </w:rPr>
      </w:pPr>
    </w:p>
    <w:p w:rsidR="00A620F1" w:rsidRPr="00AB0024" w:rsidRDefault="00C85659">
      <w:pPr>
        <w:pBdr>
          <w:top w:val="nil"/>
          <w:left w:val="nil"/>
          <w:bottom w:val="nil"/>
          <w:right w:val="nil"/>
          <w:between w:val="nil"/>
        </w:pBdr>
        <w:spacing w:line="360" w:lineRule="auto"/>
        <w:ind w:left="567" w:right="900"/>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b) De inciso que antecede, informe si dicha oficina ocupada por el comité municipal del PRI en el municipio de </w:t>
      </w:r>
      <w:proofErr w:type="spellStart"/>
      <w:r w:rsidRPr="00AB0024">
        <w:rPr>
          <w:rFonts w:ascii="Palatino Linotype" w:eastAsia="Palatino Linotype" w:hAnsi="Palatino Linotype" w:cs="Palatino Linotype"/>
          <w:color w:val="000000"/>
        </w:rPr>
        <w:t>Amanalco</w:t>
      </w:r>
      <w:proofErr w:type="spellEnd"/>
      <w:r w:rsidRPr="00AB0024">
        <w:rPr>
          <w:rFonts w:ascii="Palatino Linotype" w:eastAsia="Palatino Linotype" w:hAnsi="Palatino Linotype" w:cs="Palatino Linotype"/>
          <w:color w:val="000000"/>
        </w:rPr>
        <w:t xml:space="preserve"> Edo de México cuenta con (contrato de arrendamiento u otro) y si se destina recursos para el pago de renta u otro y de servicios. </w:t>
      </w:r>
    </w:p>
    <w:p w:rsidR="00A620F1" w:rsidRPr="00AB0024" w:rsidRDefault="00A620F1">
      <w:pPr>
        <w:pBdr>
          <w:top w:val="nil"/>
          <w:left w:val="nil"/>
          <w:bottom w:val="nil"/>
          <w:right w:val="nil"/>
          <w:between w:val="nil"/>
        </w:pBdr>
        <w:spacing w:line="360" w:lineRule="auto"/>
        <w:ind w:left="567" w:right="900"/>
        <w:jc w:val="both"/>
        <w:rPr>
          <w:rFonts w:ascii="Palatino Linotype" w:eastAsia="Palatino Linotype" w:hAnsi="Palatino Linotype" w:cs="Palatino Linotype"/>
          <w:color w:val="000000"/>
        </w:rPr>
      </w:pPr>
    </w:p>
    <w:p w:rsidR="00A620F1" w:rsidRPr="00AB0024" w:rsidRDefault="00C85659">
      <w:pPr>
        <w:pBdr>
          <w:top w:val="nil"/>
          <w:left w:val="nil"/>
          <w:bottom w:val="nil"/>
          <w:right w:val="nil"/>
          <w:between w:val="nil"/>
        </w:pBdr>
        <w:spacing w:line="360" w:lineRule="auto"/>
        <w:ind w:left="567" w:right="900"/>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c) De inciso que antecede, informe si dicha oficina ocupada por el comité municipal del PRI en el municipio de </w:t>
      </w:r>
      <w:proofErr w:type="spellStart"/>
      <w:r w:rsidRPr="00AB0024">
        <w:rPr>
          <w:rFonts w:ascii="Palatino Linotype" w:eastAsia="Palatino Linotype" w:hAnsi="Palatino Linotype" w:cs="Palatino Linotype"/>
          <w:color w:val="000000"/>
        </w:rPr>
        <w:t>Amanalco</w:t>
      </w:r>
      <w:proofErr w:type="spellEnd"/>
      <w:r w:rsidRPr="00AB0024">
        <w:rPr>
          <w:rFonts w:ascii="Palatino Linotype" w:eastAsia="Palatino Linotype" w:hAnsi="Palatino Linotype" w:cs="Palatino Linotype"/>
          <w:color w:val="000000"/>
        </w:rPr>
        <w:t xml:space="preserve">, Edo de México cuenta con todos los servicios como: energía eléctrica, agua potable, sanitario, teléfono, internet u otros. </w:t>
      </w:r>
    </w:p>
    <w:p w:rsidR="00A620F1" w:rsidRPr="00AB0024" w:rsidRDefault="00A620F1">
      <w:pPr>
        <w:pBdr>
          <w:top w:val="nil"/>
          <w:left w:val="nil"/>
          <w:bottom w:val="nil"/>
          <w:right w:val="nil"/>
          <w:between w:val="nil"/>
        </w:pBdr>
        <w:spacing w:line="360" w:lineRule="auto"/>
        <w:ind w:left="567" w:right="900"/>
        <w:jc w:val="both"/>
        <w:rPr>
          <w:rFonts w:ascii="Palatino Linotype" w:eastAsia="Palatino Linotype" w:hAnsi="Palatino Linotype" w:cs="Palatino Linotype"/>
          <w:color w:val="000000"/>
        </w:rPr>
      </w:pPr>
    </w:p>
    <w:p w:rsidR="00A620F1" w:rsidRPr="00AB0024" w:rsidRDefault="00C85659">
      <w:pPr>
        <w:pBdr>
          <w:top w:val="nil"/>
          <w:left w:val="nil"/>
          <w:bottom w:val="nil"/>
          <w:right w:val="nil"/>
          <w:between w:val="nil"/>
        </w:pBdr>
        <w:spacing w:line="360" w:lineRule="auto"/>
        <w:ind w:left="567" w:right="900"/>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d) De la existencia o inexistencia del registro y aviso sobre la oficina establecida y referida ante el órgano administrativo municipio de </w:t>
      </w:r>
      <w:proofErr w:type="spellStart"/>
      <w:r w:rsidRPr="00AB0024">
        <w:rPr>
          <w:rFonts w:ascii="Palatino Linotype" w:eastAsia="Palatino Linotype" w:hAnsi="Palatino Linotype" w:cs="Palatino Linotype"/>
          <w:color w:val="000000"/>
        </w:rPr>
        <w:t>Amanalco</w:t>
      </w:r>
      <w:proofErr w:type="spellEnd"/>
      <w:r w:rsidRPr="00AB0024">
        <w:rPr>
          <w:rFonts w:ascii="Palatino Linotype" w:eastAsia="Palatino Linotype" w:hAnsi="Palatino Linotype" w:cs="Palatino Linotype"/>
          <w:color w:val="000000"/>
        </w:rPr>
        <w:t xml:space="preserve">, Edo de México, como dispone en el vigente bando municipal 2023 referente al artículo 30º, que dispone: art.30.- las instituciones u organizaciones particulares constituidas legalmente, para prestar un servicio público de beneficencia o realizar actividades de participación social, en los aspectos culturales o políticos, deberán registrarse ante la autoridad competente y dar conocimiento al municipio. </w:t>
      </w:r>
    </w:p>
    <w:p w:rsidR="00A620F1" w:rsidRPr="00AB0024" w:rsidRDefault="00A620F1">
      <w:pPr>
        <w:pBdr>
          <w:top w:val="nil"/>
          <w:left w:val="nil"/>
          <w:bottom w:val="nil"/>
          <w:right w:val="nil"/>
          <w:between w:val="nil"/>
        </w:pBdr>
        <w:spacing w:line="360" w:lineRule="auto"/>
        <w:ind w:left="567" w:right="900"/>
        <w:jc w:val="both"/>
        <w:rPr>
          <w:rFonts w:ascii="Palatino Linotype" w:eastAsia="Palatino Linotype" w:hAnsi="Palatino Linotype" w:cs="Palatino Linotype"/>
          <w:color w:val="000000"/>
        </w:rPr>
      </w:pPr>
    </w:p>
    <w:p w:rsidR="00A620F1" w:rsidRPr="00AB0024" w:rsidRDefault="00C85659">
      <w:pPr>
        <w:pBdr>
          <w:top w:val="nil"/>
          <w:left w:val="nil"/>
          <w:bottom w:val="nil"/>
          <w:right w:val="nil"/>
          <w:between w:val="nil"/>
        </w:pBdr>
        <w:spacing w:after="240" w:line="360" w:lineRule="auto"/>
        <w:ind w:left="567" w:right="900"/>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lastRenderedPageBreak/>
        <w:t xml:space="preserve">2) De la existencia o inexistencia de la documentación que acredite el funcionamiento legal del salón de fiestas o reuniones en el referido inmueble en su entrada lateral sobre la calle Miguel Hidalgo. </w:t>
      </w:r>
    </w:p>
    <w:p w:rsidR="00A620F1" w:rsidRPr="00AB0024" w:rsidRDefault="00C85659">
      <w:pPr>
        <w:spacing w:before="240" w:after="240" w:line="360" w:lineRule="auto"/>
        <w:ind w:right="-93"/>
        <w:jc w:val="both"/>
        <w:rPr>
          <w:rFonts w:ascii="Palatino Linotype" w:eastAsia="Palatino Linotype" w:hAnsi="Palatino Linotype" w:cs="Palatino Linotype"/>
        </w:rPr>
      </w:pPr>
      <w:r w:rsidRPr="00AB0024">
        <w:rPr>
          <w:rFonts w:ascii="Palatino Linotype" w:eastAsia="Palatino Linotype" w:hAnsi="Palatino Linotype" w:cs="Palatino Linotype"/>
        </w:rPr>
        <w:t xml:space="preserve">El </w:t>
      </w:r>
      <w:r w:rsidRPr="00AB0024">
        <w:rPr>
          <w:rFonts w:ascii="Palatino Linotype" w:eastAsia="Palatino Linotype" w:hAnsi="Palatino Linotype" w:cs="Palatino Linotype"/>
          <w:b/>
        </w:rPr>
        <w:t>Sujeto Obligado</w:t>
      </w:r>
      <w:r w:rsidRPr="00AB0024">
        <w:rPr>
          <w:rFonts w:ascii="Palatino Linotype" w:eastAsia="Palatino Linotype" w:hAnsi="Palatino Linotype" w:cs="Palatino Linotype"/>
        </w:rPr>
        <w:t xml:space="preserve"> en respuesta remitió un documento de cinco fojas, en el que se aprecia el pronunciamiento de la Directora de Gobierno Municipal, este será analizado de manera pormenorizada en páginas subsecuentes.</w:t>
      </w:r>
    </w:p>
    <w:p w:rsidR="00A620F1" w:rsidRPr="00AB0024" w:rsidRDefault="00C85659">
      <w:pP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rPr>
        <w:t xml:space="preserve">Una vez conocida la respuesta del </w:t>
      </w:r>
      <w:r w:rsidRPr="00AB0024">
        <w:rPr>
          <w:rFonts w:ascii="Palatino Linotype" w:eastAsia="Palatino Linotype" w:hAnsi="Palatino Linotype" w:cs="Palatino Linotype"/>
          <w:b/>
        </w:rPr>
        <w:t>Sujeto Obligado</w:t>
      </w:r>
      <w:r w:rsidRPr="00AB0024">
        <w:rPr>
          <w:rFonts w:ascii="Palatino Linotype" w:eastAsia="Palatino Linotype" w:hAnsi="Palatino Linotype" w:cs="Palatino Linotype"/>
        </w:rPr>
        <w:t xml:space="preserve">, </w:t>
      </w:r>
      <w:r w:rsidRPr="00AB0024">
        <w:rPr>
          <w:rFonts w:ascii="Palatino Linotype" w:eastAsia="Palatino Linotype" w:hAnsi="Palatino Linotype" w:cs="Palatino Linotype"/>
          <w:b/>
        </w:rPr>
        <w:t>la ahora parte Recurrente</w:t>
      </w:r>
      <w:r w:rsidRPr="00AB0024">
        <w:rPr>
          <w:rFonts w:ascii="Palatino Linotype" w:eastAsia="Palatino Linotype" w:hAnsi="Palatino Linotype" w:cs="Palatino Linotype"/>
        </w:rPr>
        <w:t xml:space="preserve"> interpuso el recurso de revisión que nos ocupa, inconformándose </w:t>
      </w:r>
      <w:r w:rsidRPr="00AB0024">
        <w:rPr>
          <w:rFonts w:ascii="Palatino Linotype" w:eastAsia="Palatino Linotype" w:hAnsi="Palatino Linotype" w:cs="Palatino Linotype"/>
          <w:color w:val="000000"/>
        </w:rPr>
        <w:t>por la declaración de inexistencia de la información, la declaración de incompetencia por el sujeto obligado, la entrega de información incompleta, la falta de respuesta a una solicitud de acceso a la información, la falta de trámite a una solicitud, la negativa a permitir la consulta directa de la información y la falta, deficiencia o insuficiencia de la fundamentación y/o motivación en la respuesta.</w:t>
      </w:r>
    </w:p>
    <w:p w:rsidR="00A620F1" w:rsidRPr="00AB0024" w:rsidRDefault="00C85659">
      <w:pP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En tal tesitura, una vez admitido el presente recurso de revisión, </w:t>
      </w:r>
      <w:r w:rsidRPr="00AB0024">
        <w:rPr>
          <w:rFonts w:ascii="Palatino Linotype" w:eastAsia="Palatino Linotype" w:hAnsi="Palatino Linotype" w:cs="Palatino Linotype"/>
          <w:b/>
          <w:color w:val="000000"/>
        </w:rPr>
        <w:t>la parte Recurrente</w:t>
      </w:r>
      <w:r w:rsidRPr="00AB0024">
        <w:rPr>
          <w:rFonts w:ascii="Palatino Linotype" w:eastAsia="Palatino Linotype" w:hAnsi="Palatino Linotype" w:cs="Palatino Linotype"/>
          <w:color w:val="000000"/>
        </w:rPr>
        <w:t xml:space="preserve"> adjuntó diversa documentación, con la cual pretende acreditar las consideraciones expuestas a lo largo de la conformación del expediente electrónico, mientras que el </w:t>
      </w:r>
      <w:r w:rsidRPr="00AB0024">
        <w:rPr>
          <w:rFonts w:ascii="Palatino Linotype" w:eastAsia="Palatino Linotype" w:hAnsi="Palatino Linotype" w:cs="Palatino Linotype"/>
          <w:b/>
          <w:color w:val="000000"/>
        </w:rPr>
        <w:t>Sujeto Obligado</w:t>
      </w:r>
      <w:r w:rsidRPr="00AB0024">
        <w:rPr>
          <w:rFonts w:ascii="Palatino Linotype" w:eastAsia="Palatino Linotype" w:hAnsi="Palatino Linotype" w:cs="Palatino Linotype"/>
          <w:color w:val="000000"/>
        </w:rPr>
        <w:t>, remitió documentales en las que se aprecian los pronunciamientos del Secretario del Ayuntamiento, Directora de Gobierno Municipal y Directora de Desarrollo Económico.</w:t>
      </w:r>
    </w:p>
    <w:p w:rsidR="00A620F1" w:rsidRPr="00AB0024" w:rsidRDefault="00C85659">
      <w:pP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Expuestas las posturas de las partes, conviene señalar que para un mejor entendimiento, se procederá al análisis de cada planteamiento de manera pormenorizada, por lo que se subdividirá en cinco apartados, siendo estos los siguientes: </w:t>
      </w:r>
    </w:p>
    <w:p w:rsidR="00A620F1" w:rsidRPr="00AB0024" w:rsidRDefault="00A620F1">
      <w:pPr>
        <w:spacing w:before="240" w:after="240" w:line="360" w:lineRule="auto"/>
        <w:ind w:right="49"/>
        <w:jc w:val="both"/>
        <w:rPr>
          <w:rFonts w:ascii="Palatino Linotype" w:eastAsia="Palatino Linotype" w:hAnsi="Palatino Linotype" w:cs="Palatino Linotype"/>
          <w:color w:val="000000"/>
        </w:rPr>
      </w:pPr>
    </w:p>
    <w:p w:rsidR="00A620F1" w:rsidRPr="00AB0024" w:rsidRDefault="00274480">
      <w:pPr>
        <w:spacing w:before="240" w:after="240" w:line="360" w:lineRule="auto"/>
        <w:ind w:right="49"/>
        <w:jc w:val="both"/>
        <w:rPr>
          <w:rFonts w:ascii="Palatino Linotype" w:eastAsia="Palatino Linotype" w:hAnsi="Palatino Linotype" w:cs="Palatino Linotype"/>
          <w:color w:val="000000"/>
        </w:rPr>
      </w:pPr>
      <w:r w:rsidRPr="00AB0024">
        <w:rPr>
          <w:noProof/>
          <w:lang w:val="es-MX"/>
        </w:rPr>
        <mc:AlternateContent>
          <mc:Choice Requires="wps">
            <w:drawing>
              <wp:anchor distT="0" distB="0" distL="114300" distR="114300" simplePos="0" relativeHeight="251667456" behindDoc="0" locked="0" layoutInCell="1" hidden="0" allowOverlap="1" wp14:anchorId="759F1A89" wp14:editId="73C9EC72">
                <wp:simplePos x="0" y="0"/>
                <wp:positionH relativeFrom="column">
                  <wp:posOffset>0</wp:posOffset>
                </wp:positionH>
                <wp:positionV relativeFrom="paragraph">
                  <wp:posOffset>-635</wp:posOffset>
                </wp:positionV>
                <wp:extent cx="5676900" cy="2047875"/>
                <wp:effectExtent l="0" t="0" r="0" b="0"/>
                <wp:wrapNone/>
                <wp:docPr id="85" name="Rectángulo 85"/>
                <wp:cNvGraphicFramePr/>
                <a:graphic xmlns:a="http://schemas.openxmlformats.org/drawingml/2006/main">
                  <a:graphicData uri="http://schemas.microsoft.com/office/word/2010/wordprocessingShape">
                    <wps:wsp>
                      <wps:cNvSpPr/>
                      <wps:spPr>
                        <a:xfrm>
                          <a:off x="2512313" y="2760825"/>
                          <a:ext cx="5667375" cy="2038350"/>
                        </a:xfrm>
                        <a:prstGeom prst="rect">
                          <a:avLst/>
                        </a:prstGeom>
                        <a:solidFill>
                          <a:srgbClr val="DDD9C3"/>
                        </a:solidFill>
                        <a:ln w="9525" cap="flat" cmpd="sng">
                          <a:solidFill>
                            <a:srgbClr val="000000"/>
                          </a:solidFill>
                          <a:prstDash val="solid"/>
                          <a:round/>
                          <a:headEnd type="none" w="sm" len="sm"/>
                          <a:tailEnd type="none" w="sm" len="sm"/>
                        </a:ln>
                      </wps:spPr>
                      <wps:txbx>
                        <w:txbxContent>
                          <w:p w:rsidR="00C20A80" w:rsidRDefault="00C20A80" w:rsidP="00274480">
                            <w:pPr>
                              <w:jc w:val="both"/>
                              <w:textDirection w:val="btLr"/>
                            </w:pPr>
                            <w:r>
                              <w:rPr>
                                <w:rFonts w:ascii="Palatino Linotype" w:eastAsia="Palatino Linotype" w:hAnsi="Palatino Linotype" w:cs="Palatino Linotype"/>
                                <w:b/>
                                <w:color w:val="000000"/>
                                <w:sz w:val="22"/>
                              </w:rPr>
                              <w:t xml:space="preserve">1.- Aviso o registro que acredite la dirección oficial de la oficina del comité municipal del PRI en el municipio de </w:t>
                            </w:r>
                            <w:proofErr w:type="spellStart"/>
                            <w:r>
                              <w:rPr>
                                <w:rFonts w:ascii="Palatino Linotype" w:eastAsia="Palatino Linotype" w:hAnsi="Palatino Linotype" w:cs="Palatino Linotype"/>
                                <w:b/>
                                <w:color w:val="000000"/>
                                <w:sz w:val="22"/>
                              </w:rPr>
                              <w:t>Amanalco</w:t>
                            </w:r>
                            <w:proofErr w:type="spellEnd"/>
                            <w:r>
                              <w:rPr>
                                <w:rFonts w:ascii="Palatino Linotype" w:eastAsia="Palatino Linotype" w:hAnsi="Palatino Linotype" w:cs="Palatino Linotype"/>
                                <w:b/>
                                <w:color w:val="000000"/>
                                <w:sz w:val="22"/>
                              </w:rPr>
                              <w:t>, Edo de México.</w:t>
                            </w:r>
                          </w:p>
                          <w:p w:rsidR="00C20A80" w:rsidRDefault="00C20A80" w:rsidP="00274480">
                            <w:pPr>
                              <w:textDirection w:val="btLr"/>
                            </w:pPr>
                          </w:p>
                          <w:p w:rsidR="00C20A80" w:rsidRDefault="00C20A80" w:rsidP="00274480">
                            <w:pPr>
                              <w:jc w:val="both"/>
                              <w:textDirection w:val="btLr"/>
                            </w:pPr>
                            <w:r>
                              <w:rPr>
                                <w:rFonts w:ascii="Palatino Linotype" w:eastAsia="Palatino Linotype" w:hAnsi="Palatino Linotype" w:cs="Palatino Linotype"/>
                                <w:b/>
                                <w:color w:val="000000"/>
                                <w:sz w:val="22"/>
                              </w:rPr>
                              <w:t xml:space="preserve">2.- De la existencia o inexistencia del registro y aviso sobre la oficina establecida y referida ante el órgano administrativo municipio de </w:t>
                            </w:r>
                            <w:proofErr w:type="spellStart"/>
                            <w:r>
                              <w:rPr>
                                <w:rFonts w:ascii="Palatino Linotype" w:eastAsia="Palatino Linotype" w:hAnsi="Palatino Linotype" w:cs="Palatino Linotype"/>
                                <w:b/>
                                <w:color w:val="000000"/>
                                <w:sz w:val="22"/>
                              </w:rPr>
                              <w:t>Amanalco</w:t>
                            </w:r>
                            <w:proofErr w:type="spellEnd"/>
                            <w:r>
                              <w:rPr>
                                <w:rFonts w:ascii="Palatino Linotype" w:eastAsia="Palatino Linotype" w:hAnsi="Palatino Linotype" w:cs="Palatino Linotype"/>
                                <w:b/>
                                <w:color w:val="000000"/>
                                <w:sz w:val="22"/>
                              </w:rPr>
                              <w:t>, Edo de México, como dispone en el vigente bando municipal 2023 referente al artículo 30º, que dispone: art.30.- las instituciones u organizaciones particulares constituidas legalmente, para prestar un servicio público de beneficencia o realizar actividades de participación social, en los aspectos culturales o políticos, deberán registrarse ante la autoridad competente y dar conocimiento al municipio.</w:t>
                            </w:r>
                          </w:p>
                        </w:txbxContent>
                      </wps:txbx>
                      <wps:bodyPr spcFirstLastPara="1" wrap="square" lIns="91425" tIns="45700" rIns="91425" bIns="45700" anchor="t" anchorCtr="0">
                        <a:noAutofit/>
                      </wps:bodyPr>
                    </wps:wsp>
                  </a:graphicData>
                </a:graphic>
              </wp:anchor>
            </w:drawing>
          </mc:Choice>
          <mc:Fallback>
            <w:pict>
              <v:rect w14:anchorId="759F1A89" id="Rectángulo 85" o:spid="_x0000_s1026" style="position:absolute;left:0;text-align:left;margin-left:0;margin-top:-.05pt;width:447pt;height:161.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" fillcolor="#ddd9c3">
                <v:stroke startarrowwidth="narrow" startarrowlength="short" endarrowwidth="narrow" endarrowlength="short" joinstyle="round"/>
                <v:textbox inset="2.53958mm,1.2694mm,2.53958mm,1.2694mm">
                  <w:txbxContent>
                    <w:p w:rsidR="00C20A80" w:rsidRDefault="00C20A80" w:rsidP="00274480">
                      <w:pPr>
                        <w:jc w:val="both"/>
                        <w:textDirection w:val="btLr"/>
                      </w:pPr>
                      <w:r>
                        <w:rPr>
                          <w:rFonts w:ascii="Palatino Linotype" w:eastAsia="Palatino Linotype" w:hAnsi="Palatino Linotype" w:cs="Palatino Linotype"/>
                          <w:b/>
                          <w:color w:val="000000"/>
                          <w:sz w:val="22"/>
                        </w:rPr>
                        <w:t>1.- Aviso o registro que acredite la dirección oficial de la oficina del comité municipal del PRI en el municipio de Amanalco, Edo de México.</w:t>
                      </w:r>
                    </w:p>
                    <w:p w:rsidR="00C20A80" w:rsidRDefault="00C20A80" w:rsidP="00274480">
                      <w:pPr>
                        <w:textDirection w:val="btLr"/>
                      </w:pPr>
                    </w:p>
                    <w:p w:rsidR="00C20A80" w:rsidRDefault="00C20A80" w:rsidP="00274480">
                      <w:pPr>
                        <w:jc w:val="both"/>
                        <w:textDirection w:val="btLr"/>
                      </w:pPr>
                      <w:r>
                        <w:rPr>
                          <w:rFonts w:ascii="Palatino Linotype" w:eastAsia="Palatino Linotype" w:hAnsi="Palatino Linotype" w:cs="Palatino Linotype"/>
                          <w:b/>
                          <w:color w:val="000000"/>
                          <w:sz w:val="22"/>
                        </w:rPr>
                        <w:t>2.- De la existencia o inexistencia del registro y aviso sobre la oficina establecida y referida ante el órgano administrativo municipio de Amanalco, Edo de México, como dispone en el vigente bando municipal 2023 referente al artículo 30º, que dispone: art.30.- las instituciones u organizaciones particulares constituidas legalmente, para prestar un servicio público de beneficencia o realizar actividades de participación social, en los aspectos culturales o políticos, deberán registrarse ante la autoridad competente y dar conocimiento al municipio.</w:t>
                      </w:r>
                    </w:p>
                  </w:txbxContent>
                </v:textbox>
              </v:rect>
            </w:pict>
          </mc:Fallback>
        </mc:AlternateContent>
      </w:r>
    </w:p>
    <w:p w:rsidR="00274480" w:rsidRPr="00AB0024" w:rsidRDefault="00274480">
      <w:pPr>
        <w:spacing w:before="240" w:after="240" w:line="360" w:lineRule="auto"/>
        <w:ind w:right="49"/>
        <w:jc w:val="both"/>
        <w:rPr>
          <w:rFonts w:ascii="Palatino Linotype" w:eastAsia="Palatino Linotype" w:hAnsi="Palatino Linotype" w:cs="Palatino Linotype"/>
          <w:color w:val="000000"/>
        </w:rPr>
      </w:pPr>
    </w:p>
    <w:p w:rsidR="00274480" w:rsidRPr="00AB0024" w:rsidRDefault="00274480">
      <w:pPr>
        <w:spacing w:before="240" w:after="240" w:line="360" w:lineRule="auto"/>
        <w:ind w:right="49"/>
        <w:jc w:val="both"/>
        <w:rPr>
          <w:rFonts w:ascii="Palatino Linotype" w:eastAsia="Palatino Linotype" w:hAnsi="Palatino Linotype" w:cs="Palatino Linotype"/>
          <w:color w:val="000000"/>
        </w:rPr>
      </w:pPr>
    </w:p>
    <w:p w:rsidR="00274480" w:rsidRPr="00AB0024" w:rsidRDefault="00274480">
      <w:pPr>
        <w:spacing w:before="240" w:after="240" w:line="360" w:lineRule="auto"/>
        <w:ind w:right="49"/>
        <w:jc w:val="both"/>
        <w:rPr>
          <w:rFonts w:ascii="Palatino Linotype" w:eastAsia="Palatino Linotype" w:hAnsi="Palatino Linotype" w:cs="Palatino Linotype"/>
          <w:color w:val="000000"/>
        </w:rPr>
      </w:pPr>
    </w:p>
    <w:p w:rsidR="00274480" w:rsidRPr="00AB0024" w:rsidRDefault="00274480">
      <w:pPr>
        <w:spacing w:before="240" w:after="240" w:line="360" w:lineRule="auto"/>
        <w:ind w:right="49"/>
        <w:jc w:val="both"/>
        <w:rPr>
          <w:rFonts w:ascii="Palatino Linotype" w:eastAsia="Palatino Linotype" w:hAnsi="Palatino Linotype" w:cs="Palatino Linotype"/>
          <w:color w:val="000000"/>
        </w:rPr>
      </w:pPr>
    </w:p>
    <w:p w:rsidR="00A620F1" w:rsidRPr="00AB0024" w:rsidRDefault="00C85659">
      <w:pP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En lo tocante </w:t>
      </w:r>
      <w:r w:rsidRPr="00AB0024">
        <w:rPr>
          <w:rFonts w:ascii="Palatino Linotype" w:eastAsia="Palatino Linotype" w:hAnsi="Palatino Linotype" w:cs="Palatino Linotype"/>
          <w:b/>
          <w:color w:val="000000"/>
          <w:u w:val="single"/>
        </w:rPr>
        <w:t>al aviso o registro</w:t>
      </w:r>
      <w:r w:rsidRPr="00AB0024">
        <w:rPr>
          <w:rFonts w:ascii="Palatino Linotype" w:eastAsia="Palatino Linotype" w:hAnsi="Palatino Linotype" w:cs="Palatino Linotype"/>
          <w:color w:val="000000"/>
        </w:rPr>
        <w:t xml:space="preserve"> de la oficina del comité municipal del PRI en el municipio de </w:t>
      </w:r>
      <w:proofErr w:type="spellStart"/>
      <w:r w:rsidRPr="00AB0024">
        <w:rPr>
          <w:rFonts w:ascii="Palatino Linotype" w:eastAsia="Palatino Linotype" w:hAnsi="Palatino Linotype" w:cs="Palatino Linotype"/>
          <w:color w:val="000000"/>
        </w:rPr>
        <w:t>Amanalco</w:t>
      </w:r>
      <w:proofErr w:type="spellEnd"/>
      <w:r w:rsidRPr="00AB0024">
        <w:rPr>
          <w:rFonts w:ascii="Palatino Linotype" w:eastAsia="Palatino Linotype" w:hAnsi="Palatino Linotype" w:cs="Palatino Linotype"/>
          <w:color w:val="000000"/>
        </w:rPr>
        <w:t xml:space="preserve">, Edo de México, en respuesta, la Titular de la Dirección de Gobierno Municipal señaló lo siguiente: </w:t>
      </w:r>
    </w:p>
    <w:p w:rsidR="00A620F1" w:rsidRPr="00AB0024" w:rsidRDefault="00C85659">
      <w:pP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 xml:space="preserve">“Respecto a este inciso le informo que la dirección de gobierno municipal del Ayuntamiento de </w:t>
      </w:r>
      <w:proofErr w:type="spellStart"/>
      <w:r w:rsidRPr="00AB0024">
        <w:rPr>
          <w:rFonts w:ascii="Palatino Linotype" w:eastAsia="Palatino Linotype" w:hAnsi="Palatino Linotype" w:cs="Palatino Linotype"/>
          <w:i/>
          <w:color w:val="000000"/>
          <w:sz w:val="22"/>
          <w:szCs w:val="22"/>
        </w:rPr>
        <w:t>Amanalco</w:t>
      </w:r>
      <w:proofErr w:type="spellEnd"/>
      <w:r w:rsidRPr="00AB0024">
        <w:rPr>
          <w:rFonts w:ascii="Palatino Linotype" w:eastAsia="Palatino Linotype" w:hAnsi="Palatino Linotype" w:cs="Palatino Linotype"/>
          <w:i/>
          <w:color w:val="000000"/>
          <w:sz w:val="22"/>
          <w:szCs w:val="22"/>
        </w:rPr>
        <w:t xml:space="preserve"> </w:t>
      </w:r>
      <w:r w:rsidRPr="00AB0024">
        <w:rPr>
          <w:rFonts w:ascii="Palatino Linotype" w:eastAsia="Palatino Linotype" w:hAnsi="Palatino Linotype" w:cs="Palatino Linotype"/>
          <w:b/>
          <w:i/>
          <w:color w:val="000000"/>
          <w:sz w:val="22"/>
          <w:szCs w:val="22"/>
          <w:u w:val="single"/>
        </w:rPr>
        <w:t xml:space="preserve">no se tiene registro alguno que acredite el funcionamiento de alguna oficina del comité municipal del Partido Revolucionario Institucional (PRI) en </w:t>
      </w:r>
      <w:proofErr w:type="spellStart"/>
      <w:r w:rsidRPr="00AB0024">
        <w:rPr>
          <w:rFonts w:ascii="Palatino Linotype" w:eastAsia="Palatino Linotype" w:hAnsi="Palatino Linotype" w:cs="Palatino Linotype"/>
          <w:b/>
          <w:i/>
          <w:color w:val="000000"/>
          <w:sz w:val="22"/>
          <w:szCs w:val="22"/>
          <w:u w:val="single"/>
        </w:rPr>
        <w:t>Amanalco</w:t>
      </w:r>
      <w:proofErr w:type="spellEnd"/>
      <w:r w:rsidRPr="00AB0024">
        <w:rPr>
          <w:rFonts w:ascii="Palatino Linotype" w:eastAsia="Palatino Linotype" w:hAnsi="Palatino Linotype" w:cs="Palatino Linotype"/>
          <w:b/>
          <w:i/>
          <w:color w:val="000000"/>
          <w:sz w:val="22"/>
          <w:szCs w:val="22"/>
          <w:u w:val="single"/>
        </w:rPr>
        <w:t xml:space="preserve"> que acredite la operación oficial de la oficina</w:t>
      </w:r>
      <w:r w:rsidRPr="00AB0024">
        <w:rPr>
          <w:rFonts w:ascii="Palatino Linotype" w:eastAsia="Palatino Linotype" w:hAnsi="Palatino Linotype" w:cs="Palatino Linotype"/>
          <w:i/>
          <w:color w:val="000000"/>
          <w:sz w:val="22"/>
          <w:szCs w:val="22"/>
        </w:rPr>
        <w:t>.” (Énfasis añadido)</w:t>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Posteriormente en la interposición del recurso de revisión, </w:t>
      </w:r>
      <w:r w:rsidRPr="00AB0024">
        <w:rPr>
          <w:rFonts w:ascii="Palatino Linotype" w:eastAsia="Palatino Linotype" w:hAnsi="Palatino Linotype" w:cs="Palatino Linotype"/>
          <w:b/>
          <w:color w:val="000000"/>
        </w:rPr>
        <w:t>la parte Recurrente</w:t>
      </w:r>
      <w:r w:rsidRPr="00AB0024">
        <w:rPr>
          <w:rFonts w:ascii="Palatino Linotype" w:eastAsia="Palatino Linotype" w:hAnsi="Palatino Linotype" w:cs="Palatino Linotype"/>
          <w:color w:val="000000"/>
        </w:rPr>
        <w:t xml:space="preserve"> manifestó lo siguiente: </w:t>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noProof/>
          <w:color w:val="000000"/>
          <w:lang w:val="es-MX"/>
        </w:rPr>
        <w:drawing>
          <wp:inline distT="0" distB="0" distL="0" distR="0">
            <wp:extent cx="5601482" cy="666843"/>
            <wp:effectExtent l="0" t="0" r="0" b="0"/>
            <wp:docPr id="9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5601482" cy="666843"/>
                    </a:xfrm>
                    <a:prstGeom prst="rect">
                      <a:avLst/>
                    </a:prstGeom>
                    <a:ln/>
                  </pic:spPr>
                </pic:pic>
              </a:graphicData>
            </a:graphic>
          </wp:inline>
        </w:drawing>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Así las cosas, en informe justificado, el </w:t>
      </w:r>
      <w:r w:rsidRPr="00AB0024">
        <w:rPr>
          <w:rFonts w:ascii="Palatino Linotype" w:eastAsia="Palatino Linotype" w:hAnsi="Palatino Linotype" w:cs="Palatino Linotype"/>
          <w:b/>
          <w:color w:val="000000"/>
        </w:rPr>
        <w:t>Sujeto Obligado</w:t>
      </w:r>
      <w:r w:rsidRPr="00AB0024">
        <w:rPr>
          <w:rFonts w:ascii="Palatino Linotype" w:eastAsia="Palatino Linotype" w:hAnsi="Palatino Linotype" w:cs="Palatino Linotype"/>
          <w:color w:val="000000"/>
        </w:rPr>
        <w:t xml:space="preserve"> se declara incompetente para atender la presente solicitud de información, ello bajo las siguientes consideraciones:</w:t>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noProof/>
          <w:color w:val="000000"/>
          <w:lang w:val="es-MX"/>
        </w:rPr>
        <w:lastRenderedPageBreak/>
        <w:drawing>
          <wp:inline distT="0" distB="0" distL="0" distR="0">
            <wp:extent cx="5612130" cy="2153920"/>
            <wp:effectExtent l="0" t="0" r="0" b="0"/>
            <wp:docPr id="9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612130" cy="2153920"/>
                    </a:xfrm>
                    <a:prstGeom prst="rect">
                      <a:avLst/>
                    </a:prstGeom>
                    <a:ln/>
                  </pic:spPr>
                </pic:pic>
              </a:graphicData>
            </a:graphic>
          </wp:inline>
        </w:drawing>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color w:val="000000"/>
        </w:rPr>
      </w:pPr>
      <w:r w:rsidRPr="00AB0024">
        <w:rPr>
          <w:rFonts w:ascii="Palatino Linotype" w:eastAsia="Palatino Linotype" w:hAnsi="Palatino Linotype" w:cs="Palatino Linotype"/>
          <w:color w:val="000000"/>
        </w:rPr>
        <w:t xml:space="preserve">Por otra parte, por cuanto hace al punto referente a </w:t>
      </w:r>
      <w:r w:rsidRPr="00AB0024">
        <w:rPr>
          <w:rFonts w:ascii="Palatino Linotype" w:eastAsia="Palatino Linotype" w:hAnsi="Palatino Linotype" w:cs="Palatino Linotype"/>
          <w:b/>
          <w:color w:val="000000"/>
        </w:rPr>
        <w:t xml:space="preserve">la existencia o inexistencia del registro y aviso sobre la oficina establecida y referida ante el órgano administrativo municipio de </w:t>
      </w:r>
      <w:proofErr w:type="spellStart"/>
      <w:r w:rsidRPr="00AB0024">
        <w:rPr>
          <w:rFonts w:ascii="Palatino Linotype" w:eastAsia="Palatino Linotype" w:hAnsi="Palatino Linotype" w:cs="Palatino Linotype"/>
          <w:b/>
          <w:color w:val="000000"/>
        </w:rPr>
        <w:t>Amanalco</w:t>
      </w:r>
      <w:proofErr w:type="spellEnd"/>
      <w:r w:rsidRPr="00AB0024">
        <w:rPr>
          <w:rFonts w:ascii="Palatino Linotype" w:eastAsia="Palatino Linotype" w:hAnsi="Palatino Linotype" w:cs="Palatino Linotype"/>
          <w:b/>
          <w:color w:val="000000"/>
        </w:rPr>
        <w:t xml:space="preserve">, Edo de México, como dispone en el vigente bando municipal 2023 referente al artículo 30º, </w:t>
      </w:r>
      <w:r w:rsidRPr="00AB0024">
        <w:rPr>
          <w:rFonts w:ascii="Palatino Linotype" w:eastAsia="Palatino Linotype" w:hAnsi="Palatino Linotype" w:cs="Palatino Linotype"/>
          <w:color w:val="000000"/>
        </w:rPr>
        <w:t>se tiene que en</w:t>
      </w:r>
      <w:r w:rsidRPr="00AB0024">
        <w:rPr>
          <w:rFonts w:ascii="Palatino Linotype" w:eastAsia="Palatino Linotype" w:hAnsi="Palatino Linotype" w:cs="Palatino Linotype"/>
          <w:b/>
          <w:color w:val="000000"/>
        </w:rPr>
        <w:t xml:space="preserve"> </w:t>
      </w:r>
      <w:r w:rsidRPr="00AB0024">
        <w:rPr>
          <w:rFonts w:ascii="Palatino Linotype" w:eastAsia="Palatino Linotype" w:hAnsi="Palatino Linotype" w:cs="Palatino Linotype"/>
          <w:color w:val="000000"/>
        </w:rPr>
        <w:t xml:space="preserve">respuesta, la Titular de la Dirección de Gobierno Municipal, refirió lo siguiente: </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“De acuerdo con este inciso debido a la inexistencia de aviso o registro hago de su conocimiento que esta dirección de gobierno municipal no reconoce la existencia de alguna institución u organización particular constituida legalmente para prestar un servicio público de beneficencia o realizar actividades de participación social, en los aspectos culturales o políticos, en la dirección que alude al inicio de su solicitud de información.”</w:t>
      </w:r>
    </w:p>
    <w:p w:rsidR="00A620F1" w:rsidRPr="00AB0024" w:rsidRDefault="00C85659">
      <w:pPr>
        <w:pBdr>
          <w:top w:val="nil"/>
          <w:left w:val="nil"/>
          <w:bottom w:val="nil"/>
          <w:right w:val="nil"/>
          <w:between w:val="nil"/>
        </w:pBdr>
        <w:spacing w:before="240" w:after="240" w:line="276"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En tal sentido, </w:t>
      </w:r>
      <w:r w:rsidRPr="00AB0024">
        <w:rPr>
          <w:rFonts w:ascii="Palatino Linotype" w:eastAsia="Palatino Linotype" w:hAnsi="Palatino Linotype" w:cs="Palatino Linotype"/>
          <w:b/>
          <w:color w:val="000000"/>
        </w:rPr>
        <w:t>la parte Recurrente</w:t>
      </w:r>
      <w:r w:rsidRPr="00AB0024">
        <w:rPr>
          <w:rFonts w:ascii="Palatino Linotype" w:eastAsia="Palatino Linotype" w:hAnsi="Palatino Linotype" w:cs="Palatino Linotype"/>
          <w:color w:val="000000"/>
        </w:rPr>
        <w:t xml:space="preserve"> expresó lo siguiente en su recurso de revisión: </w:t>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noProof/>
          <w:color w:val="000000"/>
          <w:lang w:val="es-MX"/>
        </w:rPr>
        <w:drawing>
          <wp:inline distT="0" distB="0" distL="0" distR="0">
            <wp:extent cx="5601482" cy="590632"/>
            <wp:effectExtent l="0" t="0" r="0" b="0"/>
            <wp:docPr id="9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601482" cy="590632"/>
                    </a:xfrm>
                    <a:prstGeom prst="rect">
                      <a:avLst/>
                    </a:prstGeom>
                    <a:ln/>
                  </pic:spPr>
                </pic:pic>
              </a:graphicData>
            </a:graphic>
          </wp:inline>
        </w:drawing>
      </w:r>
    </w:p>
    <w:p w:rsidR="00A620F1" w:rsidRPr="00AB0024" w:rsidRDefault="00C85659">
      <w:p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Posteriormente en informe justificado, se pronunció el Secretario del Ayuntamiento, quien emitió los siguientes señalamientos: </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lastRenderedPageBreak/>
        <w:t>“En uso de las facultades que me confiere el artículo 91 de la Ley Orgánica Municipal del Estado de México vigente, me permito hacerle de su conocimiento que una vez realizada la búsqueda minuciosa y exhaustiva en los archivos físicos que se encuentran dentro de esta secretaria, le informo a usted que no se ha encontrado ningún registro o información sobre lo antes referido.”</w:t>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Atentos a los argumentos previamente vertidos, debemos iniciar el análisis del presente punto señalando que el artículo 30 del Bando Municipal vigente, señala lo siguiente: </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 xml:space="preserve">“Artículo 30.- </w:t>
      </w:r>
      <w:r w:rsidRPr="00AB0024">
        <w:rPr>
          <w:rFonts w:ascii="Palatino Linotype" w:eastAsia="Palatino Linotype" w:hAnsi="Palatino Linotype" w:cs="Palatino Linotype"/>
          <w:b/>
          <w:i/>
          <w:color w:val="000000"/>
          <w:sz w:val="22"/>
          <w:szCs w:val="22"/>
        </w:rPr>
        <w:t xml:space="preserve">Las instituciones u organizaciones particulares, constituidas legalmente, para </w:t>
      </w:r>
      <w:r w:rsidRPr="00AB0024">
        <w:rPr>
          <w:rFonts w:ascii="Palatino Linotype" w:eastAsia="Palatino Linotype" w:hAnsi="Palatino Linotype" w:cs="Palatino Linotype"/>
          <w:i/>
          <w:color w:val="000000"/>
          <w:sz w:val="22"/>
          <w:szCs w:val="22"/>
        </w:rPr>
        <w:t xml:space="preserve">prestar un Servicio Público de beneficencia o </w:t>
      </w:r>
      <w:r w:rsidRPr="00AB0024">
        <w:rPr>
          <w:rFonts w:ascii="Palatino Linotype" w:eastAsia="Palatino Linotype" w:hAnsi="Palatino Linotype" w:cs="Palatino Linotype"/>
          <w:b/>
          <w:i/>
          <w:color w:val="000000"/>
          <w:sz w:val="22"/>
          <w:szCs w:val="22"/>
        </w:rPr>
        <w:t xml:space="preserve">realizar actividades de participación social, en los aspectos culturales o políticos, </w:t>
      </w:r>
      <w:r w:rsidRPr="00AB0024">
        <w:rPr>
          <w:rFonts w:ascii="Palatino Linotype" w:eastAsia="Palatino Linotype" w:hAnsi="Palatino Linotype" w:cs="Palatino Linotype"/>
          <w:b/>
          <w:i/>
          <w:color w:val="000000"/>
          <w:sz w:val="22"/>
          <w:szCs w:val="22"/>
          <w:u w:val="single"/>
        </w:rPr>
        <w:t>deberán registrarse ante la autoridad competente y dar conocimiento al Municipio</w:t>
      </w:r>
      <w:r w:rsidRPr="00AB0024">
        <w:rPr>
          <w:rFonts w:ascii="Palatino Linotype" w:eastAsia="Palatino Linotype" w:hAnsi="Palatino Linotype" w:cs="Palatino Linotype"/>
          <w:i/>
          <w:color w:val="000000"/>
          <w:sz w:val="22"/>
          <w:szCs w:val="22"/>
          <w:u w:val="single"/>
        </w:rPr>
        <w:t>.</w:t>
      </w:r>
      <w:r w:rsidRPr="00AB0024">
        <w:rPr>
          <w:rFonts w:ascii="Palatino Linotype" w:eastAsia="Palatino Linotype" w:hAnsi="Palatino Linotype" w:cs="Palatino Linotype"/>
          <w:i/>
          <w:color w:val="000000"/>
          <w:sz w:val="22"/>
          <w:szCs w:val="22"/>
        </w:rPr>
        <w:t>” (Énfasis añadido)</w:t>
      </w:r>
    </w:p>
    <w:p w:rsidR="006A56AF"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De tal suerte que con lo anteriormente citado se advierte que las organizaciones que realicen actividades de participación social en aspectos políticos deben registrarse ante la autoridad competente y</w:t>
      </w:r>
      <w:r w:rsidR="006A56AF" w:rsidRPr="00AB0024">
        <w:rPr>
          <w:rFonts w:ascii="Palatino Linotype" w:eastAsia="Palatino Linotype" w:hAnsi="Palatino Linotype" w:cs="Palatino Linotype"/>
          <w:color w:val="000000"/>
        </w:rPr>
        <w:t xml:space="preserve"> dar conocimiento al municipio, sin embargo, al no haberse realizado una búsqueda exhaustiva y razonable, no se tiene certeza de la existencia de la documentación solicitada dentro del patrimonio documental del </w:t>
      </w:r>
      <w:r w:rsidR="006A56AF" w:rsidRPr="00AB0024">
        <w:rPr>
          <w:rFonts w:ascii="Palatino Linotype" w:eastAsia="Palatino Linotype" w:hAnsi="Palatino Linotype" w:cs="Palatino Linotype"/>
          <w:b/>
          <w:color w:val="000000"/>
        </w:rPr>
        <w:t>Sujeto Obligado</w:t>
      </w:r>
      <w:r w:rsidR="006A56AF" w:rsidRPr="00AB0024">
        <w:rPr>
          <w:rFonts w:ascii="Palatino Linotype" w:eastAsia="Palatino Linotype" w:hAnsi="Palatino Linotype" w:cs="Palatino Linotype"/>
          <w:color w:val="000000"/>
        </w:rPr>
        <w:t>.</w:t>
      </w:r>
    </w:p>
    <w:p w:rsidR="006A56AF" w:rsidRPr="00AB0024" w:rsidRDefault="006A56AF" w:rsidP="006A56AF">
      <w:pPr>
        <w:pBdr>
          <w:top w:val="nil"/>
          <w:left w:val="nil"/>
          <w:bottom w:val="nil"/>
          <w:right w:val="nil"/>
          <w:between w:val="nil"/>
        </w:pBdr>
        <w:spacing w:before="240" w:after="240" w:line="360" w:lineRule="auto"/>
        <w:ind w:right="-93"/>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Derivado de lo anterior, al no haber sido turnada la solicitud a las diferentes unidades  administrativas que pudieran contar con lo solicitado, no se atendió el requerimiento de la persona solicitante, así resulta necesario tomar en cuenta el procedimiento de búsqueda que deben de  seguir los Sujetos Obligados para localizar la información, el cual se encuentra previsto en  los artículos 160 y 162 de la Ley de Transparencia y </w:t>
      </w:r>
      <w:r w:rsidRPr="00AB0024">
        <w:rPr>
          <w:rFonts w:ascii="Palatino Linotype" w:eastAsia="Palatino Linotype" w:hAnsi="Palatino Linotype" w:cs="Palatino Linotype"/>
          <w:color w:val="000000"/>
        </w:rPr>
        <w:lastRenderedPageBreak/>
        <w:t>Acceso a la Información Pública del Estado  de México y Municipios, mismo que es el siguiente:</w:t>
      </w:r>
    </w:p>
    <w:p w:rsidR="006A56AF" w:rsidRPr="00AB0024" w:rsidRDefault="006A56AF" w:rsidP="006A56AF">
      <w:pPr>
        <w:pBdr>
          <w:top w:val="nil"/>
          <w:left w:val="nil"/>
          <w:bottom w:val="nil"/>
          <w:right w:val="nil"/>
          <w:between w:val="nil"/>
        </w:pBdr>
        <w:spacing w:before="240" w:after="240" w:line="360" w:lineRule="auto"/>
        <w:ind w:right="-93"/>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1.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6A56AF" w:rsidRPr="00AB0024" w:rsidRDefault="006A56AF" w:rsidP="006A56AF">
      <w:pPr>
        <w:pBdr>
          <w:top w:val="nil"/>
          <w:left w:val="nil"/>
          <w:bottom w:val="nil"/>
          <w:right w:val="nil"/>
          <w:between w:val="nil"/>
        </w:pBdr>
        <w:spacing w:before="240" w:after="240" w:line="360" w:lineRule="auto"/>
        <w:ind w:right="-93"/>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2. 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006A56AF" w:rsidRPr="00AB0024" w:rsidRDefault="00C3682C">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En mérito de lo anteriormente señalado, se tiene que deberá efectuarse una búsqueda exhaustiva y razonable en las áreas competentes de la administración pública municipal, citando a manera de ejemplo a una de ellas, la Presidencia Municipal, en virtud de que conforme a la Ley Orgánica Municipal, cuenta con las siguientes atribuciones: </w:t>
      </w:r>
    </w:p>
    <w:p w:rsidR="00C3682C" w:rsidRPr="00AB0024" w:rsidRDefault="00C3682C" w:rsidP="00C3682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rPr>
      </w:pPr>
      <w:r w:rsidRPr="00AB0024">
        <w:rPr>
          <w:rFonts w:ascii="Palatino Linotype" w:eastAsia="Palatino Linotype" w:hAnsi="Palatino Linotype" w:cs="Palatino Linotype"/>
          <w:i/>
          <w:color w:val="000000"/>
          <w:sz w:val="22"/>
        </w:rPr>
        <w:t>“Artículo 48.- La persona titular de la presidencia municipal tiene las siguientes atribuciones:</w:t>
      </w:r>
    </w:p>
    <w:p w:rsidR="00C3682C" w:rsidRPr="00AB0024" w:rsidRDefault="00C3682C" w:rsidP="00C3682C">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rPr>
      </w:pPr>
      <w:r w:rsidRPr="00AB0024">
        <w:rPr>
          <w:rFonts w:ascii="Palatino Linotype" w:eastAsia="Palatino Linotype" w:hAnsi="Palatino Linotype" w:cs="Palatino Linotype"/>
          <w:i/>
          <w:color w:val="000000"/>
          <w:sz w:val="22"/>
        </w:rPr>
        <w:t>…</w:t>
      </w:r>
    </w:p>
    <w:p w:rsidR="006A56AF" w:rsidRPr="00AB0024" w:rsidRDefault="00C3682C" w:rsidP="0085518A">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rPr>
      </w:pPr>
      <w:r w:rsidRPr="00AB0024">
        <w:rPr>
          <w:rFonts w:ascii="Palatino Linotype" w:eastAsia="Palatino Linotype" w:hAnsi="Palatino Linotype" w:cs="Palatino Linotype"/>
          <w:i/>
          <w:color w:val="000000"/>
          <w:sz w:val="22"/>
        </w:rPr>
        <w:t>XVI. Cumplir y hacer cumplir dentro de su competencia, las disposiciones contenidas en las leyes y reglamentos federales, estatales y municipales, así como aplicar, a los infractores las sanciones correspondientes o remitirlos, en su caso, a las autoridades correspondientes;</w:t>
      </w:r>
      <w:r w:rsidR="0085518A" w:rsidRPr="00AB0024">
        <w:rPr>
          <w:rFonts w:ascii="Palatino Linotype" w:eastAsia="Palatino Linotype" w:hAnsi="Palatino Linotype" w:cs="Palatino Linotype"/>
          <w:i/>
          <w:color w:val="000000"/>
          <w:sz w:val="22"/>
        </w:rPr>
        <w:t>”</w:t>
      </w:r>
    </w:p>
    <w:p w:rsidR="00A620F1" w:rsidRPr="00AB0024" w:rsidRDefault="0085518A">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lastRenderedPageBreak/>
        <w:t>Por otra parte</w:t>
      </w:r>
      <w:r w:rsidR="00C85659" w:rsidRPr="00AB0024">
        <w:rPr>
          <w:rFonts w:ascii="Palatino Linotype" w:eastAsia="Palatino Linotype" w:hAnsi="Palatino Linotype" w:cs="Palatino Linotype"/>
          <w:color w:val="000000"/>
        </w:rPr>
        <w:t xml:space="preserve">, el referido Bando Municipal dispone lo siguiente: </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color w:val="000000"/>
          <w:sz w:val="22"/>
          <w:szCs w:val="22"/>
          <w:u w:val="single"/>
        </w:rPr>
      </w:pPr>
      <w:r w:rsidRPr="00AB0024">
        <w:rPr>
          <w:rFonts w:ascii="Palatino Linotype" w:eastAsia="Palatino Linotype" w:hAnsi="Palatino Linotype" w:cs="Palatino Linotype"/>
          <w:i/>
          <w:color w:val="000000"/>
          <w:sz w:val="22"/>
          <w:szCs w:val="22"/>
        </w:rPr>
        <w:t xml:space="preserve">“Artículo 184.- </w:t>
      </w:r>
      <w:r w:rsidRPr="00AB0024">
        <w:rPr>
          <w:rFonts w:ascii="Palatino Linotype" w:eastAsia="Palatino Linotype" w:hAnsi="Palatino Linotype" w:cs="Palatino Linotype"/>
          <w:b/>
          <w:i/>
          <w:color w:val="000000"/>
          <w:sz w:val="22"/>
          <w:szCs w:val="22"/>
        </w:rPr>
        <w:t>Toda actividad</w:t>
      </w:r>
      <w:r w:rsidRPr="00AB0024">
        <w:rPr>
          <w:rFonts w:ascii="Palatino Linotype" w:eastAsia="Palatino Linotype" w:hAnsi="Palatino Linotype" w:cs="Palatino Linotype"/>
          <w:i/>
          <w:color w:val="000000"/>
          <w:sz w:val="22"/>
          <w:szCs w:val="22"/>
        </w:rPr>
        <w:t xml:space="preserve"> comercial, industrial, </w:t>
      </w:r>
      <w:r w:rsidRPr="00AB0024">
        <w:rPr>
          <w:rFonts w:ascii="Palatino Linotype" w:eastAsia="Palatino Linotype" w:hAnsi="Palatino Linotype" w:cs="Palatino Linotype"/>
          <w:b/>
          <w:i/>
          <w:color w:val="000000"/>
          <w:sz w:val="22"/>
          <w:szCs w:val="22"/>
          <w:u w:val="single"/>
        </w:rPr>
        <w:t>profesional o de servicios que realicen los particulares o los organismos públicos, requiere autorización, licencia o permiso temporal del Ayuntamiento y deberá sujetarse a las determinaciones de éste y a las normas y Leyes vigentes en la materia.</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Artículo 185.- La licencia, permiso o autorización que otorgue la Autoridad Municipal, dará al particular únicamente el derecho de ejercer la actividad para la que fue concedido, en la forma y términos expresos en el documento y será válido durante el año calendario en el que se expida, a excepción de las licencias de construcción, cuya vigencia será de 365 días naturales.</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Para la expedición de la licencia, permiso o autorización a que se refiere este artículo, el solicitante deberá cubrir previamente los requisitos fiscales, técnicos y/o administrativos que los ordenamientos aplicables exijan.</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La revalidación de la licencia, permiso o autorización será a petición de su titular, previo el pago de los derechos correspondientes y deberá realizarse durante los tres primeros meses del año, quedando cancelado en caso de no hacerlo; la autoridad competente expedirá la constancia de revalidación en un término de siete días hábiles.</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Las autorizaciones, licencias o permisos, quedarán sin efecto si se incumplieran las condiciones a que estuvieran subordinados y deberán ser revocados cuando desaparezcan las condiciones o circunstancias que motivaron su otorgamiento, previa garantía de audiencia de los titulares.</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 xml:space="preserve">Artículo 187.- </w:t>
      </w:r>
      <w:r w:rsidRPr="00AB0024">
        <w:rPr>
          <w:rFonts w:ascii="Palatino Linotype" w:eastAsia="Palatino Linotype" w:hAnsi="Palatino Linotype" w:cs="Palatino Linotype"/>
          <w:b/>
          <w:i/>
          <w:color w:val="000000"/>
          <w:sz w:val="22"/>
          <w:szCs w:val="22"/>
        </w:rPr>
        <w:t xml:space="preserve">En congruencia con las disposiciones contenidas en el Plan de Desarrollo Municipal de </w:t>
      </w:r>
      <w:proofErr w:type="spellStart"/>
      <w:r w:rsidRPr="00AB0024">
        <w:rPr>
          <w:rFonts w:ascii="Palatino Linotype" w:eastAsia="Palatino Linotype" w:hAnsi="Palatino Linotype" w:cs="Palatino Linotype"/>
          <w:b/>
          <w:i/>
          <w:color w:val="000000"/>
          <w:sz w:val="22"/>
          <w:szCs w:val="22"/>
        </w:rPr>
        <w:t>Amanalco</w:t>
      </w:r>
      <w:proofErr w:type="spellEnd"/>
      <w:r w:rsidRPr="00AB0024">
        <w:rPr>
          <w:rFonts w:ascii="Palatino Linotype" w:eastAsia="Palatino Linotype" w:hAnsi="Palatino Linotype" w:cs="Palatino Linotype"/>
          <w:b/>
          <w:i/>
          <w:color w:val="000000"/>
          <w:sz w:val="22"/>
          <w:szCs w:val="22"/>
        </w:rPr>
        <w:t xml:space="preserve">, </w:t>
      </w:r>
      <w:r w:rsidRPr="00AB0024">
        <w:rPr>
          <w:rFonts w:ascii="Palatino Linotype" w:eastAsia="Palatino Linotype" w:hAnsi="Palatino Linotype" w:cs="Palatino Linotype"/>
          <w:b/>
          <w:i/>
          <w:color w:val="000000"/>
          <w:sz w:val="22"/>
          <w:szCs w:val="22"/>
          <w:u w:val="single"/>
        </w:rPr>
        <w:t>el Ayuntamiento a través de la Dirección de Desarrollo Económico otorgará las licencias, autorizaciones o permisos de funcionamiento de los establecimientos</w:t>
      </w:r>
      <w:r w:rsidRPr="00AB0024">
        <w:rPr>
          <w:rFonts w:ascii="Palatino Linotype" w:eastAsia="Palatino Linotype" w:hAnsi="Palatino Linotype" w:cs="Palatino Linotype"/>
          <w:i/>
          <w:color w:val="000000"/>
          <w:sz w:val="22"/>
          <w:szCs w:val="22"/>
        </w:rPr>
        <w:t xml:space="preserve"> comerciales, industriales y </w:t>
      </w:r>
      <w:r w:rsidRPr="00AB0024">
        <w:rPr>
          <w:rFonts w:ascii="Palatino Linotype" w:eastAsia="Palatino Linotype" w:hAnsi="Palatino Linotype" w:cs="Palatino Linotype"/>
          <w:b/>
          <w:i/>
          <w:color w:val="000000"/>
          <w:sz w:val="22"/>
          <w:szCs w:val="22"/>
        </w:rPr>
        <w:t>de servicios de bajo impacto y de nueva apertura</w:t>
      </w:r>
      <w:r w:rsidRPr="00AB0024">
        <w:rPr>
          <w:rFonts w:ascii="Palatino Linotype" w:eastAsia="Palatino Linotype" w:hAnsi="Palatino Linotype" w:cs="Palatino Linotype"/>
          <w:i/>
          <w:color w:val="000000"/>
          <w:sz w:val="22"/>
          <w:szCs w:val="22"/>
        </w:rPr>
        <w:t xml:space="preserve">, sólo en aquellas zonas donde lo permita el uso del suelo. </w:t>
      </w:r>
      <w:r w:rsidRPr="00AB0024">
        <w:rPr>
          <w:rFonts w:ascii="Palatino Linotype" w:eastAsia="Palatino Linotype" w:hAnsi="Palatino Linotype" w:cs="Palatino Linotype"/>
          <w:b/>
          <w:i/>
          <w:color w:val="000000"/>
          <w:sz w:val="22"/>
          <w:szCs w:val="22"/>
        </w:rPr>
        <w:t xml:space="preserve">Dicho permiso tendrá una vigencia anual y una vez culminado el periodo de vigencia, </w:t>
      </w:r>
      <w:r w:rsidRPr="00AB0024">
        <w:rPr>
          <w:rFonts w:ascii="Palatino Linotype" w:eastAsia="Palatino Linotype" w:hAnsi="Palatino Linotype" w:cs="Palatino Linotype"/>
          <w:b/>
          <w:i/>
          <w:color w:val="000000"/>
          <w:sz w:val="22"/>
          <w:szCs w:val="22"/>
          <w:u w:val="single"/>
        </w:rPr>
        <w:t xml:space="preserve">deberá ser renovado ante la Dirección de </w:t>
      </w:r>
      <w:r w:rsidRPr="00AB0024">
        <w:rPr>
          <w:rFonts w:ascii="Palatino Linotype" w:eastAsia="Palatino Linotype" w:hAnsi="Palatino Linotype" w:cs="Palatino Linotype"/>
          <w:b/>
          <w:i/>
          <w:color w:val="000000"/>
          <w:sz w:val="22"/>
          <w:szCs w:val="22"/>
          <w:u w:val="single"/>
        </w:rPr>
        <w:lastRenderedPageBreak/>
        <w:t>Gobierno Municipal</w:t>
      </w:r>
      <w:r w:rsidRPr="00AB0024">
        <w:rPr>
          <w:rFonts w:ascii="Palatino Linotype" w:eastAsia="Palatino Linotype" w:hAnsi="Palatino Linotype" w:cs="Palatino Linotype"/>
          <w:b/>
          <w:i/>
          <w:color w:val="000000"/>
          <w:sz w:val="22"/>
          <w:szCs w:val="22"/>
        </w:rPr>
        <w:t xml:space="preserve">, cumpliendo con el pago correspondiente de acuerdo al Código Financiero del Estado de México y Municipios.” </w:t>
      </w:r>
      <w:r w:rsidRPr="00AB0024">
        <w:rPr>
          <w:rFonts w:ascii="Palatino Linotype" w:eastAsia="Palatino Linotype" w:hAnsi="Palatino Linotype" w:cs="Palatino Linotype"/>
          <w:i/>
          <w:color w:val="000000"/>
          <w:sz w:val="22"/>
          <w:szCs w:val="22"/>
        </w:rPr>
        <w:t>(Énfasis añadido)</w:t>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Así las cosas, de la consulta al Catálogo Mexiquense de Actividades Industriales, Comerciales y de Servicios de Bajo Riesgo, se tiene que se considera a las  Asociaciones y organizaciones políticas, como actividades industriales, comerciales y servicios de bajo riesgo, sirve de referencia la siguiente ilustración: </w:t>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noProof/>
          <w:color w:val="000000"/>
          <w:lang w:val="es-MX"/>
        </w:rPr>
        <w:drawing>
          <wp:inline distT="0" distB="0" distL="0" distR="0">
            <wp:extent cx="5612130" cy="1280795"/>
            <wp:effectExtent l="0" t="0" r="0" b="0"/>
            <wp:docPr id="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612130" cy="1280795"/>
                    </a:xfrm>
                    <a:prstGeom prst="rect">
                      <a:avLst/>
                    </a:prstGeom>
                    <a:ln/>
                  </pic:spPr>
                </pic:pic>
              </a:graphicData>
            </a:graphic>
          </wp:inline>
        </w:drawing>
      </w:r>
      <w:r w:rsidRPr="00AB0024">
        <w:rPr>
          <w:noProof/>
          <w:lang w:val="es-MX"/>
        </w:rPr>
        <mc:AlternateContent>
          <mc:Choice Requires="wps">
            <w:drawing>
              <wp:anchor distT="0" distB="0" distL="114300" distR="114300" simplePos="0" relativeHeight="251660288" behindDoc="0" locked="0" layoutInCell="1" hidden="0" allowOverlap="1">
                <wp:simplePos x="0" y="0"/>
                <wp:positionH relativeFrom="column">
                  <wp:posOffset>1</wp:posOffset>
                </wp:positionH>
                <wp:positionV relativeFrom="paragraph">
                  <wp:posOffset>825500</wp:posOffset>
                </wp:positionV>
                <wp:extent cx="5669280" cy="285750"/>
                <wp:effectExtent l="0" t="0" r="0" b="0"/>
                <wp:wrapNone/>
                <wp:docPr id="87" name="Rectángulo 87"/>
                <wp:cNvGraphicFramePr/>
                <a:graphic xmlns:a="http://schemas.openxmlformats.org/drawingml/2006/main">
                  <a:graphicData uri="http://schemas.microsoft.com/office/word/2010/wordprocessingShape">
                    <wps:wsp>
                      <wps:cNvSpPr/>
                      <wps:spPr>
                        <a:xfrm>
                          <a:off x="2539935" y="3665700"/>
                          <a:ext cx="5612130" cy="228600"/>
                        </a:xfrm>
                        <a:prstGeom prst="rect">
                          <a:avLst/>
                        </a:prstGeom>
                        <a:noFill/>
                        <a:ln w="28575" cap="flat" cmpd="sng">
                          <a:solidFill>
                            <a:srgbClr val="FF0000"/>
                          </a:solidFill>
                          <a:prstDash val="solid"/>
                          <a:round/>
                          <a:headEnd type="none" w="sm" len="sm"/>
                          <a:tailEnd type="none" w="sm" len="sm"/>
                        </a:ln>
                      </wps:spPr>
                      <wps:txbx>
                        <w:txbxContent>
                          <w:p w:rsidR="00C20A80" w:rsidRDefault="00C20A80">
                            <w:pPr>
                              <w:textDirection w:val="btLr"/>
                            </w:pPr>
                          </w:p>
                        </w:txbxContent>
                      </wps:txbx>
                      <wps:bodyPr spcFirstLastPara="1" wrap="square" lIns="91425" tIns="91425" rIns="91425" bIns="91425" anchor="ctr" anchorCtr="0">
                        <a:noAutofit/>
                      </wps:bodyPr>
                    </wps:wsp>
                  </a:graphicData>
                </a:graphic>
              </wp:anchor>
            </w:drawing>
          </mc:Choice>
          <mc:Fallback>
            <w:pict>
              <v:rect id="Rectángulo 87" o:spid="_x0000_s1027" style="position:absolute;left:0;text-align:left;margin-left:0;margin-top:65pt;width:446.4pt;height: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" filled="f" strokecolor="red" strokeweight="2.25pt">
                <v:stroke startarrowwidth="narrow" startarrowlength="short" endarrowwidth="narrow" endarrowlength="short" joinstyle="round"/>
                <v:textbox inset="2.53958mm,2.53958mm,2.53958mm,2.53958mm">
                  <w:txbxContent>
                    <w:p w:rsidR="00C20A80" w:rsidRDefault="00C20A80">
                      <w:pPr>
                        <w:textDirection w:val="btLr"/>
                      </w:pPr>
                    </w:p>
                  </w:txbxContent>
                </v:textbox>
              </v:rect>
            </w:pict>
          </mc:Fallback>
        </mc:AlternateContent>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Conforme a lo señalado, se advierte que las licencias son expedidas a petición de los  particulares, por lo que en efecto el </w:t>
      </w:r>
      <w:r w:rsidRPr="00AB0024">
        <w:rPr>
          <w:rFonts w:ascii="Palatino Linotype" w:eastAsia="Palatino Linotype" w:hAnsi="Palatino Linotype" w:cs="Palatino Linotype"/>
          <w:b/>
          <w:color w:val="000000"/>
        </w:rPr>
        <w:t>Sujeto Obligado</w:t>
      </w:r>
      <w:r w:rsidRPr="00AB0024">
        <w:rPr>
          <w:rFonts w:ascii="Palatino Linotype" w:eastAsia="Palatino Linotype" w:hAnsi="Palatino Linotype" w:cs="Palatino Linotype"/>
          <w:color w:val="000000"/>
        </w:rPr>
        <w:t xml:space="preserve"> puede no contar con la información requerida, no obstante, de la normatividad transcrita, se concluye que la Dirección de Desarrollo Económico es quien expide las licencias de funcionamiento a establecimientos de bajo impacto y de nueva apertura y la Dirección de Gobierno Municipal es la encargada de renovarlas, por lo que de la respuesta proporcionada sólo se advierte que se turnó la solicitud a una sola unidad  administrativa que pudiera haber contado con la información.</w:t>
      </w:r>
    </w:p>
    <w:p w:rsidR="00A620F1" w:rsidRPr="00AB0024" w:rsidRDefault="00C85659">
      <w:pPr>
        <w:pBdr>
          <w:top w:val="nil"/>
          <w:left w:val="nil"/>
          <w:bottom w:val="nil"/>
          <w:right w:val="nil"/>
          <w:between w:val="nil"/>
        </w:pBdr>
        <w:spacing w:before="240" w:after="240" w:line="360" w:lineRule="auto"/>
        <w:ind w:right="49"/>
        <w:jc w:val="both"/>
        <w:rPr>
          <w:color w:val="000000"/>
        </w:rPr>
      </w:pPr>
      <w:r w:rsidRPr="00AB0024">
        <w:rPr>
          <w:rFonts w:ascii="Palatino Linotype" w:eastAsia="Palatino Linotype" w:hAnsi="Palatino Linotype" w:cs="Palatino Linotype"/>
          <w:color w:val="000000"/>
        </w:rPr>
        <w:t>Es por todo lo expuesto que este Instituto estima pertinente ordenar una búsqueda exhaustiva y razonable</w:t>
      </w:r>
      <w:r w:rsidR="0085518A" w:rsidRPr="00AB0024">
        <w:rPr>
          <w:rFonts w:ascii="Palatino Linotype" w:eastAsia="Palatino Linotype" w:hAnsi="Palatino Linotype" w:cs="Palatino Linotype"/>
          <w:color w:val="000000"/>
        </w:rPr>
        <w:t xml:space="preserve"> en todas las áreas que conforman la administración pública municipal</w:t>
      </w:r>
      <w:r w:rsidR="00655F49" w:rsidRPr="00AB0024">
        <w:rPr>
          <w:rFonts w:ascii="Palatino Linotype" w:eastAsia="Palatino Linotype" w:hAnsi="Palatino Linotype" w:cs="Palatino Linotype"/>
          <w:color w:val="000000"/>
        </w:rPr>
        <w:t xml:space="preserve"> en las que pudiera obrar la información solicitada</w:t>
      </w:r>
      <w:r w:rsidR="0085518A" w:rsidRPr="00AB0024">
        <w:rPr>
          <w:rFonts w:ascii="Palatino Linotype" w:eastAsia="Palatino Linotype" w:hAnsi="Palatino Linotype" w:cs="Palatino Linotype"/>
          <w:color w:val="000000"/>
        </w:rPr>
        <w:t>,</w:t>
      </w:r>
      <w:r w:rsidRPr="00AB0024">
        <w:rPr>
          <w:rFonts w:ascii="Palatino Linotype" w:eastAsia="Palatino Linotype" w:hAnsi="Palatino Linotype" w:cs="Palatino Linotype"/>
          <w:color w:val="000000"/>
        </w:rPr>
        <w:t xml:space="preserve"> para efecto de entregar los documentos que den cuenta del  aviso o registro de la oficina del comité municipal del PRI en el municipio de </w:t>
      </w:r>
      <w:proofErr w:type="spellStart"/>
      <w:r w:rsidRPr="00AB0024">
        <w:rPr>
          <w:rFonts w:ascii="Palatino Linotype" w:eastAsia="Palatino Linotype" w:hAnsi="Palatino Linotype" w:cs="Palatino Linotype"/>
          <w:color w:val="000000"/>
        </w:rPr>
        <w:t>Amanalco</w:t>
      </w:r>
      <w:proofErr w:type="spellEnd"/>
      <w:r w:rsidRPr="00AB0024">
        <w:rPr>
          <w:rFonts w:ascii="Palatino Linotype" w:eastAsia="Palatino Linotype" w:hAnsi="Palatino Linotype" w:cs="Palatino Linotype"/>
          <w:color w:val="000000"/>
        </w:rPr>
        <w:t xml:space="preserve">, Edo de México, vigente o que obre </w:t>
      </w:r>
      <w:r w:rsidRPr="00AB0024">
        <w:rPr>
          <w:rFonts w:ascii="Palatino Linotype" w:eastAsia="Palatino Linotype" w:hAnsi="Palatino Linotype" w:cs="Palatino Linotype"/>
          <w:color w:val="000000"/>
        </w:rPr>
        <w:lastRenderedPageBreak/>
        <w:t>en sus archivos al quince de mayo de dos mil veintitrés, de ser procedente en versión pública, en términos del siguiente considerando, sin embargo, para el caso en el  que no se llegaran a localizar la documentación, en virtud de que no se genera, posee o administra,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rsidR="00A620F1" w:rsidRPr="00AB0024" w:rsidRDefault="00C85659">
      <w:pPr>
        <w:pBdr>
          <w:top w:val="nil"/>
          <w:left w:val="nil"/>
          <w:bottom w:val="nil"/>
          <w:right w:val="nil"/>
          <w:between w:val="nil"/>
        </w:pBdr>
        <w:spacing w:before="240" w:after="240"/>
        <w:ind w:left="860" w:right="900"/>
        <w:jc w:val="both"/>
        <w:rPr>
          <w:color w:val="000000"/>
        </w:rPr>
      </w:pPr>
      <w:r w:rsidRPr="00AB0024">
        <w:rPr>
          <w:rFonts w:ascii="Palatino Linotype" w:eastAsia="Palatino Linotype" w:hAnsi="Palatino Linotype" w:cs="Palatino Linotype"/>
          <w:i/>
          <w:color w:val="000000"/>
          <w:sz w:val="22"/>
          <w:szCs w:val="22"/>
        </w:rPr>
        <w:t>“</w:t>
      </w:r>
      <w:r w:rsidRPr="00AB0024">
        <w:rPr>
          <w:rFonts w:ascii="Palatino Linotype" w:eastAsia="Palatino Linotype" w:hAnsi="Palatino Linotype" w:cs="Palatino Linotype"/>
          <w:b/>
          <w:i/>
          <w:color w:val="000000"/>
          <w:sz w:val="22"/>
          <w:szCs w:val="22"/>
        </w:rPr>
        <w:t>Artículo 19</w:t>
      </w:r>
      <w:r w:rsidRPr="00AB0024">
        <w:rPr>
          <w:rFonts w:ascii="Palatino Linotype" w:eastAsia="Palatino Linotype" w:hAnsi="Palatino Linotype" w:cs="Palatino Linotype"/>
          <w:i/>
          <w:color w:val="000000"/>
          <w:sz w:val="22"/>
          <w:szCs w:val="22"/>
        </w:rPr>
        <w:t>…</w:t>
      </w:r>
    </w:p>
    <w:p w:rsidR="00A620F1" w:rsidRPr="00AB0024" w:rsidRDefault="00C85659">
      <w:pPr>
        <w:pBdr>
          <w:top w:val="nil"/>
          <w:left w:val="nil"/>
          <w:bottom w:val="nil"/>
          <w:right w:val="nil"/>
          <w:between w:val="nil"/>
        </w:pBdr>
        <w:spacing w:before="240" w:after="240"/>
        <w:ind w:left="860"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En los casos en que ciertas facultades, competencias o funciones no se hayan ejercido, se debe motivar la respuesta en función de las causas que motiven tal circunstancia.”</w:t>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noProof/>
          <w:lang w:val="es-MX"/>
        </w:rPr>
        <mc:AlternateContent>
          <mc:Choice Requires="wps">
            <w:drawing>
              <wp:anchor distT="0" distB="0" distL="114300" distR="114300" simplePos="0" relativeHeight="251661312" behindDoc="0" locked="0" layoutInCell="1" hidden="0" allowOverlap="1">
                <wp:simplePos x="0" y="0"/>
                <wp:positionH relativeFrom="column">
                  <wp:posOffset>-165099</wp:posOffset>
                </wp:positionH>
                <wp:positionV relativeFrom="paragraph">
                  <wp:posOffset>114300</wp:posOffset>
                </wp:positionV>
                <wp:extent cx="5695950" cy="714375"/>
                <wp:effectExtent l="0" t="0" r="0" b="0"/>
                <wp:wrapNone/>
                <wp:docPr id="84" name="Rectángulo 84"/>
                <wp:cNvGraphicFramePr/>
                <a:graphic xmlns:a="http://schemas.openxmlformats.org/drawingml/2006/main">
                  <a:graphicData uri="http://schemas.microsoft.com/office/word/2010/wordprocessingShape">
                    <wps:wsp>
                      <wps:cNvSpPr/>
                      <wps:spPr>
                        <a:xfrm>
                          <a:off x="2502788" y="3427575"/>
                          <a:ext cx="5686425" cy="704850"/>
                        </a:xfrm>
                        <a:prstGeom prst="rect">
                          <a:avLst/>
                        </a:prstGeom>
                        <a:solidFill>
                          <a:srgbClr val="DDD9C3"/>
                        </a:solidFill>
                        <a:ln w="9525" cap="flat" cmpd="sng">
                          <a:solidFill>
                            <a:srgbClr val="000000"/>
                          </a:solidFill>
                          <a:prstDash val="solid"/>
                          <a:round/>
                          <a:headEnd type="none" w="sm" len="sm"/>
                          <a:tailEnd type="none" w="sm" len="sm"/>
                        </a:ln>
                      </wps:spPr>
                      <wps:txbx>
                        <w:txbxContent>
                          <w:p w:rsidR="00C20A80" w:rsidRDefault="00C20A80">
                            <w:pPr>
                              <w:jc w:val="both"/>
                              <w:textDirection w:val="btLr"/>
                            </w:pPr>
                            <w:r>
                              <w:rPr>
                                <w:rFonts w:ascii="Palatino Linotype" w:eastAsia="Palatino Linotype" w:hAnsi="Palatino Linotype" w:cs="Palatino Linotype"/>
                                <w:b/>
                                <w:color w:val="000000"/>
                                <w:sz w:val="22"/>
                              </w:rPr>
                              <w:t xml:space="preserve">3.- informe si dicha oficina ocupada por el comité municipal del PRI en el municipio de </w:t>
                            </w:r>
                            <w:proofErr w:type="spellStart"/>
                            <w:r>
                              <w:rPr>
                                <w:rFonts w:ascii="Palatino Linotype" w:eastAsia="Palatino Linotype" w:hAnsi="Palatino Linotype" w:cs="Palatino Linotype"/>
                                <w:b/>
                                <w:color w:val="000000"/>
                                <w:sz w:val="22"/>
                              </w:rPr>
                              <w:t>Amanalco</w:t>
                            </w:r>
                            <w:proofErr w:type="spellEnd"/>
                            <w:r>
                              <w:rPr>
                                <w:rFonts w:ascii="Palatino Linotype" w:eastAsia="Palatino Linotype" w:hAnsi="Palatino Linotype" w:cs="Palatino Linotype"/>
                                <w:b/>
                                <w:color w:val="000000"/>
                                <w:sz w:val="22"/>
                              </w:rPr>
                              <w:t xml:space="preserve"> Edo de México cuenta con (contrato de arrendamiento u otro) y si se destina recursos para el pago de renta u otro y de servicios.</w:t>
                            </w:r>
                          </w:p>
                        </w:txbxContent>
                      </wps:txbx>
                      <wps:bodyPr spcFirstLastPara="1" wrap="square" lIns="91425" tIns="45700" rIns="91425" bIns="45700" anchor="t" anchorCtr="0">
                        <a:noAutofit/>
                      </wps:bodyPr>
                    </wps:wsp>
                  </a:graphicData>
                </a:graphic>
              </wp:anchor>
            </w:drawing>
          </mc:Choice>
          <mc:Fallback>
            <w:pict>
              <v:rect id="Rectángulo 84" o:spid="_x0000_s1028" style="position:absolute;left:0;text-align:left;margin-left:-13pt;margin-top:9pt;width:448.5pt;height:56.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" fillcolor="#ddd9c3">
                <v:stroke startarrowwidth="narrow" startarrowlength="short" endarrowwidth="narrow" endarrowlength="short" joinstyle="round"/>
                <v:textbox inset="2.53958mm,1.2694mm,2.53958mm,1.2694mm">
                  <w:txbxContent>
                    <w:p w:rsidR="00C20A80" w:rsidRDefault="00C20A80">
                      <w:pPr>
                        <w:jc w:val="both"/>
                        <w:textDirection w:val="btLr"/>
                      </w:pPr>
                      <w:r>
                        <w:rPr>
                          <w:rFonts w:ascii="Palatino Linotype" w:eastAsia="Palatino Linotype" w:hAnsi="Palatino Linotype" w:cs="Palatino Linotype"/>
                          <w:b/>
                          <w:color w:val="000000"/>
                          <w:sz w:val="22"/>
                        </w:rPr>
                        <w:t>3.- informe si dicha oficina ocupada por el comité municipal del PRI en el municipio de Amanalco Edo de México cuenta con (contrato de arrendamiento u otro) y si se destina recursos para el pago de renta u otro y de servicios.</w:t>
                      </w:r>
                    </w:p>
                  </w:txbxContent>
                </v:textbox>
              </v:rect>
            </w:pict>
          </mc:Fallback>
        </mc:AlternateContent>
      </w:r>
    </w:p>
    <w:p w:rsidR="00A620F1" w:rsidRPr="00AB0024" w:rsidRDefault="00A620F1">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En lo tocante a este punto, la Titular de la Dirección de Gobierno Municipal refirió lo siguiente: </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 xml:space="preserve">“Respecto a este inciso informarle que la Dirección de Gobierno municipal del Ayuntamiento de </w:t>
      </w:r>
      <w:proofErr w:type="spellStart"/>
      <w:r w:rsidRPr="00AB0024">
        <w:rPr>
          <w:rFonts w:ascii="Palatino Linotype" w:eastAsia="Palatino Linotype" w:hAnsi="Palatino Linotype" w:cs="Palatino Linotype"/>
          <w:i/>
          <w:color w:val="000000"/>
          <w:sz w:val="22"/>
          <w:szCs w:val="22"/>
        </w:rPr>
        <w:t>Amanalco</w:t>
      </w:r>
      <w:proofErr w:type="spellEnd"/>
      <w:r w:rsidRPr="00AB0024">
        <w:rPr>
          <w:rFonts w:ascii="Palatino Linotype" w:eastAsia="Palatino Linotype" w:hAnsi="Palatino Linotype" w:cs="Palatino Linotype"/>
          <w:i/>
          <w:color w:val="000000"/>
          <w:sz w:val="22"/>
          <w:szCs w:val="22"/>
        </w:rPr>
        <w:t xml:space="preserve"> desconoce si dicho inmueble cuenta con contrato de arrendamiento u otros documentos que acrediten la ocupación del mismo, ya que esta área no es competente para llevar a cabo este trámite, por lo anterior </w:t>
      </w:r>
      <w:r w:rsidRPr="00AB0024">
        <w:rPr>
          <w:rFonts w:ascii="Palatino Linotype" w:eastAsia="Palatino Linotype" w:hAnsi="Palatino Linotype" w:cs="Palatino Linotype"/>
          <w:b/>
          <w:i/>
          <w:color w:val="000000"/>
          <w:sz w:val="22"/>
          <w:szCs w:val="22"/>
          <w:u w:val="single"/>
        </w:rPr>
        <w:t>se le sugiere al particular que solicite la información al sujeto obligado competente, en este caso al partido revolucionario institucional.</w:t>
      </w:r>
      <w:r w:rsidRPr="00AB0024">
        <w:rPr>
          <w:rFonts w:ascii="Palatino Linotype" w:eastAsia="Palatino Linotype" w:hAnsi="Palatino Linotype" w:cs="Palatino Linotype"/>
          <w:i/>
          <w:color w:val="000000"/>
          <w:sz w:val="22"/>
          <w:szCs w:val="22"/>
        </w:rPr>
        <w:t>” (Énfasis añadido)</w:t>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Al momento de interponer el recurso de revisión que nos ocupa, </w:t>
      </w:r>
      <w:r w:rsidRPr="00AB0024">
        <w:rPr>
          <w:rFonts w:ascii="Palatino Linotype" w:eastAsia="Palatino Linotype" w:hAnsi="Palatino Linotype" w:cs="Palatino Linotype"/>
          <w:b/>
          <w:color w:val="000000"/>
        </w:rPr>
        <w:t>la parte Recurrente</w:t>
      </w:r>
      <w:r w:rsidRPr="00AB0024">
        <w:rPr>
          <w:rFonts w:ascii="Palatino Linotype" w:eastAsia="Palatino Linotype" w:hAnsi="Palatino Linotype" w:cs="Palatino Linotype"/>
          <w:color w:val="000000"/>
        </w:rPr>
        <w:t xml:space="preserve"> señaló lo siguiente: </w:t>
      </w:r>
    </w:p>
    <w:p w:rsidR="00A620F1" w:rsidRPr="00AB0024" w:rsidRDefault="00C85659">
      <w:p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noProof/>
          <w:color w:val="000000"/>
          <w:lang w:val="es-MX"/>
        </w:rPr>
        <w:lastRenderedPageBreak/>
        <w:drawing>
          <wp:inline distT="0" distB="0" distL="0" distR="0">
            <wp:extent cx="5582429" cy="981212"/>
            <wp:effectExtent l="0" t="0" r="0" b="0"/>
            <wp:docPr id="9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582429" cy="981212"/>
                    </a:xfrm>
                    <a:prstGeom prst="rect">
                      <a:avLst/>
                    </a:prstGeom>
                    <a:ln/>
                  </pic:spPr>
                </pic:pic>
              </a:graphicData>
            </a:graphic>
          </wp:inline>
        </w:drawing>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Es de precisar que adjuntó un oficio en el que el Partido Revolucionario Institucional le proporciona la siguiente respuesta en este punto: </w:t>
      </w:r>
    </w:p>
    <w:p w:rsidR="00A620F1" w:rsidRPr="00AB0024" w:rsidRDefault="00C85659">
      <w:pPr>
        <w:pBdr>
          <w:top w:val="nil"/>
          <w:left w:val="nil"/>
          <w:bottom w:val="nil"/>
          <w:right w:val="nil"/>
          <w:between w:val="nil"/>
        </w:pBdr>
        <w:spacing w:before="240" w:after="240" w:line="360" w:lineRule="auto"/>
        <w:ind w:right="900"/>
        <w:jc w:val="center"/>
        <w:rPr>
          <w:rFonts w:ascii="Palatino Linotype" w:eastAsia="Palatino Linotype" w:hAnsi="Palatino Linotype" w:cs="Palatino Linotype"/>
          <w:color w:val="000000"/>
        </w:rPr>
      </w:pPr>
      <w:r w:rsidRPr="00AB0024">
        <w:rPr>
          <w:rFonts w:ascii="Palatino Linotype" w:eastAsia="Palatino Linotype" w:hAnsi="Palatino Linotype" w:cs="Palatino Linotype"/>
          <w:noProof/>
          <w:color w:val="000000"/>
          <w:lang w:val="es-MX"/>
        </w:rPr>
        <w:drawing>
          <wp:inline distT="0" distB="0" distL="0" distR="0">
            <wp:extent cx="4812012" cy="1486483"/>
            <wp:effectExtent l="9525" t="9525" r="9525" b="9525"/>
            <wp:docPr id="10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b="27322"/>
                    <a:stretch>
                      <a:fillRect/>
                    </a:stretch>
                  </pic:blipFill>
                  <pic:spPr>
                    <a:xfrm>
                      <a:off x="0" y="0"/>
                      <a:ext cx="4812012" cy="1486483"/>
                    </a:xfrm>
                    <a:prstGeom prst="rect">
                      <a:avLst/>
                    </a:prstGeom>
                    <a:ln w="9525">
                      <a:solidFill>
                        <a:srgbClr val="000000"/>
                      </a:solidFill>
                      <a:prstDash val="solid"/>
                    </a:ln>
                  </pic:spPr>
                </pic:pic>
              </a:graphicData>
            </a:graphic>
          </wp:inline>
        </w:drawing>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Así las cosas, en informe justificado, el </w:t>
      </w:r>
      <w:r w:rsidRPr="00AB0024">
        <w:rPr>
          <w:rFonts w:ascii="Palatino Linotype" w:eastAsia="Palatino Linotype" w:hAnsi="Palatino Linotype" w:cs="Palatino Linotype"/>
          <w:b/>
          <w:color w:val="000000"/>
        </w:rPr>
        <w:t>Sujeto Obligado</w:t>
      </w:r>
      <w:r w:rsidRPr="00AB0024">
        <w:rPr>
          <w:rFonts w:ascii="Palatino Linotype" w:eastAsia="Palatino Linotype" w:hAnsi="Palatino Linotype" w:cs="Palatino Linotype"/>
          <w:color w:val="000000"/>
        </w:rPr>
        <w:t xml:space="preserve"> se declara incompetente para atender la presente solicitud de información, ello bajo las siguientes consideraciones:</w:t>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noProof/>
          <w:color w:val="000000"/>
          <w:lang w:val="es-MX"/>
        </w:rPr>
        <w:drawing>
          <wp:inline distT="0" distB="0" distL="0" distR="0">
            <wp:extent cx="5612130" cy="2153920"/>
            <wp:effectExtent l="0" t="0" r="0" b="0"/>
            <wp:docPr id="10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612130" cy="2153920"/>
                    </a:xfrm>
                    <a:prstGeom prst="rect">
                      <a:avLst/>
                    </a:prstGeom>
                    <a:ln/>
                  </pic:spPr>
                </pic:pic>
              </a:graphicData>
            </a:graphic>
          </wp:inline>
        </w:drawing>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lastRenderedPageBreak/>
        <w:t xml:space="preserve">De tal suerte que del análisis a las constancias que conforman el expediente electrónico, no se aprecia que en respuesta o informe justificado el </w:t>
      </w:r>
      <w:r w:rsidRPr="00AB0024">
        <w:rPr>
          <w:rFonts w:ascii="Palatino Linotype" w:eastAsia="Palatino Linotype" w:hAnsi="Palatino Linotype" w:cs="Palatino Linotype"/>
          <w:b/>
          <w:color w:val="000000"/>
        </w:rPr>
        <w:t>Sujeto Obligado</w:t>
      </w:r>
      <w:r w:rsidRPr="00AB0024">
        <w:rPr>
          <w:rFonts w:ascii="Palatino Linotype" w:eastAsia="Palatino Linotype" w:hAnsi="Palatino Linotype" w:cs="Palatino Linotype"/>
          <w:color w:val="000000"/>
        </w:rPr>
        <w:t xml:space="preserve"> hubiera aseverado contar con la información solicitada, mientras que por parte del Partido Revolucionario Institucional existe una aceptación expresa respecto de la existencia de un contrato de comodato. </w:t>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AB0024">
        <w:rPr>
          <w:rFonts w:ascii="Palatino Linotype" w:eastAsia="Palatino Linotype" w:hAnsi="Palatino Linotype" w:cs="Palatino Linotype"/>
        </w:rPr>
        <w:t xml:space="preserve">Expuesto lo anterior, resulta de vital importancia analizar la figura del comodato, la cual está prevista en el artículo 7.721 del Código Civil del Estado de México, el cual establece que el </w:t>
      </w:r>
      <w:r w:rsidRPr="00AB0024">
        <w:rPr>
          <w:rFonts w:ascii="Palatino Linotype" w:eastAsia="Palatino Linotype" w:hAnsi="Palatino Linotype" w:cs="Palatino Linotype"/>
          <w:b/>
        </w:rPr>
        <w:t xml:space="preserve">comodato </w:t>
      </w:r>
      <w:r w:rsidRPr="00AB0024">
        <w:rPr>
          <w:rFonts w:ascii="Palatino Linotype" w:eastAsia="Palatino Linotype" w:hAnsi="Palatino Linotype" w:cs="Palatino Linotype"/>
        </w:rPr>
        <w:t>es un contrato por el cual uno de los contratantes concede gratuitamente el uso de un bien, y el otro contrae la obligación de restituirlo individualmente.</w:t>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AB0024">
        <w:rPr>
          <w:rFonts w:ascii="Palatino Linotype" w:eastAsia="Palatino Linotype" w:hAnsi="Palatino Linotype" w:cs="Palatino Linotype"/>
        </w:rPr>
        <w:t xml:space="preserve">Ahora bien, no podemos perder de vista que los artículos 3, 105 y 107 numeral 1, del Reglamento de Fiscalización del Instituto Nacional Electoral, disponen lo siguiente: </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“Artículo 3.</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Sujetos obligados</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AB0024">
        <w:rPr>
          <w:rFonts w:ascii="Palatino Linotype" w:eastAsia="Palatino Linotype" w:hAnsi="Palatino Linotype" w:cs="Palatino Linotype"/>
          <w:b/>
          <w:i/>
          <w:sz w:val="22"/>
          <w:szCs w:val="22"/>
        </w:rPr>
        <w:t>1. Los sujetos obligados del presente Reglamento son:</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AB0024">
        <w:rPr>
          <w:rFonts w:ascii="Palatino Linotype" w:eastAsia="Palatino Linotype" w:hAnsi="Palatino Linotype" w:cs="Palatino Linotype"/>
          <w:b/>
          <w:i/>
          <w:sz w:val="22"/>
          <w:szCs w:val="22"/>
        </w:rPr>
        <w:t>a) Partidos políticos nacionales.</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AB0024">
        <w:rPr>
          <w:rFonts w:ascii="Palatino Linotype" w:eastAsia="Palatino Linotype" w:hAnsi="Palatino Linotype" w:cs="Palatino Linotype"/>
          <w:b/>
          <w:i/>
          <w:sz w:val="22"/>
          <w:szCs w:val="22"/>
        </w:rPr>
        <w:t>b) Partidos políticos con registro local</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Artículo 105.</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De las aportaciones en especie</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AB0024">
        <w:rPr>
          <w:rFonts w:ascii="Palatino Linotype" w:eastAsia="Palatino Linotype" w:hAnsi="Palatino Linotype" w:cs="Palatino Linotype"/>
          <w:b/>
          <w:i/>
          <w:sz w:val="22"/>
          <w:szCs w:val="22"/>
        </w:rPr>
        <w:t>1. Se consideran aportaciones en especie:</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lastRenderedPageBreak/>
        <w:t>a) Las donaciones de bienes muebles o inmuebles.</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u w:val="single"/>
        </w:rPr>
      </w:pPr>
      <w:r w:rsidRPr="00AB0024">
        <w:rPr>
          <w:rFonts w:ascii="Palatino Linotype" w:eastAsia="Palatino Linotype" w:hAnsi="Palatino Linotype" w:cs="Palatino Linotype"/>
          <w:b/>
          <w:i/>
          <w:sz w:val="22"/>
          <w:szCs w:val="22"/>
          <w:u w:val="single"/>
        </w:rPr>
        <w:t>b) El uso de los bienes muebles o inmuebles otorgados en comodato al sujeto obligado.</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c) La condonación de la deuda principal y/o sus accesorios a favor de los sujetos obligados distintas a contribuciones, por parte de las personas distintas a las señaladas en el artículo 54 de la Ley de Partidos.</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d) Los servicios prestados a los sujetos obligados a título gratuito, con excepción de los que presten los órganos directivos y los servicios personales de militantes inscritos en el padrón respectivo o simpatizantes, que no tengan actividades mercantiles o profesionales y que sean otorgados gratuita, voluntaria y desinteresadamente.</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e) Los servicios prestados a los sujetos obligados que sean determinados por la Unidad Técnica por debajo del valor de mercado.</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Artículo 107.</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Control de los ingresos en especie</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b/>
          <w:i/>
          <w:sz w:val="22"/>
          <w:szCs w:val="22"/>
          <w:u w:val="single"/>
        </w:rPr>
        <w:t>1. Las aportaciones que reciban en especie los sujetos obligados deberán documentarse en contratos escritos que cumplan con las formalidades que para su existencia y validez exija la ley aplicable de acuerdo a su naturaleza, mismos que además deberán contener, cuando menos, los datos de identificación del aportante y del bien aportado, así como el costo de mercado o estimado del mismo bien o servicio, la fecha y lugar de entrega, y el carácter con el que se realiza la aportación respectiva según su naturaleza y con independencia de cualquier otra cláusula que se requiera en términos de otras legislaciones.</w:t>
      </w:r>
      <w:r w:rsidRPr="00AB0024">
        <w:rPr>
          <w:rFonts w:ascii="Palatino Linotype" w:eastAsia="Palatino Linotype" w:hAnsi="Palatino Linotype" w:cs="Palatino Linotype"/>
          <w:i/>
          <w:sz w:val="22"/>
          <w:szCs w:val="22"/>
        </w:rPr>
        <w:t>” (Énfasis añadido)</w:t>
      </w:r>
    </w:p>
    <w:p w:rsidR="00A620F1" w:rsidRPr="00AB0024" w:rsidRDefault="00C85659">
      <w:pPr>
        <w:spacing w:line="360" w:lineRule="auto"/>
        <w:ind w:right="96"/>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Por lo que con lo insertado anteriormente, se colige que compete a los partidos políticos como sujetos obligados, documentar las aportaciones que reciban en </w:t>
      </w:r>
      <w:r w:rsidRPr="00AB0024">
        <w:rPr>
          <w:rFonts w:ascii="Palatino Linotype" w:eastAsia="Palatino Linotype" w:hAnsi="Palatino Linotype" w:cs="Palatino Linotype"/>
          <w:color w:val="000000"/>
        </w:rPr>
        <w:lastRenderedPageBreak/>
        <w:t>especie, esto mediante contratos escritos, por lo que al haber aseverado que cuenta con un contrato de comodato, le compete a este ente político el celebrar el contrato respectivo.</w:t>
      </w:r>
    </w:p>
    <w:p w:rsidR="00A620F1" w:rsidRPr="00AB0024" w:rsidRDefault="00A620F1">
      <w:pPr>
        <w:spacing w:line="360" w:lineRule="auto"/>
        <w:ind w:right="96"/>
        <w:jc w:val="both"/>
        <w:rPr>
          <w:rFonts w:ascii="Palatino Linotype" w:eastAsia="Palatino Linotype" w:hAnsi="Palatino Linotype" w:cs="Palatino Linotype"/>
          <w:color w:val="000000"/>
        </w:rPr>
      </w:pPr>
    </w:p>
    <w:p w:rsidR="00A620F1" w:rsidRPr="00AB0024" w:rsidRDefault="00C85659">
      <w:pPr>
        <w:spacing w:line="360" w:lineRule="auto"/>
        <w:ind w:right="96"/>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Ahora bien, por cuanto hace al destino de recursos para pago de renta u otros servicios, los </w:t>
      </w:r>
      <w:r w:rsidRPr="00AB0024">
        <w:rPr>
          <w:rFonts w:ascii="Palatino Linotype" w:eastAsia="Palatino Linotype" w:hAnsi="Palatino Linotype" w:cs="Palatino Linotype"/>
        </w:rPr>
        <w:t>Estatutos del Partido Revolucionario Institucional no contemplan que la Secretaría de Finanzas y Administración a nivel estatal cuente con facultades específicas, cuando se trata de entidades, sin embargo, se reproducen las facultades que tiene su homólogo nacional:</w:t>
      </w:r>
    </w:p>
    <w:p w:rsidR="00A620F1" w:rsidRPr="00AB0024" w:rsidRDefault="00A620F1">
      <w:pPr>
        <w:spacing w:line="360" w:lineRule="auto"/>
        <w:ind w:right="-93"/>
        <w:jc w:val="both"/>
        <w:rPr>
          <w:rFonts w:ascii="Palatino Linotype" w:eastAsia="Palatino Linotype" w:hAnsi="Palatino Linotype" w:cs="Palatino Linotype"/>
          <w:sz w:val="22"/>
          <w:szCs w:val="22"/>
        </w:rPr>
      </w:pP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“Artículo 96. La Secretaría de Finanzas y Administración tendrá las atribuciones siguientes:</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I. Desarrollar acciones conducentes para el financiamiento del Partido;</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II. Administrar, controlar y resguardar los recursos locales y federales, así como el patrimonio del Partido; excepcionalmente, se podrá delegar dicha función en los Comités Directivos de las entidades federativas, previo acuerdo de la persona titular de la Presidencia del Comité Ejecutivo Nacional;</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III. Presentar al Consejo Político Nacional el informe anual de actividades, así como los estados financieros correspondientes;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IV. Desarrollar la normatividad financiera, administrativa, contable y en materia de resguardo y optimización de los recursos materiales del Comité Ejecutivo Nacional, así como asistir y apoyar a los Comités Directivos de las entidades federativas para el desarrollo de sus actividades financieras, administrativas y contables;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V. Promover la representación jurídica del Partido para los actos relativos al ámbito de su competencia;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VI. Administrar los recursos financieros, humanos y materiales del Partido;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VII. Elaborar la información financiera y contable y ser responsable de su presentación ante las autoridades competentes;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VIII. Elaborar el proyecto de presupuesto del Comité Ejecutivo Nacional del Partido y someterlo a consideración de la Presidencia;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lastRenderedPageBreak/>
        <w:t xml:space="preserve">IX. Presentar los informes de ingresos y egresos trimestrales, anuales, de precampaña y de campaña, de acuerdo con lo establecido en la legislación electoral federal y los Estatutos del Partido;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X. Establecer las normas, acuerdos y convenios necesarios con los Comités Directivos de las entidades federativas, para la salvaguarda del patrimonio y su adecuada administración;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XI. Establecer, previo acuerdo con la persona titular de la Presidencia del Comité Ejecutivo Nacional las normas mínimas que garanticen que el financiamiento otorgado para actividades específicas como entidades de interés público, sea ejercido conforme a los porcentajes que establece la normatividad aplicable.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Para el caso de la capacitación, promoción y desarrollo del liderazgo político de las mujeres, no podrá otorgárseles un porcentaje menor al establecido en la normatividad aplicable del financiamiento para las actividades ordinarias con el que cuente el Partido.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En lo que corresponde a la capacitación, promoción y desarrollo del liderazgo político de las mujeres, no podrá otorgárseles un porcentaje menor al establecido en la normatividad aplicable, del financiamiento con el que cuente el Partido o coalición para las actividades ordinarias, así como para el desarrollo de precampañas y campañas para sus candidaturas federales o locales, de acuerdo con los topes de gastos por tipo de candidaturas para la obtención del voto.</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XII. Proponer a la persona titular de la Presidencia del Comité Ejecutivo Nacional una terna para la designación de quien asumirá la Contraloría General por parte del Consejo Político Nacional, cuyos integrantes deberán cumplir con el perfil curricular requerido;</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XIII. Atender en los ámbitos de su competencia, la relación con el Instituto Nacional Electoral, en concordancia con las áreas del Comité Ejecutivo Nacional que correspondan y coadyuvando con la representación del Partido ante el Instituto Nacional Electoral;</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XIV. Coadyuvar con la Comisión de Presupuesto y Fiscalización para el cumplimiento de lo establecido en los presentes Estatutos;</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XV. Establecer, desarrollar, administrar y controlar el registro patrimonial de los Comités Ejecutivo Nacional, Directivos de las entidades federativas, municipales, de demarcación territorial de la Ciudad de México y seccionales, en el caso de enajenación de bienes muebles se deberá solicitar autorización a la persona titular de la Presidencia del Comité Ejecutivo Nacional;</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XVI. Establecer las normas, acuerdos y convenios necesarios con los Comités Directivos de las entidades federativas, municipales, de demarcación territorial de la Ciudad de </w:t>
      </w:r>
      <w:r w:rsidRPr="00AB0024">
        <w:rPr>
          <w:rFonts w:ascii="Palatino Linotype" w:eastAsia="Palatino Linotype" w:hAnsi="Palatino Linotype" w:cs="Palatino Linotype"/>
          <w:i/>
          <w:sz w:val="22"/>
          <w:szCs w:val="22"/>
        </w:rPr>
        <w:lastRenderedPageBreak/>
        <w:t>México y seccionales para salvaguardar los bienes muebles e inmuebles para su adecuado registro e inventario;</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XVII. Elaborar la normatividad administrativa en materia de adquisiciones;</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XVIII. Apoyar a la Secretaría Jurídica y de Transparencia en materia laboral, vinculada con la administración de recursos humanos;</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XIX. Celebrar los contratos con proveedores y prestadores de servicios necesarios para el adecuado funcionamiento del Comité Ejecutivo Nacional;</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XX. Expedir los nombramientos y realizar los movimientos de altas y bajas del personal que propongan los titulares de las áreas y Secretarías que integran el Comité Ejecutivo Nacional y de los Comités Directivos de las entidades federativas;</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XXI. Realizar las certificaciones de los documentos privados, archivo, actas, acuerdos, resoluciones, declaraciones y demás actos relacionados con las actividades ordinarias del Partido que consten en su archivo, fuera de las realizadas en los procesos electorales;</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XXII. Ejecutar y supervisar el sistema contable en línea que, en su caso, implemente el Consejo General del Instituto Nacional Electoral;</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XXIII. Supervisar la aplicación de los instrumentos jurídicos establecidos en materia de Finanzas y Administración, en el Comité Ejecutivo Nacional, para transparentar el cumplimiento, aplicación u omisión del ejercicio de las atribuciones de las áreas que lo integran; y</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XXIV. Las demás que le señalan estos Estatutos, el reglamento y las que la persona titular de la Presidencia del Comité Ejecutivo Nacional le confiera.”</w:t>
      </w:r>
    </w:p>
    <w:p w:rsidR="00A620F1" w:rsidRPr="00AB0024" w:rsidRDefault="00A620F1">
      <w:pPr>
        <w:spacing w:line="360" w:lineRule="auto"/>
        <w:ind w:right="-93"/>
        <w:jc w:val="both"/>
        <w:rPr>
          <w:rFonts w:ascii="Palatino Linotype" w:eastAsia="Palatino Linotype" w:hAnsi="Palatino Linotype" w:cs="Palatino Linotype"/>
          <w:sz w:val="22"/>
          <w:szCs w:val="22"/>
        </w:rPr>
      </w:pPr>
    </w:p>
    <w:p w:rsidR="00A620F1" w:rsidRPr="00AB0024" w:rsidRDefault="00C85659">
      <w:pPr>
        <w:spacing w:line="360" w:lineRule="auto"/>
        <w:ind w:right="-93"/>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Los estatutos, no señalan que las secretarías locales tendrán las mismas facultades que sus homólogas nacionales, sin embargo, se advierte que los presidentes de los Comités Directivos de las entidades federativas cuentan con las siguientes atribuciones:</w:t>
      </w:r>
    </w:p>
    <w:p w:rsidR="00A620F1" w:rsidRPr="00AB0024" w:rsidRDefault="00A620F1">
      <w:pPr>
        <w:spacing w:line="360" w:lineRule="auto"/>
        <w:ind w:right="-93"/>
        <w:jc w:val="both"/>
        <w:rPr>
          <w:rFonts w:ascii="Palatino Linotype" w:eastAsia="Palatino Linotype" w:hAnsi="Palatino Linotype" w:cs="Palatino Linotype"/>
          <w:sz w:val="22"/>
          <w:szCs w:val="22"/>
        </w:rPr>
      </w:pP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“Artículo 138. Las y los presidentes, según sea el caso, de los comités directivos de las entidades federativas, tendrán las atribuciones siguientes: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I. Contribuir a vigorizar la vida democrática del Partido en la entidad, estableciendo los lineamientos necesarios para que sus órganos estén vinculados permanentemente con las luchas populares;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lastRenderedPageBreak/>
        <w:t xml:space="preserve">II. Someter a la consideración y aprobación del Consejo Político respectivo, en su caso, el Programa Anual de Trabajo del Comité Directivo correspondiente;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III. Rendir al Consejo Político de la entidad federativa el informe anual que deberá incluir el origen y aplicación de los recursos financieros del Partido en la entidad;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IV. Mantener actualizado el Registro Partidario en la entidad federativa de que se trate, cumpliendo estrictamente con las normas reglamentarias de afiliación y acreditación del trabajo partidario;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V. Mantener relación permanente con las filiales de la Fundación Colosio, A. C. y del Instituto de Formación Política Jesús Reyes Heroles, A.C. y con el Movimiento PRI.mx, A.C., para la realización de las tareas conducentes;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VI. Coordinar las actividades de los Comités Municipales o de las demarcaciones territoriales de la Ciudad de México que le correspondan, así como elaborar el proyecto de Programa de Acción específico para la entidad correspondiente, que deberá someterse a la aprobación del Consejo Político respectivo;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VII. Acatar los lineamientos políticos que le fijen los diversos órganos competentes del Partido, así como formular el proyecto de estrategia de acción partidista para la entidad federativa de que se trate, de acuerdo con los lineamientos del Comité Ejecutivo Nacional y la aprobación del Consejo Político de la entidad federativa; </w:t>
      </w:r>
    </w:p>
    <w:p w:rsidR="00A620F1" w:rsidRPr="00AB0024" w:rsidRDefault="00C85659">
      <w:pPr>
        <w:spacing w:line="276" w:lineRule="auto"/>
        <w:ind w:left="567" w:right="539"/>
        <w:jc w:val="both"/>
        <w:rPr>
          <w:rFonts w:ascii="Palatino Linotype" w:eastAsia="Palatino Linotype" w:hAnsi="Palatino Linotype" w:cs="Palatino Linotype"/>
          <w:b/>
          <w:i/>
          <w:sz w:val="22"/>
          <w:szCs w:val="22"/>
        </w:rPr>
      </w:pPr>
      <w:r w:rsidRPr="00AB0024">
        <w:rPr>
          <w:rFonts w:ascii="Palatino Linotype" w:eastAsia="Palatino Linotype" w:hAnsi="Palatino Linotype" w:cs="Palatino Linotype"/>
          <w:b/>
          <w:i/>
          <w:sz w:val="22"/>
          <w:szCs w:val="22"/>
        </w:rPr>
        <w:t xml:space="preserve">VIII. Convocar a la Asamblea local, a petición del Consejo Político de la entidad federativa, de la mayoría de los Comités Municipales o de demarcación territorial de la Ciudad de México;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IX. Informar mensualmente de sus actividades al Comité Ejecutivo Nacional y actualizar el Registro Partidario Nacional en el ámbito de su competencia con la información de la entidad respectiva;</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X. Promover, conjuntamente con las y los militantes de la comunidad, la solución de los problemas y solidarizarse con la lucha de las organizaciones y los sectores en la entidad;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XI. Designar, con la aprobación de las Secretarías competentes del Comité Ejecutivo Nacional, a las comisionadas y los comisionados en los órganos electorales en la entidad federativa, distritos electorales, municipios o demarcaciones territoriales de la Ciudad de México, para realizar las actividades que establezcan las leyes electorales y las específicas que se les señalen;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XII. Crear, de acuerdo con sus circunstancias, características y necesidades, las secretarías necesarias, siempre y cuando estas no invadan los ámbitos de competencia de las secretarías ya existentes, sometiéndolas a la autorización del Consejo Político correspondiente;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lastRenderedPageBreak/>
        <w:t xml:space="preserve">XIII. Crear, para el mejor cumplimiento de sus funciones, las subsecretarías, coordinaciones, delegaciones, dependencias administrativas y comisiones, así como nombrar a las coordinadoras y coordinadores y delegadas y delegados de carácter permanente o transitorio, que estime necesarios, fijando sus atribuciones específicas, sometiéndolas a la autorización del Consejo Político respectivo;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XIV. Recabar las cuotas y aportaciones de los integrantes del Partido, en el ámbito de su competencia, de conformidad con las disposiciones del Reglamento respectivo, expidiendo el recibo que para ello se emita, e informar de manera permanente de la recaudación, aportaciones y aplicación de los recursos a las áreas respectivas del Comité Ejecutivo Nacional; y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XV. Derogada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XV. Coordinar la adecuada integración de los Comités Municipales de la entidad y de las demarcaciones territoriales en la Ciudad de México;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XVI. Entregar en los tiempos que determine el Comité Ejecutivo Nacional, conforme a los lineamientos emitidos por la autoridad electoral, los informes de gasto ordinario, precampaña y campaña con la documentación soporte que cumpla con los requisitos establecidos tanto por la autoridad electoral fiscalizadora, como por el propio Comité Ejecutivo Nacional, quien podrá analizar y verificar la información remitida y, en su caso, requerir la necesaria, previo a su presentación ante la autoridad nacional;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XVII. Designar, con la ratificación del Consejo Político de la entidad federativa o de su Comisión Política Permanente, a las y los integrantes de la Comisión de Ética Partidaria;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XVIII. Recibir, a través de su correspondiente Secretaría de Organización las solicitudes de </w:t>
      </w:r>
      <w:proofErr w:type="spellStart"/>
      <w:r w:rsidRPr="00AB0024">
        <w:rPr>
          <w:rFonts w:ascii="Palatino Linotype" w:eastAsia="Palatino Linotype" w:hAnsi="Palatino Linotype" w:cs="Palatino Linotype"/>
          <w:i/>
          <w:sz w:val="22"/>
          <w:szCs w:val="22"/>
        </w:rPr>
        <w:t>reafiliación</w:t>
      </w:r>
      <w:proofErr w:type="spellEnd"/>
      <w:r w:rsidRPr="00AB0024">
        <w:rPr>
          <w:rFonts w:ascii="Palatino Linotype" w:eastAsia="Palatino Linotype" w:hAnsi="Palatino Linotype" w:cs="Palatino Linotype"/>
          <w:i/>
          <w:sz w:val="22"/>
          <w:szCs w:val="22"/>
        </w:rPr>
        <w:t xml:space="preserve"> por parte de las y los ciudadanos que hayan renunciado a su militancia en el Partido o que sean provenientes de otro partido político, dentro del ámbito de la entidad federativa; y </w:t>
      </w:r>
    </w:p>
    <w:p w:rsidR="00A620F1" w:rsidRPr="00AB0024" w:rsidRDefault="00C85659">
      <w:pPr>
        <w:spacing w:line="276" w:lineRule="auto"/>
        <w:ind w:left="567" w:right="539"/>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XIX. Las demás que les señalen estos Estatutos, así como los reglamentos que expida el Consejo Político Nacional.”</w:t>
      </w:r>
    </w:p>
    <w:p w:rsidR="00A620F1" w:rsidRPr="00AB0024" w:rsidRDefault="00C85659">
      <w:pPr>
        <w:tabs>
          <w:tab w:val="left" w:pos="7380"/>
        </w:tabs>
        <w:spacing w:line="360" w:lineRule="auto"/>
        <w:ind w:right="567"/>
        <w:jc w:val="both"/>
        <w:rPr>
          <w:rFonts w:ascii="Palatino Linotype" w:eastAsia="Palatino Linotype" w:hAnsi="Palatino Linotype" w:cs="Palatino Linotype"/>
          <w:i/>
          <w:sz w:val="20"/>
          <w:szCs w:val="20"/>
        </w:rPr>
      </w:pPr>
      <w:r w:rsidRPr="00AB0024">
        <w:rPr>
          <w:rFonts w:ascii="Palatino Linotype" w:eastAsia="Palatino Linotype" w:hAnsi="Palatino Linotype" w:cs="Palatino Linotype"/>
          <w:i/>
          <w:sz w:val="20"/>
          <w:szCs w:val="20"/>
        </w:rPr>
        <w:tab/>
      </w:r>
    </w:p>
    <w:p w:rsidR="00A620F1" w:rsidRPr="00AB0024" w:rsidRDefault="00C85659">
      <w:pPr>
        <w:spacing w:line="360" w:lineRule="auto"/>
        <w:ind w:right="-28"/>
        <w:jc w:val="both"/>
        <w:rPr>
          <w:rFonts w:ascii="Palatino Linotype" w:eastAsia="Palatino Linotype" w:hAnsi="Palatino Linotype" w:cs="Palatino Linotype"/>
        </w:rPr>
      </w:pPr>
      <w:r w:rsidRPr="00AB0024">
        <w:rPr>
          <w:rFonts w:ascii="Palatino Linotype" w:eastAsia="Palatino Linotype" w:hAnsi="Palatino Linotype" w:cs="Palatino Linotype"/>
        </w:rPr>
        <w:t>Al respecto, los propios estatutos contemplan la existencia de una Comisión presupuestaria, para lo que se reproducen los preceptos legales pertinentes.</w:t>
      </w:r>
    </w:p>
    <w:p w:rsidR="00A620F1" w:rsidRPr="00AB0024" w:rsidRDefault="00A620F1">
      <w:pPr>
        <w:spacing w:line="360" w:lineRule="auto"/>
        <w:ind w:right="-28"/>
        <w:jc w:val="both"/>
        <w:rPr>
          <w:rFonts w:ascii="Palatino Linotype" w:eastAsia="Palatino Linotype" w:hAnsi="Palatino Linotype" w:cs="Palatino Linotype"/>
          <w:sz w:val="22"/>
          <w:szCs w:val="22"/>
        </w:rPr>
      </w:pP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“Artículo 126. Los Consejos Políticos de las entidades federativas estarán integrados por: </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lastRenderedPageBreak/>
        <w:t>I. Las personas titulares de la Presidencia y de la Secretaría General del Comité Directivo de la entidad federativa, quienes asumirán la Presidencia y la Secretaría del Consejo Político respectivo;</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Artículo 130. Los Consejos Políticos de las entidades federativas formarán, con sus integrantes, las Comisiones siguientes:</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I. La Comisión Política Permanente.</w:t>
      </w:r>
    </w:p>
    <w:p w:rsidR="00A620F1" w:rsidRPr="00AB0024" w:rsidRDefault="00C85659">
      <w:pPr>
        <w:spacing w:line="276" w:lineRule="auto"/>
        <w:ind w:left="567" w:right="900"/>
        <w:jc w:val="both"/>
        <w:rPr>
          <w:rFonts w:ascii="Palatino Linotype" w:eastAsia="Palatino Linotype" w:hAnsi="Palatino Linotype" w:cs="Palatino Linotype"/>
          <w:b/>
          <w:i/>
          <w:sz w:val="22"/>
          <w:szCs w:val="22"/>
        </w:rPr>
      </w:pPr>
      <w:r w:rsidRPr="00AB0024">
        <w:rPr>
          <w:rFonts w:ascii="Palatino Linotype" w:eastAsia="Palatino Linotype" w:hAnsi="Palatino Linotype" w:cs="Palatino Linotype"/>
          <w:b/>
          <w:i/>
          <w:sz w:val="22"/>
          <w:szCs w:val="22"/>
        </w:rPr>
        <w:t>II. La Comisión de Presupuesto y Fiscalización;</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III. La Comisión de Financiamiento; y</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IV. Las Comisiones Temáticas y de Dictamen que señale el Reglamento respectivo.</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Artículo 132. Las Comisiones del Consejo Político de cada entidad federativa, tendrán las atribuciones siguientes:</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I. La Comisión Política Permanente ejercerá las atribuciones del Consejo Político de la entidad federativa en situaciones de urgente y obvia resolución, en los períodos entre una sesión ordinaria y la siguiente, y dará cuenta con la justificación correspondiente al pleno del Consejo Político respectivo de los asuntos que haya acordado; </w:t>
      </w:r>
    </w:p>
    <w:p w:rsidR="00A620F1" w:rsidRPr="00AB0024" w:rsidRDefault="00C85659">
      <w:pPr>
        <w:spacing w:line="276" w:lineRule="auto"/>
        <w:ind w:left="567" w:right="900"/>
        <w:jc w:val="both"/>
        <w:rPr>
          <w:rFonts w:ascii="Palatino Linotype" w:eastAsia="Palatino Linotype" w:hAnsi="Palatino Linotype" w:cs="Palatino Linotype"/>
          <w:b/>
          <w:i/>
          <w:sz w:val="22"/>
          <w:szCs w:val="22"/>
        </w:rPr>
      </w:pPr>
      <w:r w:rsidRPr="00AB0024">
        <w:rPr>
          <w:rFonts w:ascii="Palatino Linotype" w:eastAsia="Palatino Linotype" w:hAnsi="Palatino Linotype" w:cs="Palatino Linotype"/>
          <w:b/>
          <w:i/>
          <w:sz w:val="22"/>
          <w:szCs w:val="22"/>
        </w:rPr>
        <w:t xml:space="preserve">II. La Comisión de Presupuesto y Fiscalización dictaminará el proyecto de presupuesto anual del Partido en la entidad federativa para su aprobación por el pleno, en el cual deberá prever que las prerrogativas locales se distribuyan entre los Comités Municipales o de demarcación territorial en la Ciudad de México, en forma análoga con los criterios contenidos en el artículo 81, fracción III, de estos Estatutos; </w:t>
      </w:r>
    </w:p>
    <w:p w:rsidR="00A620F1" w:rsidRPr="00AB0024" w:rsidRDefault="00C85659">
      <w:pPr>
        <w:spacing w:line="276" w:lineRule="auto"/>
        <w:ind w:left="567" w:right="900"/>
        <w:jc w:val="both"/>
        <w:rPr>
          <w:rFonts w:ascii="Palatino Linotype" w:eastAsia="Palatino Linotype" w:hAnsi="Palatino Linotype" w:cs="Palatino Linotype"/>
          <w:b/>
          <w:i/>
          <w:sz w:val="22"/>
          <w:szCs w:val="22"/>
        </w:rPr>
      </w:pPr>
      <w:r w:rsidRPr="00AB0024">
        <w:rPr>
          <w:rFonts w:ascii="Palatino Linotype" w:eastAsia="Palatino Linotype" w:hAnsi="Palatino Linotype" w:cs="Palatino Linotype"/>
          <w:b/>
          <w:i/>
          <w:sz w:val="22"/>
          <w:szCs w:val="22"/>
        </w:rPr>
        <w:t xml:space="preserve">III. La Comisión de Financiamiento elaborará y dará seguimiento a los programas de captación de recursos para las actividades del Partido; y </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IV. Las Comisiones Temáticas y de Dictamen tendrán las atribuciones que les confiera el reglamento respectivo.</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Artículo 135. Son atribuciones de los Consejos Políticos de las entidades federativas:</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I. Conocer y aprobar, en su caso, el informe anual de actividades del Comité Directivo correspondiente, el que incluirá un apartado sobre el origen y aplicación de los recursos financieros del Partido;</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II. Analizar las realizaciones de la administración pública de la entidad federativa que corresponda al menos una vez al año, con el fin de sugerir las acciones necesarias </w:t>
      </w:r>
      <w:r w:rsidRPr="00AB0024">
        <w:rPr>
          <w:rFonts w:ascii="Palatino Linotype" w:eastAsia="Palatino Linotype" w:hAnsi="Palatino Linotype" w:cs="Palatino Linotype"/>
          <w:i/>
          <w:sz w:val="22"/>
          <w:szCs w:val="22"/>
        </w:rPr>
        <w:lastRenderedPageBreak/>
        <w:t>para reorientarlas o reconocerlas, convocando, en su caso, a los responsables de las mismas;</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III. Elegir, en caso de ausencias absolutas, a las personas titulares de la Presidencia y la Secretaría General del Comité Directivo de la entidad federativa, según los términos señalados en el artículo 179 de estos Estatutos;</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IV. Conocer y, en su caso, aprobar dictámenes que emitan sus comisiones en los asuntos de sus respectivas competencias;</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V. Analizar los planteamientos y demandas de carácter local de los sectores y sus organizaciones y dictar las decisiones solidarias que correspondan;</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VI. Revisar y, en su caso, aprobar los planes y programas de trabajo del Comité Directivo de la entidad federativa;</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VIII. Acordar, por mayoría de sus integrantes que se convoque a la Asamblea de la entidad federativa y decidir sobre su forma de integración en los términos estatutarios correspondientes;</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IX. Seleccionar el procedimiento para la postulación de las candidaturas a las</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Gubernaturas y la Jefatura de Gobierno en el caso de la Ciudad de México, el cual será sancionado por el Comité Ejecutivo Nacional;</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 Seleccionar el procedimiento estatutario para la postulación de candidaturas a cargos distritales, municipales o de las demarcaciones territoriales de la Ciudad de México, para lo cual podrá consultar a los Consejos Políticos del nivel que corresponda a la elección y será sancionado por el Comité respectivo, observando lo dispuesto en estos Estatutos; y, en su caso, elegir a propuesta de la persona</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titular de la Presidencia del Comité Directivo de la entidad federativa, a los integrantes de la Comisión para la Postulación de Candidaturas de la entidad federativa, previa autorización del Comité Ejecutivo Nacional;</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XI. Dictar resoluciones para el cumplimiento de los objetivos, metas y propósitos, de los Documentos Básicos;</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XII. Vigilar que se cumplan los resolutivos de la Asamblea de la entidad federativa y emitir acuerdos y orientaciones generales;</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XIII. Aprobar planes y programas de lucha política, para fijar la posición del Partido ante el poder político y para asegurar la unidad interna y normar la organización del trabajo;</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XIV. Aprobar y evaluar el cumplimiento de las plataformas electorales que el Partido debe presentar ante los organismos electorales competentes, para cada elección local en que participe;</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lastRenderedPageBreak/>
        <w:t>XV. Definir la posición del Partido y proponer las estrategias y tácticas que debe seguir ante los grandes problemas de la entidad federativa;</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XVI. Analizar los planteamientos y demandas de las organizaciones y de los sectores y emitir los acuerdos que correspondan;</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XVII. Vincular el trabajo de las organizaciones sectoriales con los de la estructura territorial en torno a las estrategias de lucha electoral;</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XVIII. Aprobar el Reglamento de los Consejos Políticos Municipales o de las demarcaciones territoriales en el caso de la Ciudad de México;</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XIX. Aprobar el Reglamento del Comité Directivo de la entidad federativa, el que deberá ser congruente con el del Comité Ejecutivo Nacional;</w:t>
      </w:r>
    </w:p>
    <w:p w:rsidR="00A620F1" w:rsidRPr="00AB0024" w:rsidRDefault="00C85659">
      <w:pPr>
        <w:spacing w:line="276" w:lineRule="auto"/>
        <w:ind w:left="567" w:right="900"/>
        <w:jc w:val="both"/>
        <w:rPr>
          <w:rFonts w:ascii="Palatino Linotype" w:eastAsia="Palatino Linotype" w:hAnsi="Palatino Linotype" w:cs="Palatino Linotype"/>
          <w:b/>
          <w:i/>
          <w:sz w:val="22"/>
          <w:szCs w:val="22"/>
          <w:u w:val="single"/>
        </w:rPr>
      </w:pPr>
      <w:r w:rsidRPr="00AB0024">
        <w:rPr>
          <w:rFonts w:ascii="Palatino Linotype" w:eastAsia="Palatino Linotype" w:hAnsi="Palatino Linotype" w:cs="Palatino Linotype"/>
          <w:b/>
          <w:i/>
          <w:sz w:val="22"/>
          <w:szCs w:val="22"/>
          <w:u w:val="single"/>
        </w:rPr>
        <w:t>XX. Aprobar durante el primer mes de cada año, el proyecto presupuestal que someta a su consideración la Comisión de Presupuesto y Fiscalización respectiva.</w:t>
      </w:r>
    </w:p>
    <w:p w:rsidR="00A620F1" w:rsidRPr="00AB0024" w:rsidRDefault="00C85659">
      <w:pPr>
        <w:spacing w:line="276" w:lineRule="auto"/>
        <w:ind w:left="567" w:right="900"/>
        <w:jc w:val="both"/>
        <w:rPr>
          <w:rFonts w:ascii="Palatino Linotype" w:eastAsia="Palatino Linotype" w:hAnsi="Palatino Linotype" w:cs="Palatino Linotype"/>
          <w:b/>
          <w:i/>
          <w:sz w:val="22"/>
          <w:szCs w:val="22"/>
          <w:u w:val="single"/>
        </w:rPr>
      </w:pPr>
      <w:r w:rsidRPr="00AB0024">
        <w:rPr>
          <w:rFonts w:ascii="Palatino Linotype" w:eastAsia="Palatino Linotype" w:hAnsi="Palatino Linotype" w:cs="Palatino Linotype"/>
          <w:b/>
          <w:i/>
          <w:sz w:val="22"/>
          <w:szCs w:val="22"/>
          <w:u w:val="single"/>
        </w:rPr>
        <w:t>El presupuesto que apruebe preverá la asignación a los Comités Municipales o de demarcación territorial en el caso de la Ciudad de México, del 50% del monto que el Partido reciba a nivel local por financiamiento público;</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XXI. Aprobar durante el primer mes de cada año, el programa anual de trabajo que someta a su consideración la persona titular de la Presidencia del Comité Directivo de la entidad federativa;</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XXII. Convocar a las personas de filiación priista que desempeñen un cargo o función pública para que informen de su gestión, en los términos que permita la Constitución Política local y las leyes aplicables. Lo anterior, sin perjuicio de las atribuciones de la Comisión de Ética Partidaria de la entidad federativa, en materia de rendición de cuentas;</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XXIII. Requerir a los Consejos Políticos Municipales o de demarcación territorial en el caso de la Ciudad de México, la formulación de sus estrategias de acción, velando por su congruencia con el Programa de Acción, mediante los lineamientos que deberán expedir con tal propósito y evaluar periódicamente el avance de los mismos;</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XXIV. Nombrar a la persona titular de la Contraloría General de entre una terna propuesta por quien tenga su cargo la Presidencia del Comité Directivo en la entidad federativa;</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XXV. Conocer y aprobar, en su caso, las propuestas para suscribir frentes, coaliciones, candidaturas comunes, y otras formas de alianza que establezca la ley de la materia, para que, por conducto de la persona titular de la Presidencia del Comité Directivo de que se trate, se solicite el acuerdo del Comité Ejecutivo Nacional;</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lastRenderedPageBreak/>
        <w:t>XXVI. Conocer, revisar y aprobar, en su caso, los temas prioritarios y acuerdos específicos de la Agenda Legislativa que para cada período le presente, con oportunidad, la persona titular de la coordinación del grupo parlamentario del Partido en el Congreso local;</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XXVII. Distribuir entre los Comités Municipales y de las demarcaciones territoriales de la Ciudad de México, los recursos disponibles, con sujeción a los criterios previstos en la fracción II del artículo 132;</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XXVIII. Aprobar el Plan Estatal de Capacitación Política y el Programa Anual de Trabajo de la filial estatal del Instituto de Formación Política Jesús Reyes Heroles, A.C;</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XXIX. Conocer y aprobar, en su caso, el Programa Anual de Investigaciones Políticas, Económicas y Sociales que someta a su consideración la Fundación Colosio, A.C. de la entidad federativa respectiva, así como velar por el desempeño de las tareas de docencia, investigación y divulgación que estatutariamente le corresponda a la propia Fundación;</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XXX. Elegir, a propuesta de las personas titulares de la Presidencia y la Secretaría General del Comité Directivo respectivo, a los integrantes de la Comisión de Justicia Partidaria de la entidad federativa;</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XXXI. Elegir, a propuesta de la persona titular de la Presidencia del Comité Directivo respectivo, a los integrantes de la Comisión de Procesos Internos de la entidad federativa, en los términos previstos en el artículo 162;</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XXXII. Elegir, de entre una terna propuesta por la persona titular de la Presidencia del Comité Directivo respectivo, al titular de la Defensoría de los Derechos de la Militancia de la entidad federativa;</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XXXIII. Aprobar el Plan de Trabajo de la entidad federativa de la filial local del Movimiento PRI.mx, A.C.;</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XXXIV. Ratificar a los integrantes de la Comisión de Ética Partidaria de la entidad federativa que designe la persona titular de la Presidencia del Comité Directivo de la entidad; y</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XXXV. Las demás que le señalen estos Estatutos.</w:t>
      </w:r>
    </w:p>
    <w:p w:rsidR="00A620F1" w:rsidRPr="00AB0024" w:rsidRDefault="00A620F1">
      <w:pPr>
        <w:spacing w:line="360" w:lineRule="auto"/>
        <w:ind w:right="-28"/>
        <w:jc w:val="both"/>
        <w:rPr>
          <w:rFonts w:ascii="Palatino Linotype" w:eastAsia="Palatino Linotype" w:hAnsi="Palatino Linotype" w:cs="Palatino Linotype"/>
          <w:sz w:val="22"/>
          <w:szCs w:val="22"/>
        </w:rPr>
      </w:pPr>
    </w:p>
    <w:p w:rsidR="00A620F1" w:rsidRPr="00AB0024" w:rsidRDefault="00C85659">
      <w:pPr>
        <w:spacing w:line="360" w:lineRule="auto"/>
        <w:ind w:right="-28"/>
        <w:jc w:val="both"/>
        <w:rPr>
          <w:rFonts w:ascii="Palatino Linotype" w:eastAsia="Palatino Linotype" w:hAnsi="Palatino Linotype" w:cs="Palatino Linotype"/>
        </w:rPr>
      </w:pPr>
      <w:r w:rsidRPr="00AB0024">
        <w:rPr>
          <w:rFonts w:ascii="Palatino Linotype" w:eastAsia="Palatino Linotype" w:hAnsi="Palatino Linotype" w:cs="Palatino Linotype"/>
        </w:rPr>
        <w:t xml:space="preserve">Así podemos identificar que, en las entidades, existen Consejos Políticos de las entidades federativas, que dentro de su estructura contemplan la creación de un </w:t>
      </w:r>
      <w:r w:rsidRPr="00AB0024">
        <w:rPr>
          <w:rFonts w:ascii="Palatino Linotype" w:eastAsia="Palatino Linotype" w:hAnsi="Palatino Linotype" w:cs="Palatino Linotype"/>
        </w:rPr>
        <w:lastRenderedPageBreak/>
        <w:t>Comité de Presupuesto y Fiscalización, quien será el encargado, de contemplar el presupuesto municipal para los Comités Municipales, por lo que se tiene que es una situación que atañe meramente al partido político.</w:t>
      </w:r>
    </w:p>
    <w:p w:rsidR="00A620F1" w:rsidRPr="00AB0024" w:rsidRDefault="00A620F1">
      <w:pPr>
        <w:spacing w:line="360" w:lineRule="auto"/>
        <w:ind w:right="96"/>
        <w:jc w:val="both"/>
        <w:rPr>
          <w:rFonts w:ascii="Palatino Linotype" w:eastAsia="Palatino Linotype" w:hAnsi="Palatino Linotype" w:cs="Palatino Linotype"/>
          <w:color w:val="000000"/>
        </w:rPr>
      </w:pPr>
    </w:p>
    <w:p w:rsidR="00A620F1" w:rsidRPr="00AB0024" w:rsidRDefault="00C85659">
      <w:pPr>
        <w:spacing w:line="360" w:lineRule="auto"/>
        <w:ind w:right="96"/>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En ese tenor, se concluye que, respecto a los puntos que se analizan, a saber: si dicha oficina ocupada por el comité municipal del PRI en el municipio de </w:t>
      </w:r>
      <w:proofErr w:type="spellStart"/>
      <w:r w:rsidRPr="00AB0024">
        <w:rPr>
          <w:rFonts w:ascii="Palatino Linotype" w:eastAsia="Palatino Linotype" w:hAnsi="Palatino Linotype" w:cs="Palatino Linotype"/>
          <w:color w:val="000000"/>
        </w:rPr>
        <w:t>Amanalco</w:t>
      </w:r>
      <w:proofErr w:type="spellEnd"/>
      <w:r w:rsidR="00CF1C53" w:rsidRPr="00AB0024">
        <w:rPr>
          <w:rFonts w:ascii="Palatino Linotype" w:eastAsia="Palatino Linotype" w:hAnsi="Palatino Linotype" w:cs="Palatino Linotype"/>
          <w:color w:val="000000"/>
        </w:rPr>
        <w:t>,</w:t>
      </w:r>
      <w:r w:rsidRPr="00AB0024">
        <w:rPr>
          <w:rFonts w:ascii="Palatino Linotype" w:eastAsia="Palatino Linotype" w:hAnsi="Palatino Linotype" w:cs="Palatino Linotype"/>
          <w:color w:val="000000"/>
        </w:rPr>
        <w:t xml:space="preserve"> Edo de México cuenta con (contrato de arrendamiento u otro), así como si se destina recursos para el pago de renta u otro y de servicios, derivado del análisis realizado, se determina que </w:t>
      </w:r>
      <w:r w:rsidRPr="00AB0024">
        <w:rPr>
          <w:rFonts w:ascii="Palatino Linotype" w:eastAsia="Palatino Linotype" w:hAnsi="Palatino Linotype" w:cs="Palatino Linotype"/>
          <w:b/>
          <w:color w:val="000000"/>
        </w:rPr>
        <w:t xml:space="preserve">el Ayuntamiento de </w:t>
      </w:r>
      <w:proofErr w:type="spellStart"/>
      <w:r w:rsidRPr="00AB0024">
        <w:rPr>
          <w:rFonts w:ascii="Palatino Linotype" w:eastAsia="Palatino Linotype" w:hAnsi="Palatino Linotype" w:cs="Palatino Linotype"/>
          <w:b/>
          <w:color w:val="000000"/>
        </w:rPr>
        <w:t>Amanalco</w:t>
      </w:r>
      <w:proofErr w:type="spellEnd"/>
      <w:r w:rsidRPr="00AB0024">
        <w:rPr>
          <w:rFonts w:ascii="Palatino Linotype" w:eastAsia="Palatino Linotype" w:hAnsi="Palatino Linotype" w:cs="Palatino Linotype"/>
          <w:b/>
          <w:color w:val="000000"/>
        </w:rPr>
        <w:t xml:space="preserve">, no cuenta con atribuciones, facultades y competencias para generar, administrar y/o poseer información relacionada con un contrato de arrendamiento o de otra naturaleza, así como si se destina recursos para el pago de renta u otro y de servicios, toda vez que le atañe exclusivamente al partido revolucionario institucional, </w:t>
      </w:r>
      <w:r w:rsidRPr="00AB0024">
        <w:rPr>
          <w:rFonts w:ascii="Palatino Linotype" w:eastAsia="Palatino Linotype" w:hAnsi="Palatino Linotype" w:cs="Palatino Linotype"/>
          <w:color w:val="000000"/>
        </w:rPr>
        <w:t>por lo que conviene señalar lo siguiente:</w:t>
      </w:r>
    </w:p>
    <w:p w:rsidR="00A620F1" w:rsidRPr="00AB0024" w:rsidRDefault="00A620F1"/>
    <w:p w:rsidR="00A620F1" w:rsidRPr="00AB0024" w:rsidRDefault="00C85659">
      <w:pPr>
        <w:numPr>
          <w:ilvl w:val="0"/>
          <w:numId w:val="9"/>
        </w:numPr>
        <w:ind w:left="567" w:right="49" w:hanging="141"/>
        <w:jc w:val="both"/>
        <w:rPr>
          <w:rFonts w:ascii="Palatino Linotype" w:eastAsia="Palatino Linotype" w:hAnsi="Palatino Linotype" w:cs="Palatino Linotype"/>
          <w:color w:val="000000"/>
          <w:sz w:val="22"/>
          <w:szCs w:val="22"/>
        </w:rPr>
      </w:pPr>
      <w:r w:rsidRPr="00AB0024">
        <w:rPr>
          <w:rFonts w:ascii="Palatino Linotype" w:eastAsia="Palatino Linotype" w:hAnsi="Palatino Linotype" w:cs="Palatino Linotype"/>
          <w:b/>
          <w:color w:val="000000"/>
        </w:rPr>
        <w:t>De la declaratoria formal de incompetencia.  </w:t>
      </w:r>
    </w:p>
    <w:p w:rsidR="00A620F1" w:rsidRPr="00AB0024" w:rsidRDefault="00A620F1"/>
    <w:p w:rsidR="00A620F1" w:rsidRPr="00AB0024" w:rsidRDefault="00C85659">
      <w:pPr>
        <w:spacing w:line="360" w:lineRule="auto"/>
        <w:jc w:val="both"/>
      </w:pPr>
      <w:r w:rsidRPr="00AB0024">
        <w:rPr>
          <w:rFonts w:ascii="Palatino Linotype" w:eastAsia="Palatino Linotype" w:hAnsi="Palatino Linotype" w:cs="Palatino Linotype"/>
          <w:color w:val="000000"/>
        </w:rPr>
        <w:t xml:space="preserve">De acuerdo con, Cabanellas, Guillermo (1993), en el </w:t>
      </w:r>
      <w:r w:rsidRPr="00AB0024">
        <w:rPr>
          <w:rFonts w:ascii="Palatino Linotype" w:eastAsia="Palatino Linotype" w:hAnsi="Palatino Linotype" w:cs="Palatino Linotype"/>
          <w:i/>
          <w:color w:val="000000"/>
        </w:rPr>
        <w:t>“Diccionario Jurídico Elemental”</w:t>
      </w:r>
      <w:r w:rsidRPr="00AB0024">
        <w:rPr>
          <w:rFonts w:ascii="Palatino Linotype" w:eastAsia="Palatino Linotype" w:hAnsi="Palatino Linotype" w:cs="Palatino Linotype"/>
          <w:color w:val="000000"/>
        </w:rPr>
        <w:t xml:space="preserve"> (p. 32 y 161) la competencia o bien, la incompetencia se refiere a:  </w:t>
      </w:r>
    </w:p>
    <w:p w:rsidR="00A620F1" w:rsidRPr="00AB0024" w:rsidRDefault="00C85659">
      <w:pPr>
        <w:numPr>
          <w:ilvl w:val="0"/>
          <w:numId w:val="2"/>
        </w:numPr>
        <w:ind w:left="780"/>
        <w:jc w:val="both"/>
        <w:rPr>
          <w:rFonts w:ascii="Palatino Linotype" w:eastAsia="Palatino Linotype" w:hAnsi="Palatino Linotype" w:cs="Palatino Linotype"/>
          <w:color w:val="000000"/>
          <w:sz w:val="22"/>
          <w:szCs w:val="22"/>
        </w:rPr>
      </w:pPr>
      <w:r w:rsidRPr="00AB0024">
        <w:rPr>
          <w:rFonts w:ascii="Palatino Linotype" w:eastAsia="Palatino Linotype" w:hAnsi="Palatino Linotype" w:cs="Palatino Linotype"/>
          <w:b/>
          <w:color w:val="000000"/>
          <w:sz w:val="22"/>
          <w:szCs w:val="22"/>
        </w:rPr>
        <w:t xml:space="preserve">Competencia: </w:t>
      </w:r>
      <w:r w:rsidRPr="00AB0024">
        <w:rPr>
          <w:rFonts w:ascii="Palatino Linotype" w:eastAsia="Palatino Linotype" w:hAnsi="Palatino Linotype" w:cs="Palatino Linotype"/>
          <w:color w:val="000000"/>
          <w:sz w:val="22"/>
          <w:szCs w:val="22"/>
        </w:rPr>
        <w:t>La capacidad de una autoridad para conocer sobre una materia o asunto.</w:t>
      </w:r>
    </w:p>
    <w:p w:rsidR="00A620F1" w:rsidRPr="00AB0024" w:rsidRDefault="00C85659">
      <w:pPr>
        <w:numPr>
          <w:ilvl w:val="0"/>
          <w:numId w:val="2"/>
        </w:numPr>
        <w:ind w:left="780"/>
        <w:jc w:val="both"/>
        <w:rPr>
          <w:rFonts w:ascii="Palatino Linotype" w:eastAsia="Palatino Linotype" w:hAnsi="Palatino Linotype" w:cs="Palatino Linotype"/>
          <w:color w:val="000000"/>
          <w:sz w:val="22"/>
          <w:szCs w:val="22"/>
        </w:rPr>
      </w:pPr>
      <w:r w:rsidRPr="00AB0024">
        <w:rPr>
          <w:rFonts w:ascii="Palatino Linotype" w:eastAsia="Palatino Linotype" w:hAnsi="Palatino Linotype" w:cs="Palatino Linotype"/>
          <w:b/>
          <w:color w:val="000000"/>
          <w:sz w:val="22"/>
          <w:szCs w:val="22"/>
        </w:rPr>
        <w:t>Incompetencia:</w:t>
      </w:r>
      <w:r w:rsidRPr="00AB0024">
        <w:rPr>
          <w:rFonts w:ascii="Palatino Linotype" w:eastAsia="Palatino Linotype" w:hAnsi="Palatino Linotype" w:cs="Palatino Linotype"/>
          <w:color w:val="000000"/>
          <w:sz w:val="22"/>
          <w:szCs w:val="22"/>
        </w:rPr>
        <w:t xml:space="preserve"> Falta de Competencia.</w:t>
      </w:r>
    </w:p>
    <w:p w:rsidR="00A620F1" w:rsidRPr="00AB0024" w:rsidRDefault="00A620F1"/>
    <w:p w:rsidR="00A620F1" w:rsidRPr="00AB0024" w:rsidRDefault="00C85659">
      <w:pPr>
        <w:spacing w:line="360" w:lineRule="auto"/>
        <w:jc w:val="both"/>
      </w:pPr>
      <w:r w:rsidRPr="00AB0024">
        <w:rPr>
          <w:rFonts w:ascii="Palatino Linotype" w:eastAsia="Palatino Linotype" w:hAnsi="Palatino Linotype" w:cs="Palatino Linotype"/>
          <w:color w:val="000000"/>
        </w:rPr>
        <w:t xml:space="preserve">Por lo que, </w:t>
      </w:r>
      <w:r w:rsidRPr="00AB0024">
        <w:rPr>
          <w:rFonts w:ascii="Palatino Linotype" w:eastAsia="Palatino Linotype" w:hAnsi="Palatino Linotype" w:cs="Palatino Linotype"/>
          <w:b/>
          <w:color w:val="000000"/>
        </w:rPr>
        <w:t>la incompetencia</w:t>
      </w:r>
      <w:r w:rsidRPr="00AB0024">
        <w:rPr>
          <w:rFonts w:ascii="Palatino Linotype" w:eastAsia="Palatino Linotype" w:hAnsi="Palatino Linotype" w:cs="Palatino Linotype"/>
          <w:color w:val="000000"/>
        </w:rPr>
        <w:t xml:space="preserve">, radica en la incapacidad de una autoridad para conocer de un tema o asunto; en el mismo sentido, conviene traer a cuenta tesis aislada número III.2o.P.11 K, publicada en el Semanario Judicial de la Federación y </w:t>
      </w:r>
      <w:r w:rsidRPr="00AB0024">
        <w:rPr>
          <w:rFonts w:ascii="Palatino Linotype" w:eastAsia="Palatino Linotype" w:hAnsi="Palatino Linotype" w:cs="Palatino Linotype"/>
          <w:color w:val="000000"/>
        </w:rPr>
        <w:lastRenderedPageBreak/>
        <w:t>su Gaceta, Novena Época, Tomo XV, Mayo de 2002, Pág. 1243, ya que precisa lo siguiente: </w:t>
      </w:r>
    </w:p>
    <w:p w:rsidR="00A620F1" w:rsidRPr="00AB0024" w:rsidRDefault="00A620F1"/>
    <w:p w:rsidR="00A620F1" w:rsidRPr="00AB0024" w:rsidRDefault="00C85659">
      <w:pPr>
        <w:ind w:left="567" w:right="567"/>
        <w:jc w:val="both"/>
      </w:pPr>
      <w:r w:rsidRPr="00AB0024">
        <w:rPr>
          <w:rFonts w:ascii="Palatino Linotype" w:eastAsia="Palatino Linotype" w:hAnsi="Palatino Linotype" w:cs="Palatino Linotype"/>
          <w:b/>
          <w:i/>
          <w:color w:val="000000"/>
          <w:sz w:val="22"/>
          <w:szCs w:val="22"/>
        </w:rPr>
        <w:t xml:space="preserve">“LEGITIMACIÓN DE FUNCIONARIOS PÚBLICOS. LOS TRIBUNALES DE AMPARO, POR ESTAR VINCULADOS CON EL CONCEPTO DE COMPETENCIA A QUE SE REFIERE EL ARTÍCULO 16 CONSTITUCIONAL, NO PUEDEN CONOCER DE AQUÉLLA. </w:t>
      </w:r>
      <w:r w:rsidRPr="00AB0024">
        <w:rPr>
          <w:rFonts w:ascii="Palatino Linotype" w:eastAsia="Palatino Linotype" w:hAnsi="Palatino Linotype" w:cs="Palatino Linotype"/>
          <w:i/>
          <w:color w:val="000000"/>
          <w:sz w:val="22"/>
          <w:szCs w:val="22"/>
        </w:rPr>
        <w:t>El artículo </w:t>
      </w:r>
      <w:hyperlink r:id="rId17">
        <w:r w:rsidRPr="00AB0024">
          <w:rPr>
            <w:rFonts w:ascii="Palatino Linotype" w:eastAsia="Palatino Linotype" w:hAnsi="Palatino Linotype" w:cs="Palatino Linotype"/>
            <w:i/>
            <w:color w:val="000000"/>
            <w:sz w:val="22"/>
            <w:szCs w:val="22"/>
            <w:u w:val="single"/>
          </w:rPr>
          <w:t>16 constitucional</w:t>
        </w:r>
      </w:hyperlink>
      <w:r w:rsidRPr="00AB0024">
        <w:rPr>
          <w:rFonts w:ascii="Palatino Linotype" w:eastAsia="Palatino Linotype" w:hAnsi="Palatino Linotype" w:cs="Palatino Linotype"/>
          <w:i/>
          <w:color w:val="000000"/>
          <w:sz w:val="22"/>
          <w:szCs w:val="22"/>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rsidR="00A620F1" w:rsidRPr="00AB0024" w:rsidRDefault="00A620F1"/>
    <w:p w:rsidR="00A620F1" w:rsidRPr="00AB0024" w:rsidRDefault="00C85659">
      <w:pPr>
        <w:spacing w:line="360" w:lineRule="auto"/>
        <w:jc w:val="both"/>
      </w:pPr>
      <w:r w:rsidRPr="00AB0024">
        <w:rPr>
          <w:rFonts w:ascii="Palatino Linotype" w:eastAsia="Palatino Linotype" w:hAnsi="Palatino Linotype" w:cs="Palatino Linotype"/>
          <w:color w:val="000000"/>
        </w:rPr>
        <w:t>De la misma manera, resulta necesario traer a colación, el Criterio 13/17, emitido por el Instituto Nacional de Transparencia, Acceso a la Información y Protección de Datos Personales, que dispone lo siguiente: </w:t>
      </w:r>
    </w:p>
    <w:p w:rsidR="00A620F1" w:rsidRPr="00AB0024" w:rsidRDefault="00A620F1"/>
    <w:p w:rsidR="00A620F1" w:rsidRPr="00AB0024" w:rsidRDefault="00C85659">
      <w:pPr>
        <w:ind w:left="567" w:right="567"/>
        <w:jc w:val="both"/>
      </w:pPr>
      <w:r w:rsidRPr="00AB0024">
        <w:rPr>
          <w:rFonts w:ascii="Palatino Linotype" w:eastAsia="Palatino Linotype" w:hAnsi="Palatino Linotype" w:cs="Palatino Linotype"/>
          <w:i/>
          <w:color w:val="000000"/>
          <w:sz w:val="22"/>
          <w:szCs w:val="22"/>
        </w:rPr>
        <w:t>“</w:t>
      </w:r>
      <w:r w:rsidRPr="00AB0024">
        <w:rPr>
          <w:rFonts w:ascii="Palatino Linotype" w:eastAsia="Palatino Linotype" w:hAnsi="Palatino Linotype" w:cs="Palatino Linotype"/>
          <w:b/>
          <w:i/>
          <w:color w:val="000000"/>
          <w:sz w:val="22"/>
          <w:szCs w:val="22"/>
        </w:rPr>
        <w:t xml:space="preserve">Incompetencia. </w:t>
      </w:r>
      <w:r w:rsidRPr="00AB0024">
        <w:rPr>
          <w:rFonts w:ascii="Palatino Linotype" w:eastAsia="Palatino Linotype" w:hAnsi="Palatino Linotype" w:cs="Palatino Linotype"/>
          <w:i/>
          <w:color w:val="000000"/>
          <w:sz w:val="22"/>
          <w:szCs w:val="22"/>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rsidR="00A620F1" w:rsidRPr="00AB0024" w:rsidRDefault="00A620F1"/>
    <w:p w:rsidR="00A620F1" w:rsidRPr="00AB0024" w:rsidRDefault="00C85659">
      <w:pPr>
        <w:spacing w:line="360" w:lineRule="auto"/>
        <w:jc w:val="both"/>
      </w:pPr>
      <w:r w:rsidRPr="00AB0024">
        <w:rPr>
          <w:rFonts w:ascii="Palatino Linotype" w:eastAsia="Palatino Linotype" w:hAnsi="Palatino Linotype" w:cs="Palatino Linotype"/>
          <w:color w:val="000000"/>
        </w:rPr>
        <w:t xml:space="preserve">En tal virtud, la </w:t>
      </w:r>
      <w:r w:rsidRPr="00AB0024">
        <w:rPr>
          <w:rFonts w:ascii="Palatino Linotype" w:eastAsia="Palatino Linotype" w:hAnsi="Palatino Linotype" w:cs="Palatino Linotype"/>
          <w:b/>
          <w:color w:val="000000"/>
        </w:rPr>
        <w:t xml:space="preserve">incompetencia </w:t>
      </w:r>
      <w:r w:rsidRPr="00AB0024">
        <w:rPr>
          <w:rFonts w:ascii="Palatino Linotype" w:eastAsia="Palatino Linotype" w:hAnsi="Palatino Linotype" w:cs="Palatino Linotype"/>
          <w:color w:val="000000"/>
        </w:rPr>
        <w:t>implica que, de conformidad con las atribuciones conferidas al sujeto obligado, no habría razón por la cual este deba contar con la información solicitada, en cuyo caso, tendría que orientar al particular para que acuda a la instancia competente.</w:t>
      </w:r>
    </w:p>
    <w:p w:rsidR="00A620F1" w:rsidRPr="00AB0024" w:rsidRDefault="00A620F1">
      <w:pPr>
        <w:spacing w:line="360" w:lineRule="auto"/>
      </w:pPr>
    </w:p>
    <w:p w:rsidR="00A620F1" w:rsidRPr="00AB0024" w:rsidRDefault="00C85659">
      <w:pPr>
        <w:spacing w:line="360" w:lineRule="auto"/>
        <w:jc w:val="both"/>
      </w:pPr>
      <w:r w:rsidRPr="00AB0024">
        <w:rPr>
          <w:rFonts w:ascii="Palatino Linotype" w:eastAsia="Palatino Linotype" w:hAnsi="Palatino Linotype" w:cs="Palatino Linotype"/>
          <w:color w:val="000000"/>
        </w:rPr>
        <w:lastRenderedPageBreak/>
        <w:t>Ahora bien, en cuanto hace a la Declaración de Incompetencia la Ley de Transparencia y Acceso a la Información Pública del Estado de México, establece, en los artículos 49, fracción II y 167, lo siguiente: </w:t>
      </w:r>
    </w:p>
    <w:p w:rsidR="00A620F1" w:rsidRPr="00AB0024" w:rsidRDefault="00A620F1">
      <w:pPr>
        <w:spacing w:line="360" w:lineRule="auto"/>
      </w:pPr>
    </w:p>
    <w:p w:rsidR="00A620F1" w:rsidRPr="00AB0024" w:rsidRDefault="00C85659">
      <w:pPr>
        <w:ind w:left="567" w:right="900"/>
        <w:jc w:val="both"/>
      </w:pPr>
      <w:r w:rsidRPr="00AB0024">
        <w:rPr>
          <w:rFonts w:ascii="Palatino Linotype" w:eastAsia="Palatino Linotype" w:hAnsi="Palatino Linotype" w:cs="Palatino Linotype"/>
          <w:i/>
          <w:color w:val="000000"/>
          <w:sz w:val="22"/>
          <w:szCs w:val="22"/>
        </w:rPr>
        <w:t>“</w:t>
      </w:r>
      <w:r w:rsidRPr="00AB0024">
        <w:rPr>
          <w:rFonts w:ascii="Palatino Linotype" w:eastAsia="Palatino Linotype" w:hAnsi="Palatino Linotype" w:cs="Palatino Linotype"/>
          <w:b/>
          <w:i/>
          <w:color w:val="000000"/>
          <w:sz w:val="22"/>
          <w:szCs w:val="22"/>
        </w:rPr>
        <w:t>Artículo 49.</w:t>
      </w:r>
      <w:r w:rsidRPr="00AB0024">
        <w:rPr>
          <w:rFonts w:ascii="Palatino Linotype" w:eastAsia="Palatino Linotype" w:hAnsi="Palatino Linotype" w:cs="Palatino Linotype"/>
          <w:i/>
          <w:color w:val="000000"/>
          <w:sz w:val="22"/>
          <w:szCs w:val="22"/>
        </w:rPr>
        <w:t xml:space="preserve"> </w:t>
      </w:r>
      <w:r w:rsidRPr="00AB0024">
        <w:rPr>
          <w:rFonts w:ascii="Palatino Linotype" w:eastAsia="Palatino Linotype" w:hAnsi="Palatino Linotype" w:cs="Palatino Linotype"/>
          <w:b/>
          <w:i/>
          <w:color w:val="000000"/>
          <w:sz w:val="22"/>
          <w:szCs w:val="22"/>
        </w:rPr>
        <w:t>Los Comités de Transparencia</w:t>
      </w:r>
      <w:r w:rsidRPr="00AB0024">
        <w:rPr>
          <w:rFonts w:ascii="Palatino Linotype" w:eastAsia="Palatino Linotype" w:hAnsi="Palatino Linotype" w:cs="Palatino Linotype"/>
          <w:i/>
          <w:color w:val="000000"/>
          <w:sz w:val="22"/>
          <w:szCs w:val="22"/>
        </w:rPr>
        <w:t xml:space="preserve"> tendrán las siguientes atribuciones:</w:t>
      </w:r>
    </w:p>
    <w:p w:rsidR="00A620F1" w:rsidRPr="00AB0024" w:rsidRDefault="00C85659">
      <w:pPr>
        <w:ind w:left="567" w:right="900"/>
        <w:jc w:val="both"/>
      </w:pPr>
      <w:r w:rsidRPr="00AB0024">
        <w:rPr>
          <w:rFonts w:ascii="Palatino Linotype" w:eastAsia="Palatino Linotype" w:hAnsi="Palatino Linotype" w:cs="Palatino Linotype"/>
          <w:b/>
          <w:i/>
          <w:color w:val="000000"/>
          <w:sz w:val="22"/>
          <w:szCs w:val="22"/>
        </w:rPr>
        <w:t>...</w:t>
      </w:r>
    </w:p>
    <w:p w:rsidR="00A620F1" w:rsidRPr="00AB0024" w:rsidRDefault="00C85659">
      <w:pPr>
        <w:ind w:left="567" w:right="900"/>
        <w:jc w:val="both"/>
      </w:pPr>
      <w:r w:rsidRPr="00AB0024">
        <w:rPr>
          <w:rFonts w:ascii="Palatino Linotype" w:eastAsia="Palatino Linotype" w:hAnsi="Palatino Linotype" w:cs="Palatino Linotype"/>
          <w:b/>
          <w:i/>
          <w:color w:val="000000"/>
          <w:sz w:val="22"/>
          <w:szCs w:val="22"/>
        </w:rPr>
        <w:t>II.</w:t>
      </w:r>
      <w:r w:rsidRPr="00AB0024">
        <w:rPr>
          <w:color w:val="000000"/>
          <w:sz w:val="22"/>
          <w:szCs w:val="22"/>
        </w:rPr>
        <w:t xml:space="preserve"> </w:t>
      </w:r>
      <w:r w:rsidRPr="00AB0024">
        <w:rPr>
          <w:rFonts w:ascii="Palatino Linotype" w:eastAsia="Palatino Linotype" w:hAnsi="Palatino Linotype" w:cs="Palatino Linotype"/>
          <w:b/>
          <w:i/>
          <w:color w:val="000000"/>
          <w:sz w:val="22"/>
          <w:szCs w:val="22"/>
        </w:rPr>
        <w:t>Confirmar, modificar o revocar</w:t>
      </w:r>
      <w:r w:rsidRPr="00AB0024">
        <w:rPr>
          <w:rFonts w:ascii="Palatino Linotype" w:eastAsia="Palatino Linotype" w:hAnsi="Palatino Linotype" w:cs="Palatino Linotype"/>
          <w:i/>
          <w:color w:val="000000"/>
          <w:sz w:val="22"/>
          <w:szCs w:val="22"/>
        </w:rPr>
        <w:t xml:space="preserve"> las determinaciones que en materia de ampliación del plazo de respuesta, clasificación de la información </w:t>
      </w:r>
      <w:r w:rsidRPr="00AB0024">
        <w:rPr>
          <w:rFonts w:ascii="Palatino Linotype" w:eastAsia="Palatino Linotype" w:hAnsi="Palatino Linotype" w:cs="Palatino Linotype"/>
          <w:b/>
          <w:i/>
          <w:color w:val="000000"/>
          <w:sz w:val="22"/>
          <w:szCs w:val="22"/>
        </w:rPr>
        <w:t>y declaración</w:t>
      </w:r>
      <w:r w:rsidRPr="00AB0024">
        <w:rPr>
          <w:rFonts w:ascii="Palatino Linotype" w:eastAsia="Palatino Linotype" w:hAnsi="Palatino Linotype" w:cs="Palatino Linotype"/>
          <w:i/>
          <w:color w:val="000000"/>
          <w:sz w:val="22"/>
          <w:szCs w:val="22"/>
        </w:rPr>
        <w:t xml:space="preserve"> de inexistencia o </w:t>
      </w:r>
      <w:r w:rsidRPr="00AB0024">
        <w:rPr>
          <w:rFonts w:ascii="Palatino Linotype" w:eastAsia="Palatino Linotype" w:hAnsi="Palatino Linotype" w:cs="Palatino Linotype"/>
          <w:b/>
          <w:i/>
          <w:color w:val="000000"/>
          <w:sz w:val="22"/>
          <w:szCs w:val="22"/>
        </w:rPr>
        <w:t>de incompetencia realicen los titulares de las áreas de los sujetos obligados;</w:t>
      </w:r>
    </w:p>
    <w:p w:rsidR="00A620F1" w:rsidRPr="00AB0024" w:rsidRDefault="00C85659">
      <w:pPr>
        <w:ind w:left="567" w:right="900"/>
        <w:jc w:val="both"/>
      </w:pPr>
      <w:r w:rsidRPr="00AB0024">
        <w:rPr>
          <w:rFonts w:ascii="Palatino Linotype" w:eastAsia="Palatino Linotype" w:hAnsi="Palatino Linotype" w:cs="Palatino Linotype"/>
          <w:b/>
          <w:i/>
          <w:color w:val="000000"/>
          <w:sz w:val="22"/>
          <w:szCs w:val="22"/>
        </w:rPr>
        <w:t>...</w:t>
      </w:r>
    </w:p>
    <w:p w:rsidR="00A620F1" w:rsidRPr="00AB0024" w:rsidRDefault="00C85659">
      <w:pPr>
        <w:ind w:left="567" w:right="900"/>
        <w:jc w:val="both"/>
      </w:pPr>
      <w:r w:rsidRPr="00AB0024">
        <w:rPr>
          <w:rFonts w:ascii="Palatino Linotype" w:eastAsia="Palatino Linotype" w:hAnsi="Palatino Linotype" w:cs="Palatino Linotype"/>
          <w:b/>
          <w:i/>
          <w:color w:val="000000"/>
          <w:sz w:val="22"/>
          <w:szCs w:val="22"/>
        </w:rPr>
        <w:t>Artículo 167</w:t>
      </w:r>
      <w:r w:rsidRPr="00AB0024">
        <w:rPr>
          <w:rFonts w:ascii="Palatino Linotype" w:eastAsia="Palatino Linotype" w:hAnsi="Palatino Linotype" w:cs="Palatino Linotype"/>
          <w:i/>
          <w:color w:val="000000"/>
          <w:sz w:val="22"/>
          <w:szCs w:val="22"/>
        </w:rPr>
        <w:t xml:space="preserve">. </w:t>
      </w:r>
      <w:r w:rsidRPr="00AB0024">
        <w:rPr>
          <w:rFonts w:ascii="Palatino Linotype" w:eastAsia="Palatino Linotype" w:hAnsi="Palatino Linotype" w:cs="Palatino Linotype"/>
          <w:b/>
          <w:i/>
          <w:color w:val="000000"/>
          <w:sz w:val="22"/>
          <w:szCs w:val="22"/>
        </w:rPr>
        <w:t>Cuando las unidades de transparencia determinen la notoria incompetencia</w:t>
      </w:r>
      <w:r w:rsidRPr="00AB0024">
        <w:rPr>
          <w:rFonts w:ascii="Palatino Linotype" w:eastAsia="Palatino Linotype" w:hAnsi="Palatino Linotype" w:cs="Palatino Linotype"/>
          <w:i/>
          <w:color w:val="000000"/>
          <w:sz w:val="22"/>
          <w:szCs w:val="22"/>
        </w:rPr>
        <w:t xml:space="preserve"> por parte de los sujetos obligados, dentro del ámbito de aplicación, para atender la solicitud de acceso a la información, </w:t>
      </w:r>
      <w:r w:rsidRPr="00AB0024">
        <w:rPr>
          <w:rFonts w:ascii="Palatino Linotype" w:eastAsia="Palatino Linotype" w:hAnsi="Palatino Linotype" w:cs="Palatino Linotype"/>
          <w:b/>
          <w:i/>
          <w:color w:val="000000"/>
          <w:sz w:val="22"/>
          <w:szCs w:val="22"/>
        </w:rPr>
        <w:t>deberán comunicarlo al solicitante, dentro de los tres días hábiles posteriores a la recepción de la solicitud</w:t>
      </w:r>
      <w:r w:rsidRPr="00AB0024">
        <w:rPr>
          <w:rFonts w:ascii="Palatino Linotype" w:eastAsia="Palatino Linotype" w:hAnsi="Palatino Linotype" w:cs="Palatino Linotype"/>
          <w:i/>
          <w:color w:val="000000"/>
          <w:sz w:val="22"/>
          <w:szCs w:val="22"/>
        </w:rPr>
        <w:t xml:space="preserve"> y, </w:t>
      </w:r>
      <w:r w:rsidRPr="00AB0024">
        <w:rPr>
          <w:rFonts w:ascii="Palatino Linotype" w:eastAsia="Palatino Linotype" w:hAnsi="Palatino Linotype" w:cs="Palatino Linotype"/>
          <w:b/>
          <w:i/>
          <w:color w:val="000000"/>
          <w:sz w:val="22"/>
          <w:szCs w:val="22"/>
        </w:rPr>
        <w:t>en su caso orientar al solicitante, el o los sujetos obligados competentes.</w:t>
      </w:r>
    </w:p>
    <w:p w:rsidR="00A620F1" w:rsidRPr="00AB0024" w:rsidRDefault="00A620F1"/>
    <w:p w:rsidR="00A620F1" w:rsidRPr="00AB0024" w:rsidRDefault="00C85659">
      <w:pPr>
        <w:spacing w:line="360" w:lineRule="auto"/>
        <w:jc w:val="both"/>
      </w:pPr>
      <w:r w:rsidRPr="00AB0024">
        <w:rPr>
          <w:rFonts w:ascii="Palatino Linotype" w:eastAsia="Palatino Linotype" w:hAnsi="Palatino Linotype" w:cs="Palatino Linotype"/>
          <w:color w:val="000000"/>
        </w:rPr>
        <w:t>De los preceptos citados se desprende que es atribución del Comité de Transparencia confirmar, modificar o revocar, en su caso, la declaración de incompetencia, en aquellos casos en los que no se trate de una notoria incompetencia, para lo cual deberán comunicarlo dentro de los tres días hábiles posteriores a la recepción de la solicitud y, en su caso, orientar al solicitante respecto de los sujetos obligados competentes. </w:t>
      </w:r>
    </w:p>
    <w:p w:rsidR="00A620F1" w:rsidRPr="00AB0024" w:rsidRDefault="00A620F1">
      <w:pPr>
        <w:spacing w:line="360" w:lineRule="auto"/>
      </w:pPr>
    </w:p>
    <w:p w:rsidR="00A620F1" w:rsidRPr="00AB0024" w:rsidRDefault="00C85659">
      <w:pPr>
        <w:spacing w:line="360" w:lineRule="auto"/>
        <w:ind w:right="18"/>
        <w:jc w:val="both"/>
      </w:pPr>
      <w:r w:rsidRPr="00AB0024">
        <w:rPr>
          <w:rFonts w:ascii="Palatino Linotype" w:eastAsia="Palatino Linotype" w:hAnsi="Palatino Linotype" w:cs="Palatino Linotype"/>
          <w:color w:val="000000"/>
        </w:rPr>
        <w:t>Como sustento de lo anterior, resulta aplicable el Criterio 20/20, emitido por el Instituto Nacional de Transparencia, Acceso a la Información, y Protección de Datos Personales, INAI, que lleva por rubro y texto los siguientes:  </w:t>
      </w:r>
    </w:p>
    <w:p w:rsidR="00A620F1" w:rsidRPr="00AB0024" w:rsidRDefault="00A620F1"/>
    <w:p w:rsidR="00A620F1" w:rsidRPr="00AB0024" w:rsidRDefault="00C85659">
      <w:pPr>
        <w:spacing w:line="276" w:lineRule="auto"/>
        <w:ind w:left="567" w:right="900"/>
        <w:jc w:val="both"/>
      </w:pPr>
      <w:r w:rsidRPr="00AB0024">
        <w:rPr>
          <w:rFonts w:ascii="Palatino Linotype" w:eastAsia="Palatino Linotype" w:hAnsi="Palatino Linotype" w:cs="Palatino Linotype"/>
          <w:b/>
          <w:i/>
          <w:color w:val="000000"/>
          <w:sz w:val="22"/>
          <w:szCs w:val="22"/>
        </w:rPr>
        <w:t>“Declaración de incompetencia por parte del Comité, cuando no sea notoria o manifiesta.</w:t>
      </w:r>
      <w:r w:rsidRPr="00AB0024">
        <w:rPr>
          <w:rFonts w:ascii="Palatino Linotype" w:eastAsia="Palatino Linotype" w:hAnsi="Palatino Linotype" w:cs="Palatino Linotype"/>
          <w:i/>
          <w:color w:val="000000"/>
          <w:sz w:val="22"/>
          <w:szCs w:val="22"/>
        </w:rPr>
        <w:t xml:space="preserve"> Cuando la normatividad que prevé las atribuciones del sujeto obligado </w:t>
      </w:r>
      <w:r w:rsidRPr="00AB0024">
        <w:rPr>
          <w:rFonts w:ascii="Palatino Linotype" w:eastAsia="Palatino Linotype" w:hAnsi="Palatino Linotype" w:cs="Palatino Linotype"/>
          <w:i/>
          <w:color w:val="000000"/>
          <w:sz w:val="22"/>
          <w:szCs w:val="22"/>
        </w:rPr>
        <w:lastRenderedPageBreak/>
        <w:t>no sea clara en delimitar su competencia respecto a lo requerido por la persona solicitante y resulte necesario efectuar un análisis mayor para determinar la incompetencia, ésta debe ser declarada por el Comité de Transparencia.”</w:t>
      </w:r>
    </w:p>
    <w:p w:rsidR="00A620F1" w:rsidRPr="00AB0024" w:rsidRDefault="00A620F1"/>
    <w:p w:rsidR="00A620F1" w:rsidRPr="00AB0024" w:rsidRDefault="00C85659">
      <w:pPr>
        <w:spacing w:line="360" w:lineRule="auto"/>
        <w:jc w:val="both"/>
      </w:pPr>
      <w:r w:rsidRPr="00AB0024">
        <w:rPr>
          <w:rFonts w:ascii="Palatino Linotype" w:eastAsia="Palatino Linotype" w:hAnsi="Palatino Linotype" w:cs="Palatino Linotype"/>
          <w:color w:val="000000"/>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AB0024">
        <w:rPr>
          <w:rFonts w:ascii="Palatino Linotype" w:eastAsia="Palatino Linotype" w:hAnsi="Palatino Linotype" w:cs="Palatino Linotype"/>
          <w:b/>
          <w:color w:val="000000"/>
        </w:rPr>
        <w:t xml:space="preserve"> </w:t>
      </w:r>
      <w:r w:rsidRPr="00AB0024">
        <w:rPr>
          <w:rFonts w:ascii="Palatino Linotype" w:eastAsia="Palatino Linotype" w:hAnsi="Palatino Linotype" w:cs="Palatino Linotype"/>
          <w:color w:val="000000"/>
        </w:rPr>
        <w:t>duda razonable sobre la administración del documento materia de la solicitud de información, como se lee enseguida:</w:t>
      </w:r>
    </w:p>
    <w:p w:rsidR="00A620F1" w:rsidRPr="00AB0024" w:rsidRDefault="00A620F1"/>
    <w:p w:rsidR="00A620F1" w:rsidRPr="00AB0024" w:rsidRDefault="00C85659">
      <w:pPr>
        <w:spacing w:line="276" w:lineRule="auto"/>
        <w:ind w:left="567" w:right="843"/>
        <w:jc w:val="both"/>
      </w:pPr>
      <w:r w:rsidRPr="00AB0024">
        <w:rPr>
          <w:rFonts w:ascii="Palatino Linotype" w:eastAsia="Palatino Linotype" w:hAnsi="Palatino Linotype" w:cs="Palatino Linotype"/>
          <w:b/>
          <w:i/>
          <w:color w:val="000000"/>
          <w:sz w:val="22"/>
          <w:szCs w:val="22"/>
        </w:rPr>
        <w:t xml:space="preserve">“DECLARATORIA DE INCOMPETENCIA DEL SUJETO OBLIGADO. SUPUESTO PARA CONFIRMARLA POR ACUERDO DEL COMITÉ DE TRANSPARENCIA. </w:t>
      </w:r>
      <w:r w:rsidRPr="00AB0024">
        <w:rPr>
          <w:rFonts w:ascii="Palatino Linotype" w:eastAsia="Palatino Linotype" w:hAnsi="Palatino Linotype" w:cs="Palatino Linotype"/>
          <w:i/>
          <w:color w:val="000000"/>
          <w:sz w:val="22"/>
          <w:szCs w:val="22"/>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AB0024">
        <w:rPr>
          <w:rFonts w:ascii="Palatino Linotype" w:eastAsia="Palatino Linotype" w:hAnsi="Palatino Linotype" w:cs="Palatino Linotype"/>
          <w:b/>
          <w:i/>
          <w:color w:val="000000"/>
          <w:sz w:val="22"/>
          <w:szCs w:val="22"/>
        </w:rPr>
        <w:t xml:space="preserve">al ejercer el derecho de acceso a la información pública cabe la posibilidad de que existan atribuciones concurrentes entre dos o más Sujetos Obligados que </w:t>
      </w:r>
      <w:r w:rsidRPr="00AB0024">
        <w:rPr>
          <w:rFonts w:ascii="Palatino Linotype" w:eastAsia="Palatino Linotype" w:hAnsi="Palatino Linotype" w:cs="Palatino Linotype"/>
          <w:b/>
          <w:i/>
          <w:color w:val="000000"/>
          <w:sz w:val="22"/>
          <w:szCs w:val="22"/>
          <w:u w:val="single"/>
        </w:rPr>
        <w:t>impiden determinar dentro del término legal de tres días hábiles</w:t>
      </w:r>
      <w:r w:rsidRPr="00AB0024">
        <w:rPr>
          <w:rFonts w:ascii="Palatino Linotype" w:eastAsia="Palatino Linotype" w:hAnsi="Palatino Linotype" w:cs="Palatino Linotype"/>
          <w:b/>
          <w:i/>
          <w:color w:val="000000"/>
          <w:sz w:val="22"/>
          <w:szCs w:val="22"/>
        </w:rPr>
        <w:t>, si se posee o no la información por el Sujeto Obligado requerid</w:t>
      </w:r>
      <w:r w:rsidRPr="00AB0024">
        <w:rPr>
          <w:rFonts w:ascii="Palatino Linotype" w:eastAsia="Palatino Linotype" w:hAnsi="Palatino Linotype" w:cs="Palatino Linotype"/>
          <w:i/>
          <w:color w:val="000000"/>
          <w:sz w:val="22"/>
          <w:szCs w:val="22"/>
        </w:rPr>
        <w:t xml:space="preserve">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w:t>
      </w:r>
      <w:r w:rsidRPr="00AB0024">
        <w:rPr>
          <w:rFonts w:ascii="Palatino Linotype" w:eastAsia="Palatino Linotype" w:hAnsi="Palatino Linotype" w:cs="Palatino Linotype"/>
          <w:i/>
          <w:color w:val="000000"/>
          <w:sz w:val="22"/>
          <w:szCs w:val="22"/>
        </w:rPr>
        <w:lastRenderedPageBreak/>
        <w:t>presentó la solicitud, carece de facultades, competencias o funciones para poseer o generar la información requerida; lo anterior, sin perjuicio de que pueda gestionar la colaboración de otro Sujeto Obligado competente para atender la solicitud.”</w:t>
      </w:r>
    </w:p>
    <w:p w:rsidR="00A620F1" w:rsidRPr="00AB0024" w:rsidRDefault="00A620F1"/>
    <w:p w:rsidR="00C85659" w:rsidRPr="00AB0024" w:rsidRDefault="00C85659">
      <w:pPr>
        <w:spacing w:line="360" w:lineRule="auto"/>
        <w:jc w:val="both"/>
        <w:rPr>
          <w:rFonts w:ascii="Palatino Linotype" w:eastAsia="Palatino Linotype" w:hAnsi="Palatino Linotype" w:cs="Palatino Linotype"/>
          <w:b/>
          <w:color w:val="000000"/>
          <w:u w:val="single"/>
        </w:rPr>
      </w:pPr>
      <w:r w:rsidRPr="00AB0024">
        <w:rPr>
          <w:rFonts w:ascii="Palatino Linotype" w:eastAsia="Palatino Linotype" w:hAnsi="Palatino Linotype" w:cs="Palatino Linotype"/>
          <w:color w:val="000000"/>
        </w:rPr>
        <w:t xml:space="preserve">En lo que respecta al presente asunto, se advierte que la solicitud de información fue presentada en fecha </w:t>
      </w:r>
      <w:r w:rsidRPr="00AB0024">
        <w:rPr>
          <w:rFonts w:ascii="Palatino Linotype" w:eastAsia="Palatino Linotype" w:hAnsi="Palatino Linotype" w:cs="Palatino Linotype"/>
          <w:b/>
          <w:color w:val="000000"/>
        </w:rPr>
        <w:t>quince de mayo de dos mil veintitrés</w:t>
      </w:r>
      <w:r w:rsidRPr="00AB0024">
        <w:rPr>
          <w:rFonts w:ascii="Palatino Linotype" w:eastAsia="Palatino Linotype" w:hAnsi="Palatino Linotype" w:cs="Palatino Linotype"/>
          <w:color w:val="000000"/>
        </w:rPr>
        <w:t xml:space="preserve"> y el </w:t>
      </w:r>
      <w:r w:rsidRPr="00AB0024">
        <w:rPr>
          <w:rFonts w:ascii="Palatino Linotype" w:eastAsia="Palatino Linotype" w:hAnsi="Palatino Linotype" w:cs="Palatino Linotype"/>
          <w:b/>
          <w:color w:val="000000"/>
        </w:rPr>
        <w:t>Sujeto Obligado</w:t>
      </w:r>
      <w:r w:rsidRPr="00AB0024">
        <w:rPr>
          <w:rFonts w:ascii="Palatino Linotype" w:eastAsia="Palatino Linotype" w:hAnsi="Palatino Linotype" w:cs="Palatino Linotype"/>
          <w:color w:val="000000"/>
        </w:rPr>
        <w:t xml:space="preserve"> declinó su competencia el </w:t>
      </w:r>
      <w:r w:rsidRPr="00AB0024">
        <w:rPr>
          <w:rFonts w:ascii="Palatino Linotype" w:eastAsia="Palatino Linotype" w:hAnsi="Palatino Linotype" w:cs="Palatino Linotype"/>
          <w:b/>
          <w:color w:val="000000"/>
        </w:rPr>
        <w:t>treinta de mayo</w:t>
      </w:r>
      <w:r w:rsidRPr="00AB0024">
        <w:rPr>
          <w:rFonts w:ascii="Palatino Linotype" w:eastAsia="Palatino Linotype" w:hAnsi="Palatino Linotype" w:cs="Palatino Linotype"/>
          <w:color w:val="000000"/>
        </w:rPr>
        <w:t xml:space="preserve"> </w:t>
      </w:r>
      <w:r w:rsidRPr="00AB0024">
        <w:rPr>
          <w:rFonts w:ascii="Palatino Linotype" w:eastAsia="Palatino Linotype" w:hAnsi="Palatino Linotype" w:cs="Palatino Linotype"/>
          <w:b/>
          <w:color w:val="000000"/>
        </w:rPr>
        <w:t>del dos mil veintitrés</w:t>
      </w:r>
      <w:r w:rsidRPr="00AB0024">
        <w:rPr>
          <w:rFonts w:ascii="Palatino Linotype" w:eastAsia="Palatino Linotype" w:hAnsi="Palatino Linotype" w:cs="Palatino Linotype"/>
          <w:color w:val="000000"/>
        </w:rPr>
        <w:t xml:space="preserve">, es decir, al </w:t>
      </w:r>
      <w:r w:rsidRPr="00AB0024">
        <w:rPr>
          <w:rFonts w:ascii="Palatino Linotype" w:eastAsia="Palatino Linotype" w:hAnsi="Palatino Linotype" w:cs="Palatino Linotype"/>
          <w:b/>
          <w:color w:val="000000"/>
        </w:rPr>
        <w:t>décimo primer día hábil siguiente a la fecha de presentación de la solicitud de información</w:t>
      </w:r>
      <w:r w:rsidRPr="00AB0024">
        <w:rPr>
          <w:rFonts w:ascii="Palatino Linotype" w:eastAsia="Palatino Linotype" w:hAnsi="Palatino Linotype" w:cs="Palatino Linotype"/>
          <w:color w:val="000000"/>
        </w:rPr>
        <w:t xml:space="preserve">, es por lo que, </w:t>
      </w:r>
      <w:r w:rsidRPr="00AB0024">
        <w:rPr>
          <w:rFonts w:ascii="Palatino Linotype" w:eastAsia="Palatino Linotype" w:hAnsi="Palatino Linotype" w:cs="Palatino Linotype"/>
          <w:b/>
          <w:color w:val="000000"/>
          <w:u w:val="single"/>
        </w:rPr>
        <w:t>al no haber cumplido con el plazo de tres días</w:t>
      </w:r>
      <w:r w:rsidRPr="00AB0024">
        <w:rPr>
          <w:rFonts w:ascii="Palatino Linotype" w:eastAsia="Palatino Linotype" w:hAnsi="Palatino Linotype" w:cs="Palatino Linotype"/>
          <w:color w:val="000000"/>
        </w:rPr>
        <w:t xml:space="preserve"> que otorga la Ley en la materia para señalar su falta de atribuciones, competencias y funciones para generar y administrar lo solicitado, </w:t>
      </w:r>
      <w:r w:rsidRPr="00AB0024">
        <w:rPr>
          <w:rFonts w:ascii="Palatino Linotype" w:eastAsia="Palatino Linotype" w:hAnsi="Palatino Linotype" w:cs="Palatino Linotype"/>
          <w:b/>
          <w:color w:val="000000"/>
          <w:u w:val="single"/>
        </w:rPr>
        <w:t>resulta procedente ordenar una declaratoria formal de incompetencia. </w:t>
      </w:r>
    </w:p>
    <w:p w:rsidR="00A620F1" w:rsidRPr="00AB0024" w:rsidRDefault="00C85659">
      <w:pPr>
        <w:spacing w:line="360" w:lineRule="auto"/>
        <w:jc w:val="both"/>
        <w:rPr>
          <w:rFonts w:ascii="Palatino Linotype" w:eastAsia="Palatino Linotype" w:hAnsi="Palatino Linotype" w:cs="Palatino Linotype"/>
          <w:b/>
          <w:color w:val="000000"/>
          <w:u w:val="single"/>
        </w:rPr>
      </w:pPr>
      <w:r w:rsidRPr="00AB0024">
        <w:rPr>
          <w:noProof/>
          <w:lang w:val="es-MX"/>
        </w:rPr>
        <mc:AlternateContent>
          <mc:Choice Requires="wps">
            <w:drawing>
              <wp:anchor distT="0" distB="0" distL="114300" distR="114300" simplePos="0" relativeHeight="251662336" behindDoc="0" locked="0" layoutInCell="1" hidden="0" allowOverlap="1">
                <wp:simplePos x="0" y="0"/>
                <wp:positionH relativeFrom="column">
                  <wp:posOffset>1</wp:posOffset>
                </wp:positionH>
                <wp:positionV relativeFrom="paragraph">
                  <wp:posOffset>63500</wp:posOffset>
                </wp:positionV>
                <wp:extent cx="5734050" cy="704850"/>
                <wp:effectExtent l="0" t="0" r="0" b="0"/>
                <wp:wrapNone/>
                <wp:docPr id="86" name="Rectángulo 86"/>
                <wp:cNvGraphicFramePr/>
                <a:graphic xmlns:a="http://schemas.openxmlformats.org/drawingml/2006/main">
                  <a:graphicData uri="http://schemas.microsoft.com/office/word/2010/wordprocessingShape">
                    <wps:wsp>
                      <wps:cNvSpPr/>
                      <wps:spPr>
                        <a:xfrm>
                          <a:off x="2483738" y="3432338"/>
                          <a:ext cx="5724525" cy="695325"/>
                        </a:xfrm>
                        <a:prstGeom prst="rect">
                          <a:avLst/>
                        </a:prstGeom>
                        <a:solidFill>
                          <a:srgbClr val="DDD9C3"/>
                        </a:solidFill>
                        <a:ln w="9525" cap="flat" cmpd="sng">
                          <a:solidFill>
                            <a:srgbClr val="000000"/>
                          </a:solidFill>
                          <a:prstDash val="solid"/>
                          <a:round/>
                          <a:headEnd type="none" w="sm" len="sm"/>
                          <a:tailEnd type="none" w="sm" len="sm"/>
                        </a:ln>
                      </wps:spPr>
                      <wps:txbx>
                        <w:txbxContent>
                          <w:p w:rsidR="00C20A80" w:rsidRDefault="00C20A80">
                            <w:pPr>
                              <w:jc w:val="both"/>
                              <w:textDirection w:val="btLr"/>
                            </w:pPr>
                            <w:r>
                              <w:rPr>
                                <w:rFonts w:ascii="Palatino Linotype" w:eastAsia="Palatino Linotype" w:hAnsi="Palatino Linotype" w:cs="Palatino Linotype"/>
                                <w:b/>
                                <w:color w:val="000000"/>
                                <w:sz w:val="22"/>
                              </w:rPr>
                              <w:t xml:space="preserve">4.- si dicha oficina ocupada por el comité municipal del PRI en el municipio de </w:t>
                            </w:r>
                            <w:proofErr w:type="spellStart"/>
                            <w:r>
                              <w:rPr>
                                <w:rFonts w:ascii="Palatino Linotype" w:eastAsia="Palatino Linotype" w:hAnsi="Palatino Linotype" w:cs="Palatino Linotype"/>
                                <w:b/>
                                <w:color w:val="000000"/>
                                <w:sz w:val="22"/>
                              </w:rPr>
                              <w:t>Amanalco</w:t>
                            </w:r>
                            <w:proofErr w:type="spellEnd"/>
                            <w:r>
                              <w:rPr>
                                <w:rFonts w:ascii="Palatino Linotype" w:eastAsia="Palatino Linotype" w:hAnsi="Palatino Linotype" w:cs="Palatino Linotype"/>
                                <w:b/>
                                <w:color w:val="000000"/>
                                <w:sz w:val="22"/>
                              </w:rPr>
                              <w:t>, Edo de México cuenta con todos los servicios como: energía eléctrica, agua potable, sanitario, teléfono, internet u otros.</w:t>
                            </w:r>
                          </w:p>
                        </w:txbxContent>
                      </wps:txbx>
                      <wps:bodyPr spcFirstLastPara="1" wrap="square" lIns="91425" tIns="45700" rIns="91425" bIns="45700" anchor="t" anchorCtr="0">
                        <a:noAutofit/>
                      </wps:bodyPr>
                    </wps:wsp>
                  </a:graphicData>
                </a:graphic>
              </wp:anchor>
            </w:drawing>
          </mc:Choice>
          <mc:Fallback>
            <w:pict>
              <v:rect id="Rectángulo 86" o:spid="_x0000_s1029" style="position:absolute;left:0;text-align:left;margin-left:0;margin-top:5pt;width:451.5pt;height:5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" fillcolor="#ddd9c3">
                <v:stroke startarrowwidth="narrow" startarrowlength="short" endarrowwidth="narrow" endarrowlength="short" joinstyle="round"/>
                <v:textbox inset="2.53958mm,1.2694mm,2.53958mm,1.2694mm">
                  <w:txbxContent>
                    <w:p w:rsidR="00C20A80" w:rsidRDefault="00C20A80">
                      <w:pPr>
                        <w:jc w:val="both"/>
                        <w:textDirection w:val="btLr"/>
                      </w:pPr>
                      <w:r>
                        <w:rPr>
                          <w:rFonts w:ascii="Palatino Linotype" w:eastAsia="Palatino Linotype" w:hAnsi="Palatino Linotype" w:cs="Palatino Linotype"/>
                          <w:b/>
                          <w:color w:val="000000"/>
                          <w:sz w:val="22"/>
                        </w:rPr>
                        <w:t>4.- si dicha oficina ocupada por el comité municipal del PRI en el municipio de Amanalco, Edo de México cuenta con todos los servicios como: energía eléctrica, agua potable, sanitario, teléfono, internet u otros.</w:t>
                      </w:r>
                    </w:p>
                  </w:txbxContent>
                </v:textbox>
              </v:rect>
            </w:pict>
          </mc:Fallback>
        </mc:AlternateContent>
      </w:r>
    </w:p>
    <w:p w:rsidR="00A620F1" w:rsidRPr="00AB0024" w:rsidRDefault="00A620F1">
      <w:pPr>
        <w:spacing w:line="360" w:lineRule="auto"/>
        <w:jc w:val="both"/>
        <w:rPr>
          <w:rFonts w:ascii="Palatino Linotype" w:eastAsia="Palatino Linotype" w:hAnsi="Palatino Linotype" w:cs="Palatino Linotype"/>
          <w:b/>
          <w:color w:val="000000"/>
          <w:u w:val="single"/>
        </w:rPr>
      </w:pPr>
    </w:p>
    <w:p w:rsidR="00A620F1" w:rsidRPr="00AB0024" w:rsidRDefault="00A620F1">
      <w:pPr>
        <w:pBdr>
          <w:top w:val="nil"/>
          <w:left w:val="nil"/>
          <w:bottom w:val="nil"/>
          <w:right w:val="nil"/>
          <w:between w:val="nil"/>
        </w:pBdr>
        <w:spacing w:before="240" w:after="240" w:line="360" w:lineRule="auto"/>
        <w:ind w:right="900"/>
        <w:rPr>
          <w:rFonts w:ascii="Palatino Linotype" w:eastAsia="Palatino Linotype" w:hAnsi="Palatino Linotype" w:cs="Palatino Linotype"/>
          <w:color w:val="000000"/>
        </w:rPr>
      </w:pPr>
    </w:p>
    <w:p w:rsidR="00A620F1" w:rsidRPr="00AB0024" w:rsidRDefault="00C85659">
      <w:pPr>
        <w:pBdr>
          <w:top w:val="nil"/>
          <w:left w:val="nil"/>
          <w:bottom w:val="nil"/>
          <w:right w:val="nil"/>
          <w:between w:val="nil"/>
        </w:pBdr>
        <w:spacing w:before="240" w:after="240" w:line="360" w:lineRule="auto"/>
        <w:ind w:right="900"/>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En su respuesta, la Dirección de Gobierno Municipal, refirió lo siguiente: </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 xml:space="preserve">“Respecto a este inciso informarle que la Dirección de Gobierno Municipal no cuenta con información al respecto, debido a que </w:t>
      </w:r>
      <w:r w:rsidRPr="00AB0024">
        <w:rPr>
          <w:rFonts w:ascii="Palatino Linotype" w:eastAsia="Palatino Linotype" w:hAnsi="Palatino Linotype" w:cs="Palatino Linotype"/>
          <w:b/>
          <w:i/>
          <w:color w:val="000000"/>
          <w:sz w:val="22"/>
          <w:szCs w:val="22"/>
          <w:u w:val="single"/>
        </w:rPr>
        <w:t>es un inmueble particular y ellos son los que determinarán la contratación de los servicios que necesiten</w:t>
      </w:r>
      <w:r w:rsidRPr="00AB0024">
        <w:rPr>
          <w:rFonts w:ascii="Palatino Linotype" w:eastAsia="Palatino Linotype" w:hAnsi="Palatino Linotype" w:cs="Palatino Linotype"/>
          <w:i/>
          <w:color w:val="000000"/>
          <w:sz w:val="22"/>
          <w:szCs w:val="22"/>
        </w:rPr>
        <w:t>.”(Énfasis añadido)</w:t>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Posteriormente en su escrito </w:t>
      </w:r>
      <w:proofErr w:type="spellStart"/>
      <w:r w:rsidRPr="00AB0024">
        <w:rPr>
          <w:rFonts w:ascii="Palatino Linotype" w:eastAsia="Palatino Linotype" w:hAnsi="Palatino Linotype" w:cs="Palatino Linotype"/>
          <w:color w:val="000000"/>
        </w:rPr>
        <w:t>recursal</w:t>
      </w:r>
      <w:proofErr w:type="spellEnd"/>
      <w:r w:rsidRPr="00AB0024">
        <w:rPr>
          <w:rFonts w:ascii="Palatino Linotype" w:eastAsia="Palatino Linotype" w:hAnsi="Palatino Linotype" w:cs="Palatino Linotype"/>
          <w:color w:val="000000"/>
        </w:rPr>
        <w:t xml:space="preserve">, </w:t>
      </w:r>
      <w:r w:rsidRPr="00AB0024">
        <w:rPr>
          <w:rFonts w:ascii="Palatino Linotype" w:eastAsia="Palatino Linotype" w:hAnsi="Palatino Linotype" w:cs="Palatino Linotype"/>
          <w:b/>
          <w:color w:val="000000"/>
        </w:rPr>
        <w:t>la parte Recurrente</w:t>
      </w:r>
      <w:r w:rsidRPr="00AB0024">
        <w:rPr>
          <w:rFonts w:ascii="Palatino Linotype" w:eastAsia="Palatino Linotype" w:hAnsi="Palatino Linotype" w:cs="Palatino Linotype"/>
          <w:color w:val="000000"/>
        </w:rPr>
        <w:t xml:space="preserve"> expresó lo siguiente: </w:t>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noProof/>
          <w:color w:val="000000"/>
          <w:lang w:val="es-MX"/>
        </w:rPr>
        <w:drawing>
          <wp:inline distT="0" distB="0" distL="0" distR="0">
            <wp:extent cx="5612130" cy="732155"/>
            <wp:effectExtent l="0" t="0" r="0" b="0"/>
            <wp:docPr id="10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5612130" cy="732155"/>
                    </a:xfrm>
                    <a:prstGeom prst="rect">
                      <a:avLst/>
                    </a:prstGeom>
                    <a:ln/>
                  </pic:spPr>
                </pic:pic>
              </a:graphicData>
            </a:graphic>
          </wp:inline>
        </w:drawing>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lastRenderedPageBreak/>
        <w:t xml:space="preserve">Una vez admitido el recurso de revisión que en este acto se resuelve, en informe justificado, el </w:t>
      </w:r>
      <w:r w:rsidRPr="00AB0024">
        <w:rPr>
          <w:rFonts w:ascii="Palatino Linotype" w:eastAsia="Palatino Linotype" w:hAnsi="Palatino Linotype" w:cs="Palatino Linotype"/>
          <w:b/>
          <w:color w:val="000000"/>
        </w:rPr>
        <w:t>Sujeto Obligado</w:t>
      </w:r>
      <w:r w:rsidRPr="00AB0024">
        <w:rPr>
          <w:rFonts w:ascii="Palatino Linotype" w:eastAsia="Palatino Linotype" w:hAnsi="Palatino Linotype" w:cs="Palatino Linotype"/>
          <w:color w:val="000000"/>
        </w:rPr>
        <w:t xml:space="preserve"> se declara incompetente para atender la presente solicitud de información, ello bajo las siguientes consideraciones:</w:t>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noProof/>
          <w:color w:val="000000"/>
          <w:lang w:val="es-MX"/>
        </w:rPr>
        <w:drawing>
          <wp:inline distT="0" distB="0" distL="0" distR="0">
            <wp:extent cx="5612130" cy="2153920"/>
            <wp:effectExtent l="0" t="0" r="0" b="0"/>
            <wp:docPr id="10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612130" cy="2153920"/>
                    </a:xfrm>
                    <a:prstGeom prst="rect">
                      <a:avLst/>
                    </a:prstGeom>
                    <a:ln/>
                  </pic:spPr>
                </pic:pic>
              </a:graphicData>
            </a:graphic>
          </wp:inline>
        </w:drawing>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Entrando en materia del presente punto, de la revisión al Bando Municipal 2023, por cuanto hace a los servicios públicos, se tiene que los artículos 71, 72, 73, 74 75, 76 y 78, disponen que el Ayuntamiento es el encargado de prestar servicios públicos, sirve de mayor referencia la siguiente cita:</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color w:val="000000"/>
          <w:sz w:val="22"/>
          <w:szCs w:val="22"/>
          <w:u w:val="single"/>
        </w:rPr>
      </w:pPr>
      <w:r w:rsidRPr="00AB0024">
        <w:rPr>
          <w:rFonts w:ascii="Palatino Linotype" w:eastAsia="Palatino Linotype" w:hAnsi="Palatino Linotype" w:cs="Palatino Linotype"/>
          <w:i/>
          <w:color w:val="000000"/>
          <w:sz w:val="22"/>
          <w:szCs w:val="22"/>
        </w:rPr>
        <w:t xml:space="preserve">“Artículo 71.- Los Servicios Públicos son el conjunto de elementos, personas y materiales, coordinados por las unidades administrativas y su función es la de atender y satisfacer las necesidades de carácter general; </w:t>
      </w:r>
      <w:r w:rsidRPr="00AB0024">
        <w:rPr>
          <w:rFonts w:ascii="Palatino Linotype" w:eastAsia="Palatino Linotype" w:hAnsi="Palatino Linotype" w:cs="Palatino Linotype"/>
          <w:b/>
          <w:i/>
          <w:color w:val="000000"/>
          <w:sz w:val="22"/>
          <w:szCs w:val="22"/>
          <w:u w:val="single"/>
        </w:rPr>
        <w:t>en el ámbito municipal, su creación, organización, administración y modificación estará a cargo del Ayuntamiento.</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Artículo 72.- El Gobierno Municipal, proporcionará los Servicios Públicos y ejecutará las obras que la prestación, instalación, funcionamiento y conservación de estos requiera, con sus propios recursos y en su caso, con la cooperación de otras entidades públicas, sociales o privadas.</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lastRenderedPageBreak/>
        <w:t>Artículo 73.- El Municipio tiene a su cargo la prestación, explotación, administración y conservación de los Servicios Públicos Municipales, considerándose enunciativa y no limitativa los siguientes:</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color w:val="000000"/>
          <w:sz w:val="22"/>
          <w:szCs w:val="22"/>
          <w:u w:val="single"/>
        </w:rPr>
      </w:pPr>
      <w:r w:rsidRPr="00AB0024">
        <w:rPr>
          <w:rFonts w:ascii="Palatino Linotype" w:eastAsia="Palatino Linotype" w:hAnsi="Palatino Linotype" w:cs="Palatino Linotype"/>
          <w:b/>
          <w:i/>
          <w:color w:val="000000"/>
          <w:sz w:val="22"/>
          <w:szCs w:val="22"/>
          <w:u w:val="single"/>
        </w:rPr>
        <w:t>I. Agua potable;</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color w:val="000000"/>
          <w:sz w:val="22"/>
          <w:szCs w:val="22"/>
          <w:u w:val="single"/>
        </w:rPr>
      </w:pPr>
      <w:r w:rsidRPr="00AB0024">
        <w:rPr>
          <w:rFonts w:ascii="Palatino Linotype" w:eastAsia="Palatino Linotype" w:hAnsi="Palatino Linotype" w:cs="Palatino Linotype"/>
          <w:b/>
          <w:i/>
          <w:color w:val="000000"/>
          <w:sz w:val="22"/>
          <w:szCs w:val="22"/>
          <w:u w:val="single"/>
        </w:rPr>
        <w:t>II. Drenaje y alcantarillado;</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III. Alumbrado público;</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IV. Limpieza y disposición de desechos;</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V. Mercados;</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VI. Panteones;</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VII. Rastro;</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VIII. Calles, jardines, áreas verdes y recreativas;</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IX. Seguridad pública, tránsito y protección civil</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X. Embellecimiento y conservación de los poblados, centros urbanos y obras de interés social;</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XI. Asistencia social en el ámbito de su competencia y atención para el desarrollo integral de la Salud pública; y</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XII. Las demás que declare el Ayuntamiento como necesarios en beneficio colectivo, o aquellas que la Legislatura Estatal determine, según las condiciones territoriales y socioeconómicas de los Municipios, así como su capacidad administrativa y financiera.</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b/>
          <w:i/>
          <w:color w:val="000000"/>
          <w:sz w:val="22"/>
          <w:szCs w:val="22"/>
        </w:rPr>
        <w:t>Artículo 74.- La prestación de los servicios públicos se hará de manera directa por las unidades administrativas u organismos municipales a cargo, conforme a las atribuciones y regulación establecidas en la Ley Orgánica Municipal</w:t>
      </w:r>
      <w:r w:rsidRPr="00AB0024">
        <w:rPr>
          <w:rFonts w:ascii="Palatino Linotype" w:eastAsia="Palatino Linotype" w:hAnsi="Palatino Linotype" w:cs="Palatino Linotype"/>
          <w:i/>
          <w:color w:val="000000"/>
          <w:sz w:val="22"/>
          <w:szCs w:val="22"/>
        </w:rPr>
        <w:t>, el Bando Municipal, el Código Reglamentario y las demás normas de observancia general que emita el Ayuntamiento.</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lastRenderedPageBreak/>
        <w:t>…</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color w:val="000000"/>
          <w:sz w:val="22"/>
          <w:szCs w:val="22"/>
        </w:rPr>
      </w:pPr>
      <w:r w:rsidRPr="00AB0024">
        <w:rPr>
          <w:rFonts w:ascii="Palatino Linotype" w:eastAsia="Palatino Linotype" w:hAnsi="Palatino Linotype" w:cs="Palatino Linotype"/>
          <w:b/>
          <w:i/>
          <w:color w:val="000000"/>
          <w:sz w:val="22"/>
          <w:szCs w:val="22"/>
        </w:rPr>
        <w:t>Artículo 75.- Los Servicios Públicos Municipales se prestarán con la máxima cobertura y calidad considerando los recursos con los que cuente el Ayuntamiento, quien proporcionará las facilidades necesarias para que los ciudadanos participen y colaboren en estas tareas.</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b/>
          <w:i/>
          <w:color w:val="000000"/>
          <w:sz w:val="22"/>
          <w:szCs w:val="22"/>
        </w:rPr>
        <w:t>Artículo 76.- Los usuarios de los Servicios Públicos Municipales sujetos al pago de un derecho, deberán realizarlo de manera puntual, conforme a las disposiciones legales correspondientes, estando obligados a hacer uso de ellos en forma racional y mesurada.</w:t>
      </w:r>
      <w:r w:rsidRPr="00AB0024">
        <w:rPr>
          <w:rFonts w:ascii="Palatino Linotype" w:eastAsia="Palatino Linotype" w:hAnsi="Palatino Linotype" w:cs="Palatino Linotype"/>
          <w:b/>
          <w:i/>
          <w:color w:val="000000"/>
          <w:sz w:val="22"/>
          <w:szCs w:val="22"/>
        </w:rPr>
        <w:br/>
      </w:r>
      <w:r w:rsidRPr="00AB0024">
        <w:rPr>
          <w:rFonts w:ascii="Palatino Linotype" w:eastAsia="Palatino Linotype" w:hAnsi="Palatino Linotype" w:cs="Palatino Linotype"/>
          <w:i/>
          <w:color w:val="000000"/>
          <w:sz w:val="22"/>
          <w:szCs w:val="22"/>
        </w:rPr>
        <w:t>…</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color w:val="000000"/>
          <w:sz w:val="22"/>
          <w:szCs w:val="22"/>
        </w:rPr>
      </w:pPr>
      <w:r w:rsidRPr="00AB0024">
        <w:rPr>
          <w:rFonts w:ascii="Palatino Linotype" w:eastAsia="Palatino Linotype" w:hAnsi="Palatino Linotype" w:cs="Palatino Linotype"/>
          <w:b/>
          <w:i/>
          <w:color w:val="000000"/>
          <w:sz w:val="22"/>
          <w:szCs w:val="22"/>
        </w:rPr>
        <w:t>Artículo 78.- No puede ser motivo de concesión a particulares, la prestación de los Servicios Públicos siguientes:</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color w:val="000000"/>
          <w:sz w:val="22"/>
          <w:szCs w:val="22"/>
          <w:u w:val="single"/>
        </w:rPr>
      </w:pPr>
      <w:r w:rsidRPr="00AB0024">
        <w:rPr>
          <w:rFonts w:ascii="Palatino Linotype" w:eastAsia="Palatino Linotype" w:hAnsi="Palatino Linotype" w:cs="Palatino Linotype"/>
          <w:b/>
          <w:i/>
          <w:color w:val="000000"/>
          <w:sz w:val="22"/>
          <w:szCs w:val="22"/>
          <w:u w:val="single"/>
        </w:rPr>
        <w:t>I. Agua potable, drenaje y alcantarillado;</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II. Alumbrado público;</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III. Control y ordenamiento del desarrollo urbano;</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IV. Seguridad pública;</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V. Los que afectan la estructura y organización municipal.” (Énfasis añadido)</w:t>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De ahí que se considere que el </w:t>
      </w:r>
      <w:r w:rsidRPr="00AB0024">
        <w:rPr>
          <w:rFonts w:ascii="Palatino Linotype" w:eastAsia="Palatino Linotype" w:hAnsi="Palatino Linotype" w:cs="Palatino Linotype"/>
          <w:b/>
          <w:color w:val="000000"/>
        </w:rPr>
        <w:t>Sujeto Obligado</w:t>
      </w:r>
      <w:r w:rsidRPr="00AB0024">
        <w:rPr>
          <w:rFonts w:ascii="Palatino Linotype" w:eastAsia="Palatino Linotype" w:hAnsi="Palatino Linotype" w:cs="Palatino Linotype"/>
          <w:color w:val="000000"/>
        </w:rPr>
        <w:t xml:space="preserve"> no efectuó una correcta búsqueda exhaustiva y razonable conforme al artículo 162 de la Ley de Transparencia local pues omitió turnar dicho requerimiento a la Dirección de Servicios Públicos, la cual de conformidad con lo reportado en el portal de Información Pública de Oficio Mexiquense (IPOMEX), del </w:t>
      </w:r>
      <w:r w:rsidRPr="00AB0024">
        <w:rPr>
          <w:rFonts w:ascii="Palatino Linotype" w:eastAsia="Palatino Linotype" w:hAnsi="Palatino Linotype" w:cs="Palatino Linotype"/>
          <w:b/>
          <w:color w:val="000000"/>
        </w:rPr>
        <w:t>Sujeto Obligado</w:t>
      </w:r>
      <w:r w:rsidRPr="00AB0024">
        <w:rPr>
          <w:rFonts w:ascii="Palatino Linotype" w:eastAsia="Palatino Linotype" w:hAnsi="Palatino Linotype" w:cs="Palatino Linotype"/>
          <w:color w:val="000000"/>
        </w:rPr>
        <w:t xml:space="preserve">, es la encargada de desempeñar una serie de funciones encaminadas a la prestación de los servicios públicos, de la cual destaca el proporcionar mantenimiento a las instalaciones, maquinaria, instrumentos y equipos necesarios para la prestación eficaz de los servicios públicos </w:t>
      </w:r>
      <w:r w:rsidRPr="00AB0024">
        <w:rPr>
          <w:rFonts w:ascii="Palatino Linotype" w:eastAsia="Palatino Linotype" w:hAnsi="Palatino Linotype" w:cs="Palatino Linotype"/>
          <w:color w:val="000000"/>
        </w:rPr>
        <w:lastRenderedPageBreak/>
        <w:t>a su cargo, implementando acciones de carácter preventivo y correctivo que permitan la optimización de sus funciones y recursos, por lo que resulta pertinente ordenar que se efectúe una nueva búsqueda para efecto de localizar el documento en el que se adviertan los tipos de servicios con los que cuenta el inmueble donde opera el Comité Municipal referido en la solicitud de acceso a la información de mérito.</w:t>
      </w:r>
    </w:p>
    <w:p w:rsidR="005A19E4" w:rsidRPr="00AB0024" w:rsidRDefault="00C85659" w:rsidP="005A19E4">
      <w:pPr>
        <w:spacing w:before="280" w:after="280" w:line="360" w:lineRule="auto"/>
        <w:ind w:right="162"/>
        <w:jc w:val="both"/>
        <w:rPr>
          <w:rFonts w:ascii="Palatino Linotype" w:eastAsia="Palatino Linotype" w:hAnsi="Palatino Linotype" w:cs="Palatino Linotype"/>
        </w:rPr>
      </w:pPr>
      <w:r w:rsidRPr="00AB0024">
        <w:rPr>
          <w:rFonts w:ascii="Palatino Linotype" w:eastAsia="Palatino Linotype" w:hAnsi="Palatino Linotype" w:cs="Palatino Linotype"/>
        </w:rPr>
        <w:t xml:space="preserve">Aunado a lo anterior, debe quedar claro que, en el caso particular </w:t>
      </w:r>
      <w:r w:rsidR="00B734BD" w:rsidRPr="00AB0024">
        <w:rPr>
          <w:rFonts w:ascii="Palatino Linotype" w:eastAsia="Palatino Linotype" w:hAnsi="Palatino Linotype" w:cs="Palatino Linotype"/>
        </w:rPr>
        <w:t>y en caso se localizarse, únicamente</w:t>
      </w:r>
      <w:r w:rsidRPr="00AB0024">
        <w:rPr>
          <w:rFonts w:ascii="Palatino Linotype" w:eastAsia="Palatino Linotype" w:hAnsi="Palatino Linotype" w:cs="Palatino Linotype"/>
        </w:rPr>
        <w:t xml:space="preserve"> se hará entrega de los documentos que den cuenta de</w:t>
      </w:r>
      <w:r w:rsidR="005A19E4" w:rsidRPr="00AB0024">
        <w:rPr>
          <w:rFonts w:ascii="Palatino Linotype" w:eastAsia="Palatino Linotype" w:hAnsi="Palatino Linotype" w:cs="Palatino Linotype"/>
        </w:rPr>
        <w:t xml:space="preserve"> la prestación del servicio de agua potable, drenaje y alcantarillado en el inmueble referido en la solicitud de información,</w:t>
      </w:r>
      <w:r w:rsidR="00B734BD" w:rsidRPr="00AB0024">
        <w:rPr>
          <w:rFonts w:ascii="Palatino Linotype" w:eastAsia="Palatino Linotype" w:hAnsi="Palatino Linotype" w:cs="Palatino Linotype"/>
        </w:rPr>
        <w:t xml:space="preserve"> y sólo en caso de que dicha prestación de servicios haya sido solicitada por el Partido Político referido por la particular, </w:t>
      </w:r>
      <w:r w:rsidR="005A19E4" w:rsidRPr="00AB0024">
        <w:rPr>
          <w:rFonts w:ascii="Palatino Linotype" w:eastAsia="Palatino Linotype" w:hAnsi="Palatino Linotype" w:cs="Palatino Linotype"/>
        </w:rPr>
        <w:t xml:space="preserve"> toda vez que por cuanto hace al resto de los servicios referidos por la persona solicitante, no son competencia del Ayuntamiento de </w:t>
      </w:r>
      <w:proofErr w:type="spellStart"/>
      <w:r w:rsidR="005A19E4" w:rsidRPr="00AB0024">
        <w:rPr>
          <w:rFonts w:ascii="Palatino Linotype" w:eastAsia="Palatino Linotype" w:hAnsi="Palatino Linotype" w:cs="Palatino Linotype"/>
        </w:rPr>
        <w:t>Amanalco</w:t>
      </w:r>
      <w:proofErr w:type="spellEnd"/>
      <w:r w:rsidR="005A19E4" w:rsidRPr="00AB0024">
        <w:rPr>
          <w:rFonts w:ascii="Palatino Linotype" w:eastAsia="Palatino Linotype" w:hAnsi="Palatino Linotype" w:cs="Palatino Linotype"/>
        </w:rPr>
        <w:t>; es de precisar que esta premisa se refuerza al observar en estricto sentido los artículos del bando municipal relativos a la prestación de servicios públicos, pues se insiste, el Ayuntamiento no cuenta con facultades para brindar servicio de energía eléctrica, teléfono o internet</w:t>
      </w:r>
      <w:r w:rsidR="005A19E4" w:rsidRPr="00AB0024">
        <w:rPr>
          <w:rFonts w:ascii="Palatino Linotype" w:eastAsia="Palatino Linotype" w:hAnsi="Palatino Linotype" w:cs="Palatino Linotype"/>
          <w:color w:val="000000"/>
        </w:rPr>
        <w:t xml:space="preserve">. </w:t>
      </w:r>
    </w:p>
    <w:p w:rsidR="005A19E4" w:rsidRPr="00AB0024" w:rsidRDefault="005A19E4" w:rsidP="005A19E4">
      <w:pPr>
        <w:spacing w:before="280" w:after="280" w:line="360" w:lineRule="auto"/>
        <w:ind w:right="162"/>
        <w:jc w:val="both"/>
        <w:rPr>
          <w:rFonts w:ascii="Palatino Linotype" w:eastAsia="Palatino Linotype" w:hAnsi="Palatino Linotype" w:cs="Palatino Linotype"/>
        </w:rPr>
      </w:pPr>
      <w:r w:rsidRPr="00AB0024">
        <w:rPr>
          <w:rFonts w:ascii="Palatino Linotype" w:eastAsia="Palatino Linotype" w:hAnsi="Palatino Linotype" w:cs="Palatino Linotype"/>
          <w:color w:val="000000"/>
        </w:rPr>
        <w:t xml:space="preserve">En este orden de ideas, no escapa de la óptica de este Organismo Garante que en el oficio que adjuntó </w:t>
      </w:r>
      <w:r w:rsidRPr="00AB0024">
        <w:rPr>
          <w:rFonts w:ascii="Palatino Linotype" w:eastAsia="Palatino Linotype" w:hAnsi="Palatino Linotype" w:cs="Palatino Linotype"/>
          <w:b/>
          <w:color w:val="000000"/>
        </w:rPr>
        <w:t>la parte Recurrente</w:t>
      </w:r>
      <w:r w:rsidRPr="00AB0024">
        <w:rPr>
          <w:rFonts w:ascii="Palatino Linotype" w:eastAsia="Palatino Linotype" w:hAnsi="Palatino Linotype" w:cs="Palatino Linotype"/>
          <w:color w:val="000000"/>
        </w:rPr>
        <w:t xml:space="preserve"> en el apartado de manifestaciones, se observa claramente que el Partido Revolucionario Institucional otorgó respuesta a dicho planteamiento, señalando que si cuenta con los servicios básicos, sirve de mayor referencia la siguiente impresión de pantalla: </w:t>
      </w:r>
    </w:p>
    <w:p w:rsidR="005A19E4" w:rsidRPr="00AB0024" w:rsidRDefault="005A19E4" w:rsidP="005A19E4">
      <w:pPr>
        <w:pBdr>
          <w:top w:val="nil"/>
          <w:left w:val="nil"/>
          <w:bottom w:val="nil"/>
          <w:right w:val="nil"/>
          <w:between w:val="nil"/>
        </w:pBdr>
        <w:spacing w:before="240" w:after="240" w:line="360" w:lineRule="auto"/>
        <w:ind w:right="900"/>
        <w:rPr>
          <w:rFonts w:ascii="Palatino Linotype" w:eastAsia="Palatino Linotype" w:hAnsi="Palatino Linotype" w:cs="Palatino Linotype"/>
          <w:color w:val="000000"/>
        </w:rPr>
      </w:pPr>
      <w:r w:rsidRPr="00AB0024">
        <w:rPr>
          <w:rFonts w:ascii="Palatino Linotype" w:eastAsia="Palatino Linotype" w:hAnsi="Palatino Linotype" w:cs="Palatino Linotype"/>
          <w:noProof/>
          <w:color w:val="000000"/>
          <w:lang w:val="es-MX"/>
        </w:rPr>
        <w:lastRenderedPageBreak/>
        <w:drawing>
          <wp:inline distT="0" distB="0" distL="0" distR="0" wp14:anchorId="11B9E592" wp14:editId="23A8BD6D">
            <wp:extent cx="5301442" cy="903968"/>
            <wp:effectExtent l="19050" t="19050" r="13970" b="10795"/>
            <wp:docPr id="10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301442" cy="903968"/>
                    </a:xfrm>
                    <a:prstGeom prst="rect">
                      <a:avLst/>
                    </a:prstGeom>
                    <a:ln>
                      <a:solidFill>
                        <a:schemeClr val="tx1"/>
                      </a:solidFill>
                    </a:ln>
                  </pic:spPr>
                </pic:pic>
              </a:graphicData>
            </a:graphic>
          </wp:inline>
        </w:drawing>
      </w:r>
    </w:p>
    <w:p w:rsidR="00DF0863" w:rsidRPr="00AB0024" w:rsidRDefault="005A19E4" w:rsidP="00DF0863">
      <w:pPr>
        <w:spacing w:before="280" w:after="280" w:line="360" w:lineRule="auto"/>
        <w:ind w:right="162"/>
        <w:jc w:val="both"/>
        <w:rPr>
          <w:rFonts w:ascii="Palatino Linotype" w:eastAsia="Palatino Linotype" w:hAnsi="Palatino Linotype" w:cs="Palatino Linotype"/>
          <w:color w:val="000000" w:themeColor="text1"/>
        </w:rPr>
      </w:pPr>
      <w:r w:rsidRPr="00AB0024">
        <w:rPr>
          <w:rFonts w:ascii="Palatino Linotype" w:eastAsia="Palatino Linotype" w:hAnsi="Palatino Linotype" w:cs="Palatino Linotype"/>
          <w:color w:val="000000"/>
        </w:rPr>
        <w:t>Por lo que</w:t>
      </w:r>
      <w:r w:rsidRPr="00AB0024">
        <w:rPr>
          <w:rFonts w:ascii="Palatino Linotype" w:eastAsia="Palatino Linotype" w:hAnsi="Palatino Linotype" w:cs="Palatino Linotype"/>
          <w:color w:val="000000" w:themeColor="text1"/>
        </w:rPr>
        <w:t xml:space="preserve"> con este pronunciamiento, el Partido Revolucionario Institucional </w:t>
      </w:r>
      <w:r w:rsidR="00DF0863" w:rsidRPr="00AB0024">
        <w:rPr>
          <w:rFonts w:ascii="Palatino Linotype" w:eastAsia="Palatino Linotype" w:hAnsi="Palatino Linotype" w:cs="Palatino Linotype"/>
          <w:color w:val="000000" w:themeColor="text1"/>
        </w:rPr>
        <w:t xml:space="preserve">asevera contar con la información relativa a la prestación del resto de los servicios que </w:t>
      </w:r>
      <w:r w:rsidRPr="00AB0024">
        <w:rPr>
          <w:rFonts w:ascii="Palatino Linotype" w:eastAsia="Palatino Linotype" w:hAnsi="Palatino Linotype" w:cs="Palatino Linotype"/>
          <w:color w:val="000000" w:themeColor="text1"/>
        </w:rPr>
        <w:t>no son prestados por el municipio, como lo son el teléfono, internet, energía eléctrica, entre otros</w:t>
      </w:r>
      <w:r w:rsidR="00DF0863" w:rsidRPr="00AB0024">
        <w:rPr>
          <w:rFonts w:ascii="Palatino Linotype" w:eastAsia="Palatino Linotype" w:hAnsi="Palatino Linotype" w:cs="Palatino Linotype"/>
          <w:color w:val="000000" w:themeColor="text1"/>
        </w:rPr>
        <w:t xml:space="preserve">. </w:t>
      </w:r>
    </w:p>
    <w:p w:rsidR="00DF0863" w:rsidRPr="00AB0024" w:rsidRDefault="00DF0863" w:rsidP="00DF0863">
      <w:pPr>
        <w:spacing w:before="280" w:after="280" w:line="360" w:lineRule="auto"/>
        <w:ind w:right="162"/>
        <w:jc w:val="both"/>
        <w:rPr>
          <w:rFonts w:ascii="Palatino Linotype" w:hAnsi="Palatino Linotype"/>
        </w:rPr>
      </w:pPr>
      <w:r w:rsidRPr="00AB0024">
        <w:rPr>
          <w:rFonts w:ascii="Palatino Linotype" w:eastAsia="Palatino Linotype" w:hAnsi="Palatino Linotype" w:cs="Palatino Linotype"/>
          <w:color w:val="000000" w:themeColor="text1"/>
        </w:rPr>
        <w:t xml:space="preserve">Aunado a lo anterior, no escapa de la óptica de este Organismo Garante que si bien </w:t>
      </w:r>
      <w:r w:rsidRPr="00AB0024">
        <w:rPr>
          <w:rFonts w:ascii="Palatino Linotype" w:eastAsia="Palatino Linotype" w:hAnsi="Palatino Linotype" w:cs="Palatino Linotype"/>
          <w:b/>
          <w:color w:val="000000" w:themeColor="text1"/>
        </w:rPr>
        <w:t>la parte Recurrente</w:t>
      </w:r>
      <w:r w:rsidRPr="00AB0024">
        <w:rPr>
          <w:rFonts w:ascii="Palatino Linotype" w:eastAsia="Palatino Linotype" w:hAnsi="Palatino Linotype" w:cs="Palatino Linotype"/>
          <w:color w:val="000000" w:themeColor="text1"/>
        </w:rPr>
        <w:t xml:space="preserve"> señala que debe contar con dichos documentos porque se requieren para la licencia de funcionamiento, no menos cierto es que la consulta</w:t>
      </w:r>
      <w:r w:rsidRPr="00AB0024">
        <w:t xml:space="preserve"> a </w:t>
      </w:r>
      <w:r w:rsidRPr="00AB0024">
        <w:rPr>
          <w:rFonts w:ascii="Palatino Linotype" w:hAnsi="Palatino Linotype"/>
        </w:rPr>
        <w:t>los artículos 11 y 35</w:t>
      </w:r>
      <w:r w:rsidRPr="00AB0024">
        <w:t xml:space="preserve"> de la </w:t>
      </w:r>
      <w:r w:rsidRPr="00AB0024">
        <w:rPr>
          <w:rFonts w:ascii="Palatino Linotype" w:hAnsi="Palatino Linotype"/>
        </w:rPr>
        <w:t xml:space="preserve">Ley de Competitividad y Ordenamiento Comercial del Estado De México, únicamente señalan que deberán proporcionarse los siguientes datos: </w:t>
      </w:r>
    </w:p>
    <w:p w:rsidR="00DF0863" w:rsidRPr="00AB0024" w:rsidRDefault="00DF0863" w:rsidP="00DF0863">
      <w:pPr>
        <w:spacing w:before="280" w:after="280" w:line="276" w:lineRule="auto"/>
        <w:ind w:left="567" w:right="900"/>
        <w:jc w:val="both"/>
        <w:rPr>
          <w:rFonts w:ascii="Palatino Linotype" w:hAnsi="Palatino Linotype"/>
          <w:i/>
          <w:sz w:val="22"/>
        </w:rPr>
      </w:pPr>
      <w:r w:rsidRPr="00AB0024">
        <w:rPr>
          <w:rFonts w:ascii="Palatino Linotype" w:hAnsi="Palatino Linotype"/>
          <w:i/>
          <w:sz w:val="22"/>
        </w:rPr>
        <w:t>“Artículo 11. El registro incluirá al menos los datos siguientes:</w:t>
      </w:r>
    </w:p>
    <w:p w:rsidR="00DF0863" w:rsidRPr="00AB0024" w:rsidRDefault="00DF0863" w:rsidP="00DF0863">
      <w:pPr>
        <w:spacing w:before="280" w:after="280" w:line="276" w:lineRule="auto"/>
        <w:ind w:left="567" w:right="900"/>
        <w:jc w:val="both"/>
        <w:rPr>
          <w:rFonts w:ascii="Palatino Linotype" w:hAnsi="Palatino Linotype"/>
          <w:i/>
          <w:sz w:val="22"/>
        </w:rPr>
      </w:pPr>
      <w:r w:rsidRPr="00AB0024">
        <w:rPr>
          <w:rFonts w:ascii="Palatino Linotype" w:hAnsi="Palatino Linotype"/>
          <w:i/>
          <w:sz w:val="22"/>
        </w:rPr>
        <w:t>I. Clave única, que se integrará de una serie alfanumérica.</w:t>
      </w:r>
    </w:p>
    <w:p w:rsidR="00DF0863" w:rsidRPr="00AB0024" w:rsidRDefault="00DF0863" w:rsidP="00DF0863">
      <w:pPr>
        <w:spacing w:before="280" w:after="280" w:line="276" w:lineRule="auto"/>
        <w:ind w:left="567" w:right="900"/>
        <w:jc w:val="both"/>
        <w:rPr>
          <w:rFonts w:ascii="Palatino Linotype" w:hAnsi="Palatino Linotype"/>
          <w:i/>
          <w:sz w:val="22"/>
        </w:rPr>
      </w:pPr>
      <w:r w:rsidRPr="00AB0024">
        <w:rPr>
          <w:rFonts w:ascii="Palatino Linotype" w:hAnsi="Palatino Linotype"/>
          <w:i/>
          <w:sz w:val="22"/>
        </w:rPr>
        <w:t>II. Nombre del municipio.</w:t>
      </w:r>
    </w:p>
    <w:p w:rsidR="00DF0863" w:rsidRPr="00AB0024" w:rsidRDefault="00DF0863" w:rsidP="00DF0863">
      <w:pPr>
        <w:spacing w:before="280" w:after="280" w:line="276" w:lineRule="auto"/>
        <w:ind w:left="567" w:right="900"/>
        <w:jc w:val="both"/>
        <w:rPr>
          <w:rFonts w:ascii="Palatino Linotype" w:hAnsi="Palatino Linotype"/>
          <w:i/>
          <w:sz w:val="22"/>
        </w:rPr>
      </w:pPr>
      <w:r w:rsidRPr="00AB0024">
        <w:rPr>
          <w:rFonts w:ascii="Palatino Linotype" w:hAnsi="Palatino Linotype"/>
          <w:i/>
          <w:sz w:val="22"/>
        </w:rPr>
        <w:t>III. Nombre del titular.</w:t>
      </w:r>
    </w:p>
    <w:p w:rsidR="00DF0863" w:rsidRPr="00AB0024" w:rsidRDefault="00DF0863" w:rsidP="00DF0863">
      <w:pPr>
        <w:spacing w:before="280" w:after="280" w:line="276" w:lineRule="auto"/>
        <w:ind w:left="567" w:right="900"/>
        <w:jc w:val="both"/>
        <w:rPr>
          <w:rFonts w:ascii="Palatino Linotype" w:hAnsi="Palatino Linotype"/>
          <w:i/>
          <w:sz w:val="22"/>
        </w:rPr>
      </w:pPr>
      <w:r w:rsidRPr="00AB0024">
        <w:rPr>
          <w:rFonts w:ascii="Palatino Linotype" w:hAnsi="Palatino Linotype"/>
          <w:i/>
          <w:sz w:val="22"/>
        </w:rPr>
        <w:t>IV. Actividad económica.</w:t>
      </w:r>
    </w:p>
    <w:p w:rsidR="00DF0863" w:rsidRPr="00AB0024" w:rsidRDefault="00DF0863" w:rsidP="00DF0863">
      <w:pPr>
        <w:spacing w:before="280" w:after="280" w:line="276" w:lineRule="auto"/>
        <w:ind w:left="567" w:right="900"/>
        <w:jc w:val="both"/>
        <w:rPr>
          <w:rFonts w:ascii="Palatino Linotype" w:hAnsi="Palatino Linotype"/>
          <w:i/>
          <w:sz w:val="22"/>
        </w:rPr>
      </w:pPr>
      <w:r w:rsidRPr="00AB0024">
        <w:rPr>
          <w:rFonts w:ascii="Palatino Linotype" w:hAnsi="Palatino Linotype"/>
          <w:i/>
          <w:sz w:val="22"/>
        </w:rPr>
        <w:t>V. Fecha de inicio de actividades.</w:t>
      </w:r>
    </w:p>
    <w:p w:rsidR="00DF0863" w:rsidRPr="00AB0024" w:rsidRDefault="00DF0863" w:rsidP="00DF0863">
      <w:pPr>
        <w:spacing w:before="280" w:after="280" w:line="276" w:lineRule="auto"/>
        <w:ind w:left="567" w:right="900"/>
        <w:jc w:val="both"/>
        <w:rPr>
          <w:rFonts w:ascii="Palatino Linotype" w:hAnsi="Palatino Linotype"/>
          <w:i/>
          <w:sz w:val="22"/>
        </w:rPr>
      </w:pPr>
      <w:r w:rsidRPr="00AB0024">
        <w:rPr>
          <w:rFonts w:ascii="Palatino Linotype" w:hAnsi="Palatino Linotype"/>
          <w:i/>
          <w:sz w:val="22"/>
        </w:rPr>
        <w:t>VI. Tipo de impacto.</w:t>
      </w:r>
    </w:p>
    <w:p w:rsidR="00DF0863" w:rsidRPr="00AB0024" w:rsidRDefault="00DF0863" w:rsidP="00DF0863">
      <w:pPr>
        <w:spacing w:before="280" w:after="280" w:line="276" w:lineRule="auto"/>
        <w:ind w:left="567" w:right="900"/>
        <w:jc w:val="both"/>
        <w:rPr>
          <w:rFonts w:ascii="Palatino Linotype" w:hAnsi="Palatino Linotype"/>
          <w:i/>
          <w:sz w:val="22"/>
        </w:rPr>
      </w:pPr>
      <w:r w:rsidRPr="00AB0024">
        <w:rPr>
          <w:rFonts w:ascii="Palatino Linotype" w:hAnsi="Palatino Linotype"/>
          <w:i/>
          <w:sz w:val="22"/>
        </w:rPr>
        <w:t>VII. Domicilio de la unidad económica.</w:t>
      </w:r>
    </w:p>
    <w:p w:rsidR="00DF0863" w:rsidRPr="00AB0024" w:rsidRDefault="00DF0863" w:rsidP="00DF0863">
      <w:pPr>
        <w:spacing w:before="280" w:after="280" w:line="276" w:lineRule="auto"/>
        <w:ind w:left="567" w:right="900"/>
        <w:jc w:val="both"/>
        <w:rPr>
          <w:rFonts w:ascii="Palatino Linotype" w:hAnsi="Palatino Linotype"/>
          <w:i/>
          <w:sz w:val="22"/>
        </w:rPr>
      </w:pPr>
      <w:r w:rsidRPr="00AB0024">
        <w:rPr>
          <w:rFonts w:ascii="Palatino Linotype" w:hAnsi="Palatino Linotype"/>
          <w:i/>
          <w:sz w:val="22"/>
        </w:rPr>
        <w:lastRenderedPageBreak/>
        <w:t>VIII. Visitas y procedimientos de verificación en su caso.</w:t>
      </w:r>
    </w:p>
    <w:p w:rsidR="00DF0863" w:rsidRPr="00AB0024" w:rsidRDefault="00DF0863" w:rsidP="00DF0863">
      <w:pPr>
        <w:spacing w:before="280" w:after="280" w:line="276" w:lineRule="auto"/>
        <w:ind w:left="567" w:right="900"/>
        <w:jc w:val="both"/>
        <w:rPr>
          <w:rFonts w:ascii="Palatino Linotype" w:hAnsi="Palatino Linotype"/>
          <w:i/>
          <w:sz w:val="22"/>
        </w:rPr>
      </w:pPr>
      <w:r w:rsidRPr="00AB0024">
        <w:rPr>
          <w:rFonts w:ascii="Palatino Linotype" w:hAnsi="Palatino Linotype"/>
          <w:i/>
          <w:sz w:val="22"/>
        </w:rPr>
        <w:t>IX. Sanciones en su caso.</w:t>
      </w:r>
    </w:p>
    <w:p w:rsidR="00DF0863" w:rsidRPr="00AB0024" w:rsidRDefault="00DF0863" w:rsidP="00DF0863">
      <w:pPr>
        <w:spacing w:before="280" w:after="280" w:line="276" w:lineRule="auto"/>
        <w:ind w:left="567" w:right="900"/>
        <w:jc w:val="both"/>
        <w:rPr>
          <w:rFonts w:ascii="Palatino Linotype" w:hAnsi="Palatino Linotype"/>
          <w:i/>
          <w:sz w:val="22"/>
        </w:rPr>
      </w:pPr>
      <w:r w:rsidRPr="00AB0024">
        <w:rPr>
          <w:rFonts w:ascii="Palatino Linotype" w:hAnsi="Palatino Linotype"/>
          <w:i/>
          <w:sz w:val="22"/>
        </w:rPr>
        <w:t>X. Las demás que le confieran esta Ley y otras disposiciones aplicables.</w:t>
      </w:r>
    </w:p>
    <w:p w:rsidR="00DF0863" w:rsidRPr="00AB0024" w:rsidRDefault="00DF0863" w:rsidP="00C3682C">
      <w:pPr>
        <w:spacing w:before="280" w:after="280" w:line="276" w:lineRule="auto"/>
        <w:ind w:left="567" w:right="900"/>
        <w:jc w:val="both"/>
        <w:rPr>
          <w:rFonts w:ascii="Palatino Linotype" w:hAnsi="Palatino Linotype"/>
          <w:i/>
          <w:sz w:val="22"/>
        </w:rPr>
      </w:pPr>
      <w:r w:rsidRPr="00AB0024">
        <w:rPr>
          <w:rFonts w:ascii="Palatino Linotype" w:hAnsi="Palatino Linotype"/>
          <w:i/>
          <w:sz w:val="22"/>
        </w:rPr>
        <w:t>…</w:t>
      </w:r>
    </w:p>
    <w:p w:rsidR="00DF0863" w:rsidRPr="00AB0024" w:rsidRDefault="00DF0863" w:rsidP="00DF0863">
      <w:pPr>
        <w:spacing w:before="280" w:after="280" w:line="276" w:lineRule="auto"/>
        <w:ind w:left="567" w:right="900"/>
        <w:jc w:val="both"/>
        <w:rPr>
          <w:rFonts w:ascii="Palatino Linotype" w:eastAsia="Palatino Linotype" w:hAnsi="Palatino Linotype" w:cs="Palatino Linotype"/>
          <w:i/>
          <w:color w:val="000000" w:themeColor="text1"/>
          <w:sz w:val="22"/>
        </w:rPr>
      </w:pPr>
      <w:r w:rsidRPr="00AB0024">
        <w:rPr>
          <w:rFonts w:ascii="Palatino Linotype" w:eastAsia="Palatino Linotype" w:hAnsi="Palatino Linotype" w:cs="Palatino Linotype"/>
          <w:i/>
          <w:color w:val="000000" w:themeColor="text1"/>
          <w:sz w:val="22"/>
        </w:rPr>
        <w:t>Artículo 35. Para el funcionamiento de las unidades económicas a que se refiere este Capítulo, la autoridad deberá ingresar, además de lo requerido por el artículo 11, los datos del permiso o licencia de funcionamiento correspondientes al Sistema, proporcionando la información siguiente:</w:t>
      </w:r>
    </w:p>
    <w:p w:rsidR="00DF0863" w:rsidRPr="00AB0024" w:rsidRDefault="00DF0863" w:rsidP="00DF0863">
      <w:pPr>
        <w:spacing w:before="280" w:after="280" w:line="276" w:lineRule="auto"/>
        <w:ind w:left="567" w:right="900"/>
        <w:jc w:val="both"/>
        <w:rPr>
          <w:rFonts w:ascii="Palatino Linotype" w:eastAsia="Palatino Linotype" w:hAnsi="Palatino Linotype" w:cs="Palatino Linotype"/>
          <w:i/>
          <w:color w:val="000000" w:themeColor="text1"/>
          <w:sz w:val="22"/>
        </w:rPr>
      </w:pPr>
      <w:r w:rsidRPr="00AB0024">
        <w:rPr>
          <w:rFonts w:ascii="Palatino Linotype" w:eastAsia="Palatino Linotype" w:hAnsi="Palatino Linotype" w:cs="Palatino Linotype"/>
          <w:i/>
          <w:color w:val="000000" w:themeColor="text1"/>
          <w:sz w:val="22"/>
        </w:rPr>
        <w:t>I. Domicilio para oír y recibir notificaciones y dirección de correo electrónico. En caso de que el solicitante sea persona física, expresará los datos de la credencial para votar.</w:t>
      </w:r>
    </w:p>
    <w:p w:rsidR="00DF0863" w:rsidRPr="00AB0024" w:rsidRDefault="00DF0863" w:rsidP="00DF0863">
      <w:pPr>
        <w:spacing w:before="280" w:after="280" w:line="276" w:lineRule="auto"/>
        <w:ind w:left="567" w:right="900"/>
        <w:jc w:val="both"/>
        <w:rPr>
          <w:rFonts w:ascii="Palatino Linotype" w:eastAsia="Palatino Linotype" w:hAnsi="Palatino Linotype" w:cs="Palatino Linotype"/>
          <w:i/>
          <w:color w:val="000000" w:themeColor="text1"/>
          <w:sz w:val="22"/>
        </w:rPr>
      </w:pPr>
      <w:r w:rsidRPr="00AB0024">
        <w:rPr>
          <w:rFonts w:ascii="Palatino Linotype" w:eastAsia="Palatino Linotype" w:hAnsi="Palatino Linotype" w:cs="Palatino Linotype"/>
          <w:i/>
          <w:color w:val="000000" w:themeColor="text1"/>
          <w:sz w:val="22"/>
        </w:rPr>
        <w:t>II. Superficie total del local donde pretende establecerse la unidad económica.</w:t>
      </w:r>
    </w:p>
    <w:p w:rsidR="00DF0863" w:rsidRPr="00AB0024" w:rsidRDefault="00DF0863" w:rsidP="00DF0863">
      <w:pPr>
        <w:spacing w:before="280" w:after="280" w:line="276" w:lineRule="auto"/>
        <w:ind w:left="567" w:right="900"/>
        <w:jc w:val="both"/>
        <w:rPr>
          <w:rFonts w:ascii="Palatino Linotype" w:eastAsia="Palatino Linotype" w:hAnsi="Palatino Linotype" w:cs="Palatino Linotype"/>
          <w:i/>
          <w:color w:val="000000" w:themeColor="text1"/>
          <w:sz w:val="22"/>
        </w:rPr>
      </w:pPr>
      <w:r w:rsidRPr="00AB0024">
        <w:rPr>
          <w:rFonts w:ascii="Palatino Linotype" w:eastAsia="Palatino Linotype" w:hAnsi="Palatino Linotype" w:cs="Palatino Linotype"/>
          <w:i/>
          <w:color w:val="000000" w:themeColor="text1"/>
          <w:sz w:val="22"/>
        </w:rPr>
        <w:t>III. Que cuenta con los cajones de estacionamiento de conformidad con esta Ley.</w:t>
      </w:r>
    </w:p>
    <w:p w:rsidR="00DF0863" w:rsidRPr="00AB0024" w:rsidRDefault="00DF0863" w:rsidP="00DF0863">
      <w:pPr>
        <w:spacing w:before="280" w:after="280" w:line="276" w:lineRule="auto"/>
        <w:ind w:left="567" w:right="900"/>
        <w:jc w:val="both"/>
        <w:rPr>
          <w:rFonts w:ascii="Palatino Linotype" w:eastAsia="Palatino Linotype" w:hAnsi="Palatino Linotype" w:cs="Palatino Linotype"/>
          <w:i/>
          <w:color w:val="000000" w:themeColor="text1"/>
          <w:sz w:val="22"/>
        </w:rPr>
      </w:pPr>
      <w:r w:rsidRPr="00AB0024">
        <w:rPr>
          <w:rFonts w:ascii="Palatino Linotype" w:eastAsia="Palatino Linotype" w:hAnsi="Palatino Linotype" w:cs="Palatino Linotype"/>
          <w:i/>
          <w:color w:val="000000" w:themeColor="text1"/>
          <w:sz w:val="22"/>
        </w:rPr>
        <w:t>IV. Capacidad de aforo en su caso, atender lo ordenado en materia de Protección Civil.</w:t>
      </w:r>
    </w:p>
    <w:p w:rsidR="00DF0863" w:rsidRPr="00AB0024" w:rsidRDefault="00DF0863" w:rsidP="00DF0863">
      <w:pPr>
        <w:spacing w:before="280" w:after="280" w:line="276" w:lineRule="auto"/>
        <w:ind w:left="567" w:right="900"/>
        <w:jc w:val="both"/>
        <w:rPr>
          <w:rFonts w:ascii="Palatino Linotype" w:eastAsia="Palatino Linotype" w:hAnsi="Palatino Linotype" w:cs="Palatino Linotype"/>
          <w:i/>
          <w:color w:val="000000" w:themeColor="text1"/>
          <w:sz w:val="22"/>
        </w:rPr>
      </w:pPr>
      <w:r w:rsidRPr="00AB0024">
        <w:rPr>
          <w:rFonts w:ascii="Palatino Linotype" w:eastAsia="Palatino Linotype" w:hAnsi="Palatino Linotype" w:cs="Palatino Linotype"/>
          <w:i/>
          <w:color w:val="000000" w:themeColor="text1"/>
          <w:sz w:val="22"/>
        </w:rPr>
        <w:t xml:space="preserve">V. En los casos de unidades económicas que se dediquen a la purificación, embotellamiento y comercialización de agua deberán presentar la licencia de funcionamiento y aviso de funcionamiento ante la autoridad respectiva.” </w:t>
      </w:r>
    </w:p>
    <w:p w:rsidR="00C3682C" w:rsidRPr="00AB0024" w:rsidRDefault="00DF0863" w:rsidP="00C3682C">
      <w:pPr>
        <w:spacing w:before="280" w:after="280" w:line="360" w:lineRule="auto"/>
        <w:ind w:right="49"/>
        <w:jc w:val="both"/>
        <w:rPr>
          <w:rFonts w:ascii="Palatino Linotype" w:eastAsia="Palatino Linotype" w:hAnsi="Palatino Linotype" w:cs="Palatino Linotype"/>
          <w:color w:val="000000" w:themeColor="text1"/>
        </w:rPr>
      </w:pPr>
      <w:r w:rsidRPr="00AB0024">
        <w:rPr>
          <w:rFonts w:ascii="Palatino Linotype" w:eastAsia="Palatino Linotype" w:hAnsi="Palatino Linotype" w:cs="Palatino Linotype"/>
          <w:color w:val="000000" w:themeColor="text1"/>
        </w:rPr>
        <w:t xml:space="preserve">De lo anteriormente analizado se colige que no se advierte fuente obligacional para que el </w:t>
      </w:r>
      <w:r w:rsidRPr="00AB0024">
        <w:rPr>
          <w:rFonts w:ascii="Palatino Linotype" w:eastAsia="Palatino Linotype" w:hAnsi="Palatino Linotype" w:cs="Palatino Linotype"/>
          <w:b/>
          <w:color w:val="000000" w:themeColor="text1"/>
        </w:rPr>
        <w:t>Sujeto Obligado</w:t>
      </w:r>
      <w:r w:rsidRPr="00AB0024">
        <w:rPr>
          <w:rFonts w:ascii="Palatino Linotype" w:eastAsia="Palatino Linotype" w:hAnsi="Palatino Linotype" w:cs="Palatino Linotype"/>
          <w:color w:val="000000" w:themeColor="text1"/>
        </w:rPr>
        <w:t xml:space="preserve"> pueda exigir a esta unidad económica el contar con ciertos servicios básicos, </w:t>
      </w:r>
      <w:r w:rsidR="00C3682C" w:rsidRPr="00AB0024">
        <w:rPr>
          <w:rFonts w:ascii="Palatino Linotype" w:eastAsia="Palatino Linotype" w:hAnsi="Palatino Linotype" w:cs="Palatino Linotype"/>
          <w:color w:val="000000" w:themeColor="text1"/>
        </w:rPr>
        <w:t xml:space="preserve">por lo tanto, este Instituto no se encuentra en posibilidades de ordenar la entrega de documento alguno por cuanto hace a la prestación de servicios como teléfono, internet, energía eléctrica, además es de vital importancia destacar el hecho de que el propio Partido Revolucionario Institucional se declaró competente para otorgar respuesta, por lo que respecto a los servicios previamente </w:t>
      </w:r>
      <w:r w:rsidR="00C3682C" w:rsidRPr="00AB0024">
        <w:rPr>
          <w:rFonts w:ascii="Palatino Linotype" w:eastAsia="Palatino Linotype" w:hAnsi="Palatino Linotype" w:cs="Palatino Linotype"/>
          <w:color w:val="000000" w:themeColor="text1"/>
        </w:rPr>
        <w:lastRenderedPageBreak/>
        <w:t>mencionados, lo pertinente es ordenar la emisión del acuerdo de incompetencia en los términos previamente señalados.</w:t>
      </w:r>
    </w:p>
    <w:p w:rsidR="00A620F1" w:rsidRPr="00AB0024" w:rsidRDefault="00C3682C" w:rsidP="00C3682C">
      <w:pPr>
        <w:spacing w:before="280" w:after="280" w:line="360" w:lineRule="auto"/>
        <w:ind w:right="49"/>
        <w:jc w:val="both"/>
        <w:rPr>
          <w:rFonts w:ascii="Palatino Linotype" w:eastAsia="Palatino Linotype" w:hAnsi="Palatino Linotype" w:cs="Palatino Linotype"/>
          <w:color w:val="000000" w:themeColor="text1"/>
        </w:rPr>
      </w:pPr>
      <w:r w:rsidRPr="00AB0024">
        <w:rPr>
          <w:rFonts w:ascii="Palatino Linotype" w:eastAsia="Palatino Linotype" w:hAnsi="Palatino Linotype" w:cs="Palatino Linotype"/>
        </w:rPr>
        <w:t xml:space="preserve">Por otra parte, debemos tener en cuenta que el </w:t>
      </w:r>
      <w:r w:rsidRPr="00AB0024">
        <w:rPr>
          <w:rFonts w:ascii="Palatino Linotype" w:eastAsia="Palatino Linotype" w:hAnsi="Palatino Linotype" w:cs="Palatino Linotype"/>
          <w:b/>
        </w:rPr>
        <w:t>Sujeto Obligado</w:t>
      </w:r>
      <w:r w:rsidRPr="00AB0024">
        <w:rPr>
          <w:rFonts w:ascii="Palatino Linotype" w:eastAsia="Palatino Linotype" w:hAnsi="Palatino Linotype" w:cs="Palatino Linotype"/>
        </w:rPr>
        <w:t xml:space="preserve"> fue omiso en turnar el requerimiento a la Dirección de Servicios Públicos para efecto de que se pronunciara </w:t>
      </w:r>
      <w:r w:rsidR="001900DE" w:rsidRPr="00AB0024">
        <w:rPr>
          <w:rFonts w:ascii="Palatino Linotype" w:eastAsia="Palatino Linotype" w:hAnsi="Palatino Linotype" w:cs="Palatino Linotype"/>
        </w:rPr>
        <w:t>respecto a la entrega de</w:t>
      </w:r>
      <w:r w:rsidRPr="00AB0024">
        <w:rPr>
          <w:rFonts w:ascii="Palatino Linotype" w:eastAsia="Palatino Linotype" w:hAnsi="Palatino Linotype" w:cs="Palatino Linotype"/>
        </w:rPr>
        <w:t xml:space="preserve"> la prestación de servicio de agua potable, drenaje y alcantarillado, por ello resulta pertinente ordenar una búsqueda exhaustiva y razonable para efecto de ordenar la entrega de </w:t>
      </w:r>
      <w:r w:rsidR="001900DE" w:rsidRPr="00AB0024">
        <w:rPr>
          <w:rFonts w:ascii="Palatino Linotype" w:eastAsia="Palatino Linotype" w:hAnsi="Palatino Linotype" w:cs="Palatino Linotype"/>
        </w:rPr>
        <w:t xml:space="preserve"> los documentos que den cuenta de la prestación del servicio de agua potable, drenaje y alcantarillado en el inmueble referido en la solicitud de información, vigentes o que obren en sus archivos al 15 de mayo de 2023, es de vital importancia mencionar que únicamente procederá, sólo si el titular del servicio público de agua potable, drenaje y alcantarillado </w:t>
      </w:r>
      <w:r w:rsidR="00C85659" w:rsidRPr="00AB0024">
        <w:rPr>
          <w:rFonts w:ascii="Palatino Linotype" w:eastAsia="Palatino Linotype" w:hAnsi="Palatino Linotype" w:cs="Palatino Linotype"/>
        </w:rPr>
        <w:t>es una entidad pública, como lo es el partido revolucionario institucional, sin embargo, de ser el caso en  el que únicamente se vean involucrados particulares</w:t>
      </w:r>
      <w:r w:rsidR="001900DE" w:rsidRPr="00AB0024">
        <w:rPr>
          <w:rFonts w:ascii="Palatino Linotype" w:eastAsia="Palatino Linotype" w:hAnsi="Palatino Linotype" w:cs="Palatino Linotype"/>
        </w:rPr>
        <w:t xml:space="preserve"> en su carácter de propietarios del inmueble referido</w:t>
      </w:r>
      <w:r w:rsidR="00C85659" w:rsidRPr="00AB0024">
        <w:rPr>
          <w:rFonts w:ascii="Palatino Linotype" w:eastAsia="Palatino Linotype" w:hAnsi="Palatino Linotype" w:cs="Palatino Linotype"/>
        </w:rPr>
        <w:t xml:space="preserve">, estos deberán ser clasificados como información confidencial, en virtud de que esa información no reviste interés público ni abona en la adecuada rendición de cuentas de los sujetos obligados ni contribuye a transparentar la gestión pública, aunado a que </w:t>
      </w:r>
      <w:r w:rsidR="00C85659" w:rsidRPr="00AB0024">
        <w:rPr>
          <w:rFonts w:ascii="Palatino Linotype" w:eastAsia="Palatino Linotype" w:hAnsi="Palatino Linotype" w:cs="Palatino Linotype"/>
          <w:b/>
        </w:rPr>
        <w:t>con su divulgación se revelaría información patrimonial que está íntimamente ligada con los titulares de los datos</w:t>
      </w:r>
      <w:r w:rsidR="00C85659" w:rsidRPr="00AB0024">
        <w:rPr>
          <w:rFonts w:ascii="Palatino Linotype" w:eastAsia="Palatino Linotype" w:hAnsi="Palatino Linotype" w:cs="Palatino Linotype"/>
        </w:rPr>
        <w:t xml:space="preserve"> por tanto, se insiste que en ese supuesto no sería información pública susceptible de ser entregada y, en consecuencia, el </w:t>
      </w:r>
      <w:r w:rsidR="00C85659" w:rsidRPr="00AB0024">
        <w:rPr>
          <w:rFonts w:ascii="Palatino Linotype" w:eastAsia="Palatino Linotype" w:hAnsi="Palatino Linotype" w:cs="Palatino Linotype"/>
          <w:b/>
        </w:rPr>
        <w:t>Sujeto Obligado</w:t>
      </w:r>
      <w:r w:rsidR="00C85659" w:rsidRPr="00AB0024">
        <w:rPr>
          <w:rFonts w:ascii="Palatino Linotype" w:eastAsia="Palatino Linotype" w:hAnsi="Palatino Linotype" w:cs="Palatino Linotype"/>
        </w:rPr>
        <w:t xml:space="preserve"> está constreñido a proteger la documentación en los que se actualice este supuesto en apego a la normatividad aplicable.</w:t>
      </w:r>
    </w:p>
    <w:p w:rsidR="00A620F1" w:rsidRPr="00AB0024" w:rsidRDefault="00C85659">
      <w:pPr>
        <w:spacing w:before="280" w:after="280" w:line="360" w:lineRule="auto"/>
        <w:ind w:right="162"/>
        <w:jc w:val="both"/>
        <w:rPr>
          <w:rFonts w:ascii="Palatino Linotype" w:eastAsia="Palatino Linotype" w:hAnsi="Palatino Linotype" w:cs="Palatino Linotype"/>
        </w:rPr>
      </w:pPr>
      <w:r w:rsidRPr="00AB0024">
        <w:rPr>
          <w:rFonts w:ascii="Palatino Linotype" w:eastAsia="Palatino Linotype" w:hAnsi="Palatino Linotype" w:cs="Palatino Linotype"/>
        </w:rPr>
        <w:lastRenderedPageBreak/>
        <w:t xml:space="preserve">Es de resaltar el hecho de la información relativa de los particulares propietarios de inmuebles es considerada como un dato personal por la Ley de Protección de Datos Personales en Posesión de Sujeto Obligados del Estado de México y Municipios, que en su artículo 4 fracción XI establece lo siguiente: </w:t>
      </w:r>
    </w:p>
    <w:p w:rsidR="00A620F1" w:rsidRPr="00AB0024" w:rsidRDefault="00C85659">
      <w:pPr>
        <w:spacing w:before="280" w:after="280"/>
        <w:ind w:left="567" w:right="1582"/>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“Artículo 4. Para los efectos de esta Ley se entenderá por: </w:t>
      </w:r>
    </w:p>
    <w:p w:rsidR="00A620F1" w:rsidRPr="00AB0024" w:rsidRDefault="00C85659">
      <w:pPr>
        <w:spacing w:before="280" w:after="280"/>
        <w:ind w:left="567" w:right="1582"/>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 </w:t>
      </w:r>
    </w:p>
    <w:p w:rsidR="00A620F1" w:rsidRPr="00AB0024" w:rsidRDefault="00C85659">
      <w:pPr>
        <w:spacing w:before="280" w:after="280"/>
        <w:ind w:left="567" w:right="1582"/>
        <w:jc w:val="both"/>
        <w:rPr>
          <w:rFonts w:ascii="Palatino Linotype" w:eastAsia="Palatino Linotype" w:hAnsi="Palatino Linotype" w:cs="Palatino Linotype"/>
          <w:i/>
          <w:sz w:val="22"/>
          <w:szCs w:val="22"/>
        </w:rPr>
      </w:pPr>
      <w:proofErr w:type="spellStart"/>
      <w:r w:rsidRPr="00AB0024">
        <w:rPr>
          <w:rFonts w:ascii="Palatino Linotype" w:eastAsia="Palatino Linotype" w:hAnsi="Palatino Linotype" w:cs="Palatino Linotype"/>
          <w:i/>
          <w:sz w:val="22"/>
          <w:szCs w:val="22"/>
        </w:rPr>
        <w:t>XI.Datos</w:t>
      </w:r>
      <w:proofErr w:type="spellEnd"/>
      <w:r w:rsidRPr="00AB0024">
        <w:rPr>
          <w:rFonts w:ascii="Palatino Linotype" w:eastAsia="Palatino Linotype" w:hAnsi="Palatino Linotype" w:cs="Palatino Linotype"/>
          <w:i/>
          <w:sz w:val="22"/>
          <w:szCs w:val="22"/>
        </w:rPr>
        <w:t xml:space="preserve"> personales: a la información concerniente a una persona física o jurídica colectiva identificada o identificable, establecida en cualquier formato o modalidad, y que esté almacenada en los sistemas y bases de datos, se considera que una persona es identificable cuando su identidad pueda determinarse directa o indirectamente a través de cualquier documento informativo físico o electrónico.”</w:t>
      </w:r>
    </w:p>
    <w:p w:rsidR="00A620F1" w:rsidRPr="00AB0024" w:rsidRDefault="00C85659">
      <w:pPr>
        <w:spacing w:before="280" w:after="280" w:line="360" w:lineRule="auto"/>
        <w:ind w:right="162"/>
        <w:jc w:val="both"/>
        <w:rPr>
          <w:rFonts w:ascii="Palatino Linotype" w:eastAsia="Palatino Linotype" w:hAnsi="Palatino Linotype" w:cs="Palatino Linotype"/>
        </w:rPr>
      </w:pPr>
      <w:r w:rsidRPr="00AB0024">
        <w:rPr>
          <w:rFonts w:ascii="Palatino Linotype" w:eastAsia="Palatino Linotype" w:hAnsi="Palatino Linotype" w:cs="Palatino Linotype"/>
        </w:rPr>
        <w:t>De manera que cuando los datos hacen a una persona física o jurídica colectiva identificada o identificable, establecida en cualquier formato o modalidad, se hablan de datos personales, asimismo debe apuntarse que en el caso en concreto, se identifica que lo solicitado es un dato personal pues hace alusión a información concerniente a personas físicas.</w:t>
      </w:r>
    </w:p>
    <w:p w:rsidR="00A620F1" w:rsidRPr="00AB0024" w:rsidRDefault="00C85659">
      <w:pPr>
        <w:pBdr>
          <w:top w:val="nil"/>
          <w:left w:val="nil"/>
          <w:bottom w:val="nil"/>
          <w:right w:val="nil"/>
          <w:between w:val="nil"/>
        </w:pBdr>
        <w:spacing w:before="280" w:after="280" w:line="360" w:lineRule="auto"/>
        <w:ind w:right="-11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De igual forma, el artículo 6 de la Ley referida anteriormente, establece lo siguiente:</w:t>
      </w:r>
    </w:p>
    <w:p w:rsidR="00A620F1" w:rsidRPr="00AB0024" w:rsidRDefault="00C85659">
      <w:pPr>
        <w:pBdr>
          <w:top w:val="nil"/>
          <w:left w:val="nil"/>
          <w:bottom w:val="nil"/>
          <w:right w:val="nil"/>
          <w:between w:val="nil"/>
        </w:pBdr>
        <w:spacing w:before="280" w:after="280"/>
        <w:ind w:left="567" w:right="158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w:t>
      </w:r>
      <w:r w:rsidRPr="00AB0024">
        <w:rPr>
          <w:rFonts w:ascii="Palatino Linotype" w:eastAsia="Palatino Linotype" w:hAnsi="Palatino Linotype" w:cs="Palatino Linotype"/>
          <w:b/>
          <w:i/>
          <w:color w:val="000000"/>
          <w:sz w:val="22"/>
          <w:szCs w:val="22"/>
        </w:rPr>
        <w:t>Artículo 6. El Estado garantizará la privacidad de los individuos y velará porque no se incurra en conductas que puedan afectarla arbitrariamente</w:t>
      </w:r>
      <w:r w:rsidRPr="00AB0024">
        <w:rPr>
          <w:rFonts w:ascii="Palatino Linotype" w:eastAsia="Palatino Linotype" w:hAnsi="Palatino Linotype" w:cs="Palatino Linotype"/>
          <w:i/>
          <w:color w:val="000000"/>
          <w:sz w:val="22"/>
          <w:szCs w:val="22"/>
        </w:rPr>
        <w:t xml:space="preserve">. </w:t>
      </w:r>
    </w:p>
    <w:p w:rsidR="00A620F1" w:rsidRPr="00AB0024" w:rsidRDefault="00C85659">
      <w:pPr>
        <w:pBdr>
          <w:top w:val="nil"/>
          <w:left w:val="nil"/>
          <w:bottom w:val="nil"/>
          <w:right w:val="nil"/>
          <w:between w:val="nil"/>
        </w:pBdr>
        <w:spacing w:before="280" w:after="280"/>
        <w:ind w:left="567" w:right="158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 xml:space="preserve">Los responsables aplicarán las medidas establecidas en esta Ley para la protección de las personas y su dignidad, respecto al tratamiento de sus datos personales. </w:t>
      </w:r>
    </w:p>
    <w:p w:rsidR="00A620F1" w:rsidRPr="00AB0024" w:rsidRDefault="00C85659">
      <w:pPr>
        <w:pBdr>
          <w:top w:val="nil"/>
          <w:left w:val="nil"/>
          <w:bottom w:val="nil"/>
          <w:right w:val="nil"/>
          <w:between w:val="nil"/>
        </w:pBdr>
        <w:spacing w:before="280" w:after="280"/>
        <w:ind w:left="567" w:right="158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b/>
          <w:i/>
          <w:color w:val="000000"/>
          <w:sz w:val="22"/>
          <w:szCs w:val="22"/>
        </w:rPr>
        <w:t>El derecho a la protección de los datos personales solamente se limitará por</w:t>
      </w:r>
      <w:r w:rsidRPr="00AB0024">
        <w:rPr>
          <w:rFonts w:ascii="Palatino Linotype" w:eastAsia="Palatino Linotype" w:hAnsi="Palatino Linotype" w:cs="Palatino Linotype"/>
          <w:i/>
          <w:color w:val="000000"/>
          <w:sz w:val="22"/>
          <w:szCs w:val="22"/>
        </w:rPr>
        <w:t xml:space="preserve"> razones de seguridad pública en términos de la Ley en la </w:t>
      </w:r>
      <w:r w:rsidRPr="00AB0024">
        <w:rPr>
          <w:rFonts w:ascii="Palatino Linotype" w:eastAsia="Palatino Linotype" w:hAnsi="Palatino Linotype" w:cs="Palatino Linotype"/>
          <w:i/>
          <w:color w:val="000000"/>
          <w:sz w:val="22"/>
          <w:szCs w:val="22"/>
        </w:rPr>
        <w:lastRenderedPageBreak/>
        <w:t xml:space="preserve">materia, disposiciones de orden público, salud pública o </w:t>
      </w:r>
      <w:r w:rsidRPr="00AB0024">
        <w:rPr>
          <w:rFonts w:ascii="Palatino Linotype" w:eastAsia="Palatino Linotype" w:hAnsi="Palatino Linotype" w:cs="Palatino Linotype"/>
          <w:b/>
          <w:i/>
          <w:color w:val="000000"/>
          <w:sz w:val="22"/>
          <w:szCs w:val="22"/>
        </w:rPr>
        <w:t>proteger los derechos de terceros</w:t>
      </w:r>
      <w:r w:rsidRPr="00AB0024">
        <w:rPr>
          <w:rFonts w:ascii="Palatino Linotype" w:eastAsia="Palatino Linotype" w:hAnsi="Palatino Linotype" w:cs="Palatino Linotype"/>
          <w:i/>
          <w:color w:val="000000"/>
          <w:sz w:val="22"/>
          <w:szCs w:val="22"/>
        </w:rPr>
        <w:t>.”</w:t>
      </w:r>
    </w:p>
    <w:p w:rsidR="00A620F1" w:rsidRPr="00AB0024" w:rsidRDefault="00C85659">
      <w:pPr>
        <w:pBdr>
          <w:top w:val="nil"/>
          <w:left w:val="nil"/>
          <w:bottom w:val="nil"/>
          <w:right w:val="nil"/>
          <w:between w:val="nil"/>
        </w:pBdr>
        <w:spacing w:before="280" w:after="280"/>
        <w:ind w:left="567" w:right="158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(Énfasis añadido)</w:t>
      </w:r>
    </w:p>
    <w:p w:rsidR="00A620F1" w:rsidRPr="00AB0024" w:rsidRDefault="00C85659">
      <w:pPr>
        <w:pBdr>
          <w:top w:val="nil"/>
          <w:left w:val="nil"/>
          <w:bottom w:val="nil"/>
          <w:right w:val="nil"/>
          <w:between w:val="nil"/>
        </w:pBdr>
        <w:spacing w:before="280" w:after="280" w:line="360" w:lineRule="auto"/>
        <w:ind w:right="162"/>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Inclusive, la Ley de Transparencia estatal considera que la información privada y los datos personales y sensibles concernientes a una persona física o jurídico colectiva identificada o identificable se considera información confidencial, según lo dispone el artículo 143 fracción I, como se observa a continuación: </w:t>
      </w:r>
    </w:p>
    <w:p w:rsidR="00A620F1" w:rsidRPr="00AB0024" w:rsidRDefault="00C85659">
      <w:pPr>
        <w:pBdr>
          <w:top w:val="nil"/>
          <w:left w:val="nil"/>
          <w:bottom w:val="nil"/>
          <w:right w:val="nil"/>
          <w:between w:val="nil"/>
        </w:pBdr>
        <w:spacing w:before="280" w:after="280"/>
        <w:ind w:left="567" w:right="158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 xml:space="preserve">Artículo 143. Para los efectos de esta Ley se considera información confidencial, la clasificada como tal, de manera permanente, por su naturaleza, cuando: </w:t>
      </w:r>
    </w:p>
    <w:p w:rsidR="00A620F1" w:rsidRPr="00AB0024" w:rsidRDefault="00C85659">
      <w:pPr>
        <w:numPr>
          <w:ilvl w:val="0"/>
          <w:numId w:val="6"/>
        </w:numPr>
        <w:pBdr>
          <w:top w:val="nil"/>
          <w:left w:val="nil"/>
          <w:bottom w:val="nil"/>
          <w:right w:val="nil"/>
          <w:between w:val="nil"/>
        </w:pBdr>
        <w:spacing w:before="280" w:after="280"/>
        <w:ind w:left="567" w:right="1580" w:firstLine="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 xml:space="preserve">Se refiera a la información privada y los datos personales concernientes a una persona física o jurídico colectiva identificada o identificable; </w:t>
      </w:r>
    </w:p>
    <w:p w:rsidR="00A620F1" w:rsidRPr="00AB0024" w:rsidRDefault="00C85659">
      <w:pPr>
        <w:numPr>
          <w:ilvl w:val="0"/>
          <w:numId w:val="6"/>
        </w:numPr>
        <w:pBdr>
          <w:top w:val="nil"/>
          <w:left w:val="nil"/>
          <w:bottom w:val="nil"/>
          <w:right w:val="nil"/>
          <w:between w:val="nil"/>
        </w:pBdr>
        <w:spacing w:before="280" w:after="280"/>
        <w:ind w:left="567" w:right="1580" w:hanging="141"/>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 xml:space="preserve">(…) </w:t>
      </w:r>
    </w:p>
    <w:p w:rsidR="00A620F1" w:rsidRPr="00AB0024" w:rsidRDefault="00C85659">
      <w:pPr>
        <w:pBdr>
          <w:top w:val="nil"/>
          <w:left w:val="nil"/>
          <w:bottom w:val="nil"/>
          <w:right w:val="nil"/>
          <w:between w:val="nil"/>
        </w:pBdr>
        <w:spacing w:before="280" w:after="280"/>
        <w:ind w:left="567" w:right="158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 xml:space="preserve">La información confidencial no estará sujeta a temporalidad alguna y sólo podrán tener acceso a ella los titulares de las mismas, sus representantes y los servidores públicos facultados para ellos. </w:t>
      </w:r>
    </w:p>
    <w:p w:rsidR="00A620F1" w:rsidRPr="00AB0024" w:rsidRDefault="00C85659">
      <w:pPr>
        <w:pBdr>
          <w:top w:val="nil"/>
          <w:left w:val="nil"/>
          <w:bottom w:val="nil"/>
          <w:right w:val="nil"/>
          <w:between w:val="nil"/>
        </w:pBdr>
        <w:spacing w:before="280" w:after="280"/>
        <w:ind w:left="567" w:right="158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No se considerará confidencial la información que se encuentre en los registros públicos o en fuentes de acceso público, ni tampoco la que sea considerada por la presente ley como información pública.</w:t>
      </w:r>
    </w:p>
    <w:p w:rsidR="00A620F1" w:rsidRPr="00AB0024" w:rsidRDefault="00C85659">
      <w:pPr>
        <w:pBdr>
          <w:top w:val="nil"/>
          <w:left w:val="nil"/>
          <w:bottom w:val="nil"/>
          <w:right w:val="nil"/>
          <w:between w:val="nil"/>
        </w:pBdr>
        <w:spacing w:before="280" w:after="280" w:line="360" w:lineRule="auto"/>
        <w:ind w:right="-11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Derivado de lo anterior, y en estricto apego a los artículos que sustentan la facultad de este Instituto para interpretar los ordenamientos aplicables, así como crear criterios en la materia, se llega a la conclusión de que debe prevalecer el derecho a la protección de los datos personales de los documentos del particular descritos en la solicitud de información. Lo anterior con base a las consideraciones ya establecidas; para mayor abundamiento, se puede citar la tesis aislada 1ª. VII/2012 (10ª.), con número de registro 2000233 de la Décima Época, publicada en el Semanario Judicial </w:t>
      </w:r>
      <w:r w:rsidRPr="00AB0024">
        <w:rPr>
          <w:rFonts w:ascii="Palatino Linotype" w:eastAsia="Palatino Linotype" w:hAnsi="Palatino Linotype" w:cs="Palatino Linotype"/>
          <w:color w:val="000000"/>
        </w:rPr>
        <w:lastRenderedPageBreak/>
        <w:t>de la Federación y su Gaceta, Libro V, febrero de 2012, Tomo 1, página 655 en materia Constitucional, que establece lo siguiente:</w:t>
      </w:r>
    </w:p>
    <w:p w:rsidR="00A620F1" w:rsidRPr="00AB0024" w:rsidRDefault="00C85659">
      <w:pPr>
        <w:pBdr>
          <w:top w:val="nil"/>
          <w:left w:val="nil"/>
          <w:bottom w:val="nil"/>
          <w:right w:val="nil"/>
          <w:between w:val="nil"/>
        </w:pBdr>
        <w:spacing w:before="280" w:after="280"/>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 xml:space="preserve">“INFORMACIÓN CONFIDENCIAL. LÍMITE AL DERECHO DE ACCESO A LA INFORMACIÓN (LEY FEDERAL DE TRANSPARENCIA Y ACCESO A LA INFORMACIÓN PÚBLICA GUBERNAMENTAL). 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w:t>
      </w:r>
      <w:r w:rsidRPr="00AB0024">
        <w:rPr>
          <w:rFonts w:ascii="Palatino Linotype" w:eastAsia="Palatino Linotype" w:hAnsi="Palatino Linotype" w:cs="Palatino Linotype"/>
          <w:b/>
          <w:i/>
          <w:color w:val="000000"/>
          <w:sz w:val="22"/>
          <w:szCs w:val="22"/>
        </w:rPr>
        <w:t>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 y el de información reservada. En lo que respecta al límite previsto en la Constitución, referente a la vida privada y los datos personales, el artículo 18 de la ley estableció como criterio de</w:t>
      </w:r>
      <w:r w:rsidRPr="00AB0024">
        <w:rPr>
          <w:rFonts w:ascii="Palatino Linotype" w:eastAsia="Palatino Linotype" w:hAnsi="Palatino Linotype" w:cs="Palatino Linotype"/>
          <w:i/>
          <w:color w:val="000000"/>
          <w:sz w:val="22"/>
          <w:szCs w:val="22"/>
        </w:rPr>
        <w:t xml:space="preserve"> </w:t>
      </w:r>
      <w:r w:rsidRPr="00AB0024">
        <w:rPr>
          <w:rFonts w:ascii="Palatino Linotype" w:eastAsia="Palatino Linotype" w:hAnsi="Palatino Linotype" w:cs="Palatino Linotype"/>
          <w:b/>
          <w:i/>
          <w:color w:val="000000"/>
          <w:sz w:val="22"/>
          <w:szCs w:val="22"/>
        </w:rPr>
        <w:t>clasificación el de información confidencial, el cual }restringe el acceso a la información que contenga datos personales que requieran el consentimiento de los individuos para su difusión, distribución o comercialización</w:t>
      </w:r>
      <w:r w:rsidRPr="00AB0024">
        <w:rPr>
          <w:rFonts w:ascii="Palatino Linotype" w:eastAsia="Palatino Linotype" w:hAnsi="Palatino Linotype" w:cs="Palatino Linotype"/>
          <w:i/>
          <w:color w:val="000000"/>
          <w:sz w:val="22"/>
          <w:szCs w:val="22"/>
        </w:rPr>
        <w:t xml:space="preserve">. Lo anterior también tiene un sustento constitucional en lo dispuesto en el segundo párrafo del artículo 16 constitucional, el cual reconoce que el derecho a la protección de datos personales -así como al acceso, rectificación y cancelación de los mismos- debe ser tutelado por regla general, salvo los casos excepcionales que se prevean en la legislación secundaria; así como en la fracción V, del apartado C, del artículo 20 constitucional, que protege la identidad y datos personales de las víctimas y ofendidos que sean parte en procedimientos penales. </w:t>
      </w:r>
      <w:r w:rsidRPr="00AB0024">
        <w:rPr>
          <w:rFonts w:ascii="Palatino Linotype" w:eastAsia="Palatino Linotype" w:hAnsi="Palatino Linotype" w:cs="Palatino Linotype"/>
          <w:b/>
          <w:i/>
          <w:color w:val="000000"/>
          <w:sz w:val="22"/>
          <w:szCs w:val="22"/>
        </w:rPr>
        <w:t xml:space="preserve">Así pues, existe un derecho de acceso a la información pública que rige como regla general, aunque limitado, en forma también genérica, por el derecho a la protección de datos personales. Por lo anterior, el acceso público -para todas las personas independientemente del interés que pudieren tener- a los datos personales distintos a los del propio solicitante de información sólo procede en ciertos supuestos, reconocidos expresamente por las leyes respectivas. Adicionalmente, la información confidencial puede dar lugar a la clasificación de un documento en su totalidad o de ciertas partes o pasajes del mismo, pues puede darse el caso de un documento público que sólo en </w:t>
      </w:r>
      <w:r w:rsidRPr="00AB0024">
        <w:rPr>
          <w:rFonts w:ascii="Palatino Linotype" w:eastAsia="Palatino Linotype" w:hAnsi="Palatino Linotype" w:cs="Palatino Linotype"/>
          <w:b/>
          <w:i/>
          <w:color w:val="000000"/>
          <w:sz w:val="22"/>
          <w:szCs w:val="22"/>
        </w:rPr>
        <w:lastRenderedPageBreak/>
        <w:t>una sección contenga datos confidenciales</w:t>
      </w:r>
      <w:r w:rsidRPr="00AB0024">
        <w:rPr>
          <w:rFonts w:ascii="Palatino Linotype" w:eastAsia="Palatino Linotype" w:hAnsi="Palatino Linotype" w:cs="Palatino Linotype"/>
          <w:i/>
          <w:color w:val="000000"/>
          <w:sz w:val="22"/>
          <w:szCs w:val="22"/>
        </w:rPr>
        <w:t>. Por último, y conforme a lo dispuesto en el artículo 21 de la ley, la restricción de acceso a la información confidencial no es absoluta, pues puede permitirse su difusión, distribución o comercialización si se obtiene el consentimiento expreso de la persona a que haga referencia la información.”</w:t>
      </w:r>
    </w:p>
    <w:p w:rsidR="001900DE" w:rsidRPr="00AB0024" w:rsidRDefault="00C85659" w:rsidP="001900DE">
      <w:pPr>
        <w:pBdr>
          <w:top w:val="nil"/>
          <w:left w:val="nil"/>
          <w:bottom w:val="nil"/>
          <w:right w:val="nil"/>
          <w:between w:val="nil"/>
        </w:pBdr>
        <w:spacing w:before="280" w:after="280"/>
        <w:ind w:left="567" w:right="158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(Énfasis añadido)</w:t>
      </w:r>
    </w:p>
    <w:p w:rsidR="001900DE" w:rsidRPr="00AB0024" w:rsidRDefault="001900DE" w:rsidP="001900DE">
      <w:pPr>
        <w:pBdr>
          <w:top w:val="nil"/>
          <w:left w:val="nil"/>
          <w:bottom w:val="nil"/>
          <w:right w:val="nil"/>
          <w:between w:val="nil"/>
        </w:pBdr>
        <w:spacing w:before="240" w:after="240" w:line="360" w:lineRule="auto"/>
        <w:ind w:right="49"/>
        <w:jc w:val="both"/>
        <w:rPr>
          <w:color w:val="000000"/>
        </w:rPr>
      </w:pPr>
      <w:r w:rsidRPr="00AB0024">
        <w:rPr>
          <w:rFonts w:ascii="Palatino Linotype" w:eastAsia="Palatino Linotype" w:hAnsi="Palatino Linotype" w:cs="Palatino Linotype"/>
          <w:color w:val="000000"/>
        </w:rPr>
        <w:t xml:space="preserve">Es por todo lo expuesto que este Instituto estima pertinente ordenar una búsqueda exhaustiva y razonable para efecto de entregar los documentos que den cuenta </w:t>
      </w:r>
      <w:r w:rsidRPr="00AB0024">
        <w:rPr>
          <w:rFonts w:ascii="Palatino Linotype" w:eastAsia="Palatino Linotype" w:hAnsi="Palatino Linotype" w:cs="Palatino Linotype"/>
        </w:rPr>
        <w:t>los documentos que den cuenta de la prestación del servicio de agua potable, drenaje y alcantarillado en el inmueble referido en la solicitud de información, vigentes o que obren en sus archivos al 15 de mayo de 2023</w:t>
      </w:r>
      <w:r w:rsidR="00B734BD" w:rsidRPr="00AB0024">
        <w:rPr>
          <w:rFonts w:ascii="Palatino Linotype" w:eastAsia="Palatino Linotype" w:hAnsi="Palatino Linotype" w:cs="Palatino Linotype"/>
        </w:rPr>
        <w:t xml:space="preserve"> sólo en el caso de que dicho servicio haya sido solicitado por el citado partido político</w:t>
      </w:r>
      <w:r w:rsidRPr="00AB0024">
        <w:rPr>
          <w:rFonts w:ascii="Palatino Linotype" w:eastAsia="Palatino Linotype" w:hAnsi="Palatino Linotype" w:cs="Palatino Linotype"/>
          <w:color w:val="000000"/>
        </w:rPr>
        <w:t>, de ser procedente en versión pública, en términos del siguiente considerando, sin embargo, para el caso en el  que no se llegaran a localizar la documentación, en virtud de que no se genera, posee o administra,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rsidR="001900DE" w:rsidRPr="00AB0024" w:rsidRDefault="001900DE" w:rsidP="001900DE">
      <w:pPr>
        <w:pBdr>
          <w:top w:val="nil"/>
          <w:left w:val="nil"/>
          <w:bottom w:val="nil"/>
          <w:right w:val="nil"/>
          <w:between w:val="nil"/>
        </w:pBdr>
        <w:spacing w:before="240" w:after="240"/>
        <w:ind w:left="860" w:right="900"/>
        <w:jc w:val="both"/>
        <w:rPr>
          <w:color w:val="000000"/>
        </w:rPr>
      </w:pPr>
      <w:r w:rsidRPr="00AB0024">
        <w:rPr>
          <w:rFonts w:ascii="Palatino Linotype" w:eastAsia="Palatino Linotype" w:hAnsi="Palatino Linotype" w:cs="Palatino Linotype"/>
          <w:i/>
          <w:color w:val="000000"/>
          <w:sz w:val="22"/>
          <w:szCs w:val="22"/>
        </w:rPr>
        <w:t>“</w:t>
      </w:r>
      <w:r w:rsidRPr="00AB0024">
        <w:rPr>
          <w:rFonts w:ascii="Palatino Linotype" w:eastAsia="Palatino Linotype" w:hAnsi="Palatino Linotype" w:cs="Palatino Linotype"/>
          <w:b/>
          <w:i/>
          <w:color w:val="000000"/>
          <w:sz w:val="22"/>
          <w:szCs w:val="22"/>
        </w:rPr>
        <w:t>Artículo 19</w:t>
      </w:r>
      <w:r w:rsidRPr="00AB0024">
        <w:rPr>
          <w:rFonts w:ascii="Palatino Linotype" w:eastAsia="Palatino Linotype" w:hAnsi="Palatino Linotype" w:cs="Palatino Linotype"/>
          <w:i/>
          <w:color w:val="000000"/>
          <w:sz w:val="22"/>
          <w:szCs w:val="22"/>
        </w:rPr>
        <w:t>…</w:t>
      </w:r>
    </w:p>
    <w:p w:rsidR="00A620F1" w:rsidRPr="00AB0024" w:rsidRDefault="001900DE" w:rsidP="001900DE">
      <w:pPr>
        <w:pBdr>
          <w:top w:val="nil"/>
          <w:left w:val="nil"/>
          <w:bottom w:val="nil"/>
          <w:right w:val="nil"/>
          <w:between w:val="nil"/>
        </w:pBdr>
        <w:spacing w:before="240" w:after="240"/>
        <w:ind w:left="860"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En los casos en que ciertas facultades, competencias o funciones no se hayan ejercido, se debe motivar la respuesta en función de las causas que motiven tal circunstancia.”</w:t>
      </w:r>
    </w:p>
    <w:p w:rsidR="00A620F1" w:rsidRPr="00AB0024" w:rsidRDefault="001900DE">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noProof/>
          <w:lang w:val="es-MX"/>
        </w:rPr>
        <mc:AlternateContent>
          <mc:Choice Requires="wps">
            <w:drawing>
              <wp:anchor distT="0" distB="0" distL="114300" distR="114300" simplePos="0" relativeHeight="251663360" behindDoc="0" locked="0" layoutInCell="1" hidden="0" allowOverlap="1">
                <wp:simplePos x="0" y="0"/>
                <wp:positionH relativeFrom="column">
                  <wp:posOffset>-205740</wp:posOffset>
                </wp:positionH>
                <wp:positionV relativeFrom="paragraph">
                  <wp:posOffset>19050</wp:posOffset>
                </wp:positionV>
                <wp:extent cx="5953125" cy="714375"/>
                <wp:effectExtent l="0" t="0" r="0" b="0"/>
                <wp:wrapNone/>
                <wp:docPr id="88" name="Rectángulo 88"/>
                <wp:cNvGraphicFramePr/>
                <a:graphic xmlns:a="http://schemas.openxmlformats.org/drawingml/2006/main">
                  <a:graphicData uri="http://schemas.microsoft.com/office/word/2010/wordprocessingShape">
                    <wps:wsp>
                      <wps:cNvSpPr/>
                      <wps:spPr>
                        <a:xfrm>
                          <a:off x="0" y="0"/>
                          <a:ext cx="5953125" cy="714375"/>
                        </a:xfrm>
                        <a:prstGeom prst="rect">
                          <a:avLst/>
                        </a:prstGeom>
                        <a:solidFill>
                          <a:srgbClr val="DDD9C3"/>
                        </a:solidFill>
                        <a:ln w="9525" cap="flat" cmpd="sng">
                          <a:solidFill>
                            <a:srgbClr val="000000"/>
                          </a:solidFill>
                          <a:prstDash val="solid"/>
                          <a:round/>
                          <a:headEnd type="none" w="sm" len="sm"/>
                          <a:tailEnd type="none" w="sm" len="sm"/>
                        </a:ln>
                      </wps:spPr>
                      <wps:txbx>
                        <w:txbxContent>
                          <w:p w:rsidR="00C20A80" w:rsidRDefault="00C20A80">
                            <w:pPr>
                              <w:jc w:val="both"/>
                              <w:textDirection w:val="btLr"/>
                            </w:pPr>
                            <w:r>
                              <w:rPr>
                                <w:rFonts w:ascii="Palatino Linotype" w:eastAsia="Palatino Linotype" w:hAnsi="Palatino Linotype" w:cs="Palatino Linotype"/>
                                <w:b/>
                                <w:color w:val="000000"/>
                                <w:sz w:val="22"/>
                              </w:rPr>
                              <w:t>5.- De la existencia o inexistencia de la documentación que acredite el funcionamiento legal del salón de fiestas o reuniones en el referido inmueble en su entrada lateral sobre la calle Miguel Hidalgo.</w:t>
                            </w:r>
                          </w:p>
                        </w:txbxContent>
                      </wps:txbx>
                      <wps:bodyPr spcFirstLastPara="1" wrap="square" lIns="91425" tIns="45700" rIns="91425" bIns="45700" anchor="t" anchorCtr="0">
                        <a:noAutofit/>
                      </wps:bodyPr>
                    </wps:wsp>
                  </a:graphicData>
                </a:graphic>
              </wp:anchor>
            </w:drawing>
          </mc:Choice>
          <mc:Fallback>
            <w:pict>
              <v:rect id="Rectángulo 88" o:spid="_x0000_s1030" style="position:absolute;left:0;text-align:left;margin-left:-16.2pt;margin-top:1.5pt;width:468.75pt;height:56.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" fillcolor="#ddd9c3">
                <v:stroke startarrowwidth="narrow" startarrowlength="short" endarrowwidth="narrow" endarrowlength="short" joinstyle="round"/>
                <v:textbox inset="2.53958mm,1.2694mm,2.53958mm,1.2694mm">
                  <w:txbxContent>
                    <w:p w:rsidR="00C20A80" w:rsidRDefault="00C20A80">
                      <w:pPr>
                        <w:jc w:val="both"/>
                        <w:textDirection w:val="btLr"/>
                      </w:pPr>
                      <w:r>
                        <w:rPr>
                          <w:rFonts w:ascii="Palatino Linotype" w:eastAsia="Palatino Linotype" w:hAnsi="Palatino Linotype" w:cs="Palatino Linotype"/>
                          <w:b/>
                          <w:color w:val="000000"/>
                          <w:sz w:val="22"/>
                        </w:rPr>
                        <w:t>5.- De la existencia o inexistencia de la documentación que acredite el funcionamiento legal del salón de fiestas o reuniones en el referido inmueble en su entrada lateral sobre la calle Miguel Hidalgo.</w:t>
                      </w:r>
                    </w:p>
                  </w:txbxContent>
                </v:textbox>
              </v:rect>
            </w:pict>
          </mc:Fallback>
        </mc:AlternateContent>
      </w:r>
    </w:p>
    <w:p w:rsidR="00A620F1" w:rsidRPr="00AB0024" w:rsidRDefault="00A620F1">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lastRenderedPageBreak/>
        <w:t xml:space="preserve">Por cuanto hace a este apartado, la Directora de Gobierno Municipal refirió lo siguiente: </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“De acuerdo a las verificaciones que se han realizado por parte de personal de esta dirección, no se encontraron indicios de que en este sitio esté operando o se encuentre en funcionamiento ese tipo de establecimiento, a lo que en función de esta solicitud de información declaro en mi carácter de directora de gobernación la inexistencia de documentación que acredite el funcionamiento legal del salón de fiestas o reuniones en el referido inmueble sobre la calle miguel hidalgo.”</w:t>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Circunstancia que derivó en la interposición del recurso de revisión que nos ocupa y en el cual, </w:t>
      </w:r>
      <w:r w:rsidRPr="00AB0024">
        <w:rPr>
          <w:rFonts w:ascii="Palatino Linotype" w:eastAsia="Palatino Linotype" w:hAnsi="Palatino Linotype" w:cs="Palatino Linotype"/>
          <w:b/>
          <w:color w:val="000000"/>
        </w:rPr>
        <w:t>la parte Recurrente</w:t>
      </w:r>
      <w:r w:rsidRPr="00AB0024">
        <w:rPr>
          <w:rFonts w:ascii="Palatino Linotype" w:eastAsia="Palatino Linotype" w:hAnsi="Palatino Linotype" w:cs="Palatino Linotype"/>
          <w:color w:val="000000"/>
        </w:rPr>
        <w:t xml:space="preserve"> señaló lo siguiente: </w:t>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noProof/>
          <w:color w:val="000000"/>
          <w:lang w:val="es-MX"/>
        </w:rPr>
        <w:lastRenderedPageBreak/>
        <w:drawing>
          <wp:inline distT="0" distB="0" distL="0" distR="0">
            <wp:extent cx="5612130" cy="5230495"/>
            <wp:effectExtent l="0" t="0" r="0" b="0"/>
            <wp:docPr id="10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5612130" cy="5230495"/>
                    </a:xfrm>
                    <a:prstGeom prst="rect">
                      <a:avLst/>
                    </a:prstGeom>
                    <a:ln/>
                  </pic:spPr>
                </pic:pic>
              </a:graphicData>
            </a:graphic>
          </wp:inline>
        </w:drawing>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Derivado de la admisión del recurso de revisión, el </w:t>
      </w:r>
      <w:r w:rsidRPr="00AB0024">
        <w:rPr>
          <w:rFonts w:ascii="Palatino Linotype" w:eastAsia="Palatino Linotype" w:hAnsi="Palatino Linotype" w:cs="Palatino Linotype"/>
          <w:b/>
          <w:color w:val="000000"/>
        </w:rPr>
        <w:t>Sujeto Obligado</w:t>
      </w:r>
      <w:r w:rsidRPr="00AB0024">
        <w:rPr>
          <w:rFonts w:ascii="Palatino Linotype" w:eastAsia="Palatino Linotype" w:hAnsi="Palatino Linotype" w:cs="Palatino Linotype"/>
          <w:color w:val="000000"/>
        </w:rPr>
        <w:t xml:space="preserve"> por conducto del Secretario del Ayuntamiento y Directora de Desarrollo Económico, formularon los siguientes pronunciamientos en la etapa del informe justificado:</w:t>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color w:val="000000"/>
        </w:rPr>
      </w:pPr>
      <w:r w:rsidRPr="00AB0024">
        <w:rPr>
          <w:rFonts w:ascii="Palatino Linotype" w:eastAsia="Palatino Linotype" w:hAnsi="Palatino Linotype" w:cs="Palatino Linotype"/>
          <w:color w:val="000000"/>
        </w:rPr>
        <w:t xml:space="preserve"> </w:t>
      </w:r>
      <w:r w:rsidRPr="00AB0024">
        <w:rPr>
          <w:rFonts w:ascii="Palatino Linotype" w:eastAsia="Palatino Linotype" w:hAnsi="Palatino Linotype" w:cs="Palatino Linotype"/>
          <w:b/>
          <w:color w:val="000000"/>
        </w:rPr>
        <w:t>Secretario del Ayuntamiento:</w:t>
      </w:r>
    </w:p>
    <w:p w:rsidR="00A620F1" w:rsidRPr="00AB0024" w:rsidRDefault="00C85659">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 xml:space="preserve">“En uso de las facultades que me confiere el artículo 91 de la Ley Orgánica Municipal del Estado de México vigente, me permito hacerle de su conocimiento que una vez </w:t>
      </w:r>
      <w:r w:rsidRPr="00AB0024">
        <w:rPr>
          <w:rFonts w:ascii="Palatino Linotype" w:eastAsia="Palatino Linotype" w:hAnsi="Palatino Linotype" w:cs="Palatino Linotype"/>
          <w:i/>
          <w:color w:val="000000"/>
          <w:sz w:val="22"/>
          <w:szCs w:val="22"/>
        </w:rPr>
        <w:lastRenderedPageBreak/>
        <w:t>realizada la búsqueda minuciosa y exhaustiva en los archivos físicos que se encuentran dentro de esta secretaria, le informo a usted que no se ha encontrado ningún registro o información sobre lo antes referido.”</w:t>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color w:val="000000"/>
        </w:rPr>
      </w:pPr>
      <w:r w:rsidRPr="00AB0024">
        <w:rPr>
          <w:rFonts w:ascii="Palatino Linotype" w:eastAsia="Palatino Linotype" w:hAnsi="Palatino Linotype" w:cs="Palatino Linotype"/>
          <w:b/>
          <w:color w:val="000000"/>
        </w:rPr>
        <w:t>Directora de Desarrollo Económico:</w:t>
      </w:r>
      <w:r w:rsidRPr="00AB0024">
        <w:rPr>
          <w:noProof/>
          <w:lang w:val="es-MX"/>
        </w:rPr>
        <w:drawing>
          <wp:anchor distT="0" distB="0" distL="114300" distR="114300" simplePos="0" relativeHeight="251664384" behindDoc="0" locked="0" layoutInCell="1" hidden="0" allowOverlap="1">
            <wp:simplePos x="0" y="0"/>
            <wp:positionH relativeFrom="column">
              <wp:posOffset>-41908</wp:posOffset>
            </wp:positionH>
            <wp:positionV relativeFrom="paragraph">
              <wp:posOffset>319405</wp:posOffset>
            </wp:positionV>
            <wp:extent cx="5350587" cy="1885950"/>
            <wp:effectExtent l="0" t="0" r="0" b="0"/>
            <wp:wrapTopAndBottom distT="0" distB="0"/>
            <wp:docPr id="9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350587" cy="1885950"/>
                    </a:xfrm>
                    <a:prstGeom prst="rect">
                      <a:avLst/>
                    </a:prstGeom>
                    <a:ln/>
                  </pic:spPr>
                </pic:pic>
              </a:graphicData>
            </a:graphic>
          </wp:anchor>
        </w:drawing>
      </w:r>
    </w:p>
    <w:p w:rsidR="00A620F1" w:rsidRPr="00AB0024" w:rsidRDefault="00C856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De conformidad con lo referido por el </w:t>
      </w:r>
      <w:r w:rsidRPr="00AB0024">
        <w:rPr>
          <w:rFonts w:ascii="Palatino Linotype" w:eastAsia="Palatino Linotype" w:hAnsi="Palatino Linotype" w:cs="Palatino Linotype"/>
          <w:b/>
          <w:color w:val="000000"/>
        </w:rPr>
        <w:t>Sujeto Obligado</w:t>
      </w:r>
      <w:r w:rsidRPr="00AB0024">
        <w:rPr>
          <w:rFonts w:ascii="Palatino Linotype" w:eastAsia="Palatino Linotype" w:hAnsi="Palatino Linotype" w:cs="Palatino Linotype"/>
          <w:color w:val="000000"/>
        </w:rPr>
        <w:t xml:space="preserve"> en el portal de Información Pública Mexiquense (IPOMEX),  las unidades administrativas que se pronunciaron, cuentan con las siguientes atribuciones: </w:t>
      </w:r>
    </w:p>
    <w:p w:rsidR="00A620F1" w:rsidRPr="00AB0024" w:rsidRDefault="00C85659">
      <w:pPr>
        <w:spacing w:before="240" w:after="240" w:line="360" w:lineRule="auto"/>
        <w:ind w:right="49"/>
        <w:jc w:val="both"/>
        <w:rPr>
          <w:rFonts w:ascii="Palatino Linotype" w:eastAsia="Palatino Linotype" w:hAnsi="Palatino Linotype" w:cs="Palatino Linotype"/>
          <w:b/>
          <w:color w:val="000000"/>
        </w:rPr>
      </w:pPr>
      <w:r w:rsidRPr="00AB0024">
        <w:rPr>
          <w:rFonts w:ascii="Palatino Linotype" w:eastAsia="Palatino Linotype" w:hAnsi="Palatino Linotype" w:cs="Palatino Linotype"/>
          <w:b/>
          <w:color w:val="000000"/>
        </w:rPr>
        <w:t>Dirección de Gobierno Municipal:</w:t>
      </w:r>
    </w:p>
    <w:p w:rsidR="00A620F1" w:rsidRPr="00AB0024" w:rsidRDefault="00C85659">
      <w:pP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“El titular de la Dirección de Gobierno tiene las siguientes atribuciones y responsabilidades:</w:t>
      </w:r>
    </w:p>
    <w:p w:rsidR="00A620F1" w:rsidRPr="00AB0024" w:rsidRDefault="00C85659">
      <w:pP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w:t>
      </w:r>
    </w:p>
    <w:p w:rsidR="00A620F1" w:rsidRPr="00AB0024" w:rsidRDefault="00C85659">
      <w:pP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b/>
          <w:i/>
          <w:color w:val="000000"/>
          <w:sz w:val="22"/>
          <w:szCs w:val="22"/>
          <w:u w:val="single"/>
        </w:rPr>
        <w:t xml:space="preserve">XIII. Ordenar y ejecutar la verificación in situ del cumplimiento de la normatividad aplicable a las unidades económicas;” </w:t>
      </w:r>
      <w:r w:rsidRPr="00AB0024">
        <w:rPr>
          <w:rFonts w:ascii="Palatino Linotype" w:eastAsia="Palatino Linotype" w:hAnsi="Palatino Linotype" w:cs="Palatino Linotype"/>
          <w:i/>
          <w:color w:val="000000"/>
          <w:sz w:val="22"/>
          <w:szCs w:val="22"/>
        </w:rPr>
        <w:t>(Énfasis añadido)</w:t>
      </w:r>
    </w:p>
    <w:p w:rsidR="00A620F1" w:rsidRPr="00AB0024" w:rsidRDefault="00C85659">
      <w:pPr>
        <w:spacing w:before="240" w:after="240" w:line="276" w:lineRule="auto"/>
        <w:ind w:right="900"/>
        <w:jc w:val="both"/>
        <w:rPr>
          <w:rFonts w:ascii="Palatino Linotype" w:eastAsia="Palatino Linotype" w:hAnsi="Palatino Linotype" w:cs="Palatino Linotype"/>
          <w:b/>
          <w:color w:val="000000"/>
        </w:rPr>
      </w:pPr>
      <w:r w:rsidRPr="00AB0024">
        <w:rPr>
          <w:rFonts w:ascii="Palatino Linotype" w:eastAsia="Palatino Linotype" w:hAnsi="Palatino Linotype" w:cs="Palatino Linotype"/>
          <w:b/>
          <w:color w:val="000000"/>
        </w:rPr>
        <w:t xml:space="preserve">Directora de Desarrollo Económico: </w:t>
      </w:r>
    </w:p>
    <w:p w:rsidR="00A620F1" w:rsidRPr="00AB0024" w:rsidRDefault="00C85659">
      <w:pPr>
        <w:spacing w:before="240" w:after="240" w:line="276" w:lineRule="auto"/>
        <w:ind w:left="567" w:right="900"/>
        <w:jc w:val="both"/>
        <w:rPr>
          <w:rFonts w:ascii="Palatino Linotype" w:eastAsia="Palatino Linotype" w:hAnsi="Palatino Linotype" w:cs="Palatino Linotype"/>
          <w:b/>
          <w:color w:val="000000"/>
          <w:sz w:val="22"/>
          <w:szCs w:val="22"/>
        </w:rPr>
      </w:pPr>
      <w:r w:rsidRPr="00AB0024">
        <w:rPr>
          <w:rFonts w:ascii="Palatino Linotype" w:eastAsia="Palatino Linotype" w:hAnsi="Palatino Linotype" w:cs="Palatino Linotype"/>
          <w:b/>
          <w:color w:val="000000"/>
          <w:sz w:val="22"/>
          <w:szCs w:val="22"/>
        </w:rPr>
        <w:t>Ley Orgánica Municipal del Estado de México</w:t>
      </w:r>
    </w:p>
    <w:p w:rsidR="00A620F1" w:rsidRPr="00AB0024" w:rsidRDefault="00C85659">
      <w:pPr>
        <w:spacing w:before="240" w:after="240" w:line="276" w:lineRule="auto"/>
        <w:ind w:left="567" w:right="900"/>
        <w:jc w:val="both"/>
        <w:rPr>
          <w:rFonts w:ascii="Palatino Linotype" w:eastAsia="Palatino Linotype" w:hAnsi="Palatino Linotype" w:cs="Palatino Linotype"/>
          <w:b/>
          <w:color w:val="000000"/>
          <w:sz w:val="22"/>
          <w:szCs w:val="22"/>
        </w:rPr>
      </w:pPr>
      <w:r w:rsidRPr="00AB0024">
        <w:rPr>
          <w:rFonts w:ascii="Palatino Linotype" w:eastAsia="Palatino Linotype" w:hAnsi="Palatino Linotype" w:cs="Palatino Linotype"/>
          <w:b/>
          <w:color w:val="000000"/>
          <w:sz w:val="22"/>
          <w:szCs w:val="22"/>
        </w:rPr>
        <w:t xml:space="preserve">Articulo 96 </w:t>
      </w:r>
      <w:proofErr w:type="spellStart"/>
      <w:r w:rsidRPr="00AB0024">
        <w:rPr>
          <w:rFonts w:ascii="Palatino Linotype" w:eastAsia="Palatino Linotype" w:hAnsi="Palatino Linotype" w:cs="Palatino Linotype"/>
          <w:b/>
          <w:color w:val="000000"/>
          <w:sz w:val="22"/>
          <w:szCs w:val="22"/>
        </w:rPr>
        <w:t>Quater</w:t>
      </w:r>
      <w:proofErr w:type="spellEnd"/>
      <w:r w:rsidRPr="00AB0024">
        <w:rPr>
          <w:rFonts w:ascii="Palatino Linotype" w:eastAsia="Palatino Linotype" w:hAnsi="Palatino Linotype" w:cs="Palatino Linotype"/>
          <w:b/>
          <w:color w:val="000000"/>
          <w:sz w:val="22"/>
          <w:szCs w:val="22"/>
        </w:rPr>
        <w:t>:</w:t>
      </w:r>
    </w:p>
    <w:p w:rsidR="00A620F1" w:rsidRPr="00AB0024" w:rsidRDefault="00C85659">
      <w:pP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lastRenderedPageBreak/>
        <w:t>XIX. Operar y actualizar el Registro Municipal de Unidades Económicas de los permisos o licencias de funcionamiento otorgadas a las unidades económicas respectivas, así como remitir dentro de los cinco días hábiles siguientes los datos generados al Sistema que al efecto integre la Secretaría de Desarrollo Económico, a la Secretaría de Seguridad Ciudadana y a la Procuraduría General de Justicia del Estado de México, la información respectiva</w:t>
      </w:r>
    </w:p>
    <w:p w:rsidR="00A620F1" w:rsidRPr="00AB0024" w:rsidRDefault="00C85659">
      <w:pPr>
        <w:spacing w:before="240" w:after="240" w:line="276" w:lineRule="auto"/>
        <w:ind w:left="567" w:right="900"/>
        <w:jc w:val="both"/>
        <w:rPr>
          <w:rFonts w:ascii="Palatino Linotype" w:eastAsia="Palatino Linotype" w:hAnsi="Palatino Linotype" w:cs="Palatino Linotype"/>
          <w:b/>
          <w:color w:val="000000"/>
          <w:sz w:val="22"/>
          <w:szCs w:val="22"/>
        </w:rPr>
      </w:pPr>
      <w:r w:rsidRPr="00AB0024">
        <w:rPr>
          <w:rFonts w:ascii="Palatino Linotype" w:eastAsia="Palatino Linotype" w:hAnsi="Palatino Linotype" w:cs="Palatino Linotype"/>
          <w:b/>
          <w:color w:val="000000"/>
          <w:sz w:val="22"/>
          <w:szCs w:val="22"/>
        </w:rPr>
        <w:t>Bando Municipal 2023:</w:t>
      </w:r>
    </w:p>
    <w:p w:rsidR="00A620F1" w:rsidRPr="00AB0024" w:rsidRDefault="00C85659">
      <w:pP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w:t>
      </w:r>
      <w:r w:rsidRPr="00AB0024">
        <w:rPr>
          <w:rFonts w:ascii="Palatino Linotype" w:eastAsia="Palatino Linotype" w:hAnsi="Palatino Linotype" w:cs="Palatino Linotype"/>
          <w:b/>
          <w:i/>
          <w:color w:val="000000"/>
          <w:sz w:val="22"/>
          <w:szCs w:val="22"/>
        </w:rPr>
        <w:t xml:space="preserve">Artículo 187.- En congruencia con las disposiciones contenidas en el Plan de Desarrollo Municipal de </w:t>
      </w:r>
      <w:proofErr w:type="spellStart"/>
      <w:r w:rsidRPr="00AB0024">
        <w:rPr>
          <w:rFonts w:ascii="Palatino Linotype" w:eastAsia="Palatino Linotype" w:hAnsi="Palatino Linotype" w:cs="Palatino Linotype"/>
          <w:b/>
          <w:i/>
          <w:color w:val="000000"/>
          <w:sz w:val="22"/>
          <w:szCs w:val="22"/>
        </w:rPr>
        <w:t>Amanalco</w:t>
      </w:r>
      <w:proofErr w:type="spellEnd"/>
      <w:r w:rsidRPr="00AB0024">
        <w:rPr>
          <w:rFonts w:ascii="Palatino Linotype" w:eastAsia="Palatino Linotype" w:hAnsi="Palatino Linotype" w:cs="Palatino Linotype"/>
          <w:b/>
          <w:i/>
          <w:color w:val="000000"/>
          <w:sz w:val="22"/>
          <w:szCs w:val="22"/>
        </w:rPr>
        <w:t>, el Ayuntamiento a través de la Dirección de Desarrollo Económico otorgará las licencias, autorizaciones o permisos de funcionamiento de los establecimientos comerciales</w:t>
      </w:r>
      <w:r w:rsidRPr="00AB0024">
        <w:rPr>
          <w:rFonts w:ascii="Palatino Linotype" w:eastAsia="Palatino Linotype" w:hAnsi="Palatino Linotype" w:cs="Palatino Linotype"/>
          <w:i/>
          <w:color w:val="000000"/>
          <w:sz w:val="22"/>
          <w:szCs w:val="22"/>
        </w:rPr>
        <w:t>, industriales y de servicios de bajo impacto y de nueva apertura, sólo en aquellas zonas donde lo permita el uso del suelo. Dicho permiso tendrá una vigencia anual y una vez culminado el periodo de vigencia, deberá ser renovado ante la Dirección de Gobierno Municipal, cumpliendo con el pago correspondiente de acuerdo al Código Financiero del Estado de México y Municipios.”</w:t>
      </w:r>
      <w:r w:rsidRPr="00AB0024">
        <w:rPr>
          <w:rFonts w:ascii="Palatino Linotype" w:eastAsia="Palatino Linotype" w:hAnsi="Palatino Linotype" w:cs="Palatino Linotype"/>
          <w:color w:val="000000"/>
          <w:sz w:val="22"/>
          <w:szCs w:val="22"/>
        </w:rPr>
        <w:t xml:space="preserve"> (</w:t>
      </w:r>
      <w:r w:rsidRPr="00AB0024">
        <w:rPr>
          <w:rFonts w:ascii="Palatino Linotype" w:eastAsia="Palatino Linotype" w:hAnsi="Palatino Linotype" w:cs="Palatino Linotype"/>
          <w:i/>
          <w:color w:val="000000"/>
          <w:sz w:val="22"/>
          <w:szCs w:val="22"/>
        </w:rPr>
        <w:t>Énfasis añadido)</w:t>
      </w:r>
    </w:p>
    <w:p w:rsidR="00A620F1" w:rsidRPr="00AB0024" w:rsidRDefault="00C85659">
      <w:pPr>
        <w:spacing w:before="240" w:after="240" w:line="276" w:lineRule="auto"/>
        <w:ind w:right="900"/>
        <w:jc w:val="both"/>
        <w:rPr>
          <w:rFonts w:ascii="Palatino Linotype" w:eastAsia="Palatino Linotype" w:hAnsi="Palatino Linotype" w:cs="Palatino Linotype"/>
          <w:b/>
          <w:color w:val="000000"/>
        </w:rPr>
      </w:pPr>
      <w:r w:rsidRPr="00AB0024">
        <w:rPr>
          <w:rFonts w:ascii="Palatino Linotype" w:eastAsia="Palatino Linotype" w:hAnsi="Palatino Linotype" w:cs="Palatino Linotype"/>
          <w:b/>
          <w:color w:val="000000"/>
        </w:rPr>
        <w:t xml:space="preserve">Secretario del Ayuntamiento: </w:t>
      </w:r>
    </w:p>
    <w:p w:rsidR="00A620F1" w:rsidRPr="00AB0024" w:rsidRDefault="00C85659">
      <w:pP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w:t>
      </w:r>
      <w:r w:rsidRPr="00AB0024">
        <w:rPr>
          <w:rFonts w:ascii="Palatino Linotype" w:eastAsia="Palatino Linotype" w:hAnsi="Palatino Linotype" w:cs="Palatino Linotype"/>
          <w:color w:val="000000"/>
          <w:sz w:val="22"/>
          <w:szCs w:val="22"/>
        </w:rPr>
        <w:t xml:space="preserve"> </w:t>
      </w:r>
      <w:r w:rsidRPr="00AB0024">
        <w:rPr>
          <w:rFonts w:ascii="Palatino Linotype" w:eastAsia="Palatino Linotype" w:hAnsi="Palatino Linotype" w:cs="Palatino Linotype"/>
          <w:i/>
          <w:color w:val="000000"/>
          <w:sz w:val="22"/>
          <w:szCs w:val="22"/>
        </w:rPr>
        <w:t>Ayuntamiento y sus atribuciones son las siguientes:</w:t>
      </w:r>
      <w:r w:rsidRPr="00AB0024">
        <w:rPr>
          <w:rFonts w:ascii="Palatino Linotype" w:eastAsia="Palatino Linotype" w:hAnsi="Palatino Linotype" w:cs="Palatino Linotype"/>
          <w:i/>
          <w:color w:val="000000"/>
          <w:sz w:val="22"/>
          <w:szCs w:val="22"/>
        </w:rPr>
        <w:br/>
        <w:t>…</w:t>
      </w:r>
    </w:p>
    <w:p w:rsidR="00A620F1" w:rsidRPr="00AB0024" w:rsidRDefault="00C85659">
      <w:pPr>
        <w:spacing w:before="240" w:after="240"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rsidR="00A620F1" w:rsidRPr="00AB0024" w:rsidRDefault="00C8565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Por consiguiente toda vez que obra un pronunciamiento por parte de las servidoras públicas habilitadas competentes, siendo estas la Dirección de Gobierno Municipal </w:t>
      </w:r>
      <w:r w:rsidRPr="00AB0024">
        <w:rPr>
          <w:rFonts w:ascii="Palatino Linotype" w:eastAsia="Palatino Linotype" w:hAnsi="Palatino Linotype" w:cs="Palatino Linotype"/>
          <w:color w:val="000000"/>
        </w:rPr>
        <w:lastRenderedPageBreak/>
        <w:t xml:space="preserve">y la Dirección de Desarrollo Económico, en el sentido de que no posee, administra ni genera la información requerida por el particular, constituye un hecho negativo; entonces, si se considera el hecho negativo, es obvio que éste no puede fácticamente obrar en los archivos del </w:t>
      </w:r>
      <w:r w:rsidRPr="00AB0024">
        <w:rPr>
          <w:rFonts w:ascii="Palatino Linotype" w:eastAsia="Palatino Linotype" w:hAnsi="Palatino Linotype" w:cs="Palatino Linotype"/>
          <w:b/>
          <w:color w:val="000000"/>
        </w:rPr>
        <w:t>Sujeto Obligado</w:t>
      </w:r>
      <w:r w:rsidRPr="00AB0024">
        <w:rPr>
          <w:rFonts w:ascii="Palatino Linotype" w:eastAsia="Palatino Linotype" w:hAnsi="Palatino Linotype" w:cs="Palatino Linotype"/>
          <w:color w:val="000000"/>
        </w:rPr>
        <w:t>, ya que no puede probarse por ser lógica y materialmente imposible.</w:t>
      </w:r>
    </w:p>
    <w:p w:rsidR="00BD47AC" w:rsidRPr="00AB0024" w:rsidRDefault="00BD47A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Es de gran importancia hacer del conocimiento de </w:t>
      </w:r>
      <w:r w:rsidRPr="00AB0024">
        <w:rPr>
          <w:rFonts w:ascii="Palatino Linotype" w:eastAsia="Palatino Linotype" w:hAnsi="Palatino Linotype" w:cs="Palatino Linotype"/>
          <w:b/>
          <w:color w:val="000000"/>
        </w:rPr>
        <w:t>la parte Recurrente</w:t>
      </w:r>
      <w:r w:rsidRPr="00AB0024">
        <w:rPr>
          <w:rFonts w:ascii="Palatino Linotype" w:eastAsia="Palatino Linotype" w:hAnsi="Palatino Linotype" w:cs="Palatino Linotype"/>
          <w:color w:val="000000"/>
        </w:rPr>
        <w:t xml:space="preserve"> que al ser el salón de fiestas una actividad de bajo riesgo conforme al Catálogo Mexiquense de Actividades Industriales, Comerciales y de Servicios de Bajo Riesgo, le corresponde la tramitación de la licencia de funcionamiento de bajo riesgo, trámite que inicia forzosamente a instancia de parte, en virtud de que son las personas físicas o jurídico colectivas quienes presentan los documentos para la emisión por parte de l</w:t>
      </w:r>
      <w:r w:rsidR="006A56AF" w:rsidRPr="00AB0024">
        <w:rPr>
          <w:rFonts w:ascii="Palatino Linotype" w:eastAsia="Palatino Linotype" w:hAnsi="Palatino Linotype" w:cs="Palatino Linotype"/>
          <w:color w:val="000000"/>
        </w:rPr>
        <w:t>a autoridad.</w:t>
      </w:r>
    </w:p>
    <w:p w:rsidR="00A620F1" w:rsidRPr="00AB0024" w:rsidRDefault="00BD47A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Es por ello que al existir una manifestación en sentido negativo por parte del </w:t>
      </w:r>
      <w:r w:rsidRPr="00AB0024">
        <w:rPr>
          <w:rFonts w:ascii="Palatino Linotype" w:eastAsia="Palatino Linotype" w:hAnsi="Palatino Linotype" w:cs="Palatino Linotype"/>
          <w:b/>
          <w:color w:val="000000"/>
        </w:rPr>
        <w:t>Sujeto Obligado</w:t>
      </w:r>
      <w:r w:rsidRPr="00AB0024">
        <w:rPr>
          <w:rFonts w:ascii="Palatino Linotype" w:eastAsia="Palatino Linotype" w:hAnsi="Palatino Linotype" w:cs="Palatino Linotype"/>
          <w:color w:val="000000"/>
        </w:rPr>
        <w:t>, al referir que dicha licencia de funcionamiento no obra en sus archivos, se tiene que no nos encontramos en un caso en el que  la negación del hecho implica</w:t>
      </w:r>
      <w:r w:rsidR="00C85659" w:rsidRPr="00AB0024">
        <w:rPr>
          <w:rFonts w:ascii="Palatino Linotype" w:eastAsia="Palatino Linotype" w:hAnsi="Palatino Linotype" w:cs="Palatino Linotype"/>
          <w:color w:val="000000"/>
        </w:rPr>
        <w:t xml:space="preserve"> la afirmación del mismo, </w:t>
      </w:r>
      <w:r w:rsidRPr="00AB0024">
        <w:rPr>
          <w:rFonts w:ascii="Palatino Linotype" w:eastAsia="Palatino Linotype" w:hAnsi="Palatino Linotype" w:cs="Palatino Linotype"/>
          <w:color w:val="000000"/>
        </w:rPr>
        <w:t xml:space="preserve">pues se reitera que </w:t>
      </w:r>
      <w:r w:rsidR="00C85659" w:rsidRPr="00AB0024">
        <w:rPr>
          <w:rFonts w:ascii="Palatino Linotype" w:eastAsia="Palatino Linotype" w:hAnsi="Palatino Linotype" w:cs="Palatino Linotype"/>
          <w:color w:val="000000"/>
        </w:rPr>
        <w:t>simplemente se está ante una notoria y evidente inexistencia fáctica de la información solicitada</w:t>
      </w:r>
      <w:r w:rsidRPr="00AB0024">
        <w:rPr>
          <w:rFonts w:ascii="Palatino Linotype" w:eastAsia="Palatino Linotype" w:hAnsi="Palatino Linotype" w:cs="Palatino Linotype"/>
          <w:color w:val="000000"/>
        </w:rPr>
        <w:t xml:space="preserve"> debido a que este trámite no se realizó por la persona interesada</w:t>
      </w:r>
      <w:r w:rsidR="00C85659" w:rsidRPr="00AB0024">
        <w:rPr>
          <w:rFonts w:ascii="Palatino Linotype" w:eastAsia="Palatino Linotype" w:hAnsi="Palatino Linotype" w:cs="Palatino Linotype"/>
          <w:color w:val="000000"/>
        </w:rPr>
        <w:t>.</w:t>
      </w:r>
    </w:p>
    <w:p w:rsidR="00A620F1" w:rsidRPr="00AB0024" w:rsidRDefault="00C85659">
      <w:pPr>
        <w:pBdr>
          <w:top w:val="nil"/>
          <w:left w:val="nil"/>
          <w:bottom w:val="nil"/>
          <w:right w:val="nil"/>
          <w:between w:val="nil"/>
        </w:pBdr>
        <w:spacing w:before="240" w:after="240" w:line="360" w:lineRule="auto"/>
        <w:jc w:val="both"/>
        <w:rPr>
          <w:color w:val="000000"/>
          <w:sz w:val="28"/>
          <w:szCs w:val="28"/>
        </w:rPr>
      </w:pPr>
      <w:r w:rsidRPr="00AB0024">
        <w:rPr>
          <w:rFonts w:ascii="Palatino Linotype" w:eastAsia="Palatino Linotype" w:hAnsi="Palatino Linotype" w:cs="Palatino Linotype"/>
          <w:color w:val="000000"/>
        </w:rPr>
        <w:t xml:space="preserve">Encontrándonos </w:t>
      </w:r>
      <w:r w:rsidR="001414DD" w:rsidRPr="00AB0024">
        <w:rPr>
          <w:rFonts w:ascii="Palatino Linotype" w:eastAsia="Palatino Linotype" w:hAnsi="Palatino Linotype" w:cs="Palatino Linotype"/>
          <w:color w:val="000000"/>
        </w:rPr>
        <w:t xml:space="preserve">así </w:t>
      </w:r>
      <w:r w:rsidRPr="00AB0024">
        <w:rPr>
          <w:rFonts w:ascii="Palatino Linotype" w:eastAsia="Palatino Linotype" w:hAnsi="Palatino Linotype" w:cs="Palatino Linotype"/>
          <w:color w:val="000000"/>
        </w:rPr>
        <w:t xml:space="preserve">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w:t>
      </w:r>
      <w:r w:rsidRPr="00AB0024">
        <w:rPr>
          <w:rFonts w:ascii="Palatino Linotype" w:eastAsia="Palatino Linotype" w:hAnsi="Palatino Linotype" w:cs="Palatino Linotype"/>
          <w:color w:val="000000"/>
        </w:rPr>
        <w:lastRenderedPageBreak/>
        <w:t>de México y Municipios, y ante una hecho negativo resulta aplicable la siguiente tesis:</w:t>
      </w:r>
    </w:p>
    <w:p w:rsidR="00A620F1" w:rsidRPr="00AB0024" w:rsidRDefault="00C85659">
      <w:pPr>
        <w:pBdr>
          <w:top w:val="nil"/>
          <w:left w:val="nil"/>
          <w:bottom w:val="nil"/>
          <w:right w:val="nil"/>
          <w:between w:val="nil"/>
        </w:pBdr>
        <w:ind w:left="860" w:right="560"/>
        <w:jc w:val="both"/>
        <w:rPr>
          <w:color w:val="000000"/>
        </w:rPr>
      </w:pPr>
      <w:r w:rsidRPr="00AB0024">
        <w:rPr>
          <w:rFonts w:ascii="Palatino Linotype" w:eastAsia="Palatino Linotype" w:hAnsi="Palatino Linotype" w:cs="Palatino Linotype"/>
          <w:b/>
          <w:i/>
          <w:color w:val="000000"/>
          <w:sz w:val="22"/>
          <w:szCs w:val="22"/>
        </w:rPr>
        <w:t>HECHOS NEGATIVOS, NO SON SUSCEPTIBLES DE DEMOSTRACIÓN.</w:t>
      </w:r>
    </w:p>
    <w:p w:rsidR="00A620F1" w:rsidRPr="00AB0024" w:rsidRDefault="00C85659">
      <w:pPr>
        <w:pBdr>
          <w:top w:val="nil"/>
          <w:left w:val="nil"/>
          <w:bottom w:val="nil"/>
          <w:right w:val="nil"/>
          <w:between w:val="nil"/>
        </w:pBdr>
        <w:ind w:left="860" w:right="560"/>
        <w:jc w:val="both"/>
        <w:rPr>
          <w:color w:val="000000"/>
        </w:rPr>
      </w:pPr>
      <w:r w:rsidRPr="00AB0024">
        <w:rPr>
          <w:rFonts w:ascii="Palatino Linotype" w:eastAsia="Palatino Linotype" w:hAnsi="Palatino Linotype" w:cs="Palatino Linotype"/>
          <w:i/>
          <w:color w:val="000000"/>
          <w:sz w:val="22"/>
          <w:szCs w:val="22"/>
        </w:rPr>
        <w:t xml:space="preserve">Tratándose de un hecho negativo, el Juez no tiene </w:t>
      </w:r>
      <w:proofErr w:type="spellStart"/>
      <w:r w:rsidRPr="00AB0024">
        <w:rPr>
          <w:rFonts w:ascii="Palatino Linotype" w:eastAsia="Palatino Linotype" w:hAnsi="Palatino Linotype" w:cs="Palatino Linotype"/>
          <w:i/>
          <w:color w:val="000000"/>
          <w:sz w:val="22"/>
          <w:szCs w:val="22"/>
        </w:rPr>
        <w:t>por que</w:t>
      </w:r>
      <w:proofErr w:type="spellEnd"/>
      <w:r w:rsidRPr="00AB0024">
        <w:rPr>
          <w:rFonts w:ascii="Palatino Linotype" w:eastAsia="Palatino Linotype" w:hAnsi="Palatino Linotype" w:cs="Palatino Linotype"/>
          <w:i/>
          <w:color w:val="000000"/>
          <w:sz w:val="22"/>
          <w:szCs w:val="22"/>
        </w:rPr>
        <w:t xml:space="preserve"> invocar prueba alguna de la que se desprenda, ya que es bien sabido que esta clase de hechos no son susceptibles de demostración.</w:t>
      </w:r>
    </w:p>
    <w:p w:rsidR="00A620F1" w:rsidRPr="00AB0024" w:rsidRDefault="00C85659">
      <w:pPr>
        <w:pBdr>
          <w:top w:val="nil"/>
          <w:left w:val="nil"/>
          <w:bottom w:val="nil"/>
          <w:right w:val="nil"/>
          <w:between w:val="nil"/>
        </w:pBdr>
        <w:ind w:left="860" w:right="560"/>
        <w:jc w:val="both"/>
        <w:rPr>
          <w:color w:val="000000"/>
        </w:rPr>
      </w:pPr>
      <w:r w:rsidRPr="00AB0024">
        <w:rPr>
          <w:rFonts w:ascii="Palatino Linotype" w:eastAsia="Palatino Linotype" w:hAnsi="Palatino Linotype" w:cs="Palatino Linotype"/>
          <w:i/>
          <w:color w:val="000000"/>
          <w:sz w:val="22"/>
          <w:szCs w:val="22"/>
        </w:rPr>
        <w:t>Amparo en revisión 2022/61. José García Florín (Menor). 9 de octubre de 1961. Cinco votos. Ponente: José Rivera Pérez Campos.”</w:t>
      </w:r>
    </w:p>
    <w:p w:rsidR="00A620F1" w:rsidRPr="00AB0024" w:rsidRDefault="00C85659">
      <w:pPr>
        <w:pBdr>
          <w:top w:val="nil"/>
          <w:left w:val="nil"/>
          <w:bottom w:val="nil"/>
          <w:right w:val="nil"/>
          <w:between w:val="nil"/>
        </w:pBdr>
        <w:spacing w:before="240" w:after="240" w:line="360" w:lineRule="auto"/>
        <w:jc w:val="both"/>
        <w:rPr>
          <w:color w:val="000000"/>
          <w:sz w:val="28"/>
          <w:szCs w:val="28"/>
        </w:rPr>
      </w:pPr>
      <w:r w:rsidRPr="00AB0024">
        <w:rPr>
          <w:rFonts w:ascii="Palatino Linotype" w:eastAsia="Palatino Linotype" w:hAnsi="Palatino Linotype" w:cs="Palatino Linotype"/>
          <w:color w:val="000000"/>
        </w:rPr>
        <w:t xml:space="preserve">Además, y de conformidad con lo establecido en el artículo 12 de la Ley de Transparencia y Acceso a la Información Pública del Estado de México y Municipios, anteriormente invocado el </w:t>
      </w:r>
      <w:r w:rsidRPr="00AB0024">
        <w:rPr>
          <w:rFonts w:ascii="Palatino Linotype" w:eastAsia="Palatino Linotype" w:hAnsi="Palatino Linotype" w:cs="Palatino Linotype"/>
          <w:b/>
          <w:color w:val="000000"/>
        </w:rPr>
        <w:t>Sujeto Obligado</w:t>
      </w:r>
      <w:r w:rsidRPr="00AB0024">
        <w:rPr>
          <w:rFonts w:ascii="Palatino Linotype" w:eastAsia="Palatino Linotype" w:hAnsi="Palatino Linotype" w:cs="Palatino Linotype"/>
          <w:color w:val="000000"/>
        </w:rPr>
        <w:t xml:space="preserve"> sólo proporcionará la información que obra en sus archivos, lo que a</w:t>
      </w:r>
      <w:r w:rsidRPr="00AB0024">
        <w:rPr>
          <w:rFonts w:ascii="Palatino Linotype" w:eastAsia="Palatino Linotype" w:hAnsi="Palatino Linotype" w:cs="Palatino Linotype"/>
          <w:i/>
          <w:color w:val="000000"/>
        </w:rPr>
        <w:t xml:space="preserve"> contrario sensu</w:t>
      </w:r>
      <w:r w:rsidRPr="00AB0024">
        <w:rPr>
          <w:rFonts w:ascii="Palatino Linotype" w:eastAsia="Palatino Linotype" w:hAnsi="Palatino Linotype" w:cs="Palatino Linotype"/>
          <w:color w:val="000000"/>
        </w:rPr>
        <w:t xml:space="preserve"> significa que no se está obligado a proporcionar lo que no obre en sus archivos; por ende, las razones o motivos de inconformidad al respecto devienen infundados.</w:t>
      </w:r>
    </w:p>
    <w:p w:rsidR="00A620F1" w:rsidRPr="00AB0024" w:rsidRDefault="00C85659">
      <w:pPr>
        <w:pBdr>
          <w:top w:val="nil"/>
          <w:left w:val="nil"/>
          <w:bottom w:val="nil"/>
          <w:right w:val="nil"/>
          <w:between w:val="nil"/>
        </w:pBdr>
        <w:spacing w:before="240" w:after="240" w:line="360" w:lineRule="auto"/>
        <w:jc w:val="both"/>
        <w:rPr>
          <w:color w:val="000000"/>
          <w:sz w:val="28"/>
          <w:szCs w:val="28"/>
        </w:rPr>
      </w:pPr>
      <w:r w:rsidRPr="00AB0024">
        <w:rPr>
          <w:rFonts w:ascii="Palatino Linotype" w:eastAsia="Palatino Linotype" w:hAnsi="Palatino Linotype" w:cs="Palatino Linotype"/>
          <w:color w:val="000000"/>
        </w:rPr>
        <w:t xml:space="preserve">Aunado a lo anterior, este Pleno considera necesario dejar claro que, al haber existido un pronunciamiento por parte del </w:t>
      </w:r>
      <w:r w:rsidRPr="00AB0024">
        <w:rPr>
          <w:rFonts w:ascii="Palatino Linotype" w:eastAsia="Palatino Linotype" w:hAnsi="Palatino Linotype" w:cs="Palatino Linotype"/>
          <w:b/>
          <w:color w:val="000000"/>
        </w:rPr>
        <w:t>Sujeto Obligado</w:t>
      </w:r>
      <w:r w:rsidRPr="00AB0024">
        <w:rPr>
          <w:rFonts w:ascii="Palatino Linotype" w:eastAsia="Palatino Linotype" w:hAnsi="Palatino Linotype" w:cs="Palatino Linotype"/>
          <w:color w:val="000000"/>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rsidR="00A620F1" w:rsidRPr="00AB0024" w:rsidRDefault="00C85659">
      <w:pPr>
        <w:pBdr>
          <w:top w:val="nil"/>
          <w:left w:val="nil"/>
          <w:bottom w:val="nil"/>
          <w:right w:val="nil"/>
          <w:between w:val="nil"/>
        </w:pBdr>
        <w:ind w:left="860" w:right="560"/>
        <w:jc w:val="both"/>
        <w:rPr>
          <w:color w:val="000000"/>
        </w:rPr>
      </w:pPr>
      <w:r w:rsidRPr="00AB0024">
        <w:rPr>
          <w:rFonts w:ascii="Palatino Linotype" w:eastAsia="Palatino Linotype" w:hAnsi="Palatino Linotype" w:cs="Palatino Linotype"/>
          <w:i/>
          <w:color w:val="000000"/>
          <w:sz w:val="22"/>
          <w:szCs w:val="22"/>
        </w:rPr>
        <w:t>“</w:t>
      </w:r>
      <w:r w:rsidRPr="00AB0024">
        <w:rPr>
          <w:rFonts w:ascii="Palatino Linotype" w:eastAsia="Palatino Linotype" w:hAnsi="Palatino Linotype" w:cs="Palatino Linotype"/>
          <w:b/>
          <w:i/>
          <w:color w:val="000000"/>
          <w:sz w:val="22"/>
          <w:szCs w:val="22"/>
        </w:rPr>
        <w:t>El Instituto Federal de Acceso a la Información y Protección de Datos no cuenta con facultades para pronunciarse respecto de la veracidad de los documentos proporcionados por los sujetos obligados.</w:t>
      </w:r>
      <w:r w:rsidRPr="00AB0024">
        <w:rPr>
          <w:rFonts w:ascii="Palatino Linotype" w:eastAsia="Palatino Linotype" w:hAnsi="Palatino Linotype" w:cs="Palatino Linotype"/>
          <w:i/>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w:t>
      </w:r>
      <w:r w:rsidRPr="00AB0024">
        <w:rPr>
          <w:rFonts w:ascii="Palatino Linotype" w:eastAsia="Palatino Linotype" w:hAnsi="Palatino Linotype" w:cs="Palatino Linotype"/>
          <w:i/>
          <w:color w:val="000000"/>
          <w:sz w:val="22"/>
          <w:szCs w:val="22"/>
        </w:rPr>
        <w:lastRenderedPageBreak/>
        <w:t>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A620F1" w:rsidRPr="00AB0024" w:rsidRDefault="00C85659">
      <w:pP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Es por todo lo expuesto en este apartado que se tiene que nos encontramos ante un hecho de carácter negativo pues se señaló que no se emitió una licencia de funcionamiento para el salón de fiestas o reuniones en el referido inmueble en su entrada lateral sobre la calle Miguel Hidalgo.</w:t>
      </w:r>
    </w:p>
    <w:p w:rsidR="00A620F1" w:rsidRPr="00AB0024" w:rsidRDefault="00C85659">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Por otra parte, respecto de las manifestaciones realizadas por </w:t>
      </w:r>
      <w:r w:rsidRPr="00AB0024">
        <w:rPr>
          <w:rFonts w:ascii="Palatino Linotype" w:eastAsia="Palatino Linotype" w:hAnsi="Palatino Linotype" w:cs="Palatino Linotype"/>
          <w:b/>
          <w:color w:val="000000"/>
        </w:rPr>
        <w:t>la parte Recurrente</w:t>
      </w:r>
      <w:r w:rsidRPr="00AB0024">
        <w:rPr>
          <w:rFonts w:ascii="Palatino Linotype" w:eastAsia="Palatino Linotype" w:hAnsi="Palatino Linotype" w:cs="Palatino Linotype"/>
          <w:color w:val="000000"/>
        </w:rPr>
        <w:t xml:space="preserve"> mediante informe justificado, consistentes en lo siguiente: </w:t>
      </w:r>
    </w:p>
    <w:p w:rsidR="00A620F1" w:rsidRPr="00AB0024" w:rsidRDefault="00C85659">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noProof/>
          <w:color w:val="000000"/>
          <w:lang w:val="es-MX"/>
        </w:rPr>
        <w:drawing>
          <wp:inline distT="0" distB="0" distL="0" distR="0">
            <wp:extent cx="5401429" cy="1609950"/>
            <wp:effectExtent l="0" t="0" r="0" b="0"/>
            <wp:docPr id="10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401429" cy="1609950"/>
                    </a:xfrm>
                    <a:prstGeom prst="rect">
                      <a:avLst/>
                    </a:prstGeom>
                    <a:ln/>
                  </pic:spPr>
                </pic:pic>
              </a:graphicData>
            </a:graphic>
          </wp:inline>
        </w:drawing>
      </w:r>
    </w:p>
    <w:p w:rsidR="00A620F1" w:rsidRPr="00AB0024" w:rsidRDefault="00C8565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color w:val="000000"/>
        </w:rPr>
        <w:t xml:space="preserve">Al respecto es preciso referir que, el  artículo 36, fracción X, de la Ley de Transparencia y Acceso a la Información Pública del Estado  de México, establece que es atribución de este Instituto hacer del conocimiento del Órgano Interno de Control o equivalente de cada Sujeto Obligado las infracciones a esta Ley. Sobre el  particular, la presente resolución no tiene por objetivo investigar ni determinar  violaciones al derecho de acceso a la información, toda vez que este Organismo </w:t>
      </w:r>
      <w:r w:rsidRPr="00AB0024">
        <w:rPr>
          <w:rFonts w:ascii="Palatino Linotype" w:eastAsia="Palatino Linotype" w:hAnsi="Palatino Linotype" w:cs="Palatino Linotype"/>
          <w:color w:val="000000"/>
        </w:rPr>
        <w:lastRenderedPageBreak/>
        <w:t xml:space="preserve">Autónomo, no  advirtió una violación en la atención de la solicitud por parte del </w:t>
      </w:r>
      <w:r w:rsidRPr="00AB0024">
        <w:rPr>
          <w:rFonts w:ascii="Palatino Linotype" w:eastAsia="Palatino Linotype" w:hAnsi="Palatino Linotype" w:cs="Palatino Linotype"/>
          <w:b/>
          <w:color w:val="000000"/>
        </w:rPr>
        <w:t>Sujeto Obligado</w:t>
      </w:r>
      <w:r w:rsidRPr="00AB0024">
        <w:rPr>
          <w:rFonts w:ascii="Palatino Linotype" w:eastAsia="Palatino Linotype" w:hAnsi="Palatino Linotype" w:cs="Palatino Linotype"/>
          <w:color w:val="000000"/>
        </w:rPr>
        <w:t>, por lo que no procede dar vista al Titular del Órgano de Control y Vigilancia de este Instituto y, por el contrario, se sugiere a la persona solicitante, interponer su queja o denuncia ante la autoridad competente.</w:t>
      </w:r>
    </w:p>
    <w:p w:rsidR="00A620F1" w:rsidRPr="00AB0024" w:rsidRDefault="00C85659">
      <w:pPr>
        <w:spacing w:before="280" w:after="280" w:line="360" w:lineRule="auto"/>
        <w:jc w:val="both"/>
        <w:rPr>
          <w:rFonts w:ascii="Palatino Linotype" w:eastAsia="Palatino Linotype" w:hAnsi="Palatino Linotype" w:cs="Palatino Linotype"/>
          <w:b/>
          <w:u w:val="single"/>
        </w:rPr>
      </w:pPr>
      <w:r w:rsidRPr="00AB0024">
        <w:rPr>
          <w:rFonts w:ascii="Palatino Linotype" w:eastAsia="Palatino Linotype" w:hAnsi="Palatino Linotype" w:cs="Palatino Linotype"/>
          <w:color w:val="000000"/>
        </w:rPr>
        <w:t xml:space="preserve">Finalmente </w:t>
      </w:r>
      <w:r w:rsidRPr="00AB0024">
        <w:rPr>
          <w:rFonts w:ascii="Palatino Linotype" w:eastAsia="Palatino Linotype" w:hAnsi="Palatino Linotype" w:cs="Palatino Linotype"/>
        </w:rPr>
        <w:t xml:space="preserve">ya que </w:t>
      </w:r>
      <w:r w:rsidRPr="00AB0024">
        <w:rPr>
          <w:rFonts w:ascii="Palatino Linotype" w:eastAsia="Palatino Linotype" w:hAnsi="Palatino Linotype" w:cs="Palatino Linotype"/>
          <w:b/>
        </w:rPr>
        <w:t>la parte Recurrente</w:t>
      </w:r>
      <w:r w:rsidRPr="00AB0024">
        <w:rPr>
          <w:rFonts w:ascii="Palatino Linotype" w:eastAsia="Palatino Linotype" w:hAnsi="Palatino Linotype" w:cs="Palatino Linotype"/>
        </w:rPr>
        <w:t xml:space="preserve"> solicitó todas aquellas documentales que deriven de la respuesta en copia certificada; en ese sentido no pasa inadvertido para este Organismo Garante el hecho que la persona solicitante eligió como modalidad de entrega de la información a través de </w:t>
      </w:r>
      <w:r w:rsidR="001900DE" w:rsidRPr="00AB0024">
        <w:rPr>
          <w:rFonts w:ascii="Palatino Linotype" w:eastAsia="Palatino Linotype" w:hAnsi="Palatino Linotype" w:cs="Palatino Linotype"/>
          <w:b/>
        </w:rPr>
        <w:t>Copias Certificadas,</w:t>
      </w:r>
      <w:r w:rsidRPr="00AB0024">
        <w:rPr>
          <w:rFonts w:ascii="Palatino Linotype" w:eastAsia="Palatino Linotype" w:hAnsi="Palatino Linotype" w:cs="Palatino Linotype"/>
          <w:b/>
        </w:rPr>
        <w:t xml:space="preserve">, </w:t>
      </w:r>
      <w:r w:rsidRPr="00AB0024">
        <w:rPr>
          <w:rFonts w:ascii="Palatino Linotype" w:eastAsia="Palatino Linotype" w:hAnsi="Palatino Linotype" w:cs="Palatino Linotype"/>
        </w:rPr>
        <w:t>misma que se encuentra prevista en el artículo 174 fracción III de la Ley de la Materia, la cual dispone en caso de existir costos para obtener la información deberán cubrirse de manera previa a la entrega y no podrán ser superiores a la suma de la certificación de los documentos.</w:t>
      </w:r>
    </w:p>
    <w:p w:rsidR="00A620F1" w:rsidRPr="00AB0024" w:rsidRDefault="00A620F1">
      <w:pPr>
        <w:spacing w:line="360" w:lineRule="auto"/>
        <w:jc w:val="both"/>
        <w:rPr>
          <w:rFonts w:ascii="Palatino Linotype" w:eastAsia="Palatino Linotype" w:hAnsi="Palatino Linotype" w:cs="Palatino Linotype"/>
          <w:sz w:val="10"/>
          <w:szCs w:val="10"/>
        </w:rPr>
      </w:pPr>
    </w:p>
    <w:p w:rsidR="00A620F1" w:rsidRPr="00AB0024" w:rsidRDefault="00C85659">
      <w:pPr>
        <w:spacing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rPr>
        <w:t>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w:t>
      </w:r>
    </w:p>
    <w:p w:rsidR="00A620F1" w:rsidRPr="00AB0024" w:rsidRDefault="00A620F1">
      <w:pPr>
        <w:spacing w:line="360" w:lineRule="auto"/>
        <w:jc w:val="both"/>
        <w:rPr>
          <w:rFonts w:ascii="Palatino Linotype" w:eastAsia="Palatino Linotype" w:hAnsi="Palatino Linotype" w:cs="Palatino Linotype"/>
          <w:sz w:val="10"/>
          <w:szCs w:val="10"/>
        </w:rPr>
      </w:pPr>
    </w:p>
    <w:p w:rsidR="00A620F1" w:rsidRPr="00AB0024" w:rsidRDefault="00C85659">
      <w:pPr>
        <w:spacing w:line="360" w:lineRule="auto"/>
        <w:jc w:val="both"/>
        <w:rPr>
          <w:rFonts w:ascii="Palatino Linotype" w:eastAsia="Palatino Linotype" w:hAnsi="Palatino Linotype" w:cs="Palatino Linotype"/>
          <w:color w:val="222222"/>
        </w:rPr>
      </w:pPr>
      <w:r w:rsidRPr="00AB0024">
        <w:rPr>
          <w:rFonts w:ascii="Palatino Linotype" w:eastAsia="Palatino Linotype" w:hAnsi="Palatino Linotype" w:cs="Palatino Linotype"/>
          <w:color w:val="222222"/>
        </w:rPr>
        <w:t xml:space="preserve">Lo anterior, tomando en cuenta lo dispuesto por el Código Financiero del Estado de México y Municipios, el cual regula la actividad financiera estatal y municipal, entendiendo a dicha actividad la que comprende la obtención, administración y aplicación de los ingresos públicos, así como lo conducente a la transparencia y difusión de la información financiera relativa a la presupuestario, ejercicio, </w:t>
      </w:r>
      <w:r w:rsidRPr="00AB0024">
        <w:rPr>
          <w:rFonts w:ascii="Palatino Linotype" w:eastAsia="Palatino Linotype" w:hAnsi="Palatino Linotype" w:cs="Palatino Linotype"/>
          <w:color w:val="222222"/>
        </w:rPr>
        <w:lastRenderedPageBreak/>
        <w:t>evaluación y rendición de cuentas, en apego a las disposiciones aplicables en la materia.</w:t>
      </w:r>
    </w:p>
    <w:p w:rsidR="00A620F1" w:rsidRPr="00AB0024" w:rsidRDefault="00A620F1">
      <w:pPr>
        <w:spacing w:line="360" w:lineRule="auto"/>
        <w:jc w:val="both"/>
        <w:rPr>
          <w:rFonts w:ascii="Palatino Linotype" w:eastAsia="Palatino Linotype" w:hAnsi="Palatino Linotype" w:cs="Palatino Linotype"/>
          <w:color w:val="222222"/>
        </w:rPr>
      </w:pPr>
    </w:p>
    <w:p w:rsidR="00A620F1" w:rsidRPr="00AB0024" w:rsidRDefault="00C85659">
      <w:pPr>
        <w:spacing w:line="360" w:lineRule="auto"/>
        <w:ind w:firstLine="1"/>
        <w:jc w:val="both"/>
        <w:rPr>
          <w:rFonts w:ascii="Palatino Linotype" w:eastAsia="Palatino Linotype" w:hAnsi="Palatino Linotype" w:cs="Palatino Linotype"/>
          <w:color w:val="222222"/>
        </w:rPr>
      </w:pPr>
      <w:r w:rsidRPr="00AB0024">
        <w:rPr>
          <w:rFonts w:ascii="Palatino Linotype" w:eastAsia="Palatino Linotype" w:hAnsi="Palatino Linotype" w:cs="Palatino Linotype"/>
          <w:color w:val="222222"/>
        </w:rPr>
        <w:t>Por tanto, se tiene que el artículo 7, del Código referido establece que, para cubrir el gasto público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Asimismo, el artículo 9 en su fracción II define a los derechos como las contraprestaciones establecidas en este Código que deben pagar las personas físicas y jurídicas colectivas, por el uso o aprovechamiento de los bienes del domino público de la Entidad, así como por recibir servicios que preste, el Estado, sus organismos y Municipios en funciones de derecho público.</w:t>
      </w:r>
    </w:p>
    <w:p w:rsidR="00A620F1" w:rsidRPr="00AB0024" w:rsidRDefault="00A620F1">
      <w:pPr>
        <w:spacing w:line="360" w:lineRule="auto"/>
        <w:ind w:firstLine="1"/>
        <w:jc w:val="both"/>
        <w:rPr>
          <w:rFonts w:ascii="Palatino Linotype" w:eastAsia="Palatino Linotype" w:hAnsi="Palatino Linotype" w:cs="Palatino Linotype"/>
          <w:color w:val="222222"/>
        </w:rPr>
      </w:pPr>
    </w:p>
    <w:p w:rsidR="00A620F1" w:rsidRPr="00AB0024" w:rsidRDefault="00C85659">
      <w:pPr>
        <w:spacing w:line="360" w:lineRule="auto"/>
        <w:ind w:firstLine="1"/>
        <w:jc w:val="both"/>
        <w:rPr>
          <w:rFonts w:ascii="Palatino Linotype" w:eastAsia="Palatino Linotype" w:hAnsi="Palatino Linotype" w:cs="Palatino Linotype"/>
          <w:color w:val="222222"/>
        </w:rPr>
      </w:pPr>
      <w:r w:rsidRPr="00AB0024">
        <w:rPr>
          <w:rFonts w:ascii="Palatino Linotype" w:eastAsia="Palatino Linotype" w:hAnsi="Palatino Linotype" w:cs="Palatino Linotype"/>
          <w:color w:val="222222"/>
        </w:rPr>
        <w:t>Así, se tiene que el cobro por la certificación de los documentos a entregar, es un ingreso al que tienen derecho los entes gubernamentales y su destino es cubrir el gasto público y demás obligaciones a su cargo, toda vez que es una ganancia lícita que se debe obtener con el cumplimiento de la obligación de los Recurrentes a realizar el pago establecido en el artículo 148 del Código Financiero.</w:t>
      </w:r>
    </w:p>
    <w:p w:rsidR="00A620F1" w:rsidRPr="00AB0024" w:rsidRDefault="00C85659">
      <w:pPr>
        <w:spacing w:line="360" w:lineRule="auto"/>
        <w:ind w:firstLine="1"/>
        <w:jc w:val="center"/>
        <w:rPr>
          <w:rFonts w:ascii="Palatino Linotype" w:eastAsia="Palatino Linotype" w:hAnsi="Palatino Linotype" w:cs="Palatino Linotype"/>
          <w:color w:val="222222"/>
        </w:rPr>
      </w:pPr>
      <w:r w:rsidRPr="00AB0024">
        <w:rPr>
          <w:noProof/>
          <w:lang w:val="es-MX"/>
        </w:rPr>
        <w:lastRenderedPageBreak/>
        <w:drawing>
          <wp:inline distT="0" distB="0" distL="0" distR="0">
            <wp:extent cx="4449858" cy="2606118"/>
            <wp:effectExtent l="0" t="0" r="0" b="0"/>
            <wp:docPr id="10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l="30074" t="28075" r="30779" b="29510"/>
                    <a:stretch>
                      <a:fillRect/>
                    </a:stretch>
                  </pic:blipFill>
                  <pic:spPr>
                    <a:xfrm>
                      <a:off x="0" y="0"/>
                      <a:ext cx="4449858" cy="2606118"/>
                    </a:xfrm>
                    <a:prstGeom prst="rect">
                      <a:avLst/>
                    </a:prstGeom>
                    <a:ln/>
                  </pic:spPr>
                </pic:pic>
              </a:graphicData>
            </a:graphic>
          </wp:inline>
        </w:drawing>
      </w:r>
    </w:p>
    <w:p w:rsidR="00A620F1" w:rsidRPr="00AB0024" w:rsidRDefault="00C85659">
      <w:pPr>
        <w:spacing w:line="360" w:lineRule="auto"/>
        <w:ind w:firstLine="1"/>
        <w:jc w:val="both"/>
        <w:rPr>
          <w:rFonts w:ascii="Palatino Linotype" w:eastAsia="Palatino Linotype" w:hAnsi="Palatino Linotype" w:cs="Palatino Linotype"/>
          <w:color w:val="222222"/>
        </w:rPr>
      </w:pPr>
      <w:r w:rsidRPr="00AB0024">
        <w:rPr>
          <w:rFonts w:ascii="Palatino Linotype" w:eastAsia="Palatino Linotype" w:hAnsi="Palatino Linotype" w:cs="Palatino Linotype"/>
          <w:color w:val="222222"/>
        </w:rPr>
        <w:t>Del precepto legal en cita, se advierten los costos que debieron observarse y en su caso realizar el respectivo cobro, solo en caso de ser procedente.</w:t>
      </w:r>
    </w:p>
    <w:p w:rsidR="00A620F1" w:rsidRPr="00AB0024" w:rsidRDefault="00A620F1">
      <w:pPr>
        <w:spacing w:line="360" w:lineRule="auto"/>
        <w:ind w:firstLine="1"/>
        <w:jc w:val="both"/>
        <w:rPr>
          <w:rFonts w:ascii="Palatino Linotype" w:eastAsia="Palatino Linotype" w:hAnsi="Palatino Linotype" w:cs="Palatino Linotype"/>
          <w:color w:val="222222"/>
        </w:rPr>
      </w:pPr>
    </w:p>
    <w:p w:rsidR="00A620F1" w:rsidRPr="00AB0024" w:rsidRDefault="00C85659">
      <w:pPr>
        <w:spacing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rPr>
        <w:t xml:space="preserve">Dicha modalidad de entrega en </w:t>
      </w:r>
      <w:r w:rsidRPr="00AB0024">
        <w:rPr>
          <w:rFonts w:ascii="Palatino Linotype" w:eastAsia="Palatino Linotype" w:hAnsi="Palatino Linotype" w:cs="Palatino Linotype"/>
          <w:b/>
          <w:u w:val="single"/>
        </w:rPr>
        <w:t>copias certificadas</w:t>
      </w:r>
      <w:r w:rsidRPr="00AB0024">
        <w:rPr>
          <w:rFonts w:ascii="Palatino Linotype" w:eastAsia="Palatino Linotype" w:hAnsi="Palatino Linotype" w:cs="Palatino Linotype"/>
        </w:rPr>
        <w:t xml:space="preserve"> no implica que se tenga que acudir ante un notario o fedatario público, sino que faculta a los servidores públicos para que expidan certificaciones de los documentos solicitados que obran en los archivos de las dependencias o entidades en copia simple u original según sea el caso.</w:t>
      </w:r>
    </w:p>
    <w:p w:rsidR="00A620F1" w:rsidRPr="00AB0024" w:rsidRDefault="00A620F1">
      <w:pPr>
        <w:spacing w:line="360" w:lineRule="auto"/>
        <w:jc w:val="both"/>
        <w:rPr>
          <w:rFonts w:ascii="Palatino Linotype" w:eastAsia="Palatino Linotype" w:hAnsi="Palatino Linotype" w:cs="Palatino Linotype"/>
          <w:sz w:val="12"/>
          <w:szCs w:val="12"/>
        </w:rPr>
      </w:pPr>
    </w:p>
    <w:p w:rsidR="00A620F1" w:rsidRPr="00AB0024" w:rsidRDefault="00C85659">
      <w:pPr>
        <w:spacing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rPr>
        <w:t>Sirve de apoyo en la fundamentación de lo antes expresado el criterio 2/09 del entonces Instituto Federal de Acceso a la Información Pública y Protección de Datos Personales que se transcribe a continuación para la claridad de las razones que justifican la actuación de este órgano garante.</w:t>
      </w:r>
    </w:p>
    <w:p w:rsidR="00A620F1" w:rsidRPr="00AB0024" w:rsidRDefault="00A620F1">
      <w:pPr>
        <w:spacing w:line="360" w:lineRule="auto"/>
        <w:jc w:val="both"/>
        <w:rPr>
          <w:rFonts w:ascii="Palatino Linotype" w:eastAsia="Palatino Linotype" w:hAnsi="Palatino Linotype" w:cs="Palatino Linotype"/>
          <w:sz w:val="14"/>
          <w:szCs w:val="14"/>
        </w:rPr>
      </w:pPr>
    </w:p>
    <w:p w:rsidR="00A620F1" w:rsidRPr="00AB0024" w:rsidRDefault="00C85659">
      <w:pPr>
        <w:shd w:val="clear" w:color="auto" w:fill="FFFFFF"/>
        <w:ind w:left="708" w:right="616"/>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b/>
          <w:i/>
          <w:sz w:val="22"/>
          <w:szCs w:val="22"/>
        </w:rPr>
        <w:t>“Copias certificadas. La certificación prevista en la Ley Federal de Transparencia y Acceso a la Información Pública Gubernamental corrobora que el documento es una copia fiel del que obra en los archivos de la dependencia o entidad.</w:t>
      </w:r>
      <w:r w:rsidRPr="00AB0024">
        <w:rPr>
          <w:rFonts w:ascii="Palatino Linotype" w:eastAsia="Palatino Linotype" w:hAnsi="Palatino Linotype" w:cs="Palatino Linotype"/>
          <w:i/>
          <w:sz w:val="22"/>
          <w:szCs w:val="22"/>
        </w:rPr>
        <w:t xml:space="preserve"> El artículo 40, fracción IV de la Ley Federal de </w:t>
      </w:r>
      <w:r w:rsidRPr="00AB0024">
        <w:rPr>
          <w:rFonts w:ascii="Palatino Linotype" w:eastAsia="Palatino Linotype" w:hAnsi="Palatino Linotype" w:cs="Palatino Linotype"/>
          <w:i/>
          <w:sz w:val="22"/>
          <w:szCs w:val="22"/>
        </w:rPr>
        <w:lastRenderedPageBreak/>
        <w:t>Transparencia y Acceso a la Información Pública Gubernamental prevé la posibilidad de que el solicitante elija que la entrega de la información sea en copias certificadas. Por su parte, el artículo 44 de la misma ley establece, entre otras cuestiones, que las respuestas a solicitudes se deberán atender en la mayor medida de lo posible a la solicitud del interesado. Considerando que el artículo 1° de la ley en cita tiene como finalidad proveer lo necesario para garantizar el acceso de toda persona a la información en posesión de las autoridades, la certificación a que se refiere la Ley Federal de Transparencia y Acceso a la Información Pública Gubernamental tiene por efecto constatar que la copia certificada que se entrega es una reproducción fiel del documento -original o copia simple- que obra en los archivos de la dependencia o entidad requerida. En ese orden de ideas, la certificación, para efectos de acceso a la información, a diferencia del concepto que tradicionalmente se ha sostenido en diversas tesis de la Suprema Corte de Justicia de la Nación, no tiene como propósito que el documento certificado haga las veces de un original, sino dejar evidencia de que los documentos obran en los archivos de los sujetos obligados, tal cual se encuentran.”</w:t>
      </w:r>
    </w:p>
    <w:p w:rsidR="00A620F1" w:rsidRPr="00AB0024" w:rsidRDefault="00A620F1">
      <w:pPr>
        <w:spacing w:line="360" w:lineRule="auto"/>
        <w:ind w:left="708" w:right="-91"/>
        <w:jc w:val="both"/>
        <w:rPr>
          <w:rFonts w:ascii="Palatino Linotype" w:eastAsia="Palatino Linotype" w:hAnsi="Palatino Linotype" w:cs="Palatino Linotype"/>
        </w:rPr>
      </w:pPr>
    </w:p>
    <w:p w:rsidR="00A620F1" w:rsidRPr="00AB0024" w:rsidRDefault="00C85659">
      <w:pPr>
        <w:spacing w:line="360" w:lineRule="auto"/>
        <w:ind w:right="-93"/>
        <w:jc w:val="both"/>
        <w:rPr>
          <w:rFonts w:ascii="Palatino Linotype" w:eastAsia="Palatino Linotype" w:hAnsi="Palatino Linotype" w:cs="Palatino Linotype"/>
        </w:rPr>
      </w:pPr>
      <w:r w:rsidRPr="00AB0024">
        <w:rPr>
          <w:rFonts w:ascii="Palatino Linotype" w:eastAsia="Palatino Linotype" w:hAnsi="Palatino Linotype" w:cs="Palatino Linotype"/>
        </w:rPr>
        <w:t xml:space="preserve">Ahora bien, para la entrega de las </w:t>
      </w:r>
      <w:r w:rsidRPr="00AB0024">
        <w:rPr>
          <w:rFonts w:ascii="Palatino Linotype" w:eastAsia="Palatino Linotype" w:hAnsi="Palatino Linotype" w:cs="Palatino Linotype"/>
          <w:b/>
        </w:rPr>
        <w:t xml:space="preserve">copias certificadas, </w:t>
      </w:r>
      <w:r w:rsidRPr="00AB0024">
        <w:rPr>
          <w:rFonts w:ascii="Palatino Linotype" w:eastAsia="Palatino Linotype" w:hAnsi="Palatino Linotype" w:cs="Palatino Linotype"/>
        </w:rPr>
        <w:t xml:space="preserve">es importante referir que </w:t>
      </w:r>
      <w:r w:rsidRPr="00AB0024">
        <w:rPr>
          <w:rFonts w:ascii="Palatino Linotype" w:eastAsia="Palatino Linotype" w:hAnsi="Palatino Linotype" w:cs="Palatino Linotype"/>
          <w:b/>
        </w:rPr>
        <w:t xml:space="preserve">el Sujeto Obligado </w:t>
      </w:r>
      <w:r w:rsidRPr="00AB0024">
        <w:rPr>
          <w:rFonts w:ascii="Palatino Linotype" w:eastAsia="Palatino Linotype" w:hAnsi="Palatino Linotype" w:cs="Palatino Linotype"/>
        </w:rPr>
        <w:t>debe observar los Lineamientos para  Recepción, Trámite y Resolución de las solicitudes de acceso a la información pública, así como de los recursos de revisión que deberán observar los Sujetos Obligados por la Ley de Transparencia y Acceso a la Información Pública del Estado de México y Municipios, los cuales establecen lo que se muestra a continuación:</w:t>
      </w:r>
    </w:p>
    <w:p w:rsidR="00A620F1" w:rsidRPr="00AB0024" w:rsidRDefault="00A620F1">
      <w:pPr>
        <w:widowControl w:val="0"/>
        <w:jc w:val="both"/>
        <w:rPr>
          <w:rFonts w:ascii="Palatino Linotype" w:eastAsia="Palatino Linotype" w:hAnsi="Palatino Linotype" w:cs="Palatino Linotype"/>
        </w:rPr>
      </w:pPr>
    </w:p>
    <w:p w:rsidR="00A620F1" w:rsidRPr="00AB0024" w:rsidRDefault="00C85659">
      <w:pPr>
        <w:tabs>
          <w:tab w:val="left" w:pos="851"/>
        </w:tabs>
        <w:ind w:left="851" w:right="901"/>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b/>
          <w:i/>
          <w:color w:val="000000"/>
          <w:sz w:val="22"/>
          <w:szCs w:val="22"/>
        </w:rPr>
        <w:t>CINCUENTA Y CINCO</w:t>
      </w:r>
      <w:r w:rsidRPr="00AB0024">
        <w:rPr>
          <w:rFonts w:ascii="Palatino Linotype" w:eastAsia="Palatino Linotype" w:hAnsi="Palatino Linotype" w:cs="Palatino Linotype"/>
          <w:i/>
          <w:color w:val="000000"/>
          <w:sz w:val="22"/>
          <w:szCs w:val="22"/>
        </w:rPr>
        <w:t xml:space="preserve">.- En caso de que el particular hubiera solicitado copias simples, copias certificadas o cualquier otro medio en el cual </w:t>
      </w:r>
      <w:r w:rsidRPr="00AB0024">
        <w:rPr>
          <w:rFonts w:ascii="Palatino Linotype" w:eastAsia="Palatino Linotype" w:hAnsi="Palatino Linotype" w:cs="Palatino Linotype"/>
          <w:i/>
          <w:sz w:val="22"/>
          <w:szCs w:val="22"/>
        </w:rPr>
        <w:t>se</w:t>
      </w:r>
      <w:r w:rsidRPr="00AB0024">
        <w:rPr>
          <w:rFonts w:ascii="Palatino Linotype" w:eastAsia="Palatino Linotype" w:hAnsi="Palatino Linotype" w:cs="Palatino Linotype"/>
          <w:i/>
          <w:color w:val="000000"/>
          <w:sz w:val="22"/>
          <w:szCs w:val="22"/>
        </w:rPr>
        <w:t xml:space="preserve"> encuentre la información, se </w:t>
      </w:r>
      <w:r w:rsidRPr="00AB0024">
        <w:rPr>
          <w:rFonts w:ascii="Palatino Linotype" w:eastAsia="Palatino Linotype" w:hAnsi="Palatino Linotype" w:cs="Palatino Linotype"/>
          <w:b/>
          <w:i/>
          <w:color w:val="000000"/>
          <w:sz w:val="22"/>
          <w:szCs w:val="22"/>
        </w:rPr>
        <w:t>deberá exhibir previamente el pago correspondiente</w:t>
      </w:r>
      <w:r w:rsidRPr="00AB0024">
        <w:rPr>
          <w:rFonts w:ascii="Palatino Linotype" w:eastAsia="Palatino Linotype" w:hAnsi="Palatino Linotype" w:cs="Palatino Linotype"/>
          <w:i/>
          <w:color w:val="000000"/>
          <w:sz w:val="22"/>
          <w:szCs w:val="22"/>
        </w:rPr>
        <w:t xml:space="preserve"> o, en su caso, el medio magnético en el cual hubiere solicitado la información, si técnicamente fuere factible su reproducción, a efecto de que pueda ser entregada en los medios solicitados. El recibo de pago, así como la constancia de entrega del medio magnético por parte del solicitante a la Unidad de Información, deberán de agregarse al expediente electrónico. </w:t>
      </w:r>
    </w:p>
    <w:p w:rsidR="00A620F1" w:rsidRPr="00AB0024" w:rsidRDefault="00C85659">
      <w:pPr>
        <w:tabs>
          <w:tab w:val="left" w:pos="851"/>
        </w:tabs>
        <w:ind w:left="851" w:right="901"/>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b/>
          <w:i/>
          <w:color w:val="000000"/>
          <w:sz w:val="22"/>
          <w:szCs w:val="22"/>
        </w:rPr>
        <w:t>CINCUENTA Y SEIS</w:t>
      </w:r>
      <w:r w:rsidRPr="00AB0024">
        <w:rPr>
          <w:rFonts w:ascii="Palatino Linotype" w:eastAsia="Palatino Linotype" w:hAnsi="Palatino Linotype" w:cs="Palatino Linotype"/>
          <w:i/>
          <w:color w:val="000000"/>
          <w:sz w:val="22"/>
          <w:szCs w:val="22"/>
        </w:rPr>
        <w:t xml:space="preserve">.- El costo por la </w:t>
      </w:r>
      <w:r w:rsidRPr="00AB0024">
        <w:rPr>
          <w:rFonts w:ascii="Palatino Linotype" w:eastAsia="Palatino Linotype" w:hAnsi="Palatino Linotype" w:cs="Palatino Linotype"/>
          <w:i/>
          <w:sz w:val="22"/>
          <w:szCs w:val="22"/>
        </w:rPr>
        <w:t>reproducción</w:t>
      </w:r>
      <w:r w:rsidRPr="00AB0024">
        <w:rPr>
          <w:rFonts w:ascii="Palatino Linotype" w:eastAsia="Palatino Linotype" w:hAnsi="Palatino Linotype" w:cs="Palatino Linotype"/>
          <w:i/>
          <w:color w:val="000000"/>
          <w:sz w:val="22"/>
          <w:szCs w:val="22"/>
        </w:rPr>
        <w:t xml:space="preserve"> de la información se sujetará a las disposiciones del </w:t>
      </w:r>
      <w:r w:rsidRPr="00AB0024">
        <w:rPr>
          <w:rFonts w:ascii="Palatino Linotype" w:eastAsia="Palatino Linotype" w:hAnsi="Palatino Linotype" w:cs="Palatino Linotype"/>
          <w:b/>
          <w:i/>
          <w:color w:val="000000"/>
          <w:sz w:val="22"/>
          <w:szCs w:val="22"/>
        </w:rPr>
        <w:t>Código Financiero del Estado de México y Municipio</w:t>
      </w:r>
      <w:r w:rsidRPr="00AB0024">
        <w:rPr>
          <w:rFonts w:ascii="Palatino Linotype" w:eastAsia="Palatino Linotype" w:hAnsi="Palatino Linotype" w:cs="Palatino Linotype"/>
          <w:i/>
          <w:color w:val="000000"/>
          <w:sz w:val="22"/>
          <w:szCs w:val="22"/>
        </w:rPr>
        <w:t>s y demás normatividad aplicable.</w:t>
      </w:r>
    </w:p>
    <w:p w:rsidR="00A620F1" w:rsidRPr="00AB0024" w:rsidRDefault="00A620F1">
      <w:pPr>
        <w:jc w:val="both"/>
        <w:rPr>
          <w:rFonts w:ascii="Palatino Linotype" w:eastAsia="Palatino Linotype" w:hAnsi="Palatino Linotype" w:cs="Palatino Linotype"/>
        </w:rPr>
      </w:pPr>
    </w:p>
    <w:p w:rsidR="00A620F1" w:rsidRPr="00AB0024" w:rsidRDefault="00C85659">
      <w:pPr>
        <w:spacing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rPr>
        <w:lastRenderedPageBreak/>
        <w:t xml:space="preserve">Atento a lo anterior, </w:t>
      </w:r>
      <w:r w:rsidRPr="00AB0024">
        <w:rPr>
          <w:rFonts w:ascii="Palatino Linotype" w:eastAsia="Palatino Linotype" w:hAnsi="Palatino Linotype" w:cs="Palatino Linotype"/>
          <w:b/>
        </w:rPr>
        <w:t>el Sujeto Obligado</w:t>
      </w:r>
      <w:r w:rsidRPr="00AB0024">
        <w:rPr>
          <w:rFonts w:ascii="Palatino Linotype" w:eastAsia="Palatino Linotype" w:hAnsi="Palatino Linotype" w:cs="Palatino Linotype"/>
        </w:rPr>
        <w:t xml:space="preserve"> debe de dar a conocer el procedimiento a efectuar para que </w:t>
      </w:r>
      <w:r w:rsidRPr="00AB0024">
        <w:rPr>
          <w:rFonts w:ascii="Palatino Linotype" w:eastAsia="Palatino Linotype" w:hAnsi="Palatino Linotype" w:cs="Palatino Linotype"/>
          <w:b/>
        </w:rPr>
        <w:t>la parte Recurrente</w:t>
      </w:r>
      <w:r w:rsidRPr="00AB0024">
        <w:rPr>
          <w:rFonts w:ascii="Palatino Linotype" w:eastAsia="Palatino Linotype" w:hAnsi="Palatino Linotype" w:cs="Palatino Linotype"/>
        </w:rPr>
        <w:t xml:space="preserve"> tenga acceso a la información requerida, es decir, debe dar a conocer entre otras el número de fojas que integran los documentos a los que desea acceder, ante quién se efectúa el pago, el costo total, etc.</w:t>
      </w:r>
    </w:p>
    <w:p w:rsidR="00A620F1" w:rsidRPr="00AB0024" w:rsidRDefault="00A620F1">
      <w:pPr>
        <w:spacing w:line="360" w:lineRule="auto"/>
        <w:jc w:val="both"/>
        <w:rPr>
          <w:rFonts w:ascii="Palatino Linotype" w:eastAsia="Palatino Linotype" w:hAnsi="Palatino Linotype" w:cs="Palatino Linotype"/>
        </w:rPr>
      </w:pPr>
    </w:p>
    <w:p w:rsidR="00A620F1" w:rsidRPr="00AB0024" w:rsidRDefault="00C85659">
      <w:pPr>
        <w:spacing w:line="360" w:lineRule="auto"/>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rPr>
        <w:t xml:space="preserve">En consecuencia, </w:t>
      </w:r>
      <w:r w:rsidRPr="00AB0024">
        <w:rPr>
          <w:rFonts w:ascii="Palatino Linotype" w:eastAsia="Palatino Linotype" w:hAnsi="Palatino Linotype" w:cs="Palatino Linotype"/>
          <w:b/>
        </w:rPr>
        <w:t>el Sujeto Obligado</w:t>
      </w:r>
      <w:r w:rsidRPr="00AB0024">
        <w:rPr>
          <w:rFonts w:ascii="Palatino Linotype" w:eastAsia="Palatino Linotype" w:hAnsi="Palatino Linotype" w:cs="Palatino Linotype"/>
        </w:rPr>
        <w:t xml:space="preserve"> al momento de dar cumplimiento a la presente resolución, deberá informar a </w:t>
      </w:r>
      <w:r w:rsidRPr="00AB0024">
        <w:rPr>
          <w:rFonts w:ascii="Palatino Linotype" w:eastAsia="Palatino Linotype" w:hAnsi="Palatino Linotype" w:cs="Palatino Linotype"/>
          <w:b/>
        </w:rPr>
        <w:t>la parte Recurrente</w:t>
      </w:r>
      <w:r w:rsidRPr="00AB0024">
        <w:rPr>
          <w:rFonts w:ascii="Palatino Linotype" w:eastAsia="Palatino Linotype" w:hAnsi="Palatino Linotype" w:cs="Palatino Linotype"/>
        </w:rPr>
        <w:t>, el procedimiento para efectuar el pago de los derechos correspondientes por la expedición de las copias certificadas, su costo, el lugar o lugares, días y horario en que tiene la posibilidad de efectuar el pago de los derechos correspondientes, así como el lugar día y hora en que debe recoger dichos documentos</w:t>
      </w:r>
      <w:r w:rsidRPr="00AB0024">
        <w:rPr>
          <w:rFonts w:ascii="Palatino Linotype" w:eastAsia="Palatino Linotype" w:hAnsi="Palatino Linotype" w:cs="Palatino Linotype"/>
          <w:color w:val="000000"/>
        </w:rPr>
        <w:t xml:space="preserve">, en términos del artículo 17, 174 y 175 de la Ley de Transparencia Local que dispone que la expedición de documentos, grabaciones y reproducciones se sujetará al pago de los derechos establecidos en la legislación correspondiente, como se aprecia a continuación: </w:t>
      </w:r>
    </w:p>
    <w:p w:rsidR="00A620F1" w:rsidRPr="00AB0024" w:rsidRDefault="00A620F1">
      <w:pPr>
        <w:jc w:val="both"/>
        <w:rPr>
          <w:rFonts w:ascii="Palatino Linotype" w:eastAsia="Palatino Linotype" w:hAnsi="Palatino Linotype" w:cs="Palatino Linotype"/>
          <w:color w:val="000000"/>
        </w:rPr>
      </w:pPr>
    </w:p>
    <w:p w:rsidR="00A620F1" w:rsidRPr="00AB0024" w:rsidRDefault="00C85659">
      <w:pPr>
        <w:tabs>
          <w:tab w:val="left" w:pos="851"/>
        </w:tabs>
        <w:ind w:left="851" w:right="901"/>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b/>
          <w:i/>
          <w:color w:val="000000"/>
          <w:sz w:val="22"/>
          <w:szCs w:val="22"/>
        </w:rPr>
        <w:t>“Artículo 17.</w:t>
      </w:r>
      <w:r w:rsidRPr="00AB0024">
        <w:rPr>
          <w:rFonts w:ascii="Palatino Linotype" w:eastAsia="Palatino Linotype" w:hAnsi="Palatino Linotype" w:cs="Palatino Linotype"/>
          <w:i/>
          <w:color w:val="000000"/>
          <w:sz w:val="22"/>
          <w:szCs w:val="22"/>
        </w:rPr>
        <w:t xml:space="preserve"> La búsqueda y acceso a la información es gratuita y solo se cubrirán los gastos de reproducción, o por la modalidad de entrega solicitada, así como por el envío, que en su caso se genere, de conformidad con </w:t>
      </w:r>
      <w:r w:rsidRPr="00AB0024">
        <w:rPr>
          <w:rFonts w:ascii="Palatino Linotype" w:eastAsia="Palatino Linotype" w:hAnsi="Palatino Linotype" w:cs="Palatino Linotype"/>
          <w:i/>
          <w:sz w:val="22"/>
          <w:szCs w:val="22"/>
        </w:rPr>
        <w:t>los</w:t>
      </w:r>
      <w:r w:rsidRPr="00AB0024">
        <w:rPr>
          <w:rFonts w:ascii="Palatino Linotype" w:eastAsia="Palatino Linotype" w:hAnsi="Palatino Linotype" w:cs="Palatino Linotype"/>
          <w:i/>
          <w:color w:val="000000"/>
          <w:sz w:val="22"/>
          <w:szCs w:val="22"/>
        </w:rPr>
        <w:t xml:space="preserve"> derechos, productos y aprovechamientos establecidos en la legislación aplicable, sin que exceda de los límites establecidos en la presente Ley.</w:t>
      </w:r>
    </w:p>
    <w:p w:rsidR="00A620F1" w:rsidRPr="00AB0024" w:rsidRDefault="00C85659">
      <w:pPr>
        <w:ind w:left="851"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b/>
          <w:i/>
          <w:color w:val="000000"/>
          <w:sz w:val="22"/>
          <w:szCs w:val="22"/>
        </w:rPr>
        <w:t>Artículo 174.</w:t>
      </w:r>
      <w:r w:rsidRPr="00AB0024">
        <w:rPr>
          <w:rFonts w:ascii="Palatino Linotype" w:eastAsia="Palatino Linotype" w:hAnsi="Palatino Linotype" w:cs="Palatino Linotype"/>
          <w:i/>
          <w:color w:val="000000"/>
          <w:sz w:val="22"/>
          <w:szCs w:val="22"/>
        </w:rPr>
        <w:t xml:space="preserve"> En caso de existir costos para obtener la información deberán cubrirse de manera previa a la entrega y no podrá</w:t>
      </w:r>
      <w:r w:rsidRPr="00AB0024">
        <w:rPr>
          <w:rFonts w:ascii="Palatino Linotype" w:eastAsia="Palatino Linotype" w:hAnsi="Palatino Linotype" w:cs="Palatino Linotype"/>
          <w:i/>
          <w:sz w:val="22"/>
          <w:szCs w:val="22"/>
        </w:rPr>
        <w:t>n</w:t>
      </w:r>
      <w:r w:rsidRPr="00AB0024">
        <w:rPr>
          <w:rFonts w:ascii="Palatino Linotype" w:eastAsia="Palatino Linotype" w:hAnsi="Palatino Linotype" w:cs="Palatino Linotype"/>
          <w:i/>
          <w:color w:val="000000"/>
          <w:sz w:val="22"/>
          <w:szCs w:val="22"/>
        </w:rPr>
        <w:t xml:space="preserve"> ser superiores a la suma de: </w:t>
      </w:r>
    </w:p>
    <w:p w:rsidR="00A620F1" w:rsidRPr="00AB0024" w:rsidRDefault="00C85659">
      <w:pPr>
        <w:numPr>
          <w:ilvl w:val="0"/>
          <w:numId w:val="7"/>
        </w:numPr>
        <w:ind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 xml:space="preserve">El costo de los materiales utilizados en la reproducción de la información; </w:t>
      </w:r>
    </w:p>
    <w:p w:rsidR="00A620F1" w:rsidRPr="00AB0024" w:rsidRDefault="00C85659">
      <w:pPr>
        <w:numPr>
          <w:ilvl w:val="0"/>
          <w:numId w:val="7"/>
        </w:numPr>
        <w:ind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 xml:space="preserve">El costo de envío, en su caso; y </w:t>
      </w:r>
    </w:p>
    <w:p w:rsidR="00A620F1" w:rsidRPr="00AB0024" w:rsidRDefault="00C85659">
      <w:pPr>
        <w:numPr>
          <w:ilvl w:val="0"/>
          <w:numId w:val="7"/>
        </w:numPr>
        <w:ind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 xml:space="preserve">El pago de la certificación de los documentos, cuando proceda. </w:t>
      </w:r>
    </w:p>
    <w:p w:rsidR="00A620F1" w:rsidRPr="00AB0024" w:rsidRDefault="00C85659">
      <w:pPr>
        <w:ind w:left="851"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 xml:space="preserve">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 </w:t>
      </w:r>
    </w:p>
    <w:p w:rsidR="00A620F1" w:rsidRPr="00AB0024" w:rsidRDefault="00C85659">
      <w:pPr>
        <w:tabs>
          <w:tab w:val="left" w:pos="851"/>
        </w:tabs>
        <w:ind w:left="851" w:right="901"/>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lastRenderedPageBreak/>
        <w:t xml:space="preserve">Los sujetos obligados a los que no les sea aplicable el Código Financiero del Estado de México y Municipios deberán establecer cuotas que no sean mayores a las dispuestas en dicho ordenamiento. </w:t>
      </w:r>
    </w:p>
    <w:p w:rsidR="00A620F1" w:rsidRPr="00AB0024" w:rsidRDefault="00C85659">
      <w:pPr>
        <w:ind w:left="851"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rsidR="00A620F1" w:rsidRPr="00AB0024" w:rsidRDefault="00C85659">
      <w:pPr>
        <w:ind w:left="851"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b/>
          <w:i/>
          <w:color w:val="000000"/>
          <w:sz w:val="22"/>
          <w:szCs w:val="22"/>
        </w:rPr>
        <w:t>Artículo 175.</w:t>
      </w:r>
      <w:r w:rsidRPr="00AB0024">
        <w:rPr>
          <w:rFonts w:ascii="Palatino Linotype" w:eastAsia="Palatino Linotype" w:hAnsi="Palatino Linotype" w:cs="Palatino Linotype"/>
          <w:i/>
          <w:color w:val="000000"/>
          <w:sz w:val="22"/>
          <w:szCs w:val="22"/>
        </w:rPr>
        <w:t xml:space="preserve">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 </w:t>
      </w:r>
    </w:p>
    <w:p w:rsidR="00A620F1" w:rsidRPr="00AB0024" w:rsidRDefault="00C85659">
      <w:pPr>
        <w:ind w:left="851"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En ningún caso, el pago de derechos deberá exceder el costo de reproducción de la información en el material solicitado. Los ajustes razonables que se realicen para el acceso de la información de solicitantes con discapacidad serán sin costo para los mismos.”</w:t>
      </w:r>
    </w:p>
    <w:p w:rsidR="00A620F1" w:rsidRPr="00AB0024" w:rsidRDefault="00C85659">
      <w:pPr>
        <w:spacing w:before="240" w:after="240" w:line="360" w:lineRule="auto"/>
        <w:ind w:right="49"/>
        <w:jc w:val="both"/>
        <w:rPr>
          <w:rFonts w:ascii="Palatino Linotype" w:eastAsia="Palatino Linotype" w:hAnsi="Palatino Linotype" w:cs="Palatino Linotype"/>
          <w:color w:val="000000"/>
        </w:rPr>
      </w:pPr>
      <w:r w:rsidRPr="00AB0024">
        <w:rPr>
          <w:rFonts w:ascii="Palatino Linotype" w:eastAsia="Palatino Linotype" w:hAnsi="Palatino Linotype" w:cs="Palatino Linotype"/>
        </w:rPr>
        <w:t xml:space="preserve">Es por todo lo expuesto que </w:t>
      </w:r>
      <w:r w:rsidRPr="00AB0024">
        <w:rPr>
          <w:rFonts w:ascii="Palatino Linotype" w:eastAsia="Palatino Linotype" w:hAnsi="Palatino Linotype" w:cs="Palatino Linotype"/>
          <w:color w:val="000000"/>
        </w:rPr>
        <w:t>este Instituto estima pertinente ordenar una búsqueda exhaustiva y razon</w:t>
      </w:r>
      <w:r w:rsidR="00655F49" w:rsidRPr="00AB0024">
        <w:rPr>
          <w:rFonts w:ascii="Palatino Linotype" w:eastAsia="Palatino Linotype" w:hAnsi="Palatino Linotype" w:cs="Palatino Linotype"/>
          <w:color w:val="000000"/>
        </w:rPr>
        <w:t xml:space="preserve">able para efecto de entregar de los </w:t>
      </w:r>
      <w:r w:rsidRPr="00AB0024">
        <w:rPr>
          <w:rFonts w:ascii="Palatino Linotype" w:eastAsia="Palatino Linotype" w:hAnsi="Palatino Linotype" w:cs="Palatino Linotype"/>
          <w:color w:val="000000"/>
        </w:rPr>
        <w:t xml:space="preserve">documentos </w:t>
      </w:r>
      <w:r w:rsidR="00655F49" w:rsidRPr="00AB0024">
        <w:rPr>
          <w:rFonts w:ascii="Palatino Linotype" w:eastAsia="Palatino Linotype" w:hAnsi="Palatino Linotype" w:cs="Palatino Linotype"/>
          <w:color w:val="000000"/>
        </w:rPr>
        <w:t xml:space="preserve"> que </w:t>
      </w:r>
      <w:r w:rsidRPr="00AB0024">
        <w:rPr>
          <w:rFonts w:ascii="Palatino Linotype" w:eastAsia="Palatino Linotype" w:hAnsi="Palatino Linotype" w:cs="Palatino Linotype"/>
          <w:color w:val="000000"/>
        </w:rPr>
        <w:t>den cuenta de</w:t>
      </w:r>
      <w:r w:rsidR="0085518A" w:rsidRPr="00AB0024">
        <w:rPr>
          <w:rFonts w:ascii="Palatino Linotype" w:eastAsia="Palatino Linotype" w:hAnsi="Palatino Linotype" w:cs="Palatino Linotype"/>
          <w:color w:val="000000"/>
        </w:rPr>
        <w:t xml:space="preserve"> lo siguiente</w:t>
      </w:r>
      <w:r w:rsidRPr="00AB0024">
        <w:rPr>
          <w:rFonts w:ascii="Palatino Linotype" w:eastAsia="Palatino Linotype" w:hAnsi="Palatino Linotype" w:cs="Palatino Linotype"/>
          <w:color w:val="000000"/>
        </w:rPr>
        <w:t xml:space="preserve">: </w:t>
      </w:r>
    </w:p>
    <w:p w:rsidR="001900DE" w:rsidRPr="00AB0024" w:rsidRDefault="001900DE" w:rsidP="001900DE">
      <w:pPr>
        <w:tabs>
          <w:tab w:val="left" w:pos="7655"/>
        </w:tabs>
        <w:spacing w:after="120"/>
        <w:ind w:left="567" w:right="900"/>
        <w:jc w:val="both"/>
        <w:rPr>
          <w:rFonts w:ascii="Palatino Linotype" w:eastAsia="Palatino Linotype" w:hAnsi="Palatino Linotype" w:cs="Palatino Linotype"/>
          <w:b/>
          <w:i/>
          <w:color w:val="000000"/>
          <w:sz w:val="22"/>
          <w:szCs w:val="22"/>
        </w:rPr>
      </w:pPr>
      <w:r w:rsidRPr="00AB0024">
        <w:rPr>
          <w:rFonts w:ascii="Palatino Linotype" w:eastAsia="Palatino Linotype" w:hAnsi="Palatino Linotype" w:cs="Palatino Linotype"/>
          <w:b/>
          <w:i/>
          <w:color w:val="000000"/>
          <w:sz w:val="22"/>
          <w:szCs w:val="22"/>
        </w:rPr>
        <w:t>1.- Los documentos que den cuenta del aviso o registro de la o</w:t>
      </w:r>
      <w:r w:rsidR="005639FC" w:rsidRPr="00AB0024">
        <w:rPr>
          <w:rFonts w:ascii="Palatino Linotype" w:eastAsia="Palatino Linotype" w:hAnsi="Palatino Linotype" w:cs="Palatino Linotype"/>
          <w:b/>
          <w:i/>
          <w:color w:val="000000"/>
          <w:sz w:val="22"/>
          <w:szCs w:val="22"/>
        </w:rPr>
        <w:t xml:space="preserve">ficina del comité municipal del Partido Revolucionario Institucional </w:t>
      </w:r>
      <w:r w:rsidRPr="00AB0024">
        <w:rPr>
          <w:rFonts w:ascii="Palatino Linotype" w:eastAsia="Palatino Linotype" w:hAnsi="Palatino Linotype" w:cs="Palatino Linotype"/>
          <w:b/>
          <w:i/>
          <w:color w:val="000000"/>
          <w:sz w:val="22"/>
          <w:szCs w:val="22"/>
        </w:rPr>
        <w:t xml:space="preserve">en el municipio de </w:t>
      </w:r>
      <w:proofErr w:type="spellStart"/>
      <w:r w:rsidRPr="00AB0024">
        <w:rPr>
          <w:rFonts w:ascii="Palatino Linotype" w:eastAsia="Palatino Linotype" w:hAnsi="Palatino Linotype" w:cs="Palatino Linotype"/>
          <w:b/>
          <w:i/>
          <w:color w:val="000000"/>
          <w:sz w:val="22"/>
          <w:szCs w:val="22"/>
        </w:rPr>
        <w:t>Amanalco</w:t>
      </w:r>
      <w:proofErr w:type="spellEnd"/>
      <w:r w:rsidRPr="00AB0024">
        <w:rPr>
          <w:rFonts w:ascii="Palatino Linotype" w:eastAsia="Palatino Linotype" w:hAnsi="Palatino Linotype" w:cs="Palatino Linotype"/>
          <w:b/>
          <w:i/>
          <w:color w:val="000000"/>
          <w:sz w:val="22"/>
          <w:szCs w:val="22"/>
        </w:rPr>
        <w:t xml:space="preserve">, Edo de México, vigente o que obre en sus archivos al quince de mayo de dos mil veintitrés. </w:t>
      </w:r>
    </w:p>
    <w:p w:rsidR="001900DE" w:rsidRPr="00AB0024" w:rsidRDefault="001900DE" w:rsidP="001900DE">
      <w:pPr>
        <w:tabs>
          <w:tab w:val="left" w:pos="7655"/>
        </w:tabs>
        <w:spacing w:after="120"/>
        <w:ind w:left="567" w:right="900"/>
        <w:jc w:val="both"/>
        <w:rPr>
          <w:rFonts w:ascii="Palatino Linotype" w:eastAsia="Palatino Linotype" w:hAnsi="Palatino Linotype" w:cs="Palatino Linotype"/>
          <w:b/>
          <w:i/>
          <w:color w:val="000000"/>
          <w:sz w:val="22"/>
          <w:szCs w:val="22"/>
        </w:rPr>
      </w:pPr>
      <w:r w:rsidRPr="00AB0024">
        <w:rPr>
          <w:rFonts w:ascii="Palatino Linotype" w:eastAsia="Palatino Linotype" w:hAnsi="Palatino Linotype" w:cs="Palatino Linotype"/>
          <w:b/>
          <w:i/>
          <w:color w:val="000000"/>
          <w:sz w:val="22"/>
          <w:szCs w:val="22"/>
        </w:rPr>
        <w:t>2.-</w:t>
      </w:r>
      <w:r w:rsidRPr="00AB0024">
        <w:t xml:space="preserve"> </w:t>
      </w:r>
      <w:r w:rsidRPr="00AB0024">
        <w:rPr>
          <w:rFonts w:ascii="Palatino Linotype" w:eastAsia="Palatino Linotype" w:hAnsi="Palatino Linotype" w:cs="Palatino Linotype"/>
          <w:b/>
          <w:i/>
          <w:color w:val="000000"/>
          <w:sz w:val="22"/>
          <w:szCs w:val="22"/>
        </w:rPr>
        <w:t xml:space="preserve">Los documentos que den cuenta de la prestación del servicio de agua potable, drenaje y alcantarillado en el inmueble referido en la solicitud de información, </w:t>
      </w:r>
      <w:r w:rsidRPr="00AB0024">
        <w:rPr>
          <w:rFonts w:ascii="Palatino Linotype" w:eastAsia="Palatino Linotype" w:hAnsi="Palatino Linotype" w:cs="Palatino Linotype"/>
          <w:b/>
          <w:i/>
        </w:rPr>
        <w:t>vigentes o que obren en sus archivos al</w:t>
      </w:r>
      <w:r w:rsidR="00655F49" w:rsidRPr="00AB0024">
        <w:rPr>
          <w:rFonts w:ascii="Palatino Linotype" w:eastAsia="Palatino Linotype" w:hAnsi="Palatino Linotype" w:cs="Palatino Linotype"/>
          <w:b/>
          <w:i/>
          <w:color w:val="000000"/>
          <w:sz w:val="22"/>
          <w:szCs w:val="22"/>
        </w:rPr>
        <w:t xml:space="preserve"> 15 de mayo de 2023, solo en caso de que dicho servicio haya sido solicitado por el partido político de referencia. </w:t>
      </w:r>
    </w:p>
    <w:p w:rsidR="0085518A" w:rsidRPr="00AB0024" w:rsidRDefault="00C85659" w:rsidP="0085518A">
      <w:pPr>
        <w:tabs>
          <w:tab w:val="left" w:pos="7655"/>
        </w:tabs>
        <w:spacing w:after="120"/>
        <w:ind w:left="567" w:right="900"/>
        <w:jc w:val="both"/>
        <w:rPr>
          <w:rFonts w:ascii="Palatino Linotype" w:eastAsia="Palatino Linotype" w:hAnsi="Palatino Linotype" w:cs="Palatino Linotype"/>
          <w:b/>
          <w:i/>
          <w:color w:val="000000"/>
          <w:sz w:val="22"/>
          <w:szCs w:val="22"/>
        </w:rPr>
      </w:pPr>
      <w:r w:rsidRPr="00AB0024">
        <w:rPr>
          <w:rFonts w:ascii="Palatino Linotype" w:eastAsia="Palatino Linotype" w:hAnsi="Palatino Linotype" w:cs="Palatino Linotype"/>
          <w:b/>
          <w:i/>
          <w:color w:val="000000"/>
          <w:sz w:val="22"/>
          <w:szCs w:val="22"/>
        </w:rPr>
        <w:t xml:space="preserve"> </w:t>
      </w:r>
      <w:r w:rsidR="0085518A" w:rsidRPr="00AB0024">
        <w:rPr>
          <w:rFonts w:ascii="Palatino Linotype" w:eastAsia="Palatino Linotype" w:hAnsi="Palatino Linotype" w:cs="Palatino Linotype"/>
          <w:b/>
          <w:i/>
          <w:color w:val="000000"/>
          <w:sz w:val="22"/>
          <w:szCs w:val="22"/>
        </w:rPr>
        <w:t xml:space="preserve">3.- Acuerdo emitido por el Comité de Transparencia del Ayuntamiento de </w:t>
      </w:r>
      <w:proofErr w:type="spellStart"/>
      <w:r w:rsidR="0085518A" w:rsidRPr="00AB0024">
        <w:rPr>
          <w:rFonts w:ascii="Palatino Linotype" w:eastAsia="Palatino Linotype" w:hAnsi="Palatino Linotype" w:cs="Palatino Linotype"/>
          <w:b/>
          <w:i/>
          <w:color w:val="000000"/>
          <w:sz w:val="22"/>
          <w:szCs w:val="22"/>
        </w:rPr>
        <w:t>Amanalco</w:t>
      </w:r>
      <w:proofErr w:type="spellEnd"/>
      <w:r w:rsidR="0085518A" w:rsidRPr="00AB0024">
        <w:rPr>
          <w:rFonts w:ascii="Palatino Linotype" w:eastAsia="Palatino Linotype" w:hAnsi="Palatino Linotype" w:cs="Palatino Linotype"/>
          <w:b/>
          <w:i/>
          <w:color w:val="000000"/>
          <w:sz w:val="22"/>
          <w:szCs w:val="22"/>
        </w:rPr>
        <w:t xml:space="preserve"> que confirme la incompetencia para generar, administrar o poseer información relacionada con el contrato de arrendamiento o de otra naturaleza, </w:t>
      </w:r>
      <w:r w:rsidR="00AD6FC4" w:rsidRPr="00AB0024">
        <w:rPr>
          <w:rFonts w:ascii="Palatino Linotype" w:eastAsia="Palatino Linotype" w:hAnsi="Palatino Linotype" w:cs="Palatino Linotype"/>
          <w:b/>
          <w:i/>
          <w:color w:val="000000"/>
          <w:sz w:val="22"/>
          <w:szCs w:val="22"/>
        </w:rPr>
        <w:t xml:space="preserve">así como de los documentos que den cuenta de que dicho inmueble cuenta con </w:t>
      </w:r>
      <w:r w:rsidR="0085518A" w:rsidRPr="00AB0024">
        <w:rPr>
          <w:rFonts w:ascii="Palatino Linotype" w:eastAsia="Palatino Linotype" w:hAnsi="Palatino Linotype" w:cs="Palatino Linotype"/>
          <w:b/>
          <w:i/>
          <w:color w:val="000000"/>
          <w:sz w:val="22"/>
          <w:szCs w:val="22"/>
        </w:rPr>
        <w:t xml:space="preserve">los servicios como: energía eléctrica, teléfono, internet </w:t>
      </w:r>
      <w:r w:rsidR="0085518A" w:rsidRPr="00AB0024">
        <w:rPr>
          <w:rFonts w:ascii="Palatino Linotype" w:eastAsia="Palatino Linotype" w:hAnsi="Palatino Linotype" w:cs="Palatino Linotype"/>
          <w:b/>
          <w:i/>
          <w:color w:val="000000"/>
          <w:sz w:val="22"/>
          <w:szCs w:val="22"/>
        </w:rPr>
        <w:lastRenderedPageBreak/>
        <w:t xml:space="preserve">u otros y los recursos que se destinan para el pago de renta u otros gastos del Partido Revolucionario Institucional. </w:t>
      </w:r>
    </w:p>
    <w:p w:rsidR="00A620F1" w:rsidRPr="00AB0024" w:rsidRDefault="00A620F1">
      <w:pPr>
        <w:tabs>
          <w:tab w:val="left" w:pos="7655"/>
        </w:tabs>
        <w:spacing w:after="120"/>
        <w:ind w:left="567" w:right="900"/>
        <w:jc w:val="both"/>
        <w:rPr>
          <w:rFonts w:ascii="Palatino Linotype" w:eastAsia="Palatino Linotype" w:hAnsi="Palatino Linotype" w:cs="Palatino Linotype"/>
          <w:b/>
          <w:i/>
          <w:color w:val="000000"/>
          <w:sz w:val="22"/>
          <w:szCs w:val="22"/>
        </w:rPr>
      </w:pPr>
    </w:p>
    <w:p w:rsidR="00A620F1" w:rsidRPr="00AB0024" w:rsidRDefault="00C85659">
      <w:pPr>
        <w:spacing w:before="240" w:after="240" w:line="360" w:lineRule="auto"/>
        <w:ind w:right="49"/>
        <w:jc w:val="both"/>
        <w:rPr>
          <w:rFonts w:ascii="Palatino Linotype" w:eastAsia="Palatino Linotype" w:hAnsi="Palatino Linotype" w:cs="Palatino Linotype"/>
        </w:rPr>
      </w:pPr>
      <w:bookmarkStart w:id="5" w:name="_heading=h.2et92p0" w:colFirst="0" w:colLast="0"/>
      <w:bookmarkEnd w:id="5"/>
      <w:r w:rsidRPr="00AB0024">
        <w:rPr>
          <w:rFonts w:ascii="Palatino Linotype" w:eastAsia="Palatino Linotype" w:hAnsi="Palatino Linotype" w:cs="Palatino Linotype"/>
        </w:rPr>
        <w:t>Es de precisar que dichos documentos deberán entregarse en versión pública de ser procedente conforme al siguiente considerando.</w:t>
      </w:r>
    </w:p>
    <w:p w:rsidR="00A620F1" w:rsidRPr="00AB0024" w:rsidRDefault="00C85659">
      <w:pPr>
        <w:spacing w:before="240" w:after="240" w:line="360" w:lineRule="auto"/>
        <w:ind w:right="49"/>
        <w:jc w:val="both"/>
        <w:rPr>
          <w:rFonts w:ascii="Palatino Linotype" w:eastAsia="Palatino Linotype" w:hAnsi="Palatino Linotype" w:cs="Palatino Linotype"/>
        </w:rPr>
      </w:pPr>
      <w:r w:rsidRPr="00AB0024">
        <w:rPr>
          <w:rFonts w:ascii="Palatino Linotype" w:eastAsia="Palatino Linotype" w:hAnsi="Palatino Linotype" w:cs="Palatino Linotype"/>
          <w:b/>
        </w:rPr>
        <w:t xml:space="preserve">Quinto. Versión Pública. </w:t>
      </w:r>
      <w:r w:rsidRPr="00AB0024">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AB0024">
        <w:rPr>
          <w:rFonts w:ascii="Palatino Linotype" w:eastAsia="Palatino Linotype" w:hAnsi="Palatino Linotype" w:cs="Palatino Linotype"/>
          <w:b/>
        </w:rPr>
        <w:t>Sujeto Obligado</w:t>
      </w:r>
      <w:r w:rsidRPr="00AB0024">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A620F1" w:rsidRPr="00AB0024" w:rsidRDefault="00C85659">
      <w:pPr>
        <w:spacing w:before="240" w:after="240" w:line="360" w:lineRule="auto"/>
        <w:ind w:right="50"/>
        <w:jc w:val="both"/>
        <w:rPr>
          <w:rFonts w:ascii="Palatino Linotype" w:eastAsia="Palatino Linotype" w:hAnsi="Palatino Linotype" w:cs="Palatino Linotype"/>
        </w:rPr>
      </w:pPr>
      <w:r w:rsidRPr="00AB0024">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sidRPr="00AB0024">
        <w:rPr>
          <w:rFonts w:ascii="Palatino Linotype" w:eastAsia="Palatino Linotype" w:hAnsi="Palatino Linotype" w:cs="Palatino Linotype"/>
        </w:rPr>
        <w:t>fracción</w:t>
      </w:r>
      <w:proofErr w:type="gramEnd"/>
      <w:r w:rsidRPr="00AB0024">
        <w:rPr>
          <w:rFonts w:ascii="Palatino Linotype" w:eastAsia="Palatino Linotype" w:hAnsi="Palatino Linotype" w:cs="Palatino Linotype"/>
        </w:rPr>
        <w:t xml:space="preserve"> I de la Ley de Transparencia y Acceso a la Información Pública del Estado de México y Municipios que establecen:</w:t>
      </w:r>
    </w:p>
    <w:p w:rsidR="00A620F1" w:rsidRPr="00AB0024" w:rsidRDefault="00C85659">
      <w:pPr>
        <w:spacing w:before="120" w:after="120"/>
        <w:ind w:left="567" w:right="902"/>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w:t>
      </w:r>
      <w:r w:rsidRPr="00AB0024">
        <w:rPr>
          <w:rFonts w:ascii="Palatino Linotype" w:eastAsia="Palatino Linotype" w:hAnsi="Palatino Linotype" w:cs="Palatino Linotype"/>
          <w:b/>
          <w:i/>
          <w:sz w:val="22"/>
          <w:szCs w:val="22"/>
        </w:rPr>
        <w:t>Artículo 3</w:t>
      </w:r>
      <w:r w:rsidRPr="00AB0024">
        <w:rPr>
          <w:rFonts w:ascii="Palatino Linotype" w:eastAsia="Palatino Linotype" w:hAnsi="Palatino Linotype" w:cs="Palatino Linotype"/>
          <w:i/>
          <w:sz w:val="22"/>
          <w:szCs w:val="22"/>
        </w:rPr>
        <w:t>. Para los efectos de la presente Ley se entenderá por:</w:t>
      </w:r>
    </w:p>
    <w:p w:rsidR="00A620F1" w:rsidRPr="00AB0024" w:rsidRDefault="00C85659">
      <w:pPr>
        <w:spacing w:before="120" w:after="120"/>
        <w:ind w:left="567" w:right="902"/>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w:t>
      </w:r>
    </w:p>
    <w:p w:rsidR="00A620F1" w:rsidRPr="00AB0024" w:rsidRDefault="00C85659">
      <w:pPr>
        <w:spacing w:before="120" w:after="120"/>
        <w:ind w:left="567" w:right="902"/>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b/>
          <w:i/>
          <w:sz w:val="22"/>
          <w:szCs w:val="22"/>
        </w:rPr>
        <w:t>IX. Datos personales:</w:t>
      </w:r>
      <w:r w:rsidRPr="00AB0024">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A620F1" w:rsidRPr="00AB0024" w:rsidRDefault="00C85659">
      <w:pPr>
        <w:spacing w:before="120" w:after="120"/>
        <w:ind w:left="567" w:right="902"/>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b/>
          <w:i/>
          <w:sz w:val="22"/>
          <w:szCs w:val="22"/>
        </w:rPr>
        <w:t>XX. Información clasificada</w:t>
      </w:r>
      <w:r w:rsidRPr="00AB0024">
        <w:rPr>
          <w:rFonts w:ascii="Palatino Linotype" w:eastAsia="Palatino Linotype" w:hAnsi="Palatino Linotype" w:cs="Palatino Linotype"/>
          <w:i/>
          <w:sz w:val="22"/>
          <w:szCs w:val="22"/>
        </w:rPr>
        <w:t>: Aquella considerada por la presente Ley como reservada o confidencial;</w:t>
      </w:r>
    </w:p>
    <w:p w:rsidR="00A620F1" w:rsidRPr="00AB0024" w:rsidRDefault="00C85659">
      <w:pPr>
        <w:spacing w:before="120" w:after="120"/>
        <w:ind w:left="567" w:right="902"/>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b/>
          <w:i/>
          <w:sz w:val="22"/>
          <w:szCs w:val="22"/>
        </w:rPr>
        <w:lastRenderedPageBreak/>
        <w:t>XXI. Información confidencial:</w:t>
      </w:r>
      <w:r w:rsidRPr="00AB0024">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A620F1" w:rsidRPr="00AB0024" w:rsidRDefault="00C85659">
      <w:pPr>
        <w:spacing w:before="120" w:after="120"/>
        <w:ind w:left="567" w:right="902"/>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b/>
          <w:i/>
          <w:sz w:val="22"/>
          <w:szCs w:val="22"/>
        </w:rPr>
        <w:t>XLV. Versión pública:</w:t>
      </w:r>
      <w:r w:rsidRPr="00AB0024">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A620F1" w:rsidRPr="00AB0024" w:rsidRDefault="00C85659">
      <w:pPr>
        <w:spacing w:before="120" w:after="120"/>
        <w:ind w:left="567" w:right="902"/>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w:t>
      </w:r>
    </w:p>
    <w:p w:rsidR="00A620F1" w:rsidRPr="00AB0024" w:rsidRDefault="00C85659">
      <w:pPr>
        <w:spacing w:before="120" w:after="120"/>
        <w:ind w:left="567" w:right="902"/>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b/>
          <w:i/>
          <w:sz w:val="22"/>
          <w:szCs w:val="22"/>
        </w:rPr>
        <w:t xml:space="preserve">Artículo 91. </w:t>
      </w:r>
      <w:r w:rsidRPr="00AB0024">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A620F1" w:rsidRPr="00AB0024" w:rsidRDefault="00C85659">
      <w:pPr>
        <w:spacing w:before="120" w:after="120"/>
        <w:ind w:left="567" w:right="902"/>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b/>
          <w:i/>
          <w:sz w:val="22"/>
          <w:szCs w:val="22"/>
        </w:rPr>
        <w:t xml:space="preserve">Artículo 132. </w:t>
      </w:r>
      <w:r w:rsidRPr="00AB0024">
        <w:rPr>
          <w:rFonts w:ascii="Palatino Linotype" w:eastAsia="Palatino Linotype" w:hAnsi="Palatino Linotype" w:cs="Palatino Linotype"/>
          <w:i/>
          <w:sz w:val="22"/>
          <w:szCs w:val="22"/>
        </w:rPr>
        <w:t>La clasificación de la información se llevará a cabo en el momento en que:</w:t>
      </w:r>
    </w:p>
    <w:p w:rsidR="00A620F1" w:rsidRPr="00AB0024" w:rsidRDefault="00C85659">
      <w:pPr>
        <w:spacing w:before="120" w:after="120"/>
        <w:ind w:left="567" w:right="902"/>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b/>
          <w:i/>
          <w:sz w:val="22"/>
          <w:szCs w:val="22"/>
        </w:rPr>
        <w:t>I</w:t>
      </w:r>
      <w:r w:rsidRPr="00AB0024">
        <w:rPr>
          <w:rFonts w:ascii="Palatino Linotype" w:eastAsia="Palatino Linotype" w:hAnsi="Palatino Linotype" w:cs="Palatino Linotype"/>
          <w:i/>
          <w:sz w:val="22"/>
          <w:szCs w:val="22"/>
        </w:rPr>
        <w:t>. Se reciba una solicitud de acceso a la información;</w:t>
      </w:r>
    </w:p>
    <w:p w:rsidR="00A620F1" w:rsidRPr="00AB0024" w:rsidRDefault="00C85659">
      <w:pPr>
        <w:spacing w:before="120" w:after="120"/>
        <w:ind w:left="567" w:right="902"/>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b/>
          <w:i/>
          <w:sz w:val="22"/>
          <w:szCs w:val="22"/>
        </w:rPr>
        <w:t>II</w:t>
      </w:r>
      <w:r w:rsidRPr="00AB0024">
        <w:rPr>
          <w:rFonts w:ascii="Palatino Linotype" w:eastAsia="Palatino Linotype" w:hAnsi="Palatino Linotype" w:cs="Palatino Linotype"/>
          <w:i/>
          <w:sz w:val="22"/>
          <w:szCs w:val="22"/>
        </w:rPr>
        <w:t>. Se determine mediante resolución de autoridad competente; o</w:t>
      </w:r>
    </w:p>
    <w:p w:rsidR="00A620F1" w:rsidRPr="00AB0024" w:rsidRDefault="00C85659">
      <w:pPr>
        <w:spacing w:before="120" w:after="120"/>
        <w:ind w:left="567" w:right="902"/>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b/>
          <w:i/>
          <w:sz w:val="22"/>
          <w:szCs w:val="22"/>
        </w:rPr>
        <w:t>III</w:t>
      </w:r>
      <w:r w:rsidRPr="00AB0024">
        <w:rPr>
          <w:rFonts w:ascii="Palatino Linotype" w:eastAsia="Palatino Linotype" w:hAnsi="Palatino Linotype" w:cs="Palatino Linotype"/>
          <w:i/>
          <w:sz w:val="22"/>
          <w:szCs w:val="22"/>
        </w:rPr>
        <w:t>. Se generen versiones públicas para dar cumplimiento a las obligaciones de transparencia previstas en esta Ley.</w:t>
      </w:r>
    </w:p>
    <w:p w:rsidR="00A620F1" w:rsidRPr="00AB0024" w:rsidRDefault="00C85659">
      <w:pPr>
        <w:spacing w:before="120" w:after="120"/>
        <w:ind w:left="567" w:right="902"/>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w:t>
      </w:r>
    </w:p>
    <w:p w:rsidR="00A620F1" w:rsidRPr="00AB0024" w:rsidRDefault="00C85659">
      <w:pPr>
        <w:spacing w:before="120" w:after="120"/>
        <w:ind w:left="567" w:right="902"/>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b/>
          <w:i/>
          <w:sz w:val="22"/>
          <w:szCs w:val="22"/>
        </w:rPr>
        <w:t>Artículo 143</w:t>
      </w:r>
      <w:r w:rsidRPr="00AB0024">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A620F1" w:rsidRPr="00AB0024" w:rsidRDefault="00C85659">
      <w:pPr>
        <w:spacing w:before="120" w:after="120"/>
        <w:ind w:left="567" w:right="902"/>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b/>
          <w:i/>
          <w:sz w:val="22"/>
          <w:szCs w:val="22"/>
        </w:rPr>
        <w:t>I.</w:t>
      </w:r>
      <w:r w:rsidRPr="00AB0024">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AB0024">
        <w:rPr>
          <w:rFonts w:ascii="Palatino Linotype" w:eastAsia="Palatino Linotype" w:hAnsi="Palatino Linotype" w:cs="Palatino Linotype"/>
          <w:i/>
          <w:sz w:val="22"/>
          <w:szCs w:val="22"/>
        </w:rPr>
        <w:t>jurídico</w:t>
      </w:r>
      <w:proofErr w:type="gramEnd"/>
      <w:r w:rsidRPr="00AB0024">
        <w:rPr>
          <w:rFonts w:ascii="Palatino Linotype" w:eastAsia="Palatino Linotype" w:hAnsi="Palatino Linotype" w:cs="Palatino Linotype"/>
          <w:i/>
          <w:sz w:val="22"/>
          <w:szCs w:val="22"/>
        </w:rPr>
        <w:t xml:space="preserve"> colectiva identificada o identificable;</w:t>
      </w:r>
    </w:p>
    <w:p w:rsidR="00A620F1" w:rsidRPr="00AB0024" w:rsidRDefault="00C85659">
      <w:pPr>
        <w:spacing w:before="120" w:after="120"/>
        <w:ind w:left="567" w:right="902"/>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b/>
          <w:i/>
          <w:sz w:val="22"/>
          <w:szCs w:val="22"/>
        </w:rPr>
        <w:t>II.</w:t>
      </w:r>
      <w:r w:rsidRPr="00AB0024">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A620F1" w:rsidRPr="00AB0024" w:rsidRDefault="00C85659">
      <w:pPr>
        <w:spacing w:before="120" w:after="120"/>
        <w:ind w:left="567" w:right="902"/>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b/>
          <w:i/>
          <w:sz w:val="22"/>
          <w:szCs w:val="22"/>
        </w:rPr>
        <w:t>III</w:t>
      </w:r>
      <w:r w:rsidRPr="00AB0024">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A620F1" w:rsidRPr="00AB0024" w:rsidRDefault="00C85659">
      <w:pPr>
        <w:spacing w:before="120" w:after="120"/>
        <w:ind w:left="567" w:right="902"/>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A620F1" w:rsidRPr="00AB0024" w:rsidRDefault="00C85659">
      <w:pPr>
        <w:spacing w:before="120" w:after="120"/>
        <w:ind w:left="567" w:right="902"/>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A620F1" w:rsidRPr="00AB0024" w:rsidRDefault="00C85659">
      <w:pPr>
        <w:spacing w:before="240" w:after="240"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w:t>
      </w:r>
      <w:r w:rsidRPr="00AB0024">
        <w:rPr>
          <w:rFonts w:ascii="Palatino Linotype" w:eastAsia="Palatino Linotype" w:hAnsi="Palatino Linotype" w:cs="Palatino Linotype"/>
        </w:rPr>
        <w:lastRenderedPageBreak/>
        <w:t>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A620F1" w:rsidRPr="00AB0024" w:rsidRDefault="00C85659">
      <w:pPr>
        <w:spacing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rPr>
        <w:t>Entorno a lo que aquí nos interesa,</w:t>
      </w:r>
      <w:r w:rsidRPr="00AB0024">
        <w:rPr>
          <w:rFonts w:ascii="Palatino Linotype" w:eastAsia="Palatino Linotype" w:hAnsi="Palatino Linotype" w:cs="Palatino Linotype"/>
          <w:color w:val="000000"/>
        </w:rPr>
        <w:t xml:space="preserve"> los Lineamientos Quincuagésimo, Quincuagésimo primero, Quincuagésimo segundo, Quincuagésimo tercero, Quincuagésimo cuarto y Quincuagésimo quinto</w:t>
      </w:r>
      <w:r w:rsidRPr="00AB0024">
        <w:rPr>
          <w:rFonts w:ascii="Palatino Linotype" w:eastAsia="Palatino Linotype" w:hAnsi="Palatino Linotype" w:cs="Palatino Linotype"/>
        </w:rPr>
        <w:t xml:space="preserve"> señalan las formalidades que deberá llevar el acuerdo de clasificación que deberá emitir el </w:t>
      </w:r>
      <w:r w:rsidRPr="00AB0024">
        <w:rPr>
          <w:rFonts w:ascii="Palatino Linotype" w:eastAsia="Palatino Linotype" w:hAnsi="Palatino Linotype" w:cs="Palatino Linotype"/>
          <w:b/>
        </w:rPr>
        <w:t>Sujeto Obligado</w:t>
      </w:r>
      <w:r w:rsidRPr="00AB0024">
        <w:rPr>
          <w:rFonts w:ascii="Palatino Linotype" w:eastAsia="Palatino Linotype" w:hAnsi="Palatino Linotype" w:cs="Palatino Linotype"/>
        </w:rPr>
        <w:t>, siendo estas las siguientes:</w:t>
      </w:r>
    </w:p>
    <w:p w:rsidR="00A620F1" w:rsidRPr="00AB0024" w:rsidRDefault="00A620F1">
      <w:pPr>
        <w:spacing w:line="360" w:lineRule="auto"/>
        <w:jc w:val="both"/>
        <w:rPr>
          <w:rFonts w:ascii="Palatino Linotype" w:eastAsia="Palatino Linotype" w:hAnsi="Palatino Linotype" w:cs="Palatino Linotype"/>
        </w:rPr>
      </w:pPr>
    </w:p>
    <w:p w:rsidR="00A620F1" w:rsidRPr="00AB0024" w:rsidRDefault="00C85659">
      <w:pPr>
        <w:spacing w:line="276" w:lineRule="auto"/>
        <w:ind w:left="567"/>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“CAPÍTULO VIII </w:t>
      </w:r>
    </w:p>
    <w:p w:rsidR="00A620F1" w:rsidRPr="00AB0024" w:rsidRDefault="00C85659">
      <w:pPr>
        <w:spacing w:line="276" w:lineRule="auto"/>
        <w:ind w:left="567"/>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DE LOS ELEMENTOS PARA LA CLASIFICACIÓN </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b/>
          <w:i/>
          <w:sz w:val="22"/>
          <w:szCs w:val="22"/>
        </w:rPr>
        <w:t>Quincuagésimo.</w:t>
      </w:r>
      <w:r w:rsidRPr="00AB0024">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A620F1" w:rsidRPr="00AB0024" w:rsidRDefault="00C85659">
      <w:pPr>
        <w:spacing w:line="276" w:lineRule="auto"/>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b/>
          <w:i/>
          <w:sz w:val="22"/>
          <w:szCs w:val="22"/>
        </w:rPr>
        <w:t>Quincuagésimo primero.</w:t>
      </w:r>
      <w:r w:rsidRPr="00AB0024">
        <w:rPr>
          <w:rFonts w:ascii="Palatino Linotype" w:eastAsia="Palatino Linotype" w:hAnsi="Palatino Linotype" w:cs="Palatino Linotype"/>
          <w:i/>
          <w:sz w:val="22"/>
          <w:szCs w:val="22"/>
        </w:rPr>
        <w:t xml:space="preserve"> Toda acta del Comité de Transparencia deberá contener: </w:t>
      </w:r>
    </w:p>
    <w:p w:rsidR="00A620F1" w:rsidRPr="00AB0024" w:rsidRDefault="00C85659">
      <w:pPr>
        <w:numPr>
          <w:ilvl w:val="1"/>
          <w:numId w:val="4"/>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 xml:space="preserve">El número de sesión y fecha; </w:t>
      </w:r>
    </w:p>
    <w:p w:rsidR="00A620F1" w:rsidRPr="00AB0024" w:rsidRDefault="00C85659">
      <w:pPr>
        <w:numPr>
          <w:ilvl w:val="1"/>
          <w:numId w:val="4"/>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 xml:space="preserve">El nombre del área que solicitó la clasificación de información; </w:t>
      </w:r>
    </w:p>
    <w:p w:rsidR="00A620F1" w:rsidRPr="00AB0024" w:rsidRDefault="00C85659">
      <w:pPr>
        <w:numPr>
          <w:ilvl w:val="1"/>
          <w:numId w:val="4"/>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 xml:space="preserve">La fundamentación legal y motivación correspondiente; </w:t>
      </w:r>
    </w:p>
    <w:p w:rsidR="00A620F1" w:rsidRPr="00AB0024" w:rsidRDefault="00C85659">
      <w:pPr>
        <w:numPr>
          <w:ilvl w:val="1"/>
          <w:numId w:val="4"/>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 xml:space="preserve">La resolución o resoluciones aprobadas; y </w:t>
      </w:r>
    </w:p>
    <w:p w:rsidR="00A620F1" w:rsidRPr="00AB0024" w:rsidRDefault="00C85659">
      <w:pPr>
        <w:numPr>
          <w:ilvl w:val="1"/>
          <w:numId w:val="4"/>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 xml:space="preserve">La rúbrica o firma digital de cada integrante del Comité de Transparencia. </w:t>
      </w:r>
    </w:p>
    <w:p w:rsidR="00A620F1" w:rsidRPr="00AB0024" w:rsidRDefault="00C85659">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 xml:space="preserve">Las resoluciones del Comité en las que se haya determinado confirmar o modificar la clasificación de información pública como reservada, deberán incluir, cuando menos: </w:t>
      </w:r>
    </w:p>
    <w:p w:rsidR="00A620F1" w:rsidRPr="00AB0024" w:rsidRDefault="00C85659">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I. Los motivos y razonamientos que sustenten la confirmación o modificación de la prueba de daño;</w:t>
      </w:r>
    </w:p>
    <w:p w:rsidR="00A620F1" w:rsidRPr="00AB0024" w:rsidRDefault="00C85659">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lastRenderedPageBreak/>
        <w:t xml:space="preserve">II. Descripción de las partes o secciones reservadas, en caso de clasificación parcial; </w:t>
      </w:r>
    </w:p>
    <w:p w:rsidR="00A620F1" w:rsidRPr="00AB0024" w:rsidRDefault="00C85659">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 xml:space="preserve">III. El periodo por el que mantendrá su clasificación y fecha de expiración; y </w:t>
      </w:r>
    </w:p>
    <w:p w:rsidR="00A620F1" w:rsidRPr="00AB0024" w:rsidRDefault="00C85659">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 xml:space="preserve">IV. El nombre del titular y área encargada de realizar la versión pública del documento, en su caso. </w:t>
      </w:r>
    </w:p>
    <w:p w:rsidR="00A620F1" w:rsidRPr="00AB0024" w:rsidRDefault="00C85659">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rsidR="00A620F1" w:rsidRPr="00AB0024" w:rsidRDefault="00C85659">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AB0024">
        <w:rPr>
          <w:rFonts w:ascii="Palatino Linotype" w:eastAsia="Palatino Linotype" w:hAnsi="Palatino Linotype" w:cs="Palatino Linotype"/>
          <w:b/>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A620F1" w:rsidRPr="00AB0024" w:rsidRDefault="00C85659">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b/>
          <w:i/>
          <w:color w:val="000000"/>
          <w:sz w:val="22"/>
          <w:szCs w:val="22"/>
        </w:rPr>
        <w:t xml:space="preserve">Quincuagésimo segundo. </w:t>
      </w:r>
      <w:r w:rsidRPr="00AB0024">
        <w:rPr>
          <w:rFonts w:ascii="Palatino Linotype" w:eastAsia="Palatino Linotype" w:hAnsi="Palatino Linotype" w:cs="Palatino Linotype"/>
          <w:i/>
          <w:color w:val="000000"/>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AB0024">
        <w:rPr>
          <w:rFonts w:ascii="Palatino Linotype" w:eastAsia="Palatino Linotype" w:hAnsi="Palatino Linotype" w:cs="Palatino Linotype"/>
          <w:i/>
          <w:color w:val="000000"/>
          <w:sz w:val="22"/>
          <w:szCs w:val="22"/>
        </w:rPr>
        <w:t>sobreposición</w:t>
      </w:r>
      <w:proofErr w:type="spellEnd"/>
      <w:r w:rsidRPr="00AB0024">
        <w:rPr>
          <w:rFonts w:ascii="Palatino Linotype" w:eastAsia="Palatino Linotype" w:hAnsi="Palatino Linotype" w:cs="Palatino Linotype"/>
          <w:i/>
          <w:color w:val="000000"/>
          <w:sz w:val="22"/>
          <w:szCs w:val="22"/>
        </w:rPr>
        <w:t xml:space="preserve"> de contenido distinto al autorizado por el Comité.</w:t>
      </w:r>
    </w:p>
    <w:p w:rsidR="00A620F1" w:rsidRPr="00AB0024" w:rsidRDefault="00C85659">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rsidR="00A620F1" w:rsidRPr="00AB0024" w:rsidRDefault="00C85659">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I. Fijar la fecha en que se elaboró la versión pública y la fecha en la cual el Comité de</w:t>
      </w:r>
    </w:p>
    <w:p w:rsidR="00A620F1" w:rsidRPr="00AB0024" w:rsidRDefault="00C85659">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Transparencia confirmó dicha versión;</w:t>
      </w:r>
    </w:p>
    <w:p w:rsidR="00A620F1" w:rsidRPr="00AB0024" w:rsidRDefault="00C85659">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rsidR="00A620F1" w:rsidRPr="00AB0024" w:rsidRDefault="00C85659">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III. Señalar las personas o instancias autorizadas a acceder a la información clasificada.</w:t>
      </w:r>
    </w:p>
    <w:p w:rsidR="00A620F1" w:rsidRPr="00AB0024" w:rsidRDefault="00C85659">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r w:rsidRPr="00AB0024">
        <w:rPr>
          <w:noProof/>
          <w:lang w:val="es-MX"/>
        </w:rPr>
        <w:drawing>
          <wp:anchor distT="0" distB="0" distL="114300" distR="114300" simplePos="0" relativeHeight="251665408" behindDoc="0" locked="0" layoutInCell="1" hidden="0" allowOverlap="1">
            <wp:simplePos x="0" y="0"/>
            <wp:positionH relativeFrom="column">
              <wp:posOffset>377190</wp:posOffset>
            </wp:positionH>
            <wp:positionV relativeFrom="paragraph">
              <wp:posOffset>798830</wp:posOffset>
            </wp:positionV>
            <wp:extent cx="4568190" cy="330200"/>
            <wp:effectExtent l="0" t="0" r="0" b="0"/>
            <wp:wrapTopAndBottom distT="0" distB="0"/>
            <wp:docPr id="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4568190" cy="330200"/>
                    </a:xfrm>
                    <a:prstGeom prst="rect">
                      <a:avLst/>
                    </a:prstGeom>
                    <a:ln/>
                  </pic:spPr>
                </pic:pic>
              </a:graphicData>
            </a:graphic>
          </wp:anchor>
        </w:drawing>
      </w:r>
    </w:p>
    <w:p w:rsidR="00A620F1" w:rsidRPr="00AB0024" w:rsidRDefault="00C85659">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AB0024">
        <w:rPr>
          <w:rFonts w:ascii="Palatino Linotype" w:eastAsia="Palatino Linotype" w:hAnsi="Palatino Linotype" w:cs="Palatino Linotype"/>
          <w:b/>
          <w:i/>
          <w:noProof/>
          <w:color w:val="000000"/>
          <w:sz w:val="22"/>
          <w:szCs w:val="22"/>
          <w:lang w:val="es-MX"/>
        </w:rPr>
        <w:lastRenderedPageBreak/>
        <w:drawing>
          <wp:inline distT="0" distB="0" distL="0" distR="0">
            <wp:extent cx="4576404" cy="5139653"/>
            <wp:effectExtent l="0" t="0" r="0" b="0"/>
            <wp:docPr id="10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4576404" cy="5139653"/>
                    </a:xfrm>
                    <a:prstGeom prst="rect">
                      <a:avLst/>
                    </a:prstGeom>
                    <a:ln/>
                  </pic:spPr>
                </pic:pic>
              </a:graphicData>
            </a:graphic>
          </wp:inline>
        </w:drawing>
      </w:r>
    </w:p>
    <w:p w:rsidR="00A620F1" w:rsidRPr="00AB0024" w:rsidRDefault="00A620F1">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rsidR="00A620F1" w:rsidRPr="00AB0024" w:rsidRDefault="00C85659">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b/>
          <w:i/>
          <w:color w:val="000000"/>
          <w:sz w:val="22"/>
          <w:szCs w:val="22"/>
        </w:rPr>
        <w:t xml:space="preserve">Quincuagésimo cuarto. </w:t>
      </w:r>
      <w:r w:rsidRPr="00AB0024">
        <w:rPr>
          <w:rFonts w:ascii="Palatino Linotype" w:eastAsia="Palatino Linotype" w:hAnsi="Palatino Linotype" w:cs="Palatino Linotype"/>
          <w:i/>
          <w:color w:val="000000"/>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A620F1" w:rsidRPr="00AB0024" w:rsidRDefault="00A620F1">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rsidR="00A620F1" w:rsidRPr="00AB0024" w:rsidRDefault="00C85659">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AB0024">
        <w:rPr>
          <w:rFonts w:ascii="Palatino Linotype" w:eastAsia="Palatino Linotype" w:hAnsi="Palatino Linotype" w:cs="Palatino Linotype"/>
          <w:b/>
          <w:i/>
          <w:color w:val="000000"/>
          <w:sz w:val="22"/>
          <w:szCs w:val="22"/>
        </w:rPr>
        <w:t xml:space="preserve">Quincuagésimo quinto. </w:t>
      </w:r>
      <w:r w:rsidRPr="00AB0024">
        <w:rPr>
          <w:rFonts w:ascii="Palatino Linotype" w:eastAsia="Palatino Linotype" w:hAnsi="Palatino Linotype" w:cs="Palatino Linotype"/>
          <w:i/>
          <w:color w:val="000000"/>
          <w:sz w:val="22"/>
          <w:szCs w:val="22"/>
        </w:rPr>
        <w:t xml:space="preserve">Cada área del sujeto obligado podrá designar formalmente a una o más personas como responsables del </w:t>
      </w:r>
      <w:proofErr w:type="spellStart"/>
      <w:r w:rsidRPr="00AB0024">
        <w:rPr>
          <w:rFonts w:ascii="Palatino Linotype" w:eastAsia="Palatino Linotype" w:hAnsi="Palatino Linotype" w:cs="Palatino Linotype"/>
          <w:i/>
          <w:color w:val="000000"/>
          <w:sz w:val="22"/>
          <w:szCs w:val="22"/>
        </w:rPr>
        <w:t>testado</w:t>
      </w:r>
      <w:proofErr w:type="spellEnd"/>
      <w:r w:rsidRPr="00AB0024">
        <w:rPr>
          <w:rFonts w:ascii="Palatino Linotype" w:eastAsia="Palatino Linotype" w:hAnsi="Palatino Linotype" w:cs="Palatino Linotype"/>
          <w:i/>
          <w:color w:val="000000"/>
          <w:sz w:val="22"/>
          <w:szCs w:val="22"/>
        </w:rPr>
        <w:t xml:space="preserve">, que sean encargadas de la adecuada elaboración o supervisión de las versiones públicas de los documentos o expedientes, verificando que cumplan con los requisitos señalados en las Leyes </w:t>
      </w:r>
      <w:r w:rsidRPr="00AB0024">
        <w:rPr>
          <w:rFonts w:ascii="Palatino Linotype" w:eastAsia="Palatino Linotype" w:hAnsi="Palatino Linotype" w:cs="Palatino Linotype"/>
          <w:i/>
          <w:color w:val="000000"/>
          <w:sz w:val="22"/>
          <w:szCs w:val="22"/>
        </w:rPr>
        <w:lastRenderedPageBreak/>
        <w:t xml:space="preserve">Generales, los presentes Lineamientos y demás normativa aplicable antes de su confirmación por el Comité de Transparencia.” (Sic) (Énfasis añadido) </w:t>
      </w:r>
    </w:p>
    <w:p w:rsidR="00A620F1" w:rsidRPr="00AB0024" w:rsidRDefault="00C85659">
      <w:pPr>
        <w:spacing w:before="240" w:after="240"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AB0024">
        <w:rPr>
          <w:rFonts w:ascii="Palatino Linotype" w:eastAsia="Palatino Linotype" w:hAnsi="Palatino Linotype" w:cs="Palatino Linotype"/>
          <w:b/>
        </w:rPr>
        <w:t>Sujeto Obligado</w:t>
      </w:r>
      <w:r w:rsidRPr="00AB0024">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A620F1" w:rsidRPr="00AB0024" w:rsidRDefault="00C85659">
      <w:pPr>
        <w:spacing w:before="240" w:after="240"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rPr>
        <w:t xml:space="preserve">Es por todo lo expuesto que resulta procedente modificar la respuesta en términos de la fracción III del artículo 186 de la Ley de Transparencia y Acceso a la Información Pública del Estado de México y Municipios, a efectos de que el </w:t>
      </w:r>
      <w:r w:rsidRPr="00AB0024">
        <w:rPr>
          <w:rFonts w:ascii="Palatino Linotype" w:eastAsia="Palatino Linotype" w:hAnsi="Palatino Linotype" w:cs="Palatino Linotype"/>
          <w:b/>
        </w:rPr>
        <w:t xml:space="preserve">Sujeto Obligado </w:t>
      </w:r>
      <w:r w:rsidRPr="00AB0024">
        <w:rPr>
          <w:rFonts w:ascii="Palatino Linotype" w:eastAsia="Palatino Linotype" w:hAnsi="Palatino Linotype" w:cs="Palatino Linotype"/>
        </w:rPr>
        <w:t>entregue la información requerida.</w:t>
      </w:r>
    </w:p>
    <w:p w:rsidR="00A620F1" w:rsidRPr="00AB0024" w:rsidRDefault="00C85659">
      <w:pPr>
        <w:spacing w:after="240"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de la Ley de Transparencia y Acceso a la Información Pública del Estado de México y Municipios, este Pleno:</w:t>
      </w:r>
    </w:p>
    <w:p w:rsidR="00C20A80" w:rsidRPr="00AB0024" w:rsidRDefault="00C20A80">
      <w:pPr>
        <w:spacing w:after="240" w:line="360" w:lineRule="auto"/>
        <w:jc w:val="both"/>
        <w:rPr>
          <w:rFonts w:ascii="Palatino Linotype" w:eastAsia="Palatino Linotype" w:hAnsi="Palatino Linotype" w:cs="Palatino Linotype"/>
        </w:rPr>
      </w:pPr>
    </w:p>
    <w:p w:rsidR="00C20A80" w:rsidRPr="00AB0024" w:rsidRDefault="00C20A80">
      <w:pPr>
        <w:spacing w:after="240" w:line="360" w:lineRule="auto"/>
        <w:jc w:val="both"/>
        <w:rPr>
          <w:rFonts w:ascii="Palatino Linotype" w:eastAsia="Palatino Linotype" w:hAnsi="Palatino Linotype" w:cs="Palatino Linotype"/>
        </w:rPr>
      </w:pPr>
    </w:p>
    <w:p w:rsidR="00A620F1" w:rsidRPr="00AB0024" w:rsidRDefault="00C85659">
      <w:pPr>
        <w:numPr>
          <w:ilvl w:val="0"/>
          <w:numId w:val="10"/>
        </w:numPr>
        <w:spacing w:after="240" w:line="360" w:lineRule="auto"/>
        <w:ind w:left="2552" w:hanging="140"/>
        <w:jc w:val="both"/>
        <w:rPr>
          <w:rFonts w:ascii="Palatino Linotype" w:eastAsia="Palatino Linotype" w:hAnsi="Palatino Linotype" w:cs="Palatino Linotype"/>
          <w:b/>
        </w:rPr>
      </w:pPr>
      <w:r w:rsidRPr="00AB0024">
        <w:rPr>
          <w:rFonts w:ascii="Palatino Linotype" w:eastAsia="Palatino Linotype" w:hAnsi="Palatino Linotype" w:cs="Palatino Linotype"/>
          <w:b/>
        </w:rPr>
        <w:lastRenderedPageBreak/>
        <w:t>R E S U E L V E:</w:t>
      </w:r>
    </w:p>
    <w:p w:rsidR="00A620F1" w:rsidRPr="00AB0024" w:rsidRDefault="00C85659">
      <w:pPr>
        <w:spacing w:before="240" w:after="240"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b/>
        </w:rPr>
        <w:t xml:space="preserve">Primero. </w:t>
      </w:r>
      <w:r w:rsidRPr="00AB0024">
        <w:rPr>
          <w:rFonts w:ascii="Palatino Linotype" w:eastAsia="Palatino Linotype" w:hAnsi="Palatino Linotype" w:cs="Palatino Linotype"/>
        </w:rPr>
        <w:t xml:space="preserve">Resultan </w:t>
      </w:r>
      <w:r w:rsidRPr="00AB0024">
        <w:rPr>
          <w:rFonts w:ascii="Palatino Linotype" w:eastAsia="Palatino Linotype" w:hAnsi="Palatino Linotype" w:cs="Palatino Linotype"/>
          <w:b/>
        </w:rPr>
        <w:t>fundadas</w:t>
      </w:r>
      <w:r w:rsidRPr="00AB0024">
        <w:rPr>
          <w:rFonts w:ascii="Palatino Linotype" w:eastAsia="Palatino Linotype" w:hAnsi="Palatino Linotype" w:cs="Palatino Linotype"/>
        </w:rPr>
        <w:t xml:space="preserve"> las razones o motivos de inconformidad hechos valer por </w:t>
      </w:r>
      <w:r w:rsidRPr="00AB0024">
        <w:rPr>
          <w:rFonts w:ascii="Palatino Linotype" w:eastAsia="Palatino Linotype" w:hAnsi="Palatino Linotype" w:cs="Palatino Linotype"/>
          <w:b/>
          <w:color w:val="000000"/>
        </w:rPr>
        <w:t>la parte Recurrente</w:t>
      </w:r>
      <w:r w:rsidRPr="00AB0024">
        <w:rPr>
          <w:rFonts w:ascii="Palatino Linotype" w:eastAsia="Palatino Linotype" w:hAnsi="Palatino Linotype" w:cs="Palatino Linotype"/>
          <w:color w:val="000000"/>
        </w:rPr>
        <w:t xml:space="preserve"> </w:t>
      </w:r>
      <w:r w:rsidRPr="00AB0024">
        <w:rPr>
          <w:rFonts w:ascii="Palatino Linotype" w:eastAsia="Palatino Linotype" w:hAnsi="Palatino Linotype" w:cs="Palatino Linotype"/>
        </w:rPr>
        <w:t xml:space="preserve">en el recurso de revisión </w:t>
      </w:r>
      <w:r w:rsidRPr="00AB0024">
        <w:rPr>
          <w:rFonts w:ascii="Palatino Linotype" w:eastAsia="Palatino Linotype" w:hAnsi="Palatino Linotype" w:cs="Palatino Linotype"/>
          <w:b/>
        </w:rPr>
        <w:t>03339/INFOEM/IP/RR/2023</w:t>
      </w:r>
      <w:r w:rsidRPr="00AB0024">
        <w:rPr>
          <w:rFonts w:ascii="Palatino Linotype" w:eastAsia="Palatino Linotype" w:hAnsi="Palatino Linotype" w:cs="Palatino Linotype"/>
        </w:rPr>
        <w:t xml:space="preserve">; por lo que, en términos del </w:t>
      </w:r>
      <w:r w:rsidRPr="00AB0024">
        <w:rPr>
          <w:rFonts w:ascii="Palatino Linotype" w:eastAsia="Palatino Linotype" w:hAnsi="Palatino Linotype" w:cs="Palatino Linotype"/>
          <w:b/>
        </w:rPr>
        <w:t>Considerando</w:t>
      </w:r>
      <w:r w:rsidRPr="00AB0024">
        <w:rPr>
          <w:rFonts w:ascii="Palatino Linotype" w:eastAsia="Palatino Linotype" w:hAnsi="Palatino Linotype" w:cs="Palatino Linotype"/>
        </w:rPr>
        <w:t xml:space="preserve"> </w:t>
      </w:r>
      <w:r w:rsidRPr="00AB0024">
        <w:rPr>
          <w:rFonts w:ascii="Palatino Linotype" w:eastAsia="Palatino Linotype" w:hAnsi="Palatino Linotype" w:cs="Palatino Linotype"/>
          <w:b/>
        </w:rPr>
        <w:t xml:space="preserve">Cuarto </w:t>
      </w:r>
      <w:r w:rsidRPr="00AB0024">
        <w:rPr>
          <w:rFonts w:ascii="Palatino Linotype" w:eastAsia="Palatino Linotype" w:hAnsi="Palatino Linotype" w:cs="Palatino Linotype"/>
        </w:rPr>
        <w:t xml:space="preserve">de esta resolución, se </w:t>
      </w:r>
      <w:r w:rsidRPr="00AB0024">
        <w:rPr>
          <w:rFonts w:ascii="Palatino Linotype" w:eastAsia="Palatino Linotype" w:hAnsi="Palatino Linotype" w:cs="Palatino Linotype"/>
          <w:b/>
        </w:rPr>
        <w:t xml:space="preserve">MODIFICA </w:t>
      </w:r>
      <w:r w:rsidRPr="00AB0024">
        <w:rPr>
          <w:rFonts w:ascii="Palatino Linotype" w:eastAsia="Palatino Linotype" w:hAnsi="Palatino Linotype" w:cs="Palatino Linotype"/>
        </w:rPr>
        <w:t xml:space="preserve">la respuesta emitida por el </w:t>
      </w:r>
      <w:r w:rsidRPr="00AB0024">
        <w:rPr>
          <w:rFonts w:ascii="Palatino Linotype" w:eastAsia="Palatino Linotype" w:hAnsi="Palatino Linotype" w:cs="Palatino Linotype"/>
          <w:b/>
        </w:rPr>
        <w:t>Sujeto Obligado.</w:t>
      </w:r>
      <w:r w:rsidRPr="00AB0024">
        <w:rPr>
          <w:rFonts w:ascii="Palatino Linotype" w:eastAsia="Palatino Linotype" w:hAnsi="Palatino Linotype" w:cs="Palatino Linotype"/>
          <w:b/>
          <w:color w:val="FF0000"/>
        </w:rPr>
        <w:t xml:space="preserve"> </w:t>
      </w:r>
    </w:p>
    <w:p w:rsidR="00A620F1" w:rsidRPr="00AB0024" w:rsidRDefault="00C85659">
      <w:pPr>
        <w:spacing w:before="240" w:after="240" w:line="360" w:lineRule="auto"/>
        <w:ind w:right="49"/>
        <w:jc w:val="both"/>
        <w:rPr>
          <w:rFonts w:ascii="Palatino Linotype" w:eastAsia="Palatino Linotype" w:hAnsi="Palatino Linotype" w:cs="Palatino Linotype"/>
          <w:b/>
        </w:rPr>
      </w:pPr>
      <w:bookmarkStart w:id="6" w:name="_heading=h.1fob9te" w:colFirst="0" w:colLast="0"/>
      <w:bookmarkEnd w:id="6"/>
      <w:r w:rsidRPr="00AB0024">
        <w:rPr>
          <w:rFonts w:ascii="Palatino Linotype" w:eastAsia="Palatino Linotype" w:hAnsi="Palatino Linotype" w:cs="Palatino Linotype"/>
          <w:b/>
        </w:rPr>
        <w:t xml:space="preserve">Segundo. </w:t>
      </w:r>
      <w:r w:rsidRPr="00AB0024">
        <w:rPr>
          <w:rFonts w:ascii="Palatino Linotype" w:eastAsia="Palatino Linotype" w:hAnsi="Palatino Linotype" w:cs="Palatino Linotype"/>
        </w:rPr>
        <w:t xml:space="preserve">Se </w:t>
      </w:r>
      <w:r w:rsidRPr="00AB0024">
        <w:rPr>
          <w:rFonts w:ascii="Palatino Linotype" w:eastAsia="Palatino Linotype" w:hAnsi="Palatino Linotype" w:cs="Palatino Linotype"/>
          <w:b/>
        </w:rPr>
        <w:t xml:space="preserve">Ordena </w:t>
      </w:r>
      <w:r w:rsidRPr="00AB0024">
        <w:rPr>
          <w:rFonts w:ascii="Palatino Linotype" w:eastAsia="Palatino Linotype" w:hAnsi="Palatino Linotype" w:cs="Palatino Linotype"/>
        </w:rPr>
        <w:t xml:space="preserve">al </w:t>
      </w:r>
      <w:r w:rsidRPr="00AB0024">
        <w:rPr>
          <w:rFonts w:ascii="Palatino Linotype" w:eastAsia="Palatino Linotype" w:hAnsi="Palatino Linotype" w:cs="Palatino Linotype"/>
          <w:b/>
        </w:rPr>
        <w:t>Sujeto Obligado</w:t>
      </w:r>
      <w:r w:rsidRPr="00AB0024">
        <w:rPr>
          <w:rFonts w:ascii="Palatino Linotype" w:eastAsia="Palatino Linotype" w:hAnsi="Palatino Linotype" w:cs="Palatino Linotype"/>
        </w:rPr>
        <w:t xml:space="preserve"> haga entrega a</w:t>
      </w:r>
      <w:r w:rsidRPr="00AB0024">
        <w:rPr>
          <w:rFonts w:ascii="Palatino Linotype" w:eastAsia="Palatino Linotype" w:hAnsi="Palatino Linotype" w:cs="Palatino Linotype"/>
          <w:b/>
        </w:rPr>
        <w:t xml:space="preserve"> la parte Recurrente, previa búsqueda exhaustiva y razonable,</w:t>
      </w:r>
      <w:r w:rsidRPr="00AB0024">
        <w:rPr>
          <w:rFonts w:ascii="Palatino Linotype" w:eastAsia="Palatino Linotype" w:hAnsi="Palatino Linotype" w:cs="Palatino Linotype"/>
        </w:rPr>
        <w:t xml:space="preserve"> vía SAIMEX y en copias certificadas</w:t>
      </w:r>
      <w:r w:rsidRPr="00AB0024">
        <w:rPr>
          <w:rFonts w:ascii="Palatino Linotype" w:eastAsia="Palatino Linotype" w:hAnsi="Palatino Linotype" w:cs="Palatino Linotype"/>
          <w:b/>
        </w:rPr>
        <w:t>, en versión pública de ser procedente</w:t>
      </w:r>
      <w:r w:rsidRPr="00AB0024">
        <w:rPr>
          <w:rFonts w:ascii="Palatino Linotype" w:eastAsia="Palatino Linotype" w:hAnsi="Palatino Linotype" w:cs="Palatino Linotype"/>
        </w:rPr>
        <w:t xml:space="preserve">, en términos de los </w:t>
      </w:r>
      <w:r w:rsidRPr="00AB0024">
        <w:rPr>
          <w:rFonts w:ascii="Palatino Linotype" w:eastAsia="Palatino Linotype" w:hAnsi="Palatino Linotype" w:cs="Palatino Linotype"/>
          <w:b/>
        </w:rPr>
        <w:t>Considerandos</w:t>
      </w:r>
      <w:r w:rsidRPr="00AB0024">
        <w:rPr>
          <w:rFonts w:ascii="Palatino Linotype" w:eastAsia="Palatino Linotype" w:hAnsi="Palatino Linotype" w:cs="Palatino Linotype"/>
        </w:rPr>
        <w:t xml:space="preserve"> </w:t>
      </w:r>
      <w:r w:rsidRPr="00AB0024">
        <w:rPr>
          <w:rFonts w:ascii="Palatino Linotype" w:eastAsia="Palatino Linotype" w:hAnsi="Palatino Linotype" w:cs="Palatino Linotype"/>
          <w:b/>
        </w:rPr>
        <w:t xml:space="preserve">Cuarto y Quinto de la presente resolución, lo siguiente: </w:t>
      </w:r>
    </w:p>
    <w:p w:rsidR="00A620F1" w:rsidRPr="00AB0024" w:rsidRDefault="00C85659">
      <w:pPr>
        <w:tabs>
          <w:tab w:val="left" w:pos="7655"/>
        </w:tabs>
        <w:spacing w:after="120"/>
        <w:ind w:left="567" w:right="900"/>
        <w:jc w:val="both"/>
        <w:rPr>
          <w:rFonts w:ascii="Palatino Linotype" w:eastAsia="Palatino Linotype" w:hAnsi="Palatino Linotype" w:cs="Palatino Linotype"/>
          <w:b/>
          <w:i/>
          <w:color w:val="000000"/>
          <w:sz w:val="22"/>
          <w:szCs w:val="22"/>
        </w:rPr>
      </w:pPr>
      <w:r w:rsidRPr="00AB0024">
        <w:rPr>
          <w:rFonts w:ascii="Palatino Linotype" w:eastAsia="Palatino Linotype" w:hAnsi="Palatino Linotype" w:cs="Palatino Linotype"/>
          <w:b/>
          <w:i/>
          <w:color w:val="000000"/>
          <w:sz w:val="22"/>
          <w:szCs w:val="22"/>
        </w:rPr>
        <w:t xml:space="preserve">1.- Los documentos que den cuenta del aviso o registro de la oficina del comité municipal del </w:t>
      </w:r>
      <w:r w:rsidR="005639FC" w:rsidRPr="00AB0024">
        <w:rPr>
          <w:rFonts w:ascii="Palatino Linotype" w:eastAsia="Palatino Linotype" w:hAnsi="Palatino Linotype" w:cs="Palatino Linotype"/>
          <w:b/>
          <w:i/>
          <w:color w:val="000000"/>
          <w:sz w:val="22"/>
          <w:szCs w:val="22"/>
        </w:rPr>
        <w:t xml:space="preserve">Partido Revolucionario Institucional </w:t>
      </w:r>
      <w:r w:rsidRPr="00AB0024">
        <w:rPr>
          <w:rFonts w:ascii="Palatino Linotype" w:eastAsia="Palatino Linotype" w:hAnsi="Palatino Linotype" w:cs="Palatino Linotype"/>
          <w:b/>
          <w:i/>
          <w:color w:val="000000"/>
          <w:sz w:val="22"/>
          <w:szCs w:val="22"/>
        </w:rPr>
        <w:t xml:space="preserve">en el municipio de </w:t>
      </w:r>
      <w:proofErr w:type="spellStart"/>
      <w:r w:rsidRPr="00AB0024">
        <w:rPr>
          <w:rFonts w:ascii="Palatino Linotype" w:eastAsia="Palatino Linotype" w:hAnsi="Palatino Linotype" w:cs="Palatino Linotype"/>
          <w:b/>
          <w:i/>
          <w:color w:val="000000"/>
          <w:sz w:val="22"/>
          <w:szCs w:val="22"/>
        </w:rPr>
        <w:t>Amanalco</w:t>
      </w:r>
      <w:proofErr w:type="spellEnd"/>
      <w:r w:rsidRPr="00AB0024">
        <w:rPr>
          <w:rFonts w:ascii="Palatino Linotype" w:eastAsia="Palatino Linotype" w:hAnsi="Palatino Linotype" w:cs="Palatino Linotype"/>
          <w:b/>
          <w:i/>
          <w:color w:val="000000"/>
          <w:sz w:val="22"/>
          <w:szCs w:val="22"/>
        </w:rPr>
        <w:t xml:space="preserve">, Edo de México, vigente o que obre en sus archivos al quince de mayo de dos mil veintitrés. </w:t>
      </w:r>
    </w:p>
    <w:p w:rsidR="00A620F1" w:rsidRPr="00AB0024" w:rsidRDefault="00C85659">
      <w:pPr>
        <w:tabs>
          <w:tab w:val="left" w:pos="7655"/>
        </w:tabs>
        <w:spacing w:after="120"/>
        <w:ind w:left="567" w:right="900"/>
        <w:jc w:val="both"/>
        <w:rPr>
          <w:rFonts w:ascii="Palatino Linotype" w:eastAsia="Palatino Linotype" w:hAnsi="Palatino Linotype" w:cs="Palatino Linotype"/>
          <w:b/>
          <w:i/>
          <w:color w:val="000000"/>
          <w:sz w:val="22"/>
          <w:szCs w:val="22"/>
        </w:rPr>
      </w:pPr>
      <w:r w:rsidRPr="00AB0024">
        <w:rPr>
          <w:rFonts w:ascii="Palatino Linotype" w:eastAsia="Palatino Linotype" w:hAnsi="Palatino Linotype" w:cs="Palatino Linotype"/>
          <w:b/>
          <w:i/>
          <w:color w:val="000000"/>
          <w:sz w:val="22"/>
          <w:szCs w:val="22"/>
        </w:rPr>
        <w:t>2.-</w:t>
      </w:r>
      <w:r w:rsidR="001900DE" w:rsidRPr="00AB0024">
        <w:rPr>
          <w:sz w:val="22"/>
          <w:szCs w:val="22"/>
        </w:rPr>
        <w:t xml:space="preserve"> </w:t>
      </w:r>
      <w:r w:rsidR="001900DE" w:rsidRPr="00AB0024">
        <w:rPr>
          <w:rFonts w:ascii="Palatino Linotype" w:eastAsia="Palatino Linotype" w:hAnsi="Palatino Linotype" w:cs="Palatino Linotype"/>
          <w:b/>
          <w:i/>
          <w:color w:val="000000"/>
          <w:sz w:val="22"/>
          <w:szCs w:val="22"/>
        </w:rPr>
        <w:t xml:space="preserve">Los documentos que den cuenta de la prestación del servicio de agua potable, drenaje y alcantarillado en el inmueble referido en la solicitud de información, </w:t>
      </w:r>
      <w:r w:rsidR="001900DE" w:rsidRPr="00AB0024">
        <w:rPr>
          <w:rFonts w:ascii="Palatino Linotype" w:eastAsia="Palatino Linotype" w:hAnsi="Palatino Linotype" w:cs="Palatino Linotype"/>
          <w:b/>
          <w:i/>
          <w:sz w:val="22"/>
          <w:szCs w:val="22"/>
        </w:rPr>
        <w:t>vigentes o que obren en sus archivos al</w:t>
      </w:r>
      <w:r w:rsidR="001900DE" w:rsidRPr="00AB0024">
        <w:rPr>
          <w:rFonts w:ascii="Palatino Linotype" w:eastAsia="Palatino Linotype" w:hAnsi="Palatino Linotype" w:cs="Palatino Linotype"/>
          <w:b/>
          <w:i/>
          <w:color w:val="000000"/>
          <w:sz w:val="22"/>
          <w:szCs w:val="22"/>
        </w:rPr>
        <w:t xml:space="preserve"> 15 de mayo de 2023</w:t>
      </w:r>
      <w:r w:rsidRPr="00AB0024">
        <w:rPr>
          <w:rFonts w:ascii="Palatino Linotype" w:eastAsia="Palatino Linotype" w:hAnsi="Palatino Linotype" w:cs="Palatino Linotype"/>
          <w:b/>
          <w:i/>
          <w:color w:val="000000"/>
          <w:sz w:val="22"/>
          <w:szCs w:val="22"/>
        </w:rPr>
        <w:t>.</w:t>
      </w:r>
    </w:p>
    <w:p w:rsidR="00A620F1" w:rsidRPr="00AB0024" w:rsidRDefault="00C85659">
      <w:pPr>
        <w:tabs>
          <w:tab w:val="left" w:pos="7655"/>
        </w:tabs>
        <w:spacing w:after="120"/>
        <w:ind w:left="567" w:right="900"/>
        <w:jc w:val="both"/>
        <w:rPr>
          <w:rFonts w:ascii="Palatino Linotype" w:eastAsia="Palatino Linotype" w:hAnsi="Palatino Linotype" w:cs="Palatino Linotype"/>
          <w:b/>
          <w:i/>
          <w:color w:val="000000"/>
          <w:sz w:val="22"/>
          <w:szCs w:val="22"/>
        </w:rPr>
      </w:pPr>
      <w:r w:rsidRPr="00AB0024">
        <w:rPr>
          <w:rFonts w:ascii="Palatino Linotype" w:eastAsia="Palatino Linotype" w:hAnsi="Palatino Linotype" w:cs="Palatino Linotype"/>
          <w:b/>
          <w:i/>
          <w:color w:val="000000"/>
          <w:sz w:val="22"/>
          <w:szCs w:val="22"/>
        </w:rPr>
        <w:t xml:space="preserve">3.- Acuerdo emitido por el Comité de Transparencia del Ayuntamiento de </w:t>
      </w:r>
      <w:proofErr w:type="spellStart"/>
      <w:r w:rsidRPr="00AB0024">
        <w:rPr>
          <w:rFonts w:ascii="Palatino Linotype" w:eastAsia="Palatino Linotype" w:hAnsi="Palatino Linotype" w:cs="Palatino Linotype"/>
          <w:b/>
          <w:i/>
          <w:color w:val="000000"/>
          <w:sz w:val="22"/>
          <w:szCs w:val="22"/>
        </w:rPr>
        <w:t>Amanalco</w:t>
      </w:r>
      <w:proofErr w:type="spellEnd"/>
      <w:r w:rsidRPr="00AB0024">
        <w:rPr>
          <w:rFonts w:ascii="Palatino Linotype" w:eastAsia="Palatino Linotype" w:hAnsi="Palatino Linotype" w:cs="Palatino Linotype"/>
          <w:b/>
          <w:i/>
          <w:color w:val="000000"/>
          <w:sz w:val="22"/>
          <w:szCs w:val="22"/>
        </w:rPr>
        <w:t xml:space="preserve"> que confirme la incompetencia para generar, administrar o poseer información relacionada con el contrato de arrendamiento o de otra na</w:t>
      </w:r>
      <w:r w:rsidR="00C3682C" w:rsidRPr="00AB0024">
        <w:rPr>
          <w:rFonts w:ascii="Palatino Linotype" w:eastAsia="Palatino Linotype" w:hAnsi="Palatino Linotype" w:cs="Palatino Linotype"/>
          <w:b/>
          <w:i/>
          <w:color w:val="000000"/>
          <w:sz w:val="22"/>
          <w:szCs w:val="22"/>
        </w:rPr>
        <w:t xml:space="preserve">turaleza, </w:t>
      </w:r>
      <w:r w:rsidR="00AD6FC4" w:rsidRPr="00AB0024">
        <w:rPr>
          <w:rFonts w:ascii="Palatino Linotype" w:eastAsia="Palatino Linotype" w:hAnsi="Palatino Linotype" w:cs="Palatino Linotype"/>
          <w:b/>
          <w:i/>
          <w:color w:val="000000"/>
          <w:sz w:val="22"/>
          <w:szCs w:val="22"/>
        </w:rPr>
        <w:t xml:space="preserve">y de los documentos que den cuenta de que el inmueble citado en la solicitud cuenta con </w:t>
      </w:r>
      <w:r w:rsidR="00C3682C" w:rsidRPr="00AB0024">
        <w:rPr>
          <w:rFonts w:ascii="Palatino Linotype" w:eastAsia="Palatino Linotype" w:hAnsi="Palatino Linotype" w:cs="Palatino Linotype"/>
          <w:b/>
          <w:i/>
          <w:color w:val="000000"/>
          <w:sz w:val="22"/>
          <w:szCs w:val="22"/>
        </w:rPr>
        <w:t xml:space="preserve">los servicios como: energía eléctrica, teléfono, internet u otros </w:t>
      </w:r>
      <w:r w:rsidR="005639FC" w:rsidRPr="00AB0024">
        <w:rPr>
          <w:rFonts w:ascii="Palatino Linotype" w:eastAsia="Palatino Linotype" w:hAnsi="Palatino Linotype" w:cs="Palatino Linotype"/>
          <w:b/>
          <w:i/>
          <w:color w:val="000000"/>
          <w:sz w:val="22"/>
          <w:szCs w:val="22"/>
        </w:rPr>
        <w:t>y</w:t>
      </w:r>
      <w:r w:rsidRPr="00AB0024">
        <w:rPr>
          <w:rFonts w:ascii="Palatino Linotype" w:eastAsia="Palatino Linotype" w:hAnsi="Palatino Linotype" w:cs="Palatino Linotype"/>
          <w:b/>
          <w:i/>
          <w:color w:val="000000"/>
          <w:sz w:val="22"/>
          <w:szCs w:val="22"/>
        </w:rPr>
        <w:t xml:space="preserve"> los recursos que se destinan para el pago de renta u otros gastos del Partido Revolucionario Institucional. </w:t>
      </w:r>
    </w:p>
    <w:p w:rsidR="00A620F1" w:rsidRPr="00AB0024" w:rsidRDefault="00C85659">
      <w:pPr>
        <w:tabs>
          <w:tab w:val="left" w:pos="7655"/>
        </w:tabs>
        <w:spacing w:after="120"/>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AB0024">
        <w:rPr>
          <w:rFonts w:ascii="Palatino Linotype" w:eastAsia="Palatino Linotype" w:hAnsi="Palatino Linotype" w:cs="Palatino Linotype"/>
          <w:b/>
          <w:i/>
          <w:sz w:val="22"/>
          <w:szCs w:val="22"/>
        </w:rPr>
        <w:t>Recurrente</w:t>
      </w:r>
      <w:r w:rsidRPr="00AB0024">
        <w:rPr>
          <w:rFonts w:ascii="Palatino Linotype" w:eastAsia="Palatino Linotype" w:hAnsi="Palatino Linotype" w:cs="Palatino Linotype"/>
          <w:i/>
          <w:sz w:val="22"/>
          <w:szCs w:val="22"/>
        </w:rPr>
        <w:t>.</w:t>
      </w:r>
    </w:p>
    <w:p w:rsidR="00A620F1" w:rsidRPr="00AB0024" w:rsidRDefault="00C85659">
      <w:pPr>
        <w:tabs>
          <w:tab w:val="left" w:pos="7655"/>
        </w:tabs>
        <w:spacing w:after="120"/>
        <w:ind w:left="567" w:right="900"/>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Para la entrega de la copia certificada, el Sujeto Obligado, a través del Sistema de Acceso a la  Información Mexiquense (SAIMEX), deberá indicar el procedimiento </w:t>
      </w:r>
      <w:r w:rsidRPr="00AB0024">
        <w:rPr>
          <w:rFonts w:ascii="Palatino Linotype" w:eastAsia="Palatino Linotype" w:hAnsi="Palatino Linotype" w:cs="Palatino Linotype"/>
          <w:i/>
          <w:sz w:val="22"/>
          <w:szCs w:val="22"/>
        </w:rPr>
        <w:lastRenderedPageBreak/>
        <w:t xml:space="preserve">para el pago de las copias certificadas de los documentos que dieron cuenta de la respuesta proporcionada, domicilio de la Unidad de  Transparencia, así como el costo,  los días y horarios de atención, junto con el nombre del servidor público que le atenderá. </w:t>
      </w:r>
    </w:p>
    <w:p w:rsidR="00A620F1" w:rsidRPr="00AB0024" w:rsidRDefault="00C85659">
      <w:pPr>
        <w:tabs>
          <w:tab w:val="left" w:pos="7655"/>
        </w:tabs>
        <w:ind w:left="560" w:right="1054"/>
        <w:jc w:val="both"/>
        <w:rPr>
          <w:rFonts w:ascii="Palatino Linotype" w:eastAsia="Palatino Linotype" w:hAnsi="Palatino Linotype" w:cs="Palatino Linotype"/>
          <w:i/>
          <w:sz w:val="22"/>
          <w:szCs w:val="22"/>
        </w:rPr>
      </w:pPr>
      <w:r w:rsidRPr="00AB0024">
        <w:rPr>
          <w:rFonts w:ascii="Palatino Linotype" w:eastAsia="Palatino Linotype" w:hAnsi="Palatino Linotype" w:cs="Palatino Linotype"/>
          <w:i/>
          <w:sz w:val="22"/>
          <w:szCs w:val="22"/>
        </w:rPr>
        <w:t xml:space="preserve">Para el caso en el que el </w:t>
      </w:r>
      <w:r w:rsidRPr="00AB0024">
        <w:rPr>
          <w:rFonts w:ascii="Palatino Linotype" w:eastAsia="Palatino Linotype" w:hAnsi="Palatino Linotype" w:cs="Palatino Linotype"/>
          <w:b/>
          <w:i/>
          <w:sz w:val="22"/>
          <w:szCs w:val="22"/>
        </w:rPr>
        <w:t>Sujeto Obligado</w:t>
      </w:r>
      <w:r w:rsidRPr="00AB0024">
        <w:rPr>
          <w:rFonts w:ascii="Palatino Linotype" w:eastAsia="Palatino Linotype" w:hAnsi="Palatino Linotype" w:cs="Palatino Linotype"/>
          <w:i/>
          <w:sz w:val="22"/>
          <w:szCs w:val="22"/>
        </w:rPr>
        <w:t xml:space="preserve"> advierta que los documentos que den cuenta de la prestación </w:t>
      </w:r>
      <w:r w:rsidR="001900DE" w:rsidRPr="00AB0024">
        <w:rPr>
          <w:rFonts w:ascii="Palatino Linotype" w:eastAsia="Palatino Linotype" w:hAnsi="Palatino Linotype" w:cs="Palatino Linotype"/>
          <w:i/>
          <w:sz w:val="22"/>
          <w:szCs w:val="22"/>
        </w:rPr>
        <w:t xml:space="preserve">del servicio de agua potable, drenaje y alcantarillado en el inmueble referido en la solicitud de información, </w:t>
      </w:r>
      <w:r w:rsidRPr="00AB0024">
        <w:rPr>
          <w:rFonts w:ascii="Palatino Linotype" w:eastAsia="Palatino Linotype" w:hAnsi="Palatino Linotype" w:cs="Palatino Linotype"/>
          <w:i/>
          <w:sz w:val="22"/>
          <w:szCs w:val="22"/>
        </w:rPr>
        <w:t xml:space="preserve">pertenecen a un particular, deberá </w:t>
      </w:r>
      <w:r w:rsidRPr="00AB0024">
        <w:rPr>
          <w:rFonts w:ascii="Palatino Linotype" w:eastAsia="Palatino Linotype" w:hAnsi="Palatino Linotype" w:cs="Palatino Linotype"/>
          <w:b/>
          <w:i/>
          <w:sz w:val="22"/>
          <w:szCs w:val="22"/>
        </w:rPr>
        <w:t>clasificarlos como información confidencial</w:t>
      </w:r>
      <w:r w:rsidRPr="00AB0024">
        <w:rPr>
          <w:rFonts w:ascii="Palatino Linotype" w:eastAsia="Palatino Linotype" w:hAnsi="Palatino Linotype" w:cs="Palatino Linotype"/>
          <w:i/>
          <w:sz w:val="22"/>
          <w:szCs w:val="22"/>
        </w:rPr>
        <w:t xml:space="preserve"> y notificar el respectivo acuerdo de clasificación al particular en términos de los artículos 49, fracción VIII y 132 de la Ley de Transparencia del Estado de México y Municipios, al momento de dar cumplimiento a la resolución. </w:t>
      </w:r>
    </w:p>
    <w:p w:rsidR="00A620F1" w:rsidRPr="00AB0024" w:rsidRDefault="00C85659">
      <w:pPr>
        <w:pBdr>
          <w:top w:val="nil"/>
          <w:left w:val="nil"/>
          <w:bottom w:val="nil"/>
          <w:right w:val="nil"/>
          <w:between w:val="nil"/>
        </w:pBdr>
        <w:spacing w:before="280" w:after="280" w:line="276" w:lineRule="auto"/>
        <w:ind w:left="567" w:right="900"/>
        <w:jc w:val="both"/>
        <w:rPr>
          <w:color w:val="000000"/>
        </w:rPr>
      </w:pPr>
      <w:r w:rsidRPr="00AB0024">
        <w:rPr>
          <w:rFonts w:ascii="Palatino Linotype" w:eastAsia="Palatino Linotype" w:hAnsi="Palatino Linotype" w:cs="Palatino Linotype"/>
          <w:i/>
          <w:color w:val="000000"/>
          <w:sz w:val="22"/>
          <w:szCs w:val="22"/>
        </w:rPr>
        <w:t>En el supuesto que la información ordenada en los</w:t>
      </w:r>
      <w:r w:rsidRPr="00AB0024">
        <w:rPr>
          <w:rFonts w:ascii="Palatino Linotype" w:eastAsia="Palatino Linotype" w:hAnsi="Palatino Linotype" w:cs="Palatino Linotype"/>
          <w:b/>
          <w:i/>
          <w:color w:val="000000"/>
          <w:sz w:val="22"/>
          <w:szCs w:val="22"/>
        </w:rPr>
        <w:t xml:space="preserve"> puntos 1 y 2</w:t>
      </w:r>
      <w:r w:rsidRPr="00AB0024">
        <w:rPr>
          <w:rFonts w:ascii="Palatino Linotype" w:eastAsia="Palatino Linotype" w:hAnsi="Palatino Linotype" w:cs="Palatino Linotype"/>
          <w:i/>
          <w:color w:val="000000"/>
          <w:sz w:val="22"/>
          <w:szCs w:val="22"/>
        </w:rPr>
        <w:t>, no obren en los archivos del Sujeto Obligado</w:t>
      </w:r>
      <w:r w:rsidR="006A56AF" w:rsidRPr="00AB0024">
        <w:rPr>
          <w:rFonts w:ascii="Palatino Linotype" w:eastAsia="Palatino Linotype" w:hAnsi="Palatino Linotype" w:cs="Palatino Linotype"/>
          <w:i/>
          <w:color w:val="000000"/>
          <w:sz w:val="22"/>
          <w:szCs w:val="22"/>
        </w:rPr>
        <w:t xml:space="preserve"> por no haberse generado</w:t>
      </w:r>
      <w:r w:rsidRPr="00AB0024">
        <w:rPr>
          <w:rFonts w:ascii="Palatino Linotype" w:eastAsia="Palatino Linotype" w:hAnsi="Palatino Linotype" w:cs="Palatino Linotype"/>
          <w:i/>
          <w:color w:val="000000"/>
          <w:sz w:val="22"/>
          <w:szCs w:val="22"/>
        </w:rPr>
        <w:t xml:space="preserve"> bastará con que así lo haga del conocimiento de la parte Recurrente, para tener por colmados el requerimiento de información.</w:t>
      </w:r>
    </w:p>
    <w:p w:rsidR="00A620F1" w:rsidRPr="00AB0024" w:rsidRDefault="00C85659">
      <w:pPr>
        <w:spacing w:before="240" w:after="240"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b/>
        </w:rPr>
        <w:t>Tercero</w:t>
      </w:r>
      <w:r w:rsidRPr="00AB0024">
        <w:rPr>
          <w:rFonts w:ascii="Palatino Linotype" w:eastAsia="Palatino Linotype" w:hAnsi="Palatino Linotype" w:cs="Palatino Linotype"/>
          <w:b/>
          <w:sz w:val="28"/>
          <w:szCs w:val="28"/>
        </w:rPr>
        <w:t xml:space="preserve">.  </w:t>
      </w:r>
      <w:r w:rsidRPr="00AB0024">
        <w:rPr>
          <w:rFonts w:ascii="Palatino Linotype" w:eastAsia="Palatino Linotype" w:hAnsi="Palatino Linotype" w:cs="Palatino Linotype"/>
          <w:b/>
        </w:rPr>
        <w:t>Notifíquese vía SAIMEX,</w:t>
      </w:r>
      <w:r w:rsidRPr="00AB0024">
        <w:rPr>
          <w:rFonts w:ascii="Palatino Linotype" w:eastAsia="Palatino Linotype" w:hAnsi="Palatino Linotype" w:cs="Palatino Linotype"/>
          <w:b/>
          <w:sz w:val="28"/>
          <w:szCs w:val="28"/>
        </w:rPr>
        <w:t xml:space="preserve"> </w:t>
      </w:r>
      <w:r w:rsidRPr="00AB0024">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A620F1" w:rsidRPr="00AB0024" w:rsidRDefault="00C85659">
      <w:pPr>
        <w:spacing w:before="240" w:after="240"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b/>
        </w:rPr>
        <w:t>Cuarto.</w:t>
      </w:r>
      <w:r w:rsidRPr="00AB0024">
        <w:rPr>
          <w:rFonts w:ascii="Palatino Linotype" w:eastAsia="Palatino Linotype" w:hAnsi="Palatino Linotype" w:cs="Palatino Linotype"/>
          <w:b/>
          <w:sz w:val="28"/>
          <w:szCs w:val="28"/>
        </w:rPr>
        <w:t xml:space="preserve"> </w:t>
      </w:r>
      <w:r w:rsidRPr="00AB0024">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Pr="00AB0024">
        <w:rPr>
          <w:rFonts w:ascii="Palatino Linotype" w:eastAsia="Palatino Linotype" w:hAnsi="Palatino Linotype" w:cs="Palatino Linotype"/>
        </w:rPr>
        <w:lastRenderedPageBreak/>
        <w:t>procedente, el Sujeto Obligado de manera fundada y motivada, podrá solicitar una ampliación de plazo para el cumplimiento de la presente resolución.</w:t>
      </w:r>
    </w:p>
    <w:p w:rsidR="00A620F1" w:rsidRPr="00AB0024" w:rsidRDefault="00C85659">
      <w:pPr>
        <w:spacing w:before="240" w:after="240" w:line="360" w:lineRule="auto"/>
        <w:jc w:val="both"/>
        <w:rPr>
          <w:rFonts w:ascii="Palatino Linotype" w:eastAsia="Palatino Linotype" w:hAnsi="Palatino Linotype" w:cs="Palatino Linotype"/>
        </w:rPr>
      </w:pPr>
      <w:r w:rsidRPr="00AB0024">
        <w:rPr>
          <w:rFonts w:ascii="Palatino Linotype" w:eastAsia="Palatino Linotype" w:hAnsi="Palatino Linotype" w:cs="Palatino Linotype"/>
          <w:b/>
        </w:rPr>
        <w:t>Quinto</w:t>
      </w:r>
      <w:r w:rsidRPr="00AB0024">
        <w:rPr>
          <w:rFonts w:ascii="Palatino Linotype" w:eastAsia="Palatino Linotype" w:hAnsi="Palatino Linotype" w:cs="Palatino Linotype"/>
          <w:b/>
          <w:sz w:val="28"/>
          <w:szCs w:val="28"/>
        </w:rPr>
        <w:t xml:space="preserve">. </w:t>
      </w:r>
      <w:r w:rsidRPr="00AB0024">
        <w:rPr>
          <w:rFonts w:ascii="Palatino Linotype" w:eastAsia="Palatino Linotype" w:hAnsi="Palatino Linotype" w:cs="Palatino Linotype"/>
          <w:b/>
        </w:rPr>
        <w:t xml:space="preserve">Notifíquese vía SAIMEX, </w:t>
      </w:r>
      <w:r w:rsidRPr="00AB0024">
        <w:rPr>
          <w:rFonts w:ascii="Palatino Linotype" w:eastAsia="Palatino Linotype" w:hAnsi="Palatino Linotype" w:cs="Palatino Linotype"/>
        </w:rPr>
        <w:t>a</w:t>
      </w:r>
      <w:r w:rsidRPr="00AB0024">
        <w:rPr>
          <w:rFonts w:ascii="Palatino Linotype" w:eastAsia="Palatino Linotype" w:hAnsi="Palatino Linotype" w:cs="Palatino Linotype"/>
          <w:b/>
        </w:rPr>
        <w:t xml:space="preserve"> la parte Recurrente</w:t>
      </w:r>
      <w:r w:rsidRPr="00AB0024">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A620F1" w:rsidRDefault="00C85659">
      <w:pPr>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AB0024">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w:t>
      </w:r>
      <w:r w:rsidR="00CF1C53" w:rsidRPr="00AB0024">
        <w:rPr>
          <w:rFonts w:ascii="Palatino Linotype" w:eastAsia="Palatino Linotype" w:hAnsi="Palatino Linotype" w:cs="Palatino Linotype"/>
        </w:rPr>
        <w:t>, MARÍA DEL ROSARIO MEJÍA AYALA; EMITIENDO VOTO PARTICULAR CONCURRENTE;</w:t>
      </w:r>
      <w:r w:rsidRPr="00AB0024">
        <w:rPr>
          <w:rFonts w:ascii="Palatino Linotype" w:eastAsia="Palatino Linotype" w:hAnsi="Palatino Linotype" w:cs="Palatino Linotype"/>
        </w:rPr>
        <w:t xml:space="preserve"> SHARON CRISTINA MORALES MARTÍNEZ, LUIS GUSTAVO PARRA NORIEGA</w:t>
      </w:r>
      <w:r w:rsidR="00CF1C53" w:rsidRPr="00AB0024">
        <w:rPr>
          <w:rFonts w:ascii="Palatino Linotype" w:eastAsia="Palatino Linotype" w:hAnsi="Palatino Linotype" w:cs="Palatino Linotype"/>
        </w:rPr>
        <w:t>; EMITIENDO VOTO PARTICULAR CONCURRENTE</w:t>
      </w:r>
      <w:r w:rsidRPr="00AB0024">
        <w:rPr>
          <w:rFonts w:ascii="Palatino Linotype" w:eastAsia="Palatino Linotype" w:hAnsi="Palatino Linotype" w:cs="Palatino Linotype"/>
        </w:rPr>
        <w:t xml:space="preserve"> Y GUADALUPE RAMÍREZ PEÑA; EN LA TRIGÉSIMA OCTAVA SESIÓN ORDINARIA CELEBRADA EL VEINTICINCO DE OCTUBRE DE DOS MIL VEINTITRÉS, ANTE EL SECRETARIO TÉCNICO DEL PLENO ALEXIS TAPIA RAMÍREZ.</w:t>
      </w:r>
    </w:p>
    <w:p w:rsidR="00A620F1" w:rsidRDefault="00A620F1">
      <w:pPr>
        <w:spacing w:before="240" w:after="240" w:line="360" w:lineRule="auto"/>
        <w:jc w:val="both"/>
        <w:rPr>
          <w:rFonts w:ascii="Palatino Linotype" w:eastAsia="Palatino Linotype" w:hAnsi="Palatino Linotype" w:cs="Palatino Linotype"/>
        </w:rPr>
      </w:pPr>
    </w:p>
    <w:p w:rsidR="00A620F1" w:rsidRDefault="00A620F1">
      <w:pPr>
        <w:spacing w:before="240" w:after="240" w:line="360" w:lineRule="auto"/>
        <w:jc w:val="both"/>
        <w:rPr>
          <w:rFonts w:ascii="Palatino Linotype" w:eastAsia="Palatino Linotype" w:hAnsi="Palatino Linotype" w:cs="Palatino Linotype"/>
        </w:rPr>
      </w:pPr>
    </w:p>
    <w:p w:rsidR="00A620F1" w:rsidRDefault="00A620F1">
      <w:pPr>
        <w:spacing w:before="240" w:after="240" w:line="360" w:lineRule="auto"/>
        <w:jc w:val="both"/>
        <w:rPr>
          <w:rFonts w:ascii="Palatino Linotype" w:eastAsia="Palatino Linotype" w:hAnsi="Palatino Linotype" w:cs="Palatino Linotype"/>
        </w:rPr>
      </w:pPr>
    </w:p>
    <w:p w:rsidR="00A620F1" w:rsidRDefault="00A620F1">
      <w:pPr>
        <w:spacing w:before="240" w:after="240" w:line="360" w:lineRule="auto"/>
        <w:jc w:val="both"/>
        <w:rPr>
          <w:rFonts w:ascii="Palatino Linotype" w:eastAsia="Palatino Linotype" w:hAnsi="Palatino Linotype" w:cs="Palatino Linotype"/>
        </w:rPr>
      </w:pPr>
    </w:p>
    <w:p w:rsidR="00A620F1" w:rsidRDefault="00A620F1">
      <w:pPr>
        <w:spacing w:before="240" w:after="240" w:line="360" w:lineRule="auto"/>
        <w:jc w:val="both"/>
        <w:rPr>
          <w:rFonts w:ascii="Palatino Linotype" w:eastAsia="Palatino Linotype" w:hAnsi="Palatino Linotype" w:cs="Palatino Linotype"/>
        </w:rPr>
      </w:pPr>
    </w:p>
    <w:p w:rsidR="00A620F1" w:rsidRDefault="00A620F1">
      <w:pPr>
        <w:spacing w:before="240" w:after="240" w:line="360" w:lineRule="auto"/>
        <w:jc w:val="both"/>
        <w:rPr>
          <w:rFonts w:ascii="Palatino Linotype" w:eastAsia="Palatino Linotype" w:hAnsi="Palatino Linotype" w:cs="Palatino Linotype"/>
        </w:rPr>
      </w:pPr>
    </w:p>
    <w:p w:rsidR="00A620F1" w:rsidRDefault="00A620F1">
      <w:pPr>
        <w:spacing w:before="240" w:after="240" w:line="360" w:lineRule="auto"/>
        <w:jc w:val="both"/>
        <w:rPr>
          <w:rFonts w:ascii="Palatino Linotype" w:eastAsia="Palatino Linotype" w:hAnsi="Palatino Linotype" w:cs="Palatino Linotype"/>
        </w:rPr>
      </w:pPr>
    </w:p>
    <w:p w:rsidR="00A620F1" w:rsidRDefault="00A620F1">
      <w:pPr>
        <w:spacing w:before="240" w:after="240" w:line="360" w:lineRule="auto"/>
        <w:jc w:val="both"/>
        <w:rPr>
          <w:rFonts w:ascii="Palatino Linotype" w:eastAsia="Palatino Linotype" w:hAnsi="Palatino Linotype" w:cs="Palatino Linotype"/>
        </w:rPr>
      </w:pPr>
    </w:p>
    <w:p w:rsidR="00A620F1" w:rsidRDefault="00A620F1">
      <w:pPr>
        <w:spacing w:before="240" w:after="240" w:line="360" w:lineRule="auto"/>
        <w:jc w:val="both"/>
        <w:rPr>
          <w:rFonts w:ascii="Palatino Linotype" w:eastAsia="Palatino Linotype" w:hAnsi="Palatino Linotype" w:cs="Palatino Linotype"/>
        </w:rPr>
      </w:pPr>
    </w:p>
    <w:p w:rsidR="00A620F1" w:rsidRDefault="00A620F1">
      <w:pPr>
        <w:spacing w:before="240" w:after="240" w:line="360" w:lineRule="auto"/>
        <w:jc w:val="both"/>
        <w:rPr>
          <w:rFonts w:ascii="Palatino Linotype" w:eastAsia="Palatino Linotype" w:hAnsi="Palatino Linotype" w:cs="Palatino Linotype"/>
        </w:rPr>
      </w:pPr>
    </w:p>
    <w:p w:rsidR="00A620F1" w:rsidRDefault="00A620F1">
      <w:pPr>
        <w:spacing w:before="240" w:after="240" w:line="360" w:lineRule="auto"/>
        <w:jc w:val="both"/>
        <w:rPr>
          <w:rFonts w:ascii="Palatino Linotype" w:eastAsia="Palatino Linotype" w:hAnsi="Palatino Linotype" w:cs="Palatino Linotype"/>
        </w:rPr>
      </w:pPr>
    </w:p>
    <w:p w:rsidR="00A620F1" w:rsidRDefault="00A620F1">
      <w:pPr>
        <w:spacing w:before="240" w:after="240" w:line="360" w:lineRule="auto"/>
        <w:jc w:val="both"/>
        <w:rPr>
          <w:rFonts w:ascii="Palatino Linotype" w:eastAsia="Palatino Linotype" w:hAnsi="Palatino Linotype" w:cs="Palatino Linotype"/>
        </w:rPr>
      </w:pPr>
    </w:p>
    <w:p w:rsidR="00A620F1" w:rsidRDefault="00A620F1">
      <w:pPr>
        <w:spacing w:before="240" w:after="240" w:line="360" w:lineRule="auto"/>
        <w:jc w:val="both"/>
        <w:rPr>
          <w:rFonts w:ascii="Palatino Linotype" w:eastAsia="Palatino Linotype" w:hAnsi="Palatino Linotype" w:cs="Palatino Linotype"/>
        </w:rPr>
      </w:pPr>
    </w:p>
    <w:p w:rsidR="00A620F1" w:rsidRDefault="00A620F1">
      <w:pPr>
        <w:spacing w:before="240" w:after="240" w:line="360" w:lineRule="auto"/>
        <w:jc w:val="both"/>
        <w:rPr>
          <w:rFonts w:ascii="Palatino Linotype" w:eastAsia="Palatino Linotype" w:hAnsi="Palatino Linotype" w:cs="Palatino Linotype"/>
        </w:rPr>
      </w:pPr>
    </w:p>
    <w:sectPr w:rsidR="00A620F1">
      <w:headerReference w:type="default" r:id="rId26"/>
      <w:footerReference w:type="default" r:id="rId27"/>
      <w:headerReference w:type="first" r:id="rId28"/>
      <w:footerReference w:type="first" r:id="rId2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B03" w:rsidRDefault="008B7B03">
      <w:r>
        <w:separator/>
      </w:r>
    </w:p>
  </w:endnote>
  <w:endnote w:type="continuationSeparator" w:id="0">
    <w:p w:rsidR="008B7B03" w:rsidRDefault="008B7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A80" w:rsidRDefault="00C20A8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57C2A">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57C2A">
      <w:rPr>
        <w:rFonts w:ascii="Palatino Linotype" w:eastAsia="Palatino Linotype" w:hAnsi="Palatino Linotype" w:cs="Palatino Linotype"/>
        <w:b/>
        <w:noProof/>
        <w:color w:val="000000"/>
        <w:sz w:val="20"/>
        <w:szCs w:val="20"/>
      </w:rPr>
      <w:t>81</w:t>
    </w:r>
    <w:r>
      <w:rPr>
        <w:rFonts w:ascii="Palatino Linotype" w:eastAsia="Palatino Linotype" w:hAnsi="Palatino Linotype" w:cs="Palatino Linotype"/>
        <w:b/>
        <w:color w:val="000000"/>
        <w:sz w:val="20"/>
        <w:szCs w:val="20"/>
      </w:rPr>
      <w:fldChar w:fldCharType="end"/>
    </w:r>
  </w:p>
  <w:p w:rsidR="00C20A80" w:rsidRDefault="00C20A8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A80" w:rsidRDefault="00C20A8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57C2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57C2A">
      <w:rPr>
        <w:rFonts w:ascii="Palatino Linotype" w:eastAsia="Palatino Linotype" w:hAnsi="Palatino Linotype" w:cs="Palatino Linotype"/>
        <w:b/>
        <w:noProof/>
        <w:color w:val="000000"/>
        <w:sz w:val="20"/>
        <w:szCs w:val="20"/>
      </w:rPr>
      <w:t>81</w:t>
    </w:r>
    <w:r>
      <w:rPr>
        <w:rFonts w:ascii="Palatino Linotype" w:eastAsia="Palatino Linotype" w:hAnsi="Palatino Linotype" w:cs="Palatino Linotype"/>
        <w:b/>
        <w:color w:val="000000"/>
        <w:sz w:val="20"/>
        <w:szCs w:val="20"/>
      </w:rPr>
      <w:fldChar w:fldCharType="end"/>
    </w:r>
  </w:p>
  <w:p w:rsidR="00C20A80" w:rsidRDefault="00C20A8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B03" w:rsidRDefault="008B7B03">
      <w:r>
        <w:separator/>
      </w:r>
    </w:p>
  </w:footnote>
  <w:footnote w:type="continuationSeparator" w:id="0">
    <w:p w:rsidR="008B7B03" w:rsidRDefault="008B7B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A80" w:rsidRDefault="00C20A80">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-1127122</wp:posOffset>
          </wp:positionH>
          <wp:positionV relativeFrom="paragraph">
            <wp:posOffset>-344802</wp:posOffset>
          </wp:positionV>
          <wp:extent cx="7809865" cy="10165715"/>
          <wp:effectExtent l="0" t="0" r="0" b="0"/>
          <wp:wrapNone/>
          <wp:docPr id="9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5953" w:type="dxa"/>
      <w:tblInd w:w="3261" w:type="dxa"/>
      <w:tblLayout w:type="fixed"/>
      <w:tblLook w:val="0400" w:firstRow="0" w:lastRow="0" w:firstColumn="0" w:lastColumn="0" w:noHBand="0" w:noVBand="1"/>
    </w:tblPr>
    <w:tblGrid>
      <w:gridCol w:w="2489"/>
      <w:gridCol w:w="3464"/>
    </w:tblGrid>
    <w:tr w:rsidR="00C20A80">
      <w:tc>
        <w:tcPr>
          <w:tcW w:w="2489" w:type="dxa"/>
          <w:shd w:val="clear" w:color="auto" w:fill="auto"/>
        </w:tcPr>
        <w:p w:rsidR="00C20A80" w:rsidRDefault="00C20A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C20A80" w:rsidRDefault="00C20A80">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03339/INFOEM/IP/RR/2023</w:t>
          </w:r>
        </w:p>
      </w:tc>
    </w:tr>
    <w:tr w:rsidR="00C20A80">
      <w:trPr>
        <w:trHeight w:val="228"/>
      </w:trPr>
      <w:tc>
        <w:tcPr>
          <w:tcW w:w="2489" w:type="dxa"/>
          <w:shd w:val="clear" w:color="auto" w:fill="auto"/>
          <w:vAlign w:val="center"/>
        </w:tcPr>
        <w:p w:rsidR="00C20A80" w:rsidRDefault="00C20A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C20A80" w:rsidRDefault="00C20A80">
          <w:pPr>
            <w:tabs>
              <w:tab w:val="left" w:pos="2499"/>
            </w:tabs>
            <w:ind w:left="-45"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Amanalco</w:t>
          </w:r>
          <w:proofErr w:type="spellEnd"/>
        </w:p>
      </w:tc>
    </w:tr>
    <w:tr w:rsidR="00C20A80">
      <w:tc>
        <w:tcPr>
          <w:tcW w:w="2489" w:type="dxa"/>
          <w:shd w:val="clear" w:color="auto" w:fill="auto"/>
          <w:vAlign w:val="center"/>
        </w:tcPr>
        <w:p w:rsidR="00C20A80" w:rsidRDefault="00C20A8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C20A80" w:rsidRDefault="00C20A80">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20A80" w:rsidRDefault="00C20A8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A80" w:rsidRDefault="00C20A8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-955671</wp:posOffset>
          </wp:positionH>
          <wp:positionV relativeFrom="paragraph">
            <wp:posOffset>-288922</wp:posOffset>
          </wp:positionV>
          <wp:extent cx="7809865" cy="10165715"/>
          <wp:effectExtent l="0" t="0" r="0" b="0"/>
          <wp:wrapNone/>
          <wp:docPr id="9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670" w:type="dxa"/>
      <w:tblInd w:w="3261" w:type="dxa"/>
      <w:tblLayout w:type="fixed"/>
      <w:tblLook w:val="0400" w:firstRow="0" w:lastRow="0" w:firstColumn="0" w:lastColumn="0" w:noHBand="0" w:noVBand="1"/>
    </w:tblPr>
    <w:tblGrid>
      <w:gridCol w:w="2551"/>
      <w:gridCol w:w="3119"/>
    </w:tblGrid>
    <w:tr w:rsidR="00C20A80">
      <w:tc>
        <w:tcPr>
          <w:tcW w:w="2551" w:type="dxa"/>
          <w:shd w:val="clear" w:color="auto" w:fill="auto"/>
          <w:vAlign w:val="center"/>
        </w:tcPr>
        <w:p w:rsidR="00C20A80" w:rsidRDefault="00C20A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C20A80" w:rsidRDefault="00C20A8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03339/INFOEM/IP/RR/2023</w:t>
          </w:r>
        </w:p>
      </w:tc>
    </w:tr>
    <w:tr w:rsidR="00C20A80">
      <w:trPr>
        <w:trHeight w:val="130"/>
      </w:trPr>
      <w:tc>
        <w:tcPr>
          <w:tcW w:w="2551" w:type="dxa"/>
          <w:shd w:val="clear" w:color="auto" w:fill="auto"/>
          <w:vAlign w:val="center"/>
        </w:tcPr>
        <w:p w:rsidR="00C20A80" w:rsidRDefault="00C20A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C20A80" w:rsidRDefault="00D57C2A" w:rsidP="00D57C2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 XXXXX</w:t>
          </w:r>
        </w:p>
      </w:tc>
    </w:tr>
    <w:tr w:rsidR="00C20A80">
      <w:trPr>
        <w:trHeight w:val="228"/>
      </w:trPr>
      <w:tc>
        <w:tcPr>
          <w:tcW w:w="2551" w:type="dxa"/>
          <w:shd w:val="clear" w:color="auto" w:fill="auto"/>
          <w:vAlign w:val="center"/>
        </w:tcPr>
        <w:p w:rsidR="00C20A80" w:rsidRDefault="00C20A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C20A80" w:rsidRDefault="00C20A80">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Amanalco</w:t>
          </w:r>
          <w:proofErr w:type="spellEnd"/>
        </w:p>
      </w:tc>
    </w:tr>
    <w:tr w:rsidR="00C20A80">
      <w:tc>
        <w:tcPr>
          <w:tcW w:w="2551" w:type="dxa"/>
          <w:shd w:val="clear" w:color="auto" w:fill="auto"/>
          <w:vAlign w:val="center"/>
        </w:tcPr>
        <w:p w:rsidR="00C20A80" w:rsidRDefault="00C20A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C20A80" w:rsidRDefault="00C20A80">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20A80" w:rsidRDefault="00C20A80">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30871"/>
    <w:multiLevelType w:val="multilevel"/>
    <w:tmpl w:val="255C8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3922DD6"/>
    <w:multiLevelType w:val="multilevel"/>
    <w:tmpl w:val="33886754"/>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nsid w:val="12533118"/>
    <w:multiLevelType w:val="multilevel"/>
    <w:tmpl w:val="64B4E55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4A2438F"/>
    <w:multiLevelType w:val="multilevel"/>
    <w:tmpl w:val="1A8A7858"/>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1F8A22C3"/>
    <w:multiLevelType w:val="multilevel"/>
    <w:tmpl w:val="7DE097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6C45B9D"/>
    <w:multiLevelType w:val="multilevel"/>
    <w:tmpl w:val="B9E4CE1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nsid w:val="302B169C"/>
    <w:multiLevelType w:val="multilevel"/>
    <w:tmpl w:val="25582DDE"/>
    <w:lvl w:ilvl="0">
      <w:start w:val="1"/>
      <w:numFmt w:val="bullet"/>
      <w:pStyle w:val="Listaconvietas3"/>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404B2DF7"/>
    <w:multiLevelType w:val="multilevel"/>
    <w:tmpl w:val="503A11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4A3E7D22"/>
    <w:multiLevelType w:val="multilevel"/>
    <w:tmpl w:val="9C4A3C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5DDF735E"/>
    <w:multiLevelType w:val="multilevel"/>
    <w:tmpl w:val="3F9A4E16"/>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64183882"/>
    <w:multiLevelType w:val="multilevel"/>
    <w:tmpl w:val="3CBC6E1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6"/>
  </w:num>
  <w:num w:numId="3">
    <w:abstractNumId w:val="0"/>
  </w:num>
  <w:num w:numId="4">
    <w:abstractNumId w:val="3"/>
  </w:num>
  <w:num w:numId="5">
    <w:abstractNumId w:val="5"/>
  </w:num>
  <w:num w:numId="6">
    <w:abstractNumId w:val="10"/>
  </w:num>
  <w:num w:numId="7">
    <w:abstractNumId w:val="1"/>
  </w:num>
  <w:num w:numId="8">
    <w:abstractNumId w:val="8"/>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0F1"/>
    <w:rsid w:val="0008479B"/>
    <w:rsid w:val="001414DD"/>
    <w:rsid w:val="001900DE"/>
    <w:rsid w:val="00274480"/>
    <w:rsid w:val="00427D67"/>
    <w:rsid w:val="005639FC"/>
    <w:rsid w:val="005A19E4"/>
    <w:rsid w:val="00655F49"/>
    <w:rsid w:val="006A56AF"/>
    <w:rsid w:val="00783123"/>
    <w:rsid w:val="007D3FDD"/>
    <w:rsid w:val="007E096C"/>
    <w:rsid w:val="0085518A"/>
    <w:rsid w:val="008B7B03"/>
    <w:rsid w:val="00A30783"/>
    <w:rsid w:val="00A620F1"/>
    <w:rsid w:val="00AB0024"/>
    <w:rsid w:val="00AD6FC4"/>
    <w:rsid w:val="00B734BD"/>
    <w:rsid w:val="00BD47AC"/>
    <w:rsid w:val="00C20A80"/>
    <w:rsid w:val="00C3682C"/>
    <w:rsid w:val="00C85659"/>
    <w:rsid w:val="00CF1C53"/>
    <w:rsid w:val="00D57C2A"/>
    <w:rsid w:val="00DF0863"/>
    <w:rsid w:val="00EF2F5E"/>
    <w:rsid w:val="00F7564C"/>
    <w:rsid w:val="00F81C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ADF1CC-7675-4BD2-A385-475D5F523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51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10"/>
    <w:tblPr>
      <w:tblStyleRowBandSize w:val="1"/>
      <w:tblStyleColBandSize w:val="1"/>
      <w:tblCellMar>
        <w:top w:w="0" w:type="dxa"/>
        <w:left w:w="115" w:type="dxa"/>
        <w:bottom w:w="0" w:type="dxa"/>
        <w:right w:w="115" w:type="dxa"/>
      </w:tblCellMar>
    </w:tblPr>
  </w:style>
  <w:style w:type="table" w:customStyle="1" w:styleId="5">
    <w:name w:val="5"/>
    <w:basedOn w:val="TableNormal10"/>
    <w:tblPr>
      <w:tblStyleRowBandSize w:val="1"/>
      <w:tblStyleColBandSize w:val="1"/>
      <w:tblCellMar>
        <w:top w:w="0" w:type="dxa"/>
        <w:left w:w="108" w:type="dxa"/>
        <w:bottom w:w="0" w:type="dxa"/>
        <w:right w:w="108" w:type="dxa"/>
      </w:tblCellMar>
    </w:tbl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A944AD"/>
    <w:rPr>
      <w:rFonts w:asciiTheme="minorHAnsi" w:eastAsiaTheme="minorEastAsia" w:hAnsiTheme="minorHAnsi" w:cstheme="minorBid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2"/>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1"/>
    <w:rPr>
      <w:rFonts w:ascii="Cambria" w:eastAsia="Cambria" w:hAnsi="Cambria" w:cs="Cambria"/>
    </w:rPr>
    <w:tblPr>
      <w:tblStyleRowBandSize w:val="1"/>
      <w:tblStyleColBandSize w:val="1"/>
      <w:tblCellMar>
        <w:top w:w="0" w:type="dxa"/>
        <w:left w:w="115" w:type="dxa"/>
        <w:bottom w:w="0" w:type="dxa"/>
        <w:right w:w="115" w:type="dxa"/>
      </w:tblCellMar>
    </w:tblPr>
  </w:style>
  <w:style w:type="table" w:customStyle="1" w:styleId="a4">
    <w:basedOn w:val="TableNormal1"/>
    <w:rPr>
      <w:rFonts w:ascii="Cambria" w:eastAsia="Cambria" w:hAnsi="Cambria" w:cs="Cambria"/>
    </w:rPr>
    <w:tblPr>
      <w:tblStyleRowBandSize w:val="1"/>
      <w:tblStyleColBandSize w:val="1"/>
      <w:tblCellMar>
        <w:top w:w="0" w:type="dxa"/>
        <w:left w:w="115" w:type="dxa"/>
        <w:bottom w:w="0" w:type="dxa"/>
        <w:right w:w="115" w:type="dxa"/>
      </w:tblCellMar>
    </w:tblPr>
  </w:style>
  <w:style w:type="paragraph" w:styleId="Listaconvietas2">
    <w:name w:val="List Bullet 2"/>
    <w:basedOn w:val="Normal"/>
    <w:uiPriority w:val="99"/>
    <w:unhideWhenUsed/>
    <w:rsid w:val="00191063"/>
    <w:pPr>
      <w:numPr>
        <w:numId w:val="11"/>
      </w:numPr>
      <w:contextualSpacing/>
    </w:pPr>
    <w:rPr>
      <w:sz w:val="20"/>
      <w:szCs w:val="20"/>
      <w:lang w:val="es-ES_tradnl"/>
    </w:rPr>
  </w:style>
  <w:style w:type="table" w:customStyle="1" w:styleId="a5">
    <w:basedOn w:val="TableNormal0"/>
    <w:rPr>
      <w:rFonts w:ascii="Cambria" w:eastAsia="Cambria" w:hAnsi="Cambria" w:cs="Cambria"/>
    </w:rPr>
    <w:tblPr>
      <w:tblStyleRowBandSize w:val="1"/>
      <w:tblStyleColBandSize w:val="1"/>
      <w:tblCellMar>
        <w:top w:w="0" w:type="dxa"/>
        <w:left w:w="115" w:type="dxa"/>
        <w:bottom w:w="0" w:type="dxa"/>
        <w:right w:w="115" w:type="dxa"/>
      </w:tblCellMar>
    </w:tblPr>
  </w:style>
  <w:style w:type="table" w:customStyle="1" w:styleId="a6">
    <w:basedOn w:val="TableNormal0"/>
    <w:rPr>
      <w:rFonts w:ascii="Cambria" w:eastAsia="Cambria" w:hAnsi="Cambria" w:cs="Cambria"/>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about:blank" TargetMode="External"/><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wc6cMYZTXXBr8c+WeQtT2KDMqw==">CgMxLjAyCGguZ2pkZ3hzMgloLjMwajB6bGwyCWguMnM4ZXlvMTIIaC50eWpjd3QyCWguMmV0OTJwMDIJaC4xZm9iOXRlMgloLjN6bnlzaDc4AHIhMXloT1ZJNFNaUFpiNWJ5UzVzZXZ3eFJybnVGeFJrVElJ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E6E1663-6DF5-4D3E-8F8F-CBB5EB0E0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20049</Words>
  <Characters>110275</Characters>
  <Application>Microsoft Office Word</Application>
  <DocSecurity>0</DocSecurity>
  <Lines>918</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2</cp:revision>
  <cp:lastPrinted>2023-10-27T18:46:00Z</cp:lastPrinted>
  <dcterms:created xsi:type="dcterms:W3CDTF">2023-11-07T20:14:00Z</dcterms:created>
  <dcterms:modified xsi:type="dcterms:W3CDTF">2023-11-07T20:14:00Z</dcterms:modified>
</cp:coreProperties>
</file>