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7CD" w:rsidRPr="0024200F" w:rsidRDefault="008C67CD" w:rsidP="008C67CD">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7179EC">
        <w:rPr>
          <w:rFonts w:ascii="Palatino Linotype" w:hAnsi="Palatino Linotype"/>
        </w:rPr>
        <w:t>diecisiete</w:t>
      </w:r>
      <w:r>
        <w:rPr>
          <w:rFonts w:ascii="Palatino Linotype" w:hAnsi="Palatino Linotype"/>
        </w:rPr>
        <w:t xml:space="preserve"> de mayo de dos mil veintitrés</w:t>
      </w:r>
      <w:r w:rsidRPr="0024200F">
        <w:rPr>
          <w:rFonts w:ascii="Palatino Linotype" w:hAnsi="Palatino Linotype"/>
        </w:rPr>
        <w:t>.</w:t>
      </w:r>
    </w:p>
    <w:p w:rsidR="008C67CD" w:rsidRPr="0024200F" w:rsidRDefault="008C67CD" w:rsidP="008C67CD">
      <w:pPr>
        <w:spacing w:line="360" w:lineRule="auto"/>
        <w:jc w:val="both"/>
        <w:rPr>
          <w:rFonts w:ascii="Palatino Linotype" w:hAnsi="Palatino Linotype"/>
        </w:rPr>
      </w:pPr>
    </w:p>
    <w:p w:rsidR="008C67CD" w:rsidRPr="00BF0355" w:rsidRDefault="008C67CD" w:rsidP="008C67CD">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01465/INFOEM/IP/RR/2023, </w:t>
      </w:r>
      <w:r w:rsidRPr="00BF0355">
        <w:rPr>
          <w:rFonts w:ascii="Palatino Linotype" w:eastAsiaTheme="minorHAnsi" w:hAnsi="Palatino Linotype" w:cs="Arial"/>
          <w:lang w:val="es-MX" w:eastAsia="en-US"/>
        </w:rPr>
        <w:t xml:space="preserve">interpuesto por </w:t>
      </w:r>
      <w:r w:rsidR="002D6B74">
        <w:rPr>
          <w:rFonts w:ascii="Palatino Linotype" w:eastAsiaTheme="minorHAnsi" w:hAnsi="Palatino Linotype" w:cs="Arial"/>
          <w:b/>
          <w:lang w:val="es-MX" w:eastAsia="en-US"/>
        </w:rPr>
        <w:t>XXXXXXXXXXXXXXXXXXXXXXX</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el</w:t>
      </w:r>
      <w:r w:rsidRPr="00BF0355">
        <w:rPr>
          <w:rFonts w:ascii="Palatino Linotype" w:eastAsiaTheme="minorHAnsi" w:hAnsi="Palatino Linotype" w:cs="Arial"/>
          <w:b/>
          <w:lang w:val="es-MX" w:eastAsia="en-US"/>
        </w:rPr>
        <w:t xml:space="preserve"> Recurrente</w:t>
      </w:r>
      <w:r w:rsidRPr="00BF0355">
        <w:rPr>
          <w:rFonts w:ascii="Palatino Linotype" w:eastAsiaTheme="minorHAnsi" w:hAnsi="Palatino Linotype" w:cs="Arial"/>
          <w:lang w:val="es-MX" w:eastAsia="en-US"/>
        </w:rPr>
        <w:t xml:space="preserve">, en contra de la respuesta del </w:t>
      </w:r>
      <w:r>
        <w:rPr>
          <w:rFonts w:ascii="Palatino Linotype" w:eastAsiaTheme="minorHAnsi" w:hAnsi="Palatino Linotype" w:cs="Arial"/>
          <w:b/>
          <w:lang w:val="es-MX" w:eastAsia="en-US"/>
        </w:rPr>
        <w:t>Ayuntamiento de Toluca</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8C67CD" w:rsidRPr="002478BC" w:rsidRDefault="008C67CD" w:rsidP="008C67CD">
      <w:pPr>
        <w:spacing w:line="360" w:lineRule="auto"/>
        <w:jc w:val="both"/>
        <w:rPr>
          <w:rFonts w:ascii="Palatino Linotype" w:hAnsi="Palatino Linotype"/>
          <w:b/>
          <w:bCs/>
          <w:spacing w:val="60"/>
          <w:lang w:val="es-ES_tradnl"/>
        </w:rPr>
      </w:pPr>
    </w:p>
    <w:p w:rsidR="008C67CD" w:rsidRPr="0024200F" w:rsidRDefault="008C67CD" w:rsidP="008C67C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bookmarkStart w:id="0" w:name="_GoBack"/>
      <w:bookmarkEnd w:id="0"/>
    </w:p>
    <w:p w:rsidR="008C67CD" w:rsidRPr="0024200F" w:rsidRDefault="008C67CD" w:rsidP="008C67CD">
      <w:pPr>
        <w:spacing w:line="360" w:lineRule="auto"/>
        <w:jc w:val="center"/>
        <w:rPr>
          <w:rFonts w:ascii="Palatino Linotype" w:hAnsi="Palatino Linotype"/>
          <w:b/>
          <w:bCs/>
          <w:spacing w:val="60"/>
          <w:lang w:val="es-ES_tradnl"/>
        </w:rPr>
      </w:pPr>
    </w:p>
    <w:p w:rsidR="008C67CD" w:rsidRDefault="008C67CD" w:rsidP="008C67CD">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rsidR="008C67CD" w:rsidRPr="0024200F" w:rsidRDefault="008C67CD" w:rsidP="008C67CD">
      <w:pPr>
        <w:spacing w:line="360" w:lineRule="auto"/>
        <w:jc w:val="both"/>
        <w:rPr>
          <w:rFonts w:ascii="Palatino Linotype" w:hAnsi="Palatino Linotype"/>
        </w:rPr>
      </w:pPr>
      <w:r w:rsidRPr="0024200F">
        <w:rPr>
          <w:rFonts w:ascii="Palatino Linotype" w:hAnsi="Palatino Linotype"/>
        </w:rPr>
        <w:t>En fecha</w:t>
      </w:r>
      <w:r w:rsidR="00120F6B">
        <w:rPr>
          <w:rFonts w:ascii="Palatino Linotype" w:hAnsi="Palatino Linotype"/>
        </w:rPr>
        <w:t xml:space="preserve"> siete de febrero de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B4483D">
        <w:rPr>
          <w:rFonts w:ascii="Palatino Linotype" w:hAnsi="Palatino Linotype"/>
          <w:b/>
          <w:bCs/>
        </w:rPr>
        <w:t>00408/TOLUCA/IP/2023</w:t>
      </w:r>
      <w:r>
        <w:rPr>
          <w:rFonts w:ascii="Palatino Linotype" w:hAnsi="Palatino Linotype"/>
          <w:b/>
          <w:bCs/>
        </w:rPr>
        <w:t xml:space="preserve">, </w:t>
      </w:r>
      <w:r w:rsidRPr="0024200F">
        <w:rPr>
          <w:rFonts w:ascii="Palatino Linotype" w:hAnsi="Palatino Linotype"/>
        </w:rPr>
        <w:t>mediante la cual solicitó, lo siguiente:</w:t>
      </w:r>
    </w:p>
    <w:p w:rsidR="008C67CD" w:rsidRDefault="008C67CD" w:rsidP="008C67CD">
      <w:pPr>
        <w:spacing w:line="360" w:lineRule="auto"/>
        <w:jc w:val="both"/>
        <w:rPr>
          <w:rFonts w:ascii="Palatino Linotype" w:hAnsi="Palatino Linotype" w:cs="Arial"/>
        </w:rPr>
      </w:pPr>
    </w:p>
    <w:p w:rsidR="008C67CD" w:rsidRPr="008B31F6" w:rsidRDefault="008C67CD" w:rsidP="008C67CD">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B4483D" w:rsidRPr="00B4483D">
        <w:rPr>
          <w:rFonts w:ascii="Palatino Linotype" w:hAnsi="Palatino Linotype"/>
          <w:bCs/>
          <w:i/>
          <w:sz w:val="22"/>
        </w:rPr>
        <w:t xml:space="preserve">Quiero saber </w:t>
      </w:r>
      <w:proofErr w:type="spellStart"/>
      <w:r w:rsidR="00B4483D" w:rsidRPr="00B4483D">
        <w:rPr>
          <w:rFonts w:ascii="Palatino Linotype" w:hAnsi="Palatino Linotype"/>
          <w:bCs/>
          <w:i/>
          <w:sz w:val="22"/>
        </w:rPr>
        <w:t>como</w:t>
      </w:r>
      <w:proofErr w:type="spellEnd"/>
      <w:r w:rsidR="00B4483D" w:rsidRPr="00B4483D">
        <w:rPr>
          <w:rFonts w:ascii="Palatino Linotype" w:hAnsi="Palatino Linotype"/>
          <w:bCs/>
          <w:i/>
          <w:sz w:val="22"/>
        </w:rPr>
        <w:t xml:space="preserve"> es que se lleva a cabo la asignación de seguridad en las calles, con patrullaje o </w:t>
      </w:r>
      <w:proofErr w:type="spellStart"/>
      <w:r w:rsidR="00B4483D" w:rsidRPr="00B4483D">
        <w:rPr>
          <w:rFonts w:ascii="Palatino Linotype" w:hAnsi="Palatino Linotype"/>
          <w:bCs/>
          <w:i/>
          <w:sz w:val="22"/>
        </w:rPr>
        <w:t>que</w:t>
      </w:r>
      <w:proofErr w:type="spellEnd"/>
      <w:r w:rsidR="00B4483D" w:rsidRPr="00B4483D">
        <w:rPr>
          <w:rFonts w:ascii="Palatino Linotype" w:hAnsi="Palatino Linotype"/>
          <w:bCs/>
          <w:i/>
          <w:sz w:val="22"/>
        </w:rPr>
        <w:t xml:space="preserve"> clase de seguridad nos brindan, desde enero 2022 a la fecha</w:t>
      </w:r>
      <w:proofErr w:type="gramStart"/>
      <w:r w:rsidR="00B4483D" w:rsidRPr="00B4483D">
        <w:rPr>
          <w:rFonts w:ascii="Palatino Linotype" w:hAnsi="Palatino Linotype"/>
          <w:bCs/>
          <w:i/>
          <w:sz w:val="22"/>
        </w:rPr>
        <w:t>.</w:t>
      </w:r>
      <w:r w:rsidRPr="004A5A38">
        <w:rPr>
          <w:rFonts w:ascii="Palatino Linotype" w:hAnsi="Palatino Linotype"/>
          <w:bCs/>
          <w:i/>
          <w:sz w:val="22"/>
        </w:rPr>
        <w:t>.</w:t>
      </w:r>
      <w:r>
        <w:rPr>
          <w:rFonts w:ascii="Palatino Linotype" w:hAnsi="Palatino Linotype"/>
          <w:bCs/>
          <w:i/>
          <w:sz w:val="22"/>
        </w:rPr>
        <w:t>”</w:t>
      </w:r>
      <w:proofErr w:type="gramEnd"/>
      <w:r>
        <w:rPr>
          <w:rFonts w:ascii="Palatino Linotype" w:hAnsi="Palatino Linotype"/>
          <w:bCs/>
          <w:i/>
          <w:sz w:val="22"/>
        </w:rPr>
        <w:t xml:space="preserve"> </w:t>
      </w:r>
      <w:r w:rsidRPr="008B31F6">
        <w:rPr>
          <w:rFonts w:ascii="Palatino Linotype" w:hAnsi="Palatino Linotype"/>
          <w:bCs/>
          <w:i/>
          <w:sz w:val="22"/>
        </w:rPr>
        <w:t>(Sic)</w:t>
      </w:r>
    </w:p>
    <w:p w:rsidR="008C67CD" w:rsidRPr="00B02F4C" w:rsidRDefault="008C67CD" w:rsidP="008C67CD">
      <w:pPr>
        <w:spacing w:line="360" w:lineRule="auto"/>
        <w:ind w:left="567" w:right="616"/>
        <w:jc w:val="both"/>
        <w:rPr>
          <w:rFonts w:ascii="Palatino Linotype" w:hAnsi="Palatino Linotype"/>
          <w:bCs/>
        </w:rPr>
      </w:pPr>
    </w:p>
    <w:p w:rsidR="008C67CD" w:rsidRDefault="008C67CD" w:rsidP="008C67C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C67CD" w:rsidRDefault="008C67CD" w:rsidP="008C67CD">
      <w:pPr>
        <w:spacing w:line="360" w:lineRule="auto"/>
        <w:jc w:val="both"/>
        <w:rPr>
          <w:rFonts w:ascii="Palatino Linotype" w:hAnsi="Palatino Linotype"/>
          <w:b/>
          <w:sz w:val="28"/>
          <w:szCs w:val="28"/>
          <w:lang w:val="es-MX"/>
        </w:rPr>
      </w:pPr>
    </w:p>
    <w:p w:rsidR="008C67CD" w:rsidRDefault="008C67CD" w:rsidP="008C67CD">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rsidR="008C67CD" w:rsidRDefault="008C67CD" w:rsidP="008C67CD">
      <w:pPr>
        <w:spacing w:line="360" w:lineRule="auto"/>
        <w:jc w:val="both"/>
        <w:rPr>
          <w:rFonts w:ascii="Palatino Linotype" w:hAnsi="Palatino Linotype"/>
        </w:rPr>
      </w:pPr>
      <w:r w:rsidRPr="00F1796C">
        <w:rPr>
          <w:rFonts w:ascii="Palatino Linotype" w:hAnsi="Palatino Linotype"/>
        </w:rPr>
        <w:lastRenderedPageBreak/>
        <w:t xml:space="preserve">Como se advierte de las constancias del expediente electrónico, en fecha </w:t>
      </w:r>
      <w:r w:rsidR="00B4483D">
        <w:rPr>
          <w:rFonts w:ascii="Palatino Linotype" w:hAnsi="Palatino Linotype"/>
        </w:rPr>
        <w:t>veintiocho de febrero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rsidR="008C67CD" w:rsidRDefault="008C67CD" w:rsidP="008C67CD">
      <w:pPr>
        <w:spacing w:line="360" w:lineRule="auto"/>
        <w:jc w:val="both"/>
        <w:rPr>
          <w:rFonts w:ascii="Palatino Linotype" w:hAnsi="Palatino Linotype"/>
        </w:rPr>
      </w:pPr>
    </w:p>
    <w:p w:rsidR="00B4483D" w:rsidRPr="00B4483D" w:rsidRDefault="008C67CD" w:rsidP="00B4483D">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B4483D" w:rsidRPr="00B4483D">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483D" w:rsidRPr="00B4483D" w:rsidRDefault="00B4483D" w:rsidP="00B4483D">
      <w:pPr>
        <w:spacing w:line="276" w:lineRule="auto"/>
        <w:ind w:left="567" w:right="616"/>
        <w:jc w:val="both"/>
        <w:rPr>
          <w:rFonts w:ascii="Palatino Linotype" w:hAnsi="Palatino Linotype"/>
          <w:bCs/>
          <w:i/>
          <w:sz w:val="22"/>
        </w:rPr>
      </w:pPr>
      <w:r w:rsidRPr="00B4483D">
        <w:rPr>
          <w:rFonts w:ascii="Palatino Linotype" w:hAnsi="Palatino Linotype"/>
          <w:bCs/>
          <w:i/>
          <w:sz w:val="22"/>
        </w:rPr>
        <w:t>En atención a la solicitud con folio 00408/TOLUCA/IP/2023, me permito adjuntar al presente la respuesta correspondiente. Sin más por el momento, reciba un saludo.</w:t>
      </w:r>
    </w:p>
    <w:p w:rsidR="00B4483D" w:rsidRPr="00B4483D" w:rsidRDefault="00B4483D" w:rsidP="00B4483D">
      <w:pPr>
        <w:spacing w:line="276" w:lineRule="auto"/>
        <w:ind w:left="567" w:right="616"/>
        <w:jc w:val="both"/>
        <w:rPr>
          <w:rFonts w:ascii="Palatino Linotype" w:hAnsi="Palatino Linotype"/>
          <w:bCs/>
          <w:i/>
          <w:sz w:val="22"/>
        </w:rPr>
      </w:pPr>
      <w:r w:rsidRPr="00B4483D">
        <w:rPr>
          <w:rFonts w:ascii="Palatino Linotype" w:hAnsi="Palatino Linotype"/>
          <w:bCs/>
          <w:i/>
          <w:sz w:val="22"/>
        </w:rPr>
        <w:t>ATENTAMENTE</w:t>
      </w:r>
    </w:p>
    <w:p w:rsidR="008C67CD" w:rsidRPr="00157DDD" w:rsidRDefault="00B4483D" w:rsidP="00B4483D">
      <w:pPr>
        <w:spacing w:line="276" w:lineRule="auto"/>
        <w:ind w:left="567" w:right="616"/>
        <w:jc w:val="both"/>
        <w:rPr>
          <w:rFonts w:ascii="Palatino Linotype" w:hAnsi="Palatino Linotype"/>
          <w:bCs/>
          <w:i/>
          <w:sz w:val="22"/>
        </w:rPr>
      </w:pPr>
      <w:r w:rsidRPr="00B4483D">
        <w:rPr>
          <w:rFonts w:ascii="Palatino Linotype" w:hAnsi="Palatino Linotype"/>
          <w:bCs/>
          <w:i/>
          <w:sz w:val="22"/>
        </w:rPr>
        <w:t>Lic. Norma Sofía Pérez Martínez</w:t>
      </w:r>
      <w:r w:rsidR="008C67CD">
        <w:rPr>
          <w:rFonts w:ascii="Palatino Linotype" w:hAnsi="Palatino Linotype"/>
          <w:bCs/>
          <w:i/>
          <w:sz w:val="22"/>
        </w:rPr>
        <w:t>”</w:t>
      </w:r>
    </w:p>
    <w:p w:rsidR="008C67CD" w:rsidRDefault="008C67CD" w:rsidP="008C67CD">
      <w:pPr>
        <w:spacing w:line="360" w:lineRule="auto"/>
        <w:jc w:val="both"/>
        <w:rPr>
          <w:rFonts w:ascii="Palatino Linotype" w:hAnsi="Palatino Linotype" w:cs="Arial"/>
        </w:rPr>
      </w:pPr>
    </w:p>
    <w:p w:rsidR="008C67CD" w:rsidRDefault="008C67CD" w:rsidP="008C67CD">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sidR="00B4483D">
        <w:rPr>
          <w:rFonts w:ascii="Palatino Linotype" w:hAnsi="Palatino Linotype" w:cs="Arial"/>
        </w:rPr>
        <w:t>el</w:t>
      </w:r>
      <w:r w:rsidRPr="006F3258">
        <w:rPr>
          <w:rFonts w:ascii="Palatino Linotype" w:hAnsi="Palatino Linotype" w:cs="Arial"/>
        </w:rPr>
        <w:t xml:space="preserve"> archivo electrónico denominado </w:t>
      </w:r>
      <w:bookmarkEnd w:id="1"/>
      <w:r w:rsidRPr="0033050B">
        <w:rPr>
          <w:rFonts w:ascii="Palatino Linotype" w:hAnsi="Palatino Linotype" w:cs="Arial"/>
          <w:b/>
        </w:rPr>
        <w:t>“</w:t>
      </w:r>
      <w:r w:rsidR="00B4483D" w:rsidRPr="00B4483D">
        <w:rPr>
          <w:rFonts w:ascii="Palatino Linotype" w:hAnsi="Palatino Linotype" w:cs="Arial"/>
          <w:b/>
          <w:i/>
        </w:rPr>
        <w:t>Respuesta 408.pdf</w:t>
      </w:r>
      <w:r>
        <w:rPr>
          <w:rFonts w:ascii="Palatino Linotype" w:hAnsi="Palatino Linotype" w:cs="Arial"/>
          <w:b/>
          <w:i/>
        </w:rPr>
        <w:t>”</w:t>
      </w:r>
      <w:r w:rsidRPr="006F3258">
        <w:rPr>
          <w:rFonts w:ascii="Palatino Linotype" w:hAnsi="Palatino Linotype" w:cs="Arial"/>
        </w:rPr>
        <w:t>; mismo que no se reproduce por ser del conocimiento de las partes, sin embargo, será</w:t>
      </w:r>
      <w:r>
        <w:rPr>
          <w:rFonts w:ascii="Palatino Linotype" w:hAnsi="Palatino Linotype" w:cs="Arial"/>
        </w:rPr>
        <w:t>n</w:t>
      </w:r>
      <w:r w:rsidRPr="006F3258">
        <w:rPr>
          <w:rFonts w:ascii="Palatino Linotype" w:hAnsi="Palatino Linotype" w:cs="Arial"/>
        </w:rPr>
        <w:t xml:space="preserve">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rsidR="008C67CD" w:rsidRDefault="008C67CD" w:rsidP="008C67CD">
      <w:pPr>
        <w:spacing w:line="360" w:lineRule="auto"/>
        <w:ind w:right="616"/>
        <w:jc w:val="both"/>
        <w:rPr>
          <w:rFonts w:ascii="Palatino Linotype" w:hAnsi="Palatino Linotype"/>
          <w:bCs/>
        </w:rPr>
      </w:pPr>
    </w:p>
    <w:p w:rsidR="008C67CD" w:rsidRDefault="008C67CD" w:rsidP="008C67CD">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rsidR="008C67CD" w:rsidRDefault="008C67CD" w:rsidP="008C67CD">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B4483D">
        <w:rPr>
          <w:rFonts w:ascii="Palatino Linotype" w:hAnsi="Palatino Linotype"/>
        </w:rPr>
        <w:t>diecisiete</w:t>
      </w:r>
      <w:r>
        <w:rPr>
          <w:rFonts w:ascii="Palatino Linotype" w:hAnsi="Palatino Linotype"/>
        </w:rPr>
        <w:t xml:space="preserve"> de </w:t>
      </w:r>
      <w:r w:rsidR="00B4483D">
        <w:rPr>
          <w:rFonts w:ascii="Palatino Linotype" w:hAnsi="Palatino Linotype"/>
        </w:rPr>
        <w:t>marzo</w:t>
      </w:r>
      <w:r>
        <w:rPr>
          <w:rFonts w:ascii="Palatino Linotype" w:hAnsi="Palatino Linotype"/>
        </w:rPr>
        <w:t xml:space="preserve"> de dos mil veintitrés</w:t>
      </w:r>
      <w:r w:rsidRPr="0024200F">
        <w:rPr>
          <w:rFonts w:ascii="Palatino Linotype" w:hAnsi="Palatino Linotype" w:cs="Arial"/>
        </w:rPr>
        <w:t xml:space="preserve">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eastAsia="Arial Unicode MS" w:hAnsi="Palatino Linotype" w:cs="Arial"/>
          <w:b/>
        </w:rPr>
        <w:t>01465/INFOEM/IP/RR/2023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8C67CD" w:rsidRDefault="008C67CD" w:rsidP="008C67CD">
      <w:pPr>
        <w:spacing w:line="276" w:lineRule="auto"/>
        <w:ind w:left="567" w:right="616"/>
        <w:jc w:val="both"/>
        <w:rPr>
          <w:rFonts w:ascii="Palatino Linotype" w:hAnsi="Palatino Linotype"/>
          <w:b/>
        </w:rPr>
      </w:pPr>
    </w:p>
    <w:p w:rsidR="008C67CD" w:rsidRDefault="008C67CD" w:rsidP="008C67CD">
      <w:pPr>
        <w:spacing w:line="276" w:lineRule="auto"/>
        <w:ind w:left="567" w:right="616"/>
        <w:jc w:val="both"/>
        <w:rPr>
          <w:rFonts w:ascii="Palatino Linotype" w:hAnsi="Palatino Linotype"/>
        </w:rPr>
      </w:pPr>
      <w:r>
        <w:rPr>
          <w:rFonts w:ascii="Palatino Linotype" w:hAnsi="Palatino Linotype"/>
          <w:i/>
          <w:sz w:val="22"/>
        </w:rPr>
        <w:t xml:space="preserve"> “</w:t>
      </w:r>
      <w:r w:rsidR="00B4483D" w:rsidRPr="00B4483D">
        <w:rPr>
          <w:rFonts w:ascii="Palatino Linotype" w:hAnsi="Palatino Linotype"/>
          <w:i/>
          <w:sz w:val="22"/>
        </w:rPr>
        <w:t>La respuesta fue entregada de manera incompleta</w:t>
      </w:r>
      <w:r w:rsidRPr="007F0C84">
        <w:rPr>
          <w:rFonts w:ascii="Palatino Linotype" w:hAnsi="Palatino Linotype"/>
          <w:i/>
          <w:sz w:val="22"/>
        </w:rPr>
        <w:t>.</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8C67CD" w:rsidRDefault="008C67CD" w:rsidP="008C67CD">
      <w:pPr>
        <w:spacing w:line="360" w:lineRule="auto"/>
        <w:ind w:right="51"/>
        <w:jc w:val="both"/>
        <w:rPr>
          <w:rFonts w:ascii="Palatino Linotype" w:hAnsi="Palatino Linotype"/>
        </w:rPr>
      </w:pPr>
    </w:p>
    <w:p w:rsidR="008C67CD" w:rsidRPr="002C3EC8" w:rsidRDefault="008C67CD" w:rsidP="008C67CD">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rsidR="008C67CD" w:rsidRPr="002C3EC8" w:rsidRDefault="008C67CD" w:rsidP="008C67CD">
      <w:pPr>
        <w:spacing w:before="240" w:line="360" w:lineRule="auto"/>
        <w:jc w:val="both"/>
        <w:rPr>
          <w:rFonts w:ascii="Palatino Linotype" w:hAnsi="Palatino Linotype" w:cs="Arial"/>
          <w:sz w:val="28"/>
        </w:rPr>
      </w:pPr>
      <w:r>
        <w:rPr>
          <w:rFonts w:ascii="Palatino Linotype" w:hAnsi="Palatino Linotype"/>
        </w:rPr>
        <w:lastRenderedPageBreak/>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B4483D">
        <w:rPr>
          <w:rFonts w:ascii="Palatino Linotype" w:hAnsi="Palatino Linotype"/>
          <w:b/>
        </w:rPr>
        <w:t>veintitrés de</w:t>
      </w:r>
      <w:r>
        <w:rPr>
          <w:rFonts w:ascii="Palatino Linotype" w:hAnsi="Palatino Linotype"/>
          <w:b/>
        </w:rPr>
        <w:t xml:space="preserve"> </w:t>
      </w:r>
      <w:r w:rsidR="00B4483D">
        <w:rPr>
          <w:rFonts w:ascii="Palatino Linotype" w:hAnsi="Palatino Linotype"/>
          <w:b/>
        </w:rPr>
        <w:t xml:space="preserve">marzo </w:t>
      </w:r>
      <w:r>
        <w:rPr>
          <w:rFonts w:ascii="Palatino Linotype" w:hAnsi="Palatino Linotype"/>
          <w:b/>
        </w:rPr>
        <w:t>de dos mil veintitrés</w:t>
      </w:r>
      <w:r w:rsidRPr="002C3EC8">
        <w:rPr>
          <w:rFonts w:ascii="Palatino Linotype" w:hAnsi="Palatino Linotype"/>
        </w:rPr>
        <w:t>, determinándose en ellos, un plazo de siete días para que las partes manifestaran lo que a su derecho corresponda en términos del numeral ya citado.</w:t>
      </w:r>
    </w:p>
    <w:p w:rsidR="008C67CD" w:rsidRDefault="008C67CD" w:rsidP="008C67CD">
      <w:pPr>
        <w:spacing w:line="360" w:lineRule="auto"/>
        <w:ind w:right="49"/>
        <w:jc w:val="both"/>
        <w:rPr>
          <w:rFonts w:ascii="Palatino Linotype" w:hAnsi="Palatino Linotype" w:cs="Arial"/>
          <w:lang w:val="es-ES_tradnl"/>
        </w:rPr>
      </w:pPr>
    </w:p>
    <w:p w:rsidR="008C67CD" w:rsidRPr="002C5D52" w:rsidRDefault="008C67CD" w:rsidP="008C67CD">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rsidR="008C67CD" w:rsidRPr="005A6D66" w:rsidRDefault="008C67CD" w:rsidP="008C67CD">
      <w:pPr>
        <w:spacing w:line="360" w:lineRule="auto"/>
        <w:jc w:val="both"/>
        <w:rPr>
          <w:rFonts w:ascii="Palatino Linotype" w:hAnsi="Palatino Linotype" w:cs="Arial"/>
          <w:b/>
          <w:i/>
        </w:rPr>
      </w:pPr>
      <w:r w:rsidRPr="00DD2E32">
        <w:rPr>
          <w:rFonts w:ascii="Palatino Linotype" w:hAnsi="Palatino Linotype" w:cs="Arial"/>
        </w:rPr>
        <w:t xml:space="preserve">De las constancias que obran en el SAIMEX, se advierte que el </w:t>
      </w:r>
      <w:r w:rsidRPr="00892045">
        <w:rPr>
          <w:rFonts w:ascii="Palatino Linotype" w:hAnsi="Palatino Linotype" w:cs="Arial"/>
          <w:b/>
        </w:rPr>
        <w:t>Sujeto Obligado</w:t>
      </w:r>
      <w:r w:rsidRPr="00DD2E32">
        <w:rPr>
          <w:rFonts w:ascii="Palatino Linotype" w:hAnsi="Palatino Linotype" w:cs="Arial"/>
        </w:rPr>
        <w:t xml:space="preserve"> rindió su informe justificado por medio de</w:t>
      </w:r>
      <w:r>
        <w:rPr>
          <w:rFonts w:ascii="Palatino Linotype" w:hAnsi="Palatino Linotype" w:cs="Arial"/>
        </w:rPr>
        <w:t>l</w:t>
      </w:r>
      <w:r w:rsidRPr="00DD2E32">
        <w:rPr>
          <w:rFonts w:ascii="Palatino Linotype" w:hAnsi="Palatino Linotype" w:cs="Arial"/>
        </w:rPr>
        <w:t xml:space="preserve"> archivo electrónico “</w:t>
      </w:r>
      <w:r w:rsidR="00B4483D" w:rsidRPr="00B4483D">
        <w:rPr>
          <w:rFonts w:ascii="Palatino Linotype" w:hAnsi="Palatino Linotype" w:cs="Arial"/>
          <w:b/>
          <w:i/>
        </w:rPr>
        <w:t>RR1465_23.pdf</w:t>
      </w:r>
      <w:r w:rsidRPr="008269B5">
        <w:rPr>
          <w:rFonts w:ascii="Palatino Linotype" w:hAnsi="Palatino Linotype" w:cs="Arial"/>
          <w:b/>
          <w:i/>
        </w:rPr>
        <w:t>”</w:t>
      </w:r>
      <w:r w:rsidRPr="00DD2E32">
        <w:rPr>
          <w:rFonts w:ascii="Palatino Linotype" w:hAnsi="Palatino Linotype" w:cs="Arial"/>
        </w:rPr>
        <w:t xml:space="preserve">, </w:t>
      </w:r>
      <w:r>
        <w:rPr>
          <w:rFonts w:ascii="Palatino Linotype" w:hAnsi="Palatino Linotype" w:cs="Arial"/>
        </w:rPr>
        <w:t xml:space="preserve">mismo </w:t>
      </w:r>
      <w:r w:rsidRPr="00DD2E32">
        <w:rPr>
          <w:rFonts w:ascii="Palatino Linotype" w:hAnsi="Palatino Linotype" w:cs="Arial"/>
        </w:rPr>
        <w:t>que fue pu</w:t>
      </w:r>
      <w:r>
        <w:rPr>
          <w:rFonts w:ascii="Palatino Linotype" w:hAnsi="Palatino Linotype" w:cs="Arial"/>
        </w:rPr>
        <w:t>esto a la vista del Recurrente.</w:t>
      </w:r>
    </w:p>
    <w:p w:rsidR="008C67CD" w:rsidRPr="00DD2E32" w:rsidRDefault="008C67CD" w:rsidP="008C67CD">
      <w:pPr>
        <w:spacing w:line="360" w:lineRule="auto"/>
        <w:jc w:val="both"/>
        <w:rPr>
          <w:rFonts w:ascii="Palatino Linotype" w:hAnsi="Palatino Linotype" w:cs="Arial"/>
        </w:rPr>
      </w:pPr>
    </w:p>
    <w:p w:rsidR="008C67CD" w:rsidRDefault="008C67CD" w:rsidP="008C67CD">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rsidR="008C67CD" w:rsidRPr="00DD3A8A" w:rsidRDefault="008C67CD" w:rsidP="008C67CD">
      <w:pPr>
        <w:spacing w:line="360" w:lineRule="auto"/>
        <w:jc w:val="both"/>
        <w:rPr>
          <w:rFonts w:ascii="Palatino Linotype" w:hAnsi="Palatino Linotype" w:cs="Arial"/>
        </w:rPr>
      </w:pPr>
    </w:p>
    <w:p w:rsidR="008C67CD" w:rsidRDefault="008C67CD" w:rsidP="008C67CD">
      <w:pPr>
        <w:spacing w:line="360" w:lineRule="auto"/>
        <w:jc w:val="both"/>
        <w:rPr>
          <w:rFonts w:ascii="Palatino Linotype" w:eastAsia="Calibri" w:hAnsi="Palatino Linotype" w:cs="Arial"/>
          <w:b/>
          <w:sz w:val="28"/>
          <w:szCs w:val="28"/>
          <w:lang w:val="es-MX" w:eastAsia="en-US"/>
        </w:rPr>
      </w:pPr>
    </w:p>
    <w:p w:rsidR="008C67CD" w:rsidRDefault="008C67CD" w:rsidP="008C67CD">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rsidR="008C67CD" w:rsidRDefault="008C67CD" w:rsidP="008C67CD">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E3454E">
        <w:rPr>
          <w:rFonts w:ascii="Palatino Linotype" w:eastAsia="Calibri" w:hAnsi="Palatino Linotype" w:cs="Arial"/>
          <w:lang w:val="es-MX" w:eastAsia="en-US"/>
        </w:rPr>
        <w:lastRenderedPageBreak/>
        <w:t xml:space="preserve">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B4483D">
        <w:rPr>
          <w:rFonts w:ascii="Palatino Linotype" w:eastAsia="Calibri" w:hAnsi="Palatino Linotype" w:cs="Arial"/>
          <w:b/>
          <w:lang w:val="es-MX" w:eastAsia="en-US"/>
        </w:rPr>
        <w:t>veintiuno de abril</w:t>
      </w:r>
      <w:r>
        <w:rPr>
          <w:rFonts w:ascii="Palatino Linotype" w:eastAsia="Calibri" w:hAnsi="Palatino Linotype" w:cs="Arial"/>
          <w:b/>
          <w:lang w:val="es-MX" w:eastAsia="en-US"/>
        </w:rPr>
        <w:t xml:space="preserve">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8C67CD" w:rsidRPr="00E3454E" w:rsidRDefault="008C67CD" w:rsidP="008C67CD">
      <w:pPr>
        <w:spacing w:line="360" w:lineRule="auto"/>
        <w:jc w:val="both"/>
        <w:rPr>
          <w:rFonts w:ascii="Palatino Linotype" w:eastAsia="Calibri" w:hAnsi="Palatino Linotype" w:cs="Arial"/>
          <w:lang w:val="es-MX" w:eastAsia="en-US"/>
        </w:rPr>
      </w:pPr>
    </w:p>
    <w:p w:rsidR="0063765F" w:rsidRPr="00CD0D60" w:rsidRDefault="0063765F" w:rsidP="0063765F">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rsidR="0063765F" w:rsidRDefault="0063765F" w:rsidP="0063765F">
      <w:pPr>
        <w:spacing w:line="360" w:lineRule="auto"/>
        <w:jc w:val="both"/>
        <w:rPr>
          <w:rFonts w:ascii="Palatino Linotype" w:eastAsia="Calibri" w:hAnsi="Palatino Linotype" w:cs="Arial"/>
          <w:lang w:val="es-ES_tradnl"/>
        </w:rPr>
      </w:pPr>
      <w:r w:rsidRPr="00CD0D60">
        <w:rPr>
          <w:rFonts w:ascii="Palatino Linotype" w:eastAsia="Calibri" w:hAnsi="Palatino Linotype" w:cs="Arial"/>
          <w:lang w:val="es-ES_tradnl"/>
        </w:rPr>
        <w:t xml:space="preserve">En fecha </w:t>
      </w:r>
      <w:r w:rsidR="006305C3">
        <w:rPr>
          <w:rFonts w:ascii="Palatino Linotype" w:eastAsia="Calibri" w:hAnsi="Palatino Linotype" w:cs="Arial"/>
          <w:b/>
          <w:lang w:val="es-ES_tradnl"/>
        </w:rPr>
        <w:t>diez</w:t>
      </w:r>
      <w:r>
        <w:rPr>
          <w:rFonts w:ascii="Palatino Linotype" w:eastAsia="Calibri" w:hAnsi="Palatino Linotype" w:cs="Arial"/>
          <w:b/>
          <w:lang w:val="es-ES_tradnl"/>
        </w:rPr>
        <w:t xml:space="preserve"> de mayo</w:t>
      </w:r>
      <w:r w:rsidRPr="00CD0D60">
        <w:rPr>
          <w:rFonts w:ascii="Palatino Linotype" w:eastAsia="Calibri" w:hAnsi="Palatino Linotype" w:cs="Arial"/>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63765F" w:rsidRPr="00E901DC" w:rsidRDefault="0063765F" w:rsidP="0063765F">
      <w:pPr>
        <w:spacing w:line="360" w:lineRule="auto"/>
        <w:jc w:val="both"/>
        <w:rPr>
          <w:rFonts w:ascii="Palatino Linotype" w:hAnsi="Palatino Linotype"/>
          <w:lang w:val="es-ES_tradnl"/>
        </w:rPr>
      </w:pPr>
    </w:p>
    <w:p w:rsidR="008C67CD" w:rsidRPr="00E3454E" w:rsidRDefault="008C67CD" w:rsidP="008C67CD">
      <w:pPr>
        <w:spacing w:line="360" w:lineRule="auto"/>
        <w:jc w:val="both"/>
        <w:rPr>
          <w:rFonts w:ascii="Palatino Linotype" w:eastAsia="Calibri" w:hAnsi="Palatino Linotype" w:cs="Arial"/>
          <w:lang w:val="es-MX" w:eastAsia="en-US"/>
        </w:rPr>
      </w:pPr>
    </w:p>
    <w:p w:rsidR="008C67CD" w:rsidRPr="0024200F" w:rsidRDefault="008C67CD" w:rsidP="008C67C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C67CD" w:rsidRPr="00825F67" w:rsidRDefault="008C67CD" w:rsidP="008C67CD">
      <w:pPr>
        <w:spacing w:line="360" w:lineRule="auto"/>
        <w:ind w:right="49"/>
        <w:jc w:val="both"/>
        <w:rPr>
          <w:rFonts w:ascii="Palatino Linotype" w:hAnsi="Palatino Linotype"/>
          <w:szCs w:val="28"/>
        </w:rPr>
      </w:pPr>
    </w:p>
    <w:p w:rsidR="008C67CD" w:rsidRPr="00FB3150" w:rsidRDefault="008C67CD" w:rsidP="008C67C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C67CD" w:rsidRPr="002C3EC8" w:rsidRDefault="008C67CD" w:rsidP="008C67CD">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de la Ley de Transparencia y Acceso a la Información Pública del E</w:t>
      </w:r>
      <w:r w:rsidR="00B4483D">
        <w:rPr>
          <w:rFonts w:ascii="Palatino Linotype" w:eastAsia="Calibri" w:hAnsi="Palatino Linotype" w:cs="Arial"/>
          <w:color w:val="000000" w:themeColor="text1"/>
        </w:rPr>
        <w:t xml:space="preserve">stado de México y Municipios; </w:t>
      </w:r>
      <w:r w:rsidR="00B4483D" w:rsidRPr="00C80E8F">
        <w:rPr>
          <w:rFonts w:ascii="Palatino Linotype" w:hAnsi="Palatino Linotype"/>
        </w:rPr>
        <w:t>6, 9 fracciones I y XXIII</w:t>
      </w:r>
      <w:r w:rsidRPr="002C3EC8">
        <w:rPr>
          <w:rFonts w:ascii="Palatino Linotype" w:eastAsia="Calibri" w:hAnsi="Palatino Linotype" w:cs="Arial"/>
          <w:color w:val="000000" w:themeColor="text1"/>
        </w:rPr>
        <w:t xml:space="preserve">, y 11 del Reglamento </w:t>
      </w:r>
      <w:r w:rsidRPr="002C3EC8">
        <w:rPr>
          <w:rFonts w:ascii="Palatino Linotype" w:eastAsia="Calibri" w:hAnsi="Palatino Linotype" w:cs="Arial"/>
          <w:color w:val="000000" w:themeColor="text1"/>
        </w:rPr>
        <w:lastRenderedPageBreak/>
        <w:t>Interior del Instituto de Transparencia, Acceso a la Información Pública y Protección de Datos Personales del Estado de México y Municipios.</w:t>
      </w:r>
    </w:p>
    <w:p w:rsidR="008C67CD" w:rsidRPr="002C3EC8" w:rsidRDefault="008C67CD" w:rsidP="008C67CD">
      <w:pPr>
        <w:spacing w:before="240" w:line="360" w:lineRule="auto"/>
        <w:jc w:val="both"/>
        <w:rPr>
          <w:rFonts w:ascii="Palatino Linotype" w:eastAsia="Calibri" w:hAnsi="Palatino Linotype"/>
          <w:b/>
          <w:color w:val="000000" w:themeColor="text1"/>
        </w:rPr>
      </w:pPr>
    </w:p>
    <w:p w:rsidR="008C67CD" w:rsidRPr="002C3EC8" w:rsidRDefault="008C67CD" w:rsidP="008C67CD">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8C67CD" w:rsidRPr="00207E23" w:rsidRDefault="008C67CD" w:rsidP="008C67CD">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C67CD" w:rsidRDefault="008C67CD" w:rsidP="008C67CD">
      <w:pPr>
        <w:pStyle w:val="Prrafodelista"/>
        <w:autoSpaceDE w:val="0"/>
        <w:autoSpaceDN w:val="0"/>
        <w:adjustRightInd w:val="0"/>
        <w:spacing w:before="240" w:after="160" w:line="360" w:lineRule="auto"/>
        <w:ind w:left="0"/>
        <w:jc w:val="both"/>
        <w:rPr>
          <w:rFonts w:ascii="Palatino Linotype" w:hAnsi="Palatino Linotype" w:cs="Arial"/>
          <w:b/>
          <w:sz w:val="28"/>
        </w:rPr>
      </w:pPr>
    </w:p>
    <w:p w:rsidR="008C67CD" w:rsidRPr="002C3EC8" w:rsidRDefault="008C67CD" w:rsidP="008C67C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8C67CD" w:rsidRPr="002C3EC8" w:rsidRDefault="008C67CD" w:rsidP="008C67C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C67CD" w:rsidRPr="002C3EC8" w:rsidRDefault="008C67CD" w:rsidP="008C67C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8C67CD" w:rsidRDefault="008C67CD" w:rsidP="008C67CD">
      <w:pPr>
        <w:tabs>
          <w:tab w:val="left" w:pos="709"/>
        </w:tabs>
        <w:spacing w:before="240" w:line="360" w:lineRule="auto"/>
        <w:ind w:right="51"/>
        <w:jc w:val="both"/>
        <w:rPr>
          <w:rFonts w:ascii="Palatino Linotype" w:hAnsi="Palatino Linotype"/>
          <w:b/>
          <w:sz w:val="28"/>
          <w:szCs w:val="28"/>
        </w:rPr>
      </w:pPr>
    </w:p>
    <w:p w:rsidR="008C67CD" w:rsidRPr="002C3EC8" w:rsidRDefault="008C67CD" w:rsidP="008C67C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8C67CD" w:rsidRDefault="008C67CD" w:rsidP="008C67C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8C67CD" w:rsidRPr="002869E1" w:rsidRDefault="008C67CD" w:rsidP="008C67CD">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w:t>
      </w:r>
      <w:r>
        <w:rPr>
          <w:rFonts w:ascii="Palatino Linotype" w:hAnsi="Palatino Linotype"/>
        </w:rPr>
        <w:t xml:space="preserve">gados, conforme a los artículos 24 y </w:t>
      </w:r>
      <w:r w:rsidRPr="002869E1">
        <w:rPr>
          <w:rFonts w:ascii="Palatino Linotype" w:hAnsi="Palatino Linotype"/>
        </w:rPr>
        <w:t>160 de la Ley local en la materia, que a la letra citan:</w:t>
      </w:r>
    </w:p>
    <w:p w:rsidR="008C67CD" w:rsidRPr="006010FE" w:rsidRDefault="008C67CD" w:rsidP="008C67CD">
      <w:pPr>
        <w:spacing w:before="240" w:line="360" w:lineRule="auto"/>
        <w:ind w:left="851" w:right="851"/>
        <w:jc w:val="both"/>
        <w:rPr>
          <w:rFonts w:ascii="Palatino Linotype" w:hAnsi="Palatino Linotype"/>
          <w:i/>
        </w:rPr>
      </w:pPr>
      <w:r>
        <w:rPr>
          <w:rFonts w:ascii="Palatino Linotype" w:hAnsi="Palatino Linotype"/>
          <w:b/>
          <w:i/>
        </w:rPr>
        <w:t xml:space="preserve"> </w:t>
      </w:r>
    </w:p>
    <w:p w:rsidR="008C67CD" w:rsidRPr="006010FE" w:rsidRDefault="008C67CD" w:rsidP="008C67CD">
      <w:pPr>
        <w:spacing w:before="240" w:line="360" w:lineRule="auto"/>
        <w:ind w:left="851" w:right="851"/>
        <w:jc w:val="both"/>
        <w:rPr>
          <w:rFonts w:ascii="Palatino Linotype" w:hAnsi="Palatino Linotype"/>
          <w:b/>
          <w:i/>
        </w:rPr>
      </w:pPr>
      <w:r w:rsidRPr="006010FE">
        <w:rPr>
          <w:rFonts w:ascii="Palatino Linotype" w:hAnsi="Palatino Linotype"/>
          <w:b/>
          <w:i/>
        </w:rPr>
        <w:t xml:space="preserve">Artículo 24. </w:t>
      </w:r>
    </w:p>
    <w:p w:rsidR="008C67CD" w:rsidRPr="006010FE" w:rsidRDefault="008C67CD" w:rsidP="008C67CD">
      <w:pPr>
        <w:spacing w:before="240" w:line="360" w:lineRule="auto"/>
        <w:ind w:left="851" w:right="851"/>
        <w:jc w:val="both"/>
        <w:rPr>
          <w:rFonts w:ascii="Palatino Linotype" w:hAnsi="Palatino Linotype"/>
          <w:i/>
        </w:rPr>
      </w:pPr>
      <w:r w:rsidRPr="006010FE">
        <w:rPr>
          <w:rFonts w:ascii="Palatino Linotype" w:hAnsi="Palatino Linotype"/>
          <w:i/>
        </w:rPr>
        <w:t>(…)</w:t>
      </w:r>
    </w:p>
    <w:p w:rsidR="008C67CD" w:rsidRPr="006010FE" w:rsidRDefault="008C67CD" w:rsidP="008C67CD">
      <w:pPr>
        <w:spacing w:before="240" w:line="360" w:lineRule="auto"/>
        <w:ind w:left="851" w:right="851"/>
        <w:jc w:val="both"/>
        <w:rPr>
          <w:rFonts w:ascii="Palatino Linotype" w:hAnsi="Palatino Linotype"/>
          <w:i/>
        </w:rPr>
      </w:pPr>
      <w:r w:rsidRPr="006010FE">
        <w:rPr>
          <w:rFonts w:ascii="Palatino Linotype" w:hAnsi="Palatino Linotype"/>
          <w:i/>
        </w:rPr>
        <w:t>Los sujetos obligados solo proporcionarán la información pública que generen, administren o posean en el ejercicio de sus atribuciones.”</w:t>
      </w:r>
    </w:p>
    <w:p w:rsidR="008C67CD" w:rsidRPr="006010FE" w:rsidRDefault="008C67CD" w:rsidP="008C67CD">
      <w:pPr>
        <w:spacing w:before="240" w:line="360" w:lineRule="auto"/>
        <w:ind w:left="851" w:right="851"/>
        <w:jc w:val="both"/>
        <w:rPr>
          <w:rFonts w:ascii="Palatino Linotype" w:hAnsi="Palatino Linotype"/>
          <w:i/>
        </w:rPr>
      </w:pPr>
      <w:r w:rsidRPr="006010FE">
        <w:rPr>
          <w:rFonts w:ascii="Palatino Linotype" w:hAnsi="Palatino Linotype"/>
          <w:i/>
        </w:rPr>
        <w:t>(…)</w:t>
      </w:r>
    </w:p>
    <w:p w:rsidR="008C67CD" w:rsidRPr="006010FE" w:rsidRDefault="008C67CD" w:rsidP="008C67CD">
      <w:pPr>
        <w:spacing w:before="240" w:line="360" w:lineRule="auto"/>
        <w:ind w:left="851" w:right="851"/>
        <w:jc w:val="both"/>
        <w:rPr>
          <w:rFonts w:ascii="Palatino Linotype" w:hAnsi="Palatino Linotype"/>
          <w:i/>
        </w:rPr>
      </w:pPr>
      <w:r w:rsidRPr="006010FE">
        <w:rPr>
          <w:rFonts w:ascii="Palatino Linotype" w:hAnsi="Palatino Linotype"/>
          <w:b/>
          <w:i/>
        </w:rPr>
        <w:t>Artículo 160.</w:t>
      </w:r>
      <w:r w:rsidRPr="006010FE">
        <w:rPr>
          <w:rFonts w:ascii="Palatino Linotype" w:hAnsi="Palatino Linotype"/>
          <w:i/>
        </w:rPr>
        <w:t xml:space="preserve"> Los sujetos obligados deberán otorgar acceso a los documentos que se </w:t>
      </w:r>
      <w:r>
        <w:rPr>
          <w:rFonts w:ascii="Palatino Linotype" w:hAnsi="Palatino Linotype"/>
          <w:b/>
          <w:i/>
        </w:rPr>
        <w:t xml:space="preserve"> </w:t>
      </w:r>
      <w:r w:rsidRPr="006010FE">
        <w:rPr>
          <w:rFonts w:ascii="Palatino Linotype" w:hAnsi="Palatino Linotype"/>
          <w:i/>
        </w:rPr>
        <w:t xml:space="preserve">encuentren en sus archivos o que estén obligados a documentar de acuerdo con sus facultades, competencias o funciones en el formato que el solicitante manifieste, de entre aquellos formatos existentes, conforme a las </w:t>
      </w:r>
      <w:r w:rsidRPr="006010FE">
        <w:rPr>
          <w:rFonts w:ascii="Palatino Linotype" w:hAnsi="Palatino Linotype"/>
          <w:i/>
        </w:rPr>
        <w:lastRenderedPageBreak/>
        <w:t>características físicas de la información o del lugar donde se encuentre así lo permita.</w:t>
      </w:r>
    </w:p>
    <w:p w:rsidR="008C67CD" w:rsidRDefault="008C67CD" w:rsidP="008C67CD">
      <w:pPr>
        <w:spacing w:before="240" w:line="360" w:lineRule="auto"/>
        <w:ind w:left="851" w:right="851"/>
        <w:jc w:val="both"/>
        <w:rPr>
          <w:rFonts w:ascii="Palatino Linotype" w:hAnsi="Palatino Linotype"/>
          <w:b/>
          <w:i/>
        </w:rPr>
      </w:pPr>
      <w:r w:rsidRPr="006010FE">
        <w:rPr>
          <w:rFonts w:ascii="Palatino Linotype" w:hAnsi="Palatino Linotype"/>
          <w:i/>
        </w:rPr>
        <w:t>En caso que la información solicitada consista en bases de datos se deberá privilegiar la entrega de la misma en formatos abiertos.</w:t>
      </w:r>
      <w:r>
        <w:rPr>
          <w:rFonts w:ascii="Palatino Linotype" w:hAnsi="Palatino Linotype"/>
          <w:i/>
        </w:rPr>
        <w:t>”</w:t>
      </w:r>
      <w:r>
        <w:rPr>
          <w:rFonts w:ascii="Palatino Linotype" w:hAnsi="Palatino Linotype"/>
          <w:b/>
          <w:i/>
        </w:rPr>
        <w:t>[Sic]</w:t>
      </w:r>
    </w:p>
    <w:p w:rsidR="008C67CD" w:rsidRDefault="008C67CD" w:rsidP="008C67CD">
      <w:pPr>
        <w:spacing w:before="240" w:line="360" w:lineRule="auto"/>
        <w:ind w:left="851" w:right="851"/>
        <w:jc w:val="both"/>
        <w:rPr>
          <w:rFonts w:ascii="Palatino Linotype" w:hAnsi="Palatino Linotype"/>
          <w:b/>
          <w:i/>
        </w:rPr>
      </w:pPr>
    </w:p>
    <w:p w:rsidR="008C67CD" w:rsidRPr="006010FE" w:rsidRDefault="008C67CD" w:rsidP="008C67CD">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rsidR="008C67CD" w:rsidRDefault="008C67CD" w:rsidP="008C67CD">
      <w:pPr>
        <w:spacing w:before="240" w:line="360" w:lineRule="auto"/>
        <w:ind w:left="851" w:right="851"/>
        <w:jc w:val="both"/>
        <w:rPr>
          <w:rFonts w:ascii="Palatino Linotype" w:hAnsi="Palatino Linotype" w:cs="Arial"/>
          <w:b/>
          <w:i/>
        </w:rPr>
      </w:pPr>
      <w:r w:rsidRPr="006E4CCA">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rsidR="008C67CD" w:rsidRDefault="008C67CD" w:rsidP="008C67CD">
      <w:pPr>
        <w:autoSpaceDE w:val="0"/>
        <w:autoSpaceDN w:val="0"/>
        <w:adjustRightInd w:val="0"/>
        <w:ind w:left="567" w:right="567"/>
        <w:jc w:val="right"/>
        <w:rPr>
          <w:rFonts w:ascii="Palatino Linotype" w:eastAsia="Calibri" w:hAnsi="Palatino Linotype" w:cs="Arial"/>
        </w:rPr>
      </w:pPr>
    </w:p>
    <w:p w:rsidR="008C67CD" w:rsidRPr="00A779C7" w:rsidRDefault="008C67CD" w:rsidP="008C67CD">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rsidR="008C67CD" w:rsidRPr="00B4483D" w:rsidRDefault="00B4483D" w:rsidP="00B4483D">
      <w:pPr>
        <w:pStyle w:val="Prrafodelista"/>
        <w:numPr>
          <w:ilvl w:val="0"/>
          <w:numId w:val="6"/>
        </w:numPr>
        <w:spacing w:before="240" w:line="360" w:lineRule="auto"/>
        <w:jc w:val="both"/>
        <w:rPr>
          <w:rFonts w:ascii="Palatino Linotype" w:hAnsi="Palatino Linotype" w:cs="Arial"/>
        </w:rPr>
      </w:pPr>
      <w:r>
        <w:rPr>
          <w:rFonts w:ascii="Palatino Linotype" w:hAnsi="Palatino Linotype" w:cs="Tahoma"/>
          <w:bCs/>
        </w:rPr>
        <w:t>C</w:t>
      </w:r>
      <w:r w:rsidRPr="00B4483D">
        <w:rPr>
          <w:rFonts w:ascii="Palatino Linotype" w:hAnsi="Palatino Linotype" w:cs="Tahoma"/>
          <w:bCs/>
        </w:rPr>
        <w:t>omo se lleva a cabo la asignación de seguridad en las calles, con patrullaje o qué clase de seguridad nos brind</w:t>
      </w:r>
      <w:r>
        <w:rPr>
          <w:rFonts w:ascii="Palatino Linotype" w:hAnsi="Palatino Linotype" w:cs="Tahoma"/>
          <w:bCs/>
        </w:rPr>
        <w:t>an, desde enero 2022 al siete de febrero de 2023.</w:t>
      </w:r>
    </w:p>
    <w:p w:rsidR="00803D37" w:rsidRDefault="00803D37" w:rsidP="00803D37">
      <w:pPr>
        <w:autoSpaceDE w:val="0"/>
        <w:autoSpaceDN w:val="0"/>
        <w:adjustRightInd w:val="0"/>
        <w:spacing w:before="240" w:line="360" w:lineRule="auto"/>
        <w:jc w:val="both"/>
        <w:rPr>
          <w:rFonts w:ascii="Palatino Linotype" w:hAnsi="Palatino Linotype" w:cs="Arial"/>
        </w:rPr>
      </w:pPr>
    </w:p>
    <w:p w:rsidR="00803D37" w:rsidRPr="008D038F" w:rsidRDefault="00803D37" w:rsidP="00803D37">
      <w:pPr>
        <w:autoSpaceDE w:val="0"/>
        <w:autoSpaceDN w:val="0"/>
        <w:adjustRightInd w:val="0"/>
        <w:spacing w:before="240" w:line="360" w:lineRule="auto"/>
        <w:jc w:val="both"/>
        <w:rPr>
          <w:rFonts w:ascii="Palatino Linotype" w:hAnsi="Palatino Linotype" w:cs="Arial"/>
        </w:rPr>
      </w:pPr>
      <w:r w:rsidRPr="008D038F">
        <w:rPr>
          <w:rFonts w:ascii="Palatino Linotype" w:hAnsi="Palatino Linotype" w:cs="Arial"/>
        </w:rPr>
        <w:t xml:space="preserve">En este tenor, en alusión al requerimiento formulado por el particular, resulta oportuno traer a colación los artículos 24, fracción XII y 92, fracción II de la Ley de Transparencia </w:t>
      </w:r>
      <w:r w:rsidRPr="008D038F">
        <w:rPr>
          <w:rFonts w:ascii="Palatino Linotype" w:hAnsi="Palatino Linotype" w:cs="Arial"/>
        </w:rPr>
        <w:lastRenderedPageBreak/>
        <w:t xml:space="preserve">y Acceso a la Información Pública del Estado de México y Municipios, dispositivos jurídicos que disponen a la literalidad lo siguiente: </w:t>
      </w:r>
    </w:p>
    <w:p w:rsidR="00803D37" w:rsidRPr="008B4658" w:rsidRDefault="00803D37" w:rsidP="00803D37">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rsidR="00803D37" w:rsidRPr="008B4658" w:rsidRDefault="00803D37" w:rsidP="00803D37">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rsidR="00803D37" w:rsidRPr="008B4658" w:rsidRDefault="00803D37" w:rsidP="00803D37">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03D37" w:rsidRPr="008B4658" w:rsidRDefault="00803D37" w:rsidP="00803D37">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803D37" w:rsidRPr="00BB541E" w:rsidRDefault="00803D37" w:rsidP="00803D37">
      <w:pPr>
        <w:autoSpaceDE w:val="0"/>
        <w:autoSpaceDN w:val="0"/>
        <w:adjustRightInd w:val="0"/>
        <w:spacing w:before="240" w:line="360" w:lineRule="auto"/>
        <w:ind w:left="851" w:right="851"/>
        <w:jc w:val="both"/>
        <w:rPr>
          <w:rFonts w:ascii="Palatino Linotype" w:hAnsi="Palatino Linotype"/>
          <w:b/>
          <w:i/>
          <w:iCs/>
        </w:rPr>
      </w:pPr>
      <w:r w:rsidRPr="008B4658">
        <w:rPr>
          <w:rFonts w:ascii="Palatino Linotype" w:hAnsi="Palatino Linotype"/>
          <w:i/>
          <w:iCs/>
        </w:rPr>
        <w:t xml:space="preserve">(…)” </w:t>
      </w:r>
      <w:r>
        <w:rPr>
          <w:rFonts w:ascii="Palatino Linotype" w:hAnsi="Palatino Linotype"/>
          <w:b/>
          <w:i/>
          <w:iCs/>
        </w:rPr>
        <w:t>(Sic)</w:t>
      </w:r>
    </w:p>
    <w:p w:rsidR="00803D37" w:rsidRDefault="00803D37" w:rsidP="00803D37">
      <w:pPr>
        <w:spacing w:line="360" w:lineRule="auto"/>
        <w:jc w:val="both"/>
        <w:rPr>
          <w:rFonts w:ascii="Palatino Linotype" w:hAnsi="Palatino Linotype" w:cs="Arial"/>
        </w:rPr>
      </w:pPr>
    </w:p>
    <w:p w:rsidR="00803D37" w:rsidRDefault="00803D37" w:rsidP="00803D37">
      <w:pPr>
        <w:spacing w:line="360" w:lineRule="auto"/>
        <w:jc w:val="both"/>
        <w:rPr>
          <w:rFonts w:ascii="Palatino Linotype" w:hAnsi="Palatino Linotype" w:cs="Arial"/>
          <w:b/>
          <w:bCs/>
        </w:rPr>
      </w:pPr>
      <w:r>
        <w:rPr>
          <w:rFonts w:ascii="Palatino Linotype"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635C9490" wp14:editId="71BC5404">
                <wp:simplePos x="0" y="0"/>
                <wp:positionH relativeFrom="column">
                  <wp:posOffset>-92583</wp:posOffset>
                </wp:positionH>
                <wp:positionV relativeFrom="paragraph">
                  <wp:posOffset>1062304</wp:posOffset>
                </wp:positionV>
                <wp:extent cx="6035040" cy="1755648"/>
                <wp:effectExtent l="0" t="0" r="22860" b="35560"/>
                <wp:wrapNone/>
                <wp:docPr id="6" name="Conector recto 6"/>
                <wp:cNvGraphicFramePr/>
                <a:graphic xmlns:a="http://schemas.openxmlformats.org/drawingml/2006/main">
                  <a:graphicData uri="http://schemas.microsoft.com/office/word/2010/wordprocessingShape">
                    <wps:wsp>
                      <wps:cNvCnPr/>
                      <wps:spPr>
                        <a:xfrm>
                          <a:off x="0" y="0"/>
                          <a:ext cx="6035040" cy="1755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2E16C2B"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pt,83.65pt" to="467.9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" strokecolor="#5b9bd5 [3204]" strokeweight=".5pt">
                <v:stroke joinstyle="miter"/>
              </v:line>
            </w:pict>
          </mc:Fallback>
        </mc:AlternateContent>
      </w:r>
      <w:r w:rsidRPr="00B953BD">
        <w:rPr>
          <w:rFonts w:ascii="Palatino Linotype" w:hAnsi="Palatino Linotype" w:cs="Arial"/>
        </w:rPr>
        <w:t xml:space="preserve">A mayor abundamiento, en alusión a la normatividad previamente plasmada, sirven de sustento las siguientes imágenes ilustrativas, correspondientes al organigrama del </w:t>
      </w:r>
      <w:r w:rsidRPr="00B953BD">
        <w:rPr>
          <w:rFonts w:ascii="Palatino Linotype" w:hAnsi="Palatino Linotype" w:cs="Arial"/>
          <w:b/>
          <w:bCs/>
        </w:rPr>
        <w:t>Sujeto Obligado:</w:t>
      </w:r>
    </w:p>
    <w:p w:rsidR="00803D37" w:rsidRDefault="00803D37" w:rsidP="00803D37">
      <w:pPr>
        <w:spacing w:line="360" w:lineRule="auto"/>
        <w:jc w:val="both"/>
        <w:rPr>
          <w:rFonts w:ascii="Palatino Linotype" w:hAnsi="Palatino Linotype" w:cs="Arial"/>
          <w:b/>
          <w:bCs/>
        </w:rPr>
      </w:pPr>
      <w:r>
        <w:rPr>
          <w:rFonts w:ascii="Palatino Linotype" w:hAnsi="Palatino Linotype" w:cs="Arial"/>
          <w:b/>
          <w:bCs/>
          <w:noProof/>
          <w:lang w:val="es-MX" w:eastAsia="es-MX"/>
        </w:rPr>
        <w:drawing>
          <wp:anchor distT="0" distB="0" distL="114300" distR="114300" simplePos="0" relativeHeight="251660288" behindDoc="0" locked="0" layoutInCell="1" allowOverlap="1" wp14:anchorId="60F01962" wp14:editId="760AAF39">
            <wp:simplePos x="0" y="0"/>
            <wp:positionH relativeFrom="column">
              <wp:posOffset>1771992</wp:posOffset>
            </wp:positionH>
            <wp:positionV relativeFrom="paragraph">
              <wp:posOffset>3823193</wp:posOffset>
            </wp:positionV>
            <wp:extent cx="2019935" cy="2087880"/>
            <wp:effectExtent l="19050" t="19050" r="18415" b="26670"/>
            <wp:wrapThrough wrapText="bothSides">
              <wp:wrapPolygon edited="0">
                <wp:start x="-204" y="-197"/>
                <wp:lineTo x="-204" y="21679"/>
                <wp:lineTo x="21593" y="21679"/>
                <wp:lineTo x="21593" y="-197"/>
                <wp:lineTo x="-204" y="-19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935" cy="2087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lang w:val="es-MX" w:eastAsia="es-MX"/>
        </w:rPr>
        <w:drawing>
          <wp:anchor distT="0" distB="0" distL="114300" distR="114300" simplePos="0" relativeHeight="251659264" behindDoc="0" locked="0" layoutInCell="1" allowOverlap="1" wp14:anchorId="12F109C2" wp14:editId="44100841">
            <wp:simplePos x="0" y="0"/>
            <wp:positionH relativeFrom="column">
              <wp:posOffset>-2540</wp:posOffset>
            </wp:positionH>
            <wp:positionV relativeFrom="paragraph">
              <wp:posOffset>19401</wp:posOffset>
            </wp:positionV>
            <wp:extent cx="5748655" cy="3457575"/>
            <wp:effectExtent l="19050" t="19050" r="23495" b="28575"/>
            <wp:wrapThrough wrapText="bothSides">
              <wp:wrapPolygon edited="0">
                <wp:start x="-72" y="-119"/>
                <wp:lineTo x="-72" y="21660"/>
                <wp:lineTo x="21617" y="21660"/>
                <wp:lineTo x="21617" y="-119"/>
                <wp:lineTo x="-72" y="-11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03D37" w:rsidRDefault="00803D37" w:rsidP="00803D37">
      <w:pPr>
        <w:spacing w:line="360" w:lineRule="auto"/>
        <w:jc w:val="both"/>
        <w:rPr>
          <w:rFonts w:ascii="Palatino Linotype" w:hAnsi="Palatino Linotype" w:cs="Arial"/>
          <w:b/>
          <w:bCs/>
        </w:rPr>
      </w:pPr>
    </w:p>
    <w:p w:rsidR="00803D37" w:rsidRDefault="00803D37" w:rsidP="00803D37">
      <w:pPr>
        <w:spacing w:line="360" w:lineRule="auto"/>
        <w:jc w:val="both"/>
        <w:rPr>
          <w:rFonts w:ascii="Palatino Linotype" w:hAnsi="Palatino Linotype" w:cs="Arial"/>
          <w:b/>
          <w:bCs/>
        </w:rPr>
      </w:pPr>
    </w:p>
    <w:p w:rsidR="00803D37" w:rsidRDefault="00803D37" w:rsidP="00803D37">
      <w:pPr>
        <w:spacing w:line="360" w:lineRule="auto"/>
        <w:jc w:val="both"/>
        <w:rPr>
          <w:rFonts w:ascii="Palatino Linotype" w:hAnsi="Palatino Linotype" w:cs="Arial"/>
          <w:b/>
          <w:bCs/>
        </w:rPr>
      </w:pPr>
    </w:p>
    <w:p w:rsidR="00803D37" w:rsidRPr="00B953BD" w:rsidRDefault="00803D37" w:rsidP="00803D37">
      <w:pPr>
        <w:spacing w:line="360" w:lineRule="auto"/>
        <w:jc w:val="both"/>
        <w:rPr>
          <w:rFonts w:ascii="Palatino Linotype" w:hAnsi="Palatino Linotype" w:cs="Arial"/>
          <w:b/>
          <w:bCs/>
        </w:rPr>
      </w:pPr>
    </w:p>
    <w:p w:rsidR="00803D37" w:rsidRDefault="00803D37" w:rsidP="00803D37">
      <w:pPr>
        <w:pStyle w:val="Sinespaciado"/>
        <w:spacing w:line="360" w:lineRule="auto"/>
        <w:jc w:val="both"/>
        <w:rPr>
          <w:rFonts w:ascii="Palatino Linotype" w:hAnsi="Palatino Linotype" w:cs="Arial"/>
        </w:rPr>
      </w:pPr>
    </w:p>
    <w:p w:rsidR="00803D37" w:rsidRDefault="00803D37" w:rsidP="00803D37">
      <w:pPr>
        <w:pStyle w:val="Sinespaciado"/>
        <w:spacing w:line="360" w:lineRule="auto"/>
        <w:jc w:val="both"/>
        <w:rPr>
          <w:rFonts w:ascii="Palatino Linotype" w:hAnsi="Palatino Linotype" w:cs="Arial"/>
        </w:rPr>
      </w:pPr>
    </w:p>
    <w:p w:rsidR="00803D37" w:rsidRDefault="00803D37" w:rsidP="00803D37">
      <w:pPr>
        <w:pStyle w:val="Sinespaciado"/>
        <w:spacing w:line="360" w:lineRule="auto"/>
        <w:jc w:val="both"/>
        <w:rPr>
          <w:rFonts w:ascii="Palatino Linotype" w:hAnsi="Palatino Linotype" w:cs="Arial"/>
        </w:rPr>
      </w:pPr>
    </w:p>
    <w:p w:rsidR="00803D37" w:rsidRDefault="00803D37" w:rsidP="00803D37">
      <w:pPr>
        <w:pStyle w:val="Sinespaciado"/>
        <w:spacing w:line="360" w:lineRule="auto"/>
        <w:jc w:val="both"/>
        <w:rPr>
          <w:rFonts w:ascii="Palatino Linotype" w:hAnsi="Palatino Linotype" w:cs="Arial"/>
        </w:rPr>
      </w:pPr>
    </w:p>
    <w:p w:rsidR="00803D37" w:rsidRDefault="00803D37" w:rsidP="00803D37">
      <w:pPr>
        <w:pStyle w:val="Sinespaciado"/>
        <w:spacing w:line="360" w:lineRule="auto"/>
        <w:jc w:val="both"/>
        <w:rPr>
          <w:rFonts w:ascii="Palatino Linotype" w:hAnsi="Palatino Linotype" w:cs="Arial"/>
          <w:sz w:val="24"/>
        </w:rPr>
      </w:pPr>
    </w:p>
    <w:p w:rsidR="00803D37" w:rsidRPr="00803D37" w:rsidRDefault="00803D37" w:rsidP="00803D37">
      <w:pPr>
        <w:pStyle w:val="Sinespaciado"/>
        <w:spacing w:line="360" w:lineRule="auto"/>
        <w:jc w:val="both"/>
        <w:rPr>
          <w:rFonts w:ascii="Palatino Linotype" w:hAnsi="Palatino Linotype" w:cs="Arial"/>
          <w:sz w:val="24"/>
        </w:rPr>
      </w:pPr>
      <w:r w:rsidRPr="00803D37">
        <w:rPr>
          <w:rFonts w:ascii="Palatino Linotype" w:hAnsi="Palatino Linotype" w:cs="Arial"/>
          <w:sz w:val="24"/>
        </w:rPr>
        <w:lastRenderedPageBreak/>
        <w:t xml:space="preserve">De lo expuesto con anterioridad, se desprende que </w:t>
      </w:r>
      <w:r w:rsidRPr="00803D37">
        <w:rPr>
          <w:rFonts w:ascii="Palatino Linotype" w:hAnsi="Palatino Linotype" w:cs="Arial"/>
          <w:b/>
          <w:sz w:val="24"/>
        </w:rPr>
        <w:t xml:space="preserve">El Sujeto Obligado </w:t>
      </w:r>
      <w:r w:rsidRPr="00803D37">
        <w:rPr>
          <w:rFonts w:ascii="Palatino Linotype" w:hAnsi="Palatino Linotype" w:cs="Arial"/>
          <w:sz w:val="24"/>
        </w:rPr>
        <w:t xml:space="preserve">se auxilia de diversas Direcciones, Subdirecciones, Departamentos y Unidades Administrativas para cumplir con sus fines y objetivos, resultando de nuestro más amplio interés la Dirección General de Seguridad y Protección.  </w:t>
      </w:r>
    </w:p>
    <w:p w:rsidR="00803D37" w:rsidRDefault="00803D37" w:rsidP="00803D37">
      <w:pPr>
        <w:pStyle w:val="Sinespaciado"/>
        <w:spacing w:line="360" w:lineRule="auto"/>
        <w:jc w:val="both"/>
        <w:rPr>
          <w:rFonts w:ascii="Palatino Linotype" w:hAnsi="Palatino Linotype" w:cs="Arial"/>
        </w:rPr>
      </w:pPr>
    </w:p>
    <w:p w:rsidR="00803D37" w:rsidRPr="00803D37" w:rsidRDefault="00803D37" w:rsidP="00803D37">
      <w:pPr>
        <w:pStyle w:val="Sinespaciado"/>
        <w:spacing w:line="360" w:lineRule="auto"/>
        <w:jc w:val="both"/>
        <w:rPr>
          <w:rFonts w:ascii="Palatino Linotype" w:hAnsi="Palatino Linotype" w:cs="Arial"/>
          <w:sz w:val="24"/>
        </w:rPr>
      </w:pPr>
      <w:r w:rsidRPr="00803D37">
        <w:rPr>
          <w:rFonts w:ascii="Palatino Linotype" w:hAnsi="Palatino Linotype" w:cs="Arial"/>
          <w:sz w:val="24"/>
        </w:rPr>
        <w:t xml:space="preserve">En virtud de lo anterior, para delimitar las fronteras conceptuales de la unidad administrativa en cita, resulta oportuno traer a colación el artículo 7, fracciones II y III de la Ley General del Sistema Nacional de Seguridad Pública; los numerales 125, fracción VIII y 142 de la Ley Orgánica Municipal del Estado de México; así como el artículo 74, fracción VIII del Bando Municipal de Toluca, porciones normativas que disponen a la literalidad lo siguiente: </w:t>
      </w:r>
    </w:p>
    <w:p w:rsidR="00803D37" w:rsidRPr="004C3081" w:rsidRDefault="00803D37" w:rsidP="00803D37">
      <w:pPr>
        <w:pStyle w:val="Citas"/>
        <w:jc w:val="center"/>
        <w:rPr>
          <w:b/>
          <w:sz w:val="24"/>
          <w:szCs w:val="24"/>
        </w:rPr>
      </w:pPr>
      <w:r w:rsidRPr="004C3081">
        <w:rPr>
          <w:b/>
          <w:sz w:val="24"/>
          <w:szCs w:val="24"/>
        </w:rPr>
        <w:t>Ley General del Sistema Nacional de Seguridad Pública</w:t>
      </w:r>
    </w:p>
    <w:p w:rsidR="00803D37" w:rsidRDefault="00803D37" w:rsidP="00803D37">
      <w:pPr>
        <w:pStyle w:val="Citas"/>
      </w:pPr>
      <w: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803D37" w:rsidRDefault="00803D37" w:rsidP="00803D37">
      <w:pPr>
        <w:pStyle w:val="Citas"/>
      </w:pPr>
      <w:r>
        <w:t>(…)</w:t>
      </w:r>
    </w:p>
    <w:p w:rsidR="00803D37" w:rsidRPr="00B54C62" w:rsidRDefault="00803D37" w:rsidP="00803D37">
      <w:pPr>
        <w:pStyle w:val="Citas"/>
        <w:rPr>
          <w:b/>
          <w:u w:val="single"/>
        </w:rPr>
      </w:pPr>
      <w:r w:rsidRPr="00B54C62">
        <w:rPr>
          <w:b/>
          <w:u w:val="single"/>
        </w:rPr>
        <w:t>II. Formular políticas integrales, sistemáticas, continuas y evaluables, así como programas y estrategias, en materia de seguridad pública;</w:t>
      </w:r>
    </w:p>
    <w:p w:rsidR="00803D37" w:rsidRPr="00B54C62" w:rsidRDefault="00803D37" w:rsidP="00803D37">
      <w:pPr>
        <w:pStyle w:val="Citas"/>
        <w:rPr>
          <w:b/>
          <w:u w:val="single"/>
        </w:rPr>
      </w:pPr>
      <w:r w:rsidRPr="00B54C62">
        <w:rPr>
          <w:b/>
          <w:u w:val="single"/>
        </w:rPr>
        <w:t>III. Ejecutar, dar seguimiento y evaluar las políticas, estrategias y acciones, a través de las instancias previstas en esta ley;</w:t>
      </w:r>
    </w:p>
    <w:p w:rsidR="00803D37" w:rsidRPr="005B1F52" w:rsidRDefault="00803D37" w:rsidP="00803D37">
      <w:pPr>
        <w:pStyle w:val="Citas"/>
        <w:rPr>
          <w:b/>
        </w:rPr>
      </w:pPr>
      <w:r>
        <w:t xml:space="preserve">(…)” </w:t>
      </w:r>
      <w:r>
        <w:rPr>
          <w:b/>
        </w:rPr>
        <w:t>(Sic)</w:t>
      </w:r>
    </w:p>
    <w:p w:rsidR="00803D37" w:rsidRDefault="00803D37" w:rsidP="00803D37">
      <w:pPr>
        <w:pStyle w:val="Sinespaciado"/>
        <w:spacing w:line="360" w:lineRule="auto"/>
        <w:jc w:val="both"/>
        <w:rPr>
          <w:rFonts w:ascii="Palatino Linotype" w:hAnsi="Palatino Linotype" w:cs="Arial"/>
        </w:rPr>
      </w:pPr>
    </w:p>
    <w:p w:rsidR="00803D37" w:rsidRDefault="00803D37" w:rsidP="00803D37">
      <w:pPr>
        <w:pStyle w:val="Sinespaciado"/>
        <w:spacing w:line="360" w:lineRule="auto"/>
        <w:jc w:val="both"/>
        <w:rPr>
          <w:rFonts w:ascii="Palatino Linotype" w:hAnsi="Palatino Linotype" w:cs="Arial"/>
        </w:rPr>
      </w:pPr>
    </w:p>
    <w:p w:rsidR="00803D37" w:rsidRPr="005B1F52" w:rsidRDefault="00803D37" w:rsidP="00803D37">
      <w:pPr>
        <w:pStyle w:val="Citas"/>
        <w:jc w:val="center"/>
        <w:rPr>
          <w:b/>
        </w:rPr>
      </w:pPr>
      <w:r w:rsidRPr="005B1F52">
        <w:rPr>
          <w:b/>
        </w:rPr>
        <w:t>Ley Orgánica Municipal del Estado de México</w:t>
      </w:r>
    </w:p>
    <w:p w:rsidR="00803D37" w:rsidRDefault="00803D37" w:rsidP="00803D37">
      <w:pPr>
        <w:pStyle w:val="Citas"/>
      </w:pPr>
      <w:r>
        <w:t>“Artículo 125.- Los municipios tendrán a su cargo la prestación, explotación, administración y conservación de los servicios públicos municipales, considerándose enunciativa y no limitativamente, los siguientes:</w:t>
      </w:r>
    </w:p>
    <w:p w:rsidR="00803D37" w:rsidRDefault="00803D37" w:rsidP="00803D37">
      <w:pPr>
        <w:pStyle w:val="Citas"/>
      </w:pPr>
      <w:r>
        <w:t>(…)</w:t>
      </w:r>
    </w:p>
    <w:p w:rsidR="00803D37" w:rsidRDefault="00803D37" w:rsidP="00803D37">
      <w:pPr>
        <w:pStyle w:val="Citas"/>
      </w:pPr>
      <w:r>
        <w:t>VIII. Seguridad pública y tránsito;</w:t>
      </w:r>
    </w:p>
    <w:p w:rsidR="00803D37" w:rsidRDefault="00803D37" w:rsidP="00803D37">
      <w:pPr>
        <w:pStyle w:val="Citas"/>
      </w:pPr>
      <w:r>
        <w:t>(…)</w:t>
      </w:r>
    </w:p>
    <w:p w:rsidR="00803D37" w:rsidRDefault="00803D37" w:rsidP="00803D37">
      <w:pPr>
        <w:pStyle w:val="Citas"/>
      </w:pPr>
      <w: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803D37" w:rsidRPr="005B1F52" w:rsidRDefault="00803D37" w:rsidP="00803D37">
      <w:pPr>
        <w:pStyle w:val="Citas"/>
        <w:rPr>
          <w:b/>
        </w:rPr>
      </w:pPr>
      <w:r>
        <w:t xml:space="preserve">En cada municipio se deberán integrar cuerpos de seguridad pública, de bomberos y, en su caso, de tránsito, estos servidores públicos preferentemente serán vecinos del municipio, de los cuales el presidente municipal será el jefe inmediato.” </w:t>
      </w:r>
      <w:r>
        <w:rPr>
          <w:b/>
        </w:rPr>
        <w:t>(Sic)</w:t>
      </w:r>
    </w:p>
    <w:p w:rsidR="00803D37" w:rsidRDefault="00803D37" w:rsidP="00803D37">
      <w:pPr>
        <w:pStyle w:val="Sinespaciado"/>
        <w:spacing w:line="360" w:lineRule="auto"/>
        <w:jc w:val="both"/>
        <w:rPr>
          <w:rFonts w:ascii="Palatino Linotype" w:hAnsi="Palatino Linotype" w:cs="Arial"/>
        </w:rPr>
      </w:pPr>
    </w:p>
    <w:p w:rsidR="00803D37" w:rsidRPr="00B54C62" w:rsidRDefault="00803D37" w:rsidP="00803D37">
      <w:pPr>
        <w:pStyle w:val="Citas"/>
        <w:jc w:val="center"/>
        <w:rPr>
          <w:b/>
        </w:rPr>
      </w:pPr>
      <w:r w:rsidRPr="00B54C62">
        <w:rPr>
          <w:b/>
        </w:rPr>
        <w:t>Bando Municipal Toluca 2022</w:t>
      </w:r>
    </w:p>
    <w:p w:rsidR="00803D37" w:rsidRDefault="00803D37" w:rsidP="00803D37">
      <w:pPr>
        <w:pStyle w:val="Citas"/>
      </w:pPr>
      <w:r>
        <w:t>“Artículo 74. Son atribuciones de las autoridades municipales en materia de Seguridad Pública las siguientes:</w:t>
      </w:r>
    </w:p>
    <w:p w:rsidR="00803D37" w:rsidRDefault="00803D37" w:rsidP="00803D37">
      <w:pPr>
        <w:pStyle w:val="Citas"/>
      </w:pPr>
      <w:r>
        <w:t>(…)</w:t>
      </w:r>
    </w:p>
    <w:p w:rsidR="00896F94" w:rsidRPr="00896F94" w:rsidRDefault="00896F94" w:rsidP="00896F94">
      <w:pPr>
        <w:pStyle w:val="Citas"/>
        <w:rPr>
          <w:b/>
        </w:rPr>
      </w:pPr>
      <w:r w:rsidRPr="00896F94">
        <w:rPr>
          <w:b/>
        </w:rPr>
        <w:lastRenderedPageBreak/>
        <w:t>V. Proponer y participar en el proyecto de Programa</w:t>
      </w:r>
      <w:r>
        <w:rPr>
          <w:b/>
        </w:rPr>
        <w:t xml:space="preserve"> </w:t>
      </w:r>
      <w:r w:rsidRPr="00896F94">
        <w:rPr>
          <w:b/>
        </w:rPr>
        <w:t>Municipal de Seguridad Pública;</w:t>
      </w:r>
    </w:p>
    <w:p w:rsidR="00803D37" w:rsidRPr="00896F94" w:rsidRDefault="00803D37" w:rsidP="00803D37">
      <w:pPr>
        <w:pStyle w:val="Citas"/>
        <w:rPr>
          <w:b/>
          <w:u w:val="single"/>
        </w:rPr>
      </w:pPr>
      <w:r w:rsidRPr="00896F94">
        <w:rPr>
          <w:b/>
          <w:u w:val="single"/>
        </w:rPr>
        <w:t>VIII. Vigilar la ejecución de programas, proyectos y acciones en materia de seguridad pública, así como de tránsito y vialidad;</w:t>
      </w:r>
    </w:p>
    <w:p w:rsidR="00803D37" w:rsidRDefault="00803D37" w:rsidP="006B6913">
      <w:pPr>
        <w:pStyle w:val="Citas"/>
        <w:rPr>
          <w:b/>
        </w:rPr>
      </w:pPr>
      <w:r>
        <w:t xml:space="preserve">(…)” </w:t>
      </w:r>
      <w:r>
        <w:rPr>
          <w:b/>
        </w:rPr>
        <w:t>(Sic)</w:t>
      </w:r>
    </w:p>
    <w:p w:rsidR="006B6913" w:rsidRPr="00122755" w:rsidRDefault="006B6913" w:rsidP="006B6913">
      <w:pPr>
        <w:pStyle w:val="Citas"/>
        <w:jc w:val="center"/>
        <w:rPr>
          <w:b/>
        </w:rPr>
      </w:pPr>
      <w:r w:rsidRPr="00122755">
        <w:rPr>
          <w:b/>
        </w:rPr>
        <w:t xml:space="preserve">Manual de Organización </w:t>
      </w:r>
    </w:p>
    <w:p w:rsidR="006B6913" w:rsidRPr="00122755" w:rsidRDefault="006B6913" w:rsidP="006B6913">
      <w:pPr>
        <w:pStyle w:val="Citas"/>
        <w:jc w:val="center"/>
        <w:rPr>
          <w:b/>
        </w:rPr>
      </w:pPr>
      <w:r w:rsidRPr="00122755">
        <w:rPr>
          <w:b/>
        </w:rPr>
        <w:t xml:space="preserve">Dirección General de Seguridad y Protección  </w:t>
      </w:r>
    </w:p>
    <w:p w:rsidR="006B6913" w:rsidRPr="00122755" w:rsidRDefault="006B6913" w:rsidP="006B6913">
      <w:pPr>
        <w:pStyle w:val="Citas"/>
      </w:pPr>
      <w:r w:rsidRPr="00122755">
        <w:t>Artículo 3.39 Ter. La o el titular de la Dirección de Inteligencia tiene las siguientes atribuciones:</w:t>
      </w:r>
    </w:p>
    <w:p w:rsidR="006B6913" w:rsidRPr="00122755" w:rsidRDefault="006B6913" w:rsidP="006B6913">
      <w:pPr>
        <w:pStyle w:val="Citas"/>
      </w:pPr>
      <w:r w:rsidRPr="00122755">
        <w:t>I. Analizar los fenómenos delincuenciales a efecto de generar productos de inteligencia que permitan desarrollar e implementar estrategias orientadas a la desarticulación de grupos criminales que se encuentren en el municipio;</w:t>
      </w:r>
    </w:p>
    <w:p w:rsidR="006B6913" w:rsidRPr="00122755" w:rsidRDefault="006B6913" w:rsidP="006B6913">
      <w:pPr>
        <w:pStyle w:val="Citas"/>
      </w:pPr>
      <w:r w:rsidRPr="00122755">
        <w:t>II. Coordinar la operación de tareas de inteligencia en el municipio, con la finalidad de contribuir en la preservación de la gobernabilidad y fortalecimiento del estado de derecho;</w:t>
      </w:r>
    </w:p>
    <w:p w:rsidR="006B6913" w:rsidRPr="00122755" w:rsidRDefault="006B6913" w:rsidP="006B6913">
      <w:pPr>
        <w:pStyle w:val="Citas"/>
        <w:rPr>
          <w:b/>
        </w:rPr>
      </w:pPr>
      <w:r w:rsidRPr="00122755">
        <w:rPr>
          <w:b/>
        </w:rPr>
        <w:t>III. Integrar planes y programas que propongan la implementación de acciones para combatir la delincuencia organizada el municipio;</w:t>
      </w:r>
    </w:p>
    <w:p w:rsidR="006B6913" w:rsidRPr="00122755" w:rsidRDefault="006B6913" w:rsidP="006B6913">
      <w:pPr>
        <w:pStyle w:val="Citas"/>
        <w:rPr>
          <w:b/>
        </w:rPr>
      </w:pPr>
      <w:r w:rsidRPr="00122755">
        <w:rPr>
          <w:b/>
        </w:rPr>
        <w:t>(…)</w:t>
      </w:r>
    </w:p>
    <w:p w:rsidR="006B6913" w:rsidRPr="00122755" w:rsidRDefault="006B6913" w:rsidP="006B6913">
      <w:pPr>
        <w:pStyle w:val="Citas"/>
        <w:jc w:val="center"/>
        <w:rPr>
          <w:b/>
        </w:rPr>
      </w:pPr>
      <w:r w:rsidRPr="00122755">
        <w:rPr>
          <w:b/>
        </w:rPr>
        <w:t>Departamento de Prevención del Delito</w:t>
      </w:r>
    </w:p>
    <w:p w:rsidR="006B6913" w:rsidRPr="00122755" w:rsidRDefault="006B6913" w:rsidP="006B6913">
      <w:pPr>
        <w:pStyle w:val="Citas"/>
      </w:pPr>
      <w:r w:rsidRPr="00122755">
        <w:t>Objetivo:</w:t>
      </w:r>
    </w:p>
    <w:p w:rsidR="006B6913" w:rsidRPr="00122755" w:rsidRDefault="006B6913" w:rsidP="006B6913">
      <w:pPr>
        <w:pStyle w:val="Citas"/>
      </w:pPr>
      <w:r w:rsidRPr="00122755">
        <w:lastRenderedPageBreak/>
        <w:t xml:space="preserve">Implementar y coordinar los programas y acciones dirigidos a la prevención social del delito y la violencia, para contener y combatir los factores de riesgo que afectan la paz y el desarrollo de la familia, fomentando los valores cívicos encaminados a observar el respeto a la legalidad y derechos humanos. </w:t>
      </w:r>
    </w:p>
    <w:p w:rsidR="006B6913" w:rsidRPr="00122755" w:rsidRDefault="006B6913" w:rsidP="006B6913">
      <w:pPr>
        <w:pStyle w:val="Citas"/>
        <w:jc w:val="center"/>
        <w:rPr>
          <w:b/>
        </w:rPr>
      </w:pPr>
      <w:r w:rsidRPr="00122755">
        <w:rPr>
          <w:b/>
        </w:rPr>
        <w:t>Dirección Operativa</w:t>
      </w:r>
    </w:p>
    <w:p w:rsidR="006B6913" w:rsidRPr="00122755" w:rsidRDefault="006B6913" w:rsidP="006B6913">
      <w:pPr>
        <w:pStyle w:val="Citas"/>
        <w:rPr>
          <w:lang w:val="es-ES"/>
        </w:rPr>
      </w:pPr>
      <w:r w:rsidRPr="00122755">
        <w:cr/>
      </w:r>
      <w:r w:rsidRPr="00122755">
        <w:rPr>
          <w:rFonts w:ascii="Times New Roman" w:eastAsia="Times New Roman" w:hAnsi="Times New Roman" w:cs="Times New Roman"/>
          <w:b/>
          <w:i w:val="0"/>
          <w:sz w:val="24"/>
          <w:szCs w:val="24"/>
          <w:lang w:val="es-ES" w:eastAsia="es-ES"/>
        </w:rPr>
        <w:t xml:space="preserve"> </w:t>
      </w:r>
      <w:r w:rsidRPr="00122755">
        <w:rPr>
          <w:b/>
          <w:lang w:val="es-ES"/>
        </w:rPr>
        <w:t>Objetivo:</w:t>
      </w:r>
      <w:r w:rsidRPr="00122755">
        <w:rPr>
          <w:lang w:val="es-ES"/>
        </w:rPr>
        <w:t xml:space="preserve"> </w:t>
      </w:r>
    </w:p>
    <w:p w:rsidR="006B6913" w:rsidRPr="00122755" w:rsidRDefault="006B6913" w:rsidP="006B6913">
      <w:pPr>
        <w:pStyle w:val="Citas"/>
        <w:rPr>
          <w:lang w:val="es-ES"/>
        </w:rPr>
      </w:pPr>
      <w:r w:rsidRPr="00122755">
        <w:rPr>
          <w:lang w:val="es-ES"/>
        </w:rPr>
        <w:t xml:space="preserve">Proporcionar seguridad a las y los habitantes del Municipio de Toluca, salvaguardando la vida, la integridad, los bienes y los derechos de las personas, preservando las libertades, el orden y la paz social en el territorio municipal. </w:t>
      </w:r>
    </w:p>
    <w:p w:rsidR="006B6913" w:rsidRPr="00122755" w:rsidRDefault="006B6913" w:rsidP="006B6913">
      <w:pPr>
        <w:pStyle w:val="Citas"/>
        <w:rPr>
          <w:lang w:val="es-ES"/>
        </w:rPr>
      </w:pPr>
      <w:r w:rsidRPr="00122755">
        <w:rPr>
          <w:lang w:val="es-ES"/>
        </w:rPr>
        <w:t xml:space="preserve">Funciones: </w:t>
      </w:r>
    </w:p>
    <w:p w:rsidR="006B6913" w:rsidRPr="00122755" w:rsidRDefault="006B6913" w:rsidP="006B6913">
      <w:pPr>
        <w:pStyle w:val="Citas"/>
        <w:rPr>
          <w:lang w:val="es-ES"/>
        </w:rPr>
      </w:pPr>
      <w:r w:rsidRPr="00122755">
        <w:rPr>
          <w:lang w:val="es-ES"/>
        </w:rPr>
        <w:t xml:space="preserve">1. Diseñar, planear, establecer, ejecutar y evaluar programas de prevención y atención a las conductas antisociales en el municipio; </w:t>
      </w:r>
    </w:p>
    <w:p w:rsidR="006B6913" w:rsidRPr="00122755" w:rsidRDefault="006B6913" w:rsidP="006B6913">
      <w:pPr>
        <w:pStyle w:val="Citas"/>
        <w:rPr>
          <w:lang w:val="es-ES"/>
        </w:rPr>
      </w:pPr>
      <w:r w:rsidRPr="00122755">
        <w:rPr>
          <w:lang w:val="es-ES"/>
        </w:rPr>
        <w:t xml:space="preserve">2. Planear, coordinar y supervisar la realización de operativos y mecanismos de seguridad para proteger la integridad física de las y los habitantes y sus bienes, así como de las personas que se encuentren en el territorio municipal; </w:t>
      </w:r>
    </w:p>
    <w:p w:rsidR="006B6913" w:rsidRPr="00122755" w:rsidRDefault="006B6913" w:rsidP="006B6913">
      <w:pPr>
        <w:pStyle w:val="Citas"/>
        <w:rPr>
          <w:b/>
          <w:lang w:val="es-ES"/>
        </w:rPr>
      </w:pPr>
      <w:r w:rsidRPr="00122755">
        <w:rPr>
          <w:b/>
          <w:lang w:val="es-ES"/>
        </w:rPr>
        <w:t xml:space="preserve">3. Diseñar, proponer y establecer programas que coadyuven a </w:t>
      </w:r>
      <w:proofErr w:type="spellStart"/>
      <w:r w:rsidRPr="00122755">
        <w:rPr>
          <w:b/>
          <w:lang w:val="es-ES"/>
        </w:rPr>
        <w:t>eficientar</w:t>
      </w:r>
      <w:proofErr w:type="spellEnd"/>
      <w:r w:rsidRPr="00122755">
        <w:rPr>
          <w:b/>
          <w:lang w:val="es-ES"/>
        </w:rPr>
        <w:t xml:space="preserve"> la seguridad en el municipio y sus zonas limítrofes de manera coordinada con autoridades federales, estatales y de municipios que integran la Zona Metropolitana del Valle de Toluca; </w:t>
      </w:r>
    </w:p>
    <w:p w:rsidR="006B6913" w:rsidRPr="00122755" w:rsidRDefault="006B6913" w:rsidP="006B6913">
      <w:pPr>
        <w:pStyle w:val="Citas"/>
        <w:rPr>
          <w:b/>
          <w:lang w:val="es-ES"/>
        </w:rPr>
      </w:pPr>
      <w:r w:rsidRPr="00122755">
        <w:rPr>
          <w:b/>
          <w:lang w:val="es-ES"/>
        </w:rPr>
        <w:t>(…)</w:t>
      </w:r>
    </w:p>
    <w:p w:rsidR="00055B39" w:rsidRPr="00122755" w:rsidRDefault="00055B39" w:rsidP="00055B39">
      <w:pPr>
        <w:pStyle w:val="Citas"/>
        <w:jc w:val="center"/>
        <w:rPr>
          <w:b/>
          <w:lang w:val="es-ES"/>
        </w:rPr>
      </w:pPr>
      <w:r w:rsidRPr="00122755">
        <w:rPr>
          <w:b/>
          <w:lang w:val="es-ES"/>
        </w:rPr>
        <w:t>Departamento de Inteligencia</w:t>
      </w:r>
    </w:p>
    <w:p w:rsidR="00055B39" w:rsidRPr="00122755" w:rsidRDefault="00055B39" w:rsidP="00055B39">
      <w:pPr>
        <w:pStyle w:val="Citas"/>
        <w:rPr>
          <w:lang w:val="es-ES"/>
        </w:rPr>
      </w:pPr>
      <w:r w:rsidRPr="00122755">
        <w:rPr>
          <w:b/>
          <w:lang w:val="es-ES"/>
        </w:rPr>
        <w:lastRenderedPageBreak/>
        <w:t xml:space="preserve">Objetivo: Diseñar, establecer y aplicar métodos de obtención, clasificación y análisis de información, para identificar a personas y grupos vinculados con la delincuencia común y organizada, así como sus modos de operación para su combate y desarticulación. </w:t>
      </w:r>
    </w:p>
    <w:p w:rsidR="00055B39" w:rsidRPr="00122755" w:rsidRDefault="00055B39" w:rsidP="00055B39">
      <w:pPr>
        <w:pStyle w:val="Citas"/>
        <w:rPr>
          <w:lang w:val="es-ES"/>
        </w:rPr>
      </w:pPr>
      <w:r w:rsidRPr="00122755">
        <w:rPr>
          <w:lang w:val="es-ES"/>
        </w:rPr>
        <w:t xml:space="preserve">Funciones: </w:t>
      </w:r>
    </w:p>
    <w:p w:rsidR="00055B39" w:rsidRPr="00122755" w:rsidRDefault="00055B39" w:rsidP="00055B39">
      <w:pPr>
        <w:pStyle w:val="Citas"/>
        <w:rPr>
          <w:lang w:val="es-ES"/>
        </w:rPr>
      </w:pPr>
      <w:r w:rsidRPr="00122755">
        <w:rPr>
          <w:lang w:val="es-ES"/>
        </w:rPr>
        <w:t xml:space="preserve">1. Documentar, investigar, reunir, clasificar, y analizar indicios, que permitan identificar integrantes de los grupos criminales; </w:t>
      </w:r>
    </w:p>
    <w:p w:rsidR="00055B39" w:rsidRPr="00122755" w:rsidRDefault="00055B39" w:rsidP="00055B39">
      <w:pPr>
        <w:pStyle w:val="Citas"/>
        <w:rPr>
          <w:lang w:val="es-ES"/>
        </w:rPr>
      </w:pPr>
      <w:r w:rsidRPr="00122755">
        <w:rPr>
          <w:lang w:val="es-ES"/>
        </w:rPr>
        <w:t xml:space="preserve">2. Identificar y analizar las zonas criminógenas y todos aquellos datos que permitan conocer con precisión las circunstancias sociales, económicas, geográficas y culturales que inciden, activan o potencializan el comportamiento antisocial; </w:t>
      </w:r>
    </w:p>
    <w:p w:rsidR="00055B39" w:rsidRPr="00122755" w:rsidRDefault="00055B39" w:rsidP="00055B39">
      <w:pPr>
        <w:pStyle w:val="Citas"/>
        <w:rPr>
          <w:lang w:val="es-ES"/>
        </w:rPr>
      </w:pPr>
      <w:r w:rsidRPr="00122755">
        <w:rPr>
          <w:lang w:val="es-ES"/>
        </w:rPr>
        <w:t xml:space="preserve">3. Investigar, analizar y actualizar la información sobre la dinámica de operación de grupos delincuenciales en el municipio, para proporcionar a la Dirección Operativa información confiable para su ejecución en la prevención y el combate al delito; </w:t>
      </w:r>
    </w:p>
    <w:p w:rsidR="00055B39" w:rsidRPr="00122755" w:rsidRDefault="00055B39" w:rsidP="00055B39">
      <w:pPr>
        <w:pStyle w:val="Citas"/>
        <w:rPr>
          <w:lang w:val="es-ES"/>
        </w:rPr>
      </w:pPr>
      <w:r w:rsidRPr="00122755">
        <w:rPr>
          <w:lang w:val="es-ES"/>
        </w:rPr>
        <w:t xml:space="preserve">4. Diseñar y proponer dispositivos que permitan detectar e inhibir delitos y que conduzcan al aseguramiento de los probables delincuentes; </w:t>
      </w:r>
    </w:p>
    <w:p w:rsidR="00055B39" w:rsidRPr="00122755" w:rsidRDefault="00055B39" w:rsidP="00055B39">
      <w:pPr>
        <w:pStyle w:val="Citas"/>
        <w:rPr>
          <w:lang w:val="es-ES"/>
        </w:rPr>
      </w:pPr>
      <w:r w:rsidRPr="00122755">
        <w:rPr>
          <w:lang w:val="es-ES"/>
        </w:rPr>
        <w:t xml:space="preserve">5. Coordinar y supervisar el agrupamiento de investigación, para que actúen con una conducta honesta y en apego a los derechos humanos de la ciudadanía; y </w:t>
      </w:r>
    </w:p>
    <w:p w:rsidR="00055B39" w:rsidRPr="00055B39" w:rsidRDefault="00055B39" w:rsidP="00055B39">
      <w:pPr>
        <w:pStyle w:val="Citas"/>
        <w:rPr>
          <w:lang w:val="es-ES"/>
        </w:rPr>
      </w:pPr>
      <w:r w:rsidRPr="00122755">
        <w:rPr>
          <w:lang w:val="es-ES"/>
        </w:rPr>
        <w:t>6. Realizar todas aquellas actividades que sean inherentes y aplicables al área de su competencia</w:t>
      </w:r>
    </w:p>
    <w:p w:rsidR="006B6913" w:rsidRPr="006B6913" w:rsidRDefault="006B6913" w:rsidP="006B6913">
      <w:pPr>
        <w:pStyle w:val="Citas"/>
        <w:rPr>
          <w:b/>
          <w:lang w:val="es-ES"/>
        </w:rPr>
      </w:pPr>
    </w:p>
    <w:p w:rsidR="00803D37" w:rsidRPr="00803D37" w:rsidRDefault="00803D37" w:rsidP="00803D37">
      <w:pPr>
        <w:pStyle w:val="Sinespaciado"/>
        <w:spacing w:line="360" w:lineRule="auto"/>
        <w:jc w:val="both"/>
        <w:rPr>
          <w:rFonts w:ascii="Palatino Linotype" w:hAnsi="Palatino Linotype"/>
          <w:bCs/>
          <w:sz w:val="24"/>
        </w:rPr>
      </w:pPr>
      <w:r w:rsidRPr="00803D37">
        <w:rPr>
          <w:rFonts w:ascii="Palatino Linotype" w:hAnsi="Palatino Linotype" w:cs="Arial"/>
          <w:sz w:val="24"/>
        </w:rPr>
        <w:lastRenderedPageBreak/>
        <w:t xml:space="preserve">En efecto de la normatividad previamente plasmada se desprende que la información requerida es susceptible de ser generada, poseída o administrada por </w:t>
      </w:r>
      <w:r w:rsidRPr="00803D37">
        <w:rPr>
          <w:rFonts w:ascii="Palatino Linotype" w:hAnsi="Palatino Linotype" w:cs="Arial"/>
          <w:b/>
          <w:sz w:val="24"/>
        </w:rPr>
        <w:t xml:space="preserve">El Sujeto Obligado. </w:t>
      </w:r>
      <w:r w:rsidRPr="00803D37">
        <w:rPr>
          <w:rFonts w:ascii="Palatino Linotype" w:hAnsi="Palatino Linotype" w:cs="Arial"/>
          <w:sz w:val="24"/>
        </w:rPr>
        <w:t xml:space="preserve"> </w:t>
      </w:r>
    </w:p>
    <w:p w:rsidR="005B5160" w:rsidRDefault="005B5160" w:rsidP="005B5160">
      <w:pPr>
        <w:pStyle w:val="Citas"/>
        <w:ind w:left="0" w:right="0"/>
        <w:rPr>
          <w:i w:val="0"/>
          <w:sz w:val="24"/>
          <w:szCs w:val="24"/>
        </w:rPr>
      </w:pPr>
    </w:p>
    <w:p w:rsidR="008C67CD" w:rsidRPr="001106D5" w:rsidRDefault="008C67CD" w:rsidP="008C67CD">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B4483D">
        <w:rPr>
          <w:rFonts w:ascii="Palatino Linotype" w:hAnsi="Palatino Linotype" w:cs="Arial"/>
          <w:b/>
        </w:rPr>
        <w:t>00408/TOLUCA/IP/2023</w:t>
      </w:r>
      <w:r w:rsidRPr="001106D5">
        <w:rPr>
          <w:rFonts w:ascii="Palatino Linotype" w:hAnsi="Palatino Linotype" w:cs="Arial"/>
          <w:b/>
        </w:rPr>
        <w:t xml:space="preserve">; </w:t>
      </w:r>
      <w:r>
        <w:rPr>
          <w:rFonts w:ascii="Palatino Linotype" w:hAnsi="Palatino Linotype" w:cs="Arial"/>
        </w:rPr>
        <w:t xml:space="preserve">para la cual adjuntó los </w:t>
      </w:r>
      <w:r w:rsidRPr="001106D5">
        <w:rPr>
          <w:rFonts w:ascii="Palatino Linotype" w:hAnsi="Palatino Linotype" w:cs="Arial"/>
        </w:rPr>
        <w:t>archivos electrónicos que a continuación se describe</w:t>
      </w:r>
      <w:r>
        <w:rPr>
          <w:rFonts w:ascii="Palatino Linotype" w:hAnsi="Palatino Linotype" w:cs="Arial"/>
        </w:rPr>
        <w:t>n</w:t>
      </w:r>
      <w:r w:rsidRPr="001106D5">
        <w:rPr>
          <w:rFonts w:ascii="Palatino Linotype" w:hAnsi="Palatino Linotype" w:cs="Arial"/>
          <w:b/>
        </w:rPr>
        <w:t>:</w:t>
      </w:r>
    </w:p>
    <w:p w:rsidR="008C67CD" w:rsidRPr="00DF5CF5" w:rsidRDefault="00B4483D" w:rsidP="00B4483D">
      <w:pPr>
        <w:pStyle w:val="Sinespaciado"/>
        <w:numPr>
          <w:ilvl w:val="0"/>
          <w:numId w:val="1"/>
        </w:numPr>
        <w:spacing w:before="240" w:line="360" w:lineRule="auto"/>
        <w:jc w:val="both"/>
        <w:rPr>
          <w:rFonts w:ascii="Palatino Linotype" w:hAnsi="Palatino Linotype" w:cs="Arial"/>
          <w:b/>
          <w:sz w:val="24"/>
        </w:rPr>
      </w:pPr>
      <w:r w:rsidRPr="00B4483D">
        <w:rPr>
          <w:rFonts w:ascii="Palatino Linotype" w:hAnsi="Palatino Linotype" w:cs="Arial"/>
          <w:b/>
          <w:i/>
          <w:sz w:val="24"/>
        </w:rPr>
        <w:t>Respuesta 408.pdf</w:t>
      </w:r>
      <w:r w:rsidR="008C67CD" w:rsidRPr="00AD108B">
        <w:rPr>
          <w:rFonts w:ascii="Palatino Linotype" w:hAnsi="Palatino Linotype" w:cs="Arial"/>
          <w:b/>
          <w:i/>
          <w:sz w:val="24"/>
        </w:rPr>
        <w:t>:</w:t>
      </w:r>
      <w:r w:rsidR="008C67CD" w:rsidRPr="00AD108B">
        <w:rPr>
          <w:rFonts w:ascii="Palatino Linotype" w:hAnsi="Palatino Linotype" w:cs="Arial"/>
          <w:i/>
          <w:sz w:val="24"/>
        </w:rPr>
        <w:t xml:space="preserve"> </w:t>
      </w:r>
      <w:r w:rsidR="00DF5CF5">
        <w:rPr>
          <w:rFonts w:ascii="Palatino Linotype" w:hAnsi="Palatino Linotype" w:cs="Arial"/>
          <w:sz w:val="24"/>
        </w:rPr>
        <w:t xml:space="preserve">constante de dos fojas, en formato </w:t>
      </w:r>
      <w:proofErr w:type="spellStart"/>
      <w:r w:rsidR="00DF5CF5">
        <w:rPr>
          <w:rFonts w:ascii="Palatino Linotype" w:hAnsi="Palatino Linotype" w:cs="Arial"/>
          <w:sz w:val="24"/>
        </w:rPr>
        <w:t>pdf</w:t>
      </w:r>
      <w:proofErr w:type="spellEnd"/>
      <w:r w:rsidR="008C67CD" w:rsidRPr="00AD108B">
        <w:rPr>
          <w:rFonts w:ascii="Palatino Linotype" w:hAnsi="Palatino Linotype" w:cs="Arial"/>
          <w:sz w:val="24"/>
        </w:rPr>
        <w:t xml:space="preserve">, de fecha </w:t>
      </w:r>
      <w:r w:rsidR="00DF5CF5">
        <w:rPr>
          <w:rFonts w:ascii="Palatino Linotype" w:hAnsi="Palatino Linotype" w:cs="Arial"/>
          <w:sz w:val="24"/>
        </w:rPr>
        <w:t>veintiocho de febrero</w:t>
      </w:r>
      <w:r w:rsidR="008C67CD" w:rsidRPr="00AD108B">
        <w:rPr>
          <w:rFonts w:ascii="Palatino Linotype" w:hAnsi="Palatino Linotype" w:cs="Arial"/>
          <w:sz w:val="24"/>
        </w:rPr>
        <w:t xml:space="preserve"> de dos mil </w:t>
      </w:r>
      <w:r w:rsidR="00DF5CF5">
        <w:rPr>
          <w:rFonts w:ascii="Palatino Linotype" w:hAnsi="Palatino Linotype" w:cs="Arial"/>
          <w:sz w:val="24"/>
        </w:rPr>
        <w:t>veintitrés</w:t>
      </w:r>
      <w:r w:rsidR="008C67CD" w:rsidRPr="00AD108B">
        <w:rPr>
          <w:rFonts w:ascii="Palatino Linotype" w:hAnsi="Palatino Linotype" w:cs="Arial"/>
          <w:sz w:val="24"/>
        </w:rPr>
        <w:t>,</w:t>
      </w:r>
      <w:r w:rsidR="008C67CD" w:rsidRPr="00AD108B">
        <w:rPr>
          <w:rFonts w:ascii="Palatino Linotype" w:hAnsi="Palatino Linotype"/>
          <w:bCs/>
          <w:sz w:val="24"/>
        </w:rPr>
        <w:t xml:space="preserve"> mediante el cual </w:t>
      </w:r>
      <w:r w:rsidR="00DF5CF5">
        <w:rPr>
          <w:rFonts w:ascii="Palatino Linotype" w:hAnsi="Palatino Linotype"/>
          <w:bCs/>
          <w:sz w:val="24"/>
        </w:rPr>
        <w:t xml:space="preserve">la Titular de la Unidad de Transparencia </w:t>
      </w:r>
      <w:r w:rsidR="008C67CD" w:rsidRPr="00AD108B">
        <w:rPr>
          <w:rFonts w:ascii="Palatino Linotype" w:hAnsi="Palatino Linotype"/>
          <w:bCs/>
          <w:sz w:val="24"/>
        </w:rPr>
        <w:t>señala lo siguiente.</w:t>
      </w:r>
    </w:p>
    <w:p w:rsidR="00DF5CF5" w:rsidRDefault="00DF5CF5" w:rsidP="00DF5CF5">
      <w:pPr>
        <w:pStyle w:val="INFOEM"/>
      </w:pPr>
      <w:r>
        <w:t>“(…)</w:t>
      </w:r>
    </w:p>
    <w:p w:rsidR="00DF5CF5" w:rsidRPr="005B5160" w:rsidRDefault="00DF5CF5" w:rsidP="00DF5CF5">
      <w:pPr>
        <w:pStyle w:val="INFOEM"/>
        <w:rPr>
          <w:b/>
          <w:u w:val="single"/>
        </w:rPr>
      </w:pPr>
      <w:r>
        <w:t xml:space="preserve">Hago de su conocimiento que la Dirección General de Seguridad y Protección y Servidor Público Habilitado, informo a la que suscribe que </w:t>
      </w:r>
      <w:r w:rsidRPr="005B5160">
        <w:rPr>
          <w:b/>
          <w:u w:val="single"/>
        </w:rPr>
        <w:t>se realizan operativos de seguridad y vigilancia diariamente, asignados estratégicamente por los elementos encargados de cada zona, considerando los puntos más vulnerables para realizar recorridos constantes y así inhibir la comisión de delitos o faltas administrativas.</w:t>
      </w:r>
    </w:p>
    <w:p w:rsidR="008C67CD" w:rsidRDefault="00DF5CF5" w:rsidP="00DF5CF5">
      <w:pPr>
        <w:pStyle w:val="INFOEM"/>
        <w:rPr>
          <w:rFonts w:cs="Arial"/>
          <w:b/>
          <w:sz w:val="24"/>
        </w:rPr>
      </w:pPr>
      <w:r>
        <w:t>(…)”</w:t>
      </w:r>
    </w:p>
    <w:p w:rsidR="00055B39" w:rsidRDefault="00055B39" w:rsidP="00055B39">
      <w:pPr>
        <w:spacing w:before="240" w:line="360" w:lineRule="auto"/>
        <w:jc w:val="both"/>
        <w:rPr>
          <w:rFonts w:ascii="Palatino Linotype" w:hAnsi="Palatino Linotype"/>
        </w:rPr>
      </w:pPr>
      <w:r>
        <w:rPr>
          <w:rFonts w:ascii="Palatino Linotype" w:hAnsi="Palatino Linotype"/>
        </w:rPr>
        <w:t xml:space="preserve">Inconforme con la respuesta rendida por </w:t>
      </w:r>
      <w:r>
        <w:rPr>
          <w:rFonts w:ascii="Palatino Linotype" w:hAnsi="Palatino Linotype"/>
          <w:b/>
        </w:rPr>
        <w:t xml:space="preserve">El Sujeto Obligado, El Recurrente </w:t>
      </w:r>
      <w:r>
        <w:rPr>
          <w:rFonts w:ascii="Palatino Linotype" w:hAnsi="Palatino Linotype"/>
        </w:rPr>
        <w:t>interpuso recurso de revisión en fecha diecisiete de marzo de dos mil veintitrés. Señalando como razones o motivos de inconformidad:</w:t>
      </w:r>
    </w:p>
    <w:p w:rsidR="00055B39" w:rsidRPr="00F909A9" w:rsidRDefault="00055B39" w:rsidP="00055B39">
      <w:pPr>
        <w:pStyle w:val="Citas"/>
        <w:rPr>
          <w:b/>
          <w:sz w:val="24"/>
          <w:szCs w:val="24"/>
        </w:rPr>
      </w:pPr>
      <w:r>
        <w:lastRenderedPageBreak/>
        <w:t>“</w:t>
      </w:r>
      <w:r w:rsidRPr="005B5160">
        <w:t>La respuesta fue entregada de manera incompleta</w:t>
      </w:r>
      <w:r>
        <w:t xml:space="preserve">” </w:t>
      </w:r>
      <w:r>
        <w:rPr>
          <w:b/>
        </w:rPr>
        <w:t>(Sic)</w:t>
      </w:r>
    </w:p>
    <w:p w:rsidR="00055B39" w:rsidRDefault="00055B39" w:rsidP="008C67CD">
      <w:pPr>
        <w:spacing w:line="360" w:lineRule="auto"/>
        <w:jc w:val="both"/>
        <w:rPr>
          <w:rFonts w:ascii="Palatino Linotype" w:hAnsi="Palatino Linotype"/>
          <w:lang w:val="es-ES_tradnl"/>
        </w:rPr>
      </w:pPr>
    </w:p>
    <w:p w:rsidR="008C67CD" w:rsidRDefault="008C67CD" w:rsidP="008C67CD">
      <w:pPr>
        <w:spacing w:line="360" w:lineRule="auto"/>
        <w:jc w:val="both"/>
        <w:rPr>
          <w:rFonts w:ascii="Palatino Linotype" w:hAnsi="Palatino Linotype"/>
        </w:rPr>
      </w:pPr>
      <w:r w:rsidRPr="0053681B">
        <w:rPr>
          <w:rFonts w:ascii="Palatino Linotype" w:hAnsi="Palatino Linotype"/>
          <w:lang w:val="es-ES_tradnl"/>
        </w:rPr>
        <w:t xml:space="preserve">Asimismo, en la etapa de manifestaciones </w:t>
      </w:r>
      <w:r w:rsidRPr="0053681B">
        <w:rPr>
          <w:rFonts w:ascii="Palatino Linotype" w:hAnsi="Palatino Linotype"/>
        </w:rPr>
        <w:t xml:space="preserve">se advierte que el </w:t>
      </w:r>
      <w:r w:rsidRPr="0053681B">
        <w:rPr>
          <w:rFonts w:ascii="Palatino Linotype" w:hAnsi="Palatino Linotype"/>
          <w:b/>
        </w:rPr>
        <w:t>Sujeto Obligado</w:t>
      </w:r>
      <w:r w:rsidRPr="0053681B">
        <w:rPr>
          <w:rFonts w:ascii="Palatino Linotype" w:hAnsi="Palatino Linotype"/>
        </w:rPr>
        <w:t xml:space="preserve"> </w:t>
      </w:r>
      <w:r>
        <w:rPr>
          <w:rFonts w:ascii="Palatino Linotype" w:hAnsi="Palatino Linotype"/>
        </w:rPr>
        <w:t>rindió su informe justificado mediante el siguiente archivo:</w:t>
      </w:r>
    </w:p>
    <w:p w:rsidR="008C67CD" w:rsidRDefault="008C67CD" w:rsidP="008C67CD">
      <w:pPr>
        <w:spacing w:line="360" w:lineRule="auto"/>
        <w:jc w:val="both"/>
        <w:rPr>
          <w:rFonts w:ascii="Palatino Linotype" w:hAnsi="Palatino Linotype"/>
        </w:rPr>
      </w:pPr>
    </w:p>
    <w:p w:rsidR="008C67CD" w:rsidRPr="00864074" w:rsidRDefault="00DF5CF5" w:rsidP="00DF5CF5">
      <w:pPr>
        <w:pStyle w:val="Prrafodelista"/>
        <w:numPr>
          <w:ilvl w:val="0"/>
          <w:numId w:val="2"/>
        </w:numPr>
        <w:spacing w:line="360" w:lineRule="auto"/>
        <w:jc w:val="both"/>
        <w:rPr>
          <w:rFonts w:ascii="Palatino Linotype" w:hAnsi="Palatino Linotype"/>
        </w:rPr>
      </w:pPr>
      <w:r w:rsidRPr="00DF5CF5">
        <w:rPr>
          <w:rFonts w:ascii="Palatino Linotype" w:hAnsi="Palatino Linotype"/>
          <w:b/>
          <w:i/>
        </w:rPr>
        <w:t>RR1465_23.pdf</w:t>
      </w:r>
      <w:r w:rsidR="008C67CD">
        <w:rPr>
          <w:rFonts w:ascii="Palatino Linotype" w:hAnsi="Palatino Linotype"/>
          <w:b/>
        </w:rPr>
        <w:t xml:space="preserve">: </w:t>
      </w:r>
      <w:r w:rsidR="008C67CD">
        <w:rPr>
          <w:rFonts w:ascii="Palatino Linotype" w:hAnsi="Palatino Linotype"/>
        </w:rPr>
        <w:t xml:space="preserve">constante de </w:t>
      </w:r>
      <w:r>
        <w:rPr>
          <w:rFonts w:ascii="Palatino Linotype" w:hAnsi="Palatino Linotype"/>
        </w:rPr>
        <w:t>quince</w:t>
      </w:r>
      <w:r w:rsidR="008C67CD">
        <w:rPr>
          <w:rFonts w:ascii="Palatino Linotype" w:hAnsi="Palatino Linotype"/>
        </w:rPr>
        <w:t xml:space="preserve"> fojas, en formato </w:t>
      </w:r>
      <w:proofErr w:type="spellStart"/>
      <w:r w:rsidR="008C67CD">
        <w:rPr>
          <w:rFonts w:ascii="Palatino Linotype" w:hAnsi="Palatino Linotype"/>
        </w:rPr>
        <w:t>pdf</w:t>
      </w:r>
      <w:proofErr w:type="spellEnd"/>
      <w:r w:rsidR="008C67CD">
        <w:rPr>
          <w:rFonts w:ascii="Palatino Linotype" w:hAnsi="Palatino Linotype"/>
        </w:rPr>
        <w:t>, que contiene el oficio número 2010A4000/UT/</w:t>
      </w:r>
      <w:r>
        <w:rPr>
          <w:rFonts w:ascii="Palatino Linotype" w:hAnsi="Palatino Linotype"/>
        </w:rPr>
        <w:t>RR/00224</w:t>
      </w:r>
      <w:r w:rsidR="008C67CD">
        <w:rPr>
          <w:rFonts w:ascii="Palatino Linotype" w:hAnsi="Palatino Linotype"/>
        </w:rPr>
        <w:t>/2023,</w:t>
      </w:r>
      <w:r w:rsidR="008C67CD" w:rsidRPr="00864074">
        <w:rPr>
          <w:rFonts w:ascii="Palatino Linotype" w:hAnsi="Palatino Linotype"/>
          <w:b/>
        </w:rPr>
        <w:t xml:space="preserve"> </w:t>
      </w:r>
      <w:r w:rsidR="008C67CD" w:rsidRPr="00864074">
        <w:rPr>
          <w:rFonts w:ascii="Palatino Linotype" w:hAnsi="Palatino Linotype"/>
        </w:rPr>
        <w:t xml:space="preserve">de fecha </w:t>
      </w:r>
      <w:r>
        <w:rPr>
          <w:rFonts w:ascii="Palatino Linotype" w:hAnsi="Palatino Linotype"/>
        </w:rPr>
        <w:t>diez de abril</w:t>
      </w:r>
      <w:r w:rsidR="008C67CD" w:rsidRPr="00864074">
        <w:rPr>
          <w:rFonts w:ascii="Palatino Linotype" w:hAnsi="Palatino Linotype"/>
        </w:rPr>
        <w:t xml:space="preserve"> de dos mil veintitrés, en el que sustancialmente </w:t>
      </w:r>
      <w:r w:rsidR="008C67CD">
        <w:rPr>
          <w:rFonts w:ascii="Palatino Linotype" w:hAnsi="Palatino Linotype"/>
        </w:rPr>
        <w:t xml:space="preserve">rinde sus justificaciones y ratifica la respuesta primigenia. </w:t>
      </w:r>
    </w:p>
    <w:p w:rsidR="008C67CD" w:rsidRDefault="008C67CD" w:rsidP="008C67CD">
      <w:pPr>
        <w:autoSpaceDE w:val="0"/>
        <w:autoSpaceDN w:val="0"/>
        <w:adjustRightInd w:val="0"/>
        <w:spacing w:line="360" w:lineRule="auto"/>
        <w:jc w:val="both"/>
        <w:rPr>
          <w:rFonts w:ascii="Palatino Linotype" w:hAnsi="Palatino Linotype" w:cs="Arial"/>
        </w:rPr>
      </w:pPr>
    </w:p>
    <w:p w:rsidR="005B5160" w:rsidRDefault="005B5160" w:rsidP="005B5160">
      <w:pPr>
        <w:spacing w:before="240" w:line="360" w:lineRule="auto"/>
        <w:jc w:val="both"/>
        <w:rPr>
          <w:rFonts w:ascii="Palatino Linotype" w:hAnsi="Palatino Linotype"/>
        </w:rPr>
      </w:pPr>
      <w:r w:rsidRPr="00055B39">
        <w:rPr>
          <w:rFonts w:ascii="Palatino Linotype" w:hAnsi="Palatino Linotype"/>
          <w:highlight w:val="yellow"/>
        </w:rPr>
        <w:t>En razón de lo anterior,</w:t>
      </w:r>
      <w:r w:rsidR="00055B39" w:rsidRPr="00055B39">
        <w:rPr>
          <w:rFonts w:ascii="Palatino Linotype" w:hAnsi="Palatino Linotype"/>
          <w:highlight w:val="yellow"/>
        </w:rPr>
        <w:t xml:space="preserve"> dicha información de manera enunciativa más no limitativa, puede obrar en programas, estrategias, operativos, mecanismos de seguridad y/o proyectos</w:t>
      </w:r>
      <w:r w:rsidR="00055B39">
        <w:rPr>
          <w:rFonts w:ascii="Palatino Linotype" w:hAnsi="Palatino Linotype"/>
        </w:rPr>
        <w:t xml:space="preserve">, </w:t>
      </w:r>
      <w:r>
        <w:rPr>
          <w:rFonts w:ascii="Palatino Linotype" w:hAnsi="Palatino Linotype"/>
        </w:rPr>
        <w:t xml:space="preserve"> </w:t>
      </w:r>
      <w:r w:rsidR="00055B39">
        <w:rPr>
          <w:rFonts w:ascii="Palatino Linotype" w:hAnsi="Palatino Linotype"/>
        </w:rPr>
        <w:t xml:space="preserve">por lo que </w:t>
      </w:r>
      <w:r>
        <w:rPr>
          <w:rFonts w:ascii="Palatino Linotype" w:hAnsi="Palatino Linotype"/>
        </w:rPr>
        <w:t>es óbice señalar que la información requerida es susceptible de clasificación, concebida como el acto administrativo</w:t>
      </w:r>
      <w:r w:rsidRPr="000A07D4">
        <w:rPr>
          <w:rFonts w:ascii="Palatino Linotype" w:hAnsi="Palatino Linotype"/>
        </w:rPr>
        <w:t xml:space="preserve"> mediante el cual los </w:t>
      </w:r>
      <w:r w:rsidRPr="000A07D4">
        <w:rPr>
          <w:rFonts w:ascii="Palatino Linotype" w:hAnsi="Palatino Linotype"/>
          <w:b/>
        </w:rPr>
        <w:t xml:space="preserve">Sujetos Obligados </w:t>
      </w:r>
      <w:r w:rsidRPr="000A07D4">
        <w:rPr>
          <w:rFonts w:ascii="Palatino Linotype" w:hAnsi="Palatino Linotype"/>
        </w:rPr>
        <w:t xml:space="preserve">determinan que la información requerida actualiza alguno de los supuestos de confidencialidad </w:t>
      </w:r>
      <w:r w:rsidRPr="000A07D4">
        <w:rPr>
          <w:rFonts w:ascii="Palatino Linotype" w:hAnsi="Palatino Linotype"/>
          <w:b/>
        </w:rPr>
        <w:t xml:space="preserve">o </w:t>
      </w:r>
      <w:r w:rsidRPr="000A07D4">
        <w:rPr>
          <w:rFonts w:ascii="Palatino Linotype" w:hAnsi="Palatino Linotype"/>
          <w:b/>
          <w:u w:val="single"/>
        </w:rPr>
        <w:t>reserva,</w:t>
      </w:r>
      <w:r w:rsidRPr="000A07D4">
        <w:rPr>
          <w:rFonts w:ascii="Palatino Linotype" w:hAnsi="Palatino Linotype"/>
          <w:b/>
        </w:rPr>
        <w:t xml:space="preserve"> </w:t>
      </w:r>
      <w:r w:rsidRPr="000A07D4">
        <w:rPr>
          <w:rFonts w:ascii="Palatino Linotype" w:hAnsi="Palatino Linotype"/>
        </w:rPr>
        <w:t xml:space="preserve">de acuerdo con las bases y los principios inmersos en la normatividad aplicable. </w:t>
      </w:r>
    </w:p>
    <w:p w:rsidR="005B5160" w:rsidRDefault="005B5160" w:rsidP="005B5160">
      <w:pPr>
        <w:spacing w:before="240" w:line="360" w:lineRule="auto"/>
        <w:jc w:val="both"/>
        <w:rPr>
          <w:rFonts w:ascii="Palatino Linotype" w:hAnsi="Palatino Linotype"/>
        </w:rPr>
      </w:pPr>
    </w:p>
    <w:p w:rsidR="005B5160" w:rsidRDefault="005B5160" w:rsidP="005B5160">
      <w:pPr>
        <w:autoSpaceDE w:val="0"/>
        <w:autoSpaceDN w:val="0"/>
        <w:adjustRightInd w:val="0"/>
        <w:spacing w:line="360" w:lineRule="auto"/>
        <w:jc w:val="both"/>
        <w:rPr>
          <w:rFonts w:ascii="Palatino Linotype" w:hAnsi="Palatino Linotype"/>
        </w:rPr>
      </w:pPr>
      <w:r w:rsidRPr="000A07D4">
        <w:rPr>
          <w:rFonts w:ascii="Palatino Linotype" w:hAnsi="Palatino Linotype" w:cs="Arial"/>
        </w:rPr>
        <w:t xml:space="preserve">Luego entonces, </w:t>
      </w:r>
      <w:r w:rsidRPr="000A07D4">
        <w:rPr>
          <w:rFonts w:ascii="Palatino Linotype" w:hAnsi="Palatino Linotype"/>
        </w:rPr>
        <w:t xml:space="preserve">para realizar la reserva </w:t>
      </w:r>
      <w:r>
        <w:rPr>
          <w:rFonts w:ascii="Palatino Linotype" w:hAnsi="Palatino Linotype"/>
        </w:rPr>
        <w:t xml:space="preserve">de </w:t>
      </w:r>
      <w:r w:rsidRPr="000A07D4">
        <w:rPr>
          <w:rFonts w:ascii="Palatino Linotype" w:hAnsi="Palatino Linotype"/>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rPr>
        <w:t xml:space="preserve">“prueba de daño”, </w:t>
      </w:r>
      <w:r w:rsidRPr="000A07D4">
        <w:rPr>
          <w:rFonts w:ascii="Palatino Linotype" w:hAnsi="Palatino Linotype"/>
        </w:rPr>
        <w:t xml:space="preserve">que consiste en exponer los argumentos y razones, basados en elementos objetivos o verificables, a partir de los cuales se derive que la divulgación de información, en </w:t>
      </w:r>
      <w:r w:rsidRPr="000A07D4">
        <w:rPr>
          <w:rFonts w:ascii="Palatino Linotype" w:hAnsi="Palatino Linotype"/>
        </w:rPr>
        <w:lastRenderedPageBreak/>
        <w:t>particular, puede afectar, poner en riesgo o dañar el interés protegido</w:t>
      </w:r>
      <w:r w:rsidRPr="000A07D4">
        <w:rPr>
          <w:vertAlign w:val="superscript"/>
        </w:rPr>
        <w:footnoteReference w:id="2"/>
      </w:r>
      <w:r w:rsidRPr="000A07D4">
        <w:rPr>
          <w:rFonts w:ascii="Palatino Linotype" w:hAnsi="Palatino Linotype"/>
        </w:rPr>
        <w:t>. Asimismo, ésta no debe basarse en meras especulaciones o suposiciones, sino en elementos objetivos que deban evaluar que existe un riego actual e inminente</w:t>
      </w:r>
      <w:r w:rsidRPr="000A07D4">
        <w:rPr>
          <w:vertAlign w:val="superscript"/>
        </w:rPr>
        <w:footnoteReference w:id="3"/>
      </w:r>
      <w:r w:rsidRPr="000A07D4">
        <w:rPr>
          <w:rFonts w:ascii="Palatino Linotype" w:hAnsi="Palatino Linotype"/>
        </w:rPr>
        <w:t>.</w:t>
      </w:r>
    </w:p>
    <w:p w:rsidR="005B5160" w:rsidRPr="000A07D4" w:rsidRDefault="005B5160" w:rsidP="005B5160">
      <w:pPr>
        <w:autoSpaceDE w:val="0"/>
        <w:autoSpaceDN w:val="0"/>
        <w:adjustRightInd w:val="0"/>
        <w:spacing w:line="360" w:lineRule="auto"/>
        <w:jc w:val="both"/>
        <w:rPr>
          <w:rFonts w:ascii="Palatino Linotype" w:hAnsi="Palatino Linotype"/>
          <w:b/>
        </w:rPr>
      </w:pPr>
    </w:p>
    <w:p w:rsidR="005B5160" w:rsidRDefault="005B5160" w:rsidP="005B5160">
      <w:pPr>
        <w:spacing w:line="360" w:lineRule="auto"/>
        <w:jc w:val="both"/>
        <w:rPr>
          <w:rFonts w:ascii="Palatino Linotype" w:hAnsi="Palatino Linotype"/>
          <w:color w:val="000000" w:themeColor="text1"/>
        </w:rPr>
      </w:pPr>
      <w:r w:rsidRPr="000A07D4">
        <w:rPr>
          <w:rFonts w:ascii="Palatino Linotype" w:hAnsi="Palatino Linotype"/>
          <w:color w:val="000000" w:themeColor="text1"/>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u w:val="single"/>
        </w:rPr>
        <w:t>sino de cada uno de los documentos que lo integran</w:t>
      </w:r>
      <w:r w:rsidRPr="000A07D4">
        <w:rPr>
          <w:rFonts w:ascii="Palatino Linotype" w:hAnsi="Palatino Linotype"/>
          <w:color w:val="000000" w:themeColor="text1"/>
        </w:rPr>
        <w:t>.</w:t>
      </w:r>
    </w:p>
    <w:p w:rsidR="005B5160" w:rsidRPr="000A07D4" w:rsidRDefault="005B5160" w:rsidP="005B5160">
      <w:pPr>
        <w:spacing w:line="360" w:lineRule="auto"/>
        <w:jc w:val="both"/>
        <w:rPr>
          <w:rFonts w:ascii="Palatino Linotype" w:hAnsi="Palatino Linotype"/>
          <w:color w:val="000000" w:themeColor="text1"/>
        </w:rPr>
      </w:pPr>
    </w:p>
    <w:p w:rsidR="005B5160" w:rsidRPr="000A07D4" w:rsidRDefault="005B5160" w:rsidP="005B5160">
      <w:pPr>
        <w:spacing w:line="360" w:lineRule="auto"/>
        <w:jc w:val="both"/>
        <w:rPr>
          <w:rFonts w:ascii="Palatino Linotype" w:hAnsi="Palatino Linotype"/>
          <w:color w:val="000000" w:themeColor="text1"/>
        </w:rPr>
      </w:pPr>
      <w:r w:rsidRPr="000A07D4">
        <w:rPr>
          <w:rFonts w:ascii="Palatino Linotype" w:hAnsi="Palatino Linotype"/>
          <w:color w:val="000000" w:themeColor="text1"/>
        </w:rPr>
        <w:t>Para aplicar la prueba de daño, se deberán de precisar las razones objetivas por las que la apertura genera una afectación, acreditando que:</w:t>
      </w:r>
    </w:p>
    <w:p w:rsidR="005B5160" w:rsidRPr="000A07D4" w:rsidRDefault="005B5160" w:rsidP="005B5160">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0A07D4">
        <w:rPr>
          <w:rFonts w:ascii="Palatino Linotype" w:hAnsi="Palatino Linotype" w:cs="Bookman Old Style"/>
          <w:bCs/>
          <w:color w:val="000000" w:themeColor="text1"/>
          <w:lang w:val="es-ES_tradnl"/>
        </w:rPr>
        <w:t xml:space="preserve">I. </w:t>
      </w:r>
      <w:r w:rsidRPr="000A07D4">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rsidR="005B5160" w:rsidRPr="000A07D4" w:rsidRDefault="005B5160" w:rsidP="005B5160">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0A07D4">
        <w:rPr>
          <w:rFonts w:ascii="Palatino Linotype" w:hAnsi="Palatino Linotype" w:cs="Bookman Old Style"/>
          <w:bCs/>
          <w:color w:val="000000" w:themeColor="text1"/>
          <w:lang w:val="es-ES_tradnl"/>
        </w:rPr>
        <w:t xml:space="preserve">II. </w:t>
      </w:r>
      <w:r w:rsidRPr="000A07D4">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rsidR="005B5160" w:rsidRPr="000A07D4" w:rsidRDefault="005B5160" w:rsidP="005B5160">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0A07D4">
        <w:rPr>
          <w:rFonts w:ascii="Palatino Linotype" w:hAnsi="Palatino Linotype" w:cs="Bookman Old Style"/>
          <w:bCs/>
          <w:color w:val="000000" w:themeColor="text1"/>
          <w:lang w:val="es-ES_tradnl"/>
        </w:rPr>
        <w:t xml:space="preserve">III. </w:t>
      </w:r>
      <w:r w:rsidRPr="000A07D4">
        <w:rPr>
          <w:rFonts w:ascii="Palatino Linotype" w:hAnsi="Palatino Linotype" w:cs="Bookman Old Style"/>
          <w:color w:val="000000" w:themeColor="text1"/>
          <w:lang w:val="es-ES_tradnl"/>
        </w:rPr>
        <w:t xml:space="preserve">La limitación se adecua al principio de proporcionalidad y representa el </w:t>
      </w:r>
      <w:r w:rsidRPr="000A07D4">
        <w:rPr>
          <w:rFonts w:ascii="Palatino Linotype" w:hAnsi="Palatino Linotype" w:cs="Bookman Old Style"/>
          <w:color w:val="000000" w:themeColor="text1"/>
          <w:lang w:val="es-ES_tradnl"/>
        </w:rPr>
        <w:lastRenderedPageBreak/>
        <w:t xml:space="preserve">medio menos restrictivo disponible para evitar el perjuicio. </w:t>
      </w:r>
    </w:p>
    <w:p w:rsidR="005B5160" w:rsidRDefault="005B5160" w:rsidP="005B5160">
      <w:pPr>
        <w:spacing w:line="360" w:lineRule="auto"/>
        <w:jc w:val="both"/>
        <w:rPr>
          <w:rFonts w:ascii="Palatino Linotype" w:hAnsi="Palatino Linotype"/>
          <w:color w:val="000000" w:themeColor="text1"/>
        </w:rPr>
      </w:pPr>
    </w:p>
    <w:p w:rsidR="005B5160" w:rsidRDefault="005B5160" w:rsidP="005B5160">
      <w:pPr>
        <w:spacing w:line="360" w:lineRule="auto"/>
        <w:jc w:val="both"/>
        <w:rPr>
          <w:rFonts w:ascii="Palatino Linotype" w:hAnsi="Palatino Linotype"/>
          <w:color w:val="000000" w:themeColor="text1"/>
        </w:rPr>
      </w:pPr>
      <w:r w:rsidRPr="000A07D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B5160" w:rsidRPr="000A07D4" w:rsidRDefault="005B5160" w:rsidP="005B5160">
      <w:pPr>
        <w:spacing w:line="360" w:lineRule="auto"/>
        <w:jc w:val="both"/>
        <w:rPr>
          <w:rFonts w:ascii="Palatino Linotype" w:hAnsi="Palatino Linotype"/>
          <w:color w:val="000000" w:themeColor="text1"/>
        </w:rPr>
      </w:pPr>
    </w:p>
    <w:p w:rsidR="005B5160" w:rsidRDefault="005B5160" w:rsidP="005B5160">
      <w:pPr>
        <w:spacing w:line="360" w:lineRule="auto"/>
        <w:jc w:val="both"/>
        <w:rPr>
          <w:rFonts w:ascii="Palatino Linotype" w:hAnsi="Palatino Linotype"/>
          <w:color w:val="000000" w:themeColor="text1"/>
        </w:rPr>
      </w:pPr>
      <w:r w:rsidRPr="000A07D4">
        <w:rPr>
          <w:rFonts w:ascii="Palatino Linotype" w:hAnsi="Palatino Linotype"/>
          <w:color w:val="000000" w:themeColor="text1"/>
        </w:rPr>
        <w:t xml:space="preserve">Identificado ese riesgo, se debe demostrar que el mismo supera el interés público general porque se difunda dicha información. </w:t>
      </w:r>
    </w:p>
    <w:p w:rsidR="005B5160" w:rsidRPr="000A07D4" w:rsidRDefault="005B5160" w:rsidP="005B5160">
      <w:pPr>
        <w:spacing w:line="360" w:lineRule="auto"/>
        <w:jc w:val="both"/>
        <w:rPr>
          <w:rFonts w:ascii="Palatino Linotype" w:hAnsi="Palatino Linotype"/>
          <w:color w:val="000000" w:themeColor="text1"/>
        </w:rPr>
      </w:pPr>
    </w:p>
    <w:p w:rsidR="005B5160" w:rsidRPr="000A07D4" w:rsidRDefault="005B5160" w:rsidP="005B5160">
      <w:pPr>
        <w:spacing w:line="360" w:lineRule="auto"/>
        <w:jc w:val="both"/>
        <w:rPr>
          <w:rFonts w:ascii="Palatino Linotype" w:hAnsi="Palatino Linotype"/>
          <w:color w:val="000000" w:themeColor="text1"/>
        </w:rPr>
      </w:pPr>
      <w:r w:rsidRPr="000A07D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rPr>
        <w:t xml:space="preserve">, siguiendo el principio de ponderación propuesto por el Tribunal </w:t>
      </w:r>
      <w:r w:rsidRPr="000A07D4">
        <w:rPr>
          <w:rFonts w:ascii="Palatino Linotype" w:hAnsi="Palatino Linotype"/>
          <w:color w:val="000000" w:themeColor="text1"/>
        </w:rPr>
        <w:lastRenderedPageBreak/>
        <w:t>Constitucional Alemán,</w:t>
      </w:r>
      <w:r w:rsidRPr="000A07D4">
        <w:rPr>
          <w:rStyle w:val="Refdenotaalpie"/>
          <w:rFonts w:ascii="Palatino Linotype" w:hAnsi="Palatino Linotype"/>
          <w:color w:val="000000" w:themeColor="text1"/>
        </w:rPr>
        <w:footnoteReference w:id="5"/>
      </w:r>
      <w:r w:rsidRPr="000A07D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5B5160" w:rsidRDefault="005B5160" w:rsidP="005B5160">
      <w:pPr>
        <w:spacing w:line="360" w:lineRule="auto"/>
        <w:jc w:val="both"/>
        <w:rPr>
          <w:rFonts w:ascii="Palatino Linotype" w:hAnsi="Palatino Linotype"/>
        </w:rPr>
      </w:pPr>
      <w:r w:rsidRPr="000A07D4">
        <w:rPr>
          <w:rFonts w:ascii="Palatino Linotype" w:hAnsi="Palatino Linotype"/>
          <w:color w:val="000000" w:themeColor="text1"/>
        </w:rPr>
        <w:t>Es así, que al configurarse tales requisitos, se otorga certidumbre jurídica y se protege la esfera más íntima del derecho humano constitucional y convencionalmente reconocido.</w:t>
      </w:r>
      <w:r>
        <w:rPr>
          <w:rFonts w:ascii="Palatino Linotype" w:hAnsi="Palatino Linotype"/>
          <w:color w:val="000000" w:themeColor="text1"/>
        </w:rPr>
        <w:t xml:space="preserve"> </w:t>
      </w:r>
    </w:p>
    <w:p w:rsidR="008C67CD" w:rsidRDefault="008C67CD" w:rsidP="008C67CD">
      <w:pPr>
        <w:autoSpaceDE w:val="0"/>
        <w:autoSpaceDN w:val="0"/>
        <w:adjustRightInd w:val="0"/>
        <w:spacing w:line="360" w:lineRule="auto"/>
        <w:jc w:val="both"/>
        <w:rPr>
          <w:rFonts w:ascii="Palatino Linotype" w:hAnsi="Palatino Linotype" w:cs="Arial"/>
        </w:rPr>
      </w:pPr>
    </w:p>
    <w:p w:rsidR="005B5160" w:rsidRDefault="005B5160" w:rsidP="005B5160">
      <w:pPr>
        <w:spacing w:before="240" w:line="360" w:lineRule="auto"/>
        <w:jc w:val="both"/>
        <w:rPr>
          <w:rFonts w:ascii="Palatino Linotype" w:hAnsi="Palatino Linotype"/>
        </w:rPr>
      </w:pPr>
      <w:r>
        <w:rPr>
          <w:rFonts w:ascii="Palatino Linotype" w:hAnsi="Palatino Linotype"/>
        </w:rPr>
        <w:t xml:space="preserve">En razón de lo anterior, se destaca que la pauta metodológica necesaria para clasificar la información como reservada se desprende inicialmente de identificar las causales aplicables, por ello, resulta oportuno realizar un análisis sistemático entre el numeral 140 de la Ley de Transparencia y Acceso a la Información Pública del Estado de México y Municipios, así como el artículo 81 de la Ley de Seguridad del Estado de México, porciones normativas que disponen a la literalidad lo siguiente: </w:t>
      </w:r>
    </w:p>
    <w:p w:rsidR="005B5160" w:rsidRPr="00571389" w:rsidRDefault="005B5160" w:rsidP="005B5160">
      <w:pPr>
        <w:pStyle w:val="Citas"/>
        <w:jc w:val="center"/>
        <w:rPr>
          <w:b/>
        </w:rPr>
      </w:pPr>
      <w:r>
        <w:rPr>
          <w:b/>
        </w:rPr>
        <w:t xml:space="preserve">Ley de Transparencia y Acceso a la Información Pública del Estado de México y Municipios </w:t>
      </w:r>
    </w:p>
    <w:p w:rsidR="005B5160" w:rsidRDefault="005B5160" w:rsidP="005B5160">
      <w:pPr>
        <w:pStyle w:val="Citas"/>
      </w:pPr>
      <w:r>
        <w:t xml:space="preserve">“Artículo 140. El acceso a la información pública será restringido excepcionalmente, cuando por razones de interés público, ésta sea clasificada como reservada, conforme a los criterios siguientes: </w:t>
      </w:r>
    </w:p>
    <w:p w:rsidR="005B5160" w:rsidRPr="00BB68CA" w:rsidRDefault="005B5160" w:rsidP="005B5160">
      <w:pPr>
        <w:pStyle w:val="Citas"/>
        <w:rPr>
          <w:b/>
          <w:u w:val="single"/>
        </w:rPr>
      </w:pPr>
      <w:r w:rsidRPr="00BB68CA">
        <w:rPr>
          <w:b/>
          <w:u w:val="single"/>
        </w:rPr>
        <w:lastRenderedPageBreak/>
        <w:t xml:space="preserve">I. Comprometa la seguridad pública y cuente con un propósito genuino y un efecto demostrable; </w:t>
      </w:r>
    </w:p>
    <w:p w:rsidR="005B5160" w:rsidRDefault="005B5160" w:rsidP="005B5160">
      <w:pPr>
        <w:pStyle w:val="Citas"/>
      </w:pPr>
      <w:r>
        <w:t xml:space="preserve">II. Pueda menoscabar la conducción de las negociaciones y relaciones internacionales; </w:t>
      </w:r>
    </w:p>
    <w:p w:rsidR="005B5160" w:rsidRDefault="005B5160" w:rsidP="005B5160">
      <w:pPr>
        <w:pStyle w:val="Citas"/>
      </w:pPr>
      <w: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5B5160" w:rsidRPr="00007BD9" w:rsidRDefault="005B5160" w:rsidP="005B5160">
      <w:pPr>
        <w:pStyle w:val="Citas"/>
        <w:rPr>
          <w:b/>
          <w:u w:val="single"/>
        </w:rPr>
      </w:pPr>
      <w:r w:rsidRPr="00007BD9">
        <w:rPr>
          <w:b/>
          <w:u w:val="single"/>
        </w:rPr>
        <w:t xml:space="preserve">IV. Ponga en riesgo la vida, la seguridad o la salud de una persona física; </w:t>
      </w:r>
    </w:p>
    <w:p w:rsidR="005B5160" w:rsidRDefault="005B5160" w:rsidP="005B5160">
      <w:pPr>
        <w:pStyle w:val="Citas"/>
      </w:pPr>
      <w:r>
        <w:t xml:space="preserve">V. Aquella cuya divulgación obstruya o pueda causar un serio perjuicio a: </w:t>
      </w:r>
    </w:p>
    <w:p w:rsidR="005B5160" w:rsidRDefault="005B5160" w:rsidP="005B5160">
      <w:pPr>
        <w:pStyle w:val="Citas"/>
      </w:pPr>
      <w:r>
        <w:t xml:space="preserve">1. Las actividades de fiscalización, verificación, inspección, comprobación y auditoría sobre el cumplimiento de las Leyes; o </w:t>
      </w:r>
    </w:p>
    <w:p w:rsidR="005B5160" w:rsidRDefault="005B5160" w:rsidP="005B5160">
      <w:pPr>
        <w:pStyle w:val="Citas"/>
      </w:pPr>
      <w:r>
        <w:t xml:space="preserve">2. La recaudación de las contribuciones. </w:t>
      </w:r>
    </w:p>
    <w:p w:rsidR="005B5160" w:rsidRDefault="005B5160" w:rsidP="005B5160">
      <w:pPr>
        <w:pStyle w:val="Citas"/>
      </w:pPr>
      <w:r w:rsidRPr="00BB68CA">
        <w:rPr>
          <w:b/>
          <w:u w:val="single"/>
        </w:rPr>
        <w:t>VI. Pueda causar daño u obstruya la prevención o persecución de los delitos,</w:t>
      </w:r>
      <w: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5B5160" w:rsidRDefault="005B5160" w:rsidP="005B5160">
      <w:pPr>
        <w:pStyle w:val="Citas"/>
      </w:pPr>
      <w:r>
        <w:t xml:space="preserve">VII. La que contengan las opiniones, recomendaciones o puntos de vista que formen parte del proceso deliberativo de los servidores públicos, hasta en tanto sea adoptada la decisión definitiva, la cual deberá estar documentada; </w:t>
      </w:r>
    </w:p>
    <w:p w:rsidR="005B5160" w:rsidRDefault="005B5160" w:rsidP="005B5160">
      <w:pPr>
        <w:pStyle w:val="Citas"/>
      </w:pPr>
      <w:r>
        <w:lastRenderedPageBreak/>
        <w:t xml:space="preserve">VIII. Vulnere la conducción de los expedientes judiciales o de los procedimientos administrativos seguidos en forma de juicio, en tanto no hayan quedado firmes; </w:t>
      </w:r>
    </w:p>
    <w:p w:rsidR="005B5160" w:rsidRDefault="005B5160" w:rsidP="005B5160">
      <w:pPr>
        <w:pStyle w:val="Citas"/>
      </w:pPr>
      <w:r>
        <w:t xml:space="preserve">IX. Se encuentre contenida dentro de las investigaciones de hechos que la Ley señale como delitos y se tramiten ante el Ministerio Público; </w:t>
      </w:r>
    </w:p>
    <w:p w:rsidR="005B5160" w:rsidRDefault="005B5160" w:rsidP="005B5160">
      <w:pPr>
        <w:pStyle w:val="Citas"/>
      </w:pPr>
      <w: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5B5160" w:rsidRDefault="005B5160" w:rsidP="005B5160">
      <w:pPr>
        <w:pStyle w:val="Citas"/>
      </w:pPr>
      <w: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5B5160" w:rsidRPr="00571389" w:rsidRDefault="005B5160" w:rsidP="005B5160">
      <w:pPr>
        <w:pStyle w:val="Citas"/>
        <w:rPr>
          <w:b/>
          <w:sz w:val="24"/>
          <w:szCs w:val="24"/>
        </w:rPr>
      </w:pPr>
      <w:r w:rsidRPr="00571389">
        <w:rPr>
          <w:b/>
          <w:u w:val="single"/>
        </w:rPr>
        <w:t>XI. Las que por disposición expresa de una ley tengan tal carácter, siempre que sean acordes con las bases, principios y disposiciones establecidos en esta Ley y no la contravengan; así como las previstas en tratados internacionales.</w:t>
      </w:r>
      <w:r>
        <w:rPr>
          <w:b/>
          <w:u w:val="single"/>
        </w:rPr>
        <w:t xml:space="preserve">” </w:t>
      </w:r>
      <w:r>
        <w:rPr>
          <w:b/>
        </w:rPr>
        <w:t>(Sic)</w:t>
      </w:r>
    </w:p>
    <w:p w:rsidR="005B5160" w:rsidRDefault="005B5160" w:rsidP="005B5160">
      <w:pPr>
        <w:spacing w:before="240" w:line="360" w:lineRule="auto"/>
        <w:jc w:val="both"/>
        <w:rPr>
          <w:rFonts w:ascii="Palatino Linotype" w:hAnsi="Palatino Linotype"/>
        </w:rPr>
      </w:pPr>
      <w:r>
        <w:rPr>
          <w:rFonts w:ascii="Palatino Linotype" w:hAnsi="Palatino Linotype"/>
        </w:rPr>
        <w:t xml:space="preserve"> </w:t>
      </w:r>
    </w:p>
    <w:p w:rsidR="005B5160" w:rsidRPr="008F4670" w:rsidRDefault="005B5160" w:rsidP="005B5160">
      <w:pPr>
        <w:pStyle w:val="Citas"/>
        <w:jc w:val="center"/>
        <w:rPr>
          <w:b/>
        </w:rPr>
      </w:pPr>
      <w:r w:rsidRPr="008F4670">
        <w:rPr>
          <w:b/>
        </w:rPr>
        <w:t>Ley de Seguridad del Estado de México</w:t>
      </w:r>
    </w:p>
    <w:p w:rsidR="005B5160" w:rsidRDefault="005B5160" w:rsidP="005B5160">
      <w:pPr>
        <w:pStyle w:val="Citas"/>
      </w:pPr>
      <w: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5B5160" w:rsidRDefault="005B5160" w:rsidP="005B5160">
      <w:pPr>
        <w:pStyle w:val="Citas"/>
        <w:numPr>
          <w:ilvl w:val="0"/>
          <w:numId w:val="11"/>
        </w:numPr>
        <w:rPr>
          <w:b/>
          <w:u w:val="single"/>
        </w:rPr>
      </w:pPr>
      <w:r w:rsidRPr="00007BD9">
        <w:rPr>
          <w:b/>
          <w:u w:val="single"/>
        </w:rPr>
        <w:lastRenderedPageBreak/>
        <w:t>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rsidR="005B5160" w:rsidRPr="005B5160" w:rsidRDefault="005B5160" w:rsidP="005B5160">
      <w:pPr>
        <w:pStyle w:val="Citas"/>
        <w:numPr>
          <w:ilvl w:val="0"/>
          <w:numId w:val="11"/>
        </w:numPr>
        <w:rPr>
          <w:b/>
          <w:u w:val="single"/>
        </w:rPr>
      </w:pPr>
      <w:r w:rsidRPr="005B5160">
        <w:rPr>
          <w:b/>
          <w:u w:val="single"/>
        </w:rPr>
        <w:t>Aquella cuya revelación pueda ser utilizada para actualizar o potenciar una amenaza a la seguridad pública o a las instituciones del Estado de México;</w:t>
      </w:r>
    </w:p>
    <w:p w:rsidR="005B5160" w:rsidRPr="008F4670" w:rsidRDefault="005B5160" w:rsidP="005B5160">
      <w:pPr>
        <w:pStyle w:val="Citas"/>
        <w:rPr>
          <w:b/>
        </w:rPr>
      </w:pPr>
      <w:r>
        <w:t xml:space="preserve">(…)” </w:t>
      </w:r>
      <w:r>
        <w:rPr>
          <w:b/>
        </w:rPr>
        <w:t>(Sic)</w:t>
      </w:r>
    </w:p>
    <w:p w:rsidR="005B5160" w:rsidRDefault="005B5160" w:rsidP="005B5160">
      <w:pPr>
        <w:spacing w:before="240" w:line="360" w:lineRule="auto"/>
        <w:jc w:val="both"/>
        <w:rPr>
          <w:rFonts w:ascii="Palatino Linotype" w:hAnsi="Palatino Linotype"/>
        </w:rPr>
      </w:pPr>
    </w:p>
    <w:p w:rsidR="005B5160" w:rsidRDefault="005B5160" w:rsidP="005B5160">
      <w:pPr>
        <w:spacing w:before="240" w:line="360" w:lineRule="auto"/>
        <w:jc w:val="both"/>
        <w:rPr>
          <w:rFonts w:ascii="Palatino Linotype" w:hAnsi="Palatino Linotype"/>
        </w:rPr>
      </w:pPr>
      <w:r>
        <w:rPr>
          <w:rFonts w:ascii="Palatino Linotype" w:hAnsi="Palatino Linotype"/>
        </w:rPr>
        <w:t xml:space="preserve">Luego entonces, esta Ponencia </w:t>
      </w:r>
      <w:proofErr w:type="spellStart"/>
      <w:r>
        <w:rPr>
          <w:rFonts w:ascii="Palatino Linotype" w:hAnsi="Palatino Linotype"/>
        </w:rPr>
        <w:t>Resolutora</w:t>
      </w:r>
      <w:proofErr w:type="spellEnd"/>
      <w:r>
        <w:rPr>
          <w:rFonts w:ascii="Palatino Linotype" w:hAnsi="Palatino Linotype"/>
        </w:rPr>
        <w:t xml:space="preserve"> estima que la información requerida es susceptible de actualizar las causales de procedencia de reserva de la información inmersas en las fracciones I, IV, VI y XI del artículo 140 de la Ley de Transparencia local </w:t>
      </w:r>
      <w:r w:rsidRPr="00A5285E">
        <w:rPr>
          <w:rFonts w:ascii="Palatino Linotype" w:hAnsi="Palatino Linotype"/>
        </w:rPr>
        <w:t>(numeral 113, fracciones I, V, VII y XIII de la Ley General de Transparencia),</w:t>
      </w:r>
      <w:r>
        <w:rPr>
          <w:rFonts w:ascii="Palatino Linotype" w:hAnsi="Palatino Linotype"/>
        </w:rPr>
        <w:t xml:space="preserve"> al tomar en consideración que: </w:t>
      </w:r>
    </w:p>
    <w:p w:rsidR="005B5160" w:rsidRDefault="005B5160" w:rsidP="005B5160">
      <w:pPr>
        <w:pStyle w:val="Prrafodelista"/>
        <w:numPr>
          <w:ilvl w:val="0"/>
          <w:numId w:val="8"/>
        </w:numPr>
        <w:spacing w:before="240" w:line="360" w:lineRule="auto"/>
        <w:jc w:val="both"/>
        <w:rPr>
          <w:rFonts w:ascii="Palatino Linotype" w:hAnsi="Palatino Linotype"/>
        </w:rPr>
      </w:pPr>
      <w:r>
        <w:rPr>
          <w:rFonts w:ascii="Palatino Linotype" w:hAnsi="Palatino Linotype"/>
        </w:rPr>
        <w:t>Revelar la información requerida es susceptible de comprometer la seguridad pública pues se darían a conocer los mecanis</w:t>
      </w:r>
      <w:r w:rsidR="00086CFA">
        <w:rPr>
          <w:rFonts w:ascii="Palatino Linotype" w:hAnsi="Palatino Linotype"/>
        </w:rPr>
        <w:t>mos previstos para disminuir la delincuencia.</w:t>
      </w:r>
    </w:p>
    <w:p w:rsidR="005B5160" w:rsidRDefault="005B5160" w:rsidP="005B5160">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La información requerida si es susceptible de comprometer la vida de personas físicas, pues si bien es cierto que bien jurídicamente tutelado del robo es la propiedad, lo cierto también es que </w:t>
      </w:r>
      <w:r w:rsidRPr="008F4670">
        <w:rPr>
          <w:rFonts w:ascii="Palatino Linotype" w:hAnsi="Palatino Linotype"/>
        </w:rPr>
        <w:t xml:space="preserve">puede encontrar otras variantes tal como el robo con violencia, conducta antijurídica que tutela el patrimonio, libertad, </w:t>
      </w:r>
      <w:r w:rsidRPr="008F4670">
        <w:rPr>
          <w:rFonts w:ascii="Palatino Linotype" w:hAnsi="Palatino Linotype"/>
        </w:rPr>
        <w:lastRenderedPageBreak/>
        <w:t xml:space="preserve">integridad física e incluso la vida, es decir, compromete la integridad de la </w:t>
      </w:r>
      <w:r w:rsidR="007179EC" w:rsidRPr="008F4670">
        <w:rPr>
          <w:rFonts w:ascii="Palatino Linotype" w:hAnsi="Palatino Linotype"/>
        </w:rPr>
        <w:t>ciudadanía,</w:t>
      </w:r>
      <w:r w:rsidRPr="008F4670">
        <w:rPr>
          <w:rFonts w:ascii="Palatino Linotype" w:hAnsi="Palatino Linotype"/>
        </w:rPr>
        <w:t xml:space="preserve"> pero también de integrantes de cuerpos de seguridad. </w:t>
      </w:r>
    </w:p>
    <w:p w:rsidR="005B5160" w:rsidRPr="009F1287" w:rsidRDefault="005B5160" w:rsidP="00086CFA">
      <w:pPr>
        <w:pStyle w:val="Prrafodelista"/>
        <w:numPr>
          <w:ilvl w:val="0"/>
          <w:numId w:val="8"/>
        </w:numPr>
        <w:spacing w:before="240" w:line="360" w:lineRule="auto"/>
        <w:jc w:val="both"/>
        <w:rPr>
          <w:rFonts w:ascii="Palatino Linotype" w:hAnsi="Palatino Linotype"/>
          <w:b/>
          <w:u w:val="single"/>
        </w:rPr>
      </w:pPr>
      <w:r w:rsidRPr="009F1287">
        <w:rPr>
          <w:rFonts w:ascii="Palatino Linotype" w:hAnsi="Palatino Linotype"/>
          <w:b/>
          <w:u w:val="single"/>
        </w:rPr>
        <w:t xml:space="preserve">Que el requerimiento formulado mediante la solicitud de información </w:t>
      </w:r>
      <w:r w:rsidR="00086CFA" w:rsidRPr="00086CFA">
        <w:rPr>
          <w:rFonts w:ascii="Palatino Linotype" w:hAnsi="Palatino Linotype"/>
          <w:b/>
          <w:u w:val="single"/>
        </w:rPr>
        <w:t>00408/TOLUCA/IP/2023</w:t>
      </w:r>
      <w:r w:rsidR="00086CFA">
        <w:rPr>
          <w:rFonts w:ascii="Palatino Linotype" w:hAnsi="Palatino Linotype"/>
          <w:b/>
          <w:u w:val="single"/>
        </w:rPr>
        <w:t xml:space="preserve"> </w:t>
      </w:r>
      <w:r w:rsidRPr="009F1287">
        <w:rPr>
          <w:rFonts w:ascii="Palatino Linotype" w:hAnsi="Palatino Linotype"/>
          <w:b/>
          <w:u w:val="single"/>
        </w:rPr>
        <w:t>guarda una estrecha relación con la prevención de delitos al estribar en</w:t>
      </w:r>
      <w:r w:rsidR="00086CFA">
        <w:rPr>
          <w:rFonts w:ascii="Palatino Linotype" w:hAnsi="Palatino Linotype"/>
          <w:b/>
          <w:u w:val="single"/>
        </w:rPr>
        <w:t xml:space="preserve"> las estrategias para disminuir la delincuencia. </w:t>
      </w:r>
    </w:p>
    <w:p w:rsidR="005B5160" w:rsidRPr="00007BD9" w:rsidRDefault="005B5160" w:rsidP="005B5160">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Finalmente, con relación a la fracción XI del artículo 140 de la Ley de Transparencia local, se destaca que se prevé como causal de procedencia de reserva de la información, hipótesis normativa que se tiene por </w:t>
      </w:r>
      <w:r w:rsidR="007179EC">
        <w:rPr>
          <w:rFonts w:ascii="Palatino Linotype" w:hAnsi="Palatino Linotype"/>
        </w:rPr>
        <w:t>actualizado derivado</w:t>
      </w:r>
      <w:r>
        <w:rPr>
          <w:rFonts w:ascii="Palatino Linotype" w:hAnsi="Palatino Linotype"/>
        </w:rPr>
        <w:t xml:space="preserve"> de un análisis sistemático, armónico y congruente con el numeral 81, fracción I de la Ley de Seguridad del Estado de México (revelación de normas, procedimientos, métodos u otros insumos útiles para la generación de inteligencia para la seguridad pública). </w:t>
      </w:r>
    </w:p>
    <w:p w:rsidR="00086CFA" w:rsidRDefault="00086CFA" w:rsidP="005B5160">
      <w:pPr>
        <w:spacing w:before="240" w:line="360" w:lineRule="auto"/>
        <w:jc w:val="both"/>
        <w:rPr>
          <w:rFonts w:ascii="Palatino Linotype" w:hAnsi="Palatino Linotype"/>
        </w:rPr>
      </w:pPr>
    </w:p>
    <w:p w:rsidR="005B5160" w:rsidRDefault="005B5160" w:rsidP="005B5160">
      <w:pPr>
        <w:spacing w:before="240" w:line="360" w:lineRule="auto"/>
        <w:jc w:val="both"/>
        <w:rPr>
          <w:rFonts w:ascii="Palatino Linotype" w:hAnsi="Palatino Linotype"/>
        </w:rPr>
      </w:pPr>
      <w:r>
        <w:rPr>
          <w:rFonts w:ascii="Palatino Linotype" w:hAnsi="Palatino Linotype"/>
        </w:rPr>
        <w:t xml:space="preserve">Bajo este contexto, para delimitar las fronteras conceptuales entre </w:t>
      </w:r>
      <w:r w:rsidRPr="00D04204">
        <w:rPr>
          <w:rFonts w:ascii="Palatino Linotype" w:hAnsi="Palatino Linotype"/>
          <w:b/>
          <w:u w:val="single"/>
        </w:rPr>
        <w:t>falta</w:t>
      </w:r>
      <w:r>
        <w:rPr>
          <w:rFonts w:ascii="Palatino Linotype" w:hAnsi="Palatino Linotype"/>
        </w:rPr>
        <w:t xml:space="preserve"> e indebida fundamentación y motivación, cobra particular relevancia la corriente que emana del Tercer Tribunal Colegiado en Materia Civil del Primer Circuito, a través de la jurisprudencia con número de registro digital </w:t>
      </w:r>
      <w:r>
        <w:rPr>
          <w:rFonts w:ascii="Palatino Linotype" w:hAnsi="Palatino Linotype"/>
          <w:b/>
        </w:rPr>
        <w:t xml:space="preserve">170307 </w:t>
      </w:r>
      <w:r>
        <w:rPr>
          <w:rFonts w:ascii="Palatino Linotype" w:hAnsi="Palatino Linotype"/>
        </w:rPr>
        <w:t>de la Novena Época, visible en el Semanario Judicial de la Federación y su Gaceta, Tomo XXVII, de febrero de 2008, tesis I.3o.C. J/47 en materia común, en la que establece lo siguiente:</w:t>
      </w:r>
    </w:p>
    <w:p w:rsidR="005B5160" w:rsidRPr="00575268" w:rsidRDefault="005B5160" w:rsidP="005B5160">
      <w:pPr>
        <w:pStyle w:val="Citas"/>
        <w:rPr>
          <w:b/>
        </w:rPr>
      </w:pPr>
      <w:r>
        <w:rPr>
          <w:b/>
        </w:rPr>
        <w:t>“</w:t>
      </w:r>
      <w:r w:rsidRPr="00575268">
        <w:rPr>
          <w:b/>
        </w:rPr>
        <w:t xml:space="preserve">FUNDAMENTACIÓN Y MOTIVACIÓN. LA DIFERENCIA ENTRE </w:t>
      </w:r>
      <w:r>
        <w:rPr>
          <w:b/>
        </w:rPr>
        <w:t>L</w:t>
      </w:r>
      <w:r w:rsidRPr="00575268">
        <w:rPr>
          <w:b/>
        </w:rPr>
        <w:t xml:space="preserve">A FALTA Y LA INDEBIDA SATISFACCIÓN DE AMBOS REQUISITOS CONSTITUCIONALES TRASCIENDE AL ORDEN EN QUE DEBEN </w:t>
      </w:r>
      <w:r w:rsidRPr="00575268">
        <w:rPr>
          <w:b/>
        </w:rPr>
        <w:lastRenderedPageBreak/>
        <w:t>ESTUDIARSE LOS CONCEPTOS DE VIOLACIÓN Y A LOS EFECTOS DEL FALLO PROTECTOR.</w:t>
      </w:r>
    </w:p>
    <w:p w:rsidR="005B5160" w:rsidRDefault="005B5160" w:rsidP="005B5160">
      <w:pPr>
        <w:pStyle w:val="Citas"/>
      </w:pPr>
      <w:r>
        <w:t xml:space="preserve">La falta de fundamentación y motivación es una violación formal diversa a la indebida o incorrecta fundamentación y motivación, que es una violación material o de fondo, siendo </w:t>
      </w:r>
      <w:r w:rsidRPr="00575268">
        <w:t>distintos los efectos que genera la existencia de una u otra, por lo que el estudio de aquella omisión debe hacerse de manera previa. En efecto, el artículo </w:t>
      </w:r>
      <w:hyperlink r:id="rId9" w:history="1">
        <w:r w:rsidRPr="00575268">
          <w:t>16 constitucional</w:t>
        </w:r>
      </w:hyperlink>
      <w:r w:rsidRPr="00575268">
        <w:t> establece, en su primer párrafo, el imperativo para las autoridades de fundar y motivar sus actos</w:t>
      </w:r>
      <w:r>
        <w:t xml:space="preserve">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w:t>
      </w:r>
      <w:r>
        <w:lastRenderedPageBreak/>
        <w:t>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5B5160" w:rsidRDefault="005B5160" w:rsidP="005B5160">
      <w:pPr>
        <w:pStyle w:val="Citas"/>
      </w:pPr>
      <w:r>
        <w:t>TERCER TRIBUNAL COLEGIADO EN MATERIA CIVIL DEL PRIMER CIRCUITO.</w:t>
      </w:r>
    </w:p>
    <w:p w:rsidR="005B5160" w:rsidRDefault="005B5160" w:rsidP="005B5160">
      <w:pPr>
        <w:pStyle w:val="Citas"/>
      </w:pPr>
      <w:r>
        <w:t xml:space="preserve">Amparo directo 551/2005. Jorge Luis </w:t>
      </w:r>
      <w:proofErr w:type="spellStart"/>
      <w:r>
        <w:t>Almaral</w:t>
      </w:r>
      <w:proofErr w:type="spellEnd"/>
      <w:r>
        <w:t xml:space="preserve"> </w:t>
      </w:r>
      <w:proofErr w:type="spellStart"/>
      <w:r>
        <w:t>Mendívil</w:t>
      </w:r>
      <w:proofErr w:type="spellEnd"/>
      <w:r>
        <w:t xml:space="preserve">. 20 de octubre de 2005. Unanimidad de votos. Ponente: Neófito López Ramos. Secretario: Raúl Alfaro </w:t>
      </w:r>
      <w:proofErr w:type="spellStart"/>
      <w:r>
        <w:t>Telpalo</w:t>
      </w:r>
      <w:proofErr w:type="spellEnd"/>
      <w:r>
        <w:t>.</w:t>
      </w:r>
    </w:p>
    <w:p w:rsidR="005B5160" w:rsidRDefault="005B5160" w:rsidP="005B5160">
      <w:pPr>
        <w:pStyle w:val="Citas"/>
      </w:pPr>
      <w:r>
        <w:lastRenderedPageBreak/>
        <w:t xml:space="preserve">Amparo directo 66/2007. Juan Ramón Jaime Alcántara. 15 de febrero de 2007. Unanimidad de votos. Ponente: Neófito López Ramos. Secretario: Raúl Alfaro </w:t>
      </w:r>
      <w:proofErr w:type="spellStart"/>
      <w:r>
        <w:t>Telpalo</w:t>
      </w:r>
      <w:proofErr w:type="spellEnd"/>
      <w:r>
        <w:t>.</w:t>
      </w:r>
    </w:p>
    <w:p w:rsidR="005B5160" w:rsidRDefault="005B5160" w:rsidP="005B5160">
      <w:pPr>
        <w:pStyle w:val="Citas"/>
      </w:pPr>
      <w:r>
        <w:t>Amparo directo 364/2007. Guadalupe Rodríguez Daniel. 6 de julio de 2007. Unanimidad de votos. Ponente: Neófito López Ramos. Secretaria: Greta Lozada Amezcua.</w:t>
      </w:r>
    </w:p>
    <w:p w:rsidR="005B5160" w:rsidRDefault="005B5160" w:rsidP="005B5160">
      <w:pPr>
        <w:pStyle w:val="Citas"/>
      </w:pPr>
      <w:r>
        <w:t xml:space="preserve">Amparo directo 513/2007. Autofinanciamiento México, S.A. de C.V. 4 de octubre de 2007. Unanimidad de votos. Ponente: Neófito López Ramos. Secretario: Raúl Alfaro </w:t>
      </w:r>
      <w:proofErr w:type="spellStart"/>
      <w:r>
        <w:t>Telpalo</w:t>
      </w:r>
      <w:proofErr w:type="spellEnd"/>
      <w:r>
        <w:t>.</w:t>
      </w:r>
    </w:p>
    <w:p w:rsidR="005B5160" w:rsidRPr="008F4670" w:rsidRDefault="005B5160" w:rsidP="005B5160">
      <w:pPr>
        <w:pStyle w:val="Citas"/>
        <w:rPr>
          <w:b/>
        </w:rPr>
      </w:pPr>
      <w:r>
        <w:t xml:space="preserve">Amparo directo 562/2007. Arenas y Gravas </w:t>
      </w:r>
      <w:proofErr w:type="spellStart"/>
      <w:r>
        <w:t>Xaltepec</w:t>
      </w:r>
      <w:proofErr w:type="spellEnd"/>
      <w:r>
        <w:t xml:space="preserve">, S.A. 11 de octubre de 2007. Unanimidad de votos. Ponente: Neófito López Ramos. Secretario: Raúl Alfaro </w:t>
      </w:r>
      <w:proofErr w:type="spellStart"/>
      <w:r>
        <w:t>Telpalo</w:t>
      </w:r>
      <w:proofErr w:type="spellEnd"/>
      <w:r>
        <w:t xml:space="preserve">.” </w:t>
      </w:r>
      <w:r>
        <w:rPr>
          <w:b/>
        </w:rPr>
        <w:t>(Sic)</w:t>
      </w:r>
    </w:p>
    <w:p w:rsidR="005B5160" w:rsidRDefault="005B5160" w:rsidP="005B5160">
      <w:pPr>
        <w:spacing w:line="360" w:lineRule="auto"/>
        <w:jc w:val="both"/>
        <w:rPr>
          <w:rFonts w:ascii="Palatino Linotype" w:hAnsi="Palatino Linotype" w:cs="Arial"/>
        </w:rPr>
      </w:pPr>
    </w:p>
    <w:p w:rsidR="005B5160" w:rsidRPr="008F4670" w:rsidRDefault="005B5160" w:rsidP="005B5160">
      <w:pPr>
        <w:spacing w:line="360" w:lineRule="auto"/>
        <w:jc w:val="both"/>
        <w:rPr>
          <w:rFonts w:ascii="Palatino Linotype" w:hAnsi="Palatino Linotype" w:cs="Arial"/>
        </w:rPr>
      </w:pPr>
      <w:r w:rsidRPr="008F4670">
        <w:rPr>
          <w:rFonts w:ascii="Palatino Linotype" w:hAnsi="Palatino Linotype" w:cs="Arial"/>
        </w:rPr>
        <w:t>Luego entonces, resulta procedente ordenar la entrega de la siguiente información:</w:t>
      </w:r>
    </w:p>
    <w:p w:rsidR="005B5160" w:rsidRPr="008F4670" w:rsidRDefault="005B5160" w:rsidP="00086CFA">
      <w:pPr>
        <w:pStyle w:val="Prrafodelista"/>
        <w:numPr>
          <w:ilvl w:val="0"/>
          <w:numId w:val="9"/>
        </w:numPr>
        <w:spacing w:line="360" w:lineRule="auto"/>
        <w:jc w:val="both"/>
        <w:rPr>
          <w:rFonts w:ascii="Palatino Linotype" w:hAnsi="Palatino Linotype" w:cs="Arial"/>
          <w:noProof/>
          <w:color w:val="000000"/>
          <w:lang w:eastAsia="es-MX"/>
        </w:rPr>
      </w:pPr>
      <w:r w:rsidRPr="008F4670">
        <w:rPr>
          <w:rFonts w:ascii="Palatino Linotype" w:hAnsi="Palatino Linotype" w:cs="Arial"/>
          <w:noProof/>
          <w:color w:val="000000"/>
          <w:lang w:eastAsia="es-MX"/>
        </w:rPr>
        <w:t xml:space="preserve">Acuerdo que emita el Comité de Transparencia por el cual se clasifique como reservada </w:t>
      </w:r>
      <w:r w:rsidR="00055B39" w:rsidRPr="0010053F">
        <w:rPr>
          <w:rFonts w:ascii="Palatino Linotype" w:hAnsi="Palatino Linotype" w:cs="Arial"/>
          <w:noProof/>
          <w:color w:val="000000"/>
          <w:lang w:eastAsia="es-MX"/>
        </w:rPr>
        <w:t>el documento o documentos donde conste</w:t>
      </w:r>
      <w:r w:rsidR="00055B39">
        <w:rPr>
          <w:rFonts w:ascii="Palatino Linotype" w:hAnsi="Palatino Linotype" w:cs="Arial"/>
          <w:noProof/>
          <w:color w:val="000000"/>
          <w:lang w:eastAsia="es-MX"/>
        </w:rPr>
        <w:t xml:space="preserve"> </w:t>
      </w:r>
      <w:r w:rsidRPr="008F4670">
        <w:rPr>
          <w:rFonts w:ascii="Palatino Linotype" w:hAnsi="Palatino Linotype" w:cs="Arial"/>
          <w:noProof/>
          <w:color w:val="000000"/>
          <w:lang w:eastAsia="es-MX"/>
        </w:rPr>
        <w:t xml:space="preserve">la información requerida mediante la solicitud </w:t>
      </w:r>
      <w:r w:rsidR="00086CFA" w:rsidRPr="00086CFA">
        <w:rPr>
          <w:rFonts w:ascii="Palatino Linotype" w:hAnsi="Palatino Linotype" w:cs="Arial"/>
          <w:b/>
          <w:noProof/>
          <w:color w:val="000000"/>
          <w:lang w:eastAsia="es-MX"/>
        </w:rPr>
        <w:t>00408/TOLUCA/IP/2023</w:t>
      </w:r>
      <w:r w:rsidRPr="008F4670">
        <w:rPr>
          <w:rFonts w:ascii="Palatino Linotype" w:hAnsi="Palatino Linotype" w:cs="Arial"/>
          <w:b/>
          <w:noProof/>
          <w:color w:val="000000"/>
          <w:lang w:eastAsia="es-MX"/>
        </w:rPr>
        <w:t xml:space="preserve">, </w:t>
      </w:r>
      <w:r w:rsidRPr="008F4670">
        <w:rPr>
          <w:rFonts w:ascii="Palatino Linotype" w:hAnsi="Palatino Linotype" w:cs="Arial"/>
          <w:noProof/>
          <w:color w:val="000000"/>
          <w:lang w:eastAsia="es-MX"/>
        </w:rPr>
        <w:t xml:space="preserve">debidamente fundamentado y motivado. </w:t>
      </w:r>
    </w:p>
    <w:p w:rsidR="005B5160" w:rsidRDefault="005B5160" w:rsidP="005B5160">
      <w:pPr>
        <w:spacing w:line="360" w:lineRule="auto"/>
        <w:jc w:val="both"/>
        <w:rPr>
          <w:rFonts w:ascii="Palatino Linotype" w:hAnsi="Palatino Linotype" w:cs="Arial"/>
          <w:noProof/>
          <w:color w:val="000000"/>
          <w:lang w:eastAsia="es-MX"/>
        </w:rPr>
      </w:pPr>
    </w:p>
    <w:p w:rsidR="005B5160" w:rsidRPr="00D5257A" w:rsidRDefault="005B5160" w:rsidP="005B5160">
      <w:pPr>
        <w:tabs>
          <w:tab w:val="left" w:pos="709"/>
        </w:tabs>
        <w:spacing w:before="240" w:line="360" w:lineRule="auto"/>
        <w:ind w:right="51"/>
        <w:jc w:val="both"/>
        <w:rPr>
          <w:rFonts w:ascii="Palatino Linotype" w:hAnsi="Palatino Linotype"/>
        </w:rPr>
      </w:pPr>
      <w:r w:rsidRPr="00D5257A">
        <w:rPr>
          <w:rFonts w:ascii="Palatino Linotype" w:hAnsi="Palatino Linotype"/>
          <w:iCs/>
        </w:rPr>
        <w:t xml:space="preserve">En mérito de lo expuesto </w:t>
      </w:r>
      <w:r w:rsidRPr="00D5257A">
        <w:rPr>
          <w:rFonts w:ascii="Palatino Linotype" w:hAnsi="Palatino Linotype"/>
        </w:rPr>
        <w:t xml:space="preserve">en líneas anteriores, 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 xml:space="preserve">la respuesta a la solicitud de información </w:t>
      </w:r>
      <w:r w:rsidR="00086CFA" w:rsidRPr="00086CFA">
        <w:rPr>
          <w:rFonts w:ascii="Palatino Linotype" w:hAnsi="Palatino Linotype"/>
          <w:b/>
        </w:rPr>
        <w:t>00408/TOLUCA/IP/2023</w:t>
      </w:r>
      <w:r w:rsidRPr="00D5257A">
        <w:rPr>
          <w:rFonts w:ascii="Palatino Linotype" w:hAnsi="Palatino Linotype"/>
          <w:b/>
        </w:rPr>
        <w:t xml:space="preserve">, </w:t>
      </w:r>
      <w:r w:rsidRPr="00D5257A">
        <w:rPr>
          <w:rFonts w:ascii="Palatino Linotype" w:hAnsi="Palatino Linotype"/>
        </w:rPr>
        <w:t xml:space="preserve">que ha sido materia del presente fallo. </w:t>
      </w:r>
    </w:p>
    <w:p w:rsidR="005B5160" w:rsidRDefault="005B5160" w:rsidP="005B5160">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rsidR="005B5160" w:rsidRDefault="005B5160" w:rsidP="005B5160">
      <w:pPr>
        <w:spacing w:line="360" w:lineRule="auto"/>
        <w:jc w:val="both"/>
        <w:rPr>
          <w:rFonts w:ascii="Palatino Linotype" w:hAnsi="Palatino Linotype" w:cs="Arial"/>
          <w:noProof/>
          <w:color w:val="000000"/>
          <w:lang w:eastAsia="es-MX"/>
        </w:rPr>
      </w:pPr>
    </w:p>
    <w:p w:rsidR="005B5160" w:rsidRPr="00D05C83" w:rsidRDefault="005B5160" w:rsidP="005B5160">
      <w:pPr>
        <w:spacing w:before="240" w:line="360" w:lineRule="auto"/>
        <w:jc w:val="center"/>
        <w:rPr>
          <w:rFonts w:ascii="Palatino Linotype" w:hAnsi="Palatino Linotype"/>
          <w:b/>
          <w:bCs/>
          <w:spacing w:val="60"/>
          <w:lang w:val="es-ES_tradnl"/>
        </w:rPr>
      </w:pPr>
      <w:r w:rsidRPr="00D05C83">
        <w:rPr>
          <w:rFonts w:ascii="Palatino Linotype" w:hAnsi="Palatino Linotype"/>
          <w:b/>
          <w:bCs/>
          <w:spacing w:val="60"/>
          <w:lang w:val="es-ES_tradnl"/>
        </w:rPr>
        <w:t>SE    RESUELVE</w:t>
      </w:r>
    </w:p>
    <w:p w:rsidR="005B5160" w:rsidRDefault="005B5160" w:rsidP="005B5160">
      <w:pPr>
        <w:spacing w:before="240" w:line="360" w:lineRule="auto"/>
        <w:jc w:val="both"/>
        <w:rPr>
          <w:rFonts w:ascii="Palatino Linotype" w:hAnsi="Palatino Linotype" w:cs="Arial"/>
        </w:rPr>
      </w:pPr>
      <w:r w:rsidRPr="00D05C83">
        <w:rPr>
          <w:rFonts w:ascii="Palatino Linotype" w:hAnsi="Palatino Linotype" w:cs="Arial"/>
          <w:b/>
          <w:lang w:val="es-ES_tradnl"/>
        </w:rPr>
        <w:t>PRIMERO.</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 xml:space="preserve">a la solicitud de información número </w:t>
      </w:r>
      <w:r w:rsidR="00086CFA" w:rsidRPr="00086CFA">
        <w:rPr>
          <w:rFonts w:ascii="Palatino Linotype" w:hAnsi="Palatino Linotype"/>
          <w:b/>
        </w:rPr>
        <w:t>00408/TOLUCA/IP/2023</w:t>
      </w:r>
      <w:r>
        <w:rPr>
          <w:rFonts w:ascii="Palatino Linotype" w:hAnsi="Palatino Linotype" w:cs="Arial"/>
          <w:b/>
        </w:rPr>
        <w:t xml:space="preserve">, </w:t>
      </w:r>
      <w:r>
        <w:rPr>
          <w:rFonts w:ascii="Palatino Linotype" w:hAnsi="Palatino Linotype" w:cs="Arial"/>
        </w:rPr>
        <w:t xml:space="preserve">por resultar parcialmente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w:t>
      </w:r>
      <w:r w:rsidRPr="0012305B">
        <w:rPr>
          <w:rFonts w:ascii="Palatino Linotype" w:hAnsi="Palatino Linotype" w:cs="Arial"/>
          <w:b/>
        </w:rPr>
        <w:t xml:space="preserve">Considerando </w:t>
      </w:r>
      <w:r>
        <w:rPr>
          <w:rFonts w:ascii="Palatino Linotype" w:hAnsi="Palatino Linotype" w:cs="Arial"/>
          <w:b/>
        </w:rPr>
        <w:t xml:space="preserve">CUARTO </w:t>
      </w:r>
      <w:r>
        <w:rPr>
          <w:rFonts w:ascii="Palatino Linotype" w:hAnsi="Palatino Linotype" w:cs="Arial"/>
        </w:rPr>
        <w:t xml:space="preserve">de la presente resolución. </w:t>
      </w:r>
    </w:p>
    <w:p w:rsidR="005B5160" w:rsidRDefault="005B5160" w:rsidP="005B5160">
      <w:pPr>
        <w:spacing w:before="240" w:line="360" w:lineRule="auto"/>
        <w:jc w:val="both"/>
        <w:rPr>
          <w:rFonts w:ascii="Palatino Linotype" w:hAnsi="Palatino Linotype" w:cs="Arial"/>
        </w:rPr>
      </w:pPr>
    </w:p>
    <w:p w:rsidR="005B5160" w:rsidRDefault="005B5160" w:rsidP="005B5160">
      <w:pPr>
        <w:autoSpaceDE w:val="0"/>
        <w:autoSpaceDN w:val="0"/>
        <w:adjustRightInd w:val="0"/>
        <w:spacing w:before="240" w:line="360" w:lineRule="auto"/>
        <w:ind w:right="49"/>
        <w:jc w:val="both"/>
        <w:rPr>
          <w:rFonts w:ascii="Palatino Linotype" w:hAnsi="Palatino Linotype" w:cs="Arial"/>
        </w:rPr>
      </w:pPr>
      <w:r w:rsidRPr="00413327">
        <w:rPr>
          <w:rFonts w:ascii="Palatino Linotype" w:hAnsi="Palatino Linotype" w:cs="Arial"/>
          <w:b/>
          <w:lang w:val="es-ES_tradnl"/>
        </w:rPr>
        <w:t>SEGUNDO.</w:t>
      </w:r>
      <w:r w:rsidRPr="00413327">
        <w:rPr>
          <w:rFonts w:ascii="Palatino Linotype" w:hAnsi="Palatino Linotype" w:cs="Arial"/>
        </w:rPr>
        <w:t xml:space="preserve"> Se </w:t>
      </w:r>
      <w:r w:rsidRPr="00413327">
        <w:rPr>
          <w:rFonts w:ascii="Palatino Linotype" w:hAnsi="Palatino Linotype" w:cs="Arial"/>
          <w:b/>
        </w:rPr>
        <w:t>ORDENA</w:t>
      </w:r>
      <w:r w:rsidRPr="00413327">
        <w:rPr>
          <w:rFonts w:ascii="Palatino Linotype" w:hAnsi="Palatino Linotype" w:cs="Arial"/>
        </w:rPr>
        <w:t xml:space="preserve"> al </w:t>
      </w:r>
      <w:r w:rsidRPr="00413327">
        <w:rPr>
          <w:rFonts w:ascii="Palatino Linotype" w:hAnsi="Palatino Linotype" w:cs="Arial"/>
          <w:b/>
        </w:rPr>
        <w:t>SUJETO OBLIGADO</w:t>
      </w:r>
      <w:r>
        <w:rPr>
          <w:rFonts w:ascii="Palatino Linotype" w:hAnsi="Palatino Linotype" w:cs="Arial"/>
        </w:rPr>
        <w:t xml:space="preserve"> haga entrega al</w:t>
      </w:r>
      <w:r>
        <w:rPr>
          <w:rFonts w:ascii="Palatino Linotype" w:hAnsi="Palatino Linotype" w:cs="Arial"/>
          <w:b/>
        </w:rPr>
        <w:t xml:space="preserve"> RECURRENTE, </w:t>
      </w:r>
      <w:r>
        <w:rPr>
          <w:rFonts w:ascii="Palatino Linotype" w:hAnsi="Palatino Linotype" w:cs="Arial"/>
        </w:rPr>
        <w:t xml:space="preserve">a través del Sistema de Acceso a la Información Mexiquense </w:t>
      </w:r>
      <w:r w:rsidRPr="00123390">
        <w:rPr>
          <w:rFonts w:ascii="Palatino Linotype" w:hAnsi="Palatino Linotype" w:cs="Arial"/>
          <w:b/>
        </w:rPr>
        <w:t>(</w:t>
      </w:r>
      <w:r w:rsidRPr="00D178CD">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de lo siguiente: </w:t>
      </w:r>
    </w:p>
    <w:p w:rsidR="005B5160" w:rsidRPr="00086CFA" w:rsidRDefault="005B5160" w:rsidP="005B5160">
      <w:pPr>
        <w:autoSpaceDE w:val="0"/>
        <w:autoSpaceDN w:val="0"/>
        <w:adjustRightInd w:val="0"/>
        <w:spacing w:before="240" w:line="360" w:lineRule="auto"/>
        <w:ind w:right="49"/>
        <w:jc w:val="both"/>
        <w:rPr>
          <w:rFonts w:ascii="Palatino Linotype" w:hAnsi="Palatino Linotype" w:cs="Arial"/>
          <w:sz w:val="28"/>
        </w:rPr>
      </w:pPr>
    </w:p>
    <w:p w:rsidR="005B5160" w:rsidRPr="00086CFA" w:rsidRDefault="005B5160" w:rsidP="00086CFA">
      <w:pPr>
        <w:pStyle w:val="Sinespaciado"/>
        <w:numPr>
          <w:ilvl w:val="0"/>
          <w:numId w:val="10"/>
        </w:numPr>
        <w:spacing w:line="360" w:lineRule="auto"/>
        <w:ind w:left="567"/>
        <w:jc w:val="both"/>
        <w:rPr>
          <w:rFonts w:ascii="Palatino Linotype" w:hAnsi="Palatino Linotype"/>
          <w:iCs/>
          <w:sz w:val="24"/>
        </w:rPr>
      </w:pPr>
      <w:r w:rsidRPr="00086CFA">
        <w:rPr>
          <w:rFonts w:ascii="Palatino Linotype" w:hAnsi="Palatino Linotype"/>
          <w:iCs/>
          <w:sz w:val="24"/>
        </w:rPr>
        <w:t>Acuerdo que emita el Comité de Transparencia por el cual se clasifique como reservada</w:t>
      </w:r>
      <w:r w:rsidR="00055B39">
        <w:rPr>
          <w:rFonts w:ascii="Palatino Linotype" w:hAnsi="Palatino Linotype"/>
          <w:iCs/>
          <w:sz w:val="24"/>
        </w:rPr>
        <w:t xml:space="preserve"> </w:t>
      </w:r>
      <w:r w:rsidR="00055B39" w:rsidRPr="0010053F">
        <w:rPr>
          <w:rFonts w:ascii="Palatino Linotype" w:hAnsi="Palatino Linotype"/>
          <w:iCs/>
          <w:sz w:val="24"/>
        </w:rPr>
        <w:t>el documento o los documentos donde conste</w:t>
      </w:r>
      <w:r w:rsidRPr="00086CFA">
        <w:rPr>
          <w:rFonts w:ascii="Palatino Linotype" w:hAnsi="Palatino Linotype"/>
          <w:iCs/>
          <w:sz w:val="24"/>
        </w:rPr>
        <w:t xml:space="preserve"> la información requerida mediante la solicitud de información </w:t>
      </w:r>
      <w:r w:rsidR="00086CFA" w:rsidRPr="00086CFA">
        <w:rPr>
          <w:rFonts w:ascii="Palatino Linotype" w:hAnsi="Palatino Linotype"/>
          <w:b/>
          <w:iCs/>
          <w:sz w:val="24"/>
        </w:rPr>
        <w:t>00408/TOLUCA/IP/2023</w:t>
      </w:r>
      <w:r w:rsidRPr="00086CFA">
        <w:rPr>
          <w:rFonts w:ascii="Palatino Linotype" w:hAnsi="Palatino Linotype"/>
          <w:b/>
          <w:iCs/>
          <w:sz w:val="24"/>
        </w:rPr>
        <w:t xml:space="preserve">, </w:t>
      </w:r>
      <w:r w:rsidRPr="00086CFA">
        <w:rPr>
          <w:rFonts w:ascii="Palatino Linotype" w:hAnsi="Palatino Linotype"/>
          <w:iCs/>
          <w:sz w:val="24"/>
        </w:rPr>
        <w:t xml:space="preserve">debidamente fundamentado y motivado. </w:t>
      </w:r>
    </w:p>
    <w:p w:rsidR="005B5160" w:rsidRPr="00000006" w:rsidRDefault="005B5160" w:rsidP="005B5160">
      <w:pPr>
        <w:pStyle w:val="Prrafodelista"/>
        <w:spacing w:before="240" w:line="360" w:lineRule="auto"/>
        <w:ind w:left="782"/>
        <w:jc w:val="both"/>
        <w:rPr>
          <w:rFonts w:ascii="Palatino Linotype" w:hAnsi="Palatino Linotype" w:cs="Arial"/>
          <w:i/>
          <w:lang w:val="es-MX"/>
        </w:rPr>
      </w:pPr>
    </w:p>
    <w:p w:rsidR="005B5160" w:rsidRDefault="005B5160" w:rsidP="005B5160">
      <w:pPr>
        <w:autoSpaceDE w:val="0"/>
        <w:autoSpaceDN w:val="0"/>
        <w:adjustRightInd w:val="0"/>
        <w:spacing w:before="240" w:line="360" w:lineRule="auto"/>
        <w:jc w:val="both"/>
        <w:rPr>
          <w:rFonts w:ascii="Palatino Linotype" w:eastAsia="Palatino Linotype" w:hAnsi="Palatino Linotype" w:cs="Palatino Linotype"/>
          <w:b/>
          <w:color w:val="000000"/>
          <w:lang w:val="es-ES_tradnl" w:eastAsia="es-MX"/>
        </w:rPr>
      </w:pPr>
      <w:r w:rsidRPr="00D62F3F">
        <w:rPr>
          <w:rFonts w:ascii="Palatino Linotype" w:hAnsi="Palatino Linotype" w:cs="Arial"/>
          <w:b/>
          <w:sz w:val="28"/>
          <w:szCs w:val="28"/>
        </w:rPr>
        <w:t>TERCERO.</w:t>
      </w:r>
      <w:r>
        <w:rPr>
          <w:rFonts w:ascii="Palatino Linotype" w:hAnsi="Palatino Linotype" w:cs="Arial"/>
          <w:b/>
        </w:rPr>
        <w:t xml:space="preserve"> </w:t>
      </w:r>
      <w:r w:rsidR="00086CFA" w:rsidRPr="00891EA4">
        <w:rPr>
          <w:rFonts w:ascii="Palatino Linotype" w:hAnsi="Palatino Linotype" w:cs="Arial"/>
          <w:b/>
          <w:szCs w:val="32"/>
          <w:lang w:val="es-ES_tradnl"/>
        </w:rPr>
        <w:t>NOTIFÍQUESE</w:t>
      </w:r>
      <w:r w:rsidR="00086CFA" w:rsidRPr="00891EA4">
        <w:rPr>
          <w:rFonts w:ascii="Palatino Linotype" w:hAnsi="Palatino Linotype" w:cs="Arial"/>
          <w:b/>
          <w:sz w:val="32"/>
          <w:szCs w:val="32"/>
          <w:lang w:val="es-ES_tradnl"/>
        </w:rPr>
        <w:t xml:space="preserve"> </w:t>
      </w:r>
      <w:r w:rsidR="00086CFA" w:rsidRPr="00891EA4">
        <w:rPr>
          <w:rFonts w:ascii="Palatino Linotype" w:hAnsi="Palatino Linotype" w:cs="Arial"/>
          <w:szCs w:val="32"/>
          <w:lang w:val="es-ES_tradnl"/>
        </w:rPr>
        <w:t>la presente resolución al Titular de la Unidad de Transparencia del Sujeto Obligado, a través del Sistema de Acceso a la Información Mexiquense (SAIMEX),</w:t>
      </w:r>
      <w:r w:rsidR="00086CFA">
        <w:rPr>
          <w:rFonts w:ascii="Palatino Linotype" w:hAnsi="Palatino Linotype" w:cs="Arial"/>
          <w:szCs w:val="32"/>
          <w:lang w:val="es-ES_tradnl"/>
        </w:rPr>
        <w:t xml:space="preserve"> </w:t>
      </w:r>
      <w:r w:rsidR="00086CFA" w:rsidRPr="00891EA4">
        <w:rPr>
          <w:rFonts w:ascii="Palatino Linotype" w:hAnsi="Palatino Linotype" w:cs="Arial"/>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diez días </w:t>
      </w:r>
      <w:r w:rsidR="00086CFA" w:rsidRPr="00891EA4">
        <w:rPr>
          <w:rFonts w:ascii="Palatino Linotype" w:hAnsi="Palatino Linotype" w:cs="Arial"/>
          <w:szCs w:val="32"/>
          <w:lang w:val="es-ES_tradnl"/>
        </w:rPr>
        <w:lastRenderedPageBreak/>
        <w:t xml:space="preserve">hábiles, debiendo informar a este Instituto en un plazo de tres días hábiles siguientes sobre el </w:t>
      </w:r>
      <w:r w:rsidR="00086CFA">
        <w:rPr>
          <w:rFonts w:ascii="Palatino Linotype" w:hAnsi="Palatino Linotype" w:cs="Arial"/>
          <w:szCs w:val="32"/>
          <w:lang w:val="es-ES_tradnl"/>
        </w:rPr>
        <w:t xml:space="preserve">cumplimiento dado a la presente </w:t>
      </w:r>
      <w:r w:rsidR="00086CFA" w:rsidRPr="00D23B8F">
        <w:rPr>
          <w:rFonts w:ascii="Palatino Linotype" w:hAnsi="Palatino Linotype" w:cs="Arial"/>
          <w:b/>
          <w:szCs w:val="32"/>
          <w:lang w:val="es-ES_tradnl"/>
        </w:rPr>
        <w:t>y</w:t>
      </w:r>
      <w:r w:rsidR="00086CFA">
        <w:rPr>
          <w:rFonts w:ascii="Palatino Linotype" w:hAnsi="Palatino Linotype" w:cs="Arial"/>
          <w:szCs w:val="32"/>
          <w:lang w:val="es-ES_tradnl"/>
        </w:rPr>
        <w:t xml:space="preserve"> </w:t>
      </w:r>
      <w:r w:rsidR="00086CFA" w:rsidRPr="007B15EB">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86CFA" w:rsidRDefault="00086CFA" w:rsidP="005B5160">
      <w:pPr>
        <w:autoSpaceDE w:val="0"/>
        <w:autoSpaceDN w:val="0"/>
        <w:adjustRightInd w:val="0"/>
        <w:spacing w:before="240" w:line="360" w:lineRule="auto"/>
        <w:jc w:val="both"/>
        <w:rPr>
          <w:rFonts w:ascii="Palatino Linotype" w:hAnsi="Palatino Linotype" w:cs="Arial"/>
        </w:rPr>
      </w:pPr>
    </w:p>
    <w:p w:rsidR="005B5160" w:rsidRDefault="005B5160" w:rsidP="005B5160">
      <w:pPr>
        <w:autoSpaceDE w:val="0"/>
        <w:autoSpaceDN w:val="0"/>
        <w:adjustRightInd w:val="0"/>
        <w:spacing w:line="360" w:lineRule="auto"/>
        <w:jc w:val="both"/>
        <w:rPr>
          <w:rFonts w:ascii="Palatino Linotype" w:hAnsi="Palatino Linotype" w:cs="Arial"/>
        </w:rPr>
      </w:pPr>
      <w:r w:rsidRPr="000F5B7E">
        <w:rPr>
          <w:rFonts w:ascii="Palatino Linotype" w:hAnsi="Palatino Linotype" w:cs="Arial"/>
          <w:b/>
          <w:sz w:val="26"/>
          <w:szCs w:val="26"/>
        </w:rPr>
        <w:t>CUARTO.</w:t>
      </w:r>
      <w:r w:rsidRPr="000F5B7E">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B5160" w:rsidRDefault="005B5160" w:rsidP="005B5160">
      <w:pPr>
        <w:autoSpaceDE w:val="0"/>
        <w:autoSpaceDN w:val="0"/>
        <w:adjustRightInd w:val="0"/>
        <w:spacing w:line="360" w:lineRule="auto"/>
        <w:jc w:val="both"/>
        <w:rPr>
          <w:rFonts w:ascii="Palatino Linotype" w:hAnsi="Palatino Linotype" w:cs="Arial"/>
        </w:rPr>
      </w:pPr>
    </w:p>
    <w:p w:rsidR="00086CFA" w:rsidRPr="00FC6F08" w:rsidRDefault="00086CFA" w:rsidP="00086CFA">
      <w:pPr>
        <w:autoSpaceDE w:val="0"/>
        <w:autoSpaceDN w:val="0"/>
        <w:adjustRightInd w:val="0"/>
        <w:spacing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00952E37" w:rsidRPr="0010053F">
        <w:rPr>
          <w:rFonts w:ascii="Palatino Linotype" w:hAnsi="Palatino Linotype" w:cs="Arial"/>
          <w:b/>
        </w:rPr>
        <w:t>Notifíquese</w:t>
      </w:r>
      <w:r w:rsidR="00952E37" w:rsidRPr="0010053F">
        <w:rPr>
          <w:rFonts w:ascii="Palatino Linotype" w:hAnsi="Palatino Linotype" w:cs="Arial"/>
        </w:rPr>
        <w:t xml:space="preserve"> a través del Sistema de Acceso a la Información Mexiquense </w:t>
      </w:r>
      <w:r w:rsidR="00952E37" w:rsidRPr="0010053F">
        <w:rPr>
          <w:rFonts w:ascii="Palatino Linotype" w:hAnsi="Palatino Linotype" w:cs="Arial"/>
          <w:b/>
        </w:rPr>
        <w:t>(SAIMEX),</w:t>
      </w:r>
      <w:r w:rsidR="00952E37" w:rsidRPr="0010053F">
        <w:rPr>
          <w:rFonts w:ascii="Palatino Linotype" w:hAnsi="Palatino Linotype" w:cs="Arial"/>
        </w:rPr>
        <w:t xml:space="preserve"> al</w:t>
      </w:r>
      <w:r w:rsidR="00952E37" w:rsidRPr="0010053F">
        <w:rPr>
          <w:rFonts w:ascii="Palatino Linotype" w:hAnsi="Palatino Linotype" w:cs="Arial"/>
          <w:b/>
          <w:bCs/>
        </w:rPr>
        <w:t xml:space="preserve"> RECURRENTE</w:t>
      </w:r>
      <w:r w:rsidR="00952E37" w:rsidRPr="0010053F">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8C67CD" w:rsidRDefault="008C67CD" w:rsidP="008C67CD">
      <w:pPr>
        <w:autoSpaceDE w:val="0"/>
        <w:autoSpaceDN w:val="0"/>
        <w:adjustRightInd w:val="0"/>
        <w:spacing w:line="360" w:lineRule="auto"/>
        <w:jc w:val="both"/>
        <w:rPr>
          <w:rFonts w:ascii="Palatino Linotype" w:hAnsi="Palatino Linotype" w:cs="Arial"/>
        </w:rPr>
      </w:pPr>
    </w:p>
    <w:p w:rsidR="008C67CD" w:rsidRDefault="008C67CD" w:rsidP="008C67CD">
      <w:pPr>
        <w:autoSpaceDE w:val="0"/>
        <w:autoSpaceDN w:val="0"/>
        <w:adjustRightInd w:val="0"/>
        <w:spacing w:line="360" w:lineRule="auto"/>
        <w:jc w:val="both"/>
        <w:rPr>
          <w:rFonts w:ascii="Palatino Linotype" w:hAnsi="Palatino Linotype" w:cs="Arial"/>
        </w:rPr>
      </w:pPr>
    </w:p>
    <w:p w:rsidR="008C67CD" w:rsidRDefault="008C67CD" w:rsidP="008C67CD">
      <w:pPr>
        <w:autoSpaceDE w:val="0"/>
        <w:autoSpaceDN w:val="0"/>
        <w:adjustRightInd w:val="0"/>
        <w:spacing w:line="360" w:lineRule="auto"/>
        <w:jc w:val="both"/>
        <w:rPr>
          <w:rFonts w:ascii="Palatino Linotype" w:hAnsi="Palatino Linotype" w:cs="Arial"/>
        </w:rPr>
      </w:pPr>
    </w:p>
    <w:p w:rsidR="008C67CD" w:rsidRDefault="008C67CD" w:rsidP="008C67CD">
      <w:pPr>
        <w:autoSpaceDE w:val="0"/>
        <w:autoSpaceDN w:val="0"/>
        <w:adjustRightInd w:val="0"/>
        <w:spacing w:line="360" w:lineRule="auto"/>
        <w:jc w:val="both"/>
        <w:rPr>
          <w:rFonts w:ascii="Palatino Linotype" w:hAnsi="Palatino Linotype" w:cs="Arial"/>
        </w:rPr>
      </w:pPr>
    </w:p>
    <w:p w:rsidR="008C67CD" w:rsidRPr="007C3942" w:rsidRDefault="008C67CD" w:rsidP="008C67CD">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10053F">
        <w:rPr>
          <w:rFonts w:ascii="Palatino Linotype" w:hAnsi="Palatino Linotype" w:cs="Arial"/>
        </w:rPr>
        <w:t xml:space="preserve"> (</w:t>
      </w:r>
      <w:r w:rsidR="00CE31E7">
        <w:rPr>
          <w:rFonts w:ascii="Palatino Linotype" w:hAnsi="Palatino Linotype" w:cs="Arial"/>
        </w:rPr>
        <w:t xml:space="preserve">EMITIENDO </w:t>
      </w:r>
      <w:r w:rsidR="0010053F">
        <w:rPr>
          <w:rFonts w:ascii="Palatino Linotype" w:hAnsi="Palatino Linotype" w:cs="Arial"/>
        </w:rPr>
        <w:t>VOTO PARTICULAR)</w:t>
      </w:r>
      <w:r w:rsidRPr="007C3942">
        <w:rPr>
          <w:rFonts w:ascii="Palatino Linotype" w:hAnsi="Palatino Linotype" w:cs="Arial"/>
        </w:rPr>
        <w:t xml:space="preserve"> Y GUADALUPE RAMÍREZ PEÑA, EN LA </w:t>
      </w:r>
      <w:r w:rsidR="007179EC">
        <w:rPr>
          <w:rFonts w:ascii="Palatino Linotype" w:hAnsi="Palatino Linotype" w:cs="Arial"/>
        </w:rPr>
        <w:t>D</w:t>
      </w:r>
      <w:r w:rsidR="00CE31E7">
        <w:rPr>
          <w:rFonts w:ascii="Palatino Linotype" w:hAnsi="Palatino Linotype" w:cs="Arial"/>
        </w:rPr>
        <w:t>É</w:t>
      </w:r>
      <w:r w:rsidR="007179EC">
        <w:rPr>
          <w:rFonts w:ascii="Palatino Linotype" w:hAnsi="Palatino Linotype" w:cs="Arial"/>
        </w:rPr>
        <w:t>CIMO OCTAVA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7179EC">
        <w:rPr>
          <w:rFonts w:ascii="Palatino Linotype" w:hAnsi="Palatino Linotype" w:cs="Arial"/>
        </w:rPr>
        <w:t>DIECISIETE</w:t>
      </w:r>
      <w:r w:rsidR="00086CFA">
        <w:rPr>
          <w:rFonts w:ascii="Palatino Linotype" w:hAnsi="Palatino Linotype" w:cs="Arial"/>
        </w:rPr>
        <w:t xml:space="preserve"> DE MAYO</w:t>
      </w:r>
      <w:r>
        <w:rPr>
          <w:rFonts w:ascii="Palatino Linotype" w:hAnsi="Palatino Linotype" w:cs="Arial"/>
        </w:rPr>
        <w:t xml:space="preserve"> DE DOS MIL VEINTITRÉS</w:t>
      </w:r>
      <w:r w:rsidRPr="007C3942">
        <w:rPr>
          <w:rFonts w:ascii="Palatino Linotype" w:hAnsi="Palatino Linotype" w:cs="Arial"/>
        </w:rPr>
        <w:t>,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CE31E7" w:rsidRPr="00CD0D60">
        <w:rPr>
          <w:rFonts w:ascii="Palatino Linotype" w:hAnsi="Palatino Linotype" w:cs="Arial"/>
        </w:rPr>
        <w:t>----------------------------------------------------------------------------------------------------------------------------------------------------------------------------------------------------------------------------------</w:t>
      </w:r>
    </w:p>
    <w:p w:rsidR="008C67CD" w:rsidRPr="00A151D0" w:rsidRDefault="008C67CD" w:rsidP="008C67CD">
      <w:pPr>
        <w:spacing w:line="360" w:lineRule="auto"/>
        <w:jc w:val="both"/>
        <w:rPr>
          <w:rFonts w:ascii="Palatino Linotype" w:hAnsi="Palatino Linotype" w:cs="Arial"/>
          <w:sz w:val="20"/>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r>
        <w:rPr>
          <w:rFonts w:ascii="Palatino Linotype" w:hAnsi="Palatino Linotype" w:cs="Arial"/>
        </w:rPr>
        <w:t>---------------------------</w:t>
      </w:r>
    </w:p>
    <w:p w:rsidR="008C67CD" w:rsidRPr="005323D1" w:rsidRDefault="008C67CD" w:rsidP="008C67CD">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8C67CD" w:rsidRDefault="008C67CD" w:rsidP="008C67CD"/>
    <w:p w:rsidR="00CD23E8" w:rsidRDefault="00CD23E8"/>
    <w:sectPr w:rsidR="00CD23E8" w:rsidSect="00BB1CF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7CD" w:rsidRDefault="008C67CD" w:rsidP="008C67CD">
      <w:r>
        <w:separator/>
      </w:r>
    </w:p>
  </w:endnote>
  <w:endnote w:type="continuationSeparator" w:id="0">
    <w:p w:rsidR="008C67CD" w:rsidRDefault="008C67CD" w:rsidP="008C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A2780F" w:rsidRDefault="004725F3"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D6B7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D6B74">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F4" w:rsidRPr="00070856" w:rsidRDefault="004725F3"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D6B7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D6B74">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7CD" w:rsidRDefault="008C67CD" w:rsidP="008C67CD">
      <w:r>
        <w:separator/>
      </w:r>
    </w:p>
  </w:footnote>
  <w:footnote w:type="continuationSeparator" w:id="0">
    <w:p w:rsidR="008C67CD" w:rsidRDefault="008C67CD" w:rsidP="008C67CD">
      <w:r>
        <w:continuationSeparator/>
      </w:r>
    </w:p>
  </w:footnote>
  <w:footnote w:id="1">
    <w:p w:rsidR="008C67CD" w:rsidRPr="005552A8" w:rsidRDefault="008C67CD" w:rsidP="008C67C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C67CD" w:rsidRPr="005552A8" w:rsidRDefault="008C67CD" w:rsidP="008C67C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B5160" w:rsidRDefault="005B5160" w:rsidP="005B516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rsidR="005B5160" w:rsidRDefault="005B5160" w:rsidP="005B5160">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4">
    <w:p w:rsidR="005B5160" w:rsidRPr="00D75A73" w:rsidRDefault="005B5160" w:rsidP="005B5160">
      <w:pPr>
        <w:jc w:val="both"/>
        <w:rPr>
          <w:rFonts w:ascii="Palatino Linotype" w:hAnsi="Palatino Linotype"/>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s="Arial"/>
          <w:color w:val="000000" w:themeColor="text1"/>
          <w:sz w:val="16"/>
          <w:szCs w:val="16"/>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hAnsi="Palatino Linotype" w:cs="Arial"/>
          <w:color w:val="000000" w:themeColor="text1"/>
          <w:sz w:val="16"/>
          <w:szCs w:val="16"/>
          <w:lang w:val="es-ES_tradnl" w:eastAsia="es-ES_tradnl"/>
        </w:rPr>
        <w:t>tests</w:t>
      </w:r>
      <w:proofErr w:type="spellEnd"/>
      <w:r w:rsidRPr="00D75A73">
        <w:rPr>
          <w:rFonts w:ascii="Palatino Linotype" w:hAnsi="Palatino Linotype" w:cs="Arial"/>
          <w:color w:val="000000" w:themeColor="text1"/>
          <w:sz w:val="16"/>
          <w:szCs w:val="16"/>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hAnsi="Palatino Linotype" w:cs="Arial"/>
          <w:color w:val="000000" w:themeColor="text1"/>
          <w:sz w:val="16"/>
          <w:szCs w:val="16"/>
          <w:lang w:val="es-ES_tradnl" w:eastAsia="es-ES_tradnl"/>
        </w:rPr>
        <w:t>Lluy</w:t>
      </w:r>
      <w:proofErr w:type="spellEnd"/>
      <w:r w:rsidRPr="00D75A73">
        <w:rPr>
          <w:rFonts w:ascii="Palatino Linotype" w:hAnsi="Palatino Linotype" w:cs="Arial"/>
          <w:color w:val="000000" w:themeColor="text1"/>
          <w:sz w:val="16"/>
          <w:szCs w:val="16"/>
          <w:lang w:val="es-ES_tradnl" w:eastAsia="es-ES_tradnl"/>
        </w:rPr>
        <w:t xml:space="preserve"> y otros contra Ecuador. Excepciones preliminares, fondo, reparaciones y costas. Sentencia del 01 de septiembre de 2015. Párr. 256.  </w:t>
      </w:r>
    </w:p>
  </w:footnote>
  <w:footnote w:id="5">
    <w:p w:rsidR="005B5160" w:rsidRPr="00D75A73" w:rsidRDefault="005B5160" w:rsidP="005B516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rsidTr="00BB1CF4">
      <w:tc>
        <w:tcPr>
          <w:tcW w:w="3620" w:type="dxa"/>
          <w:shd w:val="clear" w:color="auto" w:fill="auto"/>
        </w:tcPr>
        <w:p w:rsidR="00BB1CF4" w:rsidRPr="007E5FC4" w:rsidRDefault="004725F3"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BB1CF4" w:rsidRPr="00664658" w:rsidRDefault="008C67CD" w:rsidP="00AB72F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01465</w:t>
          </w:r>
          <w:r w:rsidR="004725F3">
            <w:rPr>
              <w:rFonts w:ascii="Palatino Linotype" w:hAnsi="Palatino Linotype"/>
              <w:b/>
              <w:sz w:val="22"/>
              <w:szCs w:val="22"/>
              <w:lang w:val="es-ES_tradnl"/>
            </w:rPr>
            <w:t>/INFOEM/IP/RR/2023</w:t>
          </w:r>
        </w:p>
      </w:tc>
    </w:tr>
    <w:tr w:rsidR="00BB1CF4" w:rsidRPr="008F2CCC" w:rsidTr="00BB1CF4">
      <w:tc>
        <w:tcPr>
          <w:tcW w:w="3620" w:type="dxa"/>
          <w:shd w:val="clear" w:color="auto" w:fill="auto"/>
        </w:tcPr>
        <w:p w:rsidR="00BB1CF4" w:rsidRPr="007E5FC4" w:rsidRDefault="004725F3"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BB1CF4" w:rsidRPr="00664658" w:rsidRDefault="004725F3" w:rsidP="00AB72F7">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Toluca</w:t>
          </w:r>
        </w:p>
      </w:tc>
    </w:tr>
    <w:tr w:rsidR="00BB1CF4" w:rsidRPr="008F2CCC" w:rsidTr="00BB1CF4">
      <w:trPr>
        <w:trHeight w:val="228"/>
      </w:trPr>
      <w:tc>
        <w:tcPr>
          <w:tcW w:w="3620" w:type="dxa"/>
          <w:shd w:val="clear" w:color="auto" w:fill="auto"/>
        </w:tcPr>
        <w:p w:rsidR="00BB1CF4" w:rsidRPr="007E5FC4" w:rsidRDefault="004725F3"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BB1CF4" w:rsidRPr="00664658" w:rsidRDefault="004725F3"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Default="002D6B74" w:rsidP="00BB1CF4">
    <w:pPr>
      <w:pStyle w:val="Encabezado"/>
      <w:tabs>
        <w:tab w:val="clear" w:pos="4252"/>
        <w:tab w:val="clear" w:pos="8504"/>
        <w:tab w:val="left" w:pos="2326"/>
      </w:tabs>
      <w:rPr>
        <w:rFonts w:ascii="Palatino Linotype" w:hAnsi="Palatino Linotype"/>
        <w:sz w:val="20"/>
      </w:rPr>
    </w:pPr>
  </w:p>
  <w:p w:rsidR="00BB1CF4" w:rsidRPr="001779E0" w:rsidRDefault="004725F3"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B01B2F" wp14:editId="5E0FCBD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rsidTr="00BB1CF4">
      <w:tc>
        <w:tcPr>
          <w:tcW w:w="2977" w:type="dxa"/>
          <w:shd w:val="clear" w:color="auto" w:fill="auto"/>
        </w:tcPr>
        <w:p w:rsidR="00BB1CF4" w:rsidRPr="007E5FC4" w:rsidRDefault="004725F3"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BB1CF4" w:rsidRPr="008F2CCC" w:rsidRDefault="008C67CD" w:rsidP="00AB72F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01465</w:t>
          </w:r>
          <w:r w:rsidR="004725F3">
            <w:rPr>
              <w:rFonts w:ascii="Palatino Linotype" w:hAnsi="Palatino Linotype"/>
              <w:b/>
              <w:sz w:val="22"/>
              <w:szCs w:val="22"/>
              <w:lang w:val="es-ES_tradnl"/>
            </w:rPr>
            <w:t>/INFOEM/IP/RR/2023</w:t>
          </w:r>
        </w:p>
      </w:tc>
    </w:tr>
    <w:tr w:rsidR="00BB1CF4" w:rsidRPr="008F2CCC" w:rsidTr="00BB1CF4">
      <w:tc>
        <w:tcPr>
          <w:tcW w:w="2977" w:type="dxa"/>
          <w:shd w:val="clear" w:color="auto" w:fill="auto"/>
          <w:vAlign w:val="center"/>
        </w:tcPr>
        <w:p w:rsidR="00BB1CF4" w:rsidRPr="007E5FC4" w:rsidRDefault="004725F3"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BB1CF4" w:rsidRPr="008F2CCC" w:rsidRDefault="002D6B74"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BB1CF4" w:rsidRPr="008F2CCC" w:rsidTr="00BB1CF4">
      <w:trPr>
        <w:trHeight w:val="228"/>
      </w:trPr>
      <w:tc>
        <w:tcPr>
          <w:tcW w:w="2977" w:type="dxa"/>
          <w:shd w:val="clear" w:color="auto" w:fill="auto"/>
        </w:tcPr>
        <w:p w:rsidR="00BB1CF4" w:rsidRPr="007E5FC4" w:rsidRDefault="004725F3"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BB1CF4" w:rsidRPr="00DC41C8" w:rsidRDefault="004725F3" w:rsidP="00AB72F7">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Toluca</w:t>
          </w:r>
        </w:p>
      </w:tc>
    </w:tr>
    <w:tr w:rsidR="00BB1CF4" w:rsidRPr="008F2CCC" w:rsidTr="00BB1CF4">
      <w:tc>
        <w:tcPr>
          <w:tcW w:w="2977" w:type="dxa"/>
          <w:shd w:val="clear" w:color="auto" w:fill="auto"/>
        </w:tcPr>
        <w:p w:rsidR="00BB1CF4" w:rsidRPr="007E5FC4" w:rsidRDefault="004725F3"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BB1CF4" w:rsidRPr="008F2CCC" w:rsidRDefault="004725F3"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B1CF4" w:rsidRPr="009F1AB6" w:rsidRDefault="004725F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F0AE094" wp14:editId="7F56447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0A2194"/>
    <w:multiLevelType w:val="hybridMultilevel"/>
    <w:tmpl w:val="2B9C7DDC"/>
    <w:lvl w:ilvl="0" w:tplc="E22AF1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75B0D71"/>
    <w:multiLevelType w:val="hybridMultilevel"/>
    <w:tmpl w:val="8F1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6602FD"/>
    <w:multiLevelType w:val="hybridMultilevel"/>
    <w:tmpl w:val="57AA88BC"/>
    <w:lvl w:ilvl="0" w:tplc="6EA646B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749A1B66"/>
    <w:multiLevelType w:val="hybridMultilevel"/>
    <w:tmpl w:val="B9F2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3"/>
  </w:num>
  <w:num w:numId="6">
    <w:abstractNumId w:val="9"/>
  </w:num>
  <w:num w:numId="7">
    <w:abstractNumId w:val="6"/>
  </w:num>
  <w:num w:numId="8">
    <w:abstractNumId w:val="1"/>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CD"/>
    <w:rsid w:val="00017E01"/>
    <w:rsid w:val="00055B39"/>
    <w:rsid w:val="00086CFA"/>
    <w:rsid w:val="0010053F"/>
    <w:rsid w:val="00120F6B"/>
    <w:rsid w:val="00122755"/>
    <w:rsid w:val="002D6B74"/>
    <w:rsid w:val="004725F3"/>
    <w:rsid w:val="005B5160"/>
    <w:rsid w:val="006305C3"/>
    <w:rsid w:val="0063765F"/>
    <w:rsid w:val="006B6913"/>
    <w:rsid w:val="007179EC"/>
    <w:rsid w:val="00803D37"/>
    <w:rsid w:val="0087562B"/>
    <w:rsid w:val="00896F94"/>
    <w:rsid w:val="008C67CD"/>
    <w:rsid w:val="00952E37"/>
    <w:rsid w:val="00B4483D"/>
    <w:rsid w:val="00C43EC9"/>
    <w:rsid w:val="00CD23E8"/>
    <w:rsid w:val="00CE31E7"/>
    <w:rsid w:val="00DF5C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8ADB0-E829-4B42-9C39-07AD5615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7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7C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C67CD"/>
    <w:rPr>
      <w:rFonts w:eastAsiaTheme="minorEastAsia"/>
      <w:sz w:val="24"/>
      <w:szCs w:val="24"/>
      <w:lang w:val="es-ES_tradnl" w:eastAsia="es-ES"/>
    </w:rPr>
  </w:style>
  <w:style w:type="paragraph" w:styleId="Piedepgina">
    <w:name w:val="footer"/>
    <w:basedOn w:val="Normal"/>
    <w:link w:val="PiedepginaCar"/>
    <w:uiPriority w:val="99"/>
    <w:unhideWhenUsed/>
    <w:rsid w:val="008C67C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C67C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67C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67C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C67CD"/>
    <w:pPr>
      <w:spacing w:after="0" w:line="240" w:lineRule="auto"/>
    </w:pPr>
  </w:style>
  <w:style w:type="character" w:customStyle="1" w:styleId="SinespaciadoCar">
    <w:name w:val="Sin espaciado Car"/>
    <w:aliases w:val="Francesa Car,INAI Car"/>
    <w:link w:val="Sinespaciado"/>
    <w:uiPriority w:val="1"/>
    <w:locked/>
    <w:rsid w:val="008C67CD"/>
  </w:style>
  <w:style w:type="character" w:styleId="Hipervnculo">
    <w:name w:val="Hyperlink"/>
    <w:aliases w:val="Hipervínculo1,Hipervínculo11,Hipervínculo12,Hipervínculo13,Hipervínculo14,Hipervínculo15"/>
    <w:basedOn w:val="Fuentedeprrafopredeter"/>
    <w:uiPriority w:val="99"/>
    <w:unhideWhenUsed/>
    <w:rsid w:val="008C67CD"/>
    <w:rPr>
      <w:color w:val="0563C1" w:themeColor="hyperlink"/>
      <w:u w:val="single"/>
    </w:rPr>
  </w:style>
  <w:style w:type="paragraph" w:customStyle="1" w:styleId="INFOEM">
    <w:name w:val="INFOEM"/>
    <w:basedOn w:val="Normal"/>
    <w:qFormat/>
    <w:rsid w:val="008C67C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C67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C67CD"/>
    <w:rPr>
      <w:vertAlign w:val="superscript"/>
    </w:rPr>
  </w:style>
  <w:style w:type="paragraph" w:customStyle="1" w:styleId="Citas">
    <w:name w:val="Citas"/>
    <w:basedOn w:val="Normal"/>
    <w:qFormat/>
    <w:rsid w:val="00803D3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516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B51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31</Pages>
  <Words>6227</Words>
  <Characters>34249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2023-04-26T16:58:00Z</dcterms:created>
  <dcterms:modified xsi:type="dcterms:W3CDTF">2023-06-06T16:30:00Z</dcterms:modified>
</cp:coreProperties>
</file>