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4D9B" w14:textId="5EDA3164" w:rsidR="00E4643F" w:rsidRPr="00AE7FB9" w:rsidRDefault="00E4643F" w:rsidP="00D92AE6">
      <w:pPr>
        <w:tabs>
          <w:tab w:val="left" w:pos="8931"/>
        </w:tabs>
        <w:spacing w:after="0" w:line="360" w:lineRule="auto"/>
        <w:contextualSpacing/>
        <w:rPr>
          <w:rFonts w:eastAsia="Calibri" w:cs="Tahoma"/>
          <w:lang w:val="es-ES"/>
        </w:rPr>
      </w:pPr>
      <w:r w:rsidRPr="00AE7FB9">
        <w:rPr>
          <w:rFonts w:cs="Tahoma"/>
          <w:bCs/>
        </w:rPr>
        <w:t xml:space="preserve">Resolución del Pleno del Instituto de Transparencia, Acceso a la Información Pública y Protección de Datos Personales del Estado de México y Municipios, con domicilio en Metepec, </w:t>
      </w:r>
      <w:r w:rsidRPr="00AE7FB9">
        <w:rPr>
          <w:rFonts w:eastAsia="Calibri" w:cs="Tahoma"/>
          <w:lang w:val="es-ES"/>
        </w:rPr>
        <w:t xml:space="preserve">Estado de México, </w:t>
      </w:r>
      <w:r w:rsidR="00B8357A" w:rsidRPr="00AE7FB9">
        <w:rPr>
          <w:rFonts w:eastAsia="Calibri" w:cs="Tahoma"/>
          <w:lang w:val="es-ES"/>
        </w:rPr>
        <w:t>die</w:t>
      </w:r>
      <w:r w:rsidR="000B5567" w:rsidRPr="00AE7FB9">
        <w:rPr>
          <w:rFonts w:eastAsia="Calibri" w:cs="Tahoma"/>
          <w:lang w:val="es-ES"/>
        </w:rPr>
        <w:t>cisiete</w:t>
      </w:r>
      <w:r w:rsidRPr="00AE7FB9">
        <w:rPr>
          <w:rFonts w:eastAsia="Calibri" w:cs="Tahoma"/>
          <w:lang w:val="es-ES"/>
        </w:rPr>
        <w:t xml:space="preserve"> de mayo de dos mil veintitrés. </w:t>
      </w:r>
    </w:p>
    <w:p w14:paraId="262116F7" w14:textId="77777777" w:rsidR="00E4643F" w:rsidRPr="00AE7FB9" w:rsidRDefault="00E4643F" w:rsidP="00D92AE6">
      <w:pPr>
        <w:spacing w:after="0" w:line="360" w:lineRule="auto"/>
        <w:contextualSpacing/>
        <w:rPr>
          <w:rFonts w:eastAsia="Calibri" w:cs="Tahoma"/>
          <w:b/>
          <w:bCs/>
          <w:lang w:val="es-ES"/>
        </w:rPr>
      </w:pPr>
    </w:p>
    <w:p w14:paraId="5E7ACB89" w14:textId="2F31DB53" w:rsidR="00E4643F" w:rsidRPr="00AE7FB9" w:rsidRDefault="00E4643F" w:rsidP="00D92AE6">
      <w:pPr>
        <w:spacing w:after="0" w:line="360" w:lineRule="auto"/>
        <w:contextualSpacing/>
        <w:rPr>
          <w:rFonts w:cs="Tahoma"/>
          <w:color w:val="0D0D0D" w:themeColor="text1" w:themeTint="F2"/>
        </w:rPr>
      </w:pPr>
      <w:r w:rsidRPr="00AE7FB9">
        <w:rPr>
          <w:rFonts w:eastAsia="Calibri" w:cs="Tahoma"/>
          <w:b/>
          <w:bCs/>
          <w:lang w:val="es-ES"/>
        </w:rPr>
        <w:t xml:space="preserve">VISTO </w:t>
      </w:r>
      <w:r w:rsidRPr="00AE7FB9">
        <w:rPr>
          <w:rFonts w:eastAsia="Calibri" w:cs="Tahoma"/>
          <w:lang w:val="es-ES"/>
        </w:rPr>
        <w:t xml:space="preserve">el expediente conformado con motivo del Recurso de Revisión </w:t>
      </w:r>
      <w:r w:rsidR="00075CC0" w:rsidRPr="00AE7FB9">
        <w:rPr>
          <w:rFonts w:eastAsia="Calibri" w:cs="Tahoma"/>
        </w:rPr>
        <w:t>0065</w:t>
      </w:r>
      <w:r w:rsidRPr="00AE7FB9">
        <w:rPr>
          <w:rFonts w:eastAsia="Calibri" w:cs="Tahoma"/>
        </w:rPr>
        <w:t>6/INFOEM/IP/RR/202</w:t>
      </w:r>
      <w:r w:rsidR="00075CC0" w:rsidRPr="00AE7FB9">
        <w:rPr>
          <w:rFonts w:eastAsia="Calibri" w:cs="Tahoma"/>
        </w:rPr>
        <w:t>3</w:t>
      </w:r>
      <w:r w:rsidRPr="00AE7FB9">
        <w:rPr>
          <w:rFonts w:eastAsia="Calibri" w:cs="Tahoma"/>
        </w:rPr>
        <w:t>, interpuesto por el</w:t>
      </w:r>
      <w:r w:rsidRPr="00AE7FB9">
        <w:rPr>
          <w:rFonts w:cs="Tahoma"/>
          <w:color w:val="0D0D0D" w:themeColor="text1" w:themeTint="F2"/>
        </w:rPr>
        <w:t xml:space="preserve"> Recurrente o Particular, en contra de la respuesta del Sujeto Obligado, </w:t>
      </w:r>
      <w:r w:rsidR="00075CC0" w:rsidRPr="00AE7FB9">
        <w:rPr>
          <w:rFonts w:cs="Tahoma"/>
          <w:color w:val="0D0D0D" w:themeColor="text1" w:themeTint="F2"/>
        </w:rPr>
        <w:t xml:space="preserve">Ayuntamiento de </w:t>
      </w:r>
      <w:r w:rsidR="00355E6A" w:rsidRPr="00AE7FB9">
        <w:rPr>
          <w:rFonts w:cs="Tahoma"/>
          <w:color w:val="0D0D0D" w:themeColor="text1" w:themeTint="F2"/>
        </w:rPr>
        <w:t>el Oro</w:t>
      </w:r>
      <w:r w:rsidRPr="00AE7FB9">
        <w:rPr>
          <w:rFonts w:cs="Tahoma"/>
          <w:color w:val="0D0D0D" w:themeColor="text1" w:themeTint="F2"/>
        </w:rPr>
        <w:t>, a la solicitud de acceso a la información pública</w:t>
      </w:r>
      <w:r w:rsidRPr="00AE7FB9">
        <w:t xml:space="preserve"> </w:t>
      </w:r>
      <w:r w:rsidR="00075CC0" w:rsidRPr="00AE7FB9">
        <w:t>00009/ELORO/IP/2023</w:t>
      </w:r>
      <w:r w:rsidRPr="00AE7FB9">
        <w:t xml:space="preserve">, </w:t>
      </w:r>
      <w:r w:rsidRPr="00AE7FB9">
        <w:rPr>
          <w:rFonts w:cs="Tahoma"/>
          <w:color w:val="0D0D0D" w:themeColor="text1" w:themeTint="F2"/>
        </w:rPr>
        <w:t>se emite</w:t>
      </w:r>
      <w:r w:rsidRPr="00AE7FB9">
        <w:rPr>
          <w:rFonts w:cs="Tahoma"/>
          <w:bCs/>
          <w:color w:val="0D0D0D" w:themeColor="text1" w:themeTint="F2"/>
        </w:rPr>
        <w:t xml:space="preserve"> la presente Resolución, con base en los Antecedentes y Considerandos que se exponen a continuación:</w:t>
      </w:r>
    </w:p>
    <w:p w14:paraId="27DF1D63" w14:textId="77777777" w:rsidR="00E4643F" w:rsidRPr="00AE7FB9" w:rsidRDefault="00E4643F" w:rsidP="00D92AE6">
      <w:pPr>
        <w:spacing w:after="0" w:line="360" w:lineRule="auto"/>
        <w:contextualSpacing/>
        <w:rPr>
          <w:rFonts w:eastAsia="Calibri" w:cs="Tahoma"/>
          <w:b/>
          <w:bCs/>
          <w:lang w:val="es-ES"/>
        </w:rPr>
      </w:pPr>
    </w:p>
    <w:p w14:paraId="357737E8" w14:textId="77777777" w:rsidR="00E4643F" w:rsidRPr="00AE7FB9" w:rsidRDefault="00E4643F" w:rsidP="00D92AE6">
      <w:pPr>
        <w:spacing w:after="0" w:line="360" w:lineRule="auto"/>
        <w:contextualSpacing/>
        <w:jc w:val="center"/>
        <w:rPr>
          <w:rFonts w:eastAsia="Calibri" w:cs="Tahoma"/>
          <w:b/>
          <w:bCs/>
          <w:lang w:val="es-ES"/>
        </w:rPr>
      </w:pPr>
      <w:r w:rsidRPr="00AE7FB9">
        <w:rPr>
          <w:rFonts w:eastAsia="Calibri" w:cs="Tahoma"/>
          <w:b/>
          <w:bCs/>
          <w:lang w:val="es-ES"/>
        </w:rPr>
        <w:t>A N T E C E D E N T E S:</w:t>
      </w:r>
    </w:p>
    <w:p w14:paraId="39A88A0F" w14:textId="77777777" w:rsidR="00E4643F" w:rsidRPr="00AE7FB9" w:rsidRDefault="00E4643F" w:rsidP="00D92AE6">
      <w:pPr>
        <w:spacing w:after="0" w:line="360" w:lineRule="auto"/>
        <w:contextualSpacing/>
        <w:rPr>
          <w:lang w:val="es-ES"/>
        </w:rPr>
      </w:pPr>
    </w:p>
    <w:p w14:paraId="11C545EE" w14:textId="77777777" w:rsidR="00E4643F" w:rsidRPr="00AE7FB9" w:rsidRDefault="00E4643F" w:rsidP="00D92AE6">
      <w:pPr>
        <w:spacing w:after="0" w:line="360" w:lineRule="auto"/>
        <w:contextualSpacing/>
        <w:rPr>
          <w:rFonts w:eastAsia="Calibri" w:cs="Tahoma"/>
          <w:b/>
          <w:bCs/>
          <w:lang w:val="es-ES"/>
        </w:rPr>
      </w:pPr>
      <w:r w:rsidRPr="00AE7FB9">
        <w:rPr>
          <w:rFonts w:eastAsia="Calibri" w:cs="Tahoma"/>
          <w:b/>
          <w:bCs/>
          <w:lang w:val="es-ES"/>
        </w:rPr>
        <w:t>I. Presentación de la solicitud de información.</w:t>
      </w:r>
    </w:p>
    <w:p w14:paraId="58188530" w14:textId="77777777" w:rsidR="00E4643F" w:rsidRPr="00AE7FB9" w:rsidRDefault="00E4643F" w:rsidP="00D92AE6">
      <w:pPr>
        <w:spacing w:after="0" w:line="360" w:lineRule="auto"/>
        <w:contextualSpacing/>
        <w:rPr>
          <w:rFonts w:eastAsia="Calibri" w:cs="Tahoma"/>
          <w:b/>
          <w:bCs/>
          <w:lang w:val="es-ES"/>
        </w:rPr>
      </w:pPr>
    </w:p>
    <w:p w14:paraId="3FBA7873" w14:textId="75CA3CEB" w:rsidR="00E4643F" w:rsidRPr="00AE7FB9" w:rsidRDefault="00E4643F" w:rsidP="00D92AE6">
      <w:pPr>
        <w:spacing w:after="0" w:line="360" w:lineRule="auto"/>
        <w:contextualSpacing/>
        <w:rPr>
          <w:rFonts w:cs="Tahoma"/>
        </w:rPr>
      </w:pPr>
      <w:r w:rsidRPr="00AE7FB9">
        <w:rPr>
          <w:rFonts w:eastAsia="Calibri" w:cs="Tahoma"/>
          <w:lang w:val="es-ES"/>
        </w:rPr>
        <w:t xml:space="preserve">Con fecha </w:t>
      </w:r>
      <w:r w:rsidR="00075CC0" w:rsidRPr="00AE7FB9">
        <w:rPr>
          <w:rFonts w:eastAsia="Calibri" w:cs="Tahoma"/>
          <w:lang w:val="es-ES"/>
        </w:rPr>
        <w:t xml:space="preserve">veinte de enero </w:t>
      </w:r>
      <w:r w:rsidRPr="00AE7FB9">
        <w:rPr>
          <w:rFonts w:eastAsia="Calibri" w:cs="Tahoma"/>
          <w:lang w:val="es-ES"/>
        </w:rPr>
        <w:t>de dos mil veinti</w:t>
      </w:r>
      <w:r w:rsidR="00075CC0" w:rsidRPr="00AE7FB9">
        <w:rPr>
          <w:rFonts w:eastAsia="Calibri" w:cs="Tahoma"/>
          <w:lang w:val="es-ES"/>
        </w:rPr>
        <w:t>tré</w:t>
      </w:r>
      <w:r w:rsidRPr="00AE7FB9">
        <w:rPr>
          <w:rFonts w:eastAsia="Calibri" w:cs="Tahoma"/>
          <w:lang w:val="es-ES"/>
        </w:rPr>
        <w:t xml:space="preserve">s, la Particular presentó una solicitud de información, a través del Sistema de Acceso a la Información Mexiquense (SAIMEX), ante la </w:t>
      </w:r>
      <w:r w:rsidR="00075CC0" w:rsidRPr="00AE7FB9">
        <w:rPr>
          <w:rFonts w:eastAsia="Calibri" w:cs="Tahoma"/>
          <w:lang w:val="es-ES"/>
        </w:rPr>
        <w:t xml:space="preserve">el Ayuntamiento de </w:t>
      </w:r>
      <w:r w:rsidR="00355E6A" w:rsidRPr="00AE7FB9">
        <w:rPr>
          <w:rFonts w:eastAsia="Calibri" w:cs="Tahoma"/>
          <w:lang w:val="es-ES"/>
        </w:rPr>
        <w:t>el Oro</w:t>
      </w:r>
      <w:r w:rsidRPr="00AE7FB9">
        <w:rPr>
          <w:b/>
          <w:bCs/>
          <w:lang w:val="es-ES"/>
        </w:rPr>
        <w:t>,</w:t>
      </w:r>
      <w:r w:rsidRPr="00AE7FB9">
        <w:rPr>
          <w:rFonts w:cs="Tahoma"/>
        </w:rPr>
        <w:t xml:space="preserve"> en los siguientes términos:</w:t>
      </w:r>
    </w:p>
    <w:p w14:paraId="6FABB0D6" w14:textId="77777777" w:rsidR="00E4643F" w:rsidRPr="00AE7FB9" w:rsidRDefault="00E4643F" w:rsidP="00D92AE6">
      <w:pPr>
        <w:spacing w:after="0" w:line="360" w:lineRule="auto"/>
        <w:contextualSpacing/>
        <w:rPr>
          <w:rFonts w:cs="Tahoma"/>
        </w:rPr>
      </w:pPr>
    </w:p>
    <w:p w14:paraId="28ABF283" w14:textId="77777777" w:rsidR="00E4643F" w:rsidRPr="00AE7FB9" w:rsidRDefault="00E4643F" w:rsidP="00D92AE6">
      <w:pPr>
        <w:tabs>
          <w:tab w:val="left" w:pos="4667"/>
        </w:tabs>
        <w:spacing w:after="0" w:line="360" w:lineRule="auto"/>
        <w:ind w:left="567" w:right="567"/>
        <w:contextualSpacing/>
        <w:rPr>
          <w:rFonts w:cs="Tahoma"/>
          <w:b/>
          <w:bCs/>
          <w:i/>
          <w:sz w:val="20"/>
          <w:szCs w:val="20"/>
        </w:rPr>
      </w:pPr>
      <w:r w:rsidRPr="00AE7FB9">
        <w:rPr>
          <w:rFonts w:cs="Tahoma"/>
          <w:b/>
          <w:bCs/>
          <w:i/>
          <w:sz w:val="20"/>
          <w:szCs w:val="20"/>
        </w:rPr>
        <w:t>“DESCRIPCIÓN CLARA Y PRECISA DE LA INFORMACIÓN SOLICITADA</w:t>
      </w:r>
    </w:p>
    <w:p w14:paraId="67834D4D" w14:textId="581520DE" w:rsidR="00E4643F" w:rsidRPr="00AE7FB9" w:rsidRDefault="00075CC0" w:rsidP="00D92AE6">
      <w:pPr>
        <w:spacing w:after="0" w:line="360" w:lineRule="auto"/>
        <w:ind w:left="567"/>
        <w:contextualSpacing/>
        <w:rPr>
          <w:rFonts w:eastAsia="Times New Roman" w:cs="Times New Roman"/>
          <w:i/>
          <w:iCs/>
          <w:color w:val="auto"/>
          <w:sz w:val="20"/>
          <w:szCs w:val="20"/>
          <w:lang w:eastAsia="es-MX"/>
        </w:rPr>
      </w:pPr>
      <w:r w:rsidRPr="00AE7FB9">
        <w:rPr>
          <w:rFonts w:eastAsia="Times New Roman" w:cs="Times New Roman"/>
          <w:i/>
          <w:iCs/>
          <w:color w:val="auto"/>
          <w:sz w:val="20"/>
          <w:szCs w:val="20"/>
          <w:lang w:eastAsia="es-MX"/>
        </w:rPr>
        <w:t xml:space="preserve">Solicito la </w:t>
      </w:r>
      <w:proofErr w:type="spellStart"/>
      <w:r w:rsidRPr="00AE7FB9">
        <w:rPr>
          <w:rFonts w:eastAsia="Times New Roman" w:cs="Times New Roman"/>
          <w:i/>
          <w:iCs/>
          <w:color w:val="auto"/>
          <w:sz w:val="20"/>
          <w:szCs w:val="20"/>
          <w:lang w:eastAsia="es-MX"/>
        </w:rPr>
        <w:t>nomina</w:t>
      </w:r>
      <w:proofErr w:type="spellEnd"/>
      <w:r w:rsidRPr="00AE7FB9">
        <w:rPr>
          <w:rFonts w:eastAsia="Times New Roman" w:cs="Times New Roman"/>
          <w:i/>
          <w:iCs/>
          <w:color w:val="auto"/>
          <w:sz w:val="20"/>
          <w:szCs w:val="20"/>
          <w:lang w:eastAsia="es-MX"/>
        </w:rPr>
        <w:t xml:space="preserve"> general de todo el Ayuntamiento, por quincena, del mes de enero, así como la lista de raya también del mes de </w:t>
      </w:r>
      <w:proofErr w:type="gramStart"/>
      <w:r w:rsidRPr="00AE7FB9">
        <w:rPr>
          <w:rFonts w:eastAsia="Times New Roman" w:cs="Times New Roman"/>
          <w:i/>
          <w:iCs/>
          <w:color w:val="auto"/>
          <w:sz w:val="20"/>
          <w:szCs w:val="20"/>
          <w:lang w:eastAsia="es-MX"/>
        </w:rPr>
        <w:t>enero</w:t>
      </w:r>
      <w:r w:rsidR="00E4643F" w:rsidRPr="00AE7FB9">
        <w:rPr>
          <w:i/>
          <w:iCs/>
          <w:color w:val="000000"/>
          <w:sz w:val="20"/>
          <w:szCs w:val="20"/>
        </w:rPr>
        <w:t>.(</w:t>
      </w:r>
      <w:proofErr w:type="gramEnd"/>
      <w:r w:rsidR="00E4643F" w:rsidRPr="00AE7FB9">
        <w:rPr>
          <w:i/>
          <w:iCs/>
          <w:color w:val="000000"/>
          <w:sz w:val="20"/>
          <w:szCs w:val="20"/>
        </w:rPr>
        <w:t>Sic)</w:t>
      </w:r>
    </w:p>
    <w:p w14:paraId="33396847" w14:textId="77777777" w:rsidR="00E4643F" w:rsidRPr="00AE7FB9" w:rsidRDefault="00E4643F" w:rsidP="00D92AE6">
      <w:pPr>
        <w:spacing w:after="0" w:line="360" w:lineRule="auto"/>
        <w:ind w:left="567" w:right="567"/>
        <w:contextualSpacing/>
        <w:rPr>
          <w:rFonts w:eastAsia="Times New Roman" w:cs="Arial"/>
          <w:bCs/>
          <w:i/>
          <w:color w:val="auto"/>
          <w:sz w:val="20"/>
          <w:szCs w:val="20"/>
          <w:lang w:eastAsia="es-ES"/>
        </w:rPr>
      </w:pPr>
    </w:p>
    <w:p w14:paraId="3C623573" w14:textId="77777777" w:rsidR="00E4643F" w:rsidRPr="00AE7FB9" w:rsidRDefault="00E4643F" w:rsidP="00D92AE6">
      <w:pPr>
        <w:tabs>
          <w:tab w:val="left" w:pos="4667"/>
        </w:tabs>
        <w:spacing w:after="0" w:line="360" w:lineRule="auto"/>
        <w:ind w:left="567" w:right="567"/>
        <w:contextualSpacing/>
        <w:rPr>
          <w:rFonts w:eastAsia="Times New Roman" w:cs="Tahoma"/>
          <w:b/>
          <w:bCs/>
          <w:i/>
          <w:color w:val="auto"/>
          <w:sz w:val="20"/>
          <w:szCs w:val="20"/>
          <w:lang w:eastAsia="es-ES"/>
        </w:rPr>
      </w:pPr>
      <w:r w:rsidRPr="00AE7FB9">
        <w:rPr>
          <w:rFonts w:eastAsia="Times New Roman" w:cs="Tahoma"/>
          <w:b/>
          <w:bCs/>
          <w:i/>
          <w:color w:val="auto"/>
          <w:sz w:val="20"/>
          <w:szCs w:val="20"/>
          <w:lang w:eastAsia="es-ES"/>
        </w:rPr>
        <w:t>“MODALIDAD DE ENTREGA</w:t>
      </w:r>
    </w:p>
    <w:p w14:paraId="1EA94576" w14:textId="77777777" w:rsidR="00E4643F" w:rsidRPr="00AE7FB9" w:rsidRDefault="00E4643F" w:rsidP="00D92AE6">
      <w:pPr>
        <w:spacing w:after="0" w:line="360" w:lineRule="auto"/>
        <w:ind w:left="567" w:right="567"/>
        <w:contextualSpacing/>
        <w:rPr>
          <w:rFonts w:eastAsia="Times New Roman" w:cs="Arial"/>
          <w:bCs/>
          <w:i/>
          <w:color w:val="auto"/>
          <w:sz w:val="20"/>
          <w:szCs w:val="20"/>
          <w:lang w:eastAsia="es-ES"/>
        </w:rPr>
      </w:pPr>
      <w:r w:rsidRPr="00AE7FB9">
        <w:rPr>
          <w:rFonts w:eastAsia="Times New Roman" w:cs="Arial"/>
          <w:bCs/>
          <w:i/>
          <w:color w:val="auto"/>
          <w:sz w:val="20"/>
          <w:szCs w:val="20"/>
          <w:lang w:eastAsia="es-ES"/>
        </w:rPr>
        <w:t>A través del SAIMEX” (Sic)</w:t>
      </w:r>
    </w:p>
    <w:p w14:paraId="37D80DCD" w14:textId="77777777" w:rsidR="00075CC0" w:rsidRPr="00AE7FB9" w:rsidRDefault="00075CC0" w:rsidP="00D92AE6">
      <w:pPr>
        <w:spacing w:after="0" w:line="360" w:lineRule="auto"/>
        <w:ind w:left="567" w:right="567"/>
        <w:contextualSpacing/>
        <w:rPr>
          <w:rFonts w:eastAsia="Times New Roman" w:cs="Arial"/>
          <w:bCs/>
          <w:i/>
          <w:color w:val="auto"/>
          <w:sz w:val="20"/>
          <w:szCs w:val="20"/>
          <w:lang w:eastAsia="es-ES"/>
        </w:rPr>
      </w:pPr>
    </w:p>
    <w:p w14:paraId="5EDA7AAF" w14:textId="77777777" w:rsidR="00E4643F" w:rsidRPr="00AE7FB9" w:rsidRDefault="00E4643F" w:rsidP="00D92AE6">
      <w:pPr>
        <w:tabs>
          <w:tab w:val="left" w:pos="4667"/>
        </w:tabs>
        <w:spacing w:after="0" w:line="360" w:lineRule="auto"/>
        <w:ind w:right="567"/>
        <w:contextualSpacing/>
        <w:rPr>
          <w:rFonts w:cs="Tahoma"/>
          <w:b/>
          <w:bCs/>
          <w:color w:val="auto"/>
          <w:szCs w:val="24"/>
        </w:rPr>
      </w:pPr>
      <w:r w:rsidRPr="00AE7FB9">
        <w:rPr>
          <w:rFonts w:cs="Tahoma"/>
          <w:b/>
          <w:bCs/>
          <w:szCs w:val="24"/>
        </w:rPr>
        <w:t xml:space="preserve">II. </w:t>
      </w:r>
      <w:r w:rsidRPr="00AE7FB9">
        <w:rPr>
          <w:rFonts w:cs="Tahoma"/>
          <w:b/>
          <w:szCs w:val="24"/>
        </w:rPr>
        <w:t>Respuesta</w:t>
      </w:r>
      <w:r w:rsidRPr="00AE7FB9">
        <w:rPr>
          <w:rFonts w:cs="Tahoma"/>
          <w:b/>
          <w:bCs/>
          <w:szCs w:val="24"/>
        </w:rPr>
        <w:t xml:space="preserve"> del Sujeto Obligado.</w:t>
      </w:r>
    </w:p>
    <w:p w14:paraId="7EA17BF7" w14:textId="77777777" w:rsidR="00E4643F" w:rsidRPr="00AE7FB9" w:rsidRDefault="00E4643F" w:rsidP="00D92AE6">
      <w:pPr>
        <w:pStyle w:val="Prrafodelista"/>
        <w:tabs>
          <w:tab w:val="left" w:pos="567"/>
        </w:tabs>
        <w:spacing w:after="0" w:line="360" w:lineRule="auto"/>
        <w:ind w:left="0"/>
        <w:rPr>
          <w:rFonts w:cs="Tahoma"/>
          <w:bCs/>
        </w:rPr>
      </w:pPr>
    </w:p>
    <w:p w14:paraId="62B8428A" w14:textId="77777777" w:rsidR="00075CC0" w:rsidRPr="00AE7FB9" w:rsidRDefault="00E4643F" w:rsidP="00D92AE6">
      <w:pPr>
        <w:pStyle w:val="Prrafodelista"/>
        <w:tabs>
          <w:tab w:val="left" w:pos="567"/>
        </w:tabs>
        <w:spacing w:after="0" w:line="360" w:lineRule="auto"/>
        <w:ind w:left="0"/>
        <w:rPr>
          <w:rFonts w:cs="Tahoma"/>
        </w:rPr>
      </w:pPr>
      <w:r w:rsidRPr="00AE7FB9">
        <w:rPr>
          <w:rFonts w:cs="Tahoma"/>
          <w:bCs/>
        </w:rPr>
        <w:lastRenderedPageBreak/>
        <w:t xml:space="preserve">Con fecha </w:t>
      </w:r>
      <w:r w:rsidR="00075CC0" w:rsidRPr="00AE7FB9">
        <w:rPr>
          <w:rFonts w:cs="Tahoma"/>
          <w:bCs/>
        </w:rPr>
        <w:t>tres de febrero</w:t>
      </w:r>
      <w:r w:rsidRPr="00AE7FB9">
        <w:rPr>
          <w:rFonts w:cs="Tahoma"/>
          <w:bCs/>
        </w:rPr>
        <w:t xml:space="preserve"> de dos mil veinti</w:t>
      </w:r>
      <w:r w:rsidR="00075CC0" w:rsidRPr="00AE7FB9">
        <w:rPr>
          <w:rFonts w:cs="Tahoma"/>
          <w:bCs/>
        </w:rPr>
        <w:t>tré</w:t>
      </w:r>
      <w:r w:rsidRPr="00AE7FB9">
        <w:rPr>
          <w:rFonts w:cs="Tahoma"/>
          <w:bCs/>
        </w:rPr>
        <w:t>s,</w:t>
      </w:r>
      <w:r w:rsidRPr="00AE7FB9">
        <w:rPr>
          <w:rFonts w:cs="Tahoma"/>
        </w:rPr>
        <w:t xml:space="preserve"> el Sujeto Obligado notificó al Solicitante, mediante el Sistema de Acceso a la Información Mexiquense (SAIMEX), la respuesta a la solicitud de acceso a la información, por medio de</w:t>
      </w:r>
      <w:r w:rsidR="00075CC0" w:rsidRPr="00AE7FB9">
        <w:rPr>
          <w:rFonts w:cs="Tahoma"/>
        </w:rPr>
        <w:t xml:space="preserve"> </w:t>
      </w:r>
      <w:r w:rsidRPr="00AE7FB9">
        <w:rPr>
          <w:rFonts w:cs="Tahoma"/>
        </w:rPr>
        <w:t>l</w:t>
      </w:r>
      <w:r w:rsidR="00075CC0" w:rsidRPr="00AE7FB9">
        <w:rPr>
          <w:rFonts w:cs="Tahoma"/>
        </w:rPr>
        <w:t>a digitalización de los siguientes documentos:</w:t>
      </w:r>
    </w:p>
    <w:p w14:paraId="0968BC5E" w14:textId="77777777" w:rsidR="00075CC0" w:rsidRPr="00AE7FB9" w:rsidRDefault="00075CC0" w:rsidP="00D92AE6">
      <w:pPr>
        <w:pStyle w:val="Prrafodelista"/>
        <w:tabs>
          <w:tab w:val="left" w:pos="567"/>
        </w:tabs>
        <w:spacing w:after="0" w:line="360" w:lineRule="auto"/>
        <w:ind w:left="0"/>
        <w:rPr>
          <w:rFonts w:cs="Tahoma"/>
        </w:rPr>
      </w:pPr>
    </w:p>
    <w:p w14:paraId="141D9E41" w14:textId="56EB041E" w:rsidR="00E4643F" w:rsidRPr="00AE7FB9" w:rsidRDefault="00075CC0" w:rsidP="00D92AE6">
      <w:pPr>
        <w:pStyle w:val="Prrafodelista"/>
        <w:tabs>
          <w:tab w:val="left" w:pos="567"/>
        </w:tabs>
        <w:spacing w:after="0" w:line="360" w:lineRule="auto"/>
        <w:ind w:left="0"/>
        <w:rPr>
          <w:rFonts w:cs="Tahoma"/>
        </w:rPr>
      </w:pPr>
      <w:r w:rsidRPr="00AE7FB9">
        <w:rPr>
          <w:rFonts w:cs="Tahoma"/>
        </w:rPr>
        <w:t>i) O</w:t>
      </w:r>
      <w:r w:rsidR="00E4643F" w:rsidRPr="00AE7FB9">
        <w:rPr>
          <w:rFonts w:cs="Tahoma"/>
        </w:rPr>
        <w:t xml:space="preserve">ficio número </w:t>
      </w:r>
      <w:r w:rsidRPr="00AE7FB9">
        <w:rPr>
          <w:rFonts w:cs="Tahoma"/>
        </w:rPr>
        <w:t>TM/043/02</w:t>
      </w:r>
      <w:r w:rsidR="00E4643F" w:rsidRPr="00AE7FB9">
        <w:rPr>
          <w:rFonts w:cs="Tahoma"/>
        </w:rPr>
        <w:t>/202</w:t>
      </w:r>
      <w:r w:rsidRPr="00AE7FB9">
        <w:rPr>
          <w:rFonts w:cs="Tahoma"/>
        </w:rPr>
        <w:t xml:space="preserve">3, de </w:t>
      </w:r>
      <w:r w:rsidR="00D21501" w:rsidRPr="00AE7FB9">
        <w:rPr>
          <w:rFonts w:cs="Tahoma"/>
        </w:rPr>
        <w:t>fecha de su presentación</w:t>
      </w:r>
      <w:r w:rsidR="00E4643F" w:rsidRPr="00AE7FB9">
        <w:rPr>
          <w:rFonts w:cs="Tahoma"/>
        </w:rPr>
        <w:t xml:space="preserve">, suscrito por </w:t>
      </w:r>
      <w:r w:rsidR="00D21501" w:rsidRPr="00AE7FB9">
        <w:rPr>
          <w:rFonts w:cs="Tahoma"/>
        </w:rPr>
        <w:t xml:space="preserve">la Tesorera Municipal, dirigido al Titular de la </w:t>
      </w:r>
      <w:r w:rsidR="00E4643F" w:rsidRPr="00AE7FB9">
        <w:rPr>
          <w:rFonts w:cs="Tahoma"/>
        </w:rPr>
        <w:t>Unidad de</w:t>
      </w:r>
      <w:r w:rsidR="00D21501" w:rsidRPr="00AE7FB9">
        <w:rPr>
          <w:rFonts w:cs="Tahoma"/>
        </w:rPr>
        <w:t xml:space="preserve"> Transparencia</w:t>
      </w:r>
      <w:r w:rsidR="00E4643F" w:rsidRPr="00AE7FB9">
        <w:rPr>
          <w:rFonts w:cs="Tahoma"/>
        </w:rPr>
        <w:t xml:space="preserve">, por medio del cual manifiesta y expone esencialmente lo siguiente: </w:t>
      </w:r>
    </w:p>
    <w:p w14:paraId="4F4CF044" w14:textId="77777777" w:rsidR="00E4643F" w:rsidRPr="00AE7FB9" w:rsidRDefault="00E4643F" w:rsidP="00D92AE6">
      <w:pPr>
        <w:spacing w:after="0" w:line="360" w:lineRule="auto"/>
        <w:ind w:left="567" w:right="567"/>
        <w:contextualSpacing/>
        <w:rPr>
          <w:rFonts w:eastAsia="Calibri" w:cs="Tahoma"/>
          <w:b/>
          <w:i/>
          <w:iCs/>
          <w:sz w:val="20"/>
          <w:szCs w:val="20"/>
        </w:rPr>
      </w:pPr>
    </w:p>
    <w:p w14:paraId="55AA3393" w14:textId="484F400C" w:rsidR="00E4643F" w:rsidRPr="00AE7FB9" w:rsidRDefault="00E4643F" w:rsidP="00D92AE6">
      <w:pPr>
        <w:spacing w:after="0" w:line="360" w:lineRule="auto"/>
        <w:ind w:left="567" w:right="567"/>
        <w:contextualSpacing/>
        <w:rPr>
          <w:rFonts w:eastAsia="Calibri" w:cs="Tahoma"/>
          <w:bCs/>
          <w:i/>
          <w:iCs/>
          <w:sz w:val="20"/>
          <w:szCs w:val="20"/>
        </w:rPr>
      </w:pPr>
      <w:r w:rsidRPr="00AE7FB9">
        <w:rPr>
          <w:rFonts w:eastAsia="Calibri" w:cs="Tahoma"/>
          <w:bCs/>
          <w:i/>
          <w:iCs/>
          <w:sz w:val="20"/>
          <w:szCs w:val="20"/>
        </w:rPr>
        <w:t>“…</w:t>
      </w:r>
      <w:r w:rsidR="00D21501" w:rsidRPr="00AE7FB9">
        <w:rPr>
          <w:rFonts w:eastAsia="Calibri" w:cs="Tahoma"/>
          <w:bCs/>
          <w:i/>
          <w:iCs/>
          <w:sz w:val="20"/>
          <w:szCs w:val="20"/>
        </w:rPr>
        <w:t xml:space="preserve"> Al respecto se envía en archivo PDF lo siguiente:</w:t>
      </w:r>
    </w:p>
    <w:p w14:paraId="2735E52A" w14:textId="77777777" w:rsidR="00D21501" w:rsidRPr="00AE7FB9" w:rsidRDefault="00D21501" w:rsidP="00D92AE6">
      <w:pPr>
        <w:spacing w:after="0" w:line="360" w:lineRule="auto"/>
        <w:ind w:left="567" w:right="567"/>
        <w:contextualSpacing/>
        <w:rPr>
          <w:rFonts w:eastAsia="Calibri" w:cs="Tahoma"/>
          <w:bCs/>
          <w:i/>
          <w:iCs/>
          <w:sz w:val="20"/>
          <w:szCs w:val="20"/>
        </w:rPr>
      </w:pPr>
    </w:p>
    <w:p w14:paraId="3255C343" w14:textId="14D13880" w:rsidR="00D21501" w:rsidRPr="00AE7FB9" w:rsidRDefault="00D21501" w:rsidP="00D92AE6">
      <w:pPr>
        <w:spacing w:after="0" w:line="360" w:lineRule="auto"/>
        <w:ind w:left="567" w:right="567"/>
        <w:contextualSpacing/>
        <w:rPr>
          <w:rFonts w:eastAsia="Calibri" w:cs="Tahoma"/>
          <w:bCs/>
          <w:i/>
          <w:iCs/>
          <w:sz w:val="20"/>
          <w:szCs w:val="20"/>
        </w:rPr>
      </w:pPr>
      <w:r w:rsidRPr="00AE7FB9">
        <w:rPr>
          <w:rFonts w:eastAsia="Calibri" w:cs="Tahoma"/>
          <w:bCs/>
          <w:i/>
          <w:iCs/>
          <w:sz w:val="20"/>
          <w:szCs w:val="20"/>
        </w:rPr>
        <w:t>PRIMERA Y SEGUNDA QUINCENA DEL MES DE ENERO DE 2022</w:t>
      </w:r>
    </w:p>
    <w:p w14:paraId="471D8540" w14:textId="77777777" w:rsidR="00D21501" w:rsidRPr="00AE7FB9" w:rsidRDefault="00D21501" w:rsidP="00D92AE6">
      <w:pPr>
        <w:spacing w:after="0" w:line="360" w:lineRule="auto"/>
        <w:ind w:left="567" w:right="567"/>
        <w:contextualSpacing/>
        <w:rPr>
          <w:rFonts w:eastAsia="Calibri" w:cs="Tahoma"/>
          <w:bCs/>
          <w:i/>
          <w:iCs/>
          <w:sz w:val="20"/>
          <w:szCs w:val="20"/>
        </w:rPr>
      </w:pPr>
    </w:p>
    <w:p w14:paraId="7D896431" w14:textId="18939F2F" w:rsidR="00E4643F" w:rsidRPr="00AE7FB9" w:rsidRDefault="00D21501" w:rsidP="00D92AE6">
      <w:pPr>
        <w:spacing w:after="0" w:line="360" w:lineRule="auto"/>
        <w:ind w:left="567" w:right="567"/>
        <w:contextualSpacing/>
        <w:rPr>
          <w:rFonts w:eastAsia="Calibri" w:cs="Tahoma"/>
          <w:bCs/>
          <w:i/>
          <w:iCs/>
          <w:sz w:val="20"/>
          <w:szCs w:val="20"/>
        </w:rPr>
      </w:pPr>
      <w:r w:rsidRPr="00AE7FB9">
        <w:rPr>
          <w:rFonts w:eastAsia="Calibri" w:cs="Tahoma"/>
          <w:bCs/>
          <w:i/>
          <w:iCs/>
          <w:sz w:val="20"/>
          <w:szCs w:val="20"/>
        </w:rPr>
        <w:t>INFORMARLE QUE NO CONTAMOS CON LISTA DE RAYA QUE USTED REQUIERE CONOCER, LA NOMINA SE TRABAJA COMO SE MUESTRA EN EL ARCHIVO ENVIADO.</w:t>
      </w:r>
      <w:r w:rsidR="00E4643F" w:rsidRPr="00AE7FB9">
        <w:rPr>
          <w:i/>
          <w:iCs/>
          <w:sz w:val="20"/>
          <w:szCs w:val="20"/>
        </w:rPr>
        <w:t>.</w:t>
      </w:r>
      <w:r w:rsidR="00E4643F" w:rsidRPr="00AE7FB9">
        <w:rPr>
          <w:rFonts w:eastAsia="Calibri" w:cs="Tahoma"/>
          <w:bCs/>
          <w:i/>
          <w:iCs/>
          <w:sz w:val="20"/>
          <w:szCs w:val="20"/>
        </w:rPr>
        <w:t xml:space="preserve">.  </w:t>
      </w:r>
    </w:p>
    <w:p w14:paraId="1AD5AB2E" w14:textId="77777777" w:rsidR="00E4643F" w:rsidRPr="00AE7FB9" w:rsidRDefault="00E4643F" w:rsidP="00D92AE6">
      <w:pPr>
        <w:spacing w:after="0" w:line="360" w:lineRule="auto"/>
        <w:ind w:right="567"/>
        <w:contextualSpacing/>
        <w:rPr>
          <w:rFonts w:eastAsia="Calibri" w:cs="Tahoma"/>
          <w:bCs/>
          <w:i/>
          <w:iCs/>
          <w:sz w:val="20"/>
          <w:szCs w:val="20"/>
        </w:rPr>
      </w:pPr>
    </w:p>
    <w:p w14:paraId="4B1FD520" w14:textId="4D84F68D" w:rsidR="00D21501" w:rsidRPr="00AE7FB9" w:rsidRDefault="00D21501" w:rsidP="00D92AE6">
      <w:pPr>
        <w:spacing w:after="0" w:line="360" w:lineRule="auto"/>
        <w:ind w:right="567"/>
        <w:contextualSpacing/>
        <w:rPr>
          <w:rFonts w:eastAsia="Calibri" w:cs="Tahoma"/>
          <w:bCs/>
          <w:szCs w:val="20"/>
        </w:rPr>
      </w:pPr>
      <w:r w:rsidRPr="00AE7FB9">
        <w:rPr>
          <w:rFonts w:eastAsia="Calibri" w:cs="Tahoma"/>
          <w:bCs/>
          <w:szCs w:val="20"/>
        </w:rPr>
        <w:t xml:space="preserve">ii) </w:t>
      </w:r>
      <w:r w:rsidR="00801716" w:rsidRPr="00AE7FB9">
        <w:rPr>
          <w:rFonts w:eastAsia="Calibri" w:cs="Tahoma"/>
          <w:bCs/>
          <w:szCs w:val="20"/>
        </w:rPr>
        <w:t>Listado de servidores públicos</w:t>
      </w:r>
      <w:r w:rsidRPr="00AE7FB9">
        <w:rPr>
          <w:rFonts w:eastAsia="Calibri" w:cs="Tahoma"/>
          <w:bCs/>
          <w:szCs w:val="20"/>
        </w:rPr>
        <w:t>,</w:t>
      </w:r>
      <w:r w:rsidR="00801716" w:rsidRPr="00AE7FB9">
        <w:rPr>
          <w:rFonts w:eastAsia="Calibri" w:cs="Tahoma"/>
          <w:bCs/>
          <w:szCs w:val="20"/>
        </w:rPr>
        <w:t xml:space="preserve"> con </w:t>
      </w:r>
      <w:r w:rsidRPr="00AE7FB9">
        <w:rPr>
          <w:rFonts w:eastAsia="Calibri" w:cs="Tahoma"/>
          <w:bCs/>
          <w:szCs w:val="20"/>
        </w:rPr>
        <w:t>apellidos, nombre, sueldo bruto, percepciones, deducciones y sueldo neto</w:t>
      </w:r>
      <w:r w:rsidR="00801716" w:rsidRPr="00AE7FB9">
        <w:rPr>
          <w:rFonts w:eastAsia="Calibri" w:cs="Tahoma"/>
          <w:bCs/>
          <w:szCs w:val="20"/>
        </w:rPr>
        <w:t>, de la primera quincena de enero de dos mil veintidós</w:t>
      </w:r>
      <w:r w:rsidRPr="00AE7FB9">
        <w:rPr>
          <w:rFonts w:eastAsia="Calibri" w:cs="Tahoma"/>
          <w:bCs/>
          <w:szCs w:val="20"/>
        </w:rPr>
        <w:t>.</w:t>
      </w:r>
    </w:p>
    <w:p w14:paraId="6E79BAD2" w14:textId="77777777" w:rsidR="00D21501" w:rsidRPr="00AE7FB9" w:rsidRDefault="00D21501" w:rsidP="00D92AE6">
      <w:pPr>
        <w:spacing w:after="0" w:line="360" w:lineRule="auto"/>
        <w:ind w:right="567"/>
        <w:contextualSpacing/>
        <w:rPr>
          <w:rFonts w:eastAsia="Calibri" w:cs="Tahoma"/>
          <w:bCs/>
          <w:szCs w:val="20"/>
        </w:rPr>
      </w:pPr>
    </w:p>
    <w:p w14:paraId="6F7B6F77" w14:textId="7BA2BEF1" w:rsidR="00801716" w:rsidRPr="00AE7FB9" w:rsidRDefault="00D21501" w:rsidP="00D92AE6">
      <w:pPr>
        <w:spacing w:after="0" w:line="360" w:lineRule="auto"/>
        <w:ind w:right="567"/>
        <w:contextualSpacing/>
        <w:rPr>
          <w:rFonts w:eastAsia="Calibri" w:cs="Tahoma"/>
          <w:bCs/>
          <w:szCs w:val="20"/>
        </w:rPr>
      </w:pPr>
      <w:r w:rsidRPr="00AE7FB9">
        <w:rPr>
          <w:rFonts w:eastAsia="Calibri" w:cs="Tahoma"/>
          <w:bCs/>
          <w:szCs w:val="20"/>
        </w:rPr>
        <w:t xml:space="preserve">iii) </w:t>
      </w:r>
      <w:r w:rsidR="00801716" w:rsidRPr="00AE7FB9">
        <w:rPr>
          <w:rFonts w:eastAsia="Calibri" w:cs="Tahoma"/>
          <w:bCs/>
          <w:szCs w:val="20"/>
        </w:rPr>
        <w:t>Listado de servidores públicos, con apellidos, nombre, sueldo bruto, percepciones, deducciones y sueldo neto, de la segunda quincena de enero de dos mil veintidós.</w:t>
      </w:r>
    </w:p>
    <w:p w14:paraId="02116957" w14:textId="6D7028A8" w:rsidR="002E19FD" w:rsidRPr="00AE7FB9" w:rsidRDefault="002E19FD" w:rsidP="00D92AE6">
      <w:pPr>
        <w:spacing w:after="0" w:line="360" w:lineRule="auto"/>
        <w:ind w:right="567"/>
        <w:contextualSpacing/>
        <w:rPr>
          <w:rFonts w:eastAsia="Calibri" w:cs="Tahoma"/>
          <w:b/>
          <w:color w:val="000000"/>
        </w:rPr>
      </w:pPr>
    </w:p>
    <w:p w14:paraId="50B0E174" w14:textId="77777777" w:rsidR="00E4643F" w:rsidRPr="00AE7FB9" w:rsidRDefault="00E4643F" w:rsidP="00D92AE6">
      <w:pPr>
        <w:autoSpaceDE w:val="0"/>
        <w:autoSpaceDN w:val="0"/>
        <w:adjustRightInd w:val="0"/>
        <w:spacing w:after="0" w:line="360" w:lineRule="auto"/>
        <w:contextualSpacing/>
        <w:rPr>
          <w:rFonts w:eastAsia="Calibri" w:cs="Tahoma"/>
          <w:b/>
          <w:color w:val="000000"/>
        </w:rPr>
      </w:pPr>
      <w:r w:rsidRPr="00AE7FB9">
        <w:rPr>
          <w:rFonts w:eastAsia="Calibri" w:cs="Tahoma"/>
          <w:b/>
          <w:color w:val="000000"/>
        </w:rPr>
        <w:t xml:space="preserve">III. Interposición del Recurso de Revisión. </w:t>
      </w:r>
    </w:p>
    <w:p w14:paraId="2CC60DF6" w14:textId="77777777" w:rsidR="00E4643F" w:rsidRPr="00AE7FB9" w:rsidRDefault="00E4643F" w:rsidP="00D92AE6">
      <w:pPr>
        <w:spacing w:after="0" w:line="360" w:lineRule="auto"/>
        <w:contextualSpacing/>
        <w:rPr>
          <w:rFonts w:eastAsia="Times New Roman" w:cs="Tahoma"/>
          <w:bCs/>
          <w:color w:val="auto"/>
          <w:lang w:eastAsia="es-ES"/>
        </w:rPr>
      </w:pPr>
    </w:p>
    <w:p w14:paraId="451262A5" w14:textId="5B85EA06" w:rsidR="00E4643F" w:rsidRPr="00AE7FB9" w:rsidRDefault="00E4643F" w:rsidP="00D92AE6">
      <w:pPr>
        <w:spacing w:after="0" w:line="360" w:lineRule="auto"/>
        <w:contextualSpacing/>
        <w:rPr>
          <w:rFonts w:eastAsia="Times New Roman" w:cs="Tahoma"/>
          <w:bCs/>
          <w:color w:val="auto"/>
          <w:lang w:val="es-ES" w:eastAsia="es-ES"/>
        </w:rPr>
      </w:pPr>
      <w:r w:rsidRPr="00AE7FB9">
        <w:rPr>
          <w:rFonts w:eastAsia="Times New Roman" w:cs="Tahoma"/>
          <w:bCs/>
          <w:color w:val="auto"/>
          <w:lang w:val="es-ES" w:eastAsia="es-ES"/>
        </w:rPr>
        <w:t xml:space="preserve">Con </w:t>
      </w:r>
      <w:r w:rsidR="002E19FD" w:rsidRPr="00AE7FB9">
        <w:rPr>
          <w:rFonts w:eastAsia="Times New Roman" w:cs="Tahoma"/>
          <w:bCs/>
          <w:color w:val="auto"/>
          <w:lang w:val="es-ES" w:eastAsia="es-ES"/>
        </w:rPr>
        <w:t xml:space="preserve">fecha ocho de febrero </w:t>
      </w:r>
      <w:r w:rsidRPr="00AE7FB9">
        <w:rPr>
          <w:rFonts w:eastAsia="Times New Roman" w:cs="Tahoma"/>
          <w:bCs/>
          <w:color w:val="auto"/>
          <w:lang w:val="es-ES" w:eastAsia="es-ES"/>
        </w:rPr>
        <w:t>de dos mil veinti</w:t>
      </w:r>
      <w:r w:rsidR="002E19FD" w:rsidRPr="00AE7FB9">
        <w:rPr>
          <w:rFonts w:eastAsia="Times New Roman" w:cs="Tahoma"/>
          <w:bCs/>
          <w:color w:val="auto"/>
          <w:lang w:val="es-ES" w:eastAsia="es-ES"/>
        </w:rPr>
        <w:t>tré</w:t>
      </w:r>
      <w:r w:rsidRPr="00AE7FB9">
        <w:rPr>
          <w:rFonts w:eastAsia="Times New Roman" w:cs="Tahoma"/>
          <w:bCs/>
          <w:color w:val="auto"/>
          <w:lang w:val="es-ES" w:eastAsia="es-ES"/>
        </w:rPr>
        <w:t xml:space="preserve">s, </w:t>
      </w:r>
      <w:r w:rsidRPr="00AE7FB9">
        <w:rPr>
          <w:rFonts w:eastAsia="Times New Roman" w:cs="Tahoma"/>
          <w:bCs/>
          <w:color w:val="auto"/>
          <w:lang w:eastAsia="es-ES"/>
        </w:rPr>
        <w:t xml:space="preserve">se recibió en este Instituto, a través del </w:t>
      </w:r>
      <w:r w:rsidRPr="00AE7FB9">
        <w:rPr>
          <w:rFonts w:eastAsia="Times New Roman" w:cs="Tahoma"/>
          <w:bCs/>
          <w:color w:val="auto"/>
          <w:lang w:val="es-ES" w:eastAsia="es-ES"/>
        </w:rPr>
        <w:t>Sistema de Acceso a la Información Mexiquense (SAIMEX)</w:t>
      </w:r>
      <w:r w:rsidRPr="00AE7FB9">
        <w:rPr>
          <w:rFonts w:eastAsia="Times New Roman" w:cs="Tahoma"/>
          <w:bCs/>
          <w:color w:val="auto"/>
          <w:lang w:eastAsia="es-ES"/>
        </w:rPr>
        <w:t xml:space="preserve">, Recurso de Revisión interpuesto </w:t>
      </w:r>
      <w:r w:rsidRPr="00AE7FB9">
        <w:rPr>
          <w:rFonts w:eastAsia="Times New Roman" w:cs="Tahoma"/>
          <w:bCs/>
          <w:color w:val="auto"/>
          <w:lang w:eastAsia="es-ES"/>
        </w:rPr>
        <w:lastRenderedPageBreak/>
        <w:t>por la parte Recurrente, en contra de la respuesta del Sujeto Obligado, en los siguientes términos:</w:t>
      </w:r>
    </w:p>
    <w:p w14:paraId="6D5F2A55" w14:textId="77777777" w:rsidR="00E4643F" w:rsidRPr="00AE7FB9" w:rsidRDefault="00E4643F" w:rsidP="00D92AE6">
      <w:pPr>
        <w:spacing w:after="0" w:line="360" w:lineRule="auto"/>
        <w:contextualSpacing/>
        <w:rPr>
          <w:rFonts w:eastAsia="Times New Roman" w:cs="Tahoma"/>
          <w:bCs/>
          <w:color w:val="auto"/>
          <w:lang w:eastAsia="es-ES"/>
        </w:rPr>
      </w:pPr>
    </w:p>
    <w:p w14:paraId="76E7E946" w14:textId="77777777" w:rsidR="00E4643F" w:rsidRPr="00AE7FB9" w:rsidRDefault="00E4643F" w:rsidP="00D92AE6">
      <w:pPr>
        <w:spacing w:after="0" w:line="360" w:lineRule="auto"/>
        <w:ind w:left="567" w:right="567"/>
        <w:contextualSpacing/>
        <w:rPr>
          <w:rFonts w:eastAsia="Times New Roman" w:cs="Tahoma"/>
          <w:b/>
          <w:bCs/>
          <w:i/>
          <w:color w:val="auto"/>
          <w:sz w:val="20"/>
          <w:szCs w:val="20"/>
          <w:lang w:eastAsia="es-ES"/>
        </w:rPr>
      </w:pPr>
      <w:r w:rsidRPr="00AE7FB9">
        <w:rPr>
          <w:rFonts w:eastAsia="Times New Roman" w:cs="Tahoma"/>
          <w:b/>
          <w:bCs/>
          <w:i/>
          <w:color w:val="auto"/>
          <w:sz w:val="20"/>
          <w:szCs w:val="20"/>
          <w:lang w:eastAsia="es-ES"/>
        </w:rPr>
        <w:t>“ACTO IMPUGNADO</w:t>
      </w:r>
    </w:p>
    <w:p w14:paraId="39ED1FEF" w14:textId="396F6D99" w:rsidR="00E4643F" w:rsidRPr="00AE7FB9" w:rsidRDefault="002E19FD" w:rsidP="00D92AE6">
      <w:pPr>
        <w:spacing w:after="0" w:line="360" w:lineRule="auto"/>
        <w:ind w:left="567" w:right="567"/>
        <w:contextualSpacing/>
        <w:rPr>
          <w:rFonts w:eastAsia="Times New Roman" w:cs="Times New Roman"/>
          <w:i/>
          <w:color w:val="auto"/>
          <w:sz w:val="20"/>
          <w:szCs w:val="20"/>
          <w:lang w:eastAsia="es-MX"/>
        </w:rPr>
      </w:pPr>
      <w:r w:rsidRPr="00AE7FB9">
        <w:rPr>
          <w:rFonts w:eastAsia="Times New Roman" w:cs="Times New Roman"/>
          <w:i/>
          <w:color w:val="auto"/>
          <w:sz w:val="20"/>
          <w:szCs w:val="20"/>
          <w:lang w:eastAsia="es-MX"/>
        </w:rPr>
        <w:t xml:space="preserve">Se entrego la información incompleta, toda vez que no se </w:t>
      </w:r>
      <w:r w:rsidR="00355E6A" w:rsidRPr="00AE7FB9">
        <w:rPr>
          <w:rFonts w:eastAsia="Times New Roman" w:cs="Times New Roman"/>
          <w:i/>
          <w:color w:val="auto"/>
          <w:sz w:val="20"/>
          <w:szCs w:val="20"/>
          <w:lang w:eastAsia="es-MX"/>
        </w:rPr>
        <w:t>proporcionó</w:t>
      </w:r>
      <w:r w:rsidRPr="00AE7FB9">
        <w:rPr>
          <w:rFonts w:eastAsia="Times New Roman" w:cs="Times New Roman"/>
          <w:i/>
          <w:color w:val="auto"/>
          <w:sz w:val="20"/>
          <w:szCs w:val="20"/>
          <w:lang w:eastAsia="es-MX"/>
        </w:rPr>
        <w:t xml:space="preserve"> la información relacionada a categorías, área de adscripción, puesto y demás información relacionada a los servidores públicos, toda vez que lo anterior no se identifica en los archivos adjuntos</w:t>
      </w:r>
      <w:r w:rsidR="00E4643F" w:rsidRPr="00AE7FB9">
        <w:rPr>
          <w:rFonts w:eastAsia="Times New Roman" w:cs="Times New Roman"/>
          <w:i/>
          <w:color w:val="auto"/>
          <w:sz w:val="20"/>
          <w:szCs w:val="20"/>
          <w:lang w:eastAsia="es-MX"/>
        </w:rPr>
        <w:t>. (Sic)</w:t>
      </w:r>
    </w:p>
    <w:p w14:paraId="58EEF741" w14:textId="77777777" w:rsidR="00E4643F" w:rsidRPr="00AE7FB9" w:rsidRDefault="00E4643F" w:rsidP="00D92AE6">
      <w:pPr>
        <w:spacing w:after="0" w:line="360" w:lineRule="auto"/>
        <w:ind w:left="567" w:right="567"/>
        <w:contextualSpacing/>
        <w:rPr>
          <w:rFonts w:eastAsia="Times New Roman" w:cs="Tahoma"/>
          <w:bCs/>
          <w:i/>
          <w:color w:val="auto"/>
          <w:sz w:val="20"/>
          <w:szCs w:val="20"/>
          <w:lang w:eastAsia="es-ES"/>
        </w:rPr>
      </w:pPr>
    </w:p>
    <w:p w14:paraId="629053E0" w14:textId="77777777" w:rsidR="00E4643F" w:rsidRPr="00AE7FB9" w:rsidRDefault="00E4643F" w:rsidP="00D92AE6">
      <w:pPr>
        <w:spacing w:after="0" w:line="360" w:lineRule="auto"/>
        <w:ind w:left="567" w:right="567"/>
        <w:contextualSpacing/>
        <w:rPr>
          <w:rFonts w:eastAsia="Times New Roman" w:cs="Tahoma"/>
          <w:b/>
          <w:bCs/>
          <w:i/>
          <w:color w:val="auto"/>
          <w:sz w:val="20"/>
          <w:szCs w:val="20"/>
          <w:lang w:eastAsia="es-ES"/>
        </w:rPr>
      </w:pPr>
      <w:r w:rsidRPr="00AE7FB9">
        <w:rPr>
          <w:rFonts w:eastAsia="Times New Roman" w:cs="Tahoma"/>
          <w:b/>
          <w:bCs/>
          <w:i/>
          <w:color w:val="auto"/>
          <w:sz w:val="20"/>
          <w:szCs w:val="20"/>
          <w:lang w:eastAsia="es-ES"/>
        </w:rPr>
        <w:t>“RAZONES O MOTIVOS DE LA INCONFORMIDAD</w:t>
      </w:r>
    </w:p>
    <w:p w14:paraId="55EE9B5B" w14:textId="46BE8EBB" w:rsidR="00E4643F" w:rsidRPr="00AE7FB9" w:rsidRDefault="002E19FD" w:rsidP="00D92AE6">
      <w:pPr>
        <w:spacing w:after="0" w:line="360" w:lineRule="auto"/>
        <w:ind w:left="567" w:right="567"/>
        <w:contextualSpacing/>
        <w:rPr>
          <w:rFonts w:eastAsia="Times New Roman" w:cs="Times New Roman"/>
          <w:i/>
          <w:color w:val="auto"/>
          <w:sz w:val="20"/>
          <w:szCs w:val="20"/>
          <w:lang w:eastAsia="es-MX"/>
        </w:rPr>
      </w:pPr>
      <w:r w:rsidRPr="00AE7FB9">
        <w:rPr>
          <w:rFonts w:eastAsia="Times New Roman" w:cs="Times New Roman"/>
          <w:i/>
          <w:color w:val="auto"/>
          <w:sz w:val="20"/>
          <w:szCs w:val="20"/>
          <w:lang w:eastAsia="es-MX"/>
        </w:rPr>
        <w:t xml:space="preserve">Se entrego la información incompleta, toda vez que no se </w:t>
      </w:r>
      <w:r w:rsidR="00355E6A" w:rsidRPr="00AE7FB9">
        <w:rPr>
          <w:rFonts w:eastAsia="Times New Roman" w:cs="Times New Roman"/>
          <w:i/>
          <w:color w:val="auto"/>
          <w:sz w:val="20"/>
          <w:szCs w:val="20"/>
          <w:lang w:eastAsia="es-MX"/>
        </w:rPr>
        <w:t>proporcionó</w:t>
      </w:r>
      <w:r w:rsidRPr="00AE7FB9">
        <w:rPr>
          <w:rFonts w:eastAsia="Times New Roman" w:cs="Times New Roman"/>
          <w:i/>
          <w:color w:val="auto"/>
          <w:sz w:val="20"/>
          <w:szCs w:val="20"/>
          <w:lang w:eastAsia="es-MX"/>
        </w:rPr>
        <w:t xml:space="preserve"> la información relacionada a categorías, área de adscripción, puesto y demás información relacionada a los servidores públicos, toda vez que lo anterior no se identifica en los archivos adjuntos</w:t>
      </w:r>
      <w:r w:rsidR="00E4643F" w:rsidRPr="00AE7FB9">
        <w:rPr>
          <w:i/>
          <w:color w:val="000000"/>
          <w:sz w:val="20"/>
          <w:szCs w:val="20"/>
        </w:rPr>
        <w:t>.”</w:t>
      </w:r>
      <w:r w:rsidR="00E4643F" w:rsidRPr="00AE7FB9">
        <w:rPr>
          <w:bCs/>
          <w:i/>
          <w:color w:val="000000"/>
          <w:sz w:val="20"/>
          <w:szCs w:val="20"/>
        </w:rPr>
        <w:t xml:space="preserve"> </w:t>
      </w:r>
      <w:r w:rsidR="00E4643F" w:rsidRPr="00AE7FB9">
        <w:rPr>
          <w:rFonts w:eastAsia="Times New Roman" w:cs="Tahoma"/>
          <w:bCs/>
          <w:i/>
          <w:color w:val="auto"/>
          <w:sz w:val="20"/>
          <w:szCs w:val="20"/>
          <w:lang w:eastAsia="es-ES"/>
        </w:rPr>
        <w:t>(Sic)</w:t>
      </w:r>
    </w:p>
    <w:p w14:paraId="3DCAC9E0" w14:textId="77777777" w:rsidR="00E4643F" w:rsidRPr="00AE7FB9" w:rsidRDefault="00E4643F" w:rsidP="00D92AE6">
      <w:pPr>
        <w:spacing w:after="0" w:line="360" w:lineRule="auto"/>
        <w:contextualSpacing/>
        <w:rPr>
          <w:rFonts w:eastAsia="Times New Roman" w:cs="Tahoma"/>
          <w:bCs/>
          <w:color w:val="auto"/>
          <w:lang w:eastAsia="es-ES"/>
        </w:rPr>
      </w:pPr>
    </w:p>
    <w:p w14:paraId="27AF6BB8" w14:textId="77777777" w:rsidR="00E4643F" w:rsidRPr="00AE7FB9" w:rsidRDefault="00E4643F" w:rsidP="00D92AE6">
      <w:pPr>
        <w:spacing w:after="0" w:line="360" w:lineRule="auto"/>
        <w:contextualSpacing/>
        <w:rPr>
          <w:rFonts w:eastAsia="Batang" w:cs="Tahoma"/>
          <w:b/>
          <w:bCs/>
          <w:color w:val="000000"/>
        </w:rPr>
      </w:pPr>
      <w:r w:rsidRPr="00AE7FB9">
        <w:rPr>
          <w:rFonts w:eastAsia="Calibri" w:cs="Tahoma"/>
          <w:b/>
          <w:color w:val="000000"/>
        </w:rPr>
        <w:t xml:space="preserve">IV. </w:t>
      </w:r>
      <w:r w:rsidRPr="00AE7FB9">
        <w:rPr>
          <w:rFonts w:eastAsia="Batang" w:cs="Tahoma"/>
          <w:b/>
          <w:bCs/>
          <w:color w:val="000000"/>
        </w:rPr>
        <w:t>Trámite del Recurso de Revisión</w:t>
      </w:r>
      <w:r w:rsidRPr="00AE7FB9">
        <w:rPr>
          <w:rFonts w:eastAsia="Calibri" w:cs="Tahoma"/>
          <w:b/>
          <w:color w:val="000000"/>
        </w:rPr>
        <w:t xml:space="preserve"> </w:t>
      </w:r>
      <w:r w:rsidRPr="00AE7FB9">
        <w:rPr>
          <w:rFonts w:eastAsia="Batang" w:cs="Tahoma"/>
          <w:b/>
          <w:bCs/>
          <w:color w:val="000000"/>
        </w:rPr>
        <w:t>ante este Instituto.</w:t>
      </w:r>
    </w:p>
    <w:p w14:paraId="0FC4476A" w14:textId="77777777" w:rsidR="00E4643F" w:rsidRPr="00AE7FB9" w:rsidRDefault="00E4643F" w:rsidP="00D92AE6">
      <w:pPr>
        <w:spacing w:after="0" w:line="360" w:lineRule="auto"/>
        <w:contextualSpacing/>
        <w:rPr>
          <w:rFonts w:eastAsia="Batang" w:cs="Tahoma"/>
          <w:b/>
          <w:bCs/>
          <w:color w:val="000000"/>
        </w:rPr>
      </w:pPr>
    </w:p>
    <w:p w14:paraId="77F4719D" w14:textId="4BB9D8CC" w:rsidR="00E4643F" w:rsidRPr="00AE7FB9" w:rsidRDefault="00E4643F" w:rsidP="00D92AE6">
      <w:pPr>
        <w:spacing w:after="0" w:line="360" w:lineRule="auto"/>
        <w:contextualSpacing/>
        <w:rPr>
          <w:rFonts w:eastAsia="Times New Roman" w:cs="Tahoma"/>
          <w:bCs/>
          <w:color w:val="auto"/>
          <w:lang w:eastAsia="es-ES"/>
        </w:rPr>
      </w:pPr>
      <w:r w:rsidRPr="00AE7FB9">
        <w:rPr>
          <w:rFonts w:eastAsia="Batang" w:cs="Tahoma"/>
          <w:b/>
          <w:bCs/>
          <w:color w:val="000000"/>
        </w:rPr>
        <w:t xml:space="preserve">a) Turno del Medio de Impugnación. </w:t>
      </w:r>
      <w:r w:rsidRPr="00AE7FB9">
        <w:rPr>
          <w:rFonts w:eastAsia="Batang" w:cs="Tahoma"/>
          <w:bCs/>
          <w:color w:val="000000"/>
        </w:rPr>
        <w:t xml:space="preserve">El </w:t>
      </w:r>
      <w:r w:rsidR="002E19FD" w:rsidRPr="00AE7FB9">
        <w:rPr>
          <w:rFonts w:eastAsia="Batang" w:cs="Tahoma"/>
          <w:bCs/>
          <w:color w:val="000000"/>
        </w:rPr>
        <w:t>ocho de febrero</w:t>
      </w:r>
      <w:r w:rsidRPr="00AE7FB9">
        <w:rPr>
          <w:rFonts w:eastAsia="Batang" w:cs="Tahoma"/>
          <w:bCs/>
          <w:color w:val="000000"/>
        </w:rPr>
        <w:t xml:space="preserve"> </w:t>
      </w:r>
      <w:r w:rsidRPr="00AE7FB9">
        <w:rPr>
          <w:rFonts w:eastAsia="Times New Roman" w:cs="Tahoma"/>
          <w:bCs/>
          <w:color w:val="auto"/>
          <w:lang w:eastAsia="es-ES"/>
        </w:rPr>
        <w:t>de dos mil veinti</w:t>
      </w:r>
      <w:r w:rsidR="002E19FD" w:rsidRPr="00AE7FB9">
        <w:rPr>
          <w:rFonts w:eastAsia="Times New Roman" w:cs="Tahoma"/>
          <w:bCs/>
          <w:color w:val="auto"/>
          <w:lang w:eastAsia="es-ES"/>
        </w:rPr>
        <w:t>trés</w:t>
      </w:r>
      <w:r w:rsidRPr="00AE7FB9">
        <w:rPr>
          <w:rFonts w:eastAsia="Batang" w:cs="Tahoma"/>
          <w:bCs/>
          <w:color w:val="000000"/>
        </w:rPr>
        <w:t xml:space="preserve">, el </w:t>
      </w:r>
      <w:r w:rsidRPr="00AE7FB9">
        <w:rPr>
          <w:rFonts w:eastAsia="Calibri" w:cs="Tahoma"/>
          <w:color w:val="000000"/>
          <w:lang w:val="es-ES"/>
        </w:rPr>
        <w:t>Sistema de Acceso a la Información Mexiquense (SAIMEX),</w:t>
      </w:r>
      <w:r w:rsidRPr="00AE7FB9">
        <w:rPr>
          <w:rFonts w:eastAsia="Batang" w:cs="Tahoma"/>
          <w:bCs/>
          <w:color w:val="000000"/>
        </w:rPr>
        <w:t xml:space="preserve"> asignó el número de expediente </w:t>
      </w:r>
      <w:r w:rsidR="002E19FD" w:rsidRPr="00AE7FB9">
        <w:rPr>
          <w:rFonts w:eastAsia="Batang" w:cs="Tahoma"/>
          <w:color w:val="000000"/>
        </w:rPr>
        <w:t>00656</w:t>
      </w:r>
      <w:r w:rsidRPr="00AE7FB9">
        <w:rPr>
          <w:rFonts w:eastAsia="Calibri" w:cs="Tahoma"/>
        </w:rPr>
        <w:t>/INFOEM/IP/RR/202</w:t>
      </w:r>
      <w:r w:rsidR="002E19FD" w:rsidRPr="00AE7FB9">
        <w:rPr>
          <w:rFonts w:eastAsia="Calibri" w:cs="Tahoma"/>
        </w:rPr>
        <w:t>3</w:t>
      </w:r>
      <w:r w:rsidRPr="00AE7FB9">
        <w:rPr>
          <w:rFonts w:eastAsia="Batang" w:cs="Tahoma"/>
          <w:bCs/>
          <w:color w:val="000000"/>
        </w:rPr>
        <w:t>, al Medio de Impugnación que nos ocupa, con base en el sistema aprobado por el Pleno de este Órgano Garante y lo turnó al Comisionado Luis Gustavo Parra Noriega, para los efectos del artículo 185, fracción I de la Ley de Transparencia y Acceso a la Información Pública del Estado de México y Municipios.</w:t>
      </w:r>
    </w:p>
    <w:p w14:paraId="77B79881" w14:textId="77777777" w:rsidR="00E4643F" w:rsidRPr="00AE7FB9" w:rsidRDefault="00E4643F" w:rsidP="00D92AE6">
      <w:pPr>
        <w:spacing w:after="0" w:line="360" w:lineRule="auto"/>
        <w:contextualSpacing/>
        <w:rPr>
          <w:rFonts w:eastAsia="Batang" w:cs="Tahoma"/>
          <w:bCs/>
          <w:color w:val="000000"/>
        </w:rPr>
      </w:pPr>
    </w:p>
    <w:p w14:paraId="59629276" w14:textId="6B7C1745" w:rsidR="00E4643F" w:rsidRPr="00AE7FB9" w:rsidRDefault="00E4643F" w:rsidP="00D92AE6">
      <w:pPr>
        <w:spacing w:after="0" w:line="360" w:lineRule="auto"/>
        <w:contextualSpacing/>
        <w:rPr>
          <w:rFonts w:eastAsia="Times New Roman" w:cs="Tahoma"/>
          <w:b/>
          <w:bCs/>
          <w:color w:val="auto"/>
          <w:lang w:eastAsia="es-ES"/>
        </w:rPr>
      </w:pPr>
      <w:r w:rsidRPr="00AE7FB9">
        <w:rPr>
          <w:rFonts w:eastAsia="Times New Roman" w:cs="Tahoma"/>
          <w:b/>
          <w:bCs/>
          <w:color w:val="auto"/>
          <w:lang w:eastAsia="es-ES"/>
        </w:rPr>
        <w:t>b) Admisión del Recurso de Revisión</w:t>
      </w:r>
      <w:r w:rsidRPr="00AE7FB9">
        <w:rPr>
          <w:rFonts w:eastAsia="Times New Roman" w:cs="Tahoma"/>
          <w:b/>
          <w:bCs/>
          <w:color w:val="auto"/>
          <w:lang w:val="es-ES_tradnl" w:eastAsia="es-ES"/>
        </w:rPr>
        <w:t xml:space="preserve">. </w:t>
      </w:r>
      <w:r w:rsidRPr="00AE7FB9">
        <w:rPr>
          <w:rFonts w:eastAsia="Batang" w:cs="Tahoma"/>
          <w:bCs/>
          <w:color w:val="000000"/>
        </w:rPr>
        <w:t xml:space="preserve">El </w:t>
      </w:r>
      <w:r w:rsidR="002E19FD" w:rsidRPr="00AE7FB9">
        <w:rPr>
          <w:rFonts w:eastAsia="Batang" w:cs="Tahoma"/>
          <w:bCs/>
          <w:color w:val="000000"/>
        </w:rPr>
        <w:t>trece de febrero</w:t>
      </w:r>
      <w:r w:rsidRPr="00AE7FB9">
        <w:rPr>
          <w:rFonts w:eastAsia="Batang" w:cs="Tahoma"/>
          <w:bCs/>
          <w:color w:val="000000"/>
        </w:rPr>
        <w:t xml:space="preserve"> de dos mil veinti</w:t>
      </w:r>
      <w:r w:rsidR="002E19FD" w:rsidRPr="00AE7FB9">
        <w:rPr>
          <w:rFonts w:eastAsia="Batang" w:cs="Tahoma"/>
          <w:bCs/>
          <w:color w:val="000000"/>
        </w:rPr>
        <w:t>tré</w:t>
      </w:r>
      <w:r w:rsidRPr="00AE7FB9">
        <w:rPr>
          <w:rFonts w:eastAsia="Batang" w:cs="Tahoma"/>
          <w:bCs/>
          <w:color w:val="000000"/>
        </w:rPr>
        <w:t>s</w:t>
      </w:r>
      <w:r w:rsidRPr="00AE7FB9">
        <w:rPr>
          <w:rFonts w:eastAsia="Times New Roman" w:cs="Tahoma"/>
          <w:bCs/>
          <w:color w:val="auto"/>
          <w:lang w:val="es-ES_tradnl" w:eastAsia="es-ES"/>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 cinco de dicho mes y año, a través del Sistema de Acceso a la Información Mexiquense (SAIMEX), en el que se les otorgó un plazo de siete días hábiles </w:t>
      </w:r>
      <w:r w:rsidRPr="00AE7FB9">
        <w:rPr>
          <w:rFonts w:eastAsia="Times New Roman" w:cs="Tahoma"/>
          <w:bCs/>
          <w:color w:val="auto"/>
          <w:lang w:val="es-ES_tradnl" w:eastAsia="es-ES"/>
        </w:rPr>
        <w:lastRenderedPageBreak/>
        <w:t xml:space="preserve">posteriores a la misma, para que manifestaran lo que a su derecho conviniera y formularan alegatos. </w:t>
      </w:r>
    </w:p>
    <w:p w14:paraId="35998D9D" w14:textId="77777777" w:rsidR="00E4643F" w:rsidRPr="00AE7FB9" w:rsidRDefault="00E4643F" w:rsidP="00D92AE6">
      <w:pPr>
        <w:spacing w:after="0" w:line="360" w:lineRule="auto"/>
        <w:contextualSpacing/>
        <w:rPr>
          <w:rFonts w:cs="Tahoma"/>
          <w:b/>
          <w:lang w:val="es-ES_tradnl"/>
        </w:rPr>
      </w:pPr>
    </w:p>
    <w:p w14:paraId="5CFD7423" w14:textId="77777777" w:rsidR="00B8357A" w:rsidRPr="00AE7FB9" w:rsidRDefault="002E19FD" w:rsidP="00D92AE6">
      <w:pPr>
        <w:pStyle w:val="Prrafodelista"/>
        <w:tabs>
          <w:tab w:val="left" w:pos="567"/>
        </w:tabs>
        <w:spacing w:after="0" w:line="360" w:lineRule="auto"/>
        <w:ind w:left="0"/>
        <w:rPr>
          <w:rFonts w:cs="Tahoma"/>
          <w:bCs/>
          <w:lang w:val="es-ES_tradnl"/>
        </w:rPr>
      </w:pPr>
      <w:r w:rsidRPr="00AE7FB9">
        <w:rPr>
          <w:rFonts w:eastAsia="Times New Roman" w:cs="Tahoma"/>
          <w:b/>
          <w:bCs/>
          <w:color w:val="auto"/>
          <w:lang w:eastAsia="es-ES"/>
        </w:rPr>
        <w:t xml:space="preserve">c) </w:t>
      </w:r>
      <w:r w:rsidRPr="00AE7FB9">
        <w:rPr>
          <w:rFonts w:eastAsia="Batang" w:cs="Tahoma"/>
          <w:b/>
          <w:bCs/>
          <w:lang w:val="es-ES_tradnl"/>
        </w:rPr>
        <w:t>Informe Justificado</w:t>
      </w:r>
      <w:r w:rsidRPr="00AE7FB9">
        <w:rPr>
          <w:b/>
          <w:lang w:val="es-ES_tradnl"/>
        </w:rPr>
        <w:t xml:space="preserve">. </w:t>
      </w:r>
      <w:r w:rsidRPr="00AE7FB9">
        <w:rPr>
          <w:rFonts w:cs="Tahoma"/>
          <w:bCs/>
          <w:lang w:val="es-ES_tradnl"/>
        </w:rPr>
        <w:t xml:space="preserve">El </w:t>
      </w:r>
      <w:r w:rsidR="00B8357A" w:rsidRPr="00AE7FB9">
        <w:rPr>
          <w:rFonts w:cs="Tahoma"/>
          <w:bCs/>
          <w:lang w:val="es-ES_tradnl"/>
        </w:rPr>
        <w:t xml:space="preserve">veinte </w:t>
      </w:r>
      <w:r w:rsidRPr="00AE7FB9">
        <w:rPr>
          <w:rFonts w:cs="Tahoma"/>
          <w:bCs/>
          <w:lang w:val="es-ES_tradnl"/>
        </w:rPr>
        <w:t>de febrero de dos mil veintitrés, se recibió en este Instituto, a través del Sistema de Acceso a la Información Mexiquense (SAIMEX), el Informe Justificado del Sujeto Obligado, a través de</w:t>
      </w:r>
      <w:r w:rsidR="00B8357A" w:rsidRPr="00AE7FB9">
        <w:rPr>
          <w:rFonts w:cs="Tahoma"/>
          <w:bCs/>
          <w:lang w:val="es-ES_tradnl"/>
        </w:rPr>
        <w:t xml:space="preserve"> la digitalización de los documentos siguientes:</w:t>
      </w:r>
    </w:p>
    <w:p w14:paraId="40DB982A" w14:textId="77777777" w:rsidR="00B8357A" w:rsidRPr="00AE7FB9" w:rsidRDefault="00B8357A" w:rsidP="00D92AE6">
      <w:pPr>
        <w:pStyle w:val="Prrafodelista"/>
        <w:tabs>
          <w:tab w:val="left" w:pos="567"/>
        </w:tabs>
        <w:spacing w:after="0" w:line="360" w:lineRule="auto"/>
        <w:ind w:left="0"/>
        <w:rPr>
          <w:rFonts w:cs="Tahoma"/>
          <w:bCs/>
          <w:lang w:val="es-ES_tradnl"/>
        </w:rPr>
      </w:pPr>
    </w:p>
    <w:p w14:paraId="6375EB8D" w14:textId="5F222406" w:rsidR="00801716" w:rsidRPr="00AE7FB9" w:rsidRDefault="00B8357A" w:rsidP="00D92AE6">
      <w:pPr>
        <w:pStyle w:val="Prrafodelista"/>
        <w:tabs>
          <w:tab w:val="left" w:pos="567"/>
        </w:tabs>
        <w:spacing w:after="0" w:line="360" w:lineRule="auto"/>
        <w:ind w:left="0"/>
        <w:rPr>
          <w:rFonts w:cs="Tahoma"/>
        </w:rPr>
      </w:pPr>
      <w:r w:rsidRPr="00AE7FB9">
        <w:rPr>
          <w:rFonts w:cs="Tahoma"/>
          <w:bCs/>
          <w:lang w:val="es-ES_tradnl"/>
        </w:rPr>
        <w:t>i) O</w:t>
      </w:r>
      <w:r w:rsidR="002E19FD" w:rsidRPr="00AE7FB9">
        <w:rPr>
          <w:rFonts w:cs="Tahoma"/>
          <w:bCs/>
          <w:lang w:val="es-ES_tradnl"/>
        </w:rPr>
        <w:t>ficio número</w:t>
      </w:r>
      <w:r w:rsidR="00801716" w:rsidRPr="00AE7FB9">
        <w:rPr>
          <w:rFonts w:cs="Tahoma"/>
          <w:bCs/>
          <w:lang w:val="es-ES_tradnl"/>
        </w:rPr>
        <w:t xml:space="preserve"> TM/073/02/2023</w:t>
      </w:r>
      <w:r w:rsidR="002E19FD" w:rsidRPr="00AE7FB9">
        <w:rPr>
          <w:rFonts w:cs="Tahoma"/>
          <w:bCs/>
          <w:lang w:val="es-ES_tradnl"/>
        </w:rPr>
        <w:t xml:space="preserve">, </w:t>
      </w:r>
      <w:r w:rsidR="00801716" w:rsidRPr="00AE7FB9">
        <w:rPr>
          <w:rFonts w:cs="Tahoma"/>
          <w:bCs/>
          <w:lang w:val="es-ES_tradnl"/>
        </w:rPr>
        <w:t xml:space="preserve">de fecha diecisiete de febrero de dos mil veintitrés, </w:t>
      </w:r>
      <w:r w:rsidR="002E19FD" w:rsidRPr="00AE7FB9">
        <w:rPr>
          <w:rFonts w:cs="Tahoma"/>
        </w:rPr>
        <w:t>suscrito por</w:t>
      </w:r>
      <w:r w:rsidR="00801716" w:rsidRPr="00AE7FB9">
        <w:rPr>
          <w:rFonts w:cs="Tahoma"/>
        </w:rPr>
        <w:t xml:space="preserve"> la Tesorera Municipal, y dirigido al </w:t>
      </w:r>
      <w:r w:rsidR="002E19FD" w:rsidRPr="00AE7FB9">
        <w:rPr>
          <w:rFonts w:cs="Tahoma"/>
        </w:rPr>
        <w:t>Titular de la Unidad de Transparencia, por medio del cual manifiesta y expone esencialmente lo siguiente:</w:t>
      </w:r>
    </w:p>
    <w:p w14:paraId="00589FFA" w14:textId="77777777" w:rsidR="00801716" w:rsidRPr="00AE7FB9" w:rsidRDefault="00801716" w:rsidP="00D92AE6">
      <w:pPr>
        <w:pStyle w:val="Prrafodelista"/>
        <w:tabs>
          <w:tab w:val="left" w:pos="567"/>
        </w:tabs>
        <w:spacing w:after="0" w:line="360" w:lineRule="auto"/>
        <w:ind w:left="0"/>
        <w:rPr>
          <w:rFonts w:cs="Tahoma"/>
        </w:rPr>
      </w:pPr>
    </w:p>
    <w:p w14:paraId="5EDA8438" w14:textId="7B8EE548" w:rsidR="00E4643F" w:rsidRPr="00AE7FB9" w:rsidRDefault="00801716" w:rsidP="00D92AE6">
      <w:pPr>
        <w:pStyle w:val="Prrafodelista"/>
        <w:tabs>
          <w:tab w:val="left" w:pos="567"/>
        </w:tabs>
        <w:spacing w:after="0" w:line="360" w:lineRule="auto"/>
        <w:ind w:left="567" w:right="567"/>
        <w:rPr>
          <w:rFonts w:cs="Tahoma"/>
          <w:i/>
          <w:iCs/>
          <w:sz w:val="20"/>
          <w:szCs w:val="20"/>
        </w:rPr>
      </w:pPr>
      <w:r w:rsidRPr="00AE7FB9">
        <w:rPr>
          <w:rFonts w:cs="Tahoma"/>
          <w:i/>
          <w:iCs/>
          <w:sz w:val="20"/>
          <w:szCs w:val="20"/>
        </w:rPr>
        <w:t>“…</w:t>
      </w:r>
      <w:r w:rsidR="002E19FD" w:rsidRPr="00AE7FB9">
        <w:rPr>
          <w:rFonts w:cs="Tahoma"/>
          <w:i/>
          <w:iCs/>
          <w:sz w:val="20"/>
          <w:szCs w:val="20"/>
        </w:rPr>
        <w:t xml:space="preserve"> </w:t>
      </w:r>
      <w:r w:rsidRPr="00AE7FB9">
        <w:rPr>
          <w:rFonts w:cs="Tahoma"/>
          <w:i/>
          <w:iCs/>
          <w:sz w:val="20"/>
          <w:szCs w:val="20"/>
        </w:rPr>
        <w:t>Al respecto se complementa la información de la solicitud antes mencionada enviando en archivo PDF la primera y segunda quincena del mes de enero de 2022…”</w:t>
      </w:r>
    </w:p>
    <w:p w14:paraId="4D115750" w14:textId="77777777" w:rsidR="00801716" w:rsidRPr="00AE7FB9" w:rsidRDefault="00801716" w:rsidP="00D92AE6">
      <w:pPr>
        <w:tabs>
          <w:tab w:val="left" w:pos="567"/>
        </w:tabs>
        <w:spacing w:after="0" w:line="360" w:lineRule="auto"/>
        <w:ind w:right="567"/>
        <w:contextualSpacing/>
        <w:rPr>
          <w:rFonts w:cs="Tahoma"/>
          <w:sz w:val="20"/>
          <w:szCs w:val="20"/>
        </w:rPr>
      </w:pPr>
    </w:p>
    <w:p w14:paraId="2D841F42" w14:textId="5D5D965B" w:rsidR="00801716" w:rsidRPr="00AE7FB9" w:rsidRDefault="00801716" w:rsidP="00D92AE6">
      <w:pPr>
        <w:spacing w:after="0" w:line="360" w:lineRule="auto"/>
        <w:ind w:right="567"/>
        <w:contextualSpacing/>
        <w:rPr>
          <w:rFonts w:eastAsia="Calibri" w:cs="Tahoma"/>
          <w:bCs/>
          <w:szCs w:val="20"/>
        </w:rPr>
      </w:pPr>
      <w:r w:rsidRPr="00AE7FB9">
        <w:rPr>
          <w:rFonts w:cs="Tahoma"/>
          <w:szCs w:val="20"/>
        </w:rPr>
        <w:t xml:space="preserve">ii) </w:t>
      </w:r>
      <w:r w:rsidRPr="00AE7FB9">
        <w:rPr>
          <w:rFonts w:eastAsia="Calibri" w:cs="Tahoma"/>
          <w:bCs/>
          <w:szCs w:val="20"/>
        </w:rPr>
        <w:t>Listado de servidores públicos, con número de empleado, categoría o puesto, apellidos, nombre, área de adscripción, sueldo bruto, percepciones, deducciones y sueldo neto, de las dos quincenas de enero de dos mil veintidós.</w:t>
      </w:r>
    </w:p>
    <w:p w14:paraId="000F3D6D" w14:textId="77777777" w:rsidR="00E4643F" w:rsidRPr="00AE7FB9" w:rsidRDefault="00E4643F" w:rsidP="00D92AE6">
      <w:pPr>
        <w:spacing w:after="0" w:line="360" w:lineRule="auto"/>
        <w:contextualSpacing/>
        <w:rPr>
          <w:rFonts w:eastAsia="Times New Roman" w:cs="Tahoma"/>
          <w:b/>
          <w:color w:val="auto"/>
          <w:szCs w:val="24"/>
          <w:lang w:eastAsia="es-ES"/>
        </w:rPr>
      </w:pPr>
    </w:p>
    <w:p w14:paraId="7BEBB2D3" w14:textId="49242296" w:rsidR="0003063F" w:rsidRPr="00AE7FB9" w:rsidRDefault="0003063F" w:rsidP="00D92AE6">
      <w:pPr>
        <w:spacing w:after="0" w:line="360" w:lineRule="auto"/>
        <w:contextualSpacing/>
        <w:rPr>
          <w:rFonts w:cs="Tahoma"/>
          <w:color w:val="0D0D0D" w:themeColor="text1" w:themeTint="F2"/>
          <w:lang w:val="es-ES_tradnl"/>
        </w:rPr>
      </w:pPr>
      <w:r w:rsidRPr="00AE7FB9">
        <w:rPr>
          <w:rFonts w:cs="Tahoma"/>
          <w:b/>
          <w:bCs/>
        </w:rPr>
        <w:t xml:space="preserve">d) </w:t>
      </w:r>
      <w:r w:rsidRPr="00AE7FB9">
        <w:rPr>
          <w:rFonts w:cs="Tahoma"/>
          <w:b/>
        </w:rPr>
        <w:t>Requerimiento de información adicional.</w:t>
      </w:r>
      <w:r w:rsidRPr="00AE7FB9">
        <w:rPr>
          <w:rFonts w:cs="Tahoma"/>
        </w:rPr>
        <w:t xml:space="preserve"> El siete de marzo de dos mil veintitrés, se emitió un requerimiento de información adicional suscrito por el Comisionado Ponente el cual es dirigido a la Titular de la Unidad de Transparencia del Sujeto Obligado, lo anterior de conformidad con </w:t>
      </w:r>
      <w:r w:rsidRPr="00AE7FB9">
        <w:rPr>
          <w:rFonts w:cs="Tahoma"/>
          <w:color w:val="0D0D0D" w:themeColor="text1" w:themeTint="F2"/>
          <w:lang w:val="es-ES_tradnl"/>
        </w:rPr>
        <w:t xml:space="preserve">los artículos 14, fracciones I, II, V y XVI, del Reglamento Interior del Instituto de Transparencia, Acceso a la Información Pública y Protección de Datos Personales del Estado de México y Municipios, mismo que fue notificado el mismo día al </w:t>
      </w:r>
      <w:r w:rsidRPr="00AE7FB9">
        <w:t>Organismo Público Descentralizado para la Prestación de los Servicios de Agua Potable Drenaje y Tratamiento de Aguas Residuales del Municipio de Huixquilucan</w:t>
      </w:r>
      <w:r w:rsidRPr="00AE7FB9">
        <w:rPr>
          <w:rFonts w:eastAsia="Calibri" w:cs="Tahoma"/>
        </w:rPr>
        <w:t xml:space="preserve">, </w:t>
      </w:r>
      <w:r w:rsidRPr="00AE7FB9">
        <w:rPr>
          <w:rFonts w:cs="Tahoma"/>
          <w:color w:val="0D0D0D" w:themeColor="text1" w:themeTint="F2"/>
          <w:lang w:val="es-ES_tradnl"/>
        </w:rPr>
        <w:t>a través de correo electrónico y el Sistema de Acceso a la Información Mexiquense (SAIMEX), por medio del cual se le solicitó lo siguiente:</w:t>
      </w:r>
    </w:p>
    <w:p w14:paraId="7A707171" w14:textId="77777777" w:rsidR="0003063F" w:rsidRPr="00AE7FB9" w:rsidRDefault="0003063F" w:rsidP="00D92AE6">
      <w:pPr>
        <w:spacing w:after="0" w:line="360" w:lineRule="auto"/>
        <w:ind w:left="567" w:right="567"/>
        <w:contextualSpacing/>
        <w:rPr>
          <w:i/>
          <w:iCs/>
          <w:sz w:val="20"/>
          <w:szCs w:val="20"/>
        </w:rPr>
      </w:pPr>
      <w:r w:rsidRPr="00AE7FB9">
        <w:rPr>
          <w:rFonts w:cs="Tahoma"/>
          <w:i/>
          <w:iCs/>
          <w:color w:val="0D0D0D" w:themeColor="text1" w:themeTint="F2"/>
          <w:sz w:val="20"/>
          <w:szCs w:val="20"/>
          <w:lang w:val="es-ES_tradnl"/>
        </w:rPr>
        <w:lastRenderedPageBreak/>
        <w:t>“…</w:t>
      </w:r>
      <w:r w:rsidRPr="00AE7FB9">
        <w:rPr>
          <w:i/>
          <w:iCs/>
          <w:sz w:val="20"/>
          <w:szCs w:val="20"/>
        </w:rPr>
        <w:t xml:space="preserve">con el objeto de contar con los elementos necesarios para la elaboración del proyecto de resolución correspondiente, requiere al Sujeto Obligado, para que indique, respecto del área de seguridad pública, lo siguiente: </w:t>
      </w:r>
    </w:p>
    <w:p w14:paraId="591AF2E5" w14:textId="77777777" w:rsidR="0003063F" w:rsidRPr="00AE7FB9" w:rsidRDefault="0003063F" w:rsidP="00D92AE6">
      <w:pPr>
        <w:spacing w:after="0" w:line="360" w:lineRule="auto"/>
        <w:ind w:left="567" w:right="567"/>
        <w:contextualSpacing/>
        <w:rPr>
          <w:i/>
          <w:iCs/>
          <w:sz w:val="20"/>
          <w:szCs w:val="20"/>
        </w:rPr>
      </w:pPr>
    </w:p>
    <w:p w14:paraId="688955DB" w14:textId="77777777" w:rsidR="0003063F" w:rsidRPr="00AE7FB9" w:rsidRDefault="0003063F" w:rsidP="00D92AE6">
      <w:pPr>
        <w:spacing w:after="0" w:line="360" w:lineRule="auto"/>
        <w:ind w:left="567" w:right="567"/>
        <w:contextualSpacing/>
        <w:rPr>
          <w:i/>
          <w:iCs/>
          <w:sz w:val="20"/>
          <w:szCs w:val="20"/>
        </w:rPr>
      </w:pPr>
      <w:r w:rsidRPr="00AE7FB9">
        <w:rPr>
          <w:i/>
          <w:iCs/>
          <w:sz w:val="20"/>
          <w:szCs w:val="20"/>
        </w:rPr>
        <w:t xml:space="preserve">a. El nombre de los cargos, del personal administrativo y operativo. </w:t>
      </w:r>
    </w:p>
    <w:p w14:paraId="240ACDD5" w14:textId="77777777" w:rsidR="0003063F" w:rsidRPr="00AE7FB9" w:rsidRDefault="0003063F" w:rsidP="00D92AE6">
      <w:pPr>
        <w:spacing w:after="0" w:line="360" w:lineRule="auto"/>
        <w:ind w:left="567" w:right="567"/>
        <w:contextualSpacing/>
        <w:rPr>
          <w:i/>
          <w:iCs/>
          <w:sz w:val="20"/>
          <w:szCs w:val="20"/>
        </w:rPr>
      </w:pPr>
    </w:p>
    <w:p w14:paraId="26AF5F73" w14:textId="77777777" w:rsidR="0003063F" w:rsidRPr="00AE7FB9" w:rsidRDefault="0003063F" w:rsidP="00D92AE6">
      <w:pPr>
        <w:spacing w:after="0" w:line="360" w:lineRule="auto"/>
        <w:ind w:left="567" w:right="567"/>
        <w:contextualSpacing/>
        <w:rPr>
          <w:i/>
          <w:iCs/>
          <w:sz w:val="20"/>
          <w:szCs w:val="20"/>
        </w:rPr>
      </w:pPr>
      <w:r w:rsidRPr="00AE7FB9">
        <w:rPr>
          <w:i/>
          <w:iCs/>
          <w:sz w:val="20"/>
          <w:szCs w:val="20"/>
        </w:rPr>
        <w:t xml:space="preserve">b. El nombre de los cargos y puestos, tal y como aparecen en el tabulador de sueldos, del personal operativo en materia de seguridad, y </w:t>
      </w:r>
    </w:p>
    <w:p w14:paraId="57CF8300" w14:textId="77777777" w:rsidR="0003063F" w:rsidRPr="00AE7FB9" w:rsidRDefault="0003063F" w:rsidP="00D92AE6">
      <w:pPr>
        <w:spacing w:after="0" w:line="360" w:lineRule="auto"/>
        <w:ind w:left="567" w:right="567"/>
        <w:contextualSpacing/>
        <w:rPr>
          <w:i/>
          <w:iCs/>
          <w:sz w:val="20"/>
          <w:szCs w:val="20"/>
        </w:rPr>
      </w:pPr>
    </w:p>
    <w:p w14:paraId="2F191675" w14:textId="77AF99E2" w:rsidR="0003063F" w:rsidRPr="00AE7FB9" w:rsidRDefault="0003063F" w:rsidP="00D92AE6">
      <w:pPr>
        <w:spacing w:after="0" w:line="360" w:lineRule="auto"/>
        <w:ind w:left="567" w:right="567"/>
        <w:contextualSpacing/>
        <w:rPr>
          <w:rFonts w:cs="Tahoma"/>
          <w:i/>
          <w:iCs/>
          <w:color w:val="0D0D0D" w:themeColor="text1" w:themeTint="F2"/>
          <w:sz w:val="20"/>
          <w:szCs w:val="20"/>
          <w:lang w:val="es-ES_tradnl"/>
        </w:rPr>
      </w:pPr>
      <w:r w:rsidRPr="00AE7FB9">
        <w:rPr>
          <w:i/>
          <w:iCs/>
          <w:sz w:val="20"/>
          <w:szCs w:val="20"/>
        </w:rPr>
        <w:t>c. El nombre de los cargos y áreas adscripción, del personal operativo en materia de seguridad, tal y como aparecen en los recibos de nómina.</w:t>
      </w:r>
    </w:p>
    <w:p w14:paraId="3D47983E" w14:textId="1C383DD8" w:rsidR="0003063F" w:rsidRPr="00AE7FB9" w:rsidRDefault="0003063F" w:rsidP="00D92AE6">
      <w:pPr>
        <w:spacing w:after="0" w:line="360" w:lineRule="auto"/>
        <w:contextualSpacing/>
        <w:rPr>
          <w:rFonts w:cs="Tahoma"/>
          <w:b/>
          <w:bCs/>
        </w:rPr>
      </w:pPr>
    </w:p>
    <w:p w14:paraId="20C67E43" w14:textId="36BF2F85" w:rsidR="0003063F" w:rsidRPr="00AE7FB9" w:rsidRDefault="0003063F" w:rsidP="00D92AE6">
      <w:pPr>
        <w:spacing w:after="0" w:line="360" w:lineRule="auto"/>
        <w:contextualSpacing/>
        <w:rPr>
          <w:rFonts w:cs="Tahoma"/>
          <w:color w:val="0D0D0D" w:themeColor="text1" w:themeTint="F2"/>
          <w:lang w:val="es-ES_tradnl"/>
        </w:rPr>
      </w:pPr>
      <w:r w:rsidRPr="00AE7FB9">
        <w:rPr>
          <w:rFonts w:cs="Tahoma"/>
          <w:b/>
          <w:bCs/>
        </w:rPr>
        <w:t xml:space="preserve">e) </w:t>
      </w:r>
      <w:r w:rsidRPr="00AE7FB9">
        <w:rPr>
          <w:rFonts w:cs="Tahoma"/>
          <w:b/>
          <w:bCs/>
          <w:lang w:val="es-ES"/>
        </w:rPr>
        <w:t xml:space="preserve">Desahogo del </w:t>
      </w:r>
      <w:r w:rsidRPr="00AE7FB9">
        <w:rPr>
          <w:rFonts w:cs="Tahoma"/>
          <w:b/>
        </w:rPr>
        <w:t>requerimiento de información adicional</w:t>
      </w:r>
      <w:r w:rsidRPr="00AE7FB9">
        <w:rPr>
          <w:rFonts w:cs="Tahoma"/>
          <w:b/>
          <w:bCs/>
          <w:lang w:val="es-ES"/>
        </w:rPr>
        <w:t xml:space="preserve">. </w:t>
      </w:r>
      <w:r w:rsidRPr="00AE7FB9">
        <w:rPr>
          <w:rFonts w:cs="Tahoma"/>
          <w:bCs/>
          <w:lang w:val="es-ES"/>
        </w:rPr>
        <w:t>El ocho de marzo de la presente anualidad, el Sujeto Obligado presentó a través</w:t>
      </w:r>
      <w:r w:rsidRPr="00AE7FB9">
        <w:rPr>
          <w:rFonts w:cs="Tahoma"/>
          <w:color w:val="0D0D0D" w:themeColor="text1" w:themeTint="F2"/>
          <w:lang w:val="es-ES_tradnl"/>
        </w:rPr>
        <w:t xml:space="preserve"> de correo electrónico, el desahogo al requerimiento de información adicional, por medio de la digitalización de los documentos siguientes:</w:t>
      </w:r>
    </w:p>
    <w:p w14:paraId="2133C128" w14:textId="77777777" w:rsidR="00D46D1F" w:rsidRPr="00AE7FB9" w:rsidRDefault="00D46D1F" w:rsidP="00D92AE6">
      <w:pPr>
        <w:spacing w:after="0" w:line="360" w:lineRule="auto"/>
        <w:contextualSpacing/>
        <w:rPr>
          <w:rFonts w:cs="Tahoma"/>
          <w:color w:val="0D0D0D" w:themeColor="text1" w:themeTint="F2"/>
          <w:lang w:val="es-ES_tradnl"/>
        </w:rPr>
      </w:pPr>
    </w:p>
    <w:p w14:paraId="7D607186" w14:textId="6E9A83DB" w:rsidR="00D46D1F" w:rsidRPr="00AE7FB9" w:rsidRDefault="00D46D1F" w:rsidP="00D92AE6">
      <w:pPr>
        <w:spacing w:after="0" w:line="360" w:lineRule="auto"/>
        <w:contextualSpacing/>
        <w:rPr>
          <w:rFonts w:cs="Tahoma"/>
          <w:color w:val="0D0D0D" w:themeColor="text1" w:themeTint="F2"/>
          <w:lang w:val="es-ES_tradnl"/>
        </w:rPr>
      </w:pPr>
      <w:r w:rsidRPr="00AE7FB9">
        <w:rPr>
          <w:rFonts w:cs="Tahoma"/>
          <w:color w:val="0D0D0D" w:themeColor="text1" w:themeTint="F2"/>
          <w:lang w:val="es-ES_tradnl"/>
        </w:rPr>
        <w:t>i) Oficio número TM/109/03/2023, de fecha siete de marzo de la presente anualidad, suscrito por la Tesorera Municipal, dirigido al Titular de la Unidad de Transparencia, a través del cual precisó lo siguiente:</w:t>
      </w:r>
    </w:p>
    <w:p w14:paraId="6D952154" w14:textId="77777777" w:rsidR="00D46D1F" w:rsidRPr="00AE7FB9" w:rsidRDefault="00D46D1F" w:rsidP="00D92AE6">
      <w:pPr>
        <w:spacing w:after="0" w:line="360" w:lineRule="auto"/>
        <w:contextualSpacing/>
        <w:rPr>
          <w:rFonts w:cs="Tahoma"/>
          <w:color w:val="0D0D0D" w:themeColor="text1" w:themeTint="F2"/>
          <w:lang w:val="es-ES_tradnl"/>
        </w:rPr>
      </w:pPr>
    </w:p>
    <w:p w14:paraId="7EA24E7F" w14:textId="77777777" w:rsidR="00D46D1F" w:rsidRPr="00AE7FB9" w:rsidRDefault="00D46D1F" w:rsidP="00D92AE6">
      <w:pPr>
        <w:spacing w:after="0" w:line="360" w:lineRule="auto"/>
        <w:ind w:left="567" w:right="567"/>
        <w:contextualSpacing/>
        <w:rPr>
          <w:rFonts w:cs="Tahoma"/>
          <w:i/>
          <w:iCs/>
          <w:color w:val="0D0D0D" w:themeColor="text1" w:themeTint="F2"/>
          <w:sz w:val="20"/>
          <w:szCs w:val="20"/>
          <w:lang w:val="es-ES_tradnl"/>
        </w:rPr>
      </w:pPr>
      <w:r w:rsidRPr="00AE7FB9">
        <w:rPr>
          <w:rFonts w:cs="Tahoma"/>
          <w:i/>
          <w:iCs/>
          <w:color w:val="0D0D0D" w:themeColor="text1" w:themeTint="F2"/>
          <w:sz w:val="20"/>
          <w:szCs w:val="20"/>
          <w:lang w:val="es-ES_tradnl"/>
        </w:rPr>
        <w:t>“…Al respecto para dar continuidad al proceso de elaboración del proyecto de resolución se envía información requerida por el INFOEM, respecto del área de seguridad pública adjuntando este oficio las litas que describen lo siguiente:</w:t>
      </w:r>
    </w:p>
    <w:p w14:paraId="28EF4CFE" w14:textId="77777777" w:rsidR="00D46D1F" w:rsidRPr="00AE7FB9" w:rsidRDefault="00D46D1F" w:rsidP="00D92AE6">
      <w:pPr>
        <w:spacing w:after="0" w:line="360" w:lineRule="auto"/>
        <w:ind w:left="567" w:right="567"/>
        <w:contextualSpacing/>
        <w:rPr>
          <w:rFonts w:cs="Tahoma"/>
          <w:i/>
          <w:iCs/>
          <w:color w:val="0D0D0D" w:themeColor="text1" w:themeTint="F2"/>
          <w:sz w:val="20"/>
          <w:szCs w:val="20"/>
          <w:lang w:val="es-ES_tradnl"/>
        </w:rPr>
      </w:pPr>
    </w:p>
    <w:p w14:paraId="52F5165A" w14:textId="77777777" w:rsidR="00D46D1F" w:rsidRPr="00AE7FB9" w:rsidRDefault="00D46D1F" w:rsidP="00D92AE6">
      <w:pPr>
        <w:spacing w:after="0" w:line="360" w:lineRule="auto"/>
        <w:ind w:left="567" w:right="567"/>
        <w:contextualSpacing/>
        <w:rPr>
          <w:rFonts w:cs="Tahoma"/>
          <w:i/>
          <w:iCs/>
          <w:color w:val="0D0D0D" w:themeColor="text1" w:themeTint="F2"/>
          <w:sz w:val="20"/>
          <w:szCs w:val="20"/>
          <w:lang w:val="es-ES_tradnl"/>
        </w:rPr>
      </w:pPr>
      <w:r w:rsidRPr="00AE7FB9">
        <w:rPr>
          <w:rFonts w:cs="Tahoma"/>
          <w:i/>
          <w:iCs/>
          <w:color w:val="0D0D0D" w:themeColor="text1" w:themeTint="F2"/>
          <w:sz w:val="20"/>
          <w:szCs w:val="20"/>
          <w:lang w:val="es-ES_tradnl"/>
        </w:rPr>
        <w:t>a. El nombre de los cargos, del personal administrativo y operativo.</w:t>
      </w:r>
    </w:p>
    <w:p w14:paraId="356D556D" w14:textId="527E541C" w:rsidR="00D46D1F" w:rsidRPr="00AE7FB9" w:rsidRDefault="00D46D1F" w:rsidP="00D92AE6">
      <w:pPr>
        <w:spacing w:after="0" w:line="360" w:lineRule="auto"/>
        <w:ind w:left="567" w:right="567"/>
        <w:contextualSpacing/>
        <w:rPr>
          <w:rFonts w:cs="Tahoma"/>
          <w:i/>
          <w:iCs/>
          <w:color w:val="0D0D0D" w:themeColor="text1" w:themeTint="F2"/>
          <w:sz w:val="20"/>
          <w:szCs w:val="20"/>
          <w:lang w:val="es-ES_tradnl"/>
        </w:rPr>
      </w:pPr>
      <w:r w:rsidRPr="00AE7FB9">
        <w:rPr>
          <w:rFonts w:cs="Tahoma"/>
          <w:i/>
          <w:iCs/>
          <w:color w:val="0D0D0D" w:themeColor="text1" w:themeTint="F2"/>
          <w:sz w:val="20"/>
          <w:szCs w:val="20"/>
          <w:lang w:val="es-ES_tradnl"/>
        </w:rPr>
        <w:t>b. El nombre de los cargos y puestos, tal y como aparecen en el tabulador de sueldos, del personal operativo en materia de seguridad, y</w:t>
      </w:r>
    </w:p>
    <w:p w14:paraId="1BBB4FA8" w14:textId="62130EC6" w:rsidR="0003063F" w:rsidRPr="00AE7FB9" w:rsidRDefault="00D46D1F" w:rsidP="00D92AE6">
      <w:pPr>
        <w:spacing w:after="0" w:line="360" w:lineRule="auto"/>
        <w:ind w:left="567" w:right="567"/>
        <w:contextualSpacing/>
        <w:rPr>
          <w:b/>
        </w:rPr>
      </w:pPr>
      <w:r w:rsidRPr="00AE7FB9">
        <w:rPr>
          <w:rFonts w:cs="Tahoma"/>
          <w:i/>
          <w:iCs/>
          <w:color w:val="0D0D0D" w:themeColor="text1" w:themeTint="F2"/>
          <w:sz w:val="20"/>
          <w:szCs w:val="20"/>
          <w:lang w:val="es-ES_tradnl"/>
        </w:rPr>
        <w:lastRenderedPageBreak/>
        <w:t>c. El nombre de los cargos y áreas adscripción. Del personal operativo en materia de seguridad, tal y como aparecen en los recibos de nómina.</w:t>
      </w:r>
      <w:r w:rsidRPr="00AE7FB9">
        <w:rPr>
          <w:rFonts w:cs="Tahoma"/>
          <w:color w:val="0D0D0D" w:themeColor="text1" w:themeTint="F2"/>
          <w:lang w:val="es-ES_tradnl"/>
        </w:rPr>
        <w:t xml:space="preserve"> </w:t>
      </w:r>
    </w:p>
    <w:p w14:paraId="31148867" w14:textId="77777777" w:rsidR="00D46D1F" w:rsidRPr="00AE7FB9" w:rsidRDefault="00D46D1F" w:rsidP="00D92AE6">
      <w:pPr>
        <w:spacing w:after="0" w:line="360" w:lineRule="auto"/>
        <w:contextualSpacing/>
        <w:rPr>
          <w:rFonts w:cs="Tahoma"/>
          <w:b/>
          <w:bCs/>
        </w:rPr>
      </w:pPr>
    </w:p>
    <w:p w14:paraId="02CC5257" w14:textId="2414B724" w:rsidR="00355E6A" w:rsidRPr="00AE7FB9" w:rsidRDefault="00355E6A" w:rsidP="00D92AE6">
      <w:pPr>
        <w:spacing w:after="0" w:line="360" w:lineRule="auto"/>
        <w:contextualSpacing/>
        <w:rPr>
          <w:rFonts w:cs="Tahoma"/>
          <w:bCs/>
        </w:rPr>
      </w:pPr>
      <w:r w:rsidRPr="00AE7FB9">
        <w:rPr>
          <w:rFonts w:cs="Tahoma"/>
          <w:bCs/>
        </w:rPr>
        <w:t>ii) Relación de los Cargos del personal administrativo (Auxiliar, Secretario Técnico de Seguridad Pública y Director de Seguridad Pública) y operativo (Policía A, B y C) de seguridad pública.</w:t>
      </w:r>
    </w:p>
    <w:p w14:paraId="49C296ED" w14:textId="77777777" w:rsidR="00355E6A" w:rsidRPr="00AE7FB9" w:rsidRDefault="00355E6A" w:rsidP="00D92AE6">
      <w:pPr>
        <w:spacing w:after="0" w:line="360" w:lineRule="auto"/>
        <w:contextualSpacing/>
        <w:rPr>
          <w:rFonts w:cs="Tahoma"/>
          <w:bCs/>
        </w:rPr>
      </w:pPr>
    </w:p>
    <w:p w14:paraId="4924DA70" w14:textId="5E7D9BAC" w:rsidR="00355E6A" w:rsidRPr="00AE7FB9" w:rsidRDefault="00355E6A" w:rsidP="00D92AE6">
      <w:pPr>
        <w:spacing w:after="0" w:line="360" w:lineRule="auto"/>
        <w:contextualSpacing/>
        <w:rPr>
          <w:rFonts w:cs="Tahoma"/>
          <w:bCs/>
        </w:rPr>
      </w:pPr>
      <w:r w:rsidRPr="00AE7FB9">
        <w:rPr>
          <w:rFonts w:cs="Tahoma"/>
          <w:bCs/>
        </w:rPr>
        <w:t>iii) Relación del puesto funcional localizado en el Tabulador de Sueldos, del personal operativo en materia de seguridad pública “Policía A, B y C”.</w:t>
      </w:r>
    </w:p>
    <w:p w14:paraId="13CA0C66" w14:textId="77777777" w:rsidR="00355E6A" w:rsidRPr="00AE7FB9" w:rsidRDefault="00355E6A" w:rsidP="00D92AE6">
      <w:pPr>
        <w:spacing w:after="0" w:line="360" w:lineRule="auto"/>
        <w:contextualSpacing/>
        <w:rPr>
          <w:rFonts w:cs="Tahoma"/>
          <w:bCs/>
        </w:rPr>
      </w:pPr>
    </w:p>
    <w:p w14:paraId="494A62A5" w14:textId="0E7331B0" w:rsidR="00355E6A" w:rsidRPr="00AE7FB9" w:rsidRDefault="00355E6A" w:rsidP="00D92AE6">
      <w:pPr>
        <w:spacing w:after="0" w:line="360" w:lineRule="auto"/>
        <w:contextualSpacing/>
        <w:rPr>
          <w:rFonts w:cs="Tahoma"/>
          <w:bCs/>
        </w:rPr>
      </w:pPr>
      <w:r w:rsidRPr="00AE7FB9">
        <w:rPr>
          <w:rFonts w:cs="Tahoma"/>
          <w:bCs/>
        </w:rPr>
        <w:t>iv) Relación con el nombre de los cargos (Policía A, B y C) y área de adscripción (Seguridad Pública), del personal operativo en materia de seguridad, tal y como aparece en los recibos de nómina.</w:t>
      </w:r>
    </w:p>
    <w:p w14:paraId="737F7937" w14:textId="77777777" w:rsidR="00355E6A" w:rsidRPr="00AE7FB9" w:rsidRDefault="00355E6A" w:rsidP="00D92AE6">
      <w:pPr>
        <w:spacing w:after="0" w:line="360" w:lineRule="auto"/>
        <w:contextualSpacing/>
        <w:rPr>
          <w:rFonts w:cs="Tahoma"/>
          <w:b/>
          <w:bCs/>
        </w:rPr>
      </w:pPr>
    </w:p>
    <w:p w14:paraId="6459FEE2" w14:textId="63A1D9D0" w:rsidR="0003063F" w:rsidRPr="00AE7FB9" w:rsidRDefault="0003063F" w:rsidP="00D92AE6">
      <w:pPr>
        <w:spacing w:after="0" w:line="360" w:lineRule="auto"/>
        <w:contextualSpacing/>
        <w:rPr>
          <w:rFonts w:eastAsia="Palatino Linotype" w:cs="Palatino Linotype"/>
          <w:lang w:val="es-ES"/>
        </w:rPr>
      </w:pPr>
      <w:r w:rsidRPr="00AE7FB9">
        <w:rPr>
          <w:rFonts w:eastAsia="Palatino Linotype" w:cs="Palatino Linotype"/>
          <w:b/>
          <w:bCs/>
          <w:lang w:val="es-ES"/>
        </w:rPr>
        <w:t xml:space="preserve">f) Ampliación de plazo para resolver. </w:t>
      </w:r>
      <w:r w:rsidRPr="00AE7FB9">
        <w:rPr>
          <w:rFonts w:eastAsia="Palatino Linotype" w:cs="Palatino Linotype"/>
          <w:lang w:val="es-ES"/>
        </w:rPr>
        <w:t>El veintinueve de marzo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6B941551" w14:textId="77777777" w:rsidR="0003063F" w:rsidRPr="00AE7FB9" w:rsidRDefault="0003063F" w:rsidP="00D92AE6">
      <w:pPr>
        <w:spacing w:after="0" w:line="360" w:lineRule="auto"/>
        <w:contextualSpacing/>
        <w:rPr>
          <w:rFonts w:eastAsia="Palatino Linotype" w:cs="Palatino Linotype"/>
          <w:lang w:val="es-ES"/>
        </w:rPr>
      </w:pPr>
    </w:p>
    <w:p w14:paraId="2B02AFE0" w14:textId="77777777" w:rsidR="0003063F" w:rsidRPr="00AE7FB9" w:rsidRDefault="0003063F" w:rsidP="00D92AE6">
      <w:pPr>
        <w:spacing w:after="0" w:line="360" w:lineRule="auto"/>
        <w:contextualSpacing/>
        <w:rPr>
          <w:rFonts w:eastAsia="Calibri" w:cs="Arial"/>
        </w:rPr>
      </w:pPr>
      <w:r w:rsidRPr="00AE7FB9">
        <w:rPr>
          <w:rFonts w:eastAsia="Calibri"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21EA23" w14:textId="77777777" w:rsidR="0003063F" w:rsidRPr="00AE7FB9" w:rsidRDefault="0003063F" w:rsidP="00D92AE6">
      <w:pPr>
        <w:spacing w:after="0" w:line="360" w:lineRule="auto"/>
        <w:contextualSpacing/>
        <w:rPr>
          <w:rFonts w:eastAsia="Calibri" w:cs="Arial"/>
        </w:rPr>
      </w:pPr>
      <w:r w:rsidRPr="00AE7FB9">
        <w:rPr>
          <w:rFonts w:eastAsia="Calibri" w:cs="Arial"/>
        </w:rPr>
        <w:t xml:space="preserve"> </w:t>
      </w:r>
    </w:p>
    <w:p w14:paraId="2D1FF850" w14:textId="77777777" w:rsidR="0003063F" w:rsidRPr="00AE7FB9" w:rsidRDefault="0003063F" w:rsidP="00D92AE6">
      <w:pPr>
        <w:spacing w:after="0" w:line="360" w:lineRule="auto"/>
        <w:contextualSpacing/>
        <w:rPr>
          <w:rFonts w:eastAsia="Calibri" w:cs="Arial"/>
        </w:rPr>
      </w:pPr>
      <w:r w:rsidRPr="00AE7FB9">
        <w:rPr>
          <w:rFonts w:eastAsia="Calibri" w:cs="Arial"/>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85E65C" w14:textId="77777777" w:rsidR="0003063F" w:rsidRPr="00AE7FB9" w:rsidRDefault="0003063F" w:rsidP="00D92AE6">
      <w:pPr>
        <w:spacing w:after="0" w:line="360" w:lineRule="auto"/>
        <w:contextualSpacing/>
        <w:rPr>
          <w:rFonts w:eastAsia="Calibri" w:cs="Arial"/>
        </w:rPr>
      </w:pPr>
      <w:r w:rsidRPr="00AE7FB9">
        <w:rPr>
          <w:rFonts w:eastAsia="Calibri" w:cs="Arial"/>
        </w:rPr>
        <w:t xml:space="preserve"> </w:t>
      </w:r>
    </w:p>
    <w:p w14:paraId="31E33456" w14:textId="77777777" w:rsidR="0003063F" w:rsidRPr="00AE7FB9" w:rsidRDefault="0003063F" w:rsidP="00D92AE6">
      <w:pPr>
        <w:spacing w:after="0" w:line="360" w:lineRule="auto"/>
        <w:contextualSpacing/>
        <w:rPr>
          <w:rFonts w:eastAsia="Calibri" w:cs="Arial"/>
        </w:rPr>
      </w:pPr>
      <w:r w:rsidRPr="00AE7FB9">
        <w:rPr>
          <w:rFonts w:eastAsia="Calibri"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5B83B5" w14:textId="77777777" w:rsidR="0003063F" w:rsidRPr="00AE7FB9" w:rsidRDefault="0003063F" w:rsidP="00D92AE6">
      <w:pPr>
        <w:spacing w:after="0" w:line="360" w:lineRule="auto"/>
        <w:contextualSpacing/>
        <w:rPr>
          <w:rFonts w:eastAsia="Calibri" w:cs="Arial"/>
        </w:rPr>
      </w:pPr>
      <w:r w:rsidRPr="00AE7FB9">
        <w:rPr>
          <w:rFonts w:eastAsia="Calibri" w:cs="Arial"/>
        </w:rPr>
        <w:t xml:space="preserve"> </w:t>
      </w:r>
    </w:p>
    <w:p w14:paraId="75D8A6FE" w14:textId="77777777" w:rsidR="0003063F" w:rsidRPr="00AE7FB9" w:rsidRDefault="0003063F" w:rsidP="00D92AE6">
      <w:pPr>
        <w:spacing w:after="0" w:line="360" w:lineRule="auto"/>
        <w:contextualSpacing/>
        <w:rPr>
          <w:rFonts w:eastAsia="Calibri" w:cs="Arial"/>
        </w:rPr>
      </w:pPr>
      <w:r w:rsidRPr="00AE7FB9">
        <w:rPr>
          <w:rFonts w:eastAsia="Calibri"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8B6260" w14:textId="77777777" w:rsidR="0003063F" w:rsidRPr="00AE7FB9" w:rsidRDefault="0003063F" w:rsidP="00D92AE6">
      <w:pPr>
        <w:spacing w:after="0" w:line="360" w:lineRule="auto"/>
        <w:contextualSpacing/>
        <w:rPr>
          <w:rFonts w:eastAsia="Calibri" w:cs="Arial"/>
        </w:rPr>
      </w:pPr>
      <w:r w:rsidRPr="00AE7FB9">
        <w:rPr>
          <w:rFonts w:eastAsia="Calibri" w:cs="Arial"/>
        </w:rPr>
        <w:t xml:space="preserve"> </w:t>
      </w:r>
    </w:p>
    <w:p w14:paraId="6549B957" w14:textId="77777777" w:rsidR="0003063F" w:rsidRPr="00AE7FB9" w:rsidRDefault="0003063F" w:rsidP="00D92AE6">
      <w:pPr>
        <w:spacing w:after="0" w:line="360" w:lineRule="auto"/>
        <w:contextualSpacing/>
        <w:rPr>
          <w:rFonts w:eastAsia="Calibri" w:cs="Times New Roman"/>
        </w:rPr>
      </w:pPr>
      <w:r w:rsidRPr="00AE7FB9">
        <w:rPr>
          <w:rFonts w:eastAsia="Calibri" w:cs="Times New Roman"/>
        </w:rPr>
        <w:t xml:space="preserve">Por ello, excepcionalmente, si un asunto es resuelto con posterioridad a los plazos señalados por la norma debe analizarse la razonabilidad del tiempo necesario para su resolución, atentos a los siguientes criterios:  </w:t>
      </w:r>
    </w:p>
    <w:p w14:paraId="58582ED9" w14:textId="77777777" w:rsidR="0003063F" w:rsidRPr="00AE7FB9" w:rsidRDefault="0003063F" w:rsidP="00D92AE6">
      <w:pPr>
        <w:spacing w:after="0" w:line="360" w:lineRule="auto"/>
        <w:contextualSpacing/>
        <w:rPr>
          <w:rFonts w:eastAsia="Calibri" w:cs="Times New Roman"/>
        </w:rPr>
      </w:pPr>
      <w:r w:rsidRPr="00AE7FB9">
        <w:rPr>
          <w:rFonts w:eastAsia="Calibri" w:cs="Times New Roman"/>
        </w:rPr>
        <w:t xml:space="preserve"> </w:t>
      </w:r>
    </w:p>
    <w:p w14:paraId="4A0A186B" w14:textId="77777777" w:rsidR="0003063F" w:rsidRPr="00AE7FB9" w:rsidRDefault="0003063F" w:rsidP="00D92AE6">
      <w:pPr>
        <w:numPr>
          <w:ilvl w:val="0"/>
          <w:numId w:val="4"/>
        </w:numPr>
        <w:spacing w:after="0" w:line="360" w:lineRule="auto"/>
        <w:contextualSpacing/>
        <w:jc w:val="left"/>
        <w:rPr>
          <w:rFonts w:eastAsia="Calibri" w:cs="Tahoma"/>
          <w:bCs/>
          <w:color w:val="auto"/>
          <w:szCs w:val="24"/>
          <w:lang w:eastAsia="es-ES"/>
        </w:rPr>
      </w:pPr>
      <w:r w:rsidRPr="00AE7FB9">
        <w:rPr>
          <w:rFonts w:eastAsia="Calibri" w:cs="Tahoma"/>
          <w:b/>
          <w:color w:val="auto"/>
          <w:szCs w:val="24"/>
          <w:lang w:eastAsia="es-ES"/>
        </w:rPr>
        <w:t xml:space="preserve">Complejidad del asunto: </w:t>
      </w:r>
      <w:r w:rsidRPr="00AE7FB9">
        <w:rPr>
          <w:rFonts w:eastAsia="Calibri" w:cs="Tahoma"/>
          <w:bCs/>
          <w:color w:val="auto"/>
          <w:szCs w:val="24"/>
          <w:lang w:eastAsia="es-ES"/>
        </w:rPr>
        <w:t>La complejidad de la prueba, la pluralidad de sujetos procesales, el tiempo transcurrido, las características y contexto del recurso.</w:t>
      </w:r>
    </w:p>
    <w:p w14:paraId="005795B2" w14:textId="77777777" w:rsidR="0003063F" w:rsidRPr="00AE7FB9" w:rsidRDefault="0003063F" w:rsidP="00D92AE6">
      <w:pPr>
        <w:spacing w:after="0" w:line="360" w:lineRule="auto"/>
        <w:contextualSpacing/>
        <w:rPr>
          <w:rFonts w:eastAsia="Calibri" w:cs="Tahoma"/>
          <w:bCs/>
        </w:rPr>
      </w:pPr>
    </w:p>
    <w:p w14:paraId="3B167274" w14:textId="77777777" w:rsidR="0003063F" w:rsidRPr="00AE7FB9" w:rsidRDefault="0003063F" w:rsidP="00D92AE6">
      <w:pPr>
        <w:numPr>
          <w:ilvl w:val="0"/>
          <w:numId w:val="4"/>
        </w:numPr>
        <w:spacing w:after="0" w:line="360" w:lineRule="auto"/>
        <w:contextualSpacing/>
        <w:jc w:val="left"/>
        <w:rPr>
          <w:rFonts w:eastAsia="Calibri" w:cs="Tahoma"/>
          <w:bCs/>
          <w:color w:val="auto"/>
          <w:szCs w:val="24"/>
          <w:lang w:eastAsia="es-ES"/>
        </w:rPr>
      </w:pPr>
      <w:r w:rsidRPr="00AE7FB9">
        <w:rPr>
          <w:rFonts w:eastAsia="Calibri" w:cs="Tahoma"/>
          <w:b/>
          <w:color w:val="auto"/>
          <w:szCs w:val="24"/>
          <w:lang w:eastAsia="es-ES"/>
        </w:rPr>
        <w:t>Actividad Procesal del interesado:</w:t>
      </w:r>
      <w:r w:rsidRPr="00AE7FB9">
        <w:rPr>
          <w:rFonts w:eastAsia="Calibri" w:cs="Tahoma"/>
          <w:bCs/>
          <w:color w:val="auto"/>
          <w:szCs w:val="24"/>
          <w:lang w:eastAsia="es-ES"/>
        </w:rPr>
        <w:t xml:space="preserve"> Acciones u omisiones del interesado.</w:t>
      </w:r>
    </w:p>
    <w:p w14:paraId="6731AD19" w14:textId="77777777" w:rsidR="0003063F" w:rsidRPr="00AE7FB9" w:rsidRDefault="0003063F" w:rsidP="00D92AE6">
      <w:pPr>
        <w:spacing w:after="0" w:line="360" w:lineRule="auto"/>
        <w:contextualSpacing/>
        <w:rPr>
          <w:rFonts w:eastAsia="Calibri" w:cs="Tahoma"/>
          <w:b/>
        </w:rPr>
      </w:pPr>
    </w:p>
    <w:p w14:paraId="77CA81F4" w14:textId="77777777" w:rsidR="0003063F" w:rsidRPr="00AE7FB9" w:rsidRDefault="0003063F" w:rsidP="00D92AE6">
      <w:pPr>
        <w:numPr>
          <w:ilvl w:val="0"/>
          <w:numId w:val="4"/>
        </w:numPr>
        <w:spacing w:after="0" w:line="360" w:lineRule="auto"/>
        <w:contextualSpacing/>
        <w:jc w:val="left"/>
        <w:rPr>
          <w:rFonts w:eastAsia="Calibri" w:cs="Tahoma"/>
          <w:bCs/>
          <w:color w:val="auto"/>
          <w:szCs w:val="24"/>
          <w:lang w:eastAsia="es-ES"/>
        </w:rPr>
      </w:pPr>
      <w:r w:rsidRPr="00AE7FB9">
        <w:rPr>
          <w:rFonts w:eastAsia="Calibri" w:cs="Tahoma"/>
          <w:b/>
          <w:color w:val="auto"/>
          <w:szCs w:val="24"/>
          <w:lang w:eastAsia="es-ES"/>
        </w:rPr>
        <w:t>Conducta de la Autoridad:</w:t>
      </w:r>
      <w:r w:rsidRPr="00AE7FB9">
        <w:rPr>
          <w:rFonts w:eastAsia="Calibri" w:cs="Tahoma"/>
          <w:bCs/>
          <w:color w:val="auto"/>
          <w:szCs w:val="24"/>
          <w:lang w:eastAsia="es-ES"/>
        </w:rPr>
        <w:t xml:space="preserve"> Las Acciones u omisiones realizadas en el procedimiento. Así como si la autoridad actuó con la debida diligencia.</w:t>
      </w:r>
    </w:p>
    <w:p w14:paraId="2EE860BB" w14:textId="77777777" w:rsidR="0003063F" w:rsidRPr="00AE7FB9" w:rsidRDefault="0003063F" w:rsidP="00D92AE6">
      <w:pPr>
        <w:spacing w:after="0" w:line="360" w:lineRule="auto"/>
        <w:contextualSpacing/>
        <w:rPr>
          <w:rFonts w:eastAsia="Calibri" w:cs="Tahoma"/>
          <w:b/>
        </w:rPr>
      </w:pPr>
    </w:p>
    <w:p w14:paraId="23D3BFC6" w14:textId="77777777" w:rsidR="0003063F" w:rsidRPr="00AE7FB9" w:rsidRDefault="0003063F" w:rsidP="00D92AE6">
      <w:pPr>
        <w:numPr>
          <w:ilvl w:val="0"/>
          <w:numId w:val="4"/>
        </w:numPr>
        <w:spacing w:after="0" w:line="360" w:lineRule="auto"/>
        <w:contextualSpacing/>
        <w:jc w:val="left"/>
        <w:rPr>
          <w:rFonts w:eastAsia="Calibri" w:cs="Tahoma"/>
          <w:bCs/>
          <w:color w:val="auto"/>
          <w:szCs w:val="24"/>
          <w:lang w:eastAsia="es-ES"/>
        </w:rPr>
      </w:pPr>
      <w:r w:rsidRPr="00AE7FB9">
        <w:rPr>
          <w:rFonts w:eastAsia="Calibri" w:cs="Tahoma"/>
          <w:b/>
          <w:color w:val="auto"/>
          <w:szCs w:val="24"/>
          <w:lang w:eastAsia="es-ES"/>
        </w:rPr>
        <w:lastRenderedPageBreak/>
        <w:t xml:space="preserve">La afectación generada en la situación jurídica de la persona involucrada en el proceso: </w:t>
      </w:r>
      <w:r w:rsidRPr="00AE7FB9">
        <w:rPr>
          <w:rFonts w:eastAsia="Calibri" w:cs="Tahoma"/>
          <w:bCs/>
          <w:color w:val="auto"/>
          <w:szCs w:val="24"/>
          <w:lang w:eastAsia="es-ES"/>
        </w:rPr>
        <w:t>Violación a sus derechos humanos.</w:t>
      </w:r>
    </w:p>
    <w:p w14:paraId="0D70E09B" w14:textId="77777777" w:rsidR="0003063F" w:rsidRPr="00AE7FB9" w:rsidRDefault="0003063F" w:rsidP="00D92AE6">
      <w:pPr>
        <w:spacing w:after="0" w:line="360" w:lineRule="auto"/>
        <w:contextualSpacing/>
        <w:rPr>
          <w:rFonts w:eastAsia="Times New Roman" w:cs="Times New Roman"/>
          <w:color w:val="auto"/>
          <w:lang w:eastAsia="es-MX"/>
        </w:rPr>
      </w:pPr>
    </w:p>
    <w:p w14:paraId="3E654D56" w14:textId="77777777" w:rsidR="0003063F" w:rsidRPr="00AE7FB9" w:rsidRDefault="0003063F" w:rsidP="00D92AE6">
      <w:pPr>
        <w:spacing w:after="0" w:line="360" w:lineRule="auto"/>
        <w:contextualSpacing/>
        <w:rPr>
          <w:rFonts w:eastAsia="Times New Roman" w:cs="Times New Roman"/>
          <w:color w:val="auto"/>
          <w:lang w:eastAsia="es-MX"/>
        </w:rPr>
      </w:pPr>
      <w:r w:rsidRPr="00AE7FB9">
        <w:rPr>
          <w:rFonts w:eastAsia="Times New Roman" w:cs="Times New Roman"/>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54AA77" w14:textId="77777777" w:rsidR="0003063F" w:rsidRPr="00AE7FB9" w:rsidRDefault="0003063F" w:rsidP="00D92AE6">
      <w:pPr>
        <w:spacing w:after="0" w:line="360" w:lineRule="auto"/>
        <w:contextualSpacing/>
        <w:rPr>
          <w:rFonts w:eastAsia="Times New Roman" w:cs="Times New Roman"/>
          <w:color w:val="auto"/>
          <w:lang w:eastAsia="es-MX"/>
        </w:rPr>
      </w:pPr>
    </w:p>
    <w:p w14:paraId="7E1C8958" w14:textId="77777777" w:rsidR="0003063F" w:rsidRPr="00AE7FB9" w:rsidRDefault="0003063F" w:rsidP="00D92AE6">
      <w:pPr>
        <w:spacing w:after="0" w:line="360" w:lineRule="auto"/>
        <w:contextualSpacing/>
        <w:rPr>
          <w:rFonts w:eastAsia="Times New Roman" w:cs="Times New Roman"/>
          <w:color w:val="auto"/>
          <w:lang w:eastAsia="es-MX"/>
        </w:rPr>
      </w:pPr>
      <w:r w:rsidRPr="00AE7FB9">
        <w:rPr>
          <w:rFonts w:eastAsia="Times New Roman" w:cs="Times New Roman"/>
          <w:color w:val="auto"/>
          <w:lang w:eastAsia="es-MX"/>
        </w:rPr>
        <w:t xml:space="preserve"> Argumento que encuentra sustento en la jurisprudencia P./J. 32/92 emitida por el Pleno de la Suprema Corte de Justicia de la Nación de rubro </w:t>
      </w:r>
      <w:r w:rsidRPr="00AE7FB9">
        <w:rPr>
          <w:rFonts w:eastAsia="Times New Roman" w:cs="Times New Roman"/>
          <w:b/>
          <w:bCs/>
          <w:color w:val="auto"/>
          <w:lang w:eastAsia="es-MX"/>
        </w:rPr>
        <w:t>“TÉRMINOS PROCESALES. PARA DETERMINAR SI UN FUNCIONARIO JUDICIAL ACTUÓ INDEBIDAMENTE POR NO RESPETARLOS SE DEBE ATENDER AL PRESUPUESTO QUE CONSIDERÓ EL LEGISLADOR AL FIJARLOS Y LAS CARACTERÍSTICAS DEL CASO.”,</w:t>
      </w:r>
      <w:r w:rsidRPr="00AE7FB9">
        <w:rPr>
          <w:rFonts w:eastAsia="Times New Roman" w:cs="Times New Roman"/>
          <w:color w:val="auto"/>
          <w:lang w:eastAsia="es-MX"/>
        </w:rPr>
        <w:t xml:space="preserve"> visible en la Gaceta del Seminario Judicial de la Federación con el registro digital 205635.</w:t>
      </w:r>
    </w:p>
    <w:p w14:paraId="27CDE750" w14:textId="77777777" w:rsidR="0003063F" w:rsidRPr="00AE7FB9" w:rsidRDefault="0003063F" w:rsidP="00D92AE6">
      <w:pPr>
        <w:spacing w:after="0" w:line="360" w:lineRule="auto"/>
        <w:contextualSpacing/>
        <w:rPr>
          <w:rFonts w:eastAsia="Times New Roman" w:cs="Times New Roman"/>
          <w:color w:val="auto"/>
          <w:lang w:eastAsia="es-MX"/>
        </w:rPr>
      </w:pPr>
    </w:p>
    <w:p w14:paraId="212FA2BC" w14:textId="77777777" w:rsidR="0003063F" w:rsidRPr="00AE7FB9" w:rsidRDefault="0003063F" w:rsidP="00D92AE6">
      <w:pPr>
        <w:spacing w:after="0" w:line="360" w:lineRule="auto"/>
        <w:contextualSpacing/>
        <w:rPr>
          <w:rFonts w:eastAsia="Times New Roman" w:cs="Times New Roman"/>
          <w:color w:val="auto"/>
          <w:lang w:eastAsia="es-MX"/>
        </w:rPr>
      </w:pPr>
      <w:r w:rsidRPr="00AE7FB9">
        <w:rPr>
          <w:rFonts w:eastAsia="Times New Roman" w:cs="Times New Roman"/>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82C264" w14:textId="77777777" w:rsidR="0003063F" w:rsidRPr="00AE7FB9" w:rsidRDefault="0003063F" w:rsidP="00D92AE6">
      <w:pPr>
        <w:spacing w:after="0" w:line="360" w:lineRule="auto"/>
        <w:contextualSpacing/>
        <w:rPr>
          <w:rFonts w:eastAsia="Times New Roman" w:cs="Times New Roman"/>
          <w:color w:val="auto"/>
          <w:lang w:eastAsia="es-MX"/>
        </w:rPr>
      </w:pPr>
    </w:p>
    <w:p w14:paraId="226843BB" w14:textId="77777777" w:rsidR="0003063F" w:rsidRPr="00AE7FB9" w:rsidRDefault="0003063F" w:rsidP="00D92AE6">
      <w:pPr>
        <w:spacing w:after="0" w:line="360" w:lineRule="auto"/>
        <w:contextualSpacing/>
        <w:rPr>
          <w:rFonts w:eastAsia="Times New Roman" w:cs="Times New Roman"/>
          <w:color w:val="auto"/>
          <w:lang w:eastAsia="es-MX"/>
        </w:rPr>
      </w:pPr>
      <w:r w:rsidRPr="00AE7FB9">
        <w:rPr>
          <w:rFonts w:eastAsia="Times New Roman" w:cs="Times New Roman"/>
          <w:color w:val="auto"/>
          <w:lang w:eastAsia="es-MX"/>
        </w:rPr>
        <w:lastRenderedPageBreak/>
        <w:t xml:space="preserve">Al respecto, también son de considerar los criterios sostenidos por el Cuarto Tribunal Colegiado en Materia Administrativa del Primer Circuito, cuyos rubros y datos de identificación son los siguientes: </w:t>
      </w:r>
    </w:p>
    <w:p w14:paraId="14FB28C4" w14:textId="77777777" w:rsidR="0003063F" w:rsidRPr="00AE7FB9" w:rsidRDefault="0003063F" w:rsidP="00D92AE6">
      <w:pPr>
        <w:spacing w:after="0" w:line="360" w:lineRule="auto"/>
        <w:contextualSpacing/>
        <w:rPr>
          <w:rFonts w:eastAsia="Times New Roman" w:cs="Times New Roman"/>
          <w:color w:val="auto"/>
          <w:lang w:eastAsia="es-MX"/>
        </w:rPr>
      </w:pPr>
    </w:p>
    <w:p w14:paraId="025793CA" w14:textId="77777777" w:rsidR="0003063F" w:rsidRPr="00AE7FB9" w:rsidRDefault="0003063F" w:rsidP="00D92AE6">
      <w:pPr>
        <w:spacing w:after="0" w:line="360" w:lineRule="auto"/>
        <w:contextualSpacing/>
        <w:rPr>
          <w:rFonts w:eastAsia="Times New Roman" w:cs="Times New Roman"/>
          <w:color w:val="auto"/>
          <w:lang w:eastAsia="es-MX"/>
        </w:rPr>
      </w:pPr>
      <w:r w:rsidRPr="00AE7FB9">
        <w:rPr>
          <w:rFonts w:eastAsia="Times New Roman" w:cs="Times New Roman"/>
          <w:b/>
          <w:bCs/>
          <w:color w:val="auto"/>
          <w:lang w:eastAsia="es-MX"/>
        </w:rPr>
        <w:t>“PLAZO RAZONABLE PARA RESOLVER. DIMENSIÓN Y EFECTOS DE ESTE CONCEPTO CUANDO SE ADUCE EXCESIVA CARGA DE TRABAJO.”</w:t>
      </w:r>
      <w:r w:rsidRPr="00AE7FB9">
        <w:rPr>
          <w:rFonts w:eastAsia="Times New Roman" w:cs="Times New Roman"/>
          <w:color w:val="auto"/>
          <w:lang w:eastAsia="es-MX"/>
        </w:rPr>
        <w:t xml:space="preserve"> consultable en el Seminario Judicial de la Federación y su gaceta, con el registro digital 2002351.</w:t>
      </w:r>
    </w:p>
    <w:p w14:paraId="74CD62C7" w14:textId="77777777" w:rsidR="0003063F" w:rsidRPr="00AE7FB9" w:rsidRDefault="0003063F" w:rsidP="00D92AE6">
      <w:pPr>
        <w:spacing w:after="0" w:line="360" w:lineRule="auto"/>
        <w:contextualSpacing/>
        <w:rPr>
          <w:rFonts w:eastAsia="Times New Roman" w:cs="Times New Roman"/>
          <w:color w:val="auto"/>
          <w:lang w:eastAsia="es-MX"/>
        </w:rPr>
      </w:pPr>
    </w:p>
    <w:p w14:paraId="0653678E" w14:textId="77777777" w:rsidR="0003063F" w:rsidRPr="00AE7FB9" w:rsidRDefault="0003063F" w:rsidP="00D92AE6">
      <w:pPr>
        <w:spacing w:after="0" w:line="360" w:lineRule="auto"/>
        <w:contextualSpacing/>
        <w:rPr>
          <w:rFonts w:eastAsia="Times New Roman" w:cs="Times New Roman"/>
          <w:color w:val="auto"/>
          <w:lang w:eastAsia="es-MX"/>
        </w:rPr>
      </w:pPr>
      <w:r w:rsidRPr="00AE7FB9">
        <w:rPr>
          <w:rFonts w:eastAsia="Times New Roman" w:cs="Times New Roman"/>
          <w:b/>
          <w:bCs/>
          <w:color w:val="auto"/>
          <w:lang w:eastAsia="es-MX"/>
        </w:rPr>
        <w:t>“PLAZO RAZONABLE PARA RESOLVER. CONCEPTO Y ELEMENTOS QUE LO INTEGRAN A LA LUZ DEL DERECHO INTERNACIONAL DE LOS DERECHOS HUMANOS.”,</w:t>
      </w:r>
      <w:r w:rsidRPr="00AE7FB9">
        <w:rPr>
          <w:rFonts w:eastAsia="Times New Roman" w:cs="Times New Roman"/>
          <w:color w:val="auto"/>
          <w:lang w:eastAsia="es-MX"/>
        </w:rPr>
        <w:t xml:space="preserve"> visible en el Seminario Judicial de la Federación y su gaceta, con el registro digital 2002350.</w:t>
      </w:r>
    </w:p>
    <w:p w14:paraId="48B87559" w14:textId="77777777" w:rsidR="0003063F" w:rsidRPr="00AE7FB9" w:rsidRDefault="0003063F" w:rsidP="00D92AE6">
      <w:pPr>
        <w:spacing w:after="0" w:line="360" w:lineRule="auto"/>
        <w:contextualSpacing/>
        <w:rPr>
          <w:rFonts w:eastAsia="Calibri" w:cs="Arial"/>
        </w:rPr>
      </w:pPr>
    </w:p>
    <w:p w14:paraId="677AAB1A" w14:textId="77777777" w:rsidR="0003063F" w:rsidRPr="00AE7FB9" w:rsidRDefault="0003063F" w:rsidP="00D92AE6">
      <w:pPr>
        <w:spacing w:after="0" w:line="360" w:lineRule="auto"/>
        <w:contextualSpacing/>
        <w:rPr>
          <w:rFonts w:eastAsia="Palatino Linotype" w:cs="Palatino Linotype"/>
        </w:rPr>
      </w:pPr>
      <w:r w:rsidRPr="00AE7FB9">
        <w:rPr>
          <w:rFonts w:eastAsia="Calibri" w:cs="Arial"/>
        </w:rPr>
        <w:t>Por ello, este organismo garante comprometido con la tutela de los derechos humanos confiados señala que este exceso del plazo legal para resolver el presente asunto resulta de carácter excepcional.</w:t>
      </w:r>
    </w:p>
    <w:p w14:paraId="6D1F49AA" w14:textId="77777777" w:rsidR="0003063F" w:rsidRPr="00AE7FB9" w:rsidRDefault="0003063F" w:rsidP="00D92AE6">
      <w:pPr>
        <w:spacing w:after="0" w:line="360" w:lineRule="auto"/>
        <w:contextualSpacing/>
        <w:rPr>
          <w:rFonts w:eastAsia="Times New Roman" w:cs="Tahoma"/>
          <w:b/>
          <w:color w:val="auto"/>
          <w:szCs w:val="24"/>
          <w:lang w:eastAsia="es-ES"/>
        </w:rPr>
      </w:pPr>
    </w:p>
    <w:p w14:paraId="63B43358" w14:textId="7468884A" w:rsidR="00E4643F" w:rsidRPr="00AE7FB9" w:rsidRDefault="0003063F" w:rsidP="00D92AE6">
      <w:pPr>
        <w:spacing w:after="0" w:line="360" w:lineRule="auto"/>
        <w:contextualSpacing/>
        <w:rPr>
          <w:rFonts w:eastAsia="Times New Roman" w:cs="Tahoma"/>
          <w:color w:val="auto"/>
          <w:szCs w:val="24"/>
          <w:lang w:eastAsia="es-ES"/>
        </w:rPr>
      </w:pPr>
      <w:r w:rsidRPr="00AE7FB9">
        <w:rPr>
          <w:rFonts w:eastAsia="Times New Roman" w:cs="Tahoma"/>
          <w:b/>
          <w:color w:val="auto"/>
          <w:szCs w:val="24"/>
          <w:lang w:eastAsia="es-ES"/>
        </w:rPr>
        <w:t>e</w:t>
      </w:r>
      <w:r w:rsidR="00E4643F" w:rsidRPr="00AE7FB9">
        <w:rPr>
          <w:rFonts w:eastAsia="Times New Roman" w:cs="Tahoma"/>
          <w:b/>
          <w:color w:val="auto"/>
          <w:szCs w:val="24"/>
          <w:lang w:eastAsia="es-ES"/>
        </w:rPr>
        <w:t>) Cierre de instrucción.</w:t>
      </w:r>
      <w:r w:rsidR="00E4643F" w:rsidRPr="00AE7FB9">
        <w:rPr>
          <w:rFonts w:eastAsia="Times New Roman" w:cs="Tahoma"/>
          <w:color w:val="auto"/>
          <w:szCs w:val="24"/>
          <w:lang w:eastAsia="es-ES"/>
        </w:rPr>
        <w:t xml:space="preserve"> El </w:t>
      </w:r>
      <w:r w:rsidR="00792351" w:rsidRPr="00AE7FB9">
        <w:rPr>
          <w:rFonts w:eastAsia="Times New Roman" w:cs="Tahoma"/>
          <w:color w:val="auto"/>
          <w:szCs w:val="24"/>
          <w:lang w:eastAsia="es-ES"/>
        </w:rPr>
        <w:t>nueve</w:t>
      </w:r>
      <w:r w:rsidR="00E4643F" w:rsidRPr="00AE7FB9">
        <w:rPr>
          <w:rFonts w:eastAsia="Times New Roman" w:cs="Tahoma"/>
          <w:color w:val="auto"/>
          <w:szCs w:val="24"/>
          <w:lang w:eastAsia="es-ES"/>
        </w:rPr>
        <w:t xml:space="preserve"> de </w:t>
      </w:r>
      <w:r w:rsidRPr="00AE7FB9">
        <w:rPr>
          <w:rFonts w:eastAsia="Times New Roman" w:cs="Tahoma"/>
          <w:color w:val="auto"/>
          <w:szCs w:val="24"/>
          <w:lang w:eastAsia="es-ES"/>
        </w:rPr>
        <w:t xml:space="preserve">mayo </w:t>
      </w:r>
      <w:r w:rsidR="00E4643F" w:rsidRPr="00AE7FB9">
        <w:rPr>
          <w:rFonts w:eastAsia="Times New Roman" w:cs="Tahoma"/>
          <w:color w:val="auto"/>
          <w:szCs w:val="24"/>
          <w:lang w:eastAsia="es-ES"/>
        </w:rPr>
        <w:t xml:space="preserve">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E4643F" w:rsidRPr="00AE7FB9">
        <w:rPr>
          <w:rFonts w:eastAsia="Times New Roman" w:cs="Tahoma"/>
          <w:color w:val="auto"/>
          <w:szCs w:val="20"/>
          <w:lang w:val="es-ES" w:eastAsia="es-ES"/>
        </w:rPr>
        <w:t>Sistema de Acceso a la Información Mexiquense (SAIMEX)</w:t>
      </w:r>
      <w:r w:rsidR="00E4643F" w:rsidRPr="00AE7FB9">
        <w:rPr>
          <w:rFonts w:eastAsia="Times New Roman" w:cs="Tahoma"/>
          <w:color w:val="auto"/>
          <w:szCs w:val="24"/>
          <w:lang w:eastAsia="es-ES"/>
        </w:rPr>
        <w:t xml:space="preserve">. </w:t>
      </w:r>
    </w:p>
    <w:p w14:paraId="1322B261" w14:textId="77777777" w:rsidR="00E4643F" w:rsidRPr="00AE7FB9" w:rsidRDefault="00E4643F" w:rsidP="00D92AE6">
      <w:pPr>
        <w:spacing w:after="0" w:line="360" w:lineRule="auto"/>
        <w:contextualSpacing/>
        <w:rPr>
          <w:rFonts w:eastAsia="Times New Roman" w:cs="Tahoma"/>
          <w:color w:val="auto"/>
          <w:szCs w:val="24"/>
          <w:lang w:eastAsia="es-ES"/>
        </w:rPr>
      </w:pPr>
    </w:p>
    <w:p w14:paraId="3521FA92" w14:textId="77777777" w:rsidR="00E4643F" w:rsidRPr="00AE7FB9" w:rsidRDefault="00E4643F" w:rsidP="00D92AE6">
      <w:pPr>
        <w:spacing w:after="0" w:line="360" w:lineRule="auto"/>
        <w:contextualSpacing/>
        <w:rPr>
          <w:rFonts w:eastAsia="Times New Roman" w:cs="Tahoma"/>
          <w:color w:val="000000"/>
          <w:szCs w:val="24"/>
          <w:lang w:eastAsia="es-ES"/>
        </w:rPr>
      </w:pPr>
      <w:r w:rsidRPr="00AE7FB9">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02E9BB10" w14:textId="1576703E" w:rsidR="00E4643F" w:rsidRPr="00AE7FB9" w:rsidRDefault="00E4643F" w:rsidP="00D92AE6">
      <w:pPr>
        <w:spacing w:after="0" w:line="360" w:lineRule="auto"/>
        <w:contextualSpacing/>
        <w:jc w:val="center"/>
        <w:rPr>
          <w:rFonts w:eastAsia="Times New Roman" w:cs="Tahoma"/>
          <w:b/>
          <w:color w:val="auto"/>
          <w:lang w:val="es-ES" w:eastAsia="es-ES"/>
        </w:rPr>
      </w:pPr>
      <w:r w:rsidRPr="00AE7FB9">
        <w:rPr>
          <w:rFonts w:eastAsia="Times New Roman" w:cs="Tahoma"/>
          <w:b/>
          <w:color w:val="auto"/>
          <w:lang w:val="es-ES" w:eastAsia="es-ES"/>
        </w:rPr>
        <w:lastRenderedPageBreak/>
        <w:t>C O N S I D E R A N D O S:</w:t>
      </w:r>
    </w:p>
    <w:p w14:paraId="105AC873" w14:textId="77777777" w:rsidR="00792351" w:rsidRPr="00AE7FB9" w:rsidRDefault="00792351" w:rsidP="00D92AE6">
      <w:pPr>
        <w:spacing w:after="0" w:line="360" w:lineRule="auto"/>
        <w:contextualSpacing/>
        <w:jc w:val="center"/>
        <w:rPr>
          <w:rFonts w:eastAsia="Times New Roman" w:cs="Tahoma"/>
          <w:b/>
          <w:color w:val="auto"/>
          <w:lang w:val="es-ES" w:eastAsia="es-ES"/>
        </w:rPr>
      </w:pPr>
    </w:p>
    <w:p w14:paraId="5BB9FBB3" w14:textId="77777777" w:rsidR="00E4643F" w:rsidRPr="00AE7FB9" w:rsidRDefault="00E4643F" w:rsidP="00D92AE6">
      <w:pPr>
        <w:autoSpaceDE w:val="0"/>
        <w:autoSpaceDN w:val="0"/>
        <w:adjustRightInd w:val="0"/>
        <w:spacing w:after="0" w:line="360" w:lineRule="auto"/>
        <w:contextualSpacing/>
        <w:rPr>
          <w:rFonts w:eastAsia="Times New Roman" w:cs="Tahoma"/>
          <w:b/>
          <w:color w:val="auto"/>
          <w:szCs w:val="24"/>
          <w:lang w:val="es-ES" w:eastAsia="es-ES"/>
        </w:rPr>
      </w:pPr>
      <w:r w:rsidRPr="00AE7FB9">
        <w:rPr>
          <w:rFonts w:eastAsia="Calibri" w:cs="Tahoma"/>
          <w:b/>
          <w:color w:val="000000"/>
          <w:szCs w:val="24"/>
          <w:lang w:val="es-ES" w:eastAsia="es-MX"/>
        </w:rPr>
        <w:t>PRIMERO</w:t>
      </w:r>
      <w:r w:rsidRPr="00AE7FB9">
        <w:rPr>
          <w:rFonts w:eastAsia="Calibri" w:cs="Tahoma"/>
          <w:color w:val="000000"/>
          <w:szCs w:val="24"/>
          <w:lang w:val="es-ES" w:eastAsia="es-MX"/>
        </w:rPr>
        <w:t xml:space="preserve">. </w:t>
      </w:r>
      <w:r w:rsidRPr="00AE7FB9">
        <w:rPr>
          <w:rFonts w:eastAsia="Times New Roman" w:cs="Tahoma"/>
          <w:b/>
          <w:color w:val="auto"/>
          <w:szCs w:val="24"/>
          <w:lang w:val="es-ES" w:eastAsia="es-ES"/>
        </w:rPr>
        <w:t>Competencia.</w:t>
      </w:r>
    </w:p>
    <w:p w14:paraId="08F9E64A" w14:textId="77777777" w:rsidR="00E4643F" w:rsidRPr="00AE7FB9" w:rsidRDefault="00E4643F" w:rsidP="00D92AE6">
      <w:pPr>
        <w:autoSpaceDE w:val="0"/>
        <w:autoSpaceDN w:val="0"/>
        <w:adjustRightInd w:val="0"/>
        <w:spacing w:after="0" w:line="360" w:lineRule="auto"/>
        <w:contextualSpacing/>
        <w:rPr>
          <w:rFonts w:eastAsia="Times New Roman" w:cs="Tahoma"/>
          <w:b/>
          <w:color w:val="auto"/>
          <w:szCs w:val="24"/>
          <w:lang w:val="es-ES" w:eastAsia="es-ES"/>
        </w:rPr>
      </w:pPr>
    </w:p>
    <w:p w14:paraId="76044A58" w14:textId="04D2CC85" w:rsidR="00E4643F" w:rsidRPr="00AE7FB9" w:rsidRDefault="00E4643F" w:rsidP="00D92AE6">
      <w:pPr>
        <w:spacing w:after="0" w:line="360" w:lineRule="auto"/>
        <w:contextualSpacing/>
        <w:rPr>
          <w:rFonts w:eastAsia="Times New Roman" w:cs="Tahoma"/>
          <w:bCs/>
          <w:color w:val="auto"/>
          <w:lang w:eastAsia="es-ES"/>
        </w:rPr>
      </w:pPr>
      <w:bookmarkStart w:id="0" w:name="_Hlk63334754"/>
      <w:r w:rsidRPr="00AE7FB9">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E7FB9">
        <w:rPr>
          <w:rFonts w:eastAsia="Times New Roman" w:cs="Times New Roman"/>
          <w:bCs/>
          <w:color w:val="auto"/>
          <w:lang w:eastAsia="es-ES"/>
        </w:rPr>
        <w:t xml:space="preserve"> 7°, </w:t>
      </w:r>
      <w:r w:rsidR="00355E6A" w:rsidRPr="00AE7FB9">
        <w:rPr>
          <w:rFonts w:eastAsia="Times New Roman" w:cs="Tahoma"/>
          <w:bCs/>
          <w:color w:val="auto"/>
          <w:lang w:eastAsia="es-ES"/>
        </w:rPr>
        <w:t>9°, fracciones I y XXIII</w:t>
      </w:r>
      <w:r w:rsidRPr="00AE7FB9">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1DA50B48" w14:textId="77777777" w:rsidR="00E4643F" w:rsidRPr="00AE7FB9" w:rsidRDefault="00E4643F" w:rsidP="00D92AE6">
      <w:pPr>
        <w:spacing w:after="0" w:line="360" w:lineRule="auto"/>
        <w:contextualSpacing/>
      </w:pPr>
    </w:p>
    <w:p w14:paraId="4F2BC20D" w14:textId="77777777" w:rsidR="00355E6A" w:rsidRPr="00AE7FB9" w:rsidRDefault="00355E6A" w:rsidP="00D92AE6">
      <w:pPr>
        <w:autoSpaceDE w:val="0"/>
        <w:autoSpaceDN w:val="0"/>
        <w:adjustRightInd w:val="0"/>
        <w:spacing w:after="0" w:line="360" w:lineRule="auto"/>
        <w:rPr>
          <w:rFonts w:eastAsia="Times New Roman" w:cs="Tahoma"/>
          <w:color w:val="auto"/>
          <w:szCs w:val="28"/>
          <w:lang w:val="es-ES" w:eastAsia="es-ES"/>
        </w:rPr>
      </w:pPr>
      <w:r w:rsidRPr="00AE7FB9">
        <w:rPr>
          <w:rFonts w:eastAsia="Calibri" w:cs="Tahoma"/>
          <w:b/>
          <w:color w:val="000000"/>
          <w:szCs w:val="28"/>
          <w:lang w:val="es-ES" w:eastAsia="es-MX"/>
        </w:rPr>
        <w:t>SEGUNDO</w:t>
      </w:r>
      <w:r w:rsidRPr="00AE7FB9">
        <w:rPr>
          <w:rFonts w:eastAsia="Calibri" w:cs="Tahoma"/>
          <w:color w:val="000000"/>
          <w:szCs w:val="28"/>
          <w:lang w:val="es-ES" w:eastAsia="es-MX"/>
        </w:rPr>
        <w:t xml:space="preserve">. </w:t>
      </w:r>
      <w:r w:rsidRPr="00AE7FB9">
        <w:rPr>
          <w:rFonts w:eastAsia="Times New Roman" w:cs="Tahoma"/>
          <w:b/>
          <w:color w:val="auto"/>
          <w:szCs w:val="28"/>
          <w:lang w:val="es-ES" w:eastAsia="es-ES"/>
        </w:rPr>
        <w:t>Causales de improcedencia y sobreseimiento.</w:t>
      </w:r>
      <w:r w:rsidRPr="00AE7FB9">
        <w:rPr>
          <w:rFonts w:eastAsia="Times New Roman" w:cs="Tahoma"/>
          <w:color w:val="auto"/>
          <w:szCs w:val="28"/>
          <w:lang w:val="es-ES" w:eastAsia="es-ES"/>
        </w:rPr>
        <w:t xml:space="preserve"> </w:t>
      </w:r>
    </w:p>
    <w:p w14:paraId="5CC04FDA" w14:textId="77777777" w:rsidR="00355E6A" w:rsidRPr="00AE7FB9" w:rsidRDefault="00355E6A" w:rsidP="00D92AE6">
      <w:pPr>
        <w:autoSpaceDE w:val="0"/>
        <w:autoSpaceDN w:val="0"/>
        <w:adjustRightInd w:val="0"/>
        <w:spacing w:after="0" w:line="360" w:lineRule="auto"/>
        <w:rPr>
          <w:rFonts w:eastAsia="Times New Roman" w:cs="Tahoma"/>
          <w:color w:val="auto"/>
          <w:szCs w:val="28"/>
          <w:lang w:val="es-ES" w:eastAsia="es-ES"/>
        </w:rPr>
      </w:pPr>
    </w:p>
    <w:p w14:paraId="58C443F2" w14:textId="77777777" w:rsidR="00355E6A" w:rsidRPr="00AE7FB9" w:rsidRDefault="00355E6A" w:rsidP="00D92AE6">
      <w:pPr>
        <w:autoSpaceDE w:val="0"/>
        <w:autoSpaceDN w:val="0"/>
        <w:adjustRightInd w:val="0"/>
        <w:spacing w:after="0" w:line="360" w:lineRule="auto"/>
        <w:rPr>
          <w:rFonts w:eastAsia="Times New Roman" w:cs="Tahoma"/>
          <w:color w:val="auto"/>
          <w:szCs w:val="28"/>
          <w:lang w:val="es-ES" w:eastAsia="es-ES"/>
        </w:rPr>
      </w:pPr>
      <w:r w:rsidRPr="00AE7FB9">
        <w:rPr>
          <w:rFonts w:eastAsia="Times New Roman" w:cs="Tahoma"/>
          <w:color w:val="auto"/>
          <w:szCs w:val="28"/>
          <w:lang w:val="es-ES" w:eastAsia="es-ES"/>
        </w:rPr>
        <w:t xml:space="preserve">De las constancias que forma parte del Recurso de Revisión que se analiza, se advierte que previo al estudio del fondo de la </w:t>
      </w:r>
      <w:r w:rsidRPr="00AE7FB9">
        <w:rPr>
          <w:rFonts w:eastAsia="Times New Roman" w:cs="Tahoma"/>
          <w:i/>
          <w:color w:val="auto"/>
          <w:szCs w:val="28"/>
          <w:lang w:val="es-ES" w:eastAsia="es-ES"/>
        </w:rPr>
        <w:t>litis</w:t>
      </w:r>
      <w:r w:rsidRPr="00AE7FB9">
        <w:rPr>
          <w:rFonts w:eastAsia="Times New Roman" w:cs="Tahoma"/>
          <w:color w:val="auto"/>
          <w:szCs w:val="28"/>
          <w:lang w:val="es-ES" w:eastAsia="es-ES"/>
        </w:rPr>
        <w:t>, es necesario estudiar las causales de improcedencia y sobreseimiento que se adviertan, para determinar lo que en Derecho proceda.</w:t>
      </w:r>
    </w:p>
    <w:p w14:paraId="7C6F8E60" w14:textId="77777777" w:rsidR="00355E6A" w:rsidRPr="00AE7FB9" w:rsidRDefault="00355E6A" w:rsidP="00D92AE6">
      <w:pPr>
        <w:autoSpaceDE w:val="0"/>
        <w:autoSpaceDN w:val="0"/>
        <w:adjustRightInd w:val="0"/>
        <w:spacing w:after="0" w:line="360" w:lineRule="auto"/>
        <w:rPr>
          <w:rFonts w:eastAsia="Times New Roman" w:cs="Tahoma"/>
          <w:color w:val="auto"/>
          <w:szCs w:val="28"/>
          <w:lang w:val="es-ES" w:eastAsia="es-ES"/>
        </w:rPr>
      </w:pPr>
    </w:p>
    <w:p w14:paraId="5EB5F58E" w14:textId="069770B8" w:rsidR="00355E6A" w:rsidRPr="00AE7FB9" w:rsidRDefault="00355E6A" w:rsidP="00D92AE6">
      <w:pPr>
        <w:spacing w:after="0" w:line="360" w:lineRule="auto"/>
        <w:rPr>
          <w:rFonts w:eastAsia="Times New Roman" w:cs="Times New Roman"/>
          <w:b/>
          <w:color w:val="auto"/>
          <w:lang w:val="es-ES" w:eastAsia="es-ES"/>
        </w:rPr>
      </w:pPr>
      <w:r w:rsidRPr="00AE7FB9">
        <w:rPr>
          <w:rFonts w:eastAsia="Times New Roman" w:cs="Times New Roman"/>
          <w:b/>
          <w:color w:val="auto"/>
          <w:lang w:val="es-ES" w:eastAsia="es-ES"/>
        </w:rPr>
        <w:t>Causales de improcedencia.</w:t>
      </w:r>
    </w:p>
    <w:p w14:paraId="059A2C05" w14:textId="77777777" w:rsidR="00355E6A" w:rsidRPr="00AE7FB9" w:rsidRDefault="00355E6A" w:rsidP="00D92AE6">
      <w:pPr>
        <w:spacing w:after="0" w:line="360" w:lineRule="auto"/>
        <w:rPr>
          <w:rFonts w:eastAsia="Times New Roman" w:cs="Times New Roman"/>
          <w:b/>
          <w:color w:val="auto"/>
          <w:lang w:val="es-ES" w:eastAsia="es-ES"/>
        </w:rPr>
      </w:pPr>
    </w:p>
    <w:p w14:paraId="29B68DB3" w14:textId="77777777" w:rsidR="00E4643F" w:rsidRPr="00AE7FB9" w:rsidRDefault="00E4643F"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w:t>
      </w:r>
      <w:r w:rsidRPr="00AE7FB9">
        <w:rPr>
          <w:rFonts w:eastAsia="Times New Roman" w:cs="Tahoma"/>
          <w:color w:val="auto"/>
          <w:lang w:eastAsia="es-ES"/>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B66C2E0" w14:textId="77777777" w:rsidR="00E4643F" w:rsidRPr="00AE7FB9" w:rsidRDefault="00E4643F" w:rsidP="00D92AE6">
      <w:pPr>
        <w:spacing w:after="0" w:line="360" w:lineRule="auto"/>
        <w:contextualSpacing/>
        <w:rPr>
          <w:rFonts w:eastAsia="Times New Roman" w:cs="Tahoma"/>
          <w:color w:val="auto"/>
          <w:lang w:eastAsia="es-ES"/>
        </w:rPr>
      </w:pPr>
    </w:p>
    <w:p w14:paraId="104EE3B8" w14:textId="77777777" w:rsidR="00E4643F" w:rsidRPr="00AE7FB9" w:rsidRDefault="00E4643F" w:rsidP="00D92AE6">
      <w:pPr>
        <w:autoSpaceDE w:val="0"/>
        <w:autoSpaceDN w:val="0"/>
        <w:adjustRightInd w:val="0"/>
        <w:spacing w:after="0" w:line="360" w:lineRule="auto"/>
        <w:contextualSpacing/>
        <w:rPr>
          <w:rFonts w:eastAsia="Calibri" w:cs="Tahoma"/>
          <w:color w:val="000000"/>
          <w:lang w:eastAsia="es-MX"/>
        </w:rPr>
      </w:pPr>
      <w:r w:rsidRPr="00AE7FB9">
        <w:rPr>
          <w:rFonts w:eastAsia="Calibri" w:cs="Tahoma"/>
          <w:color w:val="000000"/>
          <w:lang w:eastAsia="es-MX"/>
        </w:rPr>
        <w:t xml:space="preserve">En el presente caso, </w:t>
      </w:r>
      <w:r w:rsidRPr="00AE7FB9">
        <w:rPr>
          <w:rFonts w:eastAsia="Calibri" w:cs="Tahoma"/>
          <w:b/>
          <w:color w:val="000000"/>
          <w:lang w:eastAsia="es-MX"/>
        </w:rPr>
        <w:t>no se actualiza ninguna de las causales de improcedencia</w:t>
      </w:r>
      <w:r w:rsidRPr="00AE7FB9">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3D82C33D" w14:textId="77777777" w:rsidR="00E4643F" w:rsidRPr="00AE7FB9" w:rsidRDefault="00E4643F" w:rsidP="00D92AE6">
      <w:pPr>
        <w:spacing w:after="0" w:line="360" w:lineRule="auto"/>
        <w:contextualSpacing/>
        <w:rPr>
          <w:rFonts w:eastAsia="Times New Roman" w:cs="Tahoma"/>
          <w:b/>
          <w:bCs/>
          <w:color w:val="auto"/>
          <w:lang w:eastAsia="es-ES"/>
        </w:rPr>
      </w:pPr>
    </w:p>
    <w:p w14:paraId="5C88DA3E" w14:textId="6C46719D" w:rsidR="00E4643F" w:rsidRPr="00AE7FB9" w:rsidRDefault="00E4643F" w:rsidP="00D92AE6">
      <w:pPr>
        <w:spacing w:after="0" w:line="360" w:lineRule="auto"/>
        <w:contextualSpacing/>
        <w:rPr>
          <w:rFonts w:eastAsia="Calibri" w:cs="Tahoma"/>
          <w:color w:val="000000"/>
          <w:lang w:eastAsia="es-MX"/>
        </w:rPr>
      </w:pPr>
      <w:r w:rsidRPr="00AE7FB9">
        <w:rPr>
          <w:rFonts w:eastAsia="Times New Roman" w:cs="Tahoma"/>
          <w:color w:val="auto"/>
          <w:lang w:eastAsia="es-ES"/>
        </w:rPr>
        <w:t>Asimismo, se actualiza la causal de procedencia del Recurso de Revisión señalada en el artículo 179, fracci</w:t>
      </w:r>
      <w:r w:rsidR="00792351" w:rsidRPr="00AE7FB9">
        <w:rPr>
          <w:rFonts w:eastAsia="Times New Roman" w:cs="Tahoma"/>
          <w:color w:val="auto"/>
          <w:lang w:eastAsia="es-ES"/>
        </w:rPr>
        <w:t>ón</w:t>
      </w:r>
      <w:r w:rsidRPr="00AE7FB9">
        <w:rPr>
          <w:rFonts w:eastAsia="Times New Roman" w:cs="Tahoma"/>
          <w:color w:val="auto"/>
          <w:lang w:eastAsia="es-ES"/>
        </w:rPr>
        <w:t xml:space="preserve"> V, </w:t>
      </w:r>
      <w:r w:rsidRPr="00AE7FB9">
        <w:rPr>
          <w:rFonts w:eastAsia="Calibri" w:cs="Tahoma"/>
          <w:color w:val="000000"/>
          <w:lang w:eastAsia="es-MX"/>
        </w:rPr>
        <w:t>Ley de Transparencia y Acceso a la Información Pública del Estado de México y Municipios</w:t>
      </w:r>
      <w:r w:rsidRPr="00AE7FB9">
        <w:rPr>
          <w:rFonts w:eastAsia="Times New Roman" w:cs="Tahoma"/>
          <w:color w:val="auto"/>
          <w:lang w:eastAsia="es-ES"/>
        </w:rPr>
        <w:t xml:space="preserve">, </w:t>
      </w:r>
      <w:r w:rsidRPr="00AE7FB9">
        <w:rPr>
          <w:rFonts w:eastAsia="Calibri" w:cs="Tahoma"/>
          <w:color w:val="000000"/>
          <w:lang w:eastAsia="es-MX"/>
        </w:rPr>
        <w:t xml:space="preserve">pues el Recurrente se inconformó con la </w:t>
      </w:r>
      <w:r w:rsidR="00792351" w:rsidRPr="00AE7FB9">
        <w:rPr>
          <w:rFonts w:eastAsia="Calibri" w:cs="Tahoma"/>
          <w:color w:val="000000"/>
          <w:lang w:eastAsia="es-MX"/>
        </w:rPr>
        <w:t>entrega de información incompleta</w:t>
      </w:r>
      <w:r w:rsidRPr="00AE7FB9">
        <w:rPr>
          <w:rFonts w:eastAsia="Calibri" w:cs="Tahoma"/>
          <w:color w:val="000000"/>
          <w:lang w:eastAsia="es-MX"/>
        </w:rPr>
        <w:t>.</w:t>
      </w:r>
    </w:p>
    <w:p w14:paraId="0929699F" w14:textId="77777777" w:rsidR="00E4643F" w:rsidRPr="00AE7FB9" w:rsidRDefault="00E4643F" w:rsidP="00D92AE6">
      <w:pPr>
        <w:spacing w:after="0" w:line="360" w:lineRule="auto"/>
        <w:contextualSpacing/>
        <w:rPr>
          <w:rFonts w:eastAsia="Times New Roman" w:cs="Tahoma"/>
          <w:b/>
          <w:bCs/>
          <w:color w:val="auto"/>
          <w:szCs w:val="24"/>
          <w:lang w:val="es-ES" w:eastAsia="es-ES"/>
        </w:rPr>
      </w:pPr>
    </w:p>
    <w:p w14:paraId="14C5BE39" w14:textId="77777777" w:rsidR="00E4643F" w:rsidRPr="00AE7FB9" w:rsidRDefault="00E4643F" w:rsidP="00D92AE6">
      <w:pPr>
        <w:spacing w:after="0" w:line="360" w:lineRule="auto"/>
        <w:contextualSpacing/>
        <w:rPr>
          <w:rFonts w:eastAsia="Times New Roman" w:cs="Tahoma"/>
          <w:b/>
          <w:bCs/>
          <w:color w:val="auto"/>
          <w:szCs w:val="24"/>
          <w:lang w:val="es-ES" w:eastAsia="es-ES"/>
        </w:rPr>
      </w:pPr>
      <w:r w:rsidRPr="00AE7FB9">
        <w:rPr>
          <w:rFonts w:eastAsia="Times New Roman" w:cs="Tahoma"/>
          <w:b/>
          <w:bCs/>
          <w:color w:val="auto"/>
          <w:szCs w:val="24"/>
          <w:lang w:val="es-ES" w:eastAsia="es-ES"/>
        </w:rPr>
        <w:t>TERCERO. Causales de sobreseimiento.</w:t>
      </w:r>
    </w:p>
    <w:p w14:paraId="7ACBFF75" w14:textId="77777777" w:rsidR="00355E6A" w:rsidRPr="00AE7FB9" w:rsidRDefault="00E4643F" w:rsidP="00D92AE6">
      <w:pPr>
        <w:spacing w:after="0" w:line="360" w:lineRule="auto"/>
        <w:contextualSpacing/>
        <w:rPr>
          <w:rFonts w:eastAsia="Times New Roman" w:cs="Tahoma"/>
          <w:color w:val="auto"/>
          <w:szCs w:val="24"/>
          <w:lang w:val="es-ES" w:eastAsia="es-ES"/>
        </w:rPr>
      </w:pPr>
      <w:r w:rsidRPr="00AE7FB9">
        <w:rPr>
          <w:rFonts w:eastAsia="Times New Roman" w:cs="Tahoma"/>
          <w:color w:val="auto"/>
          <w:szCs w:val="24"/>
          <w:lang w:val="es-ES" w:eastAsia="es-ES"/>
        </w:rPr>
        <w:br/>
        <w:t xml:space="preserve">Por ser de previo y especial pronunciamiento, este Instituto analiza si se actualiza alguna causal de sobreseimiento. </w:t>
      </w:r>
    </w:p>
    <w:p w14:paraId="438FF3EB" w14:textId="77777777" w:rsidR="00355E6A" w:rsidRPr="00AE7FB9" w:rsidRDefault="00355E6A" w:rsidP="00D92AE6">
      <w:pPr>
        <w:spacing w:after="0" w:line="360" w:lineRule="auto"/>
        <w:contextualSpacing/>
        <w:rPr>
          <w:rFonts w:eastAsia="Times New Roman" w:cs="Tahoma"/>
          <w:color w:val="auto"/>
          <w:szCs w:val="24"/>
          <w:lang w:val="es-ES" w:eastAsia="es-ES"/>
        </w:rPr>
      </w:pPr>
    </w:p>
    <w:p w14:paraId="048D5405" w14:textId="77777777" w:rsidR="00355E6A" w:rsidRPr="00AE7FB9" w:rsidRDefault="00E4643F" w:rsidP="00D92AE6">
      <w:pPr>
        <w:spacing w:after="0" w:line="360" w:lineRule="auto"/>
        <w:contextualSpacing/>
        <w:rPr>
          <w:rFonts w:cs="Tahoma"/>
        </w:rPr>
      </w:pPr>
      <w:r w:rsidRPr="00AE7FB9">
        <w:rPr>
          <w:rFonts w:cs="Tahoma"/>
        </w:rPr>
        <w:t xml:space="preserve">El artículo 192 de la Ley Transparencia y Acceso a la Información Pública del Estado de México y Municipios, señala las causales por las cuales se puede sobreseer en todo o en parte, </w:t>
      </w:r>
      <w:r w:rsidRPr="00AE7FB9">
        <w:rPr>
          <w:rFonts w:cs="Tahoma"/>
        </w:rPr>
        <w:lastRenderedPageBreak/>
        <w:t xml:space="preserve">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14:paraId="01D18366" w14:textId="77777777" w:rsidR="00355E6A" w:rsidRPr="00AE7FB9" w:rsidRDefault="00355E6A" w:rsidP="00D92AE6">
      <w:pPr>
        <w:spacing w:after="0" w:line="360" w:lineRule="auto"/>
        <w:contextualSpacing/>
        <w:rPr>
          <w:rFonts w:cs="Tahoma"/>
        </w:rPr>
      </w:pPr>
    </w:p>
    <w:p w14:paraId="011F52CC" w14:textId="3CDCE888" w:rsidR="00E4643F" w:rsidRPr="00AE7FB9" w:rsidRDefault="00E4643F" w:rsidP="00D92AE6">
      <w:pPr>
        <w:spacing w:after="0" w:line="360" w:lineRule="auto"/>
        <w:contextualSpacing/>
        <w:rPr>
          <w:rFonts w:cs="Tahoma"/>
          <w:lang w:val="es-ES"/>
        </w:rPr>
      </w:pPr>
      <w:r w:rsidRPr="00AE7FB9">
        <w:rPr>
          <w:rFonts w:cs="Tahoma"/>
          <w:bCs/>
          <w:lang w:val="es-ES"/>
        </w:rPr>
        <w:t xml:space="preserve">Por tales motivos, </w:t>
      </w:r>
      <w:r w:rsidRPr="00AE7FB9">
        <w:rPr>
          <w:rFonts w:cs="Tahoma"/>
          <w:lang w:val="es-ES"/>
        </w:rPr>
        <w:t xml:space="preserve">se considera procedente entrar al fondo del presente asunto. </w:t>
      </w:r>
    </w:p>
    <w:p w14:paraId="29B81787" w14:textId="77777777" w:rsidR="00E4643F" w:rsidRPr="00AE7FB9" w:rsidRDefault="00E4643F" w:rsidP="00D92AE6">
      <w:pPr>
        <w:tabs>
          <w:tab w:val="left" w:pos="4962"/>
        </w:tabs>
        <w:spacing w:after="0" w:line="360" w:lineRule="auto"/>
        <w:contextualSpacing/>
        <w:rPr>
          <w:rFonts w:eastAsia="Calibri" w:cs="Tahoma"/>
          <w:b/>
          <w:iCs/>
          <w:color w:val="auto"/>
          <w:lang w:val="es-ES" w:eastAsia="es-ES_tradnl"/>
        </w:rPr>
      </w:pPr>
    </w:p>
    <w:p w14:paraId="166B7176" w14:textId="77777777" w:rsidR="00E4643F" w:rsidRPr="00AE7FB9" w:rsidRDefault="00E4643F" w:rsidP="00D92AE6">
      <w:pPr>
        <w:tabs>
          <w:tab w:val="left" w:pos="4962"/>
        </w:tabs>
        <w:spacing w:after="0" w:line="360" w:lineRule="auto"/>
        <w:contextualSpacing/>
        <w:rPr>
          <w:rFonts w:eastAsia="Calibri" w:cs="Tahoma"/>
          <w:b/>
          <w:iCs/>
          <w:color w:val="auto"/>
          <w:lang w:val="es-ES" w:eastAsia="es-ES_tradnl"/>
        </w:rPr>
      </w:pPr>
      <w:r w:rsidRPr="00AE7FB9">
        <w:rPr>
          <w:rFonts w:eastAsia="Calibri" w:cs="Tahoma"/>
          <w:b/>
          <w:iCs/>
          <w:color w:val="auto"/>
          <w:lang w:val="es-ES" w:eastAsia="es-ES_tradnl"/>
        </w:rPr>
        <w:t xml:space="preserve">TERCERO. Determinación de la Controversia. </w:t>
      </w:r>
    </w:p>
    <w:p w14:paraId="32EC6B8F" w14:textId="77777777" w:rsidR="00E4643F" w:rsidRPr="00AE7FB9" w:rsidRDefault="00E4643F" w:rsidP="00D92AE6">
      <w:pPr>
        <w:tabs>
          <w:tab w:val="left" w:pos="4962"/>
        </w:tabs>
        <w:spacing w:after="0" w:line="360" w:lineRule="auto"/>
        <w:contextualSpacing/>
        <w:rPr>
          <w:rFonts w:eastAsia="Calibri" w:cs="Tahoma"/>
          <w:b/>
          <w:iCs/>
          <w:color w:val="auto"/>
          <w:lang w:val="es-ES" w:eastAsia="es-ES_tradnl"/>
        </w:rPr>
      </w:pPr>
    </w:p>
    <w:p w14:paraId="32E72B2C" w14:textId="2EC9B40C" w:rsidR="00E4643F" w:rsidRPr="00AE7FB9" w:rsidRDefault="00E4643F"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t xml:space="preserve">Con el objetivo de ilustrar la controversia planteada, resulta conveniente precisar, que una vez realizado el estudio de las constancias que integran el expediente en el que se actúa, se desprende que el Particular requirió </w:t>
      </w:r>
      <w:r w:rsidR="00705A38" w:rsidRPr="00AE7FB9">
        <w:rPr>
          <w:rFonts w:eastAsia="Times New Roman" w:cs="Tahoma"/>
          <w:color w:val="auto"/>
          <w:lang w:eastAsia="es-ES"/>
        </w:rPr>
        <w:t>d</w:t>
      </w:r>
      <w:r w:rsidR="00792351" w:rsidRPr="00AE7FB9">
        <w:rPr>
          <w:rFonts w:eastAsia="Times New Roman" w:cs="Tahoma"/>
          <w:color w:val="auto"/>
          <w:lang w:eastAsia="es-ES"/>
        </w:rPr>
        <w:t xml:space="preserve">el Ayuntamiento de </w:t>
      </w:r>
      <w:r w:rsidR="00355E6A" w:rsidRPr="00AE7FB9">
        <w:rPr>
          <w:rFonts w:eastAsia="Times New Roman" w:cs="Tahoma"/>
          <w:color w:val="auto"/>
          <w:lang w:eastAsia="es-ES"/>
        </w:rPr>
        <w:t>el Oro</w:t>
      </w:r>
      <w:r w:rsidRPr="00AE7FB9">
        <w:rPr>
          <w:rFonts w:eastAsia="Times New Roman" w:cs="Tahoma"/>
          <w:color w:val="auto"/>
          <w:lang w:eastAsia="es-ES"/>
        </w:rPr>
        <w:t xml:space="preserve">, </w:t>
      </w:r>
      <w:r w:rsidR="00705A38" w:rsidRPr="00AE7FB9">
        <w:rPr>
          <w:rFonts w:eastAsia="Times New Roman" w:cs="Tahoma"/>
          <w:color w:val="auto"/>
          <w:lang w:eastAsia="es-ES"/>
        </w:rPr>
        <w:t xml:space="preserve">la nómina general y lista de raya </w:t>
      </w:r>
      <w:r w:rsidRPr="00AE7FB9">
        <w:rPr>
          <w:rFonts w:eastAsia="Times New Roman" w:cs="Tahoma"/>
          <w:color w:val="auto"/>
          <w:lang w:eastAsia="es-ES"/>
        </w:rPr>
        <w:t>de</w:t>
      </w:r>
      <w:r w:rsidR="00705A38" w:rsidRPr="00AE7FB9">
        <w:rPr>
          <w:rFonts w:eastAsia="Times New Roman" w:cs="Tahoma"/>
          <w:color w:val="auto"/>
          <w:lang w:eastAsia="es-ES"/>
        </w:rPr>
        <w:t xml:space="preserve"> </w:t>
      </w:r>
      <w:r w:rsidRPr="00AE7FB9">
        <w:rPr>
          <w:rFonts w:eastAsia="Times New Roman" w:cs="Tahoma"/>
          <w:color w:val="auto"/>
          <w:lang w:eastAsia="es-ES"/>
        </w:rPr>
        <w:t>l</w:t>
      </w:r>
      <w:r w:rsidR="00705A38" w:rsidRPr="00AE7FB9">
        <w:rPr>
          <w:rFonts w:eastAsia="Times New Roman" w:cs="Tahoma"/>
          <w:color w:val="auto"/>
          <w:lang w:eastAsia="es-ES"/>
        </w:rPr>
        <w:t>as</w:t>
      </w:r>
      <w:r w:rsidRPr="00AE7FB9">
        <w:rPr>
          <w:rFonts w:eastAsia="Times New Roman" w:cs="Tahoma"/>
          <w:color w:val="auto"/>
          <w:lang w:eastAsia="es-ES"/>
        </w:rPr>
        <w:t xml:space="preserve"> </w:t>
      </w:r>
      <w:r w:rsidR="00705A38" w:rsidRPr="00AE7FB9">
        <w:rPr>
          <w:rFonts w:eastAsia="Times New Roman" w:cs="Tahoma"/>
          <w:color w:val="auto"/>
          <w:lang w:eastAsia="es-ES"/>
        </w:rPr>
        <w:t xml:space="preserve">quincenas </w:t>
      </w:r>
      <w:r w:rsidRPr="00AE7FB9">
        <w:rPr>
          <w:rFonts w:eastAsia="Times New Roman" w:cs="Tahoma"/>
          <w:color w:val="auto"/>
          <w:lang w:eastAsia="es-ES"/>
        </w:rPr>
        <w:t>de enero.</w:t>
      </w:r>
      <w:r w:rsidR="00705A38" w:rsidRPr="00AE7FB9">
        <w:rPr>
          <w:rFonts w:eastAsia="Times New Roman" w:cs="Tahoma"/>
          <w:color w:val="auto"/>
          <w:lang w:eastAsia="es-ES"/>
        </w:rPr>
        <w:t xml:space="preserve"> </w:t>
      </w:r>
    </w:p>
    <w:p w14:paraId="69700D7D" w14:textId="77777777" w:rsidR="00E4643F" w:rsidRPr="00AE7FB9" w:rsidRDefault="00E4643F" w:rsidP="00D92AE6">
      <w:pPr>
        <w:spacing w:after="0" w:line="360" w:lineRule="auto"/>
        <w:contextualSpacing/>
        <w:rPr>
          <w:rFonts w:eastAsia="Times New Roman" w:cs="Tahoma"/>
          <w:color w:val="auto"/>
          <w:lang w:eastAsia="es-ES"/>
        </w:rPr>
      </w:pPr>
    </w:p>
    <w:p w14:paraId="0AC25615" w14:textId="0454505E" w:rsidR="00E4643F" w:rsidRPr="00AE7FB9" w:rsidRDefault="00E4643F" w:rsidP="00D92AE6">
      <w:pPr>
        <w:spacing w:after="0" w:line="360" w:lineRule="auto"/>
        <w:contextualSpacing/>
        <w:rPr>
          <w:rFonts w:eastAsia="Calibri" w:cs="Tahoma"/>
          <w:lang w:val="es-ES"/>
        </w:rPr>
      </w:pPr>
      <w:r w:rsidRPr="00AE7FB9">
        <w:rPr>
          <w:rFonts w:eastAsia="Times New Roman" w:cs="Times New Roman"/>
          <w:color w:val="auto"/>
          <w:lang w:eastAsia="es-ES"/>
        </w:rPr>
        <w:t>En respuesta, el Sujeto Obligado,</w:t>
      </w:r>
      <w:r w:rsidR="00355E6A" w:rsidRPr="00AE7FB9">
        <w:rPr>
          <w:rFonts w:eastAsia="Times New Roman" w:cs="Times New Roman"/>
          <w:color w:val="auto"/>
          <w:lang w:eastAsia="es-ES"/>
        </w:rPr>
        <w:t xml:space="preserve"> a través de la Tesorería Municipal,</w:t>
      </w:r>
      <w:r w:rsidRPr="00AE7FB9">
        <w:rPr>
          <w:rFonts w:eastAsia="Times New Roman" w:cs="Times New Roman"/>
          <w:color w:val="auto"/>
          <w:lang w:eastAsia="es-ES"/>
        </w:rPr>
        <w:t xml:space="preserve"> </w:t>
      </w:r>
      <w:r w:rsidR="00705A38" w:rsidRPr="00AE7FB9">
        <w:rPr>
          <w:rFonts w:eastAsia="Times New Roman" w:cs="Times New Roman"/>
          <w:color w:val="auto"/>
          <w:lang w:eastAsia="es-ES"/>
        </w:rPr>
        <w:t xml:space="preserve">proporcionó dos listados de servidores públicos </w:t>
      </w:r>
      <w:r w:rsidR="001B5B82" w:rsidRPr="00AE7FB9">
        <w:rPr>
          <w:rFonts w:eastAsia="Calibri" w:cs="Tahoma"/>
          <w:bCs/>
        </w:rPr>
        <w:t>con apellidos, nombre, sueldo bruto, percepciones, deducciones y sueldo neto de las quincenas de enero del año dos mil veintidós</w:t>
      </w:r>
      <w:r w:rsidR="00355E6A" w:rsidRPr="00AE7FB9">
        <w:rPr>
          <w:rFonts w:eastAsia="Calibri" w:cs="Tahoma"/>
          <w:bCs/>
        </w:rPr>
        <w:t>, y precisó que no tenía lista de raya</w:t>
      </w:r>
      <w:r w:rsidRPr="00AE7FB9">
        <w:rPr>
          <w:rFonts w:eastAsia="Times New Roman" w:cs="Times New Roman"/>
          <w:color w:val="auto"/>
          <w:lang w:eastAsia="es-ES"/>
        </w:rPr>
        <w:t>;</w:t>
      </w:r>
      <w:r w:rsidR="001B5B82" w:rsidRPr="00AE7FB9">
        <w:rPr>
          <w:rFonts w:eastAsia="Times New Roman" w:cs="Times New Roman"/>
          <w:color w:val="auto"/>
          <w:lang w:eastAsia="es-ES"/>
        </w:rPr>
        <w:t xml:space="preserve"> </w:t>
      </w:r>
      <w:r w:rsidRPr="00AE7FB9">
        <w:rPr>
          <w:rFonts w:eastAsia="Times New Roman" w:cs="Times New Roman"/>
          <w:color w:val="auto"/>
          <w:lang w:eastAsia="es-ES"/>
        </w:rPr>
        <w:t xml:space="preserve">ante dicha circunstancia, la parte Recurrente se inconformó con la </w:t>
      </w:r>
      <w:r w:rsidR="001B5B82" w:rsidRPr="00AE7FB9">
        <w:rPr>
          <w:rFonts w:eastAsia="Times New Roman" w:cs="Times New Roman"/>
          <w:color w:val="auto"/>
          <w:lang w:eastAsia="es-ES"/>
        </w:rPr>
        <w:t>entrega de información incompleta</w:t>
      </w:r>
      <w:r w:rsidRPr="00AE7FB9">
        <w:rPr>
          <w:rFonts w:eastAsia="Times New Roman" w:cs="Times New Roman"/>
          <w:color w:val="auto"/>
          <w:lang w:eastAsia="es-ES"/>
        </w:rPr>
        <w:t xml:space="preserve">, </w:t>
      </w:r>
      <w:r w:rsidRPr="00AE7FB9">
        <w:rPr>
          <w:rFonts w:eastAsia="Calibri" w:cs="Tahoma"/>
          <w:bCs/>
          <w:iCs/>
          <w:lang w:val="es-ES"/>
        </w:rPr>
        <w:t xml:space="preserve">lo cual actualiza el supuesto previsto en el artículo 179, fracción V, de la Ley de Transparencia y Acceso a la Información Pública del Estado de México y Municipios, </w:t>
      </w:r>
      <w:r w:rsidR="001B5B82" w:rsidRPr="00AE7FB9">
        <w:rPr>
          <w:rFonts w:eastAsia="Times New Roman" w:cs="Times New Roman"/>
          <w:color w:val="auto"/>
          <w:lang w:eastAsia="es-ES"/>
        </w:rPr>
        <w:t xml:space="preserve">al señalar que los listados no contenían </w:t>
      </w:r>
      <w:r w:rsidR="00D92AE6" w:rsidRPr="00AE7FB9">
        <w:rPr>
          <w:rFonts w:eastAsia="Times New Roman" w:cs="Times New Roman"/>
          <w:color w:val="auto"/>
          <w:lang w:eastAsia="es-ES"/>
        </w:rPr>
        <w:t>toda la información requerida</w:t>
      </w:r>
      <w:r w:rsidRPr="00AE7FB9">
        <w:rPr>
          <w:rFonts w:eastAsia="Calibri" w:cs="Tahoma"/>
          <w:bCs/>
          <w:iCs/>
          <w:shd w:val="clear" w:color="auto" w:fill="FFFFFF"/>
        </w:rPr>
        <w:t>.</w:t>
      </w:r>
      <w:r w:rsidRPr="00AE7FB9">
        <w:rPr>
          <w:rFonts w:eastAsia="Calibri" w:cs="Tahoma"/>
          <w:bCs/>
          <w:iCs/>
          <w:color w:val="000000"/>
          <w:lang w:val="es-ES_tradnl"/>
        </w:rPr>
        <w:t xml:space="preserve"> </w:t>
      </w:r>
    </w:p>
    <w:p w14:paraId="2D98EF34" w14:textId="77777777" w:rsidR="006D2726" w:rsidRPr="00AE7FB9" w:rsidRDefault="006D2726" w:rsidP="00D92AE6">
      <w:pPr>
        <w:spacing w:after="0" w:line="360" w:lineRule="auto"/>
        <w:contextualSpacing/>
        <w:rPr>
          <w:rFonts w:eastAsia="Calibri" w:cs="Tahoma"/>
          <w:lang w:val="es-ES"/>
        </w:rPr>
      </w:pPr>
    </w:p>
    <w:p w14:paraId="218A50AF" w14:textId="43B93822" w:rsidR="006D2726" w:rsidRPr="00AE7FB9" w:rsidRDefault="006D2726" w:rsidP="00D92AE6">
      <w:pPr>
        <w:spacing w:after="0" w:line="360" w:lineRule="auto"/>
        <w:contextualSpacing/>
        <w:rPr>
          <w:color w:val="000000"/>
          <w:lang w:eastAsia="es-ES_tradnl"/>
        </w:rPr>
      </w:pPr>
      <w:r w:rsidRPr="00AE7FB9">
        <w:rPr>
          <w:color w:val="000000"/>
          <w:lang w:eastAsia="es-ES_tradnl"/>
        </w:rPr>
        <w:t xml:space="preserve">Conforme a lo anterior, se logra vislumbrar que el Particular </w:t>
      </w:r>
      <w:r w:rsidRPr="00AE7FB9">
        <w:rPr>
          <w:color w:val="000000"/>
          <w:lang w:val="x-none" w:eastAsia="es-ES_tradnl"/>
        </w:rPr>
        <w:t>no se inconform</w:t>
      </w:r>
      <w:r w:rsidRPr="00AE7FB9">
        <w:rPr>
          <w:color w:val="000000"/>
          <w:lang w:eastAsia="es-ES_tradnl"/>
        </w:rPr>
        <w:t xml:space="preserve">ó con el año de la información proporcionada es decir, </w:t>
      </w:r>
      <w:r w:rsidR="00017D0A" w:rsidRPr="00AE7FB9">
        <w:rPr>
          <w:color w:val="000000"/>
          <w:lang w:eastAsia="es-ES_tradnl"/>
        </w:rPr>
        <w:t xml:space="preserve">respecto de </w:t>
      </w:r>
      <w:r w:rsidRPr="00AE7FB9">
        <w:rPr>
          <w:color w:val="000000"/>
          <w:lang w:eastAsia="es-ES_tradnl"/>
        </w:rPr>
        <w:t>dos mil veintidós</w:t>
      </w:r>
      <w:r w:rsidR="00D92AE6" w:rsidRPr="00AE7FB9">
        <w:rPr>
          <w:color w:val="000000"/>
          <w:lang w:eastAsia="es-ES_tradnl"/>
        </w:rPr>
        <w:t>, así como, tampoco de la inexistencia de la lista de raya</w:t>
      </w:r>
      <w:r w:rsidRPr="00AE7FB9">
        <w:rPr>
          <w:color w:val="000000"/>
          <w:lang w:eastAsia="es-ES_tradnl"/>
        </w:rPr>
        <w:t xml:space="preserve">; por lo que, no se hará pronunciamiento respecto a dicha situación, de conformidad con el artículo 195 de la Ley de Transparencia y Acceso a la </w:t>
      </w:r>
      <w:r w:rsidRPr="00AE7FB9">
        <w:rPr>
          <w:color w:val="000000"/>
          <w:lang w:eastAsia="es-ES_tradnl"/>
        </w:rPr>
        <w:lastRenderedPageBreak/>
        <w:t>Información Pública del Estado de México y Municipios, con relación con el diverso 195, fracción IV, de Código de Procedimientos Administrativos del Estado de México, que establece que será improcedente el recurso contra </w:t>
      </w:r>
      <w:r w:rsidRPr="00AE7FB9">
        <w:rPr>
          <w:b/>
          <w:bCs/>
          <w:color w:val="000000"/>
          <w:lang w:eastAsia="es-ES_tradnl"/>
        </w:rPr>
        <w:t>los actos que se hayan consentido tácitamente,</w:t>
      </w:r>
      <w:r w:rsidRPr="00AE7FB9">
        <w:rPr>
          <w:color w:val="000000"/>
          <w:lang w:eastAsia="es-ES_tradnl"/>
        </w:rPr>
        <w:t> entendiéndose por estos cuando el agravio no se haya promovido en el plazo señalado para el efecto.</w:t>
      </w:r>
    </w:p>
    <w:p w14:paraId="5246025E" w14:textId="77777777" w:rsidR="006D2726" w:rsidRPr="00AE7FB9" w:rsidRDefault="006D2726" w:rsidP="00D92AE6">
      <w:pPr>
        <w:autoSpaceDE w:val="0"/>
        <w:autoSpaceDN w:val="0"/>
        <w:adjustRightInd w:val="0"/>
        <w:spacing w:after="0" w:line="360" w:lineRule="auto"/>
        <w:contextualSpacing/>
        <w:rPr>
          <w:rFonts w:cs="Tahoma"/>
          <w:bCs/>
          <w:iCs/>
          <w:color w:val="auto"/>
          <w:lang w:val="es-ES" w:eastAsia="es-ES"/>
        </w:rPr>
      </w:pPr>
    </w:p>
    <w:p w14:paraId="62D5C436" w14:textId="77777777" w:rsidR="006D2726" w:rsidRPr="00AE7FB9" w:rsidRDefault="006D2726" w:rsidP="00D92AE6">
      <w:pPr>
        <w:spacing w:after="0" w:line="360" w:lineRule="auto"/>
        <w:contextualSpacing/>
        <w:rPr>
          <w:rFonts w:cs="Times New Roman"/>
          <w:color w:val="000000"/>
          <w:lang w:eastAsia="es-ES_tradnl"/>
        </w:rPr>
      </w:pPr>
      <w:r w:rsidRPr="00AE7FB9">
        <w:rPr>
          <w:color w:val="000000"/>
          <w:lang w:eastAsia="es-ES_tradnl"/>
        </w:rPr>
        <w:t>De la misma manera resulta aplicable el criterio sostenido por el Poder Judicial de la Federación de rubro </w:t>
      </w:r>
      <w:r w:rsidRPr="00AE7FB9">
        <w:rPr>
          <w:b/>
          <w:bCs/>
          <w:color w:val="000000"/>
          <w:lang w:eastAsia="es-ES_tradnl"/>
        </w:rPr>
        <w:t>ACTOS CONSENTIDOS TÁCITAMENTE</w:t>
      </w:r>
      <w:r w:rsidRPr="00AE7FB9">
        <w:rPr>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DD53352" w14:textId="77777777" w:rsidR="006D2726" w:rsidRPr="00AE7FB9" w:rsidRDefault="006D2726" w:rsidP="00D92AE6">
      <w:pPr>
        <w:spacing w:after="0" w:line="360" w:lineRule="auto"/>
        <w:contextualSpacing/>
        <w:rPr>
          <w:color w:val="000000"/>
          <w:lang w:eastAsia="es-ES_tradnl"/>
        </w:rPr>
      </w:pPr>
      <w:r w:rsidRPr="00AE7FB9">
        <w:rPr>
          <w:color w:val="000000"/>
          <w:lang w:eastAsia="es-ES_tradnl"/>
        </w:rPr>
        <w:t> </w:t>
      </w:r>
    </w:p>
    <w:p w14:paraId="371E9340" w14:textId="76502CAA" w:rsidR="006D2726" w:rsidRPr="00AE7FB9" w:rsidRDefault="006D2726" w:rsidP="00D92AE6">
      <w:pPr>
        <w:spacing w:after="0" w:line="360" w:lineRule="auto"/>
        <w:contextualSpacing/>
        <w:rPr>
          <w:rFonts w:cs="Tahoma"/>
          <w:bCs/>
          <w:color w:val="auto"/>
          <w:lang w:eastAsia="es-ES"/>
        </w:rPr>
      </w:pPr>
      <w:r w:rsidRPr="00AE7FB9">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w:t>
      </w:r>
      <w:r w:rsidR="00B76097" w:rsidRPr="00AE7FB9">
        <w:rPr>
          <w:color w:val="000000"/>
          <w:lang w:eastAsia="es-ES_tradnl"/>
        </w:rPr>
        <w:t>a</w:t>
      </w:r>
      <w:r w:rsidRPr="00AE7FB9">
        <w:rPr>
          <w:color w:val="000000"/>
          <w:lang w:eastAsia="es-ES_tradnl"/>
        </w:rPr>
        <w:t>lida la respuesta respecto de los puntos no controvertidos y se arriba a la conclusión de que estos quedaron firmes. </w:t>
      </w:r>
      <w:r w:rsidRPr="00AE7FB9">
        <w:rPr>
          <w:rFonts w:cs="Tahoma"/>
          <w:bCs/>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14:paraId="2B03DC83" w14:textId="77777777" w:rsidR="006D2726" w:rsidRPr="00AE7FB9" w:rsidRDefault="006D2726" w:rsidP="00D92AE6">
      <w:pPr>
        <w:spacing w:after="0" w:line="360" w:lineRule="auto"/>
        <w:contextualSpacing/>
        <w:rPr>
          <w:rFonts w:cs="Times New Roman"/>
          <w:color w:val="000000"/>
          <w:lang w:eastAsia="es-ES_tradnl"/>
        </w:rPr>
      </w:pPr>
      <w:r w:rsidRPr="00AE7FB9">
        <w:rPr>
          <w:color w:val="000000"/>
          <w:lang w:eastAsia="es-ES_tradnl"/>
        </w:rPr>
        <w:t> </w:t>
      </w:r>
    </w:p>
    <w:p w14:paraId="4E2F5466" w14:textId="77777777" w:rsidR="006D2726" w:rsidRPr="00AE7FB9" w:rsidRDefault="006D2726" w:rsidP="00D92AE6">
      <w:pPr>
        <w:spacing w:after="0" w:line="360" w:lineRule="auto"/>
        <w:ind w:left="567" w:right="567"/>
        <w:contextualSpacing/>
        <w:rPr>
          <w:color w:val="000000"/>
          <w:sz w:val="18"/>
          <w:lang w:eastAsia="es-ES_tradnl"/>
        </w:rPr>
      </w:pPr>
      <w:r w:rsidRPr="00AE7FB9">
        <w:rPr>
          <w:b/>
          <w:bCs/>
          <w:i/>
          <w:iCs/>
          <w:color w:val="000000"/>
          <w:sz w:val="20"/>
          <w:lang w:eastAsia="es-ES_tradnl"/>
        </w:rPr>
        <w:t>“Actos consentidos tácitamente. Improcedencia de su análisis. </w:t>
      </w:r>
      <w:r w:rsidRPr="00AE7FB9">
        <w:rPr>
          <w:i/>
          <w:iCs/>
          <w:color w:val="000000"/>
          <w:sz w:val="2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8C5997C" w14:textId="77777777" w:rsidR="006D2726" w:rsidRPr="00AE7FB9" w:rsidRDefault="006D2726" w:rsidP="00D92AE6">
      <w:pPr>
        <w:spacing w:after="0" w:line="360" w:lineRule="auto"/>
        <w:contextualSpacing/>
        <w:rPr>
          <w:color w:val="000000"/>
          <w:lang w:eastAsia="es-ES_tradnl"/>
        </w:rPr>
      </w:pPr>
    </w:p>
    <w:p w14:paraId="35664096" w14:textId="77777777" w:rsidR="00D92AE6" w:rsidRPr="00AE7FB9" w:rsidRDefault="006D2726" w:rsidP="00D92AE6">
      <w:pPr>
        <w:spacing w:after="0" w:line="360" w:lineRule="auto"/>
        <w:contextualSpacing/>
        <w:rPr>
          <w:color w:val="000000"/>
          <w:lang w:eastAsia="es-ES_tradnl"/>
        </w:rPr>
      </w:pPr>
      <w:r w:rsidRPr="00AE7FB9">
        <w:rPr>
          <w:color w:val="000000"/>
          <w:lang w:eastAsia="es-ES_tradnl"/>
        </w:rPr>
        <w:lastRenderedPageBreak/>
        <w:t>Conforme al Criterio establecido, es improcedente entrar al análisis de las partes de la respuesta del Sujeto Obligado que no fueron impugnadas por la Recurrente; por lo que, en el presente caso, se tiene por consentido el</w:t>
      </w:r>
      <w:r w:rsidR="00D92AE6" w:rsidRPr="00AE7FB9">
        <w:rPr>
          <w:color w:val="000000"/>
          <w:lang w:eastAsia="es-ES_tradnl"/>
        </w:rPr>
        <w:t xml:space="preserve"> mes y</w:t>
      </w:r>
      <w:r w:rsidR="00B76097" w:rsidRPr="00AE7FB9">
        <w:rPr>
          <w:color w:val="000000"/>
          <w:lang w:eastAsia="es-ES_tradnl"/>
        </w:rPr>
        <w:t xml:space="preserve"> año </w:t>
      </w:r>
      <w:r w:rsidR="00D92AE6" w:rsidRPr="00AE7FB9">
        <w:rPr>
          <w:color w:val="000000"/>
          <w:lang w:eastAsia="es-ES_tradnl"/>
        </w:rPr>
        <w:t>de entrega de la información y la inexistencia de la lista de raya</w:t>
      </w:r>
      <w:r w:rsidRPr="00AE7FB9">
        <w:rPr>
          <w:color w:val="000000"/>
          <w:lang w:eastAsia="es-ES_tradnl"/>
        </w:rPr>
        <w:t xml:space="preserve">. </w:t>
      </w:r>
    </w:p>
    <w:p w14:paraId="5DA4ECEF" w14:textId="77777777" w:rsidR="00D92AE6" w:rsidRPr="00AE7FB9" w:rsidRDefault="00D92AE6" w:rsidP="00D92AE6">
      <w:pPr>
        <w:spacing w:after="0" w:line="360" w:lineRule="auto"/>
        <w:contextualSpacing/>
        <w:rPr>
          <w:color w:val="000000"/>
          <w:lang w:eastAsia="es-ES_tradnl"/>
        </w:rPr>
      </w:pPr>
    </w:p>
    <w:p w14:paraId="35EAB52F" w14:textId="1B2262EB" w:rsidR="00B76097" w:rsidRPr="00AE7FB9" w:rsidRDefault="00B76097" w:rsidP="00D92AE6">
      <w:pPr>
        <w:spacing w:after="0" w:line="360" w:lineRule="auto"/>
        <w:contextualSpacing/>
        <w:rPr>
          <w:rFonts w:eastAsia="Calibri" w:cs="Tahoma"/>
          <w:b/>
          <w:bCs/>
          <w:lang w:val="es-ES"/>
        </w:rPr>
      </w:pPr>
      <w:r w:rsidRPr="00AE7FB9">
        <w:rPr>
          <w:rFonts w:eastAsia="Calibri" w:cs="Tahoma"/>
          <w:lang w:val="es-ES"/>
        </w:rPr>
        <w:t>Así las cosas, una vez admitido y notificado el Recurso de Revisión a las partes, el Sujeto Obligado proporcionó los listados entregados en respuesta</w:t>
      </w:r>
      <w:r w:rsidR="006814D6" w:rsidRPr="00AE7FB9">
        <w:rPr>
          <w:rFonts w:eastAsia="Calibri" w:cs="Tahoma"/>
          <w:lang w:val="es-ES"/>
        </w:rPr>
        <w:t>,</w:t>
      </w:r>
      <w:r w:rsidRPr="00AE7FB9">
        <w:rPr>
          <w:rFonts w:eastAsia="Calibri" w:cs="Tahoma"/>
          <w:lang w:val="es-ES"/>
        </w:rPr>
        <w:t xml:space="preserve"> </w:t>
      </w:r>
      <w:r w:rsidRPr="00AE7FB9">
        <w:rPr>
          <w:rFonts w:eastAsia="Calibri" w:cs="Tahoma"/>
          <w:bCs/>
        </w:rPr>
        <w:t>con número de empleado, categoría o puesto, apellidos, nombre, área de adscripción, sueldo bruto, percepciones, deducciones y sueldo neto</w:t>
      </w:r>
      <w:r w:rsidRPr="00AE7FB9">
        <w:rPr>
          <w:rFonts w:eastAsia="Calibri" w:cs="Tahoma"/>
          <w:lang w:val="es-ES"/>
        </w:rPr>
        <w:t xml:space="preserve"> de las quincenas de enero de dos mil veintidós. </w:t>
      </w:r>
    </w:p>
    <w:p w14:paraId="5C6D215E" w14:textId="08359A9A" w:rsidR="00E4643F" w:rsidRPr="00AE7FB9" w:rsidRDefault="00E4643F" w:rsidP="00D92AE6">
      <w:pPr>
        <w:spacing w:after="0" w:line="360" w:lineRule="auto"/>
        <w:contextualSpacing/>
        <w:rPr>
          <w:rFonts w:eastAsia="Times New Roman" w:cs="Tahoma"/>
          <w:iCs/>
          <w:color w:val="auto"/>
          <w:shd w:val="clear" w:color="auto" w:fill="FFFFFF"/>
          <w:lang w:val="es-ES" w:eastAsia="es-ES"/>
        </w:rPr>
      </w:pPr>
    </w:p>
    <w:p w14:paraId="395E4B18" w14:textId="7B8FC25E" w:rsidR="00E4643F" w:rsidRPr="00AE7FB9" w:rsidRDefault="00E4643F" w:rsidP="00D92AE6">
      <w:pPr>
        <w:spacing w:after="0" w:line="360" w:lineRule="auto"/>
        <w:contextualSpacing/>
        <w:rPr>
          <w:rFonts w:eastAsia="Times New Roman" w:cs="Times New Roman"/>
          <w:color w:val="auto"/>
          <w:lang w:eastAsia="es-ES"/>
        </w:rPr>
      </w:pPr>
      <w:r w:rsidRPr="00AE7FB9">
        <w:rPr>
          <w:rFonts w:eastAsia="Times New Roman" w:cs="Times New Roman"/>
          <w:color w:val="auto"/>
          <w:lang w:eastAsia="es-ES"/>
        </w:rPr>
        <w:t>Lo anterior, se desprende de las documentales que obran en el expediente de referencia, materia de la presente resolución, consistentes en: la solicitud de acceso a la información; la respuesta proporcionada</w:t>
      </w:r>
      <w:r w:rsidR="00B76097" w:rsidRPr="00AE7FB9">
        <w:rPr>
          <w:rFonts w:eastAsia="Times New Roman" w:cs="Times New Roman"/>
          <w:color w:val="auto"/>
          <w:lang w:eastAsia="es-ES"/>
        </w:rPr>
        <w:t>,</w:t>
      </w:r>
      <w:r w:rsidRPr="00AE7FB9">
        <w:rPr>
          <w:rFonts w:eastAsia="Times New Roman" w:cs="Times New Roman"/>
          <w:color w:val="auto"/>
          <w:lang w:eastAsia="es-ES"/>
        </w:rPr>
        <w:t xml:space="preserve"> el escrito </w:t>
      </w:r>
      <w:proofErr w:type="spellStart"/>
      <w:r w:rsidRPr="00AE7FB9">
        <w:rPr>
          <w:rFonts w:eastAsia="Times New Roman" w:cs="Times New Roman"/>
          <w:color w:val="auto"/>
          <w:lang w:eastAsia="es-ES"/>
        </w:rPr>
        <w:t>recursal</w:t>
      </w:r>
      <w:proofErr w:type="spellEnd"/>
      <w:r w:rsidR="00B76097" w:rsidRPr="00AE7FB9">
        <w:rPr>
          <w:rFonts w:eastAsia="Times New Roman" w:cs="Times New Roman"/>
          <w:color w:val="auto"/>
          <w:lang w:eastAsia="es-ES"/>
        </w:rPr>
        <w:t xml:space="preserve"> y el informe justificado</w:t>
      </w:r>
      <w:r w:rsidRPr="00AE7FB9">
        <w:rPr>
          <w:rFonts w:eastAsia="Times New Roman" w:cs="Times New Roman"/>
          <w:color w:val="auto"/>
          <w:lang w:eastAsia="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5DB8F995" w14:textId="77777777" w:rsidR="00017D0A" w:rsidRPr="00AE7FB9" w:rsidRDefault="00017D0A" w:rsidP="00D92AE6">
      <w:pPr>
        <w:spacing w:after="0" w:line="360" w:lineRule="auto"/>
        <w:contextualSpacing/>
        <w:rPr>
          <w:rFonts w:eastAsia="Times New Roman" w:cs="Times New Roman"/>
          <w:color w:val="auto"/>
          <w:lang w:eastAsia="es-ES"/>
        </w:rPr>
      </w:pPr>
    </w:p>
    <w:p w14:paraId="7173B2E7" w14:textId="77777777" w:rsidR="00E4643F" w:rsidRPr="00AE7FB9" w:rsidRDefault="00E4643F" w:rsidP="00D92AE6">
      <w:pPr>
        <w:spacing w:after="0" w:line="360" w:lineRule="auto"/>
        <w:contextualSpacing/>
        <w:rPr>
          <w:rFonts w:eastAsia="Times New Roman" w:cs="Tahoma"/>
          <w:b/>
          <w:color w:val="auto"/>
          <w:lang w:eastAsia="es-ES"/>
        </w:rPr>
      </w:pPr>
      <w:r w:rsidRPr="00AE7FB9">
        <w:rPr>
          <w:rFonts w:eastAsia="Times New Roman" w:cs="Tahoma"/>
          <w:b/>
          <w:color w:val="auto"/>
          <w:lang w:eastAsia="es-ES"/>
        </w:rPr>
        <w:t>CUARTO. Marco normativo aplicable en materia de transparencia y acceso a la información pública.</w:t>
      </w:r>
    </w:p>
    <w:p w14:paraId="7EA34A4A" w14:textId="77777777" w:rsidR="00E4643F" w:rsidRPr="00AE7FB9" w:rsidRDefault="00E4643F" w:rsidP="00D92AE6">
      <w:pPr>
        <w:spacing w:after="0" w:line="360" w:lineRule="auto"/>
        <w:contextualSpacing/>
        <w:rPr>
          <w:rFonts w:eastAsia="Times New Roman" w:cs="Tahoma"/>
          <w:b/>
          <w:color w:val="auto"/>
          <w:lang w:eastAsia="es-ES"/>
        </w:rPr>
      </w:pPr>
    </w:p>
    <w:p w14:paraId="5965FB2F" w14:textId="77777777" w:rsidR="00E4643F" w:rsidRPr="00AE7FB9" w:rsidRDefault="00E4643F"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8620F1E" w14:textId="77777777" w:rsidR="00E4643F" w:rsidRPr="00AE7FB9" w:rsidRDefault="00E4643F" w:rsidP="00D92AE6">
      <w:pPr>
        <w:spacing w:after="0" w:line="360" w:lineRule="auto"/>
        <w:contextualSpacing/>
        <w:rPr>
          <w:rFonts w:eastAsia="Times New Roman" w:cs="Tahoma"/>
          <w:color w:val="auto"/>
          <w:lang w:eastAsia="es-ES"/>
        </w:rPr>
      </w:pPr>
    </w:p>
    <w:p w14:paraId="24EAD1F5" w14:textId="77777777" w:rsidR="00E4643F" w:rsidRPr="00AE7FB9" w:rsidRDefault="00E4643F"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t xml:space="preserve">La Ley General de Transparencia y Acceso a la Información Pública, publicada en el Diario Oficial de la Federación el cuatro de mayo de dos mil quince, dispone en su artículo 70, la </w:t>
      </w:r>
      <w:r w:rsidRPr="00AE7FB9">
        <w:rPr>
          <w:rFonts w:eastAsia="Times New Roman" w:cs="Tahoma"/>
          <w:color w:val="auto"/>
          <w:lang w:eastAsia="es-ES"/>
        </w:rPr>
        <w:lastRenderedPageBreak/>
        <w:t>información que se considera corresponde a las Obligaciones de Transparencia, la cual debe estar disponible para cualquier persona de manera permanente y actualizada.</w:t>
      </w:r>
    </w:p>
    <w:p w14:paraId="5F857899" w14:textId="77777777" w:rsidR="00E4643F" w:rsidRPr="00AE7FB9" w:rsidRDefault="00E4643F" w:rsidP="00D92AE6">
      <w:pPr>
        <w:spacing w:after="0" w:line="360" w:lineRule="auto"/>
        <w:contextualSpacing/>
        <w:rPr>
          <w:rFonts w:eastAsia="Times New Roman" w:cs="Tahoma"/>
          <w:color w:val="auto"/>
          <w:lang w:eastAsia="es-ES"/>
        </w:rPr>
      </w:pPr>
    </w:p>
    <w:p w14:paraId="1E706232" w14:textId="77777777" w:rsidR="00E4643F" w:rsidRPr="00AE7FB9" w:rsidRDefault="00E4643F"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873DF1F" w14:textId="77777777" w:rsidR="00E4643F" w:rsidRPr="00AE7FB9" w:rsidRDefault="00E4643F" w:rsidP="00D92AE6">
      <w:pPr>
        <w:spacing w:after="0" w:line="360" w:lineRule="auto"/>
        <w:contextualSpacing/>
        <w:rPr>
          <w:rFonts w:eastAsia="Times New Roman" w:cs="Tahoma"/>
          <w:color w:val="auto"/>
          <w:lang w:eastAsia="es-ES"/>
        </w:rPr>
      </w:pPr>
    </w:p>
    <w:p w14:paraId="7043829F" w14:textId="77777777" w:rsidR="00E4643F" w:rsidRPr="00AE7FB9" w:rsidRDefault="00E4643F"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t>Por su parte, la Ley de Transparencia y Acceso a la Información Pública del Estado de México y Municipios (Reglamentaria del artículo 5° de la Constitución Local), establece lo siguiente:</w:t>
      </w:r>
    </w:p>
    <w:p w14:paraId="68F71036" w14:textId="77777777" w:rsidR="00E4643F" w:rsidRPr="00AE7FB9" w:rsidRDefault="00E4643F" w:rsidP="00D92AE6">
      <w:pPr>
        <w:spacing w:after="0" w:line="360" w:lineRule="auto"/>
        <w:contextualSpacing/>
        <w:rPr>
          <w:rFonts w:eastAsia="Times New Roman" w:cs="Tahoma"/>
          <w:color w:val="auto"/>
          <w:lang w:eastAsia="es-ES"/>
        </w:rPr>
      </w:pPr>
    </w:p>
    <w:p w14:paraId="4FAA2766" w14:textId="7AE459DF" w:rsidR="00E4643F" w:rsidRPr="00AE7FB9" w:rsidRDefault="00E4643F"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t>El artículo 12, que, quienes generen, recopilen, administren, manejen, procesen, archiven o conserven información pública serán responsables de la misma.</w:t>
      </w:r>
    </w:p>
    <w:p w14:paraId="59514A09" w14:textId="77777777" w:rsidR="00B76097" w:rsidRPr="00AE7FB9" w:rsidRDefault="00B76097" w:rsidP="00D92AE6">
      <w:pPr>
        <w:spacing w:after="0" w:line="360" w:lineRule="auto"/>
        <w:contextualSpacing/>
        <w:rPr>
          <w:rFonts w:eastAsia="Times New Roman" w:cs="Tahoma"/>
          <w:color w:val="auto"/>
          <w:lang w:eastAsia="es-ES"/>
        </w:rPr>
      </w:pPr>
    </w:p>
    <w:p w14:paraId="4DB64966" w14:textId="77777777" w:rsidR="00E4643F" w:rsidRPr="00AE7FB9" w:rsidRDefault="00E4643F"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52AA39F" w14:textId="77777777" w:rsidR="00E4643F" w:rsidRPr="00AE7FB9" w:rsidRDefault="00E4643F" w:rsidP="00D92AE6">
      <w:pPr>
        <w:spacing w:after="0" w:line="360" w:lineRule="auto"/>
        <w:contextualSpacing/>
        <w:rPr>
          <w:rFonts w:eastAsia="Times New Roman" w:cs="Tahoma"/>
          <w:color w:val="auto"/>
          <w:lang w:eastAsia="es-ES"/>
        </w:rPr>
      </w:pPr>
    </w:p>
    <w:p w14:paraId="2FD3F53C" w14:textId="77777777" w:rsidR="00E4643F" w:rsidRPr="00AE7FB9" w:rsidRDefault="00E4643F"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73DCE7" w14:textId="77777777" w:rsidR="00E4643F" w:rsidRPr="00AE7FB9" w:rsidRDefault="00E4643F" w:rsidP="00D92AE6">
      <w:pPr>
        <w:spacing w:after="0" w:line="360" w:lineRule="auto"/>
        <w:contextualSpacing/>
        <w:rPr>
          <w:rFonts w:eastAsia="Times New Roman" w:cs="Tahoma"/>
          <w:color w:val="auto"/>
          <w:lang w:eastAsia="es-ES"/>
        </w:rPr>
      </w:pPr>
    </w:p>
    <w:p w14:paraId="04EE8F85" w14:textId="77777777" w:rsidR="00E4643F" w:rsidRPr="00AE7FB9" w:rsidRDefault="00E4643F" w:rsidP="00D92AE6">
      <w:pPr>
        <w:spacing w:after="0" w:line="360" w:lineRule="auto"/>
        <w:contextualSpacing/>
        <w:rPr>
          <w:rFonts w:cs="Tahoma"/>
          <w:bCs/>
          <w:iCs/>
          <w:lang w:val="es-ES"/>
        </w:rPr>
      </w:pPr>
      <w:r w:rsidRPr="00AE7FB9">
        <w:rPr>
          <w:rFonts w:cs="Tahoma"/>
          <w:bCs/>
          <w:iCs/>
          <w:lang w:val="es-ES"/>
        </w:rPr>
        <w:t>El artículo 92, fracción VIII, que, la información sobre las remuneraciones bruta y neta de todos los servidores públicos de base o de confianza corresponden a una Obligación Común de Transparencia para los Sujetos Obligados.</w:t>
      </w:r>
    </w:p>
    <w:p w14:paraId="7D098A35" w14:textId="77777777" w:rsidR="00E4643F" w:rsidRPr="00AE7FB9" w:rsidRDefault="00E4643F" w:rsidP="00D92AE6">
      <w:pPr>
        <w:spacing w:after="0" w:line="360" w:lineRule="auto"/>
        <w:contextualSpacing/>
        <w:rPr>
          <w:rFonts w:eastAsia="Times New Roman" w:cs="Tahoma"/>
          <w:b/>
          <w:color w:val="auto"/>
          <w:lang w:eastAsia="es-ES"/>
        </w:rPr>
      </w:pPr>
      <w:r w:rsidRPr="00AE7FB9">
        <w:rPr>
          <w:rFonts w:eastAsia="Times New Roman" w:cs="Tahoma"/>
          <w:b/>
          <w:color w:val="auto"/>
          <w:lang w:eastAsia="es-ES"/>
        </w:rPr>
        <w:lastRenderedPageBreak/>
        <w:t>QUINTO. Estudio de Fondo.</w:t>
      </w:r>
    </w:p>
    <w:p w14:paraId="72081EB1" w14:textId="77777777" w:rsidR="00E4643F" w:rsidRPr="00AE7FB9" w:rsidRDefault="00E4643F" w:rsidP="00D92AE6">
      <w:pPr>
        <w:spacing w:after="0" w:line="360" w:lineRule="auto"/>
        <w:contextualSpacing/>
        <w:rPr>
          <w:rFonts w:eastAsia="Times New Roman" w:cs="Tahoma"/>
          <w:color w:val="auto"/>
          <w:lang w:eastAsia="es-ES"/>
        </w:rPr>
      </w:pPr>
    </w:p>
    <w:p w14:paraId="33DDF496" w14:textId="77777777" w:rsidR="00EF7E10" w:rsidRPr="00AE7FB9" w:rsidRDefault="00EF7E10" w:rsidP="00D92AE6">
      <w:pPr>
        <w:spacing w:after="0" w:line="360" w:lineRule="auto"/>
        <w:contextualSpacing/>
        <w:rPr>
          <w:rFonts w:eastAsia="Times New Roman" w:cs="Tahoma"/>
          <w:bCs/>
          <w:iCs/>
          <w:color w:val="auto"/>
          <w:lang w:eastAsia="es-ES"/>
        </w:rPr>
      </w:pPr>
      <w:r w:rsidRPr="00AE7FB9">
        <w:rPr>
          <w:rFonts w:eastAsia="Times New Roman" w:cs="Tahoma"/>
          <w:iCs/>
          <w:color w:val="auto"/>
          <w:lang w:eastAsia="es-ES"/>
        </w:rPr>
        <w:t xml:space="preserve">Una vez establecido lo anterior, se procede a analizar el agravio hecho valer por el ahora Recurrente, referente a la entrega de información incompleta; </w:t>
      </w:r>
      <w:r w:rsidRPr="00AE7FB9">
        <w:rPr>
          <w:rFonts w:eastAsia="Times New Roman" w:cs="Tahoma"/>
          <w:bCs/>
          <w:iCs/>
          <w:color w:val="auto"/>
          <w:lang w:eastAsia="es-ES"/>
        </w:rPr>
        <w:t>por lo que en principio resulta necesario contextualizar la solicitud de información.</w:t>
      </w:r>
    </w:p>
    <w:p w14:paraId="3F192048" w14:textId="77777777" w:rsidR="00E4643F" w:rsidRPr="00AE7FB9" w:rsidRDefault="00E4643F" w:rsidP="00D92AE6">
      <w:pPr>
        <w:spacing w:after="0" w:line="360" w:lineRule="auto"/>
        <w:contextualSpacing/>
        <w:rPr>
          <w:rFonts w:eastAsia="Times New Roman" w:cs="Times New Roman"/>
          <w:color w:val="auto"/>
          <w:lang w:eastAsia="es-ES"/>
        </w:rPr>
      </w:pPr>
    </w:p>
    <w:p w14:paraId="2118D8EB" w14:textId="77777777" w:rsidR="00EF7E10" w:rsidRPr="00AE7FB9" w:rsidRDefault="00EF7E10" w:rsidP="00D92AE6">
      <w:pPr>
        <w:spacing w:after="0" w:line="360" w:lineRule="auto"/>
        <w:contextualSpacing/>
        <w:rPr>
          <w:rFonts w:eastAsia="Times New Roman" w:cs="Tahoma"/>
          <w:bCs/>
          <w:iCs/>
          <w:color w:val="auto"/>
          <w:lang w:eastAsia="es-ES"/>
        </w:rPr>
      </w:pPr>
      <w:r w:rsidRPr="00AE7FB9">
        <w:rPr>
          <w:rFonts w:eastAsia="Times New Roman" w:cs="Tahoma"/>
          <w:bCs/>
          <w:iCs/>
          <w:color w:val="auto"/>
          <w:lang w:eastAsia="es-ES"/>
        </w:rPr>
        <w:t xml:space="preserve">Sobre el tema,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514675BA" w14:textId="77777777" w:rsidR="00EF7E10" w:rsidRPr="00AE7FB9" w:rsidRDefault="00EF7E10" w:rsidP="00D92AE6">
      <w:pPr>
        <w:spacing w:after="0" w:line="360" w:lineRule="auto"/>
        <w:contextualSpacing/>
        <w:rPr>
          <w:rFonts w:eastAsia="Times New Roman" w:cs="Tahoma"/>
          <w:bCs/>
          <w:iCs/>
          <w:color w:val="auto"/>
          <w:lang w:eastAsia="es-ES"/>
        </w:rPr>
      </w:pPr>
    </w:p>
    <w:p w14:paraId="171F4FEB" w14:textId="77777777" w:rsidR="00EF7E10" w:rsidRPr="00AE7FB9" w:rsidRDefault="00EF7E10" w:rsidP="00D92AE6">
      <w:pPr>
        <w:spacing w:after="0" w:line="360" w:lineRule="auto"/>
        <w:contextualSpacing/>
        <w:rPr>
          <w:rFonts w:eastAsia="Times New Roman" w:cs="Tahoma"/>
          <w:bCs/>
          <w:iCs/>
          <w:color w:val="auto"/>
          <w:lang w:eastAsia="es-ES"/>
        </w:rPr>
      </w:pPr>
      <w:r w:rsidRPr="00AE7FB9">
        <w:rPr>
          <w:rFonts w:eastAsia="Times New Roman" w:cs="Tahoma"/>
          <w:bCs/>
          <w:i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7499AB4" w14:textId="77777777" w:rsidR="00EF7E10" w:rsidRPr="00AE7FB9" w:rsidRDefault="00EF7E10" w:rsidP="00D92AE6">
      <w:pPr>
        <w:spacing w:after="0" w:line="360" w:lineRule="auto"/>
        <w:contextualSpacing/>
        <w:rPr>
          <w:rFonts w:eastAsia="Times New Roman" w:cs="Tahoma"/>
          <w:bCs/>
          <w:iCs/>
          <w:color w:val="auto"/>
          <w:lang w:eastAsia="es-ES"/>
        </w:rPr>
      </w:pPr>
    </w:p>
    <w:p w14:paraId="4DC0A4EF" w14:textId="77777777" w:rsidR="00EF7E10" w:rsidRPr="00AE7FB9" w:rsidRDefault="00EF7E10" w:rsidP="00D92AE6">
      <w:pPr>
        <w:spacing w:after="0" w:line="360" w:lineRule="auto"/>
        <w:contextualSpacing/>
        <w:rPr>
          <w:rFonts w:eastAsia="Times New Roman" w:cs="Tahoma"/>
          <w:bCs/>
          <w:iCs/>
          <w:color w:val="auto"/>
          <w:lang w:eastAsia="es-ES"/>
        </w:rPr>
      </w:pPr>
      <w:r w:rsidRPr="00AE7FB9">
        <w:rPr>
          <w:rFonts w:eastAsia="Times New Roman" w:cs="Tahoma"/>
          <w:bCs/>
          <w:iCs/>
          <w:color w:val="auto"/>
          <w:lang w:eastAsia="es-ES"/>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728451D8" w14:textId="77777777" w:rsidR="00EF7E10" w:rsidRPr="00AE7FB9" w:rsidRDefault="00EF7E10" w:rsidP="00D92AE6">
      <w:pPr>
        <w:spacing w:after="0" w:line="360" w:lineRule="auto"/>
        <w:contextualSpacing/>
        <w:rPr>
          <w:rFonts w:eastAsia="Times New Roman" w:cs="Tahoma"/>
          <w:bCs/>
          <w:iCs/>
          <w:color w:val="auto"/>
          <w:lang w:eastAsia="es-ES"/>
        </w:rPr>
      </w:pPr>
    </w:p>
    <w:p w14:paraId="5944B052" w14:textId="77777777" w:rsidR="00EF7E10" w:rsidRPr="00AE7FB9" w:rsidRDefault="00EF7E10" w:rsidP="00D92AE6">
      <w:pPr>
        <w:spacing w:after="0" w:line="360" w:lineRule="auto"/>
        <w:contextualSpacing/>
        <w:rPr>
          <w:rFonts w:eastAsia="Times New Roman" w:cs="Tahoma"/>
          <w:bCs/>
          <w:iCs/>
          <w:color w:val="auto"/>
          <w:lang w:val="es-ES" w:eastAsia="es-ES"/>
        </w:rPr>
      </w:pPr>
      <w:r w:rsidRPr="00AE7FB9">
        <w:rPr>
          <w:rFonts w:eastAsia="Times New Roman" w:cs="Tahoma"/>
          <w:bCs/>
          <w:iCs/>
          <w:color w:val="auto"/>
          <w:lang w:val="es-ES" w:eastAsia="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AE7FB9">
        <w:rPr>
          <w:rFonts w:eastAsia="Times New Roman" w:cs="Tahoma"/>
          <w:b/>
          <w:iCs/>
          <w:color w:val="auto"/>
          <w:lang w:val="es-ES" w:eastAsia="es-ES"/>
        </w:rPr>
        <w:t xml:space="preserve">las remuneraciones brutas y netas de todos los servidores públicos, que incluya todas las </w:t>
      </w:r>
      <w:r w:rsidRPr="00AE7FB9">
        <w:rPr>
          <w:rFonts w:eastAsia="Times New Roman" w:cs="Tahoma"/>
          <w:b/>
          <w:iCs/>
          <w:color w:val="auto"/>
          <w:lang w:val="es-ES" w:eastAsia="es-ES"/>
        </w:rPr>
        <w:lastRenderedPageBreak/>
        <w:t>percepciones, entre las cuales, se encuentran los sueldos, prestaciones, gratificaciones, primas, comisiones, dietas, bonos, estímulos, ingresos, entre otros</w:t>
      </w:r>
      <w:r w:rsidRPr="00AE7FB9">
        <w:rPr>
          <w:rFonts w:eastAsia="Times New Roman" w:cs="Tahoma"/>
          <w:bCs/>
          <w:iCs/>
          <w:color w:val="auto"/>
          <w:lang w:val="es-ES" w:eastAsia="es-ES"/>
        </w:rPr>
        <w:t>.</w:t>
      </w:r>
    </w:p>
    <w:p w14:paraId="3B2D2683" w14:textId="77777777" w:rsidR="00EF7E10" w:rsidRPr="00AE7FB9" w:rsidRDefault="00EF7E10" w:rsidP="00D92AE6">
      <w:pPr>
        <w:spacing w:after="0" w:line="360" w:lineRule="auto"/>
        <w:contextualSpacing/>
        <w:rPr>
          <w:rFonts w:eastAsia="Times New Roman" w:cs="Tahoma"/>
          <w:bCs/>
          <w:iCs/>
          <w:color w:val="auto"/>
          <w:lang w:eastAsia="es-ES"/>
        </w:rPr>
      </w:pPr>
    </w:p>
    <w:p w14:paraId="4E2B3892" w14:textId="77777777" w:rsidR="00EF7E10" w:rsidRPr="00AE7FB9" w:rsidRDefault="00EF7E10" w:rsidP="00D92AE6">
      <w:pPr>
        <w:spacing w:after="0" w:line="360" w:lineRule="auto"/>
        <w:contextualSpacing/>
        <w:rPr>
          <w:rFonts w:eastAsia="Times New Roman" w:cs="Tahoma"/>
          <w:bCs/>
          <w:iCs/>
          <w:color w:val="auto"/>
          <w:lang w:val="es-ES" w:eastAsia="es-ES"/>
        </w:rPr>
      </w:pPr>
      <w:r w:rsidRPr="00AE7FB9">
        <w:rPr>
          <w:rFonts w:eastAsia="Times New Roman" w:cs="Tahoma"/>
          <w:bCs/>
          <w:iCs/>
          <w:color w:val="auto"/>
          <w:lang w:val="es-ES" w:eastAsia="es-ES"/>
        </w:rPr>
        <w:t xml:space="preserve">Además, los Manuales para la Formulación del Anteproyecto de Presupuesto de Egresos del Gobierno del Estado de México, para los ejercicios fiscales dos mil veintidós, establecen, que el capítulo </w:t>
      </w:r>
      <w:r w:rsidRPr="00AE7FB9">
        <w:rPr>
          <w:rFonts w:eastAsia="Times New Roman" w:cs="Tahoma"/>
          <w:b/>
          <w:bCs/>
          <w:iCs/>
          <w:color w:val="auto"/>
          <w:lang w:val="es-ES" w:eastAsia="es-ES"/>
        </w:rPr>
        <w:t>1000 Servicios Personales</w:t>
      </w:r>
      <w:r w:rsidRPr="00AE7FB9">
        <w:rPr>
          <w:rFonts w:eastAsia="Times New Roman" w:cs="Tahoma"/>
          <w:bCs/>
          <w:iCs/>
          <w:color w:val="auto"/>
          <w:lang w:val="es-ES" w:eastAsia="es-ES"/>
        </w:rPr>
        <w:t>,</w:t>
      </w:r>
      <w:r w:rsidRPr="00AE7FB9">
        <w:rPr>
          <w:rFonts w:eastAsia="Times New Roman" w:cs="Tahoma"/>
          <w:b/>
          <w:bCs/>
          <w:iCs/>
          <w:color w:val="auto"/>
          <w:lang w:val="es-ES" w:eastAsia="es-ES"/>
        </w:rPr>
        <w:t xml:space="preserve"> agrupa </w:t>
      </w:r>
      <w:r w:rsidRPr="00AE7FB9">
        <w:rPr>
          <w:rFonts w:eastAsia="Times New Roman" w:cs="Tahoma"/>
          <w:b/>
          <w:bCs/>
          <w:iCs/>
          <w:color w:val="auto"/>
          <w:lang w:eastAsia="es-ES"/>
        </w:rPr>
        <w:t>las remuneraciones al personal que está al servicio del Estado, así como las cuotas y aportaciones a favor de las instituciones de seguridad social, derivadas de los servicios que esas instituciones prestan al personal.</w:t>
      </w:r>
    </w:p>
    <w:p w14:paraId="6B260FBB" w14:textId="77777777" w:rsidR="00EF7E10" w:rsidRPr="00AE7FB9" w:rsidRDefault="00EF7E10" w:rsidP="00D92AE6">
      <w:pPr>
        <w:spacing w:after="0" w:line="360" w:lineRule="auto"/>
        <w:contextualSpacing/>
        <w:rPr>
          <w:rFonts w:eastAsia="Times New Roman" w:cs="Tahoma"/>
          <w:bCs/>
          <w:iCs/>
          <w:color w:val="auto"/>
          <w:lang w:eastAsia="es-ES"/>
        </w:rPr>
      </w:pPr>
    </w:p>
    <w:p w14:paraId="2E3658D8" w14:textId="77777777" w:rsidR="00EF7E10" w:rsidRPr="00AE7FB9" w:rsidRDefault="00EF7E10" w:rsidP="00D92AE6">
      <w:pPr>
        <w:spacing w:after="0" w:line="360" w:lineRule="auto"/>
        <w:contextualSpacing/>
        <w:rPr>
          <w:rFonts w:eastAsia="Times New Roman" w:cs="Tahoma"/>
          <w:b/>
          <w:bCs/>
          <w:iCs/>
          <w:color w:val="auto"/>
          <w:lang w:eastAsia="es-ES"/>
        </w:rPr>
      </w:pPr>
      <w:r w:rsidRPr="00AE7FB9">
        <w:rPr>
          <w:rFonts w:eastAsia="Times New Roman" w:cs="Tahoma"/>
          <w:bCs/>
          <w:iCs/>
          <w:color w:val="auto"/>
          <w:lang w:eastAsia="es-ES"/>
        </w:rPr>
        <w:t>Además, respecto al documento requerido</w:t>
      </w:r>
      <w:r w:rsidRPr="00AE7FB9">
        <w:rPr>
          <w:rFonts w:eastAsia="Times New Roman" w:cs="Tahoma"/>
          <w:b/>
          <w:bCs/>
          <w:iCs/>
          <w:color w:val="auto"/>
          <w:lang w:eastAsia="es-ES"/>
        </w:rPr>
        <w:t xml:space="preserve">, </w:t>
      </w:r>
      <w:r w:rsidRPr="00AE7FB9">
        <w:rPr>
          <w:rFonts w:eastAsia="Times New Roman" w:cs="Tahoma"/>
          <w:bCs/>
          <w:iCs/>
          <w:color w:val="auto"/>
          <w:lang w:eastAsia="es-ES"/>
        </w:rPr>
        <w:t>el Glosario localizado en la página de Transparencia Presupuestaria de la Secretaría de Hacienda y Crédito Público (</w:t>
      </w:r>
      <w:hyperlink r:id="rId7" w:history="1">
        <w:r w:rsidRPr="00AE7FB9">
          <w:rPr>
            <w:rFonts w:eastAsia="Times New Roman" w:cs="Tahoma"/>
            <w:bCs/>
            <w:iCs/>
            <w:color w:val="0563C1" w:themeColor="hyperlink"/>
            <w:u w:val="single"/>
            <w:lang w:eastAsia="es-ES"/>
          </w:rPr>
          <w:t>http://www.transparenciapresupuestaria.gob.mx/es/PTP/Glosario</w:t>
        </w:r>
      </w:hyperlink>
      <w:r w:rsidRPr="00AE7FB9">
        <w:rPr>
          <w:rFonts w:eastAsia="Times New Roman" w:cs="Tahoma"/>
          <w:bCs/>
          <w:iCs/>
          <w:color w:val="auto"/>
          <w:lang w:eastAsia="es-ES"/>
        </w:rPr>
        <w:t xml:space="preserve">), establece que la </w:t>
      </w:r>
      <w:r w:rsidRPr="00AE7FB9">
        <w:rPr>
          <w:rFonts w:eastAsia="Times New Roman" w:cs="Tahoma"/>
          <w:b/>
          <w:bCs/>
          <w:iCs/>
          <w:color w:val="auto"/>
          <w:lang w:eastAsia="es-E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5FB1D20" w14:textId="77777777" w:rsidR="00EF7E10" w:rsidRPr="00AE7FB9" w:rsidRDefault="00EF7E10" w:rsidP="00D92AE6">
      <w:pPr>
        <w:spacing w:after="0" w:line="360" w:lineRule="auto"/>
        <w:contextualSpacing/>
        <w:rPr>
          <w:rFonts w:eastAsia="Times New Roman" w:cs="Tahoma"/>
          <w:b/>
          <w:bCs/>
          <w:iCs/>
          <w:color w:val="auto"/>
          <w:lang w:eastAsia="es-ES"/>
        </w:rPr>
      </w:pPr>
    </w:p>
    <w:p w14:paraId="3D99397B" w14:textId="77777777" w:rsidR="00EF7E10" w:rsidRPr="00AE7FB9" w:rsidRDefault="00EF7E10" w:rsidP="00D92AE6">
      <w:pPr>
        <w:spacing w:after="0" w:line="360" w:lineRule="auto"/>
        <w:contextualSpacing/>
        <w:rPr>
          <w:rFonts w:eastAsia="Times New Roman" w:cs="Tahoma"/>
          <w:b/>
          <w:bCs/>
          <w:iCs/>
          <w:color w:val="auto"/>
          <w:lang w:eastAsia="es-ES"/>
        </w:rPr>
      </w:pPr>
      <w:r w:rsidRPr="00AE7FB9">
        <w:rPr>
          <w:rFonts w:eastAsia="Times New Roman" w:cs="Tahoma"/>
          <w:bCs/>
          <w:iCs/>
          <w:color w:val="auto"/>
          <w:lang w:eastAsia="es-ES"/>
        </w:rPr>
        <w:t>De la misma manera, el Glosario de términos más usuales en la Administración Pública Federal, emitido por la Secretaría de Hacienda y Crédito Público (</w:t>
      </w:r>
      <w:hyperlink r:id="rId8" w:history="1">
        <w:r w:rsidRPr="00AE7FB9">
          <w:rPr>
            <w:rFonts w:eastAsia="Times New Roman" w:cs="Tahoma"/>
            <w:bCs/>
            <w:iCs/>
            <w:color w:val="0563C1" w:themeColor="hyperlink"/>
            <w:u w:val="single"/>
            <w:lang w:eastAsia="es-ES"/>
          </w:rPr>
          <w:t>http://www.apartados.hacienda.gob.mx/contabilidad/documentos/informe_cuenta/1998/cuenta_publica/Glosario/n.htm</w:t>
        </w:r>
      </w:hyperlink>
      <w:r w:rsidRPr="00AE7FB9">
        <w:rPr>
          <w:rFonts w:eastAsia="Times New Roman" w:cs="Tahoma"/>
          <w:bCs/>
          <w:iCs/>
          <w:color w:val="auto"/>
          <w:lang w:eastAsia="es-ES"/>
        </w:rPr>
        <w:t xml:space="preserve">), establece que la </w:t>
      </w:r>
      <w:r w:rsidRPr="00AE7FB9">
        <w:rPr>
          <w:rFonts w:eastAsia="Times New Roman" w:cs="Tahoma"/>
          <w:b/>
          <w:bCs/>
          <w:iCs/>
          <w:color w:val="auto"/>
          <w:lang w:eastAsia="es-ES"/>
        </w:rPr>
        <w:t>nómina es un listado general de los trabajadores de una institución, en el cual se asientan las percepciones brutas, deducciones y alcance neto de las mismas.</w:t>
      </w:r>
    </w:p>
    <w:p w14:paraId="3A3EEA0B" w14:textId="77777777" w:rsidR="00EF7E10" w:rsidRPr="00AE7FB9" w:rsidRDefault="00EF7E10" w:rsidP="00D92AE6">
      <w:pPr>
        <w:spacing w:after="0" w:line="360" w:lineRule="auto"/>
        <w:contextualSpacing/>
        <w:rPr>
          <w:rFonts w:eastAsia="Times New Roman" w:cs="Tahoma"/>
          <w:bCs/>
          <w:iCs/>
          <w:color w:val="auto"/>
          <w:lang w:eastAsia="es-ES"/>
        </w:rPr>
      </w:pPr>
    </w:p>
    <w:p w14:paraId="1AA570FB" w14:textId="77777777" w:rsidR="00EF7E10" w:rsidRPr="00AE7FB9" w:rsidRDefault="00EF7E10" w:rsidP="00D92AE6">
      <w:pPr>
        <w:spacing w:after="0" w:line="360" w:lineRule="auto"/>
        <w:contextualSpacing/>
        <w:rPr>
          <w:rFonts w:eastAsia="Times New Roman" w:cs="Tahoma"/>
          <w:bCs/>
          <w:iCs/>
          <w:color w:val="auto"/>
          <w:lang w:eastAsia="es-ES"/>
        </w:rPr>
      </w:pPr>
      <w:r w:rsidRPr="00AE7FB9">
        <w:rPr>
          <w:rFonts w:eastAsia="Times New Roman" w:cs="Tahoma"/>
          <w:bCs/>
          <w:iCs/>
          <w:color w:val="auto"/>
          <w:lang w:eastAsia="es-ES"/>
        </w:rPr>
        <w:t>Conforme a lo anterior, se puede advertir que la nómina se puede referir a lo siguiente:</w:t>
      </w:r>
    </w:p>
    <w:p w14:paraId="13696A80" w14:textId="77777777" w:rsidR="00EF7E10" w:rsidRPr="00AE7FB9" w:rsidRDefault="00EF7E10" w:rsidP="00D92AE6">
      <w:pPr>
        <w:spacing w:after="0" w:line="360" w:lineRule="auto"/>
        <w:contextualSpacing/>
        <w:rPr>
          <w:rFonts w:eastAsia="Times New Roman" w:cs="Tahoma"/>
          <w:bCs/>
          <w:iCs/>
          <w:color w:val="auto"/>
          <w:lang w:eastAsia="es-ES"/>
        </w:rPr>
      </w:pPr>
    </w:p>
    <w:p w14:paraId="4E277728" w14:textId="77777777" w:rsidR="00EF7E10" w:rsidRPr="00AE7FB9" w:rsidRDefault="00EF7E10" w:rsidP="00D92AE6">
      <w:pPr>
        <w:numPr>
          <w:ilvl w:val="0"/>
          <w:numId w:val="5"/>
        </w:numPr>
        <w:spacing w:after="0" w:line="360" w:lineRule="auto"/>
        <w:contextualSpacing/>
        <w:rPr>
          <w:rFonts w:eastAsia="Times New Roman" w:cs="Tahoma"/>
          <w:bCs/>
          <w:iCs/>
          <w:color w:val="auto"/>
          <w:lang w:eastAsia="es-ES"/>
        </w:rPr>
      </w:pPr>
      <w:r w:rsidRPr="00AE7FB9">
        <w:rPr>
          <w:rFonts w:eastAsia="Times New Roman" w:cs="Tahoma"/>
          <w:bCs/>
          <w:iCs/>
          <w:color w:val="auto"/>
          <w:lang w:eastAsia="es-ES"/>
        </w:rPr>
        <w:t>Relación de trabajadores con las percepciones monetarias de cada uno.</w:t>
      </w:r>
    </w:p>
    <w:p w14:paraId="5B131E62" w14:textId="77777777" w:rsidR="00EF7E10" w:rsidRPr="00AE7FB9" w:rsidRDefault="00EF7E10" w:rsidP="00D92AE6">
      <w:pPr>
        <w:spacing w:after="0" w:line="360" w:lineRule="auto"/>
        <w:ind w:left="720"/>
        <w:contextualSpacing/>
        <w:rPr>
          <w:rFonts w:eastAsia="Times New Roman" w:cs="Tahoma"/>
          <w:bCs/>
          <w:iCs/>
          <w:color w:val="auto"/>
          <w:lang w:eastAsia="es-ES"/>
        </w:rPr>
      </w:pPr>
    </w:p>
    <w:p w14:paraId="0781822D" w14:textId="77777777" w:rsidR="00EF7E10" w:rsidRPr="00AE7FB9" w:rsidRDefault="00EF7E10" w:rsidP="00D92AE6">
      <w:pPr>
        <w:numPr>
          <w:ilvl w:val="0"/>
          <w:numId w:val="5"/>
        </w:numPr>
        <w:spacing w:after="0" w:line="360" w:lineRule="auto"/>
        <w:contextualSpacing/>
        <w:rPr>
          <w:rFonts w:eastAsia="Times New Roman" w:cs="Tahoma"/>
          <w:bCs/>
          <w:iCs/>
          <w:color w:val="auto"/>
          <w:lang w:eastAsia="es-ES"/>
        </w:rPr>
      </w:pPr>
      <w:r w:rsidRPr="00AE7FB9">
        <w:rPr>
          <w:rFonts w:eastAsia="Times New Roman" w:cs="Tahoma"/>
          <w:bCs/>
          <w:iCs/>
          <w:color w:val="auto"/>
          <w:lang w:eastAsia="es-ES"/>
        </w:rPr>
        <w:t>Recibo individual que contiene las prestaciones y deducciones de un trabajador.</w:t>
      </w:r>
    </w:p>
    <w:p w14:paraId="0E6BB365" w14:textId="77777777" w:rsidR="00EF7E10" w:rsidRPr="00AE7FB9" w:rsidRDefault="00EF7E10" w:rsidP="00D92AE6">
      <w:pPr>
        <w:pStyle w:val="Prrafodelista"/>
        <w:spacing w:after="0" w:line="360" w:lineRule="auto"/>
        <w:rPr>
          <w:rFonts w:cs="Tahoma"/>
          <w:bCs/>
          <w:iCs/>
        </w:rPr>
      </w:pPr>
    </w:p>
    <w:p w14:paraId="54CDE243" w14:textId="77777777" w:rsidR="00EF7E10" w:rsidRPr="00AE7FB9" w:rsidRDefault="00EF7E10" w:rsidP="00D92AE6">
      <w:pPr>
        <w:numPr>
          <w:ilvl w:val="0"/>
          <w:numId w:val="5"/>
        </w:numPr>
        <w:spacing w:after="0" w:line="360" w:lineRule="auto"/>
        <w:contextualSpacing/>
        <w:rPr>
          <w:rFonts w:eastAsia="Times New Roman" w:cs="Tahoma"/>
          <w:b/>
          <w:bCs/>
          <w:iCs/>
          <w:color w:val="auto"/>
          <w:lang w:eastAsia="es-ES"/>
        </w:rPr>
      </w:pPr>
      <w:r w:rsidRPr="00AE7FB9">
        <w:rPr>
          <w:rFonts w:eastAsia="Times New Roman" w:cs="Tahoma"/>
          <w:b/>
          <w:bCs/>
          <w:iCs/>
          <w:color w:val="auto"/>
          <w:lang w:eastAsia="es-ES"/>
        </w:rPr>
        <w:t>Listado general de los servidores públicos de una institución o dependencia, en el cual se asientan las percepciones brutas, deducciones y alcance neto de las mismas.</w:t>
      </w:r>
    </w:p>
    <w:p w14:paraId="796E037F" w14:textId="77777777" w:rsidR="00EF7E10" w:rsidRPr="00AE7FB9" w:rsidRDefault="00EF7E10" w:rsidP="00D92AE6">
      <w:pPr>
        <w:spacing w:after="0" w:line="360" w:lineRule="auto"/>
        <w:contextualSpacing/>
        <w:rPr>
          <w:rFonts w:eastAsia="Times New Roman" w:cs="Tahoma"/>
          <w:iCs/>
          <w:color w:val="auto"/>
          <w:lang w:eastAsia="es-ES"/>
        </w:rPr>
      </w:pPr>
    </w:p>
    <w:p w14:paraId="23210C85" w14:textId="0D2CC712" w:rsidR="00EF7E10" w:rsidRPr="00AE7FB9" w:rsidRDefault="00EF7E10" w:rsidP="00D92AE6">
      <w:pPr>
        <w:spacing w:after="0" w:line="360" w:lineRule="auto"/>
        <w:contextualSpacing/>
        <w:rPr>
          <w:rFonts w:eastAsia="Times New Roman" w:cs="Tahoma"/>
          <w:iCs/>
          <w:color w:val="auto"/>
          <w:lang w:eastAsia="es-ES"/>
        </w:rPr>
      </w:pPr>
      <w:r w:rsidRPr="00AE7FB9">
        <w:rPr>
          <w:rFonts w:eastAsia="Times New Roman" w:cs="Tahoma"/>
          <w:iCs/>
          <w:color w:val="auto"/>
          <w:lang w:eastAsia="es-ES"/>
        </w:rPr>
        <w:t>En ese contexto, los</w:t>
      </w:r>
      <w:r w:rsidRPr="00AE7FB9">
        <w:rPr>
          <w:rFonts w:eastAsia="Calibri" w:cs="Times New Roman"/>
          <w:bCs/>
        </w:rPr>
        <w:t xml:space="preserve"> </w:t>
      </w:r>
      <w:bookmarkStart w:id="1" w:name="_Hlk127376887"/>
      <w:r w:rsidRPr="00AE7FB9">
        <w:rPr>
          <w:rFonts w:eastAsia="Calibri" w:cs="Times New Roman"/>
          <w:bCs/>
        </w:rPr>
        <w:t>Lineamientos para la Integración y Entrega del Informe Trimestral Municipal</w:t>
      </w:r>
      <w:bookmarkEnd w:id="1"/>
      <w:r w:rsidRPr="00AE7FB9">
        <w:rPr>
          <w:rFonts w:eastAsia="Calibri" w:cs="Times New Roman"/>
          <w:bCs/>
        </w:rPr>
        <w:t>, dos mil veintidós, emitidos por el Órgano Superior de Fiscalización del Estado de México</w:t>
      </w:r>
      <w:r w:rsidRPr="00AE7FB9">
        <w:rPr>
          <w:rFonts w:eastAsia="Calibri" w:cs="Times New Roman"/>
          <w:bCs/>
          <w:lang w:val="es-ES_tradnl"/>
        </w:rPr>
        <w:t>,</w:t>
      </w:r>
      <w:r w:rsidRPr="00AE7FB9">
        <w:rPr>
          <w:rFonts w:eastAsia="Times New Roman" w:cs="Tahoma"/>
          <w:bCs/>
          <w:color w:val="auto"/>
          <w:lang w:val="es-ES_tradnl" w:eastAsia="es-ES"/>
        </w:rPr>
        <w:t xml:space="preserve"> </w:t>
      </w:r>
      <w:r w:rsidRPr="00AE7FB9">
        <w:rPr>
          <w:rFonts w:eastAsia="Times New Roman" w:cs="Tahoma"/>
          <w:bCs/>
          <w:color w:val="auto"/>
          <w:lang w:eastAsia="es-ES"/>
        </w:rPr>
        <w:t xml:space="preserve">el cual precisa que los Ayuntamientos deben de proporcionar, para su fiscalización, diversos documentos, entre los cuales se encuentran aquellos del </w:t>
      </w:r>
      <w:r w:rsidRPr="00AE7FB9">
        <w:rPr>
          <w:rFonts w:eastAsia="Times New Roman" w:cs="Tahoma"/>
          <w:b/>
          <w:color w:val="auto"/>
          <w:lang w:eastAsia="es-ES"/>
        </w:rPr>
        <w:t>Módulo 4</w:t>
      </w:r>
      <w:r w:rsidRPr="00AE7FB9">
        <w:rPr>
          <w:rFonts w:eastAsia="Times New Roman" w:cs="Tahoma"/>
          <w:bCs/>
          <w:color w:val="auto"/>
          <w:lang w:eastAsia="es-ES"/>
        </w:rPr>
        <w:t xml:space="preserve">, que contienen la </w:t>
      </w:r>
      <w:r w:rsidR="00D92AE6" w:rsidRPr="00AE7FB9">
        <w:rPr>
          <w:rFonts w:eastAsia="Times New Roman" w:cs="Tahoma"/>
          <w:b/>
          <w:color w:val="auto"/>
          <w:lang w:eastAsia="es-ES"/>
        </w:rPr>
        <w:t>Conciliación de Nómina</w:t>
      </w:r>
      <w:r w:rsidRPr="00AE7FB9">
        <w:rPr>
          <w:rFonts w:eastAsia="Times New Roman" w:cs="Tahoma"/>
          <w:bCs/>
          <w:color w:val="auto"/>
          <w:lang w:eastAsia="es-ES"/>
        </w:rPr>
        <w:t>, mismos que se establecen de manera enunciativa, más no limitativa, tiene por finalidad p</w:t>
      </w:r>
      <w:r w:rsidRPr="00AE7FB9">
        <w:rPr>
          <w:rFonts w:eastAsia="Times New Roman" w:cs="Tahoma"/>
          <w:iCs/>
          <w:color w:val="auto"/>
          <w:lang w:eastAsia="es-ES"/>
        </w:rPr>
        <w:t>resentar las remuneraciones pagadas de manera quincenal.</w:t>
      </w:r>
    </w:p>
    <w:p w14:paraId="0C08B3A0" w14:textId="77777777" w:rsidR="00017D0A" w:rsidRPr="00AE7FB9" w:rsidRDefault="00017D0A" w:rsidP="00D92AE6">
      <w:pPr>
        <w:spacing w:after="0" w:line="360" w:lineRule="auto"/>
        <w:contextualSpacing/>
        <w:rPr>
          <w:rFonts w:eastAsia="Times New Roman" w:cs="Tahoma"/>
          <w:iCs/>
          <w:color w:val="auto"/>
          <w:lang w:eastAsia="es-ES"/>
        </w:rPr>
      </w:pPr>
    </w:p>
    <w:p w14:paraId="2DB1CA4C" w14:textId="77777777" w:rsidR="00D92AE6" w:rsidRPr="00AE7FB9" w:rsidRDefault="00D92AE6" w:rsidP="00D92AE6">
      <w:pPr>
        <w:spacing w:after="0" w:line="360" w:lineRule="auto"/>
        <w:rPr>
          <w:rFonts w:eastAsia="Times New Roman" w:cs="Tahoma"/>
          <w:b/>
          <w:color w:val="auto"/>
          <w:lang w:eastAsia="es-ES"/>
        </w:rPr>
      </w:pPr>
      <w:r w:rsidRPr="00AE7FB9">
        <w:rPr>
          <w:rFonts w:eastAsia="Times New Roman" w:cs="Tahoma"/>
          <w:iCs/>
          <w:color w:val="auto"/>
          <w:lang w:eastAsia="es-ES"/>
        </w:rPr>
        <w:t>En ese contexto, los</w:t>
      </w:r>
      <w:r w:rsidRPr="00AE7FB9">
        <w:rPr>
          <w:rFonts w:eastAsia="Calibri" w:cs="Times New Roman"/>
          <w:bCs/>
        </w:rPr>
        <w:t xml:space="preserve"> Lineamientos para la Integración y Entrega del Informe Trimestral Municipal, dos mil veintidós, emitidos por el Órgano Superior de Fiscalización del Estado de México</w:t>
      </w:r>
      <w:r w:rsidRPr="00AE7FB9">
        <w:rPr>
          <w:rFonts w:eastAsia="Calibri" w:cs="Times New Roman"/>
          <w:bCs/>
          <w:lang w:val="es-ES_tradnl"/>
        </w:rPr>
        <w:t>,</w:t>
      </w:r>
      <w:r w:rsidRPr="00AE7FB9">
        <w:rPr>
          <w:rFonts w:eastAsia="Times New Roman" w:cs="Tahoma"/>
          <w:bCs/>
          <w:color w:val="auto"/>
          <w:lang w:val="es-ES_tradnl" w:eastAsia="es-ES"/>
        </w:rPr>
        <w:t xml:space="preserve"> </w:t>
      </w:r>
      <w:r w:rsidRPr="00AE7FB9">
        <w:rPr>
          <w:rFonts w:eastAsia="Times New Roman" w:cs="Tahoma"/>
          <w:bCs/>
          <w:color w:val="auto"/>
          <w:lang w:eastAsia="es-ES"/>
        </w:rPr>
        <w:t xml:space="preserve">el cual precisa que los Ayuntamientos deben de proporcionar, para su fiscalización, diversos documentos, entre los cuales se encuentran aquellos del </w:t>
      </w:r>
      <w:r w:rsidRPr="00AE7FB9">
        <w:rPr>
          <w:rFonts w:eastAsia="Times New Roman" w:cs="Tahoma"/>
          <w:b/>
          <w:color w:val="auto"/>
          <w:lang w:eastAsia="es-ES"/>
        </w:rPr>
        <w:t>Módulo 4</w:t>
      </w:r>
      <w:r w:rsidRPr="00AE7FB9">
        <w:rPr>
          <w:rFonts w:eastAsia="Times New Roman" w:cs="Tahoma"/>
          <w:bCs/>
          <w:color w:val="auto"/>
          <w:lang w:eastAsia="es-ES"/>
        </w:rPr>
        <w:t xml:space="preserve">, que contienen la </w:t>
      </w:r>
      <w:r w:rsidRPr="00AE7FB9">
        <w:rPr>
          <w:rFonts w:eastAsia="Times New Roman" w:cs="Tahoma"/>
          <w:b/>
          <w:color w:val="auto"/>
          <w:lang w:eastAsia="es-ES"/>
        </w:rPr>
        <w:t xml:space="preserve">Conciliación de Nómina, </w:t>
      </w:r>
      <w:r w:rsidRPr="00AE7FB9">
        <w:rPr>
          <w:rFonts w:eastAsia="Times New Roman" w:cs="Tahoma"/>
          <w:color w:val="auto"/>
          <w:lang w:eastAsia="es-ES"/>
        </w:rPr>
        <w:t>el cual se conforma de del listado de servidores públicos, con todas sus percepciones y deducciones.</w:t>
      </w:r>
    </w:p>
    <w:p w14:paraId="18AAA00D" w14:textId="77777777" w:rsidR="00D92AE6" w:rsidRPr="00AE7FB9" w:rsidRDefault="00D92AE6" w:rsidP="00D92AE6">
      <w:pPr>
        <w:spacing w:after="0" w:line="360" w:lineRule="auto"/>
        <w:rPr>
          <w:rFonts w:eastAsia="Times New Roman" w:cs="Tahoma"/>
          <w:iCs/>
          <w:color w:val="auto"/>
          <w:lang w:eastAsia="es-ES"/>
        </w:rPr>
      </w:pPr>
    </w:p>
    <w:p w14:paraId="78939DF2" w14:textId="0EAE7B8A" w:rsidR="00EF7E10" w:rsidRPr="00AE7FB9" w:rsidRDefault="00EF7E10" w:rsidP="00D92AE6">
      <w:pPr>
        <w:spacing w:after="0" w:line="360" w:lineRule="auto"/>
        <w:contextualSpacing/>
        <w:rPr>
          <w:rFonts w:eastAsia="Times New Roman" w:cs="Tahoma"/>
          <w:bCs/>
          <w:iCs/>
          <w:color w:val="auto"/>
          <w:lang w:eastAsia="es-ES"/>
        </w:rPr>
      </w:pPr>
      <w:r w:rsidRPr="00AE7FB9">
        <w:rPr>
          <w:rFonts w:eastAsia="Times New Roman" w:cs="Tahoma"/>
          <w:iCs/>
          <w:color w:val="auto"/>
          <w:lang w:eastAsia="es-ES"/>
        </w:rPr>
        <w:t xml:space="preserve">Conforme a lo anterior, se logra vislumbrar que la pretensión del ahora Recurrente, es obtener </w:t>
      </w:r>
      <w:r w:rsidRPr="00AE7FB9">
        <w:rPr>
          <w:rFonts w:eastAsia="Times New Roman" w:cs="Tahoma"/>
          <w:bCs/>
          <w:iCs/>
          <w:color w:val="auto"/>
          <w:lang w:eastAsia="es-ES"/>
        </w:rPr>
        <w:t xml:space="preserve">la </w:t>
      </w:r>
      <w:r w:rsidR="00362902" w:rsidRPr="00AE7FB9">
        <w:rPr>
          <w:rFonts w:eastAsia="Times New Roman" w:cs="Tahoma"/>
          <w:bCs/>
          <w:iCs/>
          <w:color w:val="auto"/>
          <w:lang w:eastAsia="es-ES"/>
        </w:rPr>
        <w:t>Conciliación de Nómina</w:t>
      </w:r>
      <w:r w:rsidRPr="00AE7FB9">
        <w:rPr>
          <w:rFonts w:eastAsia="Times New Roman" w:cs="Tahoma"/>
          <w:bCs/>
          <w:iCs/>
          <w:color w:val="auto"/>
          <w:lang w:eastAsia="es-ES"/>
        </w:rPr>
        <w:t xml:space="preserve"> y </w:t>
      </w:r>
      <w:r w:rsidR="00362902" w:rsidRPr="00AE7FB9">
        <w:rPr>
          <w:rFonts w:eastAsia="Times New Roman" w:cs="Tahoma"/>
          <w:bCs/>
          <w:iCs/>
          <w:color w:val="auto"/>
          <w:lang w:eastAsia="es-ES"/>
        </w:rPr>
        <w:t xml:space="preserve">las </w:t>
      </w:r>
      <w:r w:rsidRPr="00AE7FB9">
        <w:rPr>
          <w:rFonts w:eastAsia="Times New Roman" w:cs="Tahoma"/>
          <w:bCs/>
          <w:iCs/>
          <w:color w:val="auto"/>
          <w:lang w:eastAsia="es-ES"/>
        </w:rPr>
        <w:t xml:space="preserve">listas de raya del Ayuntamiento de </w:t>
      </w:r>
      <w:r w:rsidR="00355E6A" w:rsidRPr="00AE7FB9">
        <w:rPr>
          <w:rFonts w:eastAsia="Times New Roman" w:cs="Tahoma"/>
          <w:bCs/>
          <w:iCs/>
          <w:color w:val="auto"/>
          <w:lang w:eastAsia="es-ES"/>
        </w:rPr>
        <w:t>el Oro</w:t>
      </w:r>
      <w:r w:rsidRPr="00AE7FB9">
        <w:rPr>
          <w:rFonts w:eastAsia="Times New Roman" w:cs="Tahoma"/>
          <w:bCs/>
          <w:iCs/>
          <w:color w:val="auto"/>
          <w:lang w:eastAsia="es-ES"/>
        </w:rPr>
        <w:t>, de las</w:t>
      </w:r>
      <w:r w:rsidR="00D92AE6" w:rsidRPr="00AE7FB9">
        <w:rPr>
          <w:rFonts w:eastAsia="Times New Roman" w:cs="Tahoma"/>
          <w:bCs/>
          <w:iCs/>
          <w:color w:val="auto"/>
          <w:lang w:eastAsia="es-ES"/>
        </w:rPr>
        <w:t xml:space="preserve"> dos</w:t>
      </w:r>
      <w:r w:rsidRPr="00AE7FB9">
        <w:rPr>
          <w:rFonts w:eastAsia="Times New Roman" w:cs="Tahoma"/>
          <w:bCs/>
          <w:iCs/>
          <w:color w:val="auto"/>
          <w:lang w:eastAsia="es-ES"/>
        </w:rPr>
        <w:t xml:space="preserve"> quincenas de enero de dos mil veintidós.</w:t>
      </w:r>
    </w:p>
    <w:p w14:paraId="395678BE" w14:textId="77777777" w:rsidR="00EF7E10" w:rsidRPr="00AE7FB9" w:rsidRDefault="00EF7E10" w:rsidP="00D92AE6">
      <w:pPr>
        <w:spacing w:after="0" w:line="360" w:lineRule="auto"/>
        <w:contextualSpacing/>
        <w:rPr>
          <w:rFonts w:eastAsia="Times New Roman" w:cs="Tahoma"/>
          <w:bCs/>
          <w:iCs/>
          <w:color w:val="auto"/>
          <w:lang w:eastAsia="es-ES"/>
        </w:rPr>
      </w:pPr>
    </w:p>
    <w:p w14:paraId="71829720" w14:textId="60AC55E1" w:rsidR="00EF7E10" w:rsidRPr="00AE7FB9" w:rsidRDefault="00EF7E10" w:rsidP="00D92AE6">
      <w:pPr>
        <w:spacing w:after="0" w:line="360" w:lineRule="auto"/>
        <w:contextualSpacing/>
      </w:pPr>
      <w:r w:rsidRPr="00AE7FB9">
        <w:t xml:space="preserve">Establecido lo anterior, se procede analizar la respuesta entregada, para lo cual, es necesario precisar que de las constancias que obran en el expediente, se advierte que el Ente Recurrido turno la solicitud de información a la Tesorería Municipal; por lo que resulta necesario hacer </w:t>
      </w:r>
      <w:r w:rsidRPr="00AE7FB9">
        <w:lastRenderedPageBreak/>
        <w:t>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9ECADDF" w14:textId="77777777" w:rsidR="00EF7E10" w:rsidRPr="00AE7FB9" w:rsidRDefault="00EF7E10" w:rsidP="00D92AE6">
      <w:pPr>
        <w:spacing w:after="0" w:line="360" w:lineRule="auto"/>
        <w:contextualSpacing/>
      </w:pPr>
    </w:p>
    <w:p w14:paraId="47D7189B" w14:textId="77777777" w:rsidR="00EF7E10" w:rsidRPr="00AE7FB9" w:rsidRDefault="00EF7E10" w:rsidP="00D92AE6">
      <w:pPr>
        <w:pStyle w:val="Prrafodelista"/>
        <w:numPr>
          <w:ilvl w:val="0"/>
          <w:numId w:val="7"/>
        </w:numPr>
        <w:spacing w:after="0" w:line="360" w:lineRule="auto"/>
        <w:ind w:left="709"/>
        <w:rPr>
          <w:rFonts w:cs="Tahoma"/>
          <w:color w:val="0D0D0D" w:themeColor="text1" w:themeTint="F2"/>
          <w:sz w:val="24"/>
          <w:lang w:val="es-ES"/>
        </w:rPr>
      </w:pPr>
      <w:r w:rsidRPr="00AE7FB9">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1D7CEEC" w14:textId="77777777" w:rsidR="00EF7E10" w:rsidRPr="00AE7FB9" w:rsidRDefault="00EF7E10" w:rsidP="00D92AE6">
      <w:pPr>
        <w:spacing w:after="0" w:line="360" w:lineRule="auto"/>
        <w:ind w:left="709"/>
        <w:contextualSpacing/>
        <w:rPr>
          <w:rFonts w:cs="Tahoma"/>
          <w:color w:val="0D0D0D" w:themeColor="text1" w:themeTint="F2"/>
          <w:sz w:val="24"/>
          <w:szCs w:val="24"/>
          <w:lang w:val="es-ES"/>
        </w:rPr>
      </w:pPr>
    </w:p>
    <w:p w14:paraId="6F29FAB0" w14:textId="77777777" w:rsidR="00EF7E10" w:rsidRPr="00AE7FB9" w:rsidRDefault="00EF7E10" w:rsidP="00D92AE6">
      <w:pPr>
        <w:pStyle w:val="Prrafodelista"/>
        <w:numPr>
          <w:ilvl w:val="0"/>
          <w:numId w:val="7"/>
        </w:numPr>
        <w:spacing w:after="0" w:line="360" w:lineRule="auto"/>
        <w:ind w:left="709"/>
        <w:rPr>
          <w:rFonts w:cs="Times New Roman"/>
          <w:color w:val="auto"/>
        </w:rPr>
      </w:pPr>
      <w:r w:rsidRPr="00AE7FB9">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88332AA" w14:textId="77777777" w:rsidR="00EF7E10" w:rsidRPr="00AE7FB9" w:rsidRDefault="00EF7E10" w:rsidP="00D92AE6">
      <w:pPr>
        <w:spacing w:after="0" w:line="360" w:lineRule="auto"/>
        <w:contextualSpacing/>
      </w:pPr>
    </w:p>
    <w:p w14:paraId="6365F6E0" w14:textId="4F5AB3FC" w:rsidR="00302831" w:rsidRPr="00AE7FB9" w:rsidRDefault="00EF7E10" w:rsidP="00D92AE6">
      <w:pPr>
        <w:spacing w:after="0" w:line="360" w:lineRule="auto"/>
        <w:contextualSpacing/>
      </w:pPr>
      <w:r w:rsidRPr="00AE7FB9">
        <w:t>Así, a efecto de determinar si el Sujeto Obligado cumplió con el procedimiento de búsqueda, resulta necesario traer a colación l</w:t>
      </w:r>
      <w:r w:rsidR="00A81926" w:rsidRPr="00AE7FB9">
        <w:t>os</w:t>
      </w:r>
      <w:r w:rsidRPr="00AE7FB9">
        <w:t xml:space="preserve"> artículo</w:t>
      </w:r>
      <w:r w:rsidR="00D92AE6" w:rsidRPr="00AE7FB9">
        <w:t>s 59, 60 fraccio</w:t>
      </w:r>
      <w:r w:rsidR="007B05CA" w:rsidRPr="00AE7FB9">
        <w:t>n</w:t>
      </w:r>
      <w:r w:rsidR="00D92AE6" w:rsidRPr="00AE7FB9">
        <w:t>es</w:t>
      </w:r>
      <w:r w:rsidR="007B05CA" w:rsidRPr="00AE7FB9">
        <w:t xml:space="preserve"> VI</w:t>
      </w:r>
      <w:r w:rsidR="00D92AE6" w:rsidRPr="00AE7FB9">
        <w:t xml:space="preserve"> y VI</w:t>
      </w:r>
      <w:r w:rsidR="007B05CA" w:rsidRPr="00AE7FB9">
        <w:t>,</w:t>
      </w:r>
      <w:r w:rsidRPr="00AE7FB9">
        <w:t xml:space="preserve"> </w:t>
      </w:r>
      <w:r w:rsidR="00A81926" w:rsidRPr="00AE7FB9">
        <w:t>196</w:t>
      </w:r>
      <w:r w:rsidR="00302831" w:rsidRPr="00AE7FB9">
        <w:t>, 197, fracción IV, 198,</w:t>
      </w:r>
      <w:r w:rsidR="00D92AE6" w:rsidRPr="00AE7FB9">
        <w:t xml:space="preserve"> </w:t>
      </w:r>
      <w:r w:rsidR="00302831" w:rsidRPr="00AE7FB9">
        <w:t>282, 283, fracción II, y 284</w:t>
      </w:r>
      <w:r w:rsidRPr="00AE7FB9">
        <w:t xml:space="preserve">del Bando Municipal dos mil veintidós, de </w:t>
      </w:r>
      <w:r w:rsidR="00A81926" w:rsidRPr="00AE7FB9">
        <w:t>el Oro</w:t>
      </w:r>
      <w:r w:rsidRPr="00AE7FB9">
        <w:t>, que precisa</w:t>
      </w:r>
      <w:r w:rsidR="00A81926" w:rsidRPr="00AE7FB9">
        <w:t>n</w:t>
      </w:r>
      <w:r w:rsidRPr="00AE7FB9">
        <w:t xml:space="preserve"> que</w:t>
      </w:r>
      <w:r w:rsidR="007B05CA" w:rsidRPr="00AE7FB9">
        <w:t>,</w:t>
      </w:r>
      <w:r w:rsidRPr="00AE7FB9">
        <w:t xml:space="preserve"> el Sujeto Obligado</w:t>
      </w:r>
      <w:r w:rsidR="007B05CA" w:rsidRPr="00AE7FB9">
        <w:t xml:space="preserve"> para el ejercicio de sus atribuciones </w:t>
      </w:r>
      <w:r w:rsidR="00302831" w:rsidRPr="00AE7FB9">
        <w:t xml:space="preserve">y responsabilidades ejecutivas </w:t>
      </w:r>
      <w:r w:rsidR="007B05CA" w:rsidRPr="00AE7FB9">
        <w:t>se auxiliará</w:t>
      </w:r>
      <w:r w:rsidR="00302831" w:rsidRPr="00AE7FB9">
        <w:t xml:space="preserve"> de</w:t>
      </w:r>
      <w:r w:rsidRPr="00AE7FB9">
        <w:t xml:space="preserve"> diversas unidades administrativas para el ejercicio de sus funciones, entre las cuales se encuentra</w:t>
      </w:r>
      <w:r w:rsidR="00302831" w:rsidRPr="00AE7FB9">
        <w:t>n</w:t>
      </w:r>
      <w:r w:rsidRPr="00AE7FB9">
        <w:t xml:space="preserve"> la</w:t>
      </w:r>
      <w:r w:rsidR="00302831" w:rsidRPr="00AE7FB9">
        <w:t>s siguientes:</w:t>
      </w:r>
    </w:p>
    <w:p w14:paraId="3C1B2229" w14:textId="77777777" w:rsidR="00302831" w:rsidRPr="00AE7FB9" w:rsidRDefault="00302831" w:rsidP="00D92AE6">
      <w:pPr>
        <w:spacing w:after="0" w:line="360" w:lineRule="auto"/>
        <w:contextualSpacing/>
      </w:pPr>
    </w:p>
    <w:p w14:paraId="1C3B7FFF" w14:textId="09E39D73" w:rsidR="00EF7E10" w:rsidRPr="00AE7FB9" w:rsidRDefault="00302831" w:rsidP="00302831">
      <w:pPr>
        <w:pStyle w:val="Prrafodelista"/>
        <w:numPr>
          <w:ilvl w:val="0"/>
          <w:numId w:val="15"/>
        </w:numPr>
        <w:spacing w:after="0" w:line="360" w:lineRule="auto"/>
      </w:pPr>
      <w:r w:rsidRPr="00AE7FB9">
        <w:rPr>
          <w:b/>
        </w:rPr>
        <w:t>T</w:t>
      </w:r>
      <w:r w:rsidR="007B05CA" w:rsidRPr="00AE7FB9">
        <w:rPr>
          <w:b/>
        </w:rPr>
        <w:t>esorería Municipal</w:t>
      </w:r>
      <w:r w:rsidRPr="00AE7FB9">
        <w:t>:</w:t>
      </w:r>
      <w:r w:rsidR="00EF7E10" w:rsidRPr="00AE7FB9">
        <w:t xml:space="preserve"> </w:t>
      </w:r>
      <w:r w:rsidRPr="00AE7FB9">
        <w:t>Que realiza</w:t>
      </w:r>
      <w:r w:rsidR="007B05CA" w:rsidRPr="00AE7FB9">
        <w:t xml:space="preserve"> las erogaciones y registros contables, financieros y</w:t>
      </w:r>
      <w:r w:rsidRPr="00AE7FB9">
        <w:t xml:space="preserve"> administrativos; administra la Hacienda Pública; así como,  lleva los registros contables, financieros y administrativos de los egresos.</w:t>
      </w:r>
    </w:p>
    <w:p w14:paraId="3FD072BC" w14:textId="77777777" w:rsidR="00302831" w:rsidRPr="00AE7FB9" w:rsidRDefault="00302831" w:rsidP="00302831">
      <w:pPr>
        <w:pStyle w:val="Prrafodelista"/>
        <w:spacing w:after="0" w:line="360" w:lineRule="auto"/>
      </w:pPr>
    </w:p>
    <w:p w14:paraId="32AD5CDE" w14:textId="6BD14EF4" w:rsidR="00302831" w:rsidRPr="00AE7FB9" w:rsidRDefault="00302831" w:rsidP="00302831">
      <w:pPr>
        <w:pStyle w:val="Prrafodelista"/>
        <w:numPr>
          <w:ilvl w:val="0"/>
          <w:numId w:val="15"/>
        </w:numPr>
        <w:spacing w:after="0" w:line="360" w:lineRule="auto"/>
      </w:pPr>
      <w:r w:rsidRPr="00AE7FB9">
        <w:rPr>
          <w:b/>
        </w:rPr>
        <w:lastRenderedPageBreak/>
        <w:t xml:space="preserve">Dirección de Administración: </w:t>
      </w:r>
      <w:r w:rsidRPr="00AE7FB9">
        <w:t>Que organiza, dirige y coordina el desarrollo de los sistemas de administración del personal; controla conjuntamente con la Tesorería, las erogaciones respecto al gasto corriente; establece las normas, políticas y lineamientos de administración, remuneración, capacitación y desarrollo del personal; mantiene actualizado y lleva al corriente el archivo de los expedientes personales de los servidores públicos; lo anterior, por medio del Área de Recursos Humanos.</w:t>
      </w:r>
    </w:p>
    <w:p w14:paraId="31AA241E" w14:textId="77777777" w:rsidR="00EF7E10" w:rsidRPr="00AE7FB9" w:rsidRDefault="00EF7E10" w:rsidP="00D92AE6">
      <w:pPr>
        <w:spacing w:after="0" w:line="360" w:lineRule="auto"/>
        <w:contextualSpacing/>
      </w:pPr>
    </w:p>
    <w:p w14:paraId="67385B80" w14:textId="4E71A2BC" w:rsidR="00EF7E10" w:rsidRPr="00AE7FB9" w:rsidRDefault="00EF7E10" w:rsidP="00D92AE6">
      <w:pPr>
        <w:spacing w:after="0" w:line="360" w:lineRule="auto"/>
        <w:contextualSpacing/>
      </w:pPr>
      <w:r w:rsidRPr="00AE7FB9">
        <w:t>De tales circunstancias, se logra vislumbrar que el Ayuntamiento</w:t>
      </w:r>
      <w:r w:rsidR="00302831" w:rsidRPr="00AE7FB9">
        <w:t xml:space="preserve"> no</w:t>
      </w:r>
      <w:r w:rsidRPr="00AE7FB9">
        <w:t xml:space="preserve"> cumplió con el procedimiento de búsqueda establecido en el artículo 162 de la Ley de Transparencia y Acceso a la Información Pública del Estado de México y Municipios, al gestionar e</w:t>
      </w:r>
      <w:r w:rsidR="00302831" w:rsidRPr="00AE7FB9">
        <w:t>l requerimiento de información únicamente a</w:t>
      </w:r>
      <w:r w:rsidRPr="00AE7FB9">
        <w:t xml:space="preserve"> la </w:t>
      </w:r>
      <w:r w:rsidR="007B05CA" w:rsidRPr="00AE7FB9">
        <w:t>Tesorería Municipal</w:t>
      </w:r>
      <w:r w:rsidR="00302831" w:rsidRPr="00AE7FB9">
        <w:t xml:space="preserve"> y no hacerlo a la Dirección de Administración, que también cuenta con atribuciones para pronunciarse de lo requerido.</w:t>
      </w:r>
    </w:p>
    <w:p w14:paraId="4503CFFB" w14:textId="77777777" w:rsidR="00EF7E10" w:rsidRPr="00AE7FB9" w:rsidRDefault="00EF7E10" w:rsidP="00D92AE6">
      <w:pPr>
        <w:spacing w:after="0" w:line="360" w:lineRule="auto"/>
        <w:contextualSpacing/>
        <w:rPr>
          <w:rFonts w:eastAsia="Times New Roman" w:cs="Tahoma"/>
          <w:bCs/>
          <w:iCs/>
          <w:color w:val="auto"/>
          <w:lang w:eastAsia="es-ES"/>
        </w:rPr>
      </w:pPr>
    </w:p>
    <w:p w14:paraId="459E0B96" w14:textId="643A0417" w:rsidR="007B05CA" w:rsidRPr="00AE7FB9" w:rsidRDefault="00302831" w:rsidP="00D92AE6">
      <w:pPr>
        <w:spacing w:after="0" w:line="360" w:lineRule="auto"/>
        <w:contextualSpacing/>
        <w:rPr>
          <w:rFonts w:eastAsia="Calibri" w:cs="Times New Roman"/>
        </w:rPr>
      </w:pPr>
      <w:r w:rsidRPr="00AE7FB9">
        <w:rPr>
          <w:rFonts w:eastAsia="Calibri" w:cs="Times New Roman"/>
        </w:rPr>
        <w:t>Sin menoscabar lo anterior</w:t>
      </w:r>
      <w:r w:rsidR="007B05CA" w:rsidRPr="00AE7FB9">
        <w:rPr>
          <w:rFonts w:eastAsia="Calibri" w:cs="Times New Roman"/>
        </w:rPr>
        <w:t xml:space="preserve">, en respuesta, proporcionó </w:t>
      </w:r>
      <w:r w:rsidR="00656727" w:rsidRPr="00AE7FB9">
        <w:rPr>
          <w:rFonts w:eastAsia="Times New Roman" w:cs="Times New Roman"/>
          <w:color w:val="auto"/>
          <w:lang w:eastAsia="es-ES"/>
        </w:rPr>
        <w:t xml:space="preserve">dos listados de servidores públicos </w:t>
      </w:r>
      <w:r w:rsidR="00656727" w:rsidRPr="00AE7FB9">
        <w:rPr>
          <w:rFonts w:eastAsia="Calibri" w:cs="Tahoma"/>
          <w:bCs/>
        </w:rPr>
        <w:t xml:space="preserve">con apellidos, nombre, sueldo bruto, percepciones, deducciones y sueldo neto de las </w:t>
      </w:r>
      <w:r w:rsidR="0067280A" w:rsidRPr="00AE7FB9">
        <w:rPr>
          <w:rFonts w:eastAsia="Calibri" w:cs="Tahoma"/>
          <w:bCs/>
        </w:rPr>
        <w:t xml:space="preserve">dos </w:t>
      </w:r>
      <w:r w:rsidR="00656727" w:rsidRPr="00AE7FB9">
        <w:rPr>
          <w:rFonts w:eastAsia="Calibri" w:cs="Tahoma"/>
          <w:bCs/>
        </w:rPr>
        <w:t>quincenas de enero del dos mil veintidós</w:t>
      </w:r>
      <w:r w:rsidR="0067280A" w:rsidRPr="00AE7FB9">
        <w:rPr>
          <w:rFonts w:eastAsia="Calibri" w:cs="Times New Roman"/>
        </w:rPr>
        <w:t>, tal como se muestra en el siguiente ejemplo:</w:t>
      </w:r>
    </w:p>
    <w:p w14:paraId="1D666E36" w14:textId="77777777" w:rsidR="00656727" w:rsidRPr="00AE7FB9" w:rsidRDefault="00656727" w:rsidP="00D92AE6">
      <w:pPr>
        <w:spacing w:after="0" w:line="360" w:lineRule="auto"/>
        <w:contextualSpacing/>
        <w:rPr>
          <w:rFonts w:eastAsia="Calibri" w:cs="Times New Roman"/>
        </w:rPr>
      </w:pPr>
    </w:p>
    <w:p w14:paraId="4E9924EF" w14:textId="66C316CC" w:rsidR="00656727" w:rsidRPr="00AE7FB9" w:rsidRDefault="00656727" w:rsidP="00D92AE6">
      <w:pPr>
        <w:spacing w:after="0" w:line="360" w:lineRule="auto"/>
        <w:contextualSpacing/>
        <w:jc w:val="center"/>
        <w:rPr>
          <w:rFonts w:eastAsia="Calibri" w:cs="Times New Roman"/>
        </w:rPr>
      </w:pPr>
      <w:r w:rsidRPr="00AE7FB9">
        <w:rPr>
          <w:noProof/>
          <w:lang w:eastAsia="es-MX"/>
          <w14:ligatures w14:val="standardContextual"/>
        </w:rPr>
        <w:drawing>
          <wp:inline distT="0" distB="0" distL="0" distR="0" wp14:anchorId="654E70B1" wp14:editId="2667D3D0">
            <wp:extent cx="4905488" cy="1839628"/>
            <wp:effectExtent l="0" t="0" r="9525" b="8255"/>
            <wp:docPr id="21472475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47544" name=""/>
                    <pic:cNvPicPr/>
                  </pic:nvPicPr>
                  <pic:blipFill rotWithShape="1">
                    <a:blip r:embed="rId9"/>
                    <a:srcRect l="31502" t="15521" r="35109" b="62207"/>
                    <a:stretch/>
                  </pic:blipFill>
                  <pic:spPr bwMode="auto">
                    <a:xfrm>
                      <a:off x="0" y="0"/>
                      <a:ext cx="5021880" cy="1883277"/>
                    </a:xfrm>
                    <a:prstGeom prst="rect">
                      <a:avLst/>
                    </a:prstGeom>
                    <a:ln>
                      <a:noFill/>
                    </a:ln>
                    <a:extLst>
                      <a:ext uri="{53640926-AAD7-44D8-BBD7-CCE9431645EC}">
                        <a14:shadowObscured xmlns:a14="http://schemas.microsoft.com/office/drawing/2010/main"/>
                      </a:ext>
                    </a:extLst>
                  </pic:spPr>
                </pic:pic>
              </a:graphicData>
            </a:graphic>
          </wp:inline>
        </w:drawing>
      </w:r>
    </w:p>
    <w:p w14:paraId="3B385EB7" w14:textId="77777777" w:rsidR="00656727" w:rsidRPr="00AE7FB9" w:rsidRDefault="00656727" w:rsidP="00D92AE6">
      <w:pPr>
        <w:spacing w:after="0" w:line="360" w:lineRule="auto"/>
        <w:contextualSpacing/>
        <w:jc w:val="center"/>
        <w:rPr>
          <w:rFonts w:eastAsia="Calibri" w:cs="Times New Roman"/>
        </w:rPr>
      </w:pPr>
    </w:p>
    <w:p w14:paraId="31535CA3" w14:textId="1B1845C1" w:rsidR="00656727" w:rsidRPr="00AE7FB9" w:rsidRDefault="00656727" w:rsidP="00D92AE6">
      <w:pPr>
        <w:spacing w:after="0" w:line="360" w:lineRule="auto"/>
        <w:contextualSpacing/>
        <w:jc w:val="center"/>
        <w:rPr>
          <w:rFonts w:eastAsia="Calibri" w:cs="Times New Roman"/>
        </w:rPr>
      </w:pPr>
      <w:r w:rsidRPr="00AE7FB9">
        <w:rPr>
          <w:noProof/>
          <w:lang w:eastAsia="es-MX"/>
          <w14:ligatures w14:val="standardContextual"/>
        </w:rPr>
        <w:lastRenderedPageBreak/>
        <w:drawing>
          <wp:inline distT="0" distB="0" distL="0" distR="0" wp14:anchorId="0D38B5B0" wp14:editId="1FE3DAB2">
            <wp:extent cx="4959275" cy="1847388"/>
            <wp:effectExtent l="0" t="0" r="0" b="635"/>
            <wp:docPr id="1106410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0765" name=""/>
                    <pic:cNvPicPr/>
                  </pic:nvPicPr>
                  <pic:blipFill rotWithShape="1">
                    <a:blip r:embed="rId10"/>
                    <a:srcRect l="31694" t="25981" r="37187" b="53399"/>
                    <a:stretch/>
                  </pic:blipFill>
                  <pic:spPr bwMode="auto">
                    <a:xfrm>
                      <a:off x="0" y="0"/>
                      <a:ext cx="5148330" cy="1917813"/>
                    </a:xfrm>
                    <a:prstGeom prst="rect">
                      <a:avLst/>
                    </a:prstGeom>
                    <a:ln>
                      <a:noFill/>
                    </a:ln>
                    <a:extLst>
                      <a:ext uri="{53640926-AAD7-44D8-BBD7-CCE9431645EC}">
                        <a14:shadowObscured xmlns:a14="http://schemas.microsoft.com/office/drawing/2010/main"/>
                      </a:ext>
                    </a:extLst>
                  </pic:spPr>
                </pic:pic>
              </a:graphicData>
            </a:graphic>
          </wp:inline>
        </w:drawing>
      </w:r>
    </w:p>
    <w:p w14:paraId="3BBF9AFD" w14:textId="77777777" w:rsidR="00656727" w:rsidRPr="00AE7FB9" w:rsidRDefault="00656727" w:rsidP="00D92AE6">
      <w:pPr>
        <w:spacing w:after="0" w:line="360" w:lineRule="auto"/>
        <w:contextualSpacing/>
        <w:jc w:val="center"/>
        <w:rPr>
          <w:rFonts w:eastAsia="Calibri" w:cs="Times New Roman"/>
        </w:rPr>
      </w:pPr>
    </w:p>
    <w:p w14:paraId="67EA5009" w14:textId="682F88F6" w:rsidR="00656727" w:rsidRPr="00AE7FB9" w:rsidRDefault="0067280A" w:rsidP="00D92AE6">
      <w:pPr>
        <w:spacing w:after="0" w:line="360" w:lineRule="auto"/>
        <w:contextualSpacing/>
        <w:rPr>
          <w:rFonts w:eastAsia="Calibri" w:cs="Times New Roman"/>
        </w:rPr>
      </w:pPr>
      <w:r w:rsidRPr="00AE7FB9">
        <w:rPr>
          <w:rFonts w:eastAsia="Calibri" w:cs="Times New Roman"/>
        </w:rPr>
        <w:t>Sobre el tema, este Instituto revisó los listados, de los cuales se puede advertir que se encuentran incompletos, por las siguientes circunstancias:</w:t>
      </w:r>
    </w:p>
    <w:p w14:paraId="02A64606" w14:textId="77777777" w:rsidR="0067280A" w:rsidRPr="00AE7FB9" w:rsidRDefault="0067280A" w:rsidP="00D92AE6">
      <w:pPr>
        <w:spacing w:after="0" w:line="360" w:lineRule="auto"/>
        <w:contextualSpacing/>
        <w:rPr>
          <w:rFonts w:eastAsia="Calibri" w:cs="Times New Roman"/>
        </w:rPr>
      </w:pPr>
    </w:p>
    <w:p w14:paraId="3FD902EF" w14:textId="07D56CD1" w:rsidR="0067280A" w:rsidRPr="00AE7FB9" w:rsidRDefault="0067280A" w:rsidP="0067280A">
      <w:pPr>
        <w:pStyle w:val="Prrafodelista"/>
        <w:numPr>
          <w:ilvl w:val="0"/>
          <w:numId w:val="16"/>
        </w:numPr>
        <w:spacing w:after="0" w:line="360" w:lineRule="auto"/>
        <w:rPr>
          <w:rFonts w:eastAsia="Calibri" w:cs="Times New Roman"/>
        </w:rPr>
      </w:pPr>
      <w:r w:rsidRPr="00AE7FB9">
        <w:rPr>
          <w:rFonts w:eastAsia="Calibri" w:cs="Times New Roman"/>
        </w:rPr>
        <w:t>No contienen el desglose de las percepciones y de deducciones de cada uno de los servidores públicos, y</w:t>
      </w:r>
    </w:p>
    <w:p w14:paraId="63047830" w14:textId="77777777" w:rsidR="0067280A" w:rsidRPr="00AE7FB9" w:rsidRDefault="0067280A" w:rsidP="0067280A">
      <w:pPr>
        <w:pStyle w:val="Prrafodelista"/>
        <w:spacing w:after="0" w:line="360" w:lineRule="auto"/>
        <w:rPr>
          <w:rFonts w:eastAsia="Calibri" w:cs="Times New Roman"/>
        </w:rPr>
      </w:pPr>
    </w:p>
    <w:p w14:paraId="532D319E" w14:textId="7D98E74D" w:rsidR="0067280A" w:rsidRPr="00AE7FB9" w:rsidRDefault="0067280A" w:rsidP="0067280A">
      <w:pPr>
        <w:pStyle w:val="Prrafodelista"/>
        <w:numPr>
          <w:ilvl w:val="0"/>
          <w:numId w:val="16"/>
        </w:numPr>
        <w:spacing w:after="0" w:line="360" w:lineRule="auto"/>
        <w:rPr>
          <w:rFonts w:eastAsia="Calibri" w:cs="Times New Roman"/>
        </w:rPr>
      </w:pPr>
      <w:r w:rsidRPr="00AE7FB9">
        <w:rPr>
          <w:rFonts w:eastAsia="Calibri" w:cs="Times New Roman"/>
        </w:rPr>
        <w:t>No se tiene certeza que el listado contenga la información de todas las áreas y trabajadores con los que contaba el Ayuntamiento, en las dos quincenas.</w:t>
      </w:r>
    </w:p>
    <w:p w14:paraId="6DEE8282" w14:textId="77777777" w:rsidR="0067280A" w:rsidRPr="00AE7FB9" w:rsidRDefault="0067280A" w:rsidP="0067280A">
      <w:pPr>
        <w:pStyle w:val="Prrafodelista"/>
        <w:rPr>
          <w:rFonts w:eastAsia="Calibri" w:cs="Times New Roman"/>
        </w:rPr>
      </w:pPr>
    </w:p>
    <w:p w14:paraId="6B1AC8DE" w14:textId="3F911C53" w:rsidR="0067280A" w:rsidRPr="00AE7FB9" w:rsidRDefault="0067280A" w:rsidP="0067280A">
      <w:pPr>
        <w:spacing w:after="0" w:line="360" w:lineRule="auto"/>
        <w:rPr>
          <w:rFonts w:eastAsia="Calibri" w:cs="Times New Roman"/>
        </w:rPr>
      </w:pPr>
      <w:r w:rsidRPr="00AE7FB9">
        <w:rPr>
          <w:rFonts w:eastAsia="Calibri" w:cs="Times New Roman"/>
        </w:rPr>
        <w:t xml:space="preserve">Así, toda vez que los listados entregados no contienen la información requerida de manera completa, aunado al hecho de que no siguió el procedimiento de búsqueda, se considera que el agravio es </w:t>
      </w:r>
      <w:r w:rsidRPr="00AE7FB9">
        <w:rPr>
          <w:rFonts w:eastAsia="Calibri" w:cs="Times New Roman"/>
          <w:b/>
        </w:rPr>
        <w:t xml:space="preserve">FUNDADO. </w:t>
      </w:r>
    </w:p>
    <w:p w14:paraId="20BBD733" w14:textId="77777777" w:rsidR="0067280A" w:rsidRPr="00AE7FB9" w:rsidRDefault="0067280A" w:rsidP="00D92AE6">
      <w:pPr>
        <w:spacing w:after="0" w:line="360" w:lineRule="auto"/>
        <w:contextualSpacing/>
        <w:rPr>
          <w:rFonts w:eastAsia="Calibri" w:cs="Tahoma"/>
          <w:color w:val="000000"/>
        </w:rPr>
      </w:pPr>
    </w:p>
    <w:p w14:paraId="40A983DA" w14:textId="5367E481" w:rsidR="00456C89" w:rsidRPr="00AE7FB9" w:rsidRDefault="0067280A" w:rsidP="00D92AE6">
      <w:pPr>
        <w:spacing w:after="0" w:line="360" w:lineRule="auto"/>
        <w:contextualSpacing/>
        <w:rPr>
          <w:rFonts w:eastAsia="Calibri" w:cs="Tahoma"/>
        </w:rPr>
      </w:pPr>
      <w:r w:rsidRPr="00AE7FB9">
        <w:rPr>
          <w:rFonts w:eastAsia="Times New Roman" w:cs="Times New Roman"/>
          <w:color w:val="auto"/>
          <w:szCs w:val="20"/>
          <w:lang w:eastAsia="es-ES"/>
        </w:rPr>
        <w:t>Ahora bien, durante la sustanciación del Medio de Impugnación</w:t>
      </w:r>
      <w:r w:rsidR="006814D6" w:rsidRPr="00AE7FB9">
        <w:rPr>
          <w:rFonts w:eastAsia="Times New Roman" w:cs="Times New Roman"/>
          <w:color w:val="auto"/>
          <w:szCs w:val="20"/>
          <w:lang w:eastAsia="es-ES"/>
        </w:rPr>
        <w:t>, a través del informe justificado, la Tesorer</w:t>
      </w:r>
      <w:r w:rsidRPr="00AE7FB9">
        <w:rPr>
          <w:rFonts w:eastAsia="Times New Roman" w:cs="Times New Roman"/>
          <w:color w:val="auto"/>
          <w:szCs w:val="20"/>
          <w:lang w:eastAsia="es-ES"/>
        </w:rPr>
        <w:t>ía</w:t>
      </w:r>
      <w:r w:rsidR="006814D6" w:rsidRPr="00AE7FB9">
        <w:rPr>
          <w:rFonts w:eastAsia="Times New Roman" w:cs="Times New Roman"/>
          <w:color w:val="auto"/>
          <w:szCs w:val="20"/>
          <w:lang w:eastAsia="es-ES"/>
        </w:rPr>
        <w:t xml:space="preserve"> Municipal proporcionó dos listados de servidores públicos en similares términos, </w:t>
      </w:r>
      <w:r w:rsidR="006814D6" w:rsidRPr="00AE7FB9">
        <w:rPr>
          <w:rFonts w:eastAsia="Calibri" w:cs="Tahoma"/>
          <w:bCs/>
        </w:rPr>
        <w:t>con número de empleado, categoría o puesto, apellidos, nombre, área de adscripción, sueldo bruto, percepciones, deducciones y sueldo neto</w:t>
      </w:r>
      <w:r w:rsidR="006814D6" w:rsidRPr="00AE7FB9">
        <w:rPr>
          <w:rFonts w:eastAsia="Times New Roman" w:cs="Times New Roman"/>
          <w:color w:val="auto"/>
          <w:szCs w:val="20"/>
          <w:lang w:eastAsia="es-ES"/>
        </w:rPr>
        <w:t xml:space="preserve"> por el periodo requerido</w:t>
      </w:r>
      <w:r w:rsidRPr="00AE7FB9">
        <w:rPr>
          <w:rFonts w:eastAsia="Calibri" w:cs="Tahoma"/>
          <w:color w:val="000000"/>
        </w:rPr>
        <w:t xml:space="preserve">; </w:t>
      </w:r>
      <w:r w:rsidR="006814D6" w:rsidRPr="00AE7FB9">
        <w:rPr>
          <w:rFonts w:eastAsia="Calibri" w:cs="Tahoma"/>
          <w:color w:val="000000"/>
        </w:rPr>
        <w:t>sin embargo,</w:t>
      </w:r>
      <w:r w:rsidR="00DC399D" w:rsidRPr="00AE7FB9">
        <w:rPr>
          <w:rFonts w:eastAsia="Calibri" w:cs="Tahoma"/>
          <w:color w:val="000000"/>
        </w:rPr>
        <w:t xml:space="preserve"> es de precisarse que, con </w:t>
      </w:r>
      <w:r w:rsidR="00656727" w:rsidRPr="00AE7FB9">
        <w:rPr>
          <w:rFonts w:eastAsia="Calibri" w:cs="Times New Roman"/>
        </w:rPr>
        <w:t xml:space="preserve">la información </w:t>
      </w:r>
      <w:r w:rsidR="00DC399D" w:rsidRPr="00AE7FB9">
        <w:rPr>
          <w:rFonts w:eastAsia="Calibri" w:cs="Times New Roman"/>
        </w:rPr>
        <w:t xml:space="preserve">proporcionada </w:t>
      </w:r>
      <w:r w:rsidR="00656727" w:rsidRPr="00AE7FB9">
        <w:rPr>
          <w:rFonts w:eastAsia="Calibri" w:cs="Tahoma"/>
        </w:rPr>
        <w:t xml:space="preserve">no puede darse por </w:t>
      </w:r>
      <w:r w:rsidR="00656727" w:rsidRPr="00AE7FB9">
        <w:rPr>
          <w:rFonts w:eastAsia="Calibri" w:cs="Tahoma"/>
        </w:rPr>
        <w:lastRenderedPageBreak/>
        <w:t>atendido el requerimiento solicitado,</w:t>
      </w:r>
      <w:r w:rsidR="00DC399D" w:rsidRPr="00AE7FB9">
        <w:rPr>
          <w:rFonts w:eastAsia="Calibri" w:cs="Tahoma"/>
        </w:rPr>
        <w:t xml:space="preserve"> toda vez que la misma se encuentra incompleta</w:t>
      </w:r>
      <w:r w:rsidR="006814D6" w:rsidRPr="00AE7FB9">
        <w:rPr>
          <w:rFonts w:eastAsia="Calibri" w:cs="Tahoma"/>
        </w:rPr>
        <w:t xml:space="preserve">, </w:t>
      </w:r>
      <w:r w:rsidRPr="00AE7FB9">
        <w:rPr>
          <w:rFonts w:eastAsia="Calibri" w:cs="Tahoma"/>
        </w:rPr>
        <w:t>por las siguientes circunstancias:</w:t>
      </w:r>
    </w:p>
    <w:p w14:paraId="53B5FFA1" w14:textId="77777777" w:rsidR="0067280A" w:rsidRPr="00AE7FB9" w:rsidRDefault="0067280A" w:rsidP="00D92AE6">
      <w:pPr>
        <w:spacing w:after="0" w:line="360" w:lineRule="auto"/>
        <w:contextualSpacing/>
        <w:rPr>
          <w:rFonts w:eastAsia="Calibri" w:cs="Tahoma"/>
        </w:rPr>
      </w:pPr>
    </w:p>
    <w:p w14:paraId="081CAA5E" w14:textId="31E0A3E0" w:rsidR="0067280A" w:rsidRPr="00AE7FB9" w:rsidRDefault="0067280A" w:rsidP="0067280A">
      <w:pPr>
        <w:pStyle w:val="Prrafodelista"/>
        <w:numPr>
          <w:ilvl w:val="0"/>
          <w:numId w:val="17"/>
        </w:numPr>
        <w:spacing w:after="0" w:line="360" w:lineRule="auto"/>
        <w:rPr>
          <w:rFonts w:eastAsia="Calibri" w:cs="Tahoma"/>
        </w:rPr>
      </w:pPr>
      <w:r w:rsidRPr="00AE7FB9">
        <w:rPr>
          <w:rFonts w:eastAsia="Calibri" w:cs="Tahoma"/>
        </w:rPr>
        <w:t>No contiene la información de todos los servidores públicos, al omitir aquella relacionada con el personal operativo de seguridad pública; ya que como, lo refirió el propio Sujeto Obligado, en el desahogo del requerimiento de información adicional,  si cuenta con diversas clases de policías municipales, y</w:t>
      </w:r>
    </w:p>
    <w:p w14:paraId="336B2E6C" w14:textId="77777777" w:rsidR="0067280A" w:rsidRPr="00AE7FB9" w:rsidRDefault="0067280A" w:rsidP="0067280A">
      <w:pPr>
        <w:pStyle w:val="Prrafodelista"/>
        <w:spacing w:after="0" w:line="360" w:lineRule="auto"/>
        <w:rPr>
          <w:rFonts w:eastAsia="Calibri" w:cs="Tahoma"/>
        </w:rPr>
      </w:pPr>
    </w:p>
    <w:p w14:paraId="4AFB342F" w14:textId="04747B1C" w:rsidR="0067280A" w:rsidRPr="00AE7FB9" w:rsidRDefault="0067280A" w:rsidP="0067280A">
      <w:pPr>
        <w:pStyle w:val="Prrafodelista"/>
        <w:numPr>
          <w:ilvl w:val="0"/>
          <w:numId w:val="17"/>
        </w:numPr>
        <w:spacing w:after="0" w:line="360" w:lineRule="auto"/>
        <w:rPr>
          <w:rFonts w:eastAsia="Calibri" w:cs="Tahoma"/>
        </w:rPr>
      </w:pPr>
      <w:r w:rsidRPr="00AE7FB9">
        <w:rPr>
          <w:rFonts w:eastAsia="Calibri" w:cs="Tahoma"/>
        </w:rPr>
        <w:t>No cuenta con el desglose de las percepciones y deducciones.</w:t>
      </w:r>
    </w:p>
    <w:p w14:paraId="0015E825" w14:textId="77777777" w:rsidR="006814D6" w:rsidRPr="00AE7FB9" w:rsidRDefault="006814D6" w:rsidP="00D92AE6">
      <w:pPr>
        <w:spacing w:after="0" w:line="360" w:lineRule="auto"/>
        <w:contextualSpacing/>
        <w:rPr>
          <w:rFonts w:eastAsia="Calibri" w:cs="Tahoma"/>
        </w:rPr>
      </w:pPr>
    </w:p>
    <w:p w14:paraId="0A789D2B" w14:textId="3EC13807" w:rsidR="00B6593D" w:rsidRPr="00AE7FB9" w:rsidRDefault="00B6593D" w:rsidP="00D92AE6">
      <w:pPr>
        <w:spacing w:after="0" w:line="360" w:lineRule="auto"/>
        <w:contextualSpacing/>
        <w:rPr>
          <w:rFonts w:cs="Tahoma"/>
          <w:bCs/>
          <w:iCs/>
        </w:rPr>
      </w:pPr>
      <w:r w:rsidRPr="00AE7FB9">
        <w:rPr>
          <w:rFonts w:cs="Tahoma"/>
          <w:bCs/>
          <w:iCs/>
        </w:rPr>
        <w:t xml:space="preserve">Por tales circunstancias, se considera que el Sujeto Obligado, para atender la solicitud de información, deberá realizar una búsqueda exhaustiva y razonable en los archivos de la Tesorería Municipal </w:t>
      </w:r>
      <w:r w:rsidR="0067280A" w:rsidRPr="00AE7FB9">
        <w:rPr>
          <w:rFonts w:cs="Tahoma"/>
          <w:bCs/>
          <w:iCs/>
        </w:rPr>
        <w:t xml:space="preserve">y la Dirección de Administración, </w:t>
      </w:r>
      <w:r w:rsidR="00362902" w:rsidRPr="00AE7FB9">
        <w:rPr>
          <w:rFonts w:cs="Tahoma"/>
          <w:bCs/>
          <w:iCs/>
        </w:rPr>
        <w:t xml:space="preserve">a efecto de que proporcione la </w:t>
      </w:r>
      <w:r w:rsidR="0067280A" w:rsidRPr="00AE7FB9">
        <w:rPr>
          <w:rFonts w:cs="Tahoma"/>
          <w:bCs/>
          <w:iCs/>
        </w:rPr>
        <w:t>C</w:t>
      </w:r>
      <w:r w:rsidR="00362902" w:rsidRPr="00AE7FB9">
        <w:rPr>
          <w:rFonts w:cs="Tahoma"/>
          <w:bCs/>
          <w:iCs/>
        </w:rPr>
        <w:t xml:space="preserve">onciliación de </w:t>
      </w:r>
      <w:r w:rsidR="0067280A" w:rsidRPr="00AE7FB9">
        <w:rPr>
          <w:rFonts w:cs="Tahoma"/>
          <w:bCs/>
          <w:iCs/>
        </w:rPr>
        <w:t>N</w:t>
      </w:r>
      <w:r w:rsidR="00362902" w:rsidRPr="00AE7FB9">
        <w:rPr>
          <w:rFonts w:cs="Tahoma"/>
          <w:bCs/>
          <w:iCs/>
        </w:rPr>
        <w:t xml:space="preserve">ómina </w:t>
      </w:r>
      <w:r w:rsidR="0067280A" w:rsidRPr="00AE7FB9">
        <w:rPr>
          <w:rFonts w:cs="Tahoma"/>
          <w:bCs/>
          <w:iCs/>
        </w:rPr>
        <w:t>del Ayuntamiento del Oro, de la primera y segunda quincena de enero de dos mil veintidós.</w:t>
      </w:r>
    </w:p>
    <w:p w14:paraId="62F8A179" w14:textId="77777777" w:rsidR="0067280A" w:rsidRPr="00AE7FB9" w:rsidRDefault="0067280A" w:rsidP="00D92AE6">
      <w:pPr>
        <w:spacing w:after="0" w:line="360" w:lineRule="auto"/>
        <w:contextualSpacing/>
        <w:rPr>
          <w:rFonts w:cs="Tahoma"/>
          <w:bCs/>
          <w:iCs/>
        </w:rPr>
      </w:pPr>
    </w:p>
    <w:p w14:paraId="50322C00" w14:textId="77777777" w:rsidR="00B6593D" w:rsidRPr="00AE7FB9" w:rsidRDefault="00B6593D" w:rsidP="00D92AE6">
      <w:pPr>
        <w:spacing w:after="0" w:line="360" w:lineRule="auto"/>
        <w:contextualSpacing/>
        <w:rPr>
          <w:rFonts w:eastAsia="Times New Roman" w:cs="Tahoma"/>
          <w:bCs/>
          <w:color w:val="auto"/>
          <w:lang w:val="es-ES" w:eastAsia="es-ES"/>
        </w:rPr>
      </w:pPr>
      <w:r w:rsidRPr="00AE7FB9">
        <w:rPr>
          <w:rFonts w:eastAsia="Calibri" w:cs="Tahoma"/>
        </w:rPr>
        <w:t>D</w:t>
      </w:r>
      <w:r w:rsidRPr="00AE7FB9">
        <w:rPr>
          <w:rFonts w:eastAsia="Calibri" w:cs="Tahoma"/>
          <w:bCs/>
          <w:lang w:eastAsia="es-MX"/>
        </w:rPr>
        <w:t>i</w:t>
      </w:r>
      <w:proofErr w:type="spellStart"/>
      <w:r w:rsidRPr="00AE7FB9">
        <w:rPr>
          <w:rFonts w:eastAsia="Times New Roman" w:cs="Tahoma"/>
          <w:color w:val="auto"/>
          <w:szCs w:val="24"/>
          <w:lang w:val="es-ES" w:eastAsia="es-ES"/>
        </w:rPr>
        <w:t>cha</w:t>
      </w:r>
      <w:proofErr w:type="spellEnd"/>
      <w:r w:rsidRPr="00AE7FB9">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FCECA60" w14:textId="77777777" w:rsidR="00B6593D" w:rsidRPr="00AE7FB9" w:rsidRDefault="00B6593D" w:rsidP="00D92AE6">
      <w:pPr>
        <w:spacing w:after="0" w:line="360" w:lineRule="auto"/>
        <w:contextualSpacing/>
        <w:rPr>
          <w:rFonts w:eastAsia="Times New Roman" w:cs="Tahoma"/>
          <w:color w:val="auto"/>
          <w:szCs w:val="24"/>
          <w:lang w:val="es-ES" w:eastAsia="es-ES"/>
        </w:rPr>
      </w:pPr>
    </w:p>
    <w:p w14:paraId="2B369E91" w14:textId="77777777" w:rsidR="00B6593D" w:rsidRPr="00AE7FB9" w:rsidRDefault="00B6593D" w:rsidP="00D92AE6">
      <w:pPr>
        <w:spacing w:after="0" w:line="360" w:lineRule="auto"/>
        <w:contextualSpacing/>
        <w:rPr>
          <w:rFonts w:eastAsia="Times New Roman" w:cs="Tahoma"/>
          <w:i/>
          <w:iCs/>
          <w:color w:val="auto"/>
          <w:sz w:val="20"/>
          <w:szCs w:val="20"/>
          <w:lang w:val="es-ES" w:eastAsia="es-ES"/>
        </w:rPr>
      </w:pPr>
      <w:r w:rsidRPr="00AE7FB9">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w:t>
      </w:r>
      <w:r w:rsidRPr="00AE7FB9">
        <w:rPr>
          <w:rFonts w:eastAsia="Times New Roman" w:cs="Tahoma"/>
          <w:color w:val="auto"/>
          <w:szCs w:val="24"/>
          <w:lang w:val="es-ES" w:eastAsia="es-ES"/>
        </w:rPr>
        <w:lastRenderedPageBreak/>
        <w:t xml:space="preserve">cual refiere que los sujetos obligados deberán entregar la información que obre en sus archivos. </w:t>
      </w:r>
    </w:p>
    <w:p w14:paraId="696DE469" w14:textId="77777777" w:rsidR="00B6593D" w:rsidRPr="00AE7FB9" w:rsidRDefault="00B6593D" w:rsidP="00D92AE6">
      <w:pPr>
        <w:spacing w:after="0" w:line="360" w:lineRule="auto"/>
        <w:contextualSpacing/>
        <w:rPr>
          <w:rFonts w:eastAsia="Times New Roman" w:cs="Tahoma"/>
          <w:color w:val="auto"/>
          <w:szCs w:val="24"/>
          <w:lang w:val="es-ES" w:eastAsia="es-ES"/>
        </w:rPr>
      </w:pPr>
    </w:p>
    <w:p w14:paraId="37E071C7" w14:textId="125B14AC" w:rsidR="00B6593D" w:rsidRPr="00AE7FB9" w:rsidRDefault="00B6593D" w:rsidP="00D92AE6">
      <w:pPr>
        <w:spacing w:after="0" w:line="360" w:lineRule="auto"/>
        <w:contextualSpacing/>
        <w:rPr>
          <w:rFonts w:eastAsia="Times New Roman" w:cs="Tahoma"/>
          <w:color w:val="auto"/>
          <w:szCs w:val="24"/>
          <w:lang w:val="es-ES" w:eastAsia="es-ES"/>
        </w:rPr>
      </w:pPr>
      <w:r w:rsidRPr="00AE7FB9">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w:t>
      </w:r>
      <w:r w:rsidR="0067280A" w:rsidRPr="00AE7FB9">
        <w:rPr>
          <w:rFonts w:eastAsia="Times New Roman" w:cs="Tahoma"/>
          <w:color w:val="auto"/>
          <w:szCs w:val="24"/>
          <w:lang w:val="es-ES" w:eastAsia="es-ES"/>
        </w:rPr>
        <w:t>la Conciliación de Nómina.</w:t>
      </w:r>
    </w:p>
    <w:p w14:paraId="2E8B6C6F" w14:textId="77777777" w:rsidR="00BF5790" w:rsidRPr="00AE7FB9" w:rsidRDefault="00BF5790" w:rsidP="00D92AE6">
      <w:pPr>
        <w:spacing w:after="0" w:line="360" w:lineRule="auto"/>
        <w:contextualSpacing/>
        <w:rPr>
          <w:rFonts w:eastAsia="Times New Roman" w:cs="Tahoma"/>
          <w:color w:val="auto"/>
          <w:szCs w:val="24"/>
          <w:lang w:val="es-ES" w:eastAsia="es-ES"/>
        </w:rPr>
      </w:pPr>
    </w:p>
    <w:p w14:paraId="0299D321" w14:textId="5DF1AEF2" w:rsidR="00227708" w:rsidRPr="00AE7FB9" w:rsidRDefault="00227708" w:rsidP="00D92AE6">
      <w:pPr>
        <w:spacing w:after="0" w:line="360" w:lineRule="auto"/>
        <w:ind w:right="-93"/>
        <w:contextualSpacing/>
        <w:rPr>
          <w:rFonts w:eastAsia="Calibri" w:cs="Tahoma"/>
          <w:bCs/>
          <w:lang w:val="es-ES_tradnl"/>
        </w:rPr>
      </w:pPr>
      <w:r w:rsidRPr="00AE7FB9">
        <w:rPr>
          <w:rFonts w:eastAsia="Calibri" w:cs="Tahoma"/>
          <w:bCs/>
          <w:lang w:val="es-ES_tradnl"/>
        </w:rPr>
        <w:t xml:space="preserve">Ahora bien, no pasa desapercibido, que conforme al artículo </w:t>
      </w:r>
      <w:r w:rsidRPr="00AE7FB9">
        <w:rPr>
          <w:rFonts w:eastAsia="Calibri" w:cs="Times New Roman"/>
          <w:color w:val="auto"/>
          <w:szCs w:val="20"/>
          <w:lang w:eastAsia="es-ES"/>
        </w:rPr>
        <w:t>60, fracción XII</w:t>
      </w:r>
      <w:r w:rsidR="0025279D" w:rsidRPr="00AE7FB9">
        <w:rPr>
          <w:rFonts w:eastAsia="Calibri" w:cs="Times New Roman"/>
          <w:color w:val="auto"/>
          <w:szCs w:val="20"/>
          <w:lang w:eastAsia="es-ES"/>
        </w:rPr>
        <w:t>, y 128</w:t>
      </w:r>
      <w:r w:rsidRPr="00AE7FB9">
        <w:rPr>
          <w:rFonts w:eastAsia="Calibri" w:cs="Times New Roman"/>
          <w:color w:val="auto"/>
          <w:szCs w:val="20"/>
          <w:lang w:eastAsia="es-ES"/>
        </w:rPr>
        <w:t xml:space="preserve"> </w:t>
      </w:r>
      <w:r w:rsidRPr="00AE7FB9">
        <w:rPr>
          <w:rFonts w:eastAsia="Calibri" w:cs="Tahoma"/>
          <w:bCs/>
          <w:lang w:val="es-ES_tradnl"/>
        </w:rPr>
        <w:t xml:space="preserve">del Bando Municipal, dos mil veintidós, de </w:t>
      </w:r>
      <w:r w:rsidR="00355E6A" w:rsidRPr="00AE7FB9">
        <w:rPr>
          <w:rFonts w:eastAsia="Calibri" w:cs="Tahoma"/>
          <w:bCs/>
          <w:lang w:val="es-ES_tradnl"/>
        </w:rPr>
        <w:t>el Oro</w:t>
      </w:r>
      <w:r w:rsidRPr="00AE7FB9">
        <w:rPr>
          <w:rFonts w:eastAsia="Times New Roman" w:cs="Times New Roman"/>
          <w:color w:val="auto"/>
          <w:lang w:eastAsia="es-ES"/>
        </w:rPr>
        <w:t>,</w:t>
      </w:r>
      <w:r w:rsidRPr="00AE7FB9">
        <w:rPr>
          <w:rFonts w:eastAsia="Calibri" w:cs="Tahoma"/>
          <w:bCs/>
          <w:lang w:val="es-ES_tradnl"/>
        </w:rPr>
        <w:t xml:space="preserve"> el Sujeto Obligado cuenta con la </w:t>
      </w:r>
      <w:r w:rsidRPr="00AE7FB9">
        <w:t>Dirección de Seguridad Pública, Protección Civil y Bomberos</w:t>
      </w:r>
      <w:r w:rsidRPr="00AE7FB9">
        <w:rPr>
          <w:rFonts w:eastAsia="Calibri" w:cs="Tahoma"/>
          <w:bCs/>
          <w:lang w:val="es-ES_tradnl"/>
        </w:rPr>
        <w:t>, encargada de salvaguardar y garantizar el orden público y la paz social, así como de la prevención, combate y persecución de delitos; lo anterior, a través de servidores públicos que realizan funciones operativas en materia de seguridad pública</w:t>
      </w:r>
      <w:r w:rsidR="0025279D" w:rsidRPr="00AE7FB9">
        <w:rPr>
          <w:rFonts w:eastAsia="Calibri" w:cs="Tahoma"/>
          <w:bCs/>
          <w:lang w:val="es-ES_tradnl"/>
        </w:rPr>
        <w:t>. Para tal circunstancia, el Sujeto Obligado precisó mediante el desahogó del requerimiento de información adicional, que contaba con diverso personal operativo en materia de seguridad, conformado por policías de diversas categorías.</w:t>
      </w:r>
    </w:p>
    <w:p w14:paraId="49824C22" w14:textId="77777777" w:rsidR="00227708" w:rsidRPr="00AE7FB9" w:rsidRDefault="00227708" w:rsidP="00D92AE6">
      <w:pPr>
        <w:spacing w:after="0" w:line="360" w:lineRule="auto"/>
        <w:contextualSpacing/>
        <w:rPr>
          <w:rFonts w:eastAsia="Times New Roman" w:cs="Tahoma"/>
          <w:color w:val="auto"/>
          <w:szCs w:val="24"/>
          <w:lang w:val="es-ES" w:eastAsia="es-ES"/>
        </w:rPr>
      </w:pPr>
    </w:p>
    <w:p w14:paraId="39FFD684" w14:textId="77777777" w:rsidR="00FA4586" w:rsidRPr="00AE7FB9" w:rsidRDefault="00FA4586" w:rsidP="00D92AE6">
      <w:pPr>
        <w:spacing w:after="0" w:line="360" w:lineRule="auto"/>
        <w:contextualSpacing/>
        <w:rPr>
          <w:rFonts w:eastAsia="Calibri" w:cs="Times New Roman"/>
          <w:color w:val="auto"/>
          <w:szCs w:val="20"/>
          <w:lang w:eastAsia="es-ES"/>
        </w:rPr>
      </w:pPr>
      <w:r w:rsidRPr="00AE7FB9">
        <w:rPr>
          <w:rFonts w:eastAsia="Calibri" w:cs="Times New Roman"/>
          <w:color w:val="auto"/>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26D54C76" w14:textId="77777777" w:rsidR="00FA4586" w:rsidRPr="00AE7FB9" w:rsidRDefault="00FA4586" w:rsidP="00D92AE6">
      <w:pPr>
        <w:spacing w:after="0" w:line="360" w:lineRule="auto"/>
        <w:contextualSpacing/>
        <w:rPr>
          <w:rFonts w:eastAsia="Times New Roman" w:cs="Tahoma"/>
          <w:color w:val="auto"/>
          <w:lang w:eastAsia="es-ES"/>
        </w:rPr>
      </w:pPr>
    </w:p>
    <w:p w14:paraId="5FE321C8" w14:textId="77777777" w:rsidR="00FA4586" w:rsidRPr="00AE7FB9" w:rsidRDefault="00FA4586" w:rsidP="00D92AE6">
      <w:pPr>
        <w:tabs>
          <w:tab w:val="left" w:pos="4962"/>
        </w:tabs>
        <w:spacing w:after="0" w:line="360" w:lineRule="auto"/>
        <w:ind w:left="567" w:right="567"/>
        <w:contextualSpacing/>
        <w:rPr>
          <w:rFonts w:eastAsia="Calibri" w:cs="Tahoma"/>
          <w:i/>
          <w:iCs/>
          <w:color w:val="auto"/>
          <w:sz w:val="20"/>
          <w:szCs w:val="20"/>
          <w:lang w:val="es-ES" w:eastAsia="es-ES_tradnl"/>
        </w:rPr>
      </w:pPr>
      <w:r w:rsidRPr="00AE7FB9">
        <w:rPr>
          <w:rFonts w:eastAsia="Calibri" w:cs="Tahoma"/>
          <w:i/>
          <w:iCs/>
          <w:color w:val="auto"/>
          <w:sz w:val="20"/>
          <w:szCs w:val="20"/>
          <w:lang w:val="es-ES" w:eastAsia="es-ES_tradnl"/>
        </w:rPr>
        <w:t>“</w:t>
      </w:r>
      <w:r w:rsidRPr="00AE7FB9">
        <w:rPr>
          <w:rFonts w:eastAsia="Calibri" w:cs="Tahoma"/>
          <w:b/>
          <w:i/>
          <w:iCs/>
          <w:color w:val="auto"/>
          <w:sz w:val="20"/>
          <w:szCs w:val="20"/>
          <w:lang w:val="es-ES" w:eastAsia="es-ES_tradnl"/>
        </w:rPr>
        <w:t>Artículo 140.</w:t>
      </w:r>
      <w:r w:rsidRPr="00AE7FB9">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2793EA79" w14:textId="77777777" w:rsidR="00FA4586" w:rsidRPr="00AE7FB9" w:rsidRDefault="00FA4586" w:rsidP="00D92AE6">
      <w:pPr>
        <w:tabs>
          <w:tab w:val="left" w:pos="4962"/>
        </w:tabs>
        <w:spacing w:after="0" w:line="360" w:lineRule="auto"/>
        <w:ind w:left="567" w:right="567"/>
        <w:contextualSpacing/>
        <w:rPr>
          <w:rFonts w:eastAsia="Calibri" w:cs="Tahoma"/>
          <w:i/>
          <w:iCs/>
          <w:color w:val="auto"/>
          <w:sz w:val="20"/>
          <w:szCs w:val="20"/>
          <w:lang w:val="es-ES" w:eastAsia="es-ES_tradnl"/>
        </w:rPr>
      </w:pPr>
      <w:r w:rsidRPr="00AE7FB9">
        <w:rPr>
          <w:rFonts w:eastAsia="Calibri" w:cs="Tahoma"/>
          <w:i/>
          <w:iCs/>
          <w:color w:val="auto"/>
          <w:sz w:val="20"/>
          <w:szCs w:val="20"/>
          <w:lang w:val="es-ES" w:eastAsia="es-ES_tradnl"/>
        </w:rPr>
        <w:t>…</w:t>
      </w:r>
    </w:p>
    <w:p w14:paraId="66D9233A" w14:textId="77777777" w:rsidR="00FA4586" w:rsidRPr="00AE7FB9" w:rsidRDefault="00FA4586" w:rsidP="00D92AE6">
      <w:pPr>
        <w:tabs>
          <w:tab w:val="left" w:pos="4962"/>
        </w:tabs>
        <w:spacing w:after="0" w:line="360" w:lineRule="auto"/>
        <w:ind w:left="567" w:right="567"/>
        <w:contextualSpacing/>
        <w:rPr>
          <w:rFonts w:eastAsia="Calibri" w:cs="Tahoma"/>
          <w:i/>
          <w:iCs/>
          <w:color w:val="auto"/>
          <w:sz w:val="20"/>
          <w:szCs w:val="20"/>
          <w:lang w:eastAsia="es-ES_tradnl"/>
        </w:rPr>
      </w:pPr>
      <w:r w:rsidRPr="00AE7FB9">
        <w:rPr>
          <w:rFonts w:eastAsia="Calibri" w:cs="Tahoma"/>
          <w:i/>
          <w:iCs/>
          <w:color w:val="auto"/>
          <w:sz w:val="20"/>
          <w:szCs w:val="20"/>
          <w:lang w:eastAsia="es-ES_tradnl"/>
        </w:rPr>
        <w:t>IV. Ponga en riesgo la vida, la seguridad o la salud de una persona física;</w:t>
      </w:r>
    </w:p>
    <w:p w14:paraId="33294A27" w14:textId="77777777" w:rsidR="00FA4586" w:rsidRPr="00AE7FB9" w:rsidRDefault="00FA4586" w:rsidP="00D92AE6">
      <w:pPr>
        <w:tabs>
          <w:tab w:val="left" w:pos="4962"/>
        </w:tabs>
        <w:spacing w:after="0" w:line="360" w:lineRule="auto"/>
        <w:ind w:left="567" w:right="567"/>
        <w:contextualSpacing/>
        <w:rPr>
          <w:rFonts w:eastAsia="Calibri" w:cs="Tahoma"/>
          <w:i/>
          <w:iCs/>
          <w:color w:val="auto"/>
          <w:sz w:val="20"/>
          <w:szCs w:val="20"/>
          <w:lang w:val="es-ES" w:eastAsia="es-ES_tradnl"/>
        </w:rPr>
      </w:pPr>
      <w:r w:rsidRPr="00AE7FB9">
        <w:rPr>
          <w:rFonts w:eastAsia="Calibri" w:cs="Tahoma"/>
          <w:i/>
          <w:iCs/>
          <w:color w:val="auto"/>
          <w:sz w:val="20"/>
          <w:szCs w:val="20"/>
          <w:lang w:val="es-ES" w:eastAsia="es-ES_tradnl"/>
        </w:rPr>
        <w:t xml:space="preserve">…” </w:t>
      </w:r>
    </w:p>
    <w:p w14:paraId="520E8B17" w14:textId="77777777" w:rsidR="00FA4586" w:rsidRPr="00AE7FB9" w:rsidRDefault="00FA4586" w:rsidP="00D92AE6">
      <w:pPr>
        <w:spacing w:after="0" w:line="360" w:lineRule="auto"/>
        <w:contextualSpacing/>
        <w:rPr>
          <w:rFonts w:eastAsia="Calibri" w:cs="Tahoma"/>
          <w:bCs/>
          <w:color w:val="auto"/>
        </w:rPr>
      </w:pPr>
    </w:p>
    <w:p w14:paraId="12FAD1CB" w14:textId="77777777" w:rsidR="00FA4586" w:rsidRPr="00AE7FB9" w:rsidRDefault="00FA4586" w:rsidP="00D92AE6">
      <w:pPr>
        <w:spacing w:after="0" w:line="360" w:lineRule="auto"/>
        <w:contextualSpacing/>
        <w:rPr>
          <w:rFonts w:eastAsia="Calibri" w:cs="Tahoma"/>
          <w:bCs/>
          <w:color w:val="auto"/>
        </w:rPr>
      </w:pPr>
      <w:r w:rsidRPr="00AE7FB9">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AE7FB9">
        <w:rPr>
          <w:rFonts w:eastAsia="Calibri" w:cs="Tahoma"/>
          <w:bCs/>
          <w:color w:val="auto"/>
          <w:lang w:val="es-ES"/>
        </w:rPr>
        <w:t xml:space="preserve">Lineamientos Generales, </w:t>
      </w:r>
      <w:r w:rsidRPr="00AE7FB9">
        <w:rPr>
          <w:rFonts w:eastAsia="Calibri" w:cs="Tahoma"/>
          <w:bCs/>
          <w:color w:val="auto"/>
        </w:rPr>
        <w:t>establecen lo siguiente:</w:t>
      </w:r>
    </w:p>
    <w:p w14:paraId="3B4F0375" w14:textId="77777777" w:rsidR="00FA4586" w:rsidRPr="00AE7FB9" w:rsidRDefault="00FA4586" w:rsidP="00D92AE6">
      <w:pPr>
        <w:spacing w:after="0" w:line="360" w:lineRule="auto"/>
        <w:contextualSpacing/>
        <w:rPr>
          <w:rFonts w:eastAsia="Calibri" w:cs="Tahoma"/>
          <w:bCs/>
          <w:color w:val="auto"/>
        </w:rPr>
      </w:pPr>
    </w:p>
    <w:p w14:paraId="61446782" w14:textId="77777777" w:rsidR="00FA4586" w:rsidRPr="00AE7FB9" w:rsidRDefault="00FA4586" w:rsidP="00D92AE6">
      <w:pPr>
        <w:spacing w:after="0" w:line="360" w:lineRule="auto"/>
        <w:ind w:left="567" w:right="567"/>
        <w:contextualSpacing/>
        <w:rPr>
          <w:rFonts w:eastAsia="Calibri" w:cs="Tahoma"/>
          <w:bCs/>
          <w:i/>
          <w:color w:val="auto"/>
          <w:sz w:val="20"/>
          <w:szCs w:val="20"/>
        </w:rPr>
      </w:pPr>
      <w:r w:rsidRPr="00AE7FB9">
        <w:rPr>
          <w:rFonts w:eastAsia="Calibri" w:cs="Tahoma"/>
          <w:b/>
          <w:bCs/>
          <w:i/>
          <w:color w:val="auto"/>
          <w:sz w:val="20"/>
          <w:szCs w:val="20"/>
        </w:rPr>
        <w:t xml:space="preserve">“Vigésimo tercero. </w:t>
      </w:r>
      <w:r w:rsidRPr="00AE7FB9">
        <w:rPr>
          <w:rFonts w:eastAsia="Calibri" w:cs="Tahoma"/>
          <w:bCs/>
          <w:i/>
          <w:color w:val="auto"/>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1843D56C" w14:textId="77777777" w:rsidR="00FA4586" w:rsidRPr="00AE7FB9" w:rsidRDefault="00FA4586" w:rsidP="00D92AE6">
      <w:pPr>
        <w:spacing w:after="0" w:line="360" w:lineRule="auto"/>
        <w:ind w:left="567" w:right="567"/>
        <w:contextualSpacing/>
        <w:rPr>
          <w:rFonts w:eastAsia="Calibri" w:cs="Tahoma"/>
          <w:bCs/>
          <w:i/>
          <w:color w:val="auto"/>
          <w:sz w:val="20"/>
          <w:szCs w:val="20"/>
        </w:rPr>
      </w:pPr>
    </w:p>
    <w:p w14:paraId="7D5F58FD" w14:textId="4DB52A4B" w:rsidR="00FA4586" w:rsidRPr="00AE7FB9" w:rsidRDefault="00FA4586" w:rsidP="00D92AE6">
      <w:pPr>
        <w:spacing w:after="0" w:line="360" w:lineRule="auto"/>
        <w:contextualSpacing/>
        <w:rPr>
          <w:rFonts w:eastAsia="Calibri" w:cs="Tahoma"/>
          <w:b/>
          <w:bCs/>
          <w:color w:val="auto"/>
        </w:rPr>
      </w:pPr>
      <w:r w:rsidRPr="00AE7FB9">
        <w:rPr>
          <w:rFonts w:eastAsia="Calibri" w:cs="Tahoma"/>
          <w:bCs/>
          <w:color w:val="auto"/>
        </w:rPr>
        <w:t>Del Lineamiento referido, se desprende que para clasificar la información como reservada, será necesario acreditar un vínculo, entre la persona física y la información que pueda poner en riesgo su vida, seguridad o salud</w:t>
      </w:r>
      <w:r w:rsidR="0027487F" w:rsidRPr="00AE7FB9">
        <w:rPr>
          <w:rFonts w:eastAsia="Calibri" w:cs="Tahoma"/>
          <w:bCs/>
          <w:color w:val="auto"/>
        </w:rPr>
        <w:t xml:space="preserve">, es decir, </w:t>
      </w:r>
      <w:r w:rsidRPr="00AE7FB9">
        <w:rPr>
          <w:rFonts w:eastAsia="Calibri" w:cs="Tahoma"/>
          <w:bCs/>
          <w:color w:val="auto"/>
        </w:rPr>
        <w:t>se deben señalar el bien jurídico específico</w:t>
      </w:r>
      <w:r w:rsidR="0027487F" w:rsidRPr="00AE7FB9">
        <w:rPr>
          <w:rFonts w:eastAsia="Calibri" w:cs="Tahoma"/>
          <w:bCs/>
          <w:color w:val="auto"/>
        </w:rPr>
        <w:t xml:space="preserve"> afectado</w:t>
      </w:r>
      <w:r w:rsidRPr="00AE7FB9">
        <w:rPr>
          <w:rFonts w:eastAsia="Calibri" w:cs="Tahoma"/>
          <w:bCs/>
          <w:color w:val="auto"/>
        </w:rPr>
        <w:t xml:space="preserve"> y el potencial de daño o riesgo que causaría su difusión.</w:t>
      </w:r>
    </w:p>
    <w:p w14:paraId="4DE5CA0F" w14:textId="77777777" w:rsidR="00FA4586" w:rsidRPr="00AE7FB9" w:rsidRDefault="00FA4586" w:rsidP="00D92AE6">
      <w:pPr>
        <w:spacing w:after="0" w:line="360" w:lineRule="auto"/>
        <w:contextualSpacing/>
        <w:rPr>
          <w:rFonts w:eastAsia="Calibri" w:cs="Tahoma"/>
          <w:bCs/>
          <w:color w:val="auto"/>
        </w:rPr>
      </w:pPr>
    </w:p>
    <w:p w14:paraId="03858DE0" w14:textId="77777777" w:rsidR="00FA4586" w:rsidRPr="00AE7FB9" w:rsidRDefault="00FA4586" w:rsidP="00D92AE6">
      <w:pPr>
        <w:spacing w:after="0" w:line="360" w:lineRule="auto"/>
        <w:contextualSpacing/>
        <w:rPr>
          <w:rFonts w:eastAsia="Calibri" w:cs="Tahoma"/>
          <w:bCs/>
          <w:color w:val="auto"/>
        </w:rPr>
      </w:pPr>
      <w:r w:rsidRPr="00AE7FB9">
        <w:rPr>
          <w:rFonts w:eastAsia="Calibri" w:cs="Tahoma"/>
          <w:bCs/>
          <w:color w:val="auto"/>
        </w:rPr>
        <w:t>Además, el artículo 81, fracción III, de la Ley de Seguridad del Estado de México, establece lo siguiente:</w:t>
      </w:r>
    </w:p>
    <w:p w14:paraId="35A0777C" w14:textId="77777777" w:rsidR="00FA4586" w:rsidRPr="00AE7FB9" w:rsidRDefault="00FA4586" w:rsidP="00D92AE6">
      <w:pPr>
        <w:spacing w:after="0" w:line="360" w:lineRule="auto"/>
        <w:contextualSpacing/>
        <w:rPr>
          <w:rFonts w:eastAsia="Calibri" w:cs="Tahoma"/>
          <w:bCs/>
          <w:color w:val="auto"/>
        </w:rPr>
      </w:pPr>
    </w:p>
    <w:p w14:paraId="681490DC" w14:textId="77777777" w:rsidR="00FA4586" w:rsidRPr="00AE7FB9" w:rsidRDefault="00FA4586" w:rsidP="00D92AE6">
      <w:pPr>
        <w:spacing w:after="0" w:line="360" w:lineRule="auto"/>
        <w:ind w:left="567" w:right="567"/>
        <w:contextualSpacing/>
        <w:rPr>
          <w:rFonts w:eastAsia="Calibri" w:cs="Tahoma"/>
          <w:bCs/>
          <w:i/>
          <w:color w:val="auto"/>
          <w:sz w:val="20"/>
          <w:szCs w:val="20"/>
        </w:rPr>
      </w:pPr>
      <w:r w:rsidRPr="00AE7FB9">
        <w:rPr>
          <w:rFonts w:eastAsia="Calibri" w:cs="Tahoma"/>
          <w:b/>
          <w:bCs/>
          <w:i/>
          <w:color w:val="auto"/>
          <w:sz w:val="20"/>
          <w:szCs w:val="20"/>
        </w:rPr>
        <w:t>“Artículo 81.-</w:t>
      </w:r>
      <w:r w:rsidRPr="00AE7FB9">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8062654" w14:textId="77777777" w:rsidR="00FA4586" w:rsidRPr="00AE7FB9" w:rsidRDefault="00FA4586" w:rsidP="00D92AE6">
      <w:pPr>
        <w:spacing w:after="0" w:line="360" w:lineRule="auto"/>
        <w:ind w:left="567" w:right="567"/>
        <w:contextualSpacing/>
        <w:rPr>
          <w:rFonts w:eastAsia="Calibri" w:cs="Tahoma"/>
          <w:bCs/>
          <w:i/>
          <w:color w:val="auto"/>
          <w:sz w:val="20"/>
          <w:szCs w:val="20"/>
        </w:rPr>
      </w:pPr>
      <w:r w:rsidRPr="00AE7FB9">
        <w:rPr>
          <w:rFonts w:eastAsia="Calibri" w:cs="Tahoma"/>
          <w:bCs/>
          <w:i/>
          <w:color w:val="auto"/>
          <w:sz w:val="20"/>
          <w:szCs w:val="20"/>
        </w:rPr>
        <w:t>…</w:t>
      </w:r>
    </w:p>
    <w:p w14:paraId="1EF95FA0" w14:textId="77777777" w:rsidR="00FA4586" w:rsidRPr="00AE7FB9" w:rsidRDefault="00FA4586" w:rsidP="00D92AE6">
      <w:pPr>
        <w:spacing w:after="0" w:line="360" w:lineRule="auto"/>
        <w:ind w:left="567" w:right="567"/>
        <w:contextualSpacing/>
        <w:rPr>
          <w:rFonts w:eastAsia="Calibri" w:cs="Tahoma"/>
          <w:bCs/>
          <w:i/>
          <w:color w:val="auto"/>
          <w:sz w:val="20"/>
          <w:szCs w:val="20"/>
        </w:rPr>
      </w:pPr>
      <w:r w:rsidRPr="00AE7FB9">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14:paraId="5FD64162" w14:textId="77777777" w:rsidR="00FA4586" w:rsidRPr="00AE7FB9" w:rsidRDefault="00FA4586" w:rsidP="00D92AE6">
      <w:pPr>
        <w:spacing w:after="0" w:line="360" w:lineRule="auto"/>
        <w:ind w:left="567" w:right="567"/>
        <w:contextualSpacing/>
        <w:rPr>
          <w:rFonts w:eastAsia="Calibri" w:cs="Tahoma"/>
          <w:bCs/>
          <w:i/>
          <w:color w:val="auto"/>
          <w:sz w:val="20"/>
          <w:szCs w:val="20"/>
        </w:rPr>
      </w:pPr>
      <w:r w:rsidRPr="00AE7FB9">
        <w:rPr>
          <w:rFonts w:eastAsia="Calibri" w:cs="Tahoma"/>
          <w:bCs/>
          <w:i/>
          <w:color w:val="auto"/>
          <w:sz w:val="20"/>
          <w:szCs w:val="20"/>
        </w:rPr>
        <w:t>…”</w:t>
      </w:r>
    </w:p>
    <w:p w14:paraId="399738A6" w14:textId="77777777" w:rsidR="00FA4586" w:rsidRPr="00AE7FB9" w:rsidRDefault="00FA4586" w:rsidP="00D92AE6">
      <w:pPr>
        <w:spacing w:after="0" w:line="360" w:lineRule="auto"/>
        <w:contextualSpacing/>
        <w:rPr>
          <w:rFonts w:eastAsia="Calibri" w:cs="Tahoma"/>
          <w:bCs/>
          <w:color w:val="auto"/>
          <w:sz w:val="20"/>
          <w:szCs w:val="20"/>
        </w:rPr>
      </w:pPr>
    </w:p>
    <w:p w14:paraId="79650F4B" w14:textId="77777777" w:rsidR="00FA4586" w:rsidRPr="00AE7FB9" w:rsidRDefault="00FA4586" w:rsidP="00D92AE6">
      <w:pPr>
        <w:spacing w:after="0" w:line="360" w:lineRule="auto"/>
        <w:contextualSpacing/>
        <w:rPr>
          <w:rFonts w:eastAsia="Times New Roman" w:cs="Tahoma"/>
          <w:color w:val="auto"/>
          <w:lang w:eastAsia="es-ES"/>
        </w:rPr>
      </w:pPr>
      <w:r w:rsidRPr="00AE7FB9">
        <w:rPr>
          <w:rFonts w:eastAsia="Times New Roman" w:cs="Tahoma"/>
          <w:color w:val="auto"/>
          <w:lang w:eastAsia="es-ES"/>
        </w:rPr>
        <w:lastRenderedPageBreak/>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3508AC07" w14:textId="77777777" w:rsidR="00FA4586" w:rsidRPr="00AE7FB9" w:rsidRDefault="00FA4586" w:rsidP="00D92AE6">
      <w:pPr>
        <w:spacing w:after="0" w:line="360" w:lineRule="auto"/>
        <w:contextualSpacing/>
        <w:rPr>
          <w:rFonts w:eastAsia="Calibri" w:cs="Tahoma"/>
          <w:bCs/>
          <w:color w:val="auto"/>
        </w:rPr>
      </w:pPr>
    </w:p>
    <w:p w14:paraId="28BC6515" w14:textId="77777777" w:rsidR="00FA4586" w:rsidRPr="00AE7FB9" w:rsidRDefault="00FA4586" w:rsidP="00D92AE6">
      <w:pPr>
        <w:spacing w:after="0" w:line="360" w:lineRule="auto"/>
        <w:contextualSpacing/>
        <w:rPr>
          <w:rFonts w:eastAsia="Calibri" w:cs="Tahoma"/>
          <w:bCs/>
          <w:color w:val="auto"/>
        </w:rPr>
      </w:pPr>
      <w:r w:rsidRPr="00AE7FB9">
        <w:rPr>
          <w:rFonts w:eastAsia="Calibri" w:cs="Tahoma"/>
          <w:bCs/>
          <w:color w:val="auto"/>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5E7E969E" w14:textId="77777777" w:rsidR="00FA4586" w:rsidRPr="00AE7FB9" w:rsidRDefault="00FA4586" w:rsidP="00D92AE6">
      <w:pPr>
        <w:spacing w:after="0" w:line="360" w:lineRule="auto"/>
        <w:contextualSpacing/>
        <w:rPr>
          <w:rFonts w:eastAsia="Calibri" w:cs="Tahoma"/>
          <w:bCs/>
          <w:color w:val="auto"/>
        </w:rPr>
      </w:pPr>
    </w:p>
    <w:p w14:paraId="396509E2" w14:textId="77777777" w:rsidR="00FA4586" w:rsidRPr="00AE7FB9" w:rsidRDefault="00FA4586" w:rsidP="00D92AE6">
      <w:pPr>
        <w:spacing w:after="0" w:line="360" w:lineRule="auto"/>
        <w:contextualSpacing/>
        <w:rPr>
          <w:rFonts w:eastAsia="Times New Roman" w:cs="Tahoma"/>
          <w:color w:val="auto"/>
          <w:lang w:eastAsia="es-ES"/>
        </w:rPr>
      </w:pPr>
      <w:r w:rsidRPr="00AE7FB9">
        <w:rPr>
          <w:rFonts w:eastAsia="Calibri" w:cs="Tahoma"/>
          <w:bCs/>
          <w:color w:val="auto"/>
        </w:rPr>
        <w:t xml:space="preserve">No obstante, resulta necesario traer a colación por analogía, el </w:t>
      </w:r>
      <w:r w:rsidRPr="00AE7FB9">
        <w:rPr>
          <w:lang w:val="es-ES"/>
        </w:rPr>
        <w:t xml:space="preserve">Criterio de interpretación, con número de registro SO/006/2009, de la Segunda Época, </w:t>
      </w:r>
      <w:r w:rsidRPr="00AE7FB9">
        <w:rPr>
          <w:rFonts w:eastAsia="Calibri" w:cs="Tahoma"/>
          <w:bCs/>
          <w:color w:val="auto"/>
        </w:rPr>
        <w:t xml:space="preserve">emitido por </w:t>
      </w:r>
      <w:r w:rsidRPr="00AE7FB9">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14:paraId="7438FED0" w14:textId="77777777" w:rsidR="00FA4586" w:rsidRPr="00AE7FB9" w:rsidRDefault="00FA4586" w:rsidP="00D92AE6">
      <w:pPr>
        <w:spacing w:after="0" w:line="360" w:lineRule="auto"/>
        <w:contextualSpacing/>
        <w:rPr>
          <w:rFonts w:eastAsia="Times New Roman" w:cs="Tahoma"/>
          <w:i/>
          <w:color w:val="auto"/>
          <w:lang w:eastAsia="es-ES"/>
        </w:rPr>
      </w:pPr>
    </w:p>
    <w:p w14:paraId="499457FD" w14:textId="77777777" w:rsidR="00FA4586" w:rsidRPr="00AE7FB9" w:rsidRDefault="00FA4586" w:rsidP="00D92AE6">
      <w:pPr>
        <w:tabs>
          <w:tab w:val="left" w:pos="4962"/>
        </w:tabs>
        <w:spacing w:after="0" w:line="360" w:lineRule="auto"/>
        <w:ind w:left="567" w:right="567"/>
        <w:contextualSpacing/>
        <w:rPr>
          <w:rFonts w:eastAsia="Times New Roman" w:cs="Tahoma"/>
          <w:i/>
          <w:color w:val="auto"/>
          <w:sz w:val="20"/>
          <w:lang w:eastAsia="es-ES"/>
        </w:rPr>
      </w:pPr>
      <w:r w:rsidRPr="00AE7FB9">
        <w:rPr>
          <w:rFonts w:eastAsia="Times New Roman" w:cs="Tahoma"/>
          <w:b/>
          <w:i/>
          <w:color w:val="auto"/>
          <w:sz w:val="20"/>
          <w:lang w:eastAsia="es-ES"/>
        </w:rPr>
        <w:t>“Nombres de servidores públicos dedicados a actividades en materia de seguridad, por excepción pueden considerarse información reservada.</w:t>
      </w:r>
      <w:r w:rsidRPr="00AE7FB9">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w:t>
      </w:r>
      <w:r w:rsidRPr="00AE7FB9">
        <w:rPr>
          <w:rFonts w:eastAsia="Times New Roman" w:cs="Tahoma"/>
          <w:i/>
          <w:color w:val="auto"/>
          <w:sz w:val="20"/>
          <w:lang w:eastAsia="es-ES"/>
        </w:rPr>
        <w:lastRenderedPageBreak/>
        <w:t>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B006A70" w14:textId="77777777" w:rsidR="00FA4586" w:rsidRPr="00AE7FB9" w:rsidRDefault="00FA4586" w:rsidP="00D92AE6">
      <w:pPr>
        <w:spacing w:after="0" w:line="360" w:lineRule="auto"/>
        <w:contextualSpacing/>
        <w:rPr>
          <w:rFonts w:eastAsia="Calibri" w:cs="Tahoma"/>
          <w:bCs/>
          <w:color w:val="auto"/>
        </w:rPr>
      </w:pPr>
    </w:p>
    <w:p w14:paraId="3A00293F" w14:textId="77777777" w:rsidR="00FA4586" w:rsidRPr="00AE7FB9" w:rsidRDefault="00FA4586" w:rsidP="00D92AE6">
      <w:pPr>
        <w:spacing w:after="0" w:line="360" w:lineRule="auto"/>
        <w:contextualSpacing/>
        <w:rPr>
          <w:rFonts w:eastAsia="Calibri" w:cs="Tahoma"/>
          <w:bCs/>
          <w:color w:val="auto"/>
        </w:rPr>
      </w:pPr>
      <w:r w:rsidRPr="00AE7FB9">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33B3892" w14:textId="77777777" w:rsidR="00FA4586" w:rsidRPr="00AE7FB9" w:rsidRDefault="00FA4586" w:rsidP="00D92AE6">
      <w:pPr>
        <w:spacing w:after="0" w:line="360" w:lineRule="auto"/>
        <w:contextualSpacing/>
        <w:rPr>
          <w:rFonts w:eastAsia="Calibri" w:cs="Tahoma"/>
          <w:bCs/>
          <w:color w:val="auto"/>
        </w:rPr>
      </w:pPr>
    </w:p>
    <w:p w14:paraId="01F5F4FC" w14:textId="77777777" w:rsidR="00FA4586" w:rsidRPr="00AE7FB9" w:rsidRDefault="00FA4586" w:rsidP="00D92AE6">
      <w:pPr>
        <w:spacing w:after="0" w:line="360" w:lineRule="auto"/>
        <w:contextualSpacing/>
        <w:rPr>
          <w:rFonts w:eastAsia="Calibri" w:cs="Tahoma"/>
          <w:bCs/>
          <w:color w:val="auto"/>
        </w:rPr>
      </w:pPr>
      <w:r w:rsidRPr="00AE7FB9">
        <w:rPr>
          <w:rFonts w:eastAsia="Calibri" w:cs="Tahoma"/>
          <w:bCs/>
          <w:color w:val="auto"/>
        </w:rPr>
        <w:t xml:space="preserve">En ese orden de ideas, si bien por regla general los nombres de los trabajadores gubernamentales son información pública de oficio, existe una excepción relativa a </w:t>
      </w:r>
      <w:r w:rsidRPr="00AE7FB9">
        <w:rPr>
          <w:rFonts w:eastAsia="Calibri" w:cs="Tahoma"/>
          <w:b/>
          <w:bCs/>
          <w:color w:val="auto"/>
        </w:rPr>
        <w:t>aquellos que realicen actividades operativas en materia de seguridad,</w:t>
      </w:r>
      <w:r w:rsidRPr="00AE7FB9">
        <w:rPr>
          <w:rFonts w:eastAsia="Calibri" w:cs="Tahoma"/>
          <w:bCs/>
          <w:color w:val="auto"/>
        </w:rPr>
        <w:t xml:space="preserve"> como es el caso de los elementos operativos y la policía municipal.</w:t>
      </w:r>
    </w:p>
    <w:p w14:paraId="53C42703" w14:textId="77777777" w:rsidR="00FA4586" w:rsidRPr="00AE7FB9" w:rsidRDefault="00FA4586" w:rsidP="00D92AE6">
      <w:pPr>
        <w:spacing w:after="0" w:line="360" w:lineRule="auto"/>
        <w:contextualSpacing/>
        <w:rPr>
          <w:rFonts w:eastAsia="Calibri" w:cs="Tahoma"/>
          <w:bCs/>
          <w:color w:val="auto"/>
        </w:rPr>
      </w:pPr>
    </w:p>
    <w:p w14:paraId="2719722A" w14:textId="77777777" w:rsidR="00FA4586" w:rsidRPr="00AE7FB9" w:rsidRDefault="00FA4586" w:rsidP="00D92AE6">
      <w:pPr>
        <w:spacing w:after="0" w:line="360" w:lineRule="auto"/>
        <w:contextualSpacing/>
        <w:rPr>
          <w:rFonts w:eastAsia="Calibri" w:cs="Tahoma"/>
          <w:bCs/>
          <w:color w:val="auto"/>
        </w:rPr>
      </w:pPr>
      <w:r w:rsidRPr="00AE7FB9">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63D7819" w14:textId="77777777" w:rsidR="00FA4586" w:rsidRPr="00AE7FB9" w:rsidRDefault="00FA4586" w:rsidP="00D92AE6">
      <w:pPr>
        <w:spacing w:after="0" w:line="360" w:lineRule="auto"/>
        <w:contextualSpacing/>
        <w:rPr>
          <w:rFonts w:eastAsia="Calibri" w:cs="Tahoma"/>
          <w:bCs/>
          <w:color w:val="auto"/>
        </w:rPr>
      </w:pPr>
    </w:p>
    <w:p w14:paraId="4F350B75" w14:textId="77777777" w:rsidR="00FA4586" w:rsidRPr="00AE7FB9" w:rsidRDefault="00FA4586" w:rsidP="00D92AE6">
      <w:pPr>
        <w:spacing w:after="0" w:line="360" w:lineRule="auto"/>
        <w:contextualSpacing/>
        <w:rPr>
          <w:rFonts w:eastAsia="Calibri" w:cs="Tahoma"/>
          <w:bCs/>
          <w:color w:val="auto"/>
        </w:rPr>
      </w:pPr>
      <w:r w:rsidRPr="00AE7FB9">
        <w:rPr>
          <w:rFonts w:eastAsia="Calibri" w:cs="Tahoma"/>
          <w:bCs/>
          <w:color w:val="auto"/>
        </w:rPr>
        <w:lastRenderedPageBreak/>
        <w:t>En ese contexto, el artículo 6°, fracciones XI y XII de dicho ordenamiento jurídico, establece los siguientes conceptos:</w:t>
      </w:r>
    </w:p>
    <w:p w14:paraId="41056012" w14:textId="77777777" w:rsidR="00FA4586" w:rsidRPr="00AE7FB9" w:rsidRDefault="00FA4586" w:rsidP="00D92AE6">
      <w:pPr>
        <w:spacing w:after="0" w:line="360" w:lineRule="auto"/>
        <w:contextualSpacing/>
        <w:rPr>
          <w:rFonts w:eastAsia="Calibri" w:cs="Tahoma"/>
          <w:bCs/>
          <w:color w:val="auto"/>
        </w:rPr>
      </w:pPr>
    </w:p>
    <w:p w14:paraId="064360D8" w14:textId="77777777" w:rsidR="00FA4586" w:rsidRPr="00AE7FB9" w:rsidRDefault="00FA4586" w:rsidP="00D92AE6">
      <w:pPr>
        <w:numPr>
          <w:ilvl w:val="0"/>
          <w:numId w:val="12"/>
        </w:numPr>
        <w:spacing w:after="0" w:line="360" w:lineRule="auto"/>
        <w:contextualSpacing/>
        <w:jc w:val="left"/>
        <w:rPr>
          <w:rFonts w:eastAsia="Calibri" w:cs="Tahoma"/>
          <w:b/>
          <w:bCs/>
          <w:color w:val="auto"/>
        </w:rPr>
      </w:pPr>
      <w:r w:rsidRPr="00AE7FB9">
        <w:rPr>
          <w:rFonts w:eastAsia="Calibri" w:cs="Tahoma"/>
          <w:b/>
          <w:bCs/>
          <w:color w:val="auto"/>
        </w:rPr>
        <w:t xml:space="preserve">Instituciones Policiales: </w:t>
      </w:r>
      <w:r w:rsidRPr="00AE7FB9">
        <w:rPr>
          <w:rFonts w:eastAsia="Calibri" w:cs="Tahoma"/>
          <w:bCs/>
          <w:color w:val="auto"/>
        </w:rPr>
        <w:t xml:space="preserve">Son los cuerpos de policía, de vigilancia y custodia de los establecimientos penitenciarios, detención preventiva, centros de arraigo y en general, </w:t>
      </w:r>
      <w:r w:rsidRPr="00AE7FB9">
        <w:rPr>
          <w:rFonts w:eastAsia="Calibri" w:cs="Tahoma"/>
          <w:b/>
          <w:bCs/>
          <w:color w:val="auto"/>
        </w:rPr>
        <w:t>todas las dependencias encargadas de la seguridad pública a nivel</w:t>
      </w:r>
      <w:r w:rsidRPr="00AE7FB9">
        <w:rPr>
          <w:rFonts w:eastAsia="Calibri" w:cs="Tahoma"/>
          <w:bCs/>
          <w:color w:val="auto"/>
        </w:rPr>
        <w:t xml:space="preserve"> estatal y </w:t>
      </w:r>
      <w:r w:rsidRPr="00AE7FB9">
        <w:rPr>
          <w:rFonts w:eastAsia="Calibri" w:cs="Tahoma"/>
          <w:b/>
          <w:bCs/>
          <w:color w:val="auto"/>
        </w:rPr>
        <w:t>municipal.</w:t>
      </w:r>
    </w:p>
    <w:p w14:paraId="61E6EAD3" w14:textId="77777777" w:rsidR="00FA4586" w:rsidRPr="00AE7FB9" w:rsidRDefault="00FA4586" w:rsidP="00D92AE6">
      <w:pPr>
        <w:spacing w:after="0" w:line="360" w:lineRule="auto"/>
        <w:ind w:left="720"/>
        <w:contextualSpacing/>
        <w:rPr>
          <w:rFonts w:eastAsia="Calibri" w:cs="Tahoma"/>
          <w:bCs/>
          <w:color w:val="auto"/>
        </w:rPr>
      </w:pPr>
    </w:p>
    <w:p w14:paraId="72CB8EDE" w14:textId="77777777" w:rsidR="00FA4586" w:rsidRPr="00AE7FB9" w:rsidRDefault="00FA4586" w:rsidP="00D92AE6">
      <w:pPr>
        <w:numPr>
          <w:ilvl w:val="0"/>
          <w:numId w:val="12"/>
        </w:numPr>
        <w:spacing w:after="0" w:line="360" w:lineRule="auto"/>
        <w:contextualSpacing/>
        <w:jc w:val="left"/>
        <w:rPr>
          <w:rFonts w:eastAsia="Calibri" w:cs="Tahoma"/>
          <w:b/>
          <w:bCs/>
          <w:color w:val="auto"/>
        </w:rPr>
      </w:pPr>
      <w:r w:rsidRPr="00AE7FB9">
        <w:rPr>
          <w:rFonts w:eastAsia="Calibri" w:cs="Tahoma"/>
          <w:b/>
          <w:bCs/>
          <w:color w:val="auto"/>
        </w:rPr>
        <w:t xml:space="preserve">Instituciones de Seguridad Pública: </w:t>
      </w:r>
      <w:r w:rsidRPr="00AE7FB9">
        <w:rPr>
          <w:rFonts w:eastAsia="Calibri" w:cs="Tahoma"/>
          <w:bCs/>
          <w:color w:val="auto"/>
        </w:rPr>
        <w:t xml:space="preserve">Instituciones Policiales, Procuración de Justicia, Sistema Penitenciario y </w:t>
      </w:r>
      <w:r w:rsidRPr="00AE7FB9">
        <w:rPr>
          <w:rFonts w:eastAsia="Calibri" w:cs="Tahoma"/>
          <w:b/>
          <w:bCs/>
          <w:color w:val="auto"/>
        </w:rPr>
        <w:t xml:space="preserve">dependencias encargadas de la seguridad pública a nivel </w:t>
      </w:r>
      <w:r w:rsidRPr="00AE7FB9">
        <w:rPr>
          <w:rFonts w:eastAsia="Calibri" w:cs="Tahoma"/>
          <w:bCs/>
          <w:color w:val="auto"/>
        </w:rPr>
        <w:t xml:space="preserve">estatal y </w:t>
      </w:r>
      <w:r w:rsidRPr="00AE7FB9">
        <w:rPr>
          <w:rFonts w:eastAsia="Calibri" w:cs="Tahoma"/>
          <w:b/>
          <w:bCs/>
          <w:color w:val="auto"/>
        </w:rPr>
        <w:t>municipal.</w:t>
      </w:r>
    </w:p>
    <w:p w14:paraId="0634E246" w14:textId="77777777" w:rsidR="00FA4586" w:rsidRPr="00AE7FB9" w:rsidRDefault="00FA4586" w:rsidP="00D92AE6">
      <w:pPr>
        <w:spacing w:after="0" w:line="360" w:lineRule="auto"/>
        <w:contextualSpacing/>
        <w:rPr>
          <w:rFonts w:eastAsia="Calibri" w:cs="Tahoma"/>
          <w:b/>
          <w:bCs/>
          <w:color w:val="auto"/>
        </w:rPr>
      </w:pPr>
    </w:p>
    <w:p w14:paraId="35D94237" w14:textId="3FDA3993" w:rsidR="00FA4586" w:rsidRPr="00AE7FB9" w:rsidRDefault="00FA4586" w:rsidP="00D92AE6">
      <w:pPr>
        <w:spacing w:after="0" w:line="360" w:lineRule="auto"/>
        <w:contextualSpacing/>
        <w:rPr>
          <w:rFonts w:eastAsia="Calibri" w:cs="Times New Roman"/>
          <w:color w:val="auto"/>
          <w:szCs w:val="20"/>
          <w:lang w:eastAsia="es-ES"/>
        </w:rPr>
      </w:pPr>
      <w:r w:rsidRPr="00AE7FB9">
        <w:rPr>
          <w:rFonts w:eastAsia="Calibri" w:cs="Tahoma"/>
          <w:iCs/>
          <w:color w:val="auto"/>
          <w:szCs w:val="20"/>
          <w:lang w:val="es-ES" w:eastAsia="es-ES_tradnl"/>
        </w:rPr>
        <w:t>Conforme a lo anterior</w:t>
      </w:r>
      <w:r w:rsidRPr="00AE7FB9">
        <w:rPr>
          <w:rFonts w:eastAsia="Calibri" w:cs="Tahoma"/>
          <w:bCs/>
          <w:color w:val="auto"/>
        </w:rPr>
        <w:t xml:space="preserve">, se puede deducir que la </w:t>
      </w:r>
      <w:r w:rsidR="00820AEA" w:rsidRPr="00AE7FB9">
        <w:t>Dirección de Seguridad Pública, Protección Civil y Bomberos</w:t>
      </w:r>
      <w:r w:rsidRPr="00AE7FB9">
        <w:rPr>
          <w:rFonts w:eastAsia="Calibri" w:cs="Tahoma"/>
          <w:bCs/>
          <w:color w:val="auto"/>
        </w:rPr>
        <w:t xml:space="preserve">, es una institución de seguridad pública, pues tiene como atribución principal, la prevención de delitos </w:t>
      </w:r>
      <w:r w:rsidRPr="00AE7FB9">
        <w:rPr>
          <w:rFonts w:eastAsia="Calibri" w:cs="Times New Roman"/>
          <w:color w:val="auto"/>
          <w:szCs w:val="20"/>
          <w:lang w:eastAsia="es-ES"/>
        </w:rPr>
        <w:t>y proteger a las personas, sus propiedades, posesiones y derechos.</w:t>
      </w:r>
    </w:p>
    <w:p w14:paraId="6ACE06F4" w14:textId="77777777" w:rsidR="00FA4586" w:rsidRPr="00AE7FB9" w:rsidRDefault="00FA4586" w:rsidP="00D92AE6">
      <w:pPr>
        <w:spacing w:after="0" w:line="360" w:lineRule="auto"/>
        <w:contextualSpacing/>
        <w:rPr>
          <w:rFonts w:eastAsia="Calibri" w:cs="Times New Roman"/>
          <w:color w:val="auto"/>
          <w:szCs w:val="20"/>
          <w:lang w:eastAsia="es-ES"/>
        </w:rPr>
      </w:pPr>
    </w:p>
    <w:p w14:paraId="7CEDA9B6" w14:textId="68D022FD" w:rsidR="00FA4586" w:rsidRPr="00AE7FB9" w:rsidRDefault="00FA4586" w:rsidP="00D92AE6">
      <w:pPr>
        <w:tabs>
          <w:tab w:val="left" w:pos="4962"/>
        </w:tabs>
        <w:spacing w:after="0" w:line="360" w:lineRule="auto"/>
        <w:ind w:right="-28"/>
        <w:contextualSpacing/>
        <w:rPr>
          <w:rFonts w:eastAsia="Calibri" w:cs="Tahoma"/>
          <w:bCs/>
          <w:color w:val="auto"/>
        </w:rPr>
      </w:pPr>
      <w:r w:rsidRPr="00AE7FB9">
        <w:rPr>
          <w:rFonts w:eastAsia="Calibri" w:cs="Tahoma"/>
          <w:bCs/>
          <w:color w:val="auto"/>
          <w:lang w:val="es-ES"/>
        </w:rPr>
        <w:t xml:space="preserve">Además, </w:t>
      </w:r>
      <w:r w:rsidRPr="00AE7FB9">
        <w:rPr>
          <w:rFonts w:eastAsia="Calibri" w:cs="Tahoma"/>
          <w:bCs/>
          <w:color w:val="auto"/>
        </w:rPr>
        <w:t xml:space="preserve">el Instructivo de llenado del Formato “Personal de Seguridad Pública”, del Secretariado Ejecutivo del Sistema Nacional de Seguridad Pública (consultado el </w:t>
      </w:r>
      <w:r w:rsidR="00820AEA" w:rsidRPr="00AE7FB9">
        <w:rPr>
          <w:rFonts w:eastAsia="Calibri" w:cs="Tahoma"/>
          <w:bCs/>
          <w:color w:val="auto"/>
        </w:rPr>
        <w:t>nueve de mayo</w:t>
      </w:r>
      <w:r w:rsidRPr="00AE7FB9">
        <w:rPr>
          <w:rFonts w:eastAsia="Calibri" w:cs="Tahoma"/>
          <w:bCs/>
          <w:color w:val="auto"/>
        </w:rPr>
        <w:t xml:space="preserve"> de dos mil veintitrés, en la liga electrónica </w:t>
      </w:r>
      <w:hyperlink r:id="rId11" w:history="1">
        <w:r w:rsidRPr="00AE7FB9">
          <w:rPr>
            <w:rStyle w:val="Hipervnculo"/>
            <w:rFonts w:eastAsia="Calibri" w:cs="Tahoma"/>
            <w:bCs/>
            <w:color w:val="0563C1"/>
          </w:rPr>
          <w:t>http://secretariadoejecutivo.gob.mx/work/models/SecretariadoEjecutivo/Resource/328/1/images/instructivo_final_edo_fuerza(1).pdf</w:t>
        </w:r>
      </w:hyperlink>
      <w:r w:rsidRPr="00AE7FB9">
        <w:rPr>
          <w:rFonts w:eastAsia="Calibri" w:cs="Tahoma"/>
          <w:bCs/>
          <w:color w:val="auto"/>
        </w:rPr>
        <w:t xml:space="preserve">), establece que los elementos operativos de seguridad pública, son aquellos que desempeñan funciones de campo (policiacas, especializadas o equivalentes y que no </w:t>
      </w:r>
      <w:r w:rsidRPr="00AE7FB9">
        <w:rPr>
          <w:rFonts w:eastAsia="Calibri" w:cs="Tahoma"/>
          <w:b/>
          <w:bCs/>
          <w:color w:val="auto"/>
        </w:rPr>
        <w:t>desempeña funciones de mando</w:t>
      </w:r>
      <w:r w:rsidRPr="00AE7FB9">
        <w:rPr>
          <w:rFonts w:eastAsia="Calibri" w:cs="Tahoma"/>
          <w:bCs/>
          <w:color w:val="auto"/>
        </w:rPr>
        <w:t xml:space="preserve">), entre los cuales, se encuentra </w:t>
      </w:r>
      <w:r w:rsidRPr="00AE7FB9">
        <w:rPr>
          <w:rFonts w:eastAsia="Calibri" w:cs="Tahoma"/>
          <w:b/>
          <w:bCs/>
          <w:color w:val="auto"/>
        </w:rPr>
        <w:t>la Policía Municipal</w:t>
      </w:r>
      <w:r w:rsidRPr="00AE7FB9">
        <w:rPr>
          <w:rFonts w:eastAsia="Calibri" w:cs="Tahoma"/>
          <w:bCs/>
          <w:color w:val="auto"/>
        </w:rPr>
        <w:t>.</w:t>
      </w:r>
    </w:p>
    <w:p w14:paraId="44949AAF" w14:textId="77777777" w:rsidR="00FA4586" w:rsidRPr="00AE7FB9" w:rsidRDefault="00FA4586" w:rsidP="00D92AE6">
      <w:pPr>
        <w:tabs>
          <w:tab w:val="left" w:pos="4962"/>
        </w:tabs>
        <w:spacing w:after="0" w:line="360" w:lineRule="auto"/>
        <w:ind w:right="-28"/>
        <w:contextualSpacing/>
        <w:rPr>
          <w:rFonts w:eastAsia="Calibri" w:cs="Tahoma"/>
          <w:bCs/>
          <w:color w:val="auto"/>
        </w:rPr>
      </w:pPr>
    </w:p>
    <w:p w14:paraId="13FF1740" w14:textId="60D68D54" w:rsidR="00FA4586" w:rsidRPr="00AE7FB9" w:rsidRDefault="00820AEA" w:rsidP="00D92AE6">
      <w:pPr>
        <w:tabs>
          <w:tab w:val="left" w:pos="4962"/>
        </w:tabs>
        <w:spacing w:after="0" w:line="360" w:lineRule="auto"/>
        <w:ind w:right="-28"/>
        <w:contextualSpacing/>
        <w:rPr>
          <w:rFonts w:eastAsia="Calibri" w:cs="Tahoma"/>
          <w:bCs/>
          <w:color w:val="auto"/>
        </w:rPr>
      </w:pPr>
      <w:r w:rsidRPr="00AE7FB9">
        <w:rPr>
          <w:rFonts w:eastAsia="Calibri" w:cs="Tahoma"/>
          <w:bCs/>
          <w:color w:val="auto"/>
        </w:rPr>
        <w:lastRenderedPageBreak/>
        <w:t>Así</w:t>
      </w:r>
      <w:r w:rsidR="00FA4586" w:rsidRPr="00AE7FB9">
        <w:rPr>
          <w:rFonts w:eastAsia="Calibri" w:cs="Tahoma"/>
          <w:bCs/>
          <w:color w:val="auto"/>
        </w:rPr>
        <w:t>,</w:t>
      </w:r>
      <w:r w:rsidRPr="00AE7FB9">
        <w:rPr>
          <w:rFonts w:eastAsia="Calibri" w:cs="Tahoma"/>
          <w:bCs/>
          <w:color w:val="auto"/>
        </w:rPr>
        <w:t xml:space="preserve"> se advierte</w:t>
      </w:r>
      <w:r w:rsidR="00FA4586" w:rsidRPr="00AE7FB9">
        <w:rPr>
          <w:rFonts w:eastAsia="Calibri" w:cs="Tahoma"/>
          <w:bCs/>
          <w:color w:val="auto"/>
        </w:rPr>
        <w:t xml:space="preserve">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6F3EA59D" w14:textId="77777777" w:rsidR="00FA4586" w:rsidRPr="00AE7FB9" w:rsidRDefault="00FA4586" w:rsidP="00D92AE6">
      <w:pPr>
        <w:spacing w:after="0" w:line="360" w:lineRule="auto"/>
        <w:contextualSpacing/>
        <w:rPr>
          <w:rFonts w:eastAsia="Times New Roman" w:cs="Tahoma"/>
          <w:color w:val="auto"/>
          <w:szCs w:val="24"/>
          <w:lang w:val="es-ES" w:eastAsia="es-ES"/>
        </w:rPr>
      </w:pPr>
    </w:p>
    <w:p w14:paraId="3A24617A" w14:textId="796E09CB" w:rsidR="0027487F" w:rsidRPr="00AE7FB9" w:rsidRDefault="00820AEA" w:rsidP="00820AEA">
      <w:pPr>
        <w:spacing w:after="0" w:line="360" w:lineRule="auto"/>
      </w:pPr>
      <w:r w:rsidRPr="00AE7FB9">
        <w:rPr>
          <w:rFonts w:eastAsia="Calibri" w:cs="Tahoma"/>
          <w:bCs/>
        </w:rPr>
        <w:t xml:space="preserve">En ese contexto, mediante los listados proporcionados y el desahogó del requerimiento de información adicional, se logra vislumbrar que el área de seguridad se conformaba por cargos operativos (Policía A, B y C), administrativos (auxiliar e intendente), así como mandos medios y superiores (Jefe de Departamento, Coordinador y Director), cuya adscripción era </w:t>
      </w:r>
      <w:r w:rsidRPr="00AE7FB9">
        <w:t>Seguridad Pública.</w:t>
      </w:r>
    </w:p>
    <w:p w14:paraId="53CFAABD" w14:textId="77777777" w:rsidR="00820AEA" w:rsidRPr="00AE7FB9" w:rsidRDefault="00820AEA" w:rsidP="00820AEA">
      <w:pPr>
        <w:spacing w:after="0" w:line="360" w:lineRule="auto"/>
        <w:rPr>
          <w:rFonts w:eastAsia="Calibri" w:cs="Tahoma"/>
          <w:bCs/>
          <w:color w:val="auto"/>
        </w:rPr>
      </w:pPr>
    </w:p>
    <w:p w14:paraId="72B725D5" w14:textId="77777777" w:rsidR="00FA4586" w:rsidRPr="00AE7FB9" w:rsidRDefault="00FA4586" w:rsidP="00D92AE6">
      <w:pPr>
        <w:spacing w:after="0" w:line="360" w:lineRule="auto"/>
        <w:contextualSpacing/>
        <w:rPr>
          <w:rFonts w:eastAsia="Calibri" w:cs="Tahoma"/>
          <w:bCs/>
          <w:color w:val="auto"/>
        </w:rPr>
      </w:pPr>
      <w:r w:rsidRPr="00AE7FB9">
        <w:rPr>
          <w:rFonts w:eastAsia="Calibri" w:cs="Tahoma"/>
          <w:bCs/>
          <w:color w:val="auto"/>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733583B" w14:textId="77777777" w:rsidR="00FA4586" w:rsidRPr="00AE7FB9" w:rsidRDefault="00FA4586" w:rsidP="00D92AE6">
      <w:pPr>
        <w:spacing w:after="0" w:line="360" w:lineRule="auto"/>
        <w:contextualSpacing/>
        <w:rPr>
          <w:rFonts w:eastAsia="Calibri" w:cs="Tahoma"/>
          <w:bCs/>
          <w:color w:val="auto"/>
        </w:rPr>
      </w:pPr>
    </w:p>
    <w:p w14:paraId="099303DA" w14:textId="729B40F8" w:rsidR="00820AEA" w:rsidRPr="00AE7FB9" w:rsidRDefault="00820AEA" w:rsidP="00820AEA">
      <w:pPr>
        <w:spacing w:after="0" w:line="360" w:lineRule="auto"/>
        <w:rPr>
          <w:rFonts w:eastAsia="Calibri" w:cs="Tahoma"/>
          <w:bCs/>
          <w:color w:val="auto"/>
        </w:rPr>
      </w:pPr>
      <w:r w:rsidRPr="00AE7FB9">
        <w:rPr>
          <w:rFonts w:eastAsia="Calibri" w:cs="Tahoma"/>
          <w:bCs/>
          <w:color w:val="auto"/>
        </w:rP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w:t>
      </w:r>
      <w:r w:rsidRPr="00AE7FB9">
        <w:rPr>
          <w:rFonts w:eastAsia="Calibri" w:cs="Tahoma"/>
          <w:bCs/>
          <w:color w:val="auto"/>
        </w:rPr>
        <w:lastRenderedPageBreak/>
        <w:t>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8077C0A" w14:textId="77777777" w:rsidR="00820AEA" w:rsidRPr="00AE7FB9" w:rsidRDefault="00820AEA" w:rsidP="00820AEA">
      <w:pPr>
        <w:spacing w:after="0" w:line="360" w:lineRule="auto"/>
        <w:rPr>
          <w:rFonts w:eastAsia="Calibri" w:cs="Tahoma"/>
          <w:bCs/>
          <w:color w:val="auto"/>
        </w:rPr>
      </w:pPr>
    </w:p>
    <w:p w14:paraId="022E6E2B" w14:textId="77777777" w:rsidR="00820AEA" w:rsidRPr="00AE7FB9" w:rsidRDefault="00820AEA" w:rsidP="00820AEA">
      <w:pPr>
        <w:spacing w:after="0" w:line="360" w:lineRule="auto"/>
        <w:rPr>
          <w:rFonts w:eastAsia="Calibri" w:cs="Tahoma"/>
          <w:bCs/>
          <w:color w:val="auto"/>
        </w:rPr>
      </w:pPr>
      <w:r w:rsidRPr="00AE7FB9">
        <w:rPr>
          <w:rFonts w:eastAsia="Calibri" w:cs="Tahoma"/>
          <w:bCs/>
          <w:color w:val="auto"/>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9A064BB" w14:textId="77777777" w:rsidR="00820AEA" w:rsidRPr="00AE7FB9" w:rsidRDefault="00820AEA" w:rsidP="00D92AE6">
      <w:pPr>
        <w:spacing w:after="0" w:line="360" w:lineRule="auto"/>
        <w:contextualSpacing/>
        <w:rPr>
          <w:rFonts w:eastAsia="Calibri" w:cs="Tahoma"/>
          <w:bCs/>
          <w:color w:val="auto"/>
        </w:rPr>
      </w:pPr>
    </w:p>
    <w:p w14:paraId="38C966EA" w14:textId="77777777" w:rsidR="00820AEA" w:rsidRPr="00AE7FB9" w:rsidRDefault="00820AEA" w:rsidP="00820AEA">
      <w:pPr>
        <w:spacing w:after="0" w:line="360" w:lineRule="auto"/>
        <w:rPr>
          <w:rFonts w:eastAsia="Calibri" w:cs="Tahoma"/>
          <w:bCs/>
          <w:color w:val="auto"/>
        </w:rPr>
      </w:pPr>
      <w:r w:rsidRPr="00AE7FB9">
        <w:rPr>
          <w:rFonts w:eastAsia="Calibri" w:cs="Tahoma"/>
          <w:bCs/>
          <w:color w:val="auto"/>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217DFE3E" w14:textId="77777777" w:rsidR="00820AEA" w:rsidRPr="00AE7FB9" w:rsidRDefault="00820AEA" w:rsidP="00820AEA">
      <w:pPr>
        <w:spacing w:after="0" w:line="360" w:lineRule="auto"/>
        <w:rPr>
          <w:rFonts w:eastAsia="Calibri" w:cs="Tahoma"/>
          <w:bCs/>
          <w:color w:val="auto"/>
        </w:rPr>
      </w:pPr>
    </w:p>
    <w:p w14:paraId="798F6530" w14:textId="77777777" w:rsidR="00820AEA" w:rsidRPr="00AE7FB9" w:rsidRDefault="00820AEA" w:rsidP="00820AEA">
      <w:pPr>
        <w:spacing w:after="0" w:line="360" w:lineRule="auto"/>
        <w:rPr>
          <w:rFonts w:eastAsia="Calibri" w:cs="Tahoma"/>
          <w:bCs/>
          <w:color w:val="auto"/>
        </w:rPr>
      </w:pPr>
      <w:r w:rsidRPr="00AE7FB9">
        <w:rPr>
          <w:rFonts w:eastAsia="Calibri" w:cs="Tahoma"/>
          <w:bCs/>
          <w:color w:val="auto"/>
        </w:rPr>
        <w:t>Además, la reserva prevalece al proteger alguno de los derechos más importantes, como lo son la vida, la salud y la seguridad de los servidores públicos, sus familiares e inclusive de su entorno social, ya que la policía municipal ayuda a mantener el orden público y la paz social, así como la prevención de la comisión de cualquier delito, inhibiendo la manifestación de conductas antisociales.</w:t>
      </w:r>
    </w:p>
    <w:p w14:paraId="29454036" w14:textId="77777777" w:rsidR="00820AEA" w:rsidRPr="00AE7FB9" w:rsidRDefault="00820AEA" w:rsidP="00D92AE6">
      <w:pPr>
        <w:spacing w:after="0" w:line="360" w:lineRule="auto"/>
        <w:contextualSpacing/>
        <w:rPr>
          <w:rFonts w:eastAsia="Calibri" w:cs="Tahoma"/>
          <w:bCs/>
          <w:color w:val="auto"/>
        </w:rPr>
      </w:pPr>
    </w:p>
    <w:p w14:paraId="5DDD0C34" w14:textId="07B87BD7" w:rsidR="00820AEA" w:rsidRPr="00AE7FB9" w:rsidRDefault="00820AEA" w:rsidP="00820AEA">
      <w:pPr>
        <w:spacing w:after="0" w:line="360" w:lineRule="auto"/>
        <w:rPr>
          <w:rFonts w:eastAsia="Calibri" w:cs="Tahoma"/>
          <w:b/>
          <w:iCs/>
          <w:color w:val="auto"/>
          <w:lang w:val="es-ES" w:eastAsia="es-ES_tradnl"/>
        </w:rPr>
      </w:pPr>
      <w:r w:rsidRPr="00AE7FB9">
        <w:rPr>
          <w:rFonts w:eastAsia="Calibri" w:cs="Tahoma"/>
          <w:bCs/>
          <w:color w:val="auto"/>
        </w:rPr>
        <w:lastRenderedPageBreak/>
        <w:t xml:space="preserve">Por tales consideraciones, </w:t>
      </w:r>
      <w:r w:rsidRPr="00AE7FB9">
        <w:rPr>
          <w:rFonts w:eastAsia="Calibri" w:cs="Tahoma"/>
          <w:b/>
          <w:bCs/>
          <w:color w:val="auto"/>
        </w:rPr>
        <w:t xml:space="preserve">resulta procedente la reserva del nombre de los policías municipales de la Dirección de Seguridad Pública, Protección Civil y Bomberos, en términos del artículo 140, fracción IV, de </w:t>
      </w:r>
      <w:r w:rsidRPr="00AE7FB9">
        <w:rPr>
          <w:rFonts w:eastAsia="Calibri" w:cs="Tahoma"/>
          <w:b/>
          <w:iCs/>
          <w:color w:val="auto"/>
          <w:lang w:val="es-ES" w:eastAsia="es-ES_tradnl"/>
        </w:rPr>
        <w:t>de la Ley de Transparencia y Acceso a la Información Pública del Estado de México y Municipios.</w:t>
      </w:r>
    </w:p>
    <w:p w14:paraId="50F86846" w14:textId="77777777" w:rsidR="00820AEA" w:rsidRPr="00AE7FB9" w:rsidRDefault="00820AEA" w:rsidP="00D92AE6">
      <w:pPr>
        <w:spacing w:after="0" w:line="360" w:lineRule="auto"/>
        <w:contextualSpacing/>
        <w:rPr>
          <w:rFonts w:eastAsia="Calibri" w:cs="Tahoma"/>
          <w:bCs/>
          <w:color w:val="auto"/>
        </w:rPr>
      </w:pPr>
    </w:p>
    <w:p w14:paraId="33007EC6" w14:textId="77777777" w:rsidR="00820AEA" w:rsidRPr="00AE7FB9" w:rsidRDefault="00820AEA" w:rsidP="00820AEA">
      <w:pPr>
        <w:tabs>
          <w:tab w:val="left" w:pos="4962"/>
        </w:tabs>
        <w:spacing w:after="0" w:line="360" w:lineRule="auto"/>
        <w:rPr>
          <w:rFonts w:eastAsia="Calibri" w:cs="Tahoma"/>
          <w:iCs/>
          <w:color w:val="auto"/>
          <w:lang w:val="es-ES" w:eastAsia="es-ES_tradnl"/>
        </w:rPr>
      </w:pPr>
      <w:r w:rsidRPr="00AE7FB9">
        <w:rPr>
          <w:rFonts w:eastAsia="Calibri" w:cs="Tahoma"/>
          <w:iCs/>
          <w:color w:val="auto"/>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50C4D45" w14:textId="77777777" w:rsidR="00820AEA" w:rsidRPr="00AE7FB9" w:rsidRDefault="00820AEA" w:rsidP="00820AEA">
      <w:pPr>
        <w:tabs>
          <w:tab w:val="left" w:pos="4962"/>
        </w:tabs>
        <w:spacing w:after="0" w:line="360" w:lineRule="auto"/>
        <w:rPr>
          <w:rFonts w:eastAsia="Calibri" w:cs="Tahoma"/>
          <w:iCs/>
          <w:color w:val="auto"/>
          <w:lang w:val="es-ES" w:eastAsia="es-ES_tradnl"/>
        </w:rPr>
      </w:pPr>
    </w:p>
    <w:p w14:paraId="33FD13A7" w14:textId="77777777" w:rsidR="00820AEA" w:rsidRPr="00AE7FB9" w:rsidRDefault="00820AEA" w:rsidP="00820AEA">
      <w:pPr>
        <w:numPr>
          <w:ilvl w:val="0"/>
          <w:numId w:val="13"/>
        </w:numPr>
        <w:tabs>
          <w:tab w:val="left" w:pos="4962"/>
        </w:tabs>
        <w:spacing w:after="0" w:line="360" w:lineRule="auto"/>
        <w:ind w:left="709" w:hanging="436"/>
        <w:jc w:val="left"/>
        <w:rPr>
          <w:rFonts w:eastAsia="Calibri" w:cs="Tahoma"/>
          <w:iCs/>
          <w:color w:val="auto"/>
          <w:lang w:val="es-ES_tradnl" w:eastAsia="es-ES_tradnl"/>
        </w:rPr>
      </w:pPr>
      <w:r w:rsidRPr="00AE7FB9">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14:paraId="0EE7C15E" w14:textId="77777777" w:rsidR="00820AEA" w:rsidRPr="00AE7FB9" w:rsidRDefault="00820AEA" w:rsidP="00820AEA">
      <w:pPr>
        <w:tabs>
          <w:tab w:val="left" w:pos="4962"/>
        </w:tabs>
        <w:spacing w:after="0" w:line="360" w:lineRule="auto"/>
        <w:ind w:left="709" w:hanging="436"/>
        <w:rPr>
          <w:rFonts w:eastAsia="Calibri" w:cs="Tahoma"/>
          <w:iCs/>
          <w:color w:val="auto"/>
          <w:lang w:val="es-ES_tradnl" w:eastAsia="es-ES_tradnl"/>
        </w:rPr>
      </w:pPr>
    </w:p>
    <w:p w14:paraId="6BF1E280" w14:textId="77777777" w:rsidR="00820AEA" w:rsidRPr="00AE7FB9" w:rsidRDefault="00820AEA" w:rsidP="00820AEA">
      <w:pPr>
        <w:numPr>
          <w:ilvl w:val="0"/>
          <w:numId w:val="13"/>
        </w:numPr>
        <w:tabs>
          <w:tab w:val="left" w:pos="4962"/>
        </w:tabs>
        <w:spacing w:after="0" w:line="360" w:lineRule="auto"/>
        <w:ind w:left="709" w:hanging="436"/>
        <w:jc w:val="left"/>
        <w:rPr>
          <w:rFonts w:eastAsia="Calibri" w:cs="Tahoma"/>
          <w:iCs/>
          <w:color w:val="auto"/>
          <w:lang w:val="es-ES_tradnl" w:eastAsia="es-ES_tradnl"/>
        </w:rPr>
      </w:pPr>
      <w:r w:rsidRPr="00AE7FB9">
        <w:rPr>
          <w:rFonts w:eastAsia="Calibri" w:cs="Tahoma"/>
          <w:iCs/>
          <w:color w:val="auto"/>
          <w:lang w:val="es-ES_tradnl" w:eastAsia="es-ES_tradnl"/>
        </w:rPr>
        <w:t>El riesgo de perjuicio supera el interés público general de que se difunda.</w:t>
      </w:r>
    </w:p>
    <w:p w14:paraId="398B40E9" w14:textId="77777777" w:rsidR="00820AEA" w:rsidRPr="00AE7FB9" w:rsidRDefault="00820AEA" w:rsidP="00820AEA">
      <w:pPr>
        <w:tabs>
          <w:tab w:val="left" w:pos="4962"/>
        </w:tabs>
        <w:spacing w:after="0" w:line="360" w:lineRule="auto"/>
        <w:ind w:left="709" w:hanging="436"/>
        <w:rPr>
          <w:rFonts w:eastAsia="Calibri" w:cs="Tahoma"/>
          <w:iCs/>
          <w:color w:val="auto"/>
          <w:lang w:val="es-ES_tradnl" w:eastAsia="es-ES_tradnl"/>
        </w:rPr>
      </w:pPr>
    </w:p>
    <w:p w14:paraId="2E460097" w14:textId="77777777" w:rsidR="00820AEA" w:rsidRPr="00AE7FB9" w:rsidRDefault="00820AEA" w:rsidP="00820AEA">
      <w:pPr>
        <w:numPr>
          <w:ilvl w:val="0"/>
          <w:numId w:val="13"/>
        </w:numPr>
        <w:tabs>
          <w:tab w:val="left" w:pos="4962"/>
        </w:tabs>
        <w:spacing w:after="0" w:line="360" w:lineRule="auto"/>
        <w:ind w:left="709" w:hanging="436"/>
        <w:jc w:val="left"/>
        <w:rPr>
          <w:rFonts w:eastAsia="Calibri" w:cs="Tahoma"/>
          <w:iCs/>
          <w:color w:val="auto"/>
          <w:lang w:val="es-ES_tradnl" w:eastAsia="es-ES_tradnl"/>
        </w:rPr>
      </w:pPr>
      <w:r w:rsidRPr="00AE7FB9">
        <w:rPr>
          <w:rFonts w:eastAsia="Calibri" w:cs="Tahoma"/>
          <w:iCs/>
          <w:color w:val="auto"/>
          <w:lang w:val="es-ES_tradnl" w:eastAsia="es-ES_tradnl"/>
        </w:rPr>
        <w:t>Que la limitación se adecua al principio de proporcionalidad y representa el medio menos restrictivo disponible para evitar el perjuicio.</w:t>
      </w:r>
    </w:p>
    <w:p w14:paraId="4E916171" w14:textId="77777777" w:rsidR="00820AEA" w:rsidRPr="00AE7FB9" w:rsidRDefault="00820AEA" w:rsidP="00820AEA">
      <w:pPr>
        <w:spacing w:after="0" w:line="360" w:lineRule="auto"/>
        <w:jc w:val="left"/>
        <w:rPr>
          <w:rFonts w:eastAsia="Calibri" w:cs="Tahoma"/>
          <w:iCs/>
          <w:color w:val="auto"/>
          <w:lang w:eastAsia="es-ES_tradnl"/>
        </w:rPr>
      </w:pPr>
    </w:p>
    <w:p w14:paraId="3A541BEB" w14:textId="77777777" w:rsidR="00820AEA" w:rsidRPr="00AE7FB9" w:rsidRDefault="00820AEA" w:rsidP="00820AEA">
      <w:pPr>
        <w:autoSpaceDE w:val="0"/>
        <w:autoSpaceDN w:val="0"/>
        <w:spacing w:after="0" w:line="360" w:lineRule="auto"/>
        <w:rPr>
          <w:rFonts w:eastAsia="Times New Roman" w:cs="Tahoma"/>
          <w:color w:val="auto"/>
          <w:lang w:eastAsia="es-ES"/>
        </w:rPr>
      </w:pPr>
      <w:r w:rsidRPr="00AE7FB9">
        <w:rPr>
          <w:rFonts w:eastAsia="Calibri" w:cs="Tahoma"/>
          <w:bCs/>
          <w:color w:val="auto"/>
        </w:rPr>
        <w:t xml:space="preserve">Además, el artículo 125 de la Ley de la materia, establece </w:t>
      </w:r>
      <w:r w:rsidRPr="00AE7FB9">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w:t>
      </w:r>
      <w:r w:rsidRPr="00AE7FB9">
        <w:rPr>
          <w:rFonts w:eastAsia="Times New Roman" w:cs="Tahoma"/>
          <w:bCs/>
          <w:color w:val="auto"/>
          <w:lang w:eastAsia="es-ES"/>
        </w:rPr>
        <w:lastRenderedPageBreak/>
        <w:t xml:space="preserve">violaciones graves a derechos humanos o delitos de lesa humanidad; por lo que, en las </w:t>
      </w:r>
      <w:r w:rsidRPr="00AE7FB9">
        <w:rPr>
          <w:rFonts w:eastAsia="Times New Roman" w:cs="Tahoma"/>
          <w:color w:val="auto"/>
          <w:lang w:eastAsia="es-ES"/>
        </w:rPr>
        <w:t xml:space="preserve">versiones públicas, deberá clasificar el nombre de los policías y suboficiales de la </w:t>
      </w:r>
      <w:r w:rsidRPr="00AE7FB9">
        <w:rPr>
          <w:rFonts w:eastAsia="Calibri" w:cs="Tahoma"/>
          <w:bCs/>
          <w:lang w:val="es-ES_tradnl"/>
        </w:rPr>
        <w:t>Comisaría Municipal</w:t>
      </w:r>
      <w:r w:rsidRPr="00AE7FB9">
        <w:rPr>
          <w:rFonts w:eastAsia="Times New Roman" w:cs="Tahoma"/>
          <w:color w:val="auto"/>
          <w:lang w:eastAsia="es-ES"/>
        </w:rPr>
        <w:t>, de manera fundada y motivada, mediante la respectiva prueba de daño.</w:t>
      </w:r>
    </w:p>
    <w:p w14:paraId="47BFE77A" w14:textId="77777777" w:rsidR="00820AEA" w:rsidRPr="00AE7FB9" w:rsidRDefault="00820AEA" w:rsidP="00820AEA">
      <w:pPr>
        <w:spacing w:after="0" w:line="360" w:lineRule="auto"/>
      </w:pPr>
    </w:p>
    <w:p w14:paraId="28201CBF" w14:textId="7DC27008" w:rsidR="00820AEA" w:rsidRPr="00AE7FB9" w:rsidRDefault="00820AEA" w:rsidP="00820AEA">
      <w:pPr>
        <w:spacing w:after="0" w:line="360" w:lineRule="auto"/>
      </w:pPr>
      <w:r w:rsidRPr="00AE7FB9">
        <w:t>Ahora bien, del desahogó del requerimiento de información adicional, se logra desprender que el cargo y área de adscripción de los policías municipales, no revelan información sobre la ubicación en donde realizan las funciones el personal operativo, ni refleja algo relacionado con el actuar de los mismos, pues el puesto únicamente hace referencia al puesto funcional localizado en el Tabulador de Sueldos y la adscripción únicamente da cuenta del área de Seguridad Pública.</w:t>
      </w:r>
    </w:p>
    <w:p w14:paraId="72FB94AA" w14:textId="77777777" w:rsidR="00820AEA" w:rsidRPr="00AE7FB9" w:rsidRDefault="00820AEA" w:rsidP="00820AEA">
      <w:pPr>
        <w:spacing w:after="0" w:line="360" w:lineRule="auto"/>
      </w:pPr>
    </w:p>
    <w:p w14:paraId="38833053" w14:textId="62B896DA" w:rsidR="00820AEA" w:rsidRPr="00AE7FB9" w:rsidRDefault="00820AEA" w:rsidP="00820AEA">
      <w:pPr>
        <w:spacing w:after="0" w:line="360" w:lineRule="auto"/>
      </w:pPr>
      <w:r w:rsidRPr="00AE7FB9">
        <w:t>Conforme a lo anterior, se logra vislumbrar, que el cargo y área de adscripción de los elementos operativos de la Dirección de Seguridad Pública, Protección Civil y Bomberos, no dan cuenta de la forma de actuación, estrategias o equipo con el que cuenta la dicha área, tampoco precisa la capacidad de reacción o la forma de organización para prevenir delitos, es decir, de los operativos, áreas de vigilancia o bien las funciones realizadas diariamente.</w:t>
      </w:r>
    </w:p>
    <w:p w14:paraId="64C52616" w14:textId="77777777" w:rsidR="00820AEA" w:rsidRPr="00AE7FB9" w:rsidRDefault="00820AEA" w:rsidP="00D92AE6">
      <w:pPr>
        <w:spacing w:after="0" w:line="360" w:lineRule="auto"/>
        <w:contextualSpacing/>
        <w:rPr>
          <w:rFonts w:eastAsia="Calibri" w:cs="Tahoma"/>
          <w:bCs/>
          <w:color w:val="auto"/>
        </w:rPr>
      </w:pPr>
    </w:p>
    <w:p w14:paraId="58772FD2" w14:textId="42ECB13C" w:rsidR="00820AEA" w:rsidRPr="00AE7FB9" w:rsidRDefault="00820AEA" w:rsidP="00820AEA">
      <w:pPr>
        <w:spacing w:after="0" w:line="360" w:lineRule="auto"/>
        <w:rPr>
          <w:rFonts w:eastAsia="Calibri" w:cs="Tahoma"/>
          <w:color w:val="000000"/>
          <w:szCs w:val="24"/>
          <w:lang w:val="es-ES" w:eastAsia="es-MX"/>
        </w:rPr>
      </w:pPr>
      <w:r w:rsidRPr="00AE7FB9">
        <w:rPr>
          <w:rFonts w:eastAsia="Calibri" w:cs="Tahoma"/>
          <w:color w:val="000000"/>
          <w:szCs w:val="24"/>
          <w:lang w:val="es-ES" w:eastAsia="es-MX"/>
        </w:rPr>
        <w:t>Finalmente, no pasa desapercibido para este Instituto que la Conciliación de Nómina contiene datos o info</w:t>
      </w:r>
      <w:r w:rsidR="008B74E9" w:rsidRPr="00AE7FB9">
        <w:rPr>
          <w:rFonts w:eastAsia="Calibri" w:cs="Tahoma"/>
          <w:color w:val="000000"/>
          <w:szCs w:val="24"/>
          <w:lang w:val="es-ES" w:eastAsia="es-MX"/>
        </w:rPr>
        <w:t xml:space="preserve">rmación clasificada, como es </w:t>
      </w:r>
      <w:r w:rsidRPr="00AE7FB9">
        <w:rPr>
          <w:rFonts w:eastAsia="Calibri" w:cs="Tahoma"/>
          <w:color w:val="000000"/>
          <w:szCs w:val="24"/>
          <w:lang w:val="es-ES" w:eastAsia="es-MX"/>
        </w:rPr>
        <w:t>el Registro Federal de Contribuyentes, el número de Seguridad Social, las deducciones personales, cuenta bancaria de los trabajadores</w:t>
      </w:r>
      <w:r w:rsidR="008B74E9" w:rsidRPr="00AE7FB9">
        <w:rPr>
          <w:rFonts w:eastAsia="Calibri" w:cs="Tahoma"/>
          <w:color w:val="000000"/>
          <w:szCs w:val="24"/>
          <w:lang w:val="es-ES" w:eastAsia="es-MX"/>
        </w:rPr>
        <w:t xml:space="preserve">, </w:t>
      </w:r>
      <w:r w:rsidRPr="00AE7FB9">
        <w:rPr>
          <w:rFonts w:eastAsia="Calibri" w:cs="Tahoma"/>
          <w:color w:val="000000"/>
          <w:szCs w:val="24"/>
          <w:lang w:val="es-ES" w:eastAsia="es-MX"/>
        </w:rPr>
        <w:t xml:space="preserve">y el nombre de los policías </w:t>
      </w:r>
      <w:r w:rsidR="008B74E9" w:rsidRPr="00AE7FB9">
        <w:rPr>
          <w:rFonts w:eastAsia="Calibri" w:cs="Tahoma"/>
          <w:color w:val="000000"/>
          <w:szCs w:val="24"/>
          <w:lang w:val="es-ES" w:eastAsia="es-MX"/>
        </w:rPr>
        <w:t xml:space="preserve">de la </w:t>
      </w:r>
      <w:r w:rsidR="008B74E9" w:rsidRPr="00AE7FB9">
        <w:t>Dirección de Seguridad Pública, Protección Civil y Bomberos</w:t>
      </w:r>
      <w:r w:rsidRPr="00AE7FB9">
        <w:rPr>
          <w:rFonts w:eastAsia="Calibri" w:cs="Tahoma"/>
          <w:color w:val="000000"/>
          <w:szCs w:val="24"/>
          <w:lang w:val="es-ES" w:eastAsia="es-MX"/>
        </w:rPr>
        <w:t xml:space="preserve">, los cuales se precisan de manera enunciativa, más no limitativa;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w:t>
      </w:r>
      <w:r w:rsidRPr="00AE7FB9">
        <w:rPr>
          <w:rFonts w:eastAsia="Calibri" w:cs="Tahoma"/>
          <w:color w:val="000000"/>
          <w:szCs w:val="24"/>
          <w:lang w:val="es-ES" w:eastAsia="es-MX"/>
        </w:rPr>
        <w:lastRenderedPageBreak/>
        <w:t>versión Pública en la que se testen las partes o secciones clasificadas, indicando su contenido de manera genérica y fundando y motivando su clasificación.</w:t>
      </w:r>
    </w:p>
    <w:p w14:paraId="6F728160" w14:textId="77777777" w:rsidR="00820AEA" w:rsidRPr="00AE7FB9" w:rsidRDefault="00820AEA" w:rsidP="00820AEA">
      <w:pPr>
        <w:spacing w:after="0" w:line="360" w:lineRule="auto"/>
        <w:rPr>
          <w:rFonts w:eastAsia="Calibri" w:cs="Tahoma"/>
          <w:color w:val="000000"/>
          <w:szCs w:val="24"/>
          <w:lang w:val="es-ES" w:eastAsia="es-MX"/>
        </w:rPr>
      </w:pPr>
    </w:p>
    <w:p w14:paraId="16DA23E8" w14:textId="77777777" w:rsidR="00820AEA" w:rsidRPr="00AE7FB9" w:rsidRDefault="00820AEA" w:rsidP="00820AEA">
      <w:pPr>
        <w:spacing w:after="0" w:line="360" w:lineRule="auto"/>
      </w:pPr>
      <w:r w:rsidRPr="00AE7FB9">
        <w:rPr>
          <w:rFonts w:eastAsia="Calibri" w:cs="Tahoma"/>
          <w:color w:val="000000"/>
          <w:szCs w:val="24"/>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9A041A3" w14:textId="77777777" w:rsidR="00820AEA" w:rsidRPr="00AE7FB9" w:rsidRDefault="00820AEA" w:rsidP="00820AEA">
      <w:pPr>
        <w:spacing w:after="0" w:line="360" w:lineRule="auto"/>
        <w:rPr>
          <w:rFonts w:eastAsia="Calibri" w:cs="Tahoma"/>
          <w:color w:val="000000"/>
          <w:szCs w:val="24"/>
          <w:lang w:val="es-ES" w:eastAsia="es-MX"/>
        </w:rPr>
      </w:pPr>
    </w:p>
    <w:p w14:paraId="7DEDB15D" w14:textId="77777777" w:rsidR="00E4643F" w:rsidRPr="00AE7FB9" w:rsidRDefault="00E4643F" w:rsidP="00D92AE6">
      <w:pPr>
        <w:spacing w:after="0" w:line="360" w:lineRule="auto"/>
        <w:contextualSpacing/>
        <w:rPr>
          <w:rFonts w:eastAsia="Calibri" w:cs="Tahoma"/>
          <w:b/>
          <w:color w:val="auto"/>
        </w:rPr>
      </w:pPr>
      <w:r w:rsidRPr="00AE7FB9">
        <w:rPr>
          <w:rFonts w:eastAsia="Calibri" w:cs="Tahoma"/>
          <w:b/>
          <w:color w:val="auto"/>
        </w:rPr>
        <w:t xml:space="preserve">SEXTO. Decisión. </w:t>
      </w:r>
    </w:p>
    <w:p w14:paraId="22BA398B" w14:textId="77777777" w:rsidR="00E4643F" w:rsidRPr="00AE7FB9" w:rsidRDefault="00E4643F" w:rsidP="00D92AE6">
      <w:pPr>
        <w:spacing w:after="0" w:line="360" w:lineRule="auto"/>
        <w:contextualSpacing/>
        <w:rPr>
          <w:rFonts w:eastAsia="Calibri" w:cs="Tahoma"/>
          <w:b/>
          <w:color w:val="auto"/>
        </w:rPr>
      </w:pPr>
    </w:p>
    <w:p w14:paraId="3D2B65C7" w14:textId="5B6EAD66" w:rsidR="00E9754D" w:rsidRPr="00AE7FB9" w:rsidRDefault="00E4643F" w:rsidP="00D92AE6">
      <w:pPr>
        <w:widowControl w:val="0"/>
        <w:spacing w:after="0" w:line="360" w:lineRule="auto"/>
        <w:contextualSpacing/>
        <w:rPr>
          <w:rFonts w:eastAsia="Calibri" w:cs="Tahoma"/>
          <w:bCs/>
          <w:iCs/>
          <w:color w:val="auto"/>
          <w:lang w:val="es-ES"/>
        </w:rPr>
      </w:pPr>
      <w:r w:rsidRPr="00AE7FB9">
        <w:rPr>
          <w:rFonts w:cs="Tahoma"/>
        </w:rPr>
        <w:t xml:space="preserve">Con fundamento en el artículo 186, fracción III, de la Ley de Transparencia y Acceso a la Información Pública del Estado de México y Municipios, este Instituto considera procedente </w:t>
      </w:r>
      <w:r w:rsidRPr="00AE7FB9">
        <w:rPr>
          <w:rFonts w:cs="Tahoma"/>
          <w:b/>
        </w:rPr>
        <w:t xml:space="preserve">MODIFICAR </w:t>
      </w:r>
      <w:r w:rsidRPr="00AE7FB9">
        <w:rPr>
          <w:rFonts w:cs="Tahoma"/>
          <w:bCs/>
        </w:rPr>
        <w:t>la</w:t>
      </w:r>
      <w:r w:rsidRPr="00AE7FB9">
        <w:rPr>
          <w:rFonts w:cs="Tahoma"/>
        </w:rPr>
        <w:t xml:space="preserve"> respuesta otorgada por </w:t>
      </w:r>
      <w:r w:rsidR="00FA4586" w:rsidRPr="00AE7FB9">
        <w:rPr>
          <w:rFonts w:cs="Tahoma"/>
        </w:rPr>
        <w:t xml:space="preserve">el Ayuntamiento de </w:t>
      </w:r>
      <w:r w:rsidR="00355E6A" w:rsidRPr="00AE7FB9">
        <w:rPr>
          <w:rFonts w:cs="Tahoma"/>
        </w:rPr>
        <w:t>el Oro</w:t>
      </w:r>
      <w:r w:rsidRPr="00AE7FB9">
        <w:rPr>
          <w:rFonts w:eastAsia="Calibri" w:cs="Tahoma"/>
        </w:rPr>
        <w:t xml:space="preserve">, </w:t>
      </w:r>
      <w:r w:rsidRPr="00AE7FB9">
        <w:rPr>
          <w:rFonts w:cs="Tahoma"/>
        </w:rPr>
        <w:t>a efecto de que</w:t>
      </w:r>
      <w:r w:rsidR="008B74E9" w:rsidRPr="00AE7FB9">
        <w:rPr>
          <w:rFonts w:cs="Tahoma"/>
        </w:rPr>
        <w:t xml:space="preserve"> previa búsqueda exhaustiva y razonable en los archivos de la Tesorería Municipal y la Dirección de Administración,</w:t>
      </w:r>
      <w:r w:rsidRPr="00AE7FB9">
        <w:rPr>
          <w:rFonts w:cs="Tahoma"/>
        </w:rPr>
        <w:t xml:space="preserve"> entregue</w:t>
      </w:r>
      <w:r w:rsidR="008B74E9" w:rsidRPr="00AE7FB9">
        <w:rPr>
          <w:rFonts w:cs="Tahoma"/>
        </w:rPr>
        <w:t>, en versión pública</w:t>
      </w:r>
      <w:r w:rsidRPr="00AE7FB9">
        <w:rPr>
          <w:rFonts w:cs="Tahoma"/>
        </w:rPr>
        <w:t>,</w:t>
      </w:r>
      <w:r w:rsidRPr="00AE7FB9">
        <w:rPr>
          <w:rFonts w:eastAsia="Calibri" w:cs="Tahoma"/>
          <w:iCs/>
          <w:lang w:eastAsia="es-ES_tradnl"/>
        </w:rPr>
        <w:t xml:space="preserve"> </w:t>
      </w:r>
      <w:r w:rsidR="008B74E9" w:rsidRPr="00AE7FB9">
        <w:rPr>
          <w:rFonts w:eastAsia="Calibri" w:cs="Tahoma"/>
          <w:iCs/>
          <w:lang w:eastAsia="es-ES_tradnl"/>
        </w:rPr>
        <w:t>la Conciliación de Nómina, de la</w:t>
      </w:r>
      <w:r w:rsidR="00FA4586" w:rsidRPr="00AE7FB9">
        <w:rPr>
          <w:rFonts w:eastAsia="Calibri" w:cs="Tahoma"/>
          <w:iCs/>
          <w:lang w:eastAsia="es-ES_tradnl"/>
        </w:rPr>
        <w:t xml:space="preserve"> </w:t>
      </w:r>
      <w:r w:rsidR="00E9754D" w:rsidRPr="00AE7FB9">
        <w:rPr>
          <w:rFonts w:eastAsia="Calibri" w:cs="Tahoma"/>
          <w:iCs/>
          <w:lang w:eastAsia="es-ES_tradnl"/>
        </w:rPr>
        <w:t xml:space="preserve">primera y segunda quincena </w:t>
      </w:r>
      <w:r w:rsidR="00FA4586" w:rsidRPr="00AE7FB9">
        <w:rPr>
          <w:rFonts w:eastAsia="Calibri" w:cs="Tahoma"/>
          <w:iCs/>
          <w:lang w:eastAsia="es-ES_tradnl"/>
        </w:rPr>
        <w:t>de enero del dos mil veintidós</w:t>
      </w:r>
      <w:r w:rsidRPr="00AE7FB9">
        <w:rPr>
          <w:rFonts w:eastAsia="Times New Roman" w:cs="Tahoma"/>
          <w:bCs/>
          <w:iCs/>
          <w:color w:val="auto"/>
          <w:lang w:val="es-ES" w:eastAsia="es-ES"/>
        </w:rPr>
        <w:t>.</w:t>
      </w:r>
      <w:r w:rsidR="00FA4586" w:rsidRPr="00AE7FB9">
        <w:rPr>
          <w:rFonts w:eastAsia="Times New Roman" w:cs="Tahoma"/>
          <w:bCs/>
          <w:iCs/>
          <w:color w:val="auto"/>
          <w:lang w:val="es-ES" w:eastAsia="es-ES"/>
        </w:rPr>
        <w:t xml:space="preserve"> </w:t>
      </w:r>
      <w:r w:rsidR="00E9754D" w:rsidRPr="00AE7FB9">
        <w:rPr>
          <w:rFonts w:eastAsia="Calibri" w:cs="Tahoma"/>
          <w:bCs/>
          <w:iCs/>
          <w:color w:val="auto"/>
          <w:lang w:val="es-ES"/>
        </w:rPr>
        <w:t>Además, deberá proporcionar el Acuerdo de Clasificación donde el Comité de Transparencia, confirme la eliminación de los datos o información clasificada.</w:t>
      </w:r>
    </w:p>
    <w:p w14:paraId="39433DDB" w14:textId="77777777" w:rsidR="00B14ADE" w:rsidRPr="00AE7FB9" w:rsidRDefault="00B14ADE" w:rsidP="00D92AE6">
      <w:pPr>
        <w:widowControl w:val="0"/>
        <w:spacing w:after="0" w:line="360" w:lineRule="auto"/>
        <w:contextualSpacing/>
        <w:rPr>
          <w:rFonts w:eastAsia="Times New Roman" w:cs="Tahoma"/>
          <w:color w:val="auto"/>
          <w:szCs w:val="24"/>
          <w:lang w:val="es-ES" w:eastAsia="es-ES"/>
        </w:rPr>
      </w:pPr>
    </w:p>
    <w:p w14:paraId="7A8D151A" w14:textId="77777777" w:rsidR="00E4643F" w:rsidRPr="00AE7FB9" w:rsidRDefault="00E4643F" w:rsidP="00D92AE6">
      <w:pPr>
        <w:spacing w:after="0" w:line="360" w:lineRule="auto"/>
        <w:contextualSpacing/>
        <w:rPr>
          <w:rFonts w:eastAsia="Calibri" w:cs="Tahoma"/>
          <w:b/>
          <w:bCs/>
          <w:color w:val="auto"/>
        </w:rPr>
      </w:pPr>
      <w:r w:rsidRPr="00AE7FB9">
        <w:rPr>
          <w:rFonts w:eastAsia="Calibri" w:cs="Tahoma"/>
          <w:b/>
          <w:bCs/>
          <w:color w:val="auto"/>
        </w:rPr>
        <w:t>Términos de la Resolución para conocimiento del Particular.</w:t>
      </w:r>
    </w:p>
    <w:p w14:paraId="116F817B" w14:textId="77777777" w:rsidR="00E4643F" w:rsidRPr="00AE7FB9" w:rsidRDefault="00E4643F" w:rsidP="00D92AE6">
      <w:pPr>
        <w:spacing w:after="0" w:line="360" w:lineRule="auto"/>
        <w:contextualSpacing/>
        <w:rPr>
          <w:rFonts w:eastAsia="Calibri" w:cs="Tahoma"/>
          <w:b/>
          <w:bCs/>
          <w:color w:val="auto"/>
        </w:rPr>
      </w:pPr>
    </w:p>
    <w:p w14:paraId="4A3990FE" w14:textId="77777777" w:rsidR="008B74E9" w:rsidRPr="00AE7FB9" w:rsidRDefault="00E4643F" w:rsidP="00D92AE6">
      <w:pPr>
        <w:widowControl w:val="0"/>
        <w:spacing w:after="0" w:line="360" w:lineRule="auto"/>
        <w:contextualSpacing/>
        <w:rPr>
          <w:rFonts w:eastAsia="Calibri" w:cs="Tahoma"/>
          <w:bCs/>
          <w:iCs/>
          <w:color w:val="000000"/>
        </w:rPr>
      </w:pPr>
      <w:r w:rsidRPr="00AE7FB9">
        <w:rPr>
          <w:rFonts w:eastAsia="Calibri" w:cs="Tahoma"/>
          <w:bCs/>
          <w:iCs/>
          <w:color w:val="000000"/>
        </w:rPr>
        <w:t>Se le hace del conocimiento al Particular, que, en el presente caso, se le concede parcialmente la razón, ya que si bien</w:t>
      </w:r>
      <w:r w:rsidR="00B14ADE" w:rsidRPr="00AE7FB9">
        <w:rPr>
          <w:rFonts w:eastAsia="Calibri" w:cs="Tahoma"/>
          <w:bCs/>
          <w:iCs/>
          <w:color w:val="000000"/>
        </w:rPr>
        <w:t>,</w:t>
      </w:r>
      <w:r w:rsidRPr="00AE7FB9">
        <w:rPr>
          <w:rFonts w:eastAsia="Calibri" w:cs="Tahoma"/>
          <w:bCs/>
          <w:iCs/>
          <w:color w:val="000000"/>
        </w:rPr>
        <w:t xml:space="preserve"> el Sujeto Obligado </w:t>
      </w:r>
      <w:r w:rsidR="00B14ADE" w:rsidRPr="00AE7FB9">
        <w:rPr>
          <w:rFonts w:eastAsia="Calibri" w:cs="Tahoma"/>
          <w:bCs/>
          <w:iCs/>
          <w:color w:val="000000"/>
        </w:rPr>
        <w:t>proporcionó dos listados de nómina, lo cierto es que dicha información se encuentra incompleta</w:t>
      </w:r>
      <w:r w:rsidR="008B74E9" w:rsidRPr="00AE7FB9">
        <w:rPr>
          <w:rFonts w:eastAsia="Calibri" w:cs="Tahoma"/>
          <w:bCs/>
          <w:iCs/>
          <w:color w:val="000000"/>
        </w:rPr>
        <w:t>; por lo que, deberá entregar la Conciliación de Nómina, que contiene la información de todos los servidores públicos</w:t>
      </w:r>
      <w:r w:rsidRPr="00AE7FB9">
        <w:rPr>
          <w:rFonts w:eastAsia="Calibri" w:cs="Tahoma"/>
          <w:bCs/>
          <w:iCs/>
          <w:color w:val="000000"/>
        </w:rPr>
        <w:t>.</w:t>
      </w:r>
      <w:r w:rsidR="008B74E9" w:rsidRPr="00AE7FB9">
        <w:rPr>
          <w:rFonts w:eastAsia="Calibri" w:cs="Tahoma"/>
          <w:bCs/>
          <w:iCs/>
          <w:color w:val="000000"/>
        </w:rPr>
        <w:t xml:space="preserve"> </w:t>
      </w:r>
    </w:p>
    <w:p w14:paraId="412A7A95" w14:textId="77777777" w:rsidR="008B74E9" w:rsidRPr="00AE7FB9" w:rsidRDefault="008B74E9" w:rsidP="00D92AE6">
      <w:pPr>
        <w:widowControl w:val="0"/>
        <w:spacing w:after="0" w:line="360" w:lineRule="auto"/>
        <w:contextualSpacing/>
        <w:rPr>
          <w:rFonts w:eastAsia="Calibri" w:cs="Tahoma"/>
          <w:bCs/>
          <w:iCs/>
          <w:color w:val="000000"/>
        </w:rPr>
      </w:pPr>
    </w:p>
    <w:p w14:paraId="15AD7B2D" w14:textId="77777777" w:rsidR="008B74E9" w:rsidRPr="00AE7FB9" w:rsidRDefault="008B74E9" w:rsidP="00D92AE6">
      <w:pPr>
        <w:widowControl w:val="0"/>
        <w:spacing w:after="0" w:line="360" w:lineRule="auto"/>
        <w:contextualSpacing/>
        <w:rPr>
          <w:rFonts w:eastAsia="Calibri" w:cs="Tahoma"/>
          <w:bCs/>
          <w:iCs/>
          <w:color w:val="000000"/>
        </w:rPr>
      </w:pPr>
    </w:p>
    <w:p w14:paraId="3B5B270B" w14:textId="77777777" w:rsidR="008B74E9" w:rsidRPr="00AE7FB9" w:rsidRDefault="008B74E9" w:rsidP="00D92AE6">
      <w:pPr>
        <w:widowControl w:val="0"/>
        <w:spacing w:after="0" w:line="360" w:lineRule="auto"/>
        <w:contextualSpacing/>
        <w:rPr>
          <w:rFonts w:eastAsia="Calibri" w:cs="Tahoma"/>
          <w:bCs/>
          <w:iCs/>
          <w:color w:val="000000"/>
        </w:rPr>
      </w:pPr>
    </w:p>
    <w:p w14:paraId="7DC7090C" w14:textId="1D7C35D9" w:rsidR="00E4643F" w:rsidRPr="00AE7FB9" w:rsidRDefault="008B74E9" w:rsidP="00D92AE6">
      <w:pPr>
        <w:widowControl w:val="0"/>
        <w:spacing w:after="0" w:line="360" w:lineRule="auto"/>
        <w:contextualSpacing/>
        <w:rPr>
          <w:rFonts w:eastAsia="Calibri" w:cs="Tahoma"/>
          <w:bCs/>
          <w:iCs/>
          <w:color w:val="auto"/>
          <w:lang w:val="es-ES_tradnl"/>
        </w:rPr>
      </w:pPr>
      <w:r w:rsidRPr="00AE7FB9">
        <w:rPr>
          <w:rFonts w:eastAsia="Calibri" w:cs="Tahoma"/>
          <w:bCs/>
          <w:iCs/>
          <w:color w:val="000000"/>
        </w:rPr>
        <w:t>La</w:t>
      </w:r>
      <w:r w:rsidR="00E4643F" w:rsidRPr="00AE7FB9">
        <w:rPr>
          <w:rFonts w:eastAsia="Calibri" w:cs="Tahoma"/>
          <w:bCs/>
          <w:iCs/>
          <w:color w:val="auto"/>
          <w:lang w:val="es-ES_tradnl"/>
        </w:rPr>
        <w:t xml:space="preserve"> labor del Instituto, es apoyar a la población a acceder a la información pública y garantizar la protección de los datos personales.</w:t>
      </w:r>
    </w:p>
    <w:p w14:paraId="32F5A597" w14:textId="77777777" w:rsidR="008B74E9" w:rsidRPr="00AE7FB9" w:rsidRDefault="008B74E9" w:rsidP="00D92AE6">
      <w:pPr>
        <w:widowControl w:val="0"/>
        <w:spacing w:after="0" w:line="360" w:lineRule="auto"/>
        <w:contextualSpacing/>
        <w:rPr>
          <w:rFonts w:eastAsia="Calibri" w:cs="Tahoma"/>
          <w:bCs/>
          <w:iCs/>
          <w:color w:val="auto"/>
          <w:lang w:val="es-ES_tradnl"/>
        </w:rPr>
      </w:pPr>
    </w:p>
    <w:p w14:paraId="0A59C2C9" w14:textId="77777777" w:rsidR="00E4643F" w:rsidRPr="00AE7FB9" w:rsidRDefault="00E4643F" w:rsidP="00D92AE6">
      <w:pPr>
        <w:spacing w:after="0" w:line="360" w:lineRule="auto"/>
        <w:contextualSpacing/>
        <w:rPr>
          <w:rFonts w:eastAsia="Calibri" w:cs="Tahoma"/>
          <w:bCs/>
          <w:color w:val="auto"/>
        </w:rPr>
      </w:pPr>
      <w:r w:rsidRPr="00AE7FB9">
        <w:rPr>
          <w:rFonts w:eastAsia="Calibri" w:cs="Tahoma"/>
          <w:bCs/>
          <w:color w:val="auto"/>
        </w:rPr>
        <w:t>Por lo expuesto y fundado, este Pleno:</w:t>
      </w:r>
    </w:p>
    <w:p w14:paraId="309259E9" w14:textId="77777777" w:rsidR="00E4643F" w:rsidRPr="00AE7FB9" w:rsidRDefault="00E4643F" w:rsidP="00D92AE6">
      <w:pPr>
        <w:spacing w:after="0" w:line="360" w:lineRule="auto"/>
        <w:ind w:right="-91"/>
        <w:contextualSpacing/>
        <w:jc w:val="left"/>
        <w:rPr>
          <w:rFonts w:eastAsia="Calibri" w:cs="Tahoma"/>
          <w:b/>
          <w:bCs/>
          <w:color w:val="auto"/>
        </w:rPr>
      </w:pPr>
    </w:p>
    <w:p w14:paraId="798FFEA8" w14:textId="77777777" w:rsidR="00E4643F" w:rsidRPr="00AE7FB9" w:rsidRDefault="00E4643F" w:rsidP="00D92AE6">
      <w:pPr>
        <w:spacing w:after="0" w:line="360" w:lineRule="auto"/>
        <w:ind w:right="-91"/>
        <w:contextualSpacing/>
        <w:jc w:val="center"/>
        <w:rPr>
          <w:rFonts w:eastAsia="Calibri" w:cs="Tahoma"/>
          <w:b/>
          <w:bCs/>
          <w:color w:val="auto"/>
        </w:rPr>
      </w:pPr>
      <w:r w:rsidRPr="00AE7FB9">
        <w:rPr>
          <w:rFonts w:eastAsia="Calibri" w:cs="Tahoma"/>
          <w:b/>
          <w:bCs/>
          <w:color w:val="auto"/>
        </w:rPr>
        <w:t>R E S U E L V E:</w:t>
      </w:r>
    </w:p>
    <w:p w14:paraId="24296A05" w14:textId="77777777" w:rsidR="00E4643F" w:rsidRPr="00AE7FB9" w:rsidRDefault="00E4643F" w:rsidP="00D92AE6">
      <w:pPr>
        <w:spacing w:after="0" w:line="360" w:lineRule="auto"/>
        <w:ind w:right="-91"/>
        <w:contextualSpacing/>
        <w:jc w:val="center"/>
        <w:rPr>
          <w:rFonts w:eastAsia="Calibri" w:cs="Tahoma"/>
          <w:b/>
          <w:bCs/>
          <w:color w:val="auto"/>
        </w:rPr>
      </w:pPr>
    </w:p>
    <w:p w14:paraId="63D50660" w14:textId="09AA4F6A" w:rsidR="00E4643F" w:rsidRPr="00AE7FB9" w:rsidRDefault="00E4643F" w:rsidP="00D92AE6">
      <w:pPr>
        <w:spacing w:after="0" w:line="360" w:lineRule="auto"/>
        <w:contextualSpacing/>
        <w:rPr>
          <w:rFonts w:eastAsia="Calibri" w:cs="Tahoma"/>
          <w:bCs/>
        </w:rPr>
      </w:pPr>
      <w:r w:rsidRPr="00AE7FB9">
        <w:rPr>
          <w:rFonts w:eastAsia="Calibri" w:cs="Tahoma"/>
          <w:b/>
          <w:bCs/>
          <w:iCs/>
          <w:color w:val="auto"/>
        </w:rPr>
        <w:t xml:space="preserve">PRIMERO. </w:t>
      </w:r>
      <w:r w:rsidRPr="00AE7FB9">
        <w:rPr>
          <w:rFonts w:cs="Tahoma"/>
          <w:bCs/>
        </w:rPr>
        <w:t xml:space="preserve">Se </w:t>
      </w:r>
      <w:r w:rsidRPr="00AE7FB9">
        <w:rPr>
          <w:rFonts w:cs="Tahoma"/>
          <w:b/>
          <w:bCs/>
        </w:rPr>
        <w:t>MODIFICA</w:t>
      </w:r>
      <w:r w:rsidRPr="00AE7FB9">
        <w:rPr>
          <w:rFonts w:cs="Tahoma"/>
          <w:bCs/>
        </w:rPr>
        <w:t xml:space="preserve"> la respuesta entregada por </w:t>
      </w:r>
      <w:r w:rsidR="00B14ADE" w:rsidRPr="00AE7FB9">
        <w:rPr>
          <w:rFonts w:cs="Tahoma"/>
          <w:bCs/>
        </w:rPr>
        <w:t xml:space="preserve">el Ayuntamiento de </w:t>
      </w:r>
      <w:r w:rsidR="00355E6A" w:rsidRPr="00AE7FB9">
        <w:rPr>
          <w:rFonts w:cs="Tahoma"/>
          <w:bCs/>
        </w:rPr>
        <w:t>el Oro</w:t>
      </w:r>
      <w:r w:rsidRPr="00AE7FB9">
        <w:rPr>
          <w:rFonts w:cs="Tahoma"/>
          <w:bCs/>
        </w:rPr>
        <w:t xml:space="preserve">, a la solicitud de </w:t>
      </w:r>
      <w:r w:rsidRPr="00AE7FB9">
        <w:rPr>
          <w:rFonts w:eastAsia="Calibri" w:cs="Tahoma"/>
        </w:rPr>
        <w:t xml:space="preserve">información </w:t>
      </w:r>
      <w:r w:rsidR="00B14ADE" w:rsidRPr="00AE7FB9">
        <w:t>00009/ELORO/IP/2023</w:t>
      </w:r>
      <w:r w:rsidRPr="00AE7FB9">
        <w:rPr>
          <w:rFonts w:eastAsia="Calibri" w:cs="Tahoma"/>
          <w:bCs/>
        </w:rPr>
        <w:t xml:space="preserve">, </w:t>
      </w:r>
      <w:r w:rsidRPr="00AE7FB9">
        <w:t xml:space="preserve">por resultar </w:t>
      </w:r>
      <w:r w:rsidRPr="00AE7FB9">
        <w:rPr>
          <w:b/>
        </w:rPr>
        <w:t>FUNDADAS</w:t>
      </w:r>
      <w:r w:rsidRPr="00AE7FB9">
        <w:rPr>
          <w:rFonts w:cs="Tahoma"/>
        </w:rPr>
        <w:t xml:space="preserve"> </w:t>
      </w:r>
      <w:r w:rsidRPr="00AE7FB9">
        <w:rPr>
          <w:rFonts w:eastAsia="Calibri" w:cs="Tahoma"/>
        </w:rPr>
        <w:t>las razones o motivos de inconformidad hechos valer por el Particular, en</w:t>
      </w:r>
      <w:r w:rsidRPr="00AE7FB9">
        <w:rPr>
          <w:rFonts w:eastAsia="Calibri" w:cs="Tahoma"/>
          <w:bCs/>
        </w:rPr>
        <w:t xml:space="preserve"> términos de los considerandos QUINTO </w:t>
      </w:r>
      <w:r w:rsidRPr="00AE7FB9">
        <w:rPr>
          <w:rFonts w:eastAsia="Calibri" w:cs="Tahoma"/>
        </w:rPr>
        <w:t xml:space="preserve">y </w:t>
      </w:r>
      <w:r w:rsidRPr="00AE7FB9">
        <w:rPr>
          <w:rFonts w:eastAsia="Calibri" w:cs="Tahoma"/>
          <w:bCs/>
        </w:rPr>
        <w:t>SEXTO de la presente Resolución.</w:t>
      </w:r>
    </w:p>
    <w:p w14:paraId="7E62726E" w14:textId="77777777" w:rsidR="00E4643F" w:rsidRPr="00AE7FB9" w:rsidRDefault="00E4643F" w:rsidP="00D92AE6">
      <w:pPr>
        <w:spacing w:after="0" w:line="360" w:lineRule="auto"/>
        <w:contextualSpacing/>
        <w:rPr>
          <w:rFonts w:eastAsia="Calibri" w:cs="Tahoma"/>
          <w:b/>
          <w:bCs/>
          <w:iCs/>
          <w:color w:val="auto"/>
        </w:rPr>
      </w:pPr>
    </w:p>
    <w:p w14:paraId="21CCD2D5" w14:textId="4EA764ED" w:rsidR="00E4643F" w:rsidRPr="00AE7FB9" w:rsidRDefault="00E4643F" w:rsidP="00D92AE6">
      <w:pPr>
        <w:spacing w:after="0" w:line="360" w:lineRule="auto"/>
        <w:contextualSpacing/>
        <w:rPr>
          <w:rFonts w:eastAsia="Calibri" w:cs="Tahoma"/>
          <w:bCs/>
          <w:iCs/>
          <w:color w:val="auto"/>
        </w:rPr>
      </w:pPr>
      <w:r w:rsidRPr="00AE7FB9">
        <w:rPr>
          <w:rFonts w:eastAsia="Calibri" w:cs="Tahoma"/>
          <w:b/>
          <w:bCs/>
          <w:iCs/>
          <w:color w:val="auto"/>
        </w:rPr>
        <w:t xml:space="preserve">SEGUNDO. </w:t>
      </w:r>
      <w:r w:rsidRPr="00AE7FB9">
        <w:rPr>
          <w:rFonts w:eastAsia="Calibri" w:cs="Tahoma"/>
          <w:bCs/>
          <w:iCs/>
          <w:color w:val="auto"/>
        </w:rPr>
        <w:t xml:space="preserve">Se </w:t>
      </w:r>
      <w:r w:rsidRPr="00AE7FB9">
        <w:rPr>
          <w:rFonts w:eastAsia="Calibri" w:cs="Tahoma"/>
          <w:b/>
          <w:bCs/>
          <w:iCs/>
          <w:color w:val="auto"/>
        </w:rPr>
        <w:t xml:space="preserve">ORDENA </w:t>
      </w:r>
      <w:r w:rsidRPr="00AE7FB9">
        <w:rPr>
          <w:rFonts w:eastAsia="Calibri" w:cs="Tahoma"/>
          <w:bCs/>
          <w:iCs/>
          <w:color w:val="auto"/>
        </w:rPr>
        <w:t>al Ente Recurrido, a efecto de que</w:t>
      </w:r>
      <w:r w:rsidR="008B74E9" w:rsidRPr="00AE7FB9">
        <w:rPr>
          <w:rFonts w:eastAsia="Calibri" w:cs="Tahoma"/>
          <w:bCs/>
          <w:iCs/>
          <w:color w:val="auto"/>
        </w:rPr>
        <w:t xml:space="preserve"> previa búsqueda exhaustiva y razonable en las unidades administrativas competentes,</w:t>
      </w:r>
      <w:r w:rsidRPr="00AE7FB9">
        <w:rPr>
          <w:rFonts w:eastAsia="Calibri" w:cs="Tahoma"/>
          <w:bCs/>
          <w:iCs/>
          <w:color w:val="auto"/>
        </w:rPr>
        <w:t xml:space="preserve"> entregue, a través del Sistema de Acceso a la Información Mexiquense (SAIMEX), </w:t>
      </w:r>
      <w:r w:rsidR="008B74E9" w:rsidRPr="00AE7FB9">
        <w:rPr>
          <w:rFonts w:eastAsia="Calibri" w:cs="Tahoma"/>
          <w:bCs/>
          <w:iCs/>
          <w:color w:val="auto"/>
        </w:rPr>
        <w:t xml:space="preserve">en versión pública, </w:t>
      </w:r>
      <w:r w:rsidRPr="00AE7FB9">
        <w:rPr>
          <w:rFonts w:eastAsia="Calibri" w:cs="Tahoma"/>
          <w:bCs/>
          <w:iCs/>
          <w:color w:val="auto"/>
        </w:rPr>
        <w:t>lo siguiente:</w:t>
      </w:r>
    </w:p>
    <w:p w14:paraId="49C10C5F" w14:textId="77777777" w:rsidR="00E4643F" w:rsidRPr="00AE7FB9" w:rsidRDefault="00E4643F" w:rsidP="00D92AE6">
      <w:pPr>
        <w:spacing w:after="0" w:line="360" w:lineRule="auto"/>
        <w:contextualSpacing/>
        <w:rPr>
          <w:rFonts w:eastAsia="Calibri" w:cs="Tahoma"/>
          <w:bCs/>
          <w:iCs/>
          <w:color w:val="auto"/>
        </w:rPr>
      </w:pPr>
    </w:p>
    <w:p w14:paraId="28FECA81" w14:textId="536EC369" w:rsidR="00B14ADE" w:rsidRPr="00AE7FB9" w:rsidRDefault="00B14ADE" w:rsidP="006C35BD">
      <w:pPr>
        <w:pStyle w:val="Prrafodelista"/>
        <w:numPr>
          <w:ilvl w:val="0"/>
          <w:numId w:val="14"/>
        </w:numPr>
        <w:spacing w:after="0" w:line="360" w:lineRule="auto"/>
        <w:rPr>
          <w:rFonts w:eastAsia="Times New Roman" w:cs="Tahoma"/>
          <w:color w:val="auto"/>
          <w:szCs w:val="24"/>
          <w:lang w:val="es-ES" w:eastAsia="es-ES"/>
        </w:rPr>
      </w:pPr>
      <w:r w:rsidRPr="00AE7FB9">
        <w:rPr>
          <w:rFonts w:eastAsia="Calibri" w:cs="Tahoma"/>
          <w:bCs/>
          <w:lang w:val="es-ES"/>
        </w:rPr>
        <w:t xml:space="preserve">La </w:t>
      </w:r>
      <w:r w:rsidR="008B74E9" w:rsidRPr="00AE7FB9">
        <w:rPr>
          <w:rFonts w:eastAsia="Calibri" w:cs="Tahoma"/>
          <w:iCs/>
          <w:lang w:eastAsia="es-ES_tradnl"/>
        </w:rPr>
        <w:t>Conciliación de Nómina, de la primera y segunda quincena de enero del dos mil veintidós</w:t>
      </w:r>
      <w:r w:rsidR="008B74E9" w:rsidRPr="00AE7FB9">
        <w:rPr>
          <w:rFonts w:eastAsia="Times New Roman" w:cs="Tahoma"/>
          <w:bCs/>
          <w:iCs/>
          <w:color w:val="auto"/>
          <w:lang w:val="es-ES" w:eastAsia="es-ES"/>
        </w:rPr>
        <w:t>.</w:t>
      </w:r>
    </w:p>
    <w:p w14:paraId="5B4B76A6" w14:textId="77777777" w:rsidR="008B74E9" w:rsidRPr="00AE7FB9" w:rsidRDefault="008B74E9" w:rsidP="008B74E9">
      <w:pPr>
        <w:pStyle w:val="Prrafodelista"/>
        <w:spacing w:after="0" w:line="360" w:lineRule="auto"/>
        <w:rPr>
          <w:rFonts w:eastAsia="Times New Roman" w:cs="Tahoma"/>
          <w:color w:val="auto"/>
          <w:szCs w:val="24"/>
          <w:lang w:val="es-ES" w:eastAsia="es-ES"/>
        </w:rPr>
      </w:pPr>
    </w:p>
    <w:p w14:paraId="5FD2948A" w14:textId="5CC36285" w:rsidR="00B14ADE" w:rsidRPr="00AE7FB9" w:rsidRDefault="00B14ADE" w:rsidP="00D92AE6">
      <w:pPr>
        <w:tabs>
          <w:tab w:val="left" w:pos="4962"/>
        </w:tabs>
        <w:spacing w:after="0" w:line="360" w:lineRule="auto"/>
        <w:contextualSpacing/>
        <w:rPr>
          <w:rFonts w:eastAsia="Calibri" w:cs="Tahoma"/>
          <w:bCs/>
          <w:iCs/>
          <w:color w:val="auto"/>
          <w:lang w:val="es-ES"/>
        </w:rPr>
      </w:pPr>
      <w:r w:rsidRPr="00AE7FB9">
        <w:rPr>
          <w:rFonts w:eastAsia="Calibri" w:cs="Tahoma"/>
          <w:bCs/>
          <w:iCs/>
          <w:color w:val="auto"/>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484D620" w14:textId="77777777" w:rsidR="00B14ADE" w:rsidRPr="00AE7FB9" w:rsidRDefault="00B14ADE" w:rsidP="00D92AE6">
      <w:pPr>
        <w:spacing w:after="0" w:line="360" w:lineRule="auto"/>
        <w:contextualSpacing/>
        <w:rPr>
          <w:rFonts w:eastAsia="Times New Roman" w:cs="Tahoma"/>
          <w:bCs/>
          <w:iCs/>
          <w:color w:val="auto"/>
          <w:lang w:eastAsia="es-ES"/>
        </w:rPr>
      </w:pPr>
    </w:p>
    <w:p w14:paraId="54C91660" w14:textId="77777777" w:rsidR="00B14ADE" w:rsidRPr="00AE7FB9" w:rsidRDefault="00B14ADE" w:rsidP="00D92AE6">
      <w:pPr>
        <w:spacing w:after="0" w:line="360" w:lineRule="auto"/>
        <w:contextualSpacing/>
        <w:rPr>
          <w:rFonts w:eastAsia="Calibri" w:cs="Tahoma"/>
          <w:bCs/>
          <w:iCs/>
          <w:color w:val="auto"/>
          <w:lang w:eastAsia="es-ES"/>
        </w:rPr>
      </w:pPr>
      <w:r w:rsidRPr="00AE7FB9">
        <w:rPr>
          <w:rFonts w:eastAsia="Calibri" w:cs="Tahoma"/>
          <w:b/>
          <w:bCs/>
          <w:iCs/>
          <w:color w:val="auto"/>
          <w:lang w:val="es-ES" w:eastAsia="es-ES"/>
        </w:rPr>
        <w:t>TERCERO</w:t>
      </w:r>
      <w:r w:rsidRPr="00AE7FB9">
        <w:rPr>
          <w:rFonts w:eastAsia="Calibri" w:cs="Tahoma"/>
          <w:b/>
          <w:bCs/>
          <w:color w:val="auto"/>
        </w:rPr>
        <w:t xml:space="preserve">. </w:t>
      </w:r>
      <w:r w:rsidRPr="00AE7FB9">
        <w:rPr>
          <w:rFonts w:cs="Tahoma"/>
          <w:b/>
        </w:rPr>
        <w:t xml:space="preserve">NOTIFÍQUESE </w:t>
      </w:r>
      <w:r w:rsidRPr="00AE7FB9">
        <w:rPr>
          <w:rFonts w:cs="Tahoma"/>
          <w:bCs/>
        </w:rPr>
        <w:t xml:space="preserve">la presente resolución al Titular de la Unidad de Transparencia del Sujeto Obligado, para que conforme al artículo 186, último párrafo, 189, segundo párrafo, </w:t>
      </w:r>
      <w:r w:rsidRPr="00AE7FB9">
        <w:rPr>
          <w:rFonts w:cs="Tahoma"/>
          <w:bCs/>
        </w:rPr>
        <w:lastRenderedPageBreak/>
        <w:t>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16C41FB" w14:textId="77777777" w:rsidR="00B14ADE" w:rsidRPr="00AE7FB9" w:rsidRDefault="00B14ADE" w:rsidP="00D92AE6">
      <w:pPr>
        <w:spacing w:after="0" w:line="360" w:lineRule="auto"/>
        <w:contextualSpacing/>
        <w:rPr>
          <w:rFonts w:eastAsia="Calibri" w:cs="Tahoma"/>
          <w:color w:val="auto"/>
          <w:lang w:eastAsia="es-MX"/>
        </w:rPr>
      </w:pPr>
    </w:p>
    <w:p w14:paraId="712C239B" w14:textId="77777777" w:rsidR="00B14ADE" w:rsidRPr="00AE7FB9" w:rsidRDefault="00B14ADE" w:rsidP="00D92AE6">
      <w:pPr>
        <w:spacing w:after="0" w:line="360" w:lineRule="auto"/>
        <w:contextualSpacing/>
        <w:rPr>
          <w:rFonts w:eastAsia="Calibri" w:cs="Tahoma"/>
          <w:iCs/>
          <w:color w:val="000000"/>
        </w:rPr>
      </w:pPr>
      <w:r w:rsidRPr="00AE7FB9">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F0E7ED7" w14:textId="77777777" w:rsidR="00E4643F" w:rsidRPr="00AE7FB9" w:rsidRDefault="00E4643F" w:rsidP="00D92AE6">
      <w:pPr>
        <w:spacing w:after="0" w:line="360" w:lineRule="auto"/>
        <w:contextualSpacing/>
        <w:rPr>
          <w:rFonts w:cs="Tahoma"/>
        </w:rPr>
      </w:pPr>
    </w:p>
    <w:p w14:paraId="6A2509EB" w14:textId="77777777" w:rsidR="00E4643F" w:rsidRPr="00AE7FB9" w:rsidRDefault="00E4643F" w:rsidP="00D92AE6">
      <w:pPr>
        <w:spacing w:after="0" w:line="360" w:lineRule="auto"/>
        <w:contextualSpacing/>
        <w:rPr>
          <w:rFonts w:cs="Tahoma"/>
        </w:rPr>
      </w:pPr>
      <w:r w:rsidRPr="00AE7FB9">
        <w:rPr>
          <w:rFonts w:cs="Tahoma"/>
          <w:b/>
        </w:rPr>
        <w:t>CUARTO. NOTIFÍQUESE</w:t>
      </w:r>
      <w:r w:rsidRPr="00AE7FB9">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9FA7A7A" w14:textId="77777777" w:rsidR="00E4643F" w:rsidRPr="00AE7FB9" w:rsidRDefault="00E4643F" w:rsidP="00D92AE6">
      <w:pPr>
        <w:spacing w:after="0" w:line="360" w:lineRule="auto"/>
        <w:contextualSpacing/>
        <w:rPr>
          <w:rFonts w:eastAsia="Calibri" w:cs="Tahoma"/>
          <w:bCs/>
          <w:lang w:val="es-ES"/>
        </w:rPr>
      </w:pPr>
    </w:p>
    <w:p w14:paraId="093968B3" w14:textId="6D0D5856" w:rsidR="00E4643F" w:rsidRPr="00F43779" w:rsidRDefault="002634C6" w:rsidP="00D92AE6">
      <w:pPr>
        <w:spacing w:after="0" w:line="360" w:lineRule="auto"/>
        <w:contextualSpacing/>
        <w:rPr>
          <w:rFonts w:eastAsia="Calibri" w:cs="Tahoma"/>
          <w:bCs/>
        </w:rPr>
      </w:pPr>
      <w:r w:rsidRPr="00AE7FB9">
        <w:rPr>
          <w:rFonts w:eastAsia="Calibri" w:cs="Tahoma"/>
          <w:bCs/>
        </w:rPr>
        <w:t xml:space="preserve">ASÍ LO RESUELVE, POR </w:t>
      </w:r>
      <w:r w:rsidRPr="00AE7FB9">
        <w:rPr>
          <w:rFonts w:eastAsia="Calibri" w:cs="Tahoma"/>
          <w:b/>
        </w:rPr>
        <w:t xml:space="preserve">MAYORÍA </w:t>
      </w:r>
      <w:r w:rsidRPr="00AE7FB9">
        <w:rPr>
          <w:rFonts w:eastAsia="Calibri" w:cs="Tahoma"/>
          <w:bCs/>
        </w:rPr>
        <w:t>DE VOTOS EL PLENO DEL INSTITUTO DE TRANSPARENCIA, ACCESO A LA INFORMACIÓN PÚBLICA Y PROTECCIÓN DE DATOS PERSONALES DEL ESTADO DE MÉXICO Y MUNICIPIOS, CONFORMADO POR LOS COMISIONADOS JOSÉ MARTÍNEZ VILCHIS CON VOTO PARTICULAR, MARÍA DEL ROSARIO MEJÍA AYALA, SHARON CRISTINA MORALES MARTÍNEZ CON VOTO DISIDENTE, LUIS GUSTAVO PARRA NORIEGA CON VOTO PARTICULAR Y GUADALUPE RAMÍREZ PEÑA, EN LA DÉCIMA OCTAVA SESIÓN ORDINARIA, CELEBRADA EL DIECISIETE DE MAYO DE DOS MIL VEINTITRÉS, ANTE EL SECRETARIO TÉCNICO DEL PLENO, ALEXIS TAPIA RAMÍREZ.</w:t>
      </w:r>
    </w:p>
    <w:p w14:paraId="7A724E5A" w14:textId="77777777" w:rsidR="00E4643F" w:rsidRPr="00F43779" w:rsidRDefault="00E4643F" w:rsidP="00D92AE6">
      <w:pPr>
        <w:spacing w:after="0" w:line="360" w:lineRule="auto"/>
        <w:contextualSpacing/>
      </w:pPr>
      <w:r w:rsidRPr="00F43779">
        <w:br w:type="page"/>
      </w:r>
    </w:p>
    <w:p w14:paraId="0E34BCCC" w14:textId="77777777" w:rsidR="00E4643F" w:rsidRPr="00F43779" w:rsidRDefault="00E4643F" w:rsidP="00D92AE6">
      <w:pPr>
        <w:spacing w:after="0" w:line="360" w:lineRule="auto"/>
        <w:contextualSpacing/>
      </w:pPr>
    </w:p>
    <w:p w14:paraId="183B9961" w14:textId="77777777" w:rsidR="00E4643F" w:rsidRPr="00F43779" w:rsidRDefault="00E4643F" w:rsidP="00D92AE6">
      <w:pPr>
        <w:spacing w:after="0" w:line="360" w:lineRule="auto"/>
        <w:contextualSpacing/>
      </w:pPr>
    </w:p>
    <w:p w14:paraId="4177EBB7" w14:textId="77777777" w:rsidR="00E4643F" w:rsidRPr="00F43779" w:rsidRDefault="00E4643F" w:rsidP="00D92AE6">
      <w:pPr>
        <w:spacing w:after="0" w:line="360" w:lineRule="auto"/>
        <w:contextualSpacing/>
      </w:pPr>
    </w:p>
    <w:p w14:paraId="309A9E47" w14:textId="77777777" w:rsidR="00E4643F" w:rsidRPr="00F43779" w:rsidRDefault="00E4643F" w:rsidP="00D92AE6">
      <w:pPr>
        <w:spacing w:after="0" w:line="360" w:lineRule="auto"/>
        <w:contextualSpacing/>
      </w:pPr>
    </w:p>
    <w:p w14:paraId="36B6D89E" w14:textId="77777777" w:rsidR="00E4643F" w:rsidRPr="00F43779" w:rsidRDefault="00E4643F" w:rsidP="00D92AE6">
      <w:pPr>
        <w:spacing w:after="0" w:line="360" w:lineRule="auto"/>
        <w:contextualSpacing/>
      </w:pPr>
    </w:p>
    <w:p w14:paraId="1FA10289" w14:textId="77777777" w:rsidR="00E4643F" w:rsidRPr="00F43779" w:rsidRDefault="00E4643F" w:rsidP="00D92AE6">
      <w:pPr>
        <w:spacing w:after="0" w:line="360" w:lineRule="auto"/>
        <w:contextualSpacing/>
      </w:pPr>
    </w:p>
    <w:p w14:paraId="7EEB1323" w14:textId="77777777" w:rsidR="00E4643F" w:rsidRPr="00F43779" w:rsidRDefault="00E4643F" w:rsidP="00D92AE6">
      <w:pPr>
        <w:spacing w:after="0" w:line="360" w:lineRule="auto"/>
        <w:contextualSpacing/>
      </w:pPr>
    </w:p>
    <w:p w14:paraId="1B4A2FF6" w14:textId="77777777" w:rsidR="00E4643F" w:rsidRPr="00F43779" w:rsidRDefault="00E4643F" w:rsidP="00D92AE6">
      <w:pPr>
        <w:spacing w:after="0" w:line="360" w:lineRule="auto"/>
        <w:contextualSpacing/>
      </w:pPr>
    </w:p>
    <w:p w14:paraId="081EA8CB" w14:textId="77777777" w:rsidR="00CE7148" w:rsidRPr="00F43779" w:rsidRDefault="00CE7148" w:rsidP="00D92AE6">
      <w:pPr>
        <w:spacing w:after="0" w:line="360" w:lineRule="auto"/>
        <w:contextualSpacing/>
      </w:pPr>
    </w:p>
    <w:sectPr w:rsidR="00CE7148" w:rsidRPr="00F43779" w:rsidSect="00302831">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FF42" w14:textId="77777777" w:rsidR="003E12F9" w:rsidRDefault="003E12F9" w:rsidP="00075CC0">
      <w:pPr>
        <w:spacing w:after="0" w:line="240" w:lineRule="auto"/>
      </w:pPr>
      <w:r>
        <w:separator/>
      </w:r>
    </w:p>
  </w:endnote>
  <w:endnote w:type="continuationSeparator" w:id="0">
    <w:p w14:paraId="6A60154C" w14:textId="77777777" w:rsidR="003E12F9" w:rsidRDefault="003E12F9" w:rsidP="0007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7A40E5E1" w14:textId="77777777" w:rsidR="00302831" w:rsidRDefault="0030283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6BFEEA3" w14:textId="77777777" w:rsidR="00302831" w:rsidRDefault="003028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2F35AEA9" w14:textId="77777777" w:rsidR="00302831" w:rsidRDefault="0030283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B74E9">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B74E9">
              <w:rPr>
                <w:b/>
                <w:bCs/>
                <w:noProof/>
              </w:rPr>
              <w:t>35</w:t>
            </w:r>
            <w:r>
              <w:rPr>
                <w:b/>
                <w:bCs/>
                <w:sz w:val="24"/>
                <w:szCs w:val="24"/>
              </w:rPr>
              <w:fldChar w:fldCharType="end"/>
            </w:r>
          </w:p>
        </w:sdtContent>
      </w:sdt>
    </w:sdtContent>
  </w:sdt>
  <w:p w14:paraId="397A499C" w14:textId="77777777" w:rsidR="00302831" w:rsidRDefault="003028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0F095B3F" w14:textId="77777777" w:rsidR="00302831" w:rsidRDefault="0030283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B74E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B74E9">
              <w:rPr>
                <w:b/>
                <w:bCs/>
                <w:noProof/>
              </w:rPr>
              <w:t>36</w:t>
            </w:r>
            <w:r>
              <w:rPr>
                <w:b/>
                <w:bCs/>
                <w:sz w:val="24"/>
                <w:szCs w:val="24"/>
              </w:rPr>
              <w:fldChar w:fldCharType="end"/>
            </w:r>
          </w:p>
        </w:sdtContent>
      </w:sdt>
    </w:sdtContent>
  </w:sdt>
  <w:p w14:paraId="74FE2E44" w14:textId="77777777" w:rsidR="00302831" w:rsidRDefault="003028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0EFB" w14:textId="77777777" w:rsidR="003E12F9" w:rsidRDefault="003E12F9" w:rsidP="00075CC0">
      <w:pPr>
        <w:spacing w:after="0" w:line="240" w:lineRule="auto"/>
      </w:pPr>
      <w:r>
        <w:separator/>
      </w:r>
    </w:p>
  </w:footnote>
  <w:footnote w:type="continuationSeparator" w:id="0">
    <w:p w14:paraId="0449E242" w14:textId="77777777" w:rsidR="003E12F9" w:rsidRDefault="003E12F9" w:rsidP="00075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302831" w:rsidRPr="00E152D8" w14:paraId="73E21BE0" w14:textId="77777777" w:rsidTr="00302831">
      <w:trPr>
        <w:trHeight w:val="132"/>
      </w:trPr>
      <w:tc>
        <w:tcPr>
          <w:tcW w:w="2691" w:type="dxa"/>
        </w:tcPr>
        <w:p w14:paraId="623B4E85" w14:textId="77777777" w:rsidR="00302831" w:rsidRPr="00E152D8" w:rsidRDefault="00302831" w:rsidP="00302831">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8403FF3" w14:textId="77777777" w:rsidR="00302831" w:rsidRPr="00EE1572" w:rsidRDefault="00302831" w:rsidP="00302831">
          <w:pPr>
            <w:tabs>
              <w:tab w:val="right" w:pos="8838"/>
            </w:tabs>
            <w:ind w:left="-28" w:right="-32"/>
            <w:rPr>
              <w:rFonts w:eastAsia="Calibri" w:cs="Tahoma"/>
            </w:rPr>
          </w:pPr>
          <w:r w:rsidRPr="00EE1572">
            <w:rPr>
              <w:rFonts w:eastAsia="Calibri" w:cs="Tahoma"/>
            </w:rPr>
            <w:t>03846/INFOEM/IP/RR/2020</w:t>
          </w:r>
        </w:p>
      </w:tc>
    </w:tr>
    <w:tr w:rsidR="00302831" w:rsidRPr="00E152D8" w14:paraId="7F2A70C5" w14:textId="77777777" w:rsidTr="00302831">
      <w:trPr>
        <w:trHeight w:val="261"/>
      </w:trPr>
      <w:tc>
        <w:tcPr>
          <w:tcW w:w="2691" w:type="dxa"/>
        </w:tcPr>
        <w:p w14:paraId="44544EF8" w14:textId="77777777" w:rsidR="00302831" w:rsidRPr="00E152D8" w:rsidRDefault="00302831" w:rsidP="0030283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71665DD4" w14:textId="77777777" w:rsidR="00302831" w:rsidRPr="00EE1572" w:rsidRDefault="00302831" w:rsidP="00302831">
          <w:pPr>
            <w:tabs>
              <w:tab w:val="right" w:pos="8838"/>
            </w:tabs>
            <w:ind w:right="-32"/>
            <w:rPr>
              <w:rFonts w:eastAsia="Calibri" w:cs="Tahoma"/>
              <w:lang w:val="es-MX"/>
            </w:rPr>
          </w:pPr>
          <w:r w:rsidRPr="00EE1572">
            <w:rPr>
              <w:rFonts w:eastAsia="Calibri" w:cs="Tahoma"/>
              <w:lang w:val="es-MX"/>
            </w:rPr>
            <w:t>Ayuntamiento de Temascalcingo</w:t>
          </w:r>
        </w:p>
      </w:tc>
    </w:tr>
    <w:tr w:rsidR="00302831" w:rsidRPr="00E152D8" w14:paraId="35AE56A9" w14:textId="77777777" w:rsidTr="00302831">
      <w:trPr>
        <w:trHeight w:val="261"/>
      </w:trPr>
      <w:tc>
        <w:tcPr>
          <w:tcW w:w="2691" w:type="dxa"/>
        </w:tcPr>
        <w:p w14:paraId="1A351EFE" w14:textId="77777777" w:rsidR="00302831" w:rsidRPr="00E152D8" w:rsidRDefault="00302831" w:rsidP="00302831">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2F2BFA2" w14:textId="77777777" w:rsidR="00302831" w:rsidRPr="00E152D8" w:rsidRDefault="00302831" w:rsidP="00302831">
          <w:pPr>
            <w:tabs>
              <w:tab w:val="right" w:pos="8838"/>
            </w:tabs>
            <w:ind w:right="-32"/>
            <w:rPr>
              <w:rFonts w:eastAsia="Calibri" w:cs="Tahoma"/>
              <w:b/>
              <w:lang w:val="es-MX"/>
            </w:rPr>
          </w:pPr>
          <w:r w:rsidRPr="00E152D8">
            <w:rPr>
              <w:rFonts w:eastAsia="Calibri" w:cs="Tahoma"/>
              <w:lang w:val="es-MX"/>
            </w:rPr>
            <w:t>Luis Gustavo Parra Noriega</w:t>
          </w:r>
        </w:p>
      </w:tc>
    </w:tr>
  </w:tbl>
  <w:p w14:paraId="7C3F5CB2" w14:textId="77777777" w:rsidR="00302831" w:rsidRDefault="00000000">
    <w:pPr>
      <w:pStyle w:val="Encabezado"/>
    </w:pPr>
    <w:r>
      <w:rPr>
        <w:noProof/>
      </w:rPr>
      <w:pict w14:anchorId="08AC5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70"/>
    </w:tblGrid>
    <w:tr w:rsidR="00302831" w:rsidRPr="00E152D8" w14:paraId="16A7613D" w14:textId="77777777" w:rsidTr="00302831">
      <w:trPr>
        <w:trHeight w:val="138"/>
      </w:trPr>
      <w:tc>
        <w:tcPr>
          <w:tcW w:w="2551" w:type="dxa"/>
          <w:vAlign w:val="center"/>
        </w:tcPr>
        <w:p w14:paraId="55A54491" w14:textId="77777777" w:rsidR="00302831" w:rsidRPr="00E152D8" w:rsidRDefault="00302831" w:rsidP="00302831">
          <w:pPr>
            <w:tabs>
              <w:tab w:val="right" w:pos="8838"/>
            </w:tabs>
            <w:ind w:right="-105"/>
            <w:jc w:val="left"/>
            <w:rPr>
              <w:rFonts w:eastAsia="Calibri" w:cs="Tahoma"/>
              <w:b/>
              <w:lang w:val="es-MX"/>
            </w:rPr>
          </w:pPr>
          <w:r w:rsidRPr="00E152D8">
            <w:rPr>
              <w:rFonts w:eastAsia="Calibri" w:cs="Tahoma"/>
              <w:b/>
              <w:lang w:val="es-MX"/>
            </w:rPr>
            <w:t>Recurso de Revisión:</w:t>
          </w:r>
        </w:p>
      </w:tc>
      <w:tc>
        <w:tcPr>
          <w:tcW w:w="3970" w:type="dxa"/>
        </w:tcPr>
        <w:p w14:paraId="404448BD" w14:textId="62911DB8" w:rsidR="00302831" w:rsidRPr="00051642" w:rsidRDefault="00302831" w:rsidP="00302831">
          <w:pPr>
            <w:tabs>
              <w:tab w:val="right" w:pos="8838"/>
            </w:tabs>
            <w:ind w:right="-32"/>
            <w:rPr>
              <w:rFonts w:eastAsia="Calibri" w:cs="Tahoma"/>
            </w:rPr>
          </w:pPr>
          <w:r>
            <w:rPr>
              <w:rFonts w:eastAsia="Calibri" w:cs="Tahoma"/>
              <w:lang w:val="es-MX"/>
            </w:rPr>
            <w:t>00656/INFOEM/IP/RR/2023</w:t>
          </w:r>
        </w:p>
      </w:tc>
    </w:tr>
    <w:tr w:rsidR="00302831" w:rsidRPr="00E152D8" w14:paraId="57A32492" w14:textId="77777777" w:rsidTr="00302831">
      <w:trPr>
        <w:trHeight w:val="273"/>
      </w:trPr>
      <w:tc>
        <w:tcPr>
          <w:tcW w:w="2551" w:type="dxa"/>
        </w:tcPr>
        <w:p w14:paraId="2E4A2E30" w14:textId="77777777" w:rsidR="00302831" w:rsidRPr="00E152D8" w:rsidRDefault="00302831" w:rsidP="0030283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70" w:type="dxa"/>
        </w:tcPr>
        <w:p w14:paraId="6EDAB6C9" w14:textId="64C2258A" w:rsidR="00302831" w:rsidRPr="00051642" w:rsidRDefault="00302831" w:rsidP="00302831">
          <w:pPr>
            <w:tabs>
              <w:tab w:val="right" w:pos="8838"/>
            </w:tabs>
            <w:ind w:left="-28" w:right="-32"/>
            <w:rPr>
              <w:rFonts w:eastAsia="Calibri" w:cs="Tahoma"/>
              <w:lang w:val="es-MX"/>
            </w:rPr>
          </w:pPr>
          <w:r>
            <w:rPr>
              <w:rFonts w:eastAsia="Calibri" w:cs="Tahoma"/>
              <w:lang w:val="es-MX"/>
            </w:rPr>
            <w:t>Ayuntamiento de el Oro</w:t>
          </w:r>
        </w:p>
      </w:tc>
    </w:tr>
    <w:tr w:rsidR="00302831" w:rsidRPr="00E152D8" w14:paraId="55A6B6C9" w14:textId="77777777" w:rsidTr="00302831">
      <w:trPr>
        <w:trHeight w:val="273"/>
      </w:trPr>
      <w:tc>
        <w:tcPr>
          <w:tcW w:w="2551" w:type="dxa"/>
        </w:tcPr>
        <w:p w14:paraId="28BED014" w14:textId="77777777" w:rsidR="00302831" w:rsidRPr="00E152D8" w:rsidRDefault="00302831" w:rsidP="00302831">
          <w:pPr>
            <w:tabs>
              <w:tab w:val="right" w:pos="8838"/>
            </w:tabs>
            <w:ind w:right="-105"/>
            <w:rPr>
              <w:rFonts w:eastAsia="Calibri" w:cs="Tahoma"/>
              <w:b/>
              <w:lang w:val="es-MX"/>
            </w:rPr>
          </w:pPr>
          <w:r w:rsidRPr="00E152D8">
            <w:rPr>
              <w:rFonts w:eastAsia="Calibri" w:cs="Tahoma"/>
              <w:b/>
              <w:lang w:val="es-MX"/>
            </w:rPr>
            <w:t>Comisionado Ponente:</w:t>
          </w:r>
        </w:p>
      </w:tc>
      <w:tc>
        <w:tcPr>
          <w:tcW w:w="3970" w:type="dxa"/>
        </w:tcPr>
        <w:p w14:paraId="3B415D57" w14:textId="77777777" w:rsidR="00302831" w:rsidRPr="00E152D8" w:rsidRDefault="00302831" w:rsidP="00302831">
          <w:pPr>
            <w:tabs>
              <w:tab w:val="right" w:pos="8838"/>
            </w:tabs>
            <w:ind w:left="-28" w:right="-32"/>
            <w:rPr>
              <w:rFonts w:eastAsia="Calibri" w:cs="Tahoma"/>
              <w:b/>
              <w:lang w:val="es-MX"/>
            </w:rPr>
          </w:pPr>
          <w:r w:rsidRPr="00E152D8">
            <w:rPr>
              <w:rFonts w:eastAsia="Calibri" w:cs="Tahoma"/>
              <w:lang w:val="es-MX"/>
            </w:rPr>
            <w:t>Luis Gustavo Parra Noriega</w:t>
          </w:r>
        </w:p>
      </w:tc>
    </w:tr>
  </w:tbl>
  <w:p w14:paraId="77BF113C" w14:textId="77777777" w:rsidR="00302831" w:rsidRDefault="00000000" w:rsidP="00302831">
    <w:pPr>
      <w:pStyle w:val="Encabezado"/>
    </w:pPr>
    <w:r>
      <w:rPr>
        <w:noProof/>
      </w:rPr>
      <w:pict w14:anchorId="567A4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1"/>
    </w:tblGrid>
    <w:tr w:rsidR="00302831" w:rsidRPr="00E152D8" w14:paraId="15CCBE7D" w14:textId="77777777" w:rsidTr="00302831">
      <w:trPr>
        <w:trHeight w:val="132"/>
      </w:trPr>
      <w:tc>
        <w:tcPr>
          <w:tcW w:w="2551" w:type="dxa"/>
        </w:tcPr>
        <w:p w14:paraId="35E24C61" w14:textId="77777777" w:rsidR="00302831" w:rsidRPr="00E152D8" w:rsidRDefault="00302831" w:rsidP="00302831">
          <w:pPr>
            <w:tabs>
              <w:tab w:val="right" w:pos="8838"/>
            </w:tabs>
            <w:ind w:right="-105"/>
            <w:rPr>
              <w:rFonts w:eastAsia="Calibri" w:cs="Tahoma"/>
              <w:b/>
              <w:lang w:val="es-MX"/>
            </w:rPr>
          </w:pPr>
          <w:r w:rsidRPr="00E152D8">
            <w:rPr>
              <w:rFonts w:eastAsia="Calibri" w:cs="Tahoma"/>
              <w:b/>
              <w:lang w:val="es-MX"/>
            </w:rPr>
            <w:t>Recurso de Revisión:</w:t>
          </w:r>
        </w:p>
      </w:tc>
      <w:tc>
        <w:tcPr>
          <w:tcW w:w="3261" w:type="dxa"/>
        </w:tcPr>
        <w:p w14:paraId="4598E66D" w14:textId="0500AFDC" w:rsidR="00302831" w:rsidRPr="00051642" w:rsidRDefault="00302831" w:rsidP="00302831">
          <w:pPr>
            <w:tabs>
              <w:tab w:val="right" w:pos="8838"/>
            </w:tabs>
            <w:ind w:left="-111" w:right="-32"/>
            <w:rPr>
              <w:rFonts w:eastAsia="Calibri" w:cs="Tahoma"/>
            </w:rPr>
          </w:pPr>
          <w:r>
            <w:rPr>
              <w:rFonts w:eastAsia="Calibri" w:cs="Tahoma"/>
              <w:lang w:val="es-MX"/>
            </w:rPr>
            <w:t>00656/INFOEM/IP/RR/2023</w:t>
          </w:r>
        </w:p>
      </w:tc>
    </w:tr>
    <w:tr w:rsidR="00302831" w:rsidRPr="00E152D8" w14:paraId="48A8D1A0" w14:textId="77777777" w:rsidTr="00302831">
      <w:trPr>
        <w:trHeight w:val="132"/>
      </w:trPr>
      <w:tc>
        <w:tcPr>
          <w:tcW w:w="2551" w:type="dxa"/>
        </w:tcPr>
        <w:p w14:paraId="6AB4818C" w14:textId="77777777" w:rsidR="00302831" w:rsidRPr="00E152D8" w:rsidRDefault="00302831" w:rsidP="00302831">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1" w:type="dxa"/>
        </w:tcPr>
        <w:p w14:paraId="29DAC448" w14:textId="3750ED49" w:rsidR="00302831" w:rsidRPr="00E152D8" w:rsidRDefault="00302831" w:rsidP="00302831">
          <w:pPr>
            <w:tabs>
              <w:tab w:val="right" w:pos="8838"/>
            </w:tabs>
            <w:ind w:left="-111" w:right="-109"/>
            <w:rPr>
              <w:rFonts w:eastAsia="Calibri" w:cs="Tahoma"/>
              <w:lang w:val="es-MX"/>
            </w:rPr>
          </w:pPr>
        </w:p>
      </w:tc>
    </w:tr>
    <w:tr w:rsidR="00302831" w:rsidRPr="00E152D8" w14:paraId="0D0F0A59" w14:textId="77777777" w:rsidTr="00302831">
      <w:trPr>
        <w:trHeight w:val="261"/>
      </w:trPr>
      <w:tc>
        <w:tcPr>
          <w:tcW w:w="2551" w:type="dxa"/>
        </w:tcPr>
        <w:p w14:paraId="0F7ECE4E" w14:textId="77777777" w:rsidR="00302831" w:rsidRPr="00E152D8" w:rsidRDefault="00302831" w:rsidP="0030283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1" w:type="dxa"/>
        </w:tcPr>
        <w:p w14:paraId="0EBD3E63" w14:textId="017FC837" w:rsidR="00302831" w:rsidRPr="00051642" w:rsidRDefault="00302831" w:rsidP="00302831">
          <w:pPr>
            <w:tabs>
              <w:tab w:val="right" w:pos="8838"/>
            </w:tabs>
            <w:ind w:left="-111" w:right="-32"/>
            <w:rPr>
              <w:rFonts w:eastAsia="Calibri" w:cs="Tahoma"/>
              <w:lang w:val="es-MX"/>
            </w:rPr>
          </w:pPr>
          <w:r>
            <w:rPr>
              <w:rFonts w:eastAsia="Calibri" w:cs="Tahoma"/>
              <w:lang w:val="es-MX"/>
            </w:rPr>
            <w:t>Ayuntamiento de el Oro</w:t>
          </w:r>
        </w:p>
      </w:tc>
    </w:tr>
    <w:tr w:rsidR="00302831" w:rsidRPr="00E152D8" w14:paraId="01668306" w14:textId="77777777" w:rsidTr="00302831">
      <w:trPr>
        <w:trHeight w:val="261"/>
      </w:trPr>
      <w:tc>
        <w:tcPr>
          <w:tcW w:w="2551" w:type="dxa"/>
        </w:tcPr>
        <w:p w14:paraId="150CBC85" w14:textId="77777777" w:rsidR="00302831" w:rsidRPr="00E152D8" w:rsidRDefault="00302831" w:rsidP="00302831">
          <w:pPr>
            <w:tabs>
              <w:tab w:val="right" w:pos="8838"/>
            </w:tabs>
            <w:ind w:right="-105"/>
            <w:rPr>
              <w:rFonts w:eastAsia="Calibri" w:cs="Tahoma"/>
              <w:b/>
              <w:lang w:val="es-MX"/>
            </w:rPr>
          </w:pPr>
          <w:r w:rsidRPr="00E152D8">
            <w:rPr>
              <w:rFonts w:eastAsia="Calibri" w:cs="Tahoma"/>
              <w:b/>
              <w:lang w:val="es-MX"/>
            </w:rPr>
            <w:t>Comisionado Ponente:</w:t>
          </w:r>
        </w:p>
      </w:tc>
      <w:tc>
        <w:tcPr>
          <w:tcW w:w="3261" w:type="dxa"/>
        </w:tcPr>
        <w:p w14:paraId="24A8F909" w14:textId="77777777" w:rsidR="00302831" w:rsidRPr="00E152D8" w:rsidRDefault="00302831" w:rsidP="00302831">
          <w:pPr>
            <w:tabs>
              <w:tab w:val="right" w:pos="8838"/>
            </w:tabs>
            <w:ind w:left="-111" w:right="-32"/>
            <w:rPr>
              <w:rFonts w:eastAsia="Calibri" w:cs="Tahoma"/>
              <w:b/>
              <w:lang w:val="es-MX"/>
            </w:rPr>
          </w:pPr>
          <w:r w:rsidRPr="00E152D8">
            <w:rPr>
              <w:rFonts w:eastAsia="Calibri" w:cs="Tahoma"/>
              <w:lang w:val="es-MX"/>
            </w:rPr>
            <w:t>Luis Gustavo Parra Noriega</w:t>
          </w:r>
        </w:p>
      </w:tc>
    </w:tr>
  </w:tbl>
  <w:p w14:paraId="54BD2BDC" w14:textId="77777777" w:rsidR="00302831" w:rsidRDefault="00000000" w:rsidP="00302831">
    <w:pPr>
      <w:pStyle w:val="Encabezado"/>
      <w:tabs>
        <w:tab w:val="left" w:pos="5812"/>
      </w:tabs>
    </w:pPr>
    <w:r>
      <w:rPr>
        <w:noProof/>
      </w:rPr>
      <w:pict w14:anchorId="2C0EA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1pt;margin-top:-12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B64"/>
    <w:multiLevelType w:val="hybridMultilevel"/>
    <w:tmpl w:val="5EE4B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520CE6"/>
    <w:multiLevelType w:val="hybridMultilevel"/>
    <w:tmpl w:val="0D107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37ED9"/>
    <w:multiLevelType w:val="hybridMultilevel"/>
    <w:tmpl w:val="44665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9E2D4B"/>
    <w:multiLevelType w:val="hybridMultilevel"/>
    <w:tmpl w:val="78002EB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E3BFD"/>
    <w:multiLevelType w:val="hybridMultilevel"/>
    <w:tmpl w:val="2EC4A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DCE43A9"/>
    <w:multiLevelType w:val="hybridMultilevel"/>
    <w:tmpl w:val="BE58E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EBF4DFA"/>
    <w:multiLevelType w:val="hybridMultilevel"/>
    <w:tmpl w:val="6780F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0" w15:restartNumberingAfterBreak="0">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6C3C8C"/>
    <w:multiLevelType w:val="hybridMultilevel"/>
    <w:tmpl w:val="05FE1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FD12AD"/>
    <w:multiLevelType w:val="hybridMultilevel"/>
    <w:tmpl w:val="5A000A44"/>
    <w:lvl w:ilvl="0" w:tplc="5A5E2FB6">
      <w:start w:val="1"/>
      <w:numFmt w:val="decimal"/>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26347730">
    <w:abstractNumId w:val="9"/>
  </w:num>
  <w:num w:numId="2" w16cid:durableId="515927396">
    <w:abstractNumId w:val="3"/>
  </w:num>
  <w:num w:numId="3" w16cid:durableId="330959493">
    <w:abstractNumId w:val="10"/>
  </w:num>
  <w:num w:numId="4" w16cid:durableId="380983210">
    <w:abstractNumId w:val="5"/>
  </w:num>
  <w:num w:numId="5" w16cid:durableId="923103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352406">
    <w:abstractNumId w:val="0"/>
  </w:num>
  <w:num w:numId="7" w16cid:durableId="1861623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379378">
    <w:abstractNumId w:val="12"/>
  </w:num>
  <w:num w:numId="9" w16cid:durableId="321735885">
    <w:abstractNumId w:val="13"/>
  </w:num>
  <w:num w:numId="10" w16cid:durableId="871111516">
    <w:abstractNumId w:val="11"/>
  </w:num>
  <w:num w:numId="11" w16cid:durableId="825165577">
    <w:abstractNumId w:val="6"/>
  </w:num>
  <w:num w:numId="12" w16cid:durableId="688944032">
    <w:abstractNumId w:val="14"/>
  </w:num>
  <w:num w:numId="13" w16cid:durableId="669992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0300989">
    <w:abstractNumId w:val="2"/>
  </w:num>
  <w:num w:numId="15" w16cid:durableId="1616405515">
    <w:abstractNumId w:val="4"/>
  </w:num>
  <w:num w:numId="16" w16cid:durableId="947200879">
    <w:abstractNumId w:val="1"/>
  </w:num>
  <w:num w:numId="17" w16cid:durableId="637029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3F"/>
    <w:rsid w:val="00017D0A"/>
    <w:rsid w:val="0003063F"/>
    <w:rsid w:val="00075CC0"/>
    <w:rsid w:val="000B5567"/>
    <w:rsid w:val="001B1EBF"/>
    <w:rsid w:val="001B5B82"/>
    <w:rsid w:val="00227708"/>
    <w:rsid w:val="0025279D"/>
    <w:rsid w:val="002634C6"/>
    <w:rsid w:val="00264675"/>
    <w:rsid w:val="0027487F"/>
    <w:rsid w:val="002E19FD"/>
    <w:rsid w:val="002E53B3"/>
    <w:rsid w:val="00302831"/>
    <w:rsid w:val="00355E6A"/>
    <w:rsid w:val="00362902"/>
    <w:rsid w:val="003E12F9"/>
    <w:rsid w:val="00456C89"/>
    <w:rsid w:val="00656727"/>
    <w:rsid w:val="0067280A"/>
    <w:rsid w:val="006814D6"/>
    <w:rsid w:val="006D2726"/>
    <w:rsid w:val="00705A38"/>
    <w:rsid w:val="00792351"/>
    <w:rsid w:val="007B05CA"/>
    <w:rsid w:val="00801716"/>
    <w:rsid w:val="00820AEA"/>
    <w:rsid w:val="008B74E9"/>
    <w:rsid w:val="008D780A"/>
    <w:rsid w:val="009047B9"/>
    <w:rsid w:val="00A81926"/>
    <w:rsid w:val="00AE7FB9"/>
    <w:rsid w:val="00B14ADE"/>
    <w:rsid w:val="00B6593D"/>
    <w:rsid w:val="00B76097"/>
    <w:rsid w:val="00B8357A"/>
    <w:rsid w:val="00BD621F"/>
    <w:rsid w:val="00BF5790"/>
    <w:rsid w:val="00C63629"/>
    <w:rsid w:val="00CE7148"/>
    <w:rsid w:val="00D21501"/>
    <w:rsid w:val="00D46D1F"/>
    <w:rsid w:val="00D92AE6"/>
    <w:rsid w:val="00DC399D"/>
    <w:rsid w:val="00E4643F"/>
    <w:rsid w:val="00E76DFB"/>
    <w:rsid w:val="00E9754D"/>
    <w:rsid w:val="00EA7873"/>
    <w:rsid w:val="00EF7E10"/>
    <w:rsid w:val="00F43779"/>
    <w:rsid w:val="00FA45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AE14"/>
  <w15:chartTrackingRefBased/>
  <w15:docId w15:val="{F2114853-B6FC-4B9C-9DBE-7A750F02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3F"/>
    <w:pPr>
      <w:jc w:val="both"/>
    </w:pPr>
    <w:rPr>
      <w:rFonts w:ascii="Palatino Linotype" w:hAnsi="Palatino Linotype"/>
      <w:color w:val="000000" w:themeColor="text1"/>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64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643F"/>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E464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643F"/>
    <w:rPr>
      <w:rFonts w:ascii="Palatino Linotype" w:hAnsi="Palatino Linotype"/>
      <w:color w:val="000000" w:themeColor="text1"/>
      <w:kern w:val="0"/>
      <w14:ligatures w14:val="none"/>
    </w:rPr>
  </w:style>
  <w:style w:type="table" w:styleId="Tablaconcuadrcula">
    <w:name w:val="Table Grid"/>
    <w:basedOn w:val="Tablanormal"/>
    <w:uiPriority w:val="59"/>
    <w:qFormat/>
    <w:rsid w:val="00E4643F"/>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4643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4643F"/>
    <w:rPr>
      <w:rFonts w:ascii="Palatino Linotype" w:hAnsi="Palatino Linotype"/>
      <w:color w:val="000000" w:themeColor="text1"/>
      <w:kern w:val="0"/>
      <w14:ligatures w14:val="none"/>
    </w:rPr>
  </w:style>
  <w:style w:type="character" w:styleId="Hipervnculo">
    <w:name w:val="Hyperlink"/>
    <w:basedOn w:val="Fuentedeprrafopredeter"/>
    <w:uiPriority w:val="99"/>
    <w:unhideWhenUsed/>
    <w:rsid w:val="00E4643F"/>
    <w:rPr>
      <w:color w:val="0000FF"/>
      <w:u w:val="single"/>
    </w:rPr>
  </w:style>
  <w:style w:type="character" w:customStyle="1" w:styleId="Mencinsinresolver1">
    <w:name w:val="Mención sin resolver1"/>
    <w:basedOn w:val="Fuentedeprrafopredeter"/>
    <w:uiPriority w:val="99"/>
    <w:semiHidden/>
    <w:unhideWhenUsed/>
    <w:rsid w:val="008D7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2368">
      <w:bodyDiv w:val="1"/>
      <w:marLeft w:val="0"/>
      <w:marRight w:val="0"/>
      <w:marTop w:val="0"/>
      <w:marBottom w:val="0"/>
      <w:divBdr>
        <w:top w:val="none" w:sz="0" w:space="0" w:color="auto"/>
        <w:left w:val="none" w:sz="0" w:space="0" w:color="auto"/>
        <w:bottom w:val="none" w:sz="0" w:space="0" w:color="auto"/>
        <w:right w:val="none" w:sz="0" w:space="0" w:color="auto"/>
      </w:divBdr>
    </w:div>
    <w:div w:id="547885129">
      <w:bodyDiv w:val="1"/>
      <w:marLeft w:val="0"/>
      <w:marRight w:val="0"/>
      <w:marTop w:val="0"/>
      <w:marBottom w:val="0"/>
      <w:divBdr>
        <w:top w:val="none" w:sz="0" w:space="0" w:color="auto"/>
        <w:left w:val="none" w:sz="0" w:space="0" w:color="auto"/>
        <w:bottom w:val="none" w:sz="0" w:space="0" w:color="auto"/>
        <w:right w:val="none" w:sz="0" w:space="0" w:color="auto"/>
      </w:divBdr>
    </w:div>
    <w:div w:id="670328713">
      <w:bodyDiv w:val="1"/>
      <w:marLeft w:val="0"/>
      <w:marRight w:val="0"/>
      <w:marTop w:val="0"/>
      <w:marBottom w:val="0"/>
      <w:divBdr>
        <w:top w:val="none" w:sz="0" w:space="0" w:color="auto"/>
        <w:left w:val="none" w:sz="0" w:space="0" w:color="auto"/>
        <w:bottom w:val="none" w:sz="0" w:space="0" w:color="auto"/>
        <w:right w:val="none" w:sz="0" w:space="0" w:color="auto"/>
      </w:divBdr>
    </w:div>
    <w:div w:id="674117588">
      <w:bodyDiv w:val="1"/>
      <w:marLeft w:val="0"/>
      <w:marRight w:val="0"/>
      <w:marTop w:val="0"/>
      <w:marBottom w:val="0"/>
      <w:divBdr>
        <w:top w:val="none" w:sz="0" w:space="0" w:color="auto"/>
        <w:left w:val="none" w:sz="0" w:space="0" w:color="auto"/>
        <w:bottom w:val="none" w:sz="0" w:space="0" w:color="auto"/>
        <w:right w:val="none" w:sz="0" w:space="0" w:color="auto"/>
      </w:divBdr>
    </w:div>
    <w:div w:id="689263500">
      <w:bodyDiv w:val="1"/>
      <w:marLeft w:val="0"/>
      <w:marRight w:val="0"/>
      <w:marTop w:val="0"/>
      <w:marBottom w:val="0"/>
      <w:divBdr>
        <w:top w:val="none" w:sz="0" w:space="0" w:color="auto"/>
        <w:left w:val="none" w:sz="0" w:space="0" w:color="auto"/>
        <w:bottom w:val="none" w:sz="0" w:space="0" w:color="auto"/>
        <w:right w:val="none" w:sz="0" w:space="0" w:color="auto"/>
      </w:divBdr>
    </w:div>
    <w:div w:id="768236292">
      <w:bodyDiv w:val="1"/>
      <w:marLeft w:val="0"/>
      <w:marRight w:val="0"/>
      <w:marTop w:val="0"/>
      <w:marBottom w:val="0"/>
      <w:divBdr>
        <w:top w:val="none" w:sz="0" w:space="0" w:color="auto"/>
        <w:left w:val="none" w:sz="0" w:space="0" w:color="auto"/>
        <w:bottom w:val="none" w:sz="0" w:space="0" w:color="auto"/>
        <w:right w:val="none" w:sz="0" w:space="0" w:color="auto"/>
      </w:divBdr>
    </w:div>
    <w:div w:id="1066027812">
      <w:bodyDiv w:val="1"/>
      <w:marLeft w:val="0"/>
      <w:marRight w:val="0"/>
      <w:marTop w:val="0"/>
      <w:marBottom w:val="0"/>
      <w:divBdr>
        <w:top w:val="none" w:sz="0" w:space="0" w:color="auto"/>
        <w:left w:val="none" w:sz="0" w:space="0" w:color="auto"/>
        <w:bottom w:val="none" w:sz="0" w:space="0" w:color="auto"/>
        <w:right w:val="none" w:sz="0" w:space="0" w:color="auto"/>
      </w:divBdr>
    </w:div>
    <w:div w:id="1066686592">
      <w:bodyDiv w:val="1"/>
      <w:marLeft w:val="0"/>
      <w:marRight w:val="0"/>
      <w:marTop w:val="0"/>
      <w:marBottom w:val="0"/>
      <w:divBdr>
        <w:top w:val="none" w:sz="0" w:space="0" w:color="auto"/>
        <w:left w:val="none" w:sz="0" w:space="0" w:color="auto"/>
        <w:bottom w:val="none" w:sz="0" w:space="0" w:color="auto"/>
        <w:right w:val="none" w:sz="0" w:space="0" w:color="auto"/>
      </w:divBdr>
    </w:div>
    <w:div w:id="1564440440">
      <w:bodyDiv w:val="1"/>
      <w:marLeft w:val="0"/>
      <w:marRight w:val="0"/>
      <w:marTop w:val="0"/>
      <w:marBottom w:val="0"/>
      <w:divBdr>
        <w:top w:val="none" w:sz="0" w:space="0" w:color="auto"/>
        <w:left w:val="none" w:sz="0" w:space="0" w:color="auto"/>
        <w:bottom w:val="none" w:sz="0" w:space="0" w:color="auto"/>
        <w:right w:val="none" w:sz="0" w:space="0" w:color="auto"/>
      </w:divBdr>
    </w:div>
    <w:div w:id="1596858508">
      <w:bodyDiv w:val="1"/>
      <w:marLeft w:val="0"/>
      <w:marRight w:val="0"/>
      <w:marTop w:val="0"/>
      <w:marBottom w:val="0"/>
      <w:divBdr>
        <w:top w:val="none" w:sz="0" w:space="0" w:color="auto"/>
        <w:left w:val="none" w:sz="0" w:space="0" w:color="auto"/>
        <w:bottom w:val="none" w:sz="0" w:space="0" w:color="auto"/>
        <w:right w:val="none" w:sz="0" w:space="0" w:color="auto"/>
      </w:divBdr>
    </w:div>
    <w:div w:id="16076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rtados.hacienda.gob.mx/contabilidad/documentos/informe_cuenta/1998/cuenta_publica/Glosario/n.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nsparenciapresupuestaria.gob.mx/es/PTP/Glosario"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35</Pages>
  <Words>8859</Words>
  <Characters>48730</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7</cp:revision>
  <dcterms:created xsi:type="dcterms:W3CDTF">2023-05-10T00:28:00Z</dcterms:created>
  <dcterms:modified xsi:type="dcterms:W3CDTF">2023-05-18T02:56:00Z</dcterms:modified>
</cp:coreProperties>
</file>