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uno de marzo de dos mil veintitrés.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Visto 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11239/INFOEM/IP/RR/2022</w:t>
      </w:r>
      <w:r w:rsidDel="00000000" w:rsidR="00000000" w:rsidRPr="00000000">
        <w:rPr>
          <w:rFonts w:ascii="Palatino Linotype" w:cs="Palatino Linotype" w:eastAsia="Palatino Linotype" w:hAnsi="Palatino Linotype"/>
          <w:sz w:val="24"/>
          <w:szCs w:val="24"/>
          <w:rtl w:val="0"/>
        </w:rPr>
        <w:t xml:space="preserve">, interpuesto por </w:t>
      </w:r>
      <w:r w:rsidDel="00000000" w:rsidR="00000000" w:rsidRPr="00000000">
        <w:rPr>
          <w:rFonts w:ascii="Palatino Linotype" w:cs="Palatino Linotype" w:eastAsia="Palatino Linotype" w:hAnsi="Palatino Linotype"/>
          <w:b w:val="1"/>
          <w:sz w:val="24"/>
          <w:szCs w:val="24"/>
          <w:rtl w:val="0"/>
        </w:rPr>
        <w:t xml:space="preserve">XXXX XXXXXX X XX XXXXXXXXXXX XXXXXXX XXXXXXXXX XX XXXXXXX</w:t>
      </w:r>
      <w:r w:rsidDel="00000000" w:rsidR="00000000" w:rsidRPr="00000000">
        <w:rPr>
          <w:rFonts w:ascii="Palatino Linotype" w:cs="Palatino Linotype" w:eastAsia="Palatino Linotype" w:hAnsi="Palatino Linotype"/>
          <w:sz w:val="24"/>
          <w:szCs w:val="24"/>
          <w:rtl w:val="0"/>
        </w:rPr>
        <w:t xml:space="preserve">, al cual en lo sucesivo se le denominará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sz w:val="24"/>
          <w:szCs w:val="24"/>
          <w:rtl w:val="0"/>
        </w:rPr>
        <w:t xml:space="preserve">00176/XONACAT/IP/2022</w:t>
      </w:r>
      <w:r w:rsidDel="00000000" w:rsidR="00000000" w:rsidRPr="00000000">
        <w:rPr>
          <w:rFonts w:ascii="Palatino Linotype" w:cs="Palatino Linotype" w:eastAsia="Palatino Linotype" w:hAnsi="Palatino Linotype"/>
          <w:sz w:val="24"/>
          <w:szCs w:val="24"/>
          <w:rtl w:val="0"/>
        </w:rPr>
        <w:t xml:space="preserve"> proporcionada por parte del Ayuntamiento de Xonacatlán,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Solicitud de acceso a la información.</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treinta de mayo de dos mil veintidós</w:t>
      </w:r>
      <w:r w:rsidDel="00000000" w:rsidR="00000000" w:rsidRPr="00000000">
        <w:rPr>
          <w:rFonts w:ascii="Palatino Linotype" w:cs="Palatino Linotype" w:eastAsia="Palatino Linotype" w:hAnsi="Palatino Linotype"/>
          <w:sz w:val="24"/>
          <w:szCs w:val="24"/>
          <w:rtl w:val="0"/>
        </w:rPr>
        <w:t xml:space="preserv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formuló solicitud de acceso a información pública al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en adelante SAIMEX, en la que requirió lo siguiente: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276" w:lineRule="auto"/>
        <w:ind w:left="567" w:right="560" w:firstLine="0"/>
        <w:jc w:val="both"/>
        <w:rPr>
          <w:rFonts w:ascii="Palatino Linotype" w:cs="Palatino Linotype" w:eastAsia="Palatino Linotype" w:hAnsi="Palatino Linotype"/>
          <w:i w:val="1"/>
        </w:rPr>
      </w:pPr>
      <w:bookmarkStart w:colFirst="0" w:colLast="0" w:name="_heading=h.30j0zll" w:id="1"/>
      <w:bookmarkEnd w:id="1"/>
      <w:r w:rsidDel="00000000" w:rsidR="00000000" w:rsidRPr="00000000">
        <w:rPr>
          <w:rFonts w:ascii="Palatino Linotype" w:cs="Palatino Linotype" w:eastAsia="Palatino Linotype" w:hAnsi="Palatino Linotype"/>
          <w:i w:val="1"/>
          <w:rtl w:val="0"/>
        </w:rPr>
        <w:t xml:space="preserve">“Me podrían proporcionar los recibos de nómina de la primera quincena de los meses de enero, febrero, marzo, abril y mayo de ejercicio fiscal dos mil veintidós de todos los trabajadores del H. Ayuntamiento del municipio de Xonacatlán y el DIF municipal””. </w:t>
      </w:r>
    </w:p>
    <w:p w:rsidR="00000000" w:rsidDel="00000000" w:rsidP="00000000" w:rsidRDefault="00000000" w:rsidRPr="00000000" w14:paraId="0000000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Respuesta.</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dos de junio de dos mil veintidós</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envió su respuesta a la solicitud de acceso a la información a través del SAIMEX, la cual versa como sigue:</w:t>
      </w:r>
    </w:p>
    <w:p w:rsidR="00000000" w:rsidDel="00000000" w:rsidP="00000000" w:rsidRDefault="00000000" w:rsidRPr="00000000" w14:paraId="0000000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 50-53 y 163 de la Ley de Transparencia y Acceso a la Información Publica del Estado de México y Municipios, se da contestacion al particular, anexando el oficio de respuesta XON/UT/0264/2022 signado por el C. Nadab Arenas Sosa Titular de la Unidad de Transparencia del H. Ayuntamiento de Xonacatlàn.</w:t>
      </w:r>
    </w:p>
    <w:p w:rsidR="00000000" w:rsidDel="00000000" w:rsidP="00000000" w:rsidRDefault="00000000" w:rsidRPr="00000000" w14:paraId="00000010">
      <w:pPr>
        <w:spacing w:after="0" w:line="360" w:lineRule="auto"/>
        <w:ind w:left="567" w:right="5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Sujeto Obligado a su respuesta adjuntó el documento que se describe a continuación:  </w:t>
      </w:r>
    </w:p>
    <w:p w:rsidR="00000000" w:rsidDel="00000000" w:rsidP="00000000" w:rsidRDefault="00000000" w:rsidRPr="00000000" w14:paraId="0000001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dos de junio de dos mil veintidós, signado por el Titular de la Unidad de Transparencia mediante el cual informa lo siguiente: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manifiesta, que se encuentran cerca de 484 trabajadores, al solicitarse 5 quincenas, da un total aproximado de 2,420 hojas, para localizar, testar, sesionar, elaborar acta de comité de transparencia, colocando cada uno de los datos, discusión y en su caso aprobación de la misma, si bien es cierto, que la respuesta se pretende por sistema SAIMEX, el artículo 158 de la Ley de Transparencia y Acceso a la Información Pública del Estado de México y Municipios, da la opción de hacer la consulta directa en tanto que por el número de lo solicitado implica un análisis, estudio y procesamiento de documentos, mismo que sobrepasa las capacidades técnicas, administrativas del sujeto obligado para cumplir con los plazos establecidos de dichos efectos, por lo que se pone a disposición del solicitante los documentos en consulta directa, salvo la información clasificada…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consulta la puede realizar en la Unidad de Transparencia con dirección en calle Gustavo A. Vicencio S/N, planta baja, Auditorio Municipal, Xonacatlán, Estado de México. Donde le atenderá el Titular de la Unidad de Transparencia Nadab Arenas Sosa. En un horario de 9:00 a las 17:00 del 6 al 10 de junio del presente año. </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993"/>
        </w:tabs>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Particular, derivado de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interpuso Recurso de Revisión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diez de junio de dos mil veintidós</w:t>
      </w:r>
      <w:r w:rsidDel="00000000" w:rsidR="00000000" w:rsidRPr="00000000">
        <w:rPr>
          <w:rFonts w:ascii="Palatino Linotype" w:cs="Palatino Linotype" w:eastAsia="Palatino Linotype" w:hAnsi="Palatino Linotype"/>
          <w:sz w:val="24"/>
          <w:szCs w:val="24"/>
          <w:rtl w:val="0"/>
        </w:rPr>
        <w:t xml:space="preserve">, a través del cual expresó lo siguiente: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Acto impugnado.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El H. Ayuntamiento de Xonacatlan NO PROPORCIONÓ la Información Pública solicitada a través del Sistema de Acceso a la Información Mexiquense SAIMEX”.</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sz w:val="24"/>
          <w:szCs w:val="24"/>
          <w:rtl w:val="0"/>
        </w:rPr>
        <w:t xml:space="preserve">Razones o motivos de la inconformidad: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Lo anterior en virtud de que el H. Ayuntamiento de Xonacatlán a cargo del C. Alfredo Gonzalez Gonzalez Servidor Público a cargo de la Presidencia Municipal, vulnera y transgrede el PRINCIPIO DE MÁXIMA PUBLICIDAD en Materia de Transparencia, Rendición de Cuentas y Acceso a la Información Publica que establece la Constitución Política de los Estados Unidos Mexicanos , así como lo establecido en la Ley General de Transparencia y Acceso a al Información Publica , en el ámbito de su respectiva competencia y obligaciones como SUJETO OBLIGADO. Sin Siquiera haberle dado tramite a mi solicitud de acceso la información publica ni haber realizado el acta correspondiente a través de su comité de transparencia en la cual vierta los fundamentos legales y las razones que lo motivaron ha notificar del cambio de la modalidad de la entrega de la información solicitada en version publica a tarves del Sistema de Accesoa ALa Información MExiquense , dandome como termino el dia de hoy de diez junio a la s17 horas. supuestamenmte por que es mucho trabajo realizar las versiones publicas ademas de que la pagina en su pagina del ipomex la información cargada a la plataforma solo se puede observar la leyenda de N/A no aplica y tampoco se encuentra actualizada al ejercicio fiscal en curso, Alfredo González González Presidente Municipal Jessica de la Luz Rodríguez Méndez Titular del Órgano Interno de Control”.</w:t>
      </w:r>
      <w:r w:rsidDel="00000000" w:rsidR="00000000" w:rsidRPr="00000000">
        <w:rPr>
          <w:rtl w:val="0"/>
        </w:rPr>
      </w:r>
    </w:p>
    <w:p w:rsidR="00000000" w:rsidDel="00000000" w:rsidP="00000000" w:rsidRDefault="00000000" w:rsidRPr="00000000" w14:paraId="0000001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a su Recurso de Revisión adjuntó un documento en el que se observa el apartado de “Información de Interés Público” del Ayuntamiento de Xonacatlán, tal como se prevé a continuación: </w:t>
      </w:r>
    </w:p>
    <w:p w:rsidR="00000000" w:rsidDel="00000000" w:rsidP="00000000" w:rsidRDefault="00000000" w:rsidRPr="00000000" w14:paraId="0000001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0">
      <w:pPr>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4789014" cy="3214300"/>
            <wp:effectExtent b="0" l="0" r="0" t="0"/>
            <wp:docPr id="3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789014" cy="3214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2">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4"/>
          <w:szCs w:val="24"/>
          <w:rtl w:val="0"/>
        </w:rPr>
        <w:t xml:space="preserve">11239/INFOEM/IP/RR/2022</w:t>
      </w:r>
      <w:r w:rsidDel="00000000" w:rsidR="00000000" w:rsidRPr="00000000">
        <w:rPr>
          <w:rFonts w:ascii="Palatino Linotype" w:cs="Palatino Linotype" w:eastAsia="Palatino Linotype" w:hAnsi="Palatino Linotype"/>
          <w:sz w:val="24"/>
          <w:szCs w:val="24"/>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4">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Admisión del recurso de revisión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quince de junio de dos mil veintidós</w:t>
      </w:r>
      <w:r w:rsidDel="00000000" w:rsidR="00000000" w:rsidRPr="00000000">
        <w:rPr>
          <w:rFonts w:ascii="Palatino Linotype" w:cs="Palatino Linotype" w:eastAsia="Palatino Linotype" w:hAnsi="Palatino Linotype"/>
          <w:sz w:val="24"/>
          <w:szCs w:val="24"/>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6">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Informe Justificado. </w:t>
      </w:r>
      <w:r w:rsidDel="00000000" w:rsidR="00000000" w:rsidRPr="00000000">
        <w:rPr>
          <w:rFonts w:ascii="Palatino Linotype" w:cs="Palatino Linotype" w:eastAsia="Palatino Linotype" w:hAnsi="Palatino Linotype"/>
          <w:sz w:val="24"/>
          <w:szCs w:val="24"/>
          <w:rtl w:val="0"/>
        </w:rPr>
        <w:t xml:space="preserve">En fecha </w:t>
      </w:r>
      <w:r w:rsidDel="00000000" w:rsidR="00000000" w:rsidRPr="00000000">
        <w:rPr>
          <w:rFonts w:ascii="Palatino Linotype" w:cs="Palatino Linotype" w:eastAsia="Palatino Linotype" w:hAnsi="Palatino Linotype"/>
          <w:b w:val="1"/>
          <w:sz w:val="24"/>
          <w:szCs w:val="24"/>
          <w:rtl w:val="0"/>
        </w:rPr>
        <w:t xml:space="preserve">veintidós de junio de dos mil veintidós</w:t>
      </w:r>
      <w:r w:rsidDel="00000000" w:rsidR="00000000" w:rsidRPr="00000000">
        <w:rPr>
          <w:rFonts w:ascii="Palatino Linotype" w:cs="Palatino Linotype" w:eastAsia="Palatino Linotype" w:hAnsi="Palatino Linotype"/>
          <w:sz w:val="24"/>
          <w:szCs w:val="24"/>
          <w:rtl w:val="0"/>
        </w:rPr>
        <w:t xml:space="preserve">, el Sujeto Obligado rindió su informe justificado a través del oficio que se describe a continuación: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XON/UT/0319/2022 de fecha veintidós de junio de dos mil veintidós, signado por el Titular de la Unidad de Transparencia mediante el cual informa que el Sujeto Obligado está en disposición de entregar la información solicitada, asimismo, refiere que no se necesita realizar un acta de comité ya que no se solicita un cambio de modalidad, además de existir un fundamento legal en la Ley en la materia.</w:t>
      </w:r>
    </w:p>
    <w:p w:rsidR="00000000" w:rsidDel="00000000" w:rsidP="00000000" w:rsidRDefault="00000000" w:rsidRPr="00000000" w14:paraId="000000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Documento que se puso a disposición del Particular en fecha </w:t>
      </w:r>
      <w:r w:rsidDel="00000000" w:rsidR="00000000" w:rsidRPr="00000000">
        <w:rPr>
          <w:rFonts w:ascii="Palatino Linotype" w:cs="Palatino Linotype" w:eastAsia="Palatino Linotype" w:hAnsi="Palatino Linotype"/>
          <w:b w:val="1"/>
          <w:rtl w:val="0"/>
        </w:rPr>
        <w:t xml:space="preserve">tres de octubre de dos mil veintidós. </w:t>
      </w:r>
    </w:p>
    <w:p w:rsidR="00000000" w:rsidDel="00000000" w:rsidP="00000000" w:rsidRDefault="00000000" w:rsidRPr="00000000" w14:paraId="000000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Particular no realizó manifestaciones al respecto. </w:t>
      </w:r>
    </w:p>
    <w:p w:rsidR="00000000" w:rsidDel="00000000" w:rsidP="00000000" w:rsidRDefault="00000000" w:rsidRPr="00000000" w14:paraId="0000002D">
      <w:pPr>
        <w:numPr>
          <w:ilvl w:val="0"/>
          <w:numId w:val="7"/>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Ampliación de plazo:</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tres de octubre de dos mil veintitrés</w:t>
      </w:r>
      <w:r w:rsidDel="00000000" w:rsidR="00000000" w:rsidRPr="00000000">
        <w:rPr>
          <w:rFonts w:ascii="Palatino Linotype" w:cs="Palatino Linotype" w:eastAsia="Palatino Linotype" w:hAnsi="Palatino Linotype"/>
          <w:sz w:val="24"/>
          <w:szCs w:val="24"/>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9">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a</w:t>
      </w:r>
      <w:r w:rsidDel="00000000" w:rsidR="00000000" w:rsidRPr="00000000">
        <w:rPr>
          <w:rFonts w:ascii="Palatino Linotype" w:cs="Palatino Linotype" w:eastAsia="Palatino Linotype" w:hAnsi="Palatino Linotype"/>
          <w:b w:val="1"/>
          <w:rtl w:val="0"/>
        </w:rPr>
        <w:t xml:space="preserve">)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A">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B">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C">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46">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7">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8">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9">
      <w:pPr>
        <w:spacing w:after="0" w:line="360" w:lineRule="auto"/>
        <w:ind w:left="567" w:right="5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Requerimiento de Información Adicional. </w:t>
      </w:r>
      <w:r w:rsidDel="00000000" w:rsidR="00000000" w:rsidRPr="00000000">
        <w:rPr>
          <w:rFonts w:ascii="Palatino Linotype" w:cs="Palatino Linotype" w:eastAsia="Palatino Linotype" w:hAnsi="Palatino Linotype"/>
          <w:sz w:val="24"/>
          <w:szCs w:val="24"/>
          <w:rtl w:val="0"/>
        </w:rPr>
        <w:t xml:space="preserve">En fecha </w:t>
      </w:r>
      <w:r w:rsidDel="00000000" w:rsidR="00000000" w:rsidRPr="00000000">
        <w:rPr>
          <w:rFonts w:ascii="Palatino Linotype" w:cs="Palatino Linotype" w:eastAsia="Palatino Linotype" w:hAnsi="Palatino Linotype"/>
          <w:b w:val="1"/>
          <w:sz w:val="24"/>
          <w:szCs w:val="24"/>
          <w:rtl w:val="0"/>
        </w:rPr>
        <w:t xml:space="preserve">veinte de febrero de dos mil veintitrés</w:t>
      </w:r>
      <w:r w:rsidDel="00000000" w:rsidR="00000000" w:rsidRPr="00000000">
        <w:rPr>
          <w:rFonts w:ascii="Palatino Linotype" w:cs="Palatino Linotype" w:eastAsia="Palatino Linotype" w:hAnsi="Palatino Linotype"/>
          <w:sz w:val="24"/>
          <w:szCs w:val="24"/>
          <w:rtl w:val="0"/>
        </w:rPr>
        <w:t xml:space="preserve">, con el objeto de contar con los elementos necesarios para la elaboración del proyecto de resolución correspondiente, se le hizo llegar 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un requerimiento de información adicional, en el que se le solicitó lo siguiente: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ind w:left="567" w:right="843" w:firstLine="0"/>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Razones y motivos para no entregar la información a través del Sistema de Acceso a la Información Mexiquense.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Indique si la cantidad de información excede las capacidades del Sistema de Acceso a la Información Mexiquense, esto mediante el reporte de incidencias realizado ante la Dirección General de Informática del INFOEM, para lo cual se invita dé trámite al mismo.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Indique si la información solicitada sobrepasa sus capacidades administrativas y humanas.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i w:val="1"/>
          <w:rtl w:val="0"/>
        </w:rPr>
        <w:t xml:space="preserve">4. En caso afirmativo, indique las razones o motivos por las cuales la información solicitada sobrepasa las capacidades administrativas y humanas para ser proporcionada vía Sistema de Acceso a la Información Mexiquense. </w:t>
      </w:r>
      <w:r w:rsidDel="00000000" w:rsidR="00000000" w:rsidRPr="00000000">
        <w:rPr>
          <w:rFonts w:ascii="Palatino Linotype" w:cs="Palatino Linotype" w:eastAsia="Palatino Linotype" w:hAnsi="Palatino Linotype"/>
          <w:b w:val="1"/>
          <w:i w:val="1"/>
          <w:sz w:val="24"/>
          <w:szCs w:val="24"/>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ind w:left="567"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ind w:left="567" w:right="843" w:firstLine="0"/>
        <w:jc w:val="center"/>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Desahogo del Requerimiento de Información Adicional.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en fecha </w:t>
      </w:r>
      <w:r w:rsidDel="00000000" w:rsidR="00000000" w:rsidRPr="00000000">
        <w:rPr>
          <w:rFonts w:ascii="Palatino Linotype" w:cs="Palatino Linotype" w:eastAsia="Palatino Linotype" w:hAnsi="Palatino Linotype"/>
          <w:b w:val="1"/>
          <w:sz w:val="24"/>
          <w:szCs w:val="24"/>
          <w:rtl w:val="0"/>
        </w:rPr>
        <w:t xml:space="preserve">veintidós de febrero de dos mil veintidós </w:t>
      </w:r>
      <w:r w:rsidDel="00000000" w:rsidR="00000000" w:rsidRPr="00000000">
        <w:rPr>
          <w:rFonts w:ascii="Palatino Linotype" w:cs="Palatino Linotype" w:eastAsia="Palatino Linotype" w:hAnsi="Palatino Linotype"/>
          <w:sz w:val="24"/>
          <w:szCs w:val="24"/>
          <w:rtl w:val="0"/>
        </w:rPr>
        <w:t xml:space="preserve">desahogó el requerimiento de información adicional, en los siguientes términos: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medio de la presente le mando un cordial saludo, a su vez, en mi calidad de Titular de la  Unidad de Transparencia, derivado de la solicitud de información de fecha 20 de febrero de 2023, en tiempo de entrega y atención a lo solicitado, se hace de su conocimiento que la intención de realizar el cambio de modalidad es la de no vulnerar su derecho de acceso a la información, esto debido a que se en referencia al art. 158 de la Ley de Transparencia local manifiesta:</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Por lo que en este supuesto se hace de su conocimiento que para este supuesto no es falta de capacidad técnica, sino humana -administrativa, bajo la motivación de que el particular solicita “recibos de nómina” sobre los cuales es necesario realizar versiones públicas de cada uno de ellos, considerando 10 quincenas multiplicado por el número de trabajadores que existen en el ayuntamiento de Xonacatlán, así como el DIF, a ello se manifiesta que como titular de esta área, no cuento con el personal necesario para desarrollar dicha actividad (se adjunta oficio de la tesorería municipal de este sujeto obligado), aunado a las actividades diarias en materia de transparencia y administrativas propias del área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Sin otro particular al cual referirme quedo a la orden para cualquier duda o aclaración al respecto”.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0">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Cierre de instrucción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veintidós de febrero de dos mil veintitrés</w:t>
      </w:r>
      <w:r w:rsidDel="00000000" w:rsidR="00000000" w:rsidRPr="00000000">
        <w:rPr>
          <w:rFonts w:ascii="Palatino Linotype" w:cs="Palatino Linotype" w:eastAsia="Palatino Linotype" w:hAnsi="Palatino Linotype"/>
          <w:sz w:val="24"/>
          <w:szCs w:val="24"/>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4">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remitió la respuesta a la solicitud de información el </w:t>
      </w:r>
      <w:r w:rsidDel="00000000" w:rsidR="00000000" w:rsidRPr="00000000">
        <w:rPr>
          <w:rFonts w:ascii="Palatino Linotype" w:cs="Palatino Linotype" w:eastAsia="Palatino Linotype" w:hAnsi="Palatino Linotype"/>
          <w:b w:val="1"/>
          <w:sz w:val="24"/>
          <w:szCs w:val="24"/>
          <w:rtl w:val="0"/>
        </w:rPr>
        <w:t xml:space="preserve">dos de junio de dos mil veintidós</w:t>
      </w:r>
      <w:r w:rsidDel="00000000" w:rsidR="00000000" w:rsidRPr="00000000">
        <w:rPr>
          <w:rFonts w:ascii="Palatino Linotype" w:cs="Palatino Linotype" w:eastAsia="Palatino Linotype" w:hAnsi="Palatino Linotype"/>
          <w:sz w:val="24"/>
          <w:szCs w:val="24"/>
          <w:rtl w:val="0"/>
        </w:rPr>
        <w:t xml:space="preserve">, mientras que el recurso de revisión interpuesto por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se tuvo por presentado el </w:t>
      </w:r>
      <w:r w:rsidDel="00000000" w:rsidR="00000000" w:rsidRPr="00000000">
        <w:rPr>
          <w:rFonts w:ascii="Palatino Linotype" w:cs="Palatino Linotype" w:eastAsia="Palatino Linotype" w:hAnsi="Palatino Linotype"/>
          <w:b w:val="1"/>
          <w:sz w:val="24"/>
          <w:szCs w:val="24"/>
          <w:rtl w:val="0"/>
        </w:rPr>
        <w:t xml:space="preserve">diez de junio de dos mil veintidós</w:t>
      </w:r>
      <w:r w:rsidDel="00000000" w:rsidR="00000000" w:rsidRPr="00000000">
        <w:rPr>
          <w:rFonts w:ascii="Palatino Linotype" w:cs="Palatino Linotype" w:eastAsia="Palatino Linotype" w:hAnsi="Palatino Linotype"/>
          <w:sz w:val="24"/>
          <w:szCs w:val="24"/>
          <w:rtl w:val="0"/>
        </w:rPr>
        <w:t xml:space="preserve">, esto es al octavo día en que se tuvo conocimiento de la respuesta. </w:t>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así como la fecha en que se interpuso el recurso de revisión, se concluye que el presente recurso de revisión se encuentra dentro de los márgenes temporales previstos en las disposiciones legales referidas. </w:t>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 suma importancia mencionar que si bien la parte proporcionó un seudónimo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0">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w:t>
      </w:r>
      <w:r w:rsidDel="00000000" w:rsidR="00000000" w:rsidRPr="00000000">
        <w:rPr>
          <w:rFonts w:ascii="Palatino Linotype" w:cs="Palatino Linotype" w:eastAsia="Palatino Linotype" w:hAnsi="Palatino Linotype"/>
          <w:b w:val="1"/>
          <w:i w:val="1"/>
          <w:u w:val="single"/>
          <w:rtl w:val="0"/>
        </w:rPr>
        <w:t xml:space="preserve">seudónimo</w:t>
      </w:r>
      <w:r w:rsidDel="00000000" w:rsidR="00000000" w:rsidRPr="00000000">
        <w:rPr>
          <w:rFonts w:ascii="Palatino Linotype" w:cs="Palatino Linotype" w:eastAsia="Palatino Linotype" w:hAnsi="Palatino Linotype"/>
          <w:i w:val="1"/>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de revisión al rubro anotado, toda vez que se actualiza la hipótesis de procedencia prevista en el artículo 179, fracción VIII de la Ley de la materia, que a la letra dice:</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notificación, entrega o puesta a disposición de información en una modalidad o formato distinto al solicitado;” (Sic)</w:t>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w:t>
      </w:r>
      <w:r w:rsidDel="00000000" w:rsidR="00000000" w:rsidRPr="00000000">
        <w:rPr>
          <w:rFonts w:ascii="Palatino Linotype" w:cs="Palatino Linotype" w:eastAsia="Palatino Linotype" w:hAnsi="Palatino Linotype"/>
          <w:sz w:val="24"/>
          <w:szCs w:val="24"/>
          <w:rtl w:val="0"/>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VIII  del artículo 179 de la Ley en la materia. </w:t>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Estudio de fondo del asunto.</w:t>
      </w:r>
      <w:r w:rsidDel="00000000" w:rsidR="00000000" w:rsidRPr="00000000">
        <w:rPr>
          <w:rFonts w:ascii="Palatino Linotype" w:cs="Palatino Linotype" w:eastAsia="Palatino Linotype" w:hAnsi="Palatino Linotype"/>
          <w:sz w:val="24"/>
          <w:szCs w:val="24"/>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7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0">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8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8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8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w:t>
      </w:r>
    </w:p>
    <w:p w:rsidR="00000000" w:rsidDel="00000000" w:rsidP="00000000" w:rsidRDefault="00000000" w:rsidRPr="00000000" w14:paraId="0000008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8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8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8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8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VII. La inobservancia a las disposiciones en materia de acceso a la información pública será sancionada en los términos que dispongan las leyes. [...]</w:t>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90">
      <w:pPr>
        <w:spacing w:after="0" w:line="360" w:lineRule="auto"/>
        <w:ind w:left="567" w:right="560"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9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09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8">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03/17. 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99">
      <w:pPr>
        <w:spacing w:after="0" w:line="360" w:lineRule="auto"/>
        <w:ind w:left="567" w:right="560"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F">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A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5">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A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A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A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A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A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A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las actuaciones que integran el expediente electrónico, se procede al análisis de los agravios hechos valer por el Recurrente, relativos a la entrega o puesta a disposición de la información, en un formato o modalidad distinto al solicitado, lo que actualiza la causal de procedencia prevista en la fracción VIII del artículo 179 de la Ley de Transparencia y Acceso a la Información Pública del Estado de México y Municipios. </w:t>
      </w:r>
    </w:p>
    <w:p w:rsidR="00000000" w:rsidDel="00000000" w:rsidP="00000000" w:rsidRDefault="00000000" w:rsidRPr="00000000" w14:paraId="000000A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ello, en principio resulta recordar que la pretensión del ahora Recurrente es obtener la siguiente información: </w:t>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1">
      <w:pPr>
        <w:numPr>
          <w:ilvl w:val="0"/>
          <w:numId w:val="1"/>
        </w:num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Recibos de nómina de la primera quincena de los meses de enero, febrero, marzo, abril y mayo de ejercicio fiscal dos mil veintidós de todos los trabajadores del Ayuntamiento y del DIF Municipal.</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851"/>
          <w:tab w:val="left" w:leader="none" w:pos="993"/>
        </w:tabs>
        <w:spacing w:after="0" w:line="360" w:lineRule="auto"/>
        <w:ind w:left="567" w:right="49"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Sujeto Obligado en respuesta refirió que se encuentran trabajando aproximadamente 484 trabajadores, por lo que, al solicitarse cinco quincenas, daría un aproximado de </w:t>
      </w:r>
      <w:r w:rsidDel="00000000" w:rsidR="00000000" w:rsidRPr="00000000">
        <w:rPr>
          <w:rFonts w:ascii="Palatino Linotype" w:cs="Palatino Linotype" w:eastAsia="Palatino Linotype" w:hAnsi="Palatino Linotype"/>
          <w:b w:val="1"/>
          <w:sz w:val="24"/>
          <w:szCs w:val="24"/>
          <w:rtl w:val="0"/>
        </w:rPr>
        <w:t xml:space="preserve">2,420 hojas</w:t>
      </w:r>
      <w:r w:rsidDel="00000000" w:rsidR="00000000" w:rsidRPr="00000000">
        <w:rPr>
          <w:rFonts w:ascii="Palatino Linotype" w:cs="Palatino Linotype" w:eastAsia="Palatino Linotype" w:hAnsi="Palatino Linotype"/>
          <w:sz w:val="24"/>
          <w:szCs w:val="24"/>
          <w:rtl w:val="0"/>
        </w:rPr>
        <w:t xml:space="preserve">, para localizar, testar, sesionar y elaborar el acta del comité de transparencia, colocando cada uno de los datos, discusión y en su caso aprobación de la misma, es por ello que, si bien la respuesta del Particular se solicitó vía Sistema de Acceso a la Información Mexiquense, también lo es que el artículo 158 de la Ley en la materia da la opción de hacer la consulta directa en tanto que por el número de lo solicitado implique un análisis, estudio y procesamiento de documentos, mismos que sobrepasa las capacidades técnicas administrativas del sujeto obligado, situación que lleva a poner la información solicitada en las instalaciones de la Unidad de Transparencia. </w:t>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Derivado de ello, el Particular se inconformó arguyendo que no se le había proporcionado la información pública solicitada a través del Sistema de Acceso a la Información Mexiquense.</w:t>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Posteriormente, el Sujeto Obligado en el desahogo del requerimiento de información adicional precisó que no existía falta de capacidad técnica sino humana-administrativa, bajo la motivación de que el particular solicita “recibos de nómina” sobre los cuales es necesario realizar versiones públicas de cada uno de ellos, considerando diez quincenas multiplicado por el número de trabajadores que existen en el Ayuntamiento de Xonacatlán así como el DIF, por lo que, el titular de la Unidad de Transparencia no cuenta con el personal necesario para desarrollar dicha actividad, aunado a las actividades diarias en materia de transparencia y administrativas propias del área. </w:t>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se procede a contextualizar la información solicitada, siendo que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0B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relación con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1">
      <w:pPr>
        <w:spacing w:after="0" w:line="276" w:lineRule="auto"/>
        <w:ind w:left="567"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General de Transparencia y Acceso a la Información Pública</w:t>
      </w:r>
    </w:p>
    <w:p w:rsidR="00000000" w:rsidDel="00000000" w:rsidP="00000000" w:rsidRDefault="00000000" w:rsidRPr="00000000" w14:paraId="000000C2">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3">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70.</w:t>
      </w:r>
      <w:r w:rsidDel="00000000" w:rsidR="00000000" w:rsidRPr="00000000">
        <w:rPr>
          <w:rFonts w:ascii="Palatino Linotype" w:cs="Palatino Linotype" w:eastAsia="Palatino Linotype" w:hAnsi="Palatino Linotype"/>
          <w:i w:val="1"/>
          <w:rtl w:val="0"/>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C4">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5">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C6">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7">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8">
      <w:pPr>
        <w:spacing w:after="0" w:line="276" w:lineRule="auto"/>
        <w:ind w:left="567" w:right="843" w:firstLine="0"/>
        <w:jc w:val="center"/>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Ley de Transparencia y Acceso a la Información Pública del Estado de México y Municipios</w:t>
      </w:r>
    </w:p>
    <w:p w:rsidR="00000000" w:rsidDel="00000000" w:rsidP="00000000" w:rsidRDefault="00000000" w:rsidRPr="00000000" w14:paraId="000000C9">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CA">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CB">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CC">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0CD">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CE">
      <w:pPr>
        <w:spacing w:after="0" w:line="276" w:lineRule="auto"/>
        <w:ind w:right="843"/>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C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la Ley del Trabajo de los Servidores Públicos del Estado y Municipios, en su artículo 220 K, fracciones II y IV, establece que: </w:t>
      </w:r>
    </w:p>
    <w:p w:rsidR="00000000" w:rsidDel="00000000" w:rsidP="00000000" w:rsidRDefault="00000000" w:rsidRPr="00000000" w14:paraId="000000D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1">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220 K</w:t>
      </w:r>
      <w:r w:rsidDel="00000000" w:rsidR="00000000" w:rsidRPr="00000000">
        <w:rPr>
          <w:rFonts w:ascii="Palatino Linotype" w:cs="Palatino Linotype" w:eastAsia="Palatino Linotype" w:hAnsi="Palatino Linotype"/>
          <w:i w:val="1"/>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D2">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3">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II. Recibos de pagos de salarios o las constancias documentales del pago de salario cuando sea por depósito o mediante información electrónica;</w:t>
      </w:r>
      <w:r w:rsidDel="00000000" w:rsidR="00000000" w:rsidRPr="00000000">
        <w:rPr>
          <w:rtl w:val="0"/>
        </w:rPr>
      </w:r>
    </w:p>
    <w:p w:rsidR="00000000" w:rsidDel="00000000" w:rsidP="00000000" w:rsidRDefault="00000000" w:rsidRPr="00000000" w14:paraId="000000D4">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D5">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0D6">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del precepto normativo se advierte que entre los documentos que tiene la obligación de conservar el Sujeto Obligado, se encuentran los </w:t>
      </w:r>
      <w:r w:rsidDel="00000000" w:rsidR="00000000" w:rsidRPr="00000000">
        <w:rPr>
          <w:rFonts w:ascii="Palatino Linotype" w:cs="Palatino Linotype" w:eastAsia="Palatino Linotype" w:hAnsi="Palatino Linotype"/>
          <w:b w:val="1"/>
          <w:sz w:val="24"/>
          <w:szCs w:val="24"/>
          <w:rtl w:val="0"/>
        </w:rPr>
        <w:t xml:space="preserve">recibos de pago de salarios o las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constancias documentales del pago de sueldos</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D9">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D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relación con el Bando Municipal del Ayuntamiento de Xonacatlán, se establece en su artículo 52 que para el ejercicio de las atribuciones encomendadas al Ayuntamiento, este se auxiliará de las dependencias administrativas que sean aprobadas por el Cabildo a propuesta del Presidente Municipal, entre las cuales se encuentran las siguientes: </w:t>
      </w:r>
    </w:p>
    <w:p w:rsidR="00000000" w:rsidDel="00000000" w:rsidP="00000000" w:rsidRDefault="00000000" w:rsidRPr="00000000" w14:paraId="000000D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52.-</w:t>
      </w:r>
      <w:r w:rsidDel="00000000" w:rsidR="00000000" w:rsidRPr="00000000">
        <w:rPr>
          <w:rFonts w:ascii="Palatino Linotype" w:cs="Palatino Linotype" w:eastAsia="Palatino Linotype" w:hAnsi="Palatino Linotype"/>
          <w:i w:val="1"/>
          <w:rtl w:val="0"/>
        </w:rPr>
        <w:t xml:space="preserve"> Para el ejercicio de sus atribuciones y responsabilidades ejecutivas, el Ayuntamiento se auxiliará de las dependencias administrativas que sean aprobadas por el Cabildo a propuesta del Presidente Municipal, las cuales en todo momento estarán subordinadas al Presidente Municipal, siendo las siguientes: </w:t>
      </w:r>
    </w:p>
    <w:p w:rsidR="00000000" w:rsidDel="00000000" w:rsidP="00000000" w:rsidRDefault="00000000" w:rsidRPr="00000000" w14:paraId="000000DD">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Unidades Administrativas:</w:t>
      </w:r>
    </w:p>
    <w:p w:rsidR="00000000" w:rsidDel="00000000" w:rsidP="00000000" w:rsidRDefault="00000000" w:rsidRPr="00000000" w14:paraId="000000D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F">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XVI. Dirección de Administración y Desarrollo de Personal</w:t>
      </w:r>
    </w:p>
    <w:p w:rsidR="00000000" w:rsidDel="00000000" w:rsidP="00000000" w:rsidRDefault="00000000" w:rsidRPr="00000000" w14:paraId="000000E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colige que el Sujeto Obligado, cuenta con las competencias, facultades y atribuciones para conocer, administrar y generar la información relacionada con la nómina de los servidores públicos referidos por el Recurrente en su solicitud de información. </w:t>
      </w:r>
    </w:p>
    <w:p w:rsidR="00000000" w:rsidDel="00000000" w:rsidP="00000000" w:rsidRDefault="00000000" w:rsidRPr="00000000" w14:paraId="000000E3">
      <w:pPr>
        <w:spacing w:line="276" w:lineRule="auto"/>
        <w:ind w:right="56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ab/>
        <w:t xml:space="preserve">Del cambio de modalidad.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principio, es de recordar que el Recurrente al momento de presentar la solicitud de información que dio origen al Recurso de Revisión que nos ocupa, eligió como modalidad de entrega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“Sistema de Acceso a la Información Pública Mexiquense”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tal como se aprecia a continuación:</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56275" cy="1972310"/>
            <wp:effectExtent b="0" l="0" r="0" t="0"/>
            <wp:docPr id="3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56275" cy="19723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1574800</wp:posOffset>
                </wp:positionV>
                <wp:extent cx="5762625" cy="447675"/>
                <wp:effectExtent b="0" l="0" r="0" t="0"/>
                <wp:wrapNone/>
                <wp:docPr id="30" name=""/>
                <a:graphic>
                  <a:graphicData uri="http://schemas.microsoft.com/office/word/2010/wordprocessingShape">
                    <wps:wsp>
                      <wps:cNvSpPr/>
                      <wps:cNvPr id="2" name="Shape 2"/>
                      <wps:spPr>
                        <a:xfrm>
                          <a:off x="2483738" y="3575213"/>
                          <a:ext cx="5724525" cy="4095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1574800</wp:posOffset>
                </wp:positionV>
                <wp:extent cx="5762625" cy="447675"/>
                <wp:effectExtent b="0" l="0" r="0" t="0"/>
                <wp:wrapNone/>
                <wp:docPr id="30"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762625" cy="447675"/>
                        </a:xfrm>
                        <a:prstGeom prst="rect"/>
                        <a:ln/>
                      </pic:spPr>
                    </pic:pic>
                  </a:graphicData>
                </a:graphic>
              </wp:anchor>
            </w:drawing>
          </mc:Fallback>
        </mc:AlternateConten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rsidR="00000000" w:rsidDel="00000000" w:rsidP="00000000" w:rsidRDefault="00000000" w:rsidRPr="00000000" w14:paraId="000000EA">
      <w:pPr>
        <w:spacing w:line="276"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155.</w:t>
      </w:r>
      <w:r w:rsidDel="00000000" w:rsidR="00000000" w:rsidRPr="00000000">
        <w:rPr>
          <w:rFonts w:ascii="Palatino Linotype" w:cs="Palatino Linotype" w:eastAsia="Palatino Linotype" w:hAnsi="Palatino Linotype"/>
          <w:i w:val="1"/>
          <w:rtl w:val="0"/>
        </w:rPr>
        <w:t xml:space="preserve"> Para presentar una solicitud por escrito, no se podrán exigir mayores requisitos que los siguientes:</w:t>
      </w:r>
    </w:p>
    <w:p w:rsidR="00000000" w:rsidDel="00000000" w:rsidP="00000000" w:rsidRDefault="00000000" w:rsidRPr="00000000" w14:paraId="000000EC">
      <w:pPr>
        <w:spacing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D">
      <w:pPr>
        <w:spacing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000000" w:rsidDel="00000000" w:rsidP="00000000" w:rsidRDefault="00000000" w:rsidRPr="00000000" w14:paraId="000000EE">
      <w:pPr>
        <w:spacing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F">
      <w:pPr>
        <w:spacing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0">
      <w:pPr>
        <w:spacing w:after="0" w:line="360" w:lineRule="auto"/>
        <w:ind w:right="-28"/>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El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sz w:val="24"/>
          <w:szCs w:val="24"/>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000000" w:rsidDel="00000000" w:rsidP="00000000" w:rsidRDefault="00000000" w:rsidRPr="00000000" w14:paraId="000000F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Del="00000000" w:rsidR="00000000" w:rsidRPr="00000000">
        <w:rPr>
          <w:rFonts w:ascii="Palatino Linotype" w:cs="Palatino Linotype" w:eastAsia="Palatino Linotype" w:hAnsi="Palatino Linotype"/>
          <w:b w:val="1"/>
          <w:sz w:val="24"/>
          <w:szCs w:val="24"/>
          <w:rtl w:val="0"/>
        </w:rPr>
        <w:t xml:space="preserve">se deberá fundar y motivar dicha necesidad</w:t>
      </w:r>
      <w:r w:rsidDel="00000000" w:rsidR="00000000" w:rsidRPr="00000000">
        <w:rPr>
          <w:rFonts w:ascii="Palatino Linotype" w:cs="Palatino Linotype" w:eastAsia="Palatino Linotype" w:hAnsi="Palatino Linotype"/>
          <w:sz w:val="24"/>
          <w:szCs w:val="24"/>
          <w:rtl w:val="0"/>
        </w:rPr>
        <w:t xml:space="preserve">, como se advierte a continuación: </w:t>
      </w:r>
    </w:p>
    <w:p w:rsidR="00000000" w:rsidDel="00000000" w:rsidP="00000000" w:rsidRDefault="00000000" w:rsidRPr="00000000" w14:paraId="000000F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4">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164.</w:t>
      </w:r>
      <w:r w:rsidDel="00000000" w:rsidR="00000000" w:rsidRPr="00000000">
        <w:rPr>
          <w:rFonts w:ascii="Palatino Linotype" w:cs="Palatino Linotype" w:eastAsia="Palatino Linotype" w:hAnsi="Palatino Linotype"/>
          <w:i w:val="1"/>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F5">
      <w:pPr>
        <w:spacing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cualquier caso, se deberá fundar y motivar la necesidad de ofrecer otras modalidades.</w:t>
      </w:r>
    </w:p>
    <w:p w:rsidR="00000000" w:rsidDel="00000000" w:rsidP="00000000" w:rsidRDefault="00000000" w:rsidRPr="00000000" w14:paraId="000000F6">
      <w:pPr>
        <w:spacing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rsidR="00000000" w:rsidDel="00000000" w:rsidP="00000000" w:rsidRDefault="00000000" w:rsidRPr="00000000" w14:paraId="000000F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Del="00000000" w:rsidR="00000000" w:rsidRPr="00000000">
        <w:rPr>
          <w:rFonts w:ascii="Palatino Linotype" w:cs="Palatino Linotype" w:eastAsia="Palatino Linotype" w:hAnsi="Palatino Linotype"/>
          <w:b w:val="1"/>
          <w:sz w:val="24"/>
          <w:szCs w:val="24"/>
          <w:rtl w:val="0"/>
        </w:rPr>
        <w:t xml:space="preserve">se acredite la imposibilidad de atenderla. </w:t>
      </w:r>
    </w:p>
    <w:p w:rsidR="00000000" w:rsidDel="00000000" w:rsidP="00000000" w:rsidRDefault="00000000" w:rsidRPr="00000000" w14:paraId="000000FA">
      <w:pPr>
        <w:spacing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F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rsidR="00000000" w:rsidDel="00000000" w:rsidP="00000000" w:rsidRDefault="00000000" w:rsidRPr="00000000" w14:paraId="000000F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D">
      <w:pPr>
        <w:spacing w:line="276" w:lineRule="auto"/>
        <w:ind w:left="567" w:right="567"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Del="00000000" w:rsidR="00000000" w:rsidRPr="00000000">
        <w:rPr>
          <w:rFonts w:ascii="Palatino Linotype" w:cs="Palatino Linotype" w:eastAsia="Palatino Linotype" w:hAnsi="Palatino Linotype"/>
          <w:b w:val="1"/>
          <w:i w:val="1"/>
          <w:u w:val="single"/>
          <w:rtl w:val="0"/>
        </w:rPr>
        <w:t xml:space="preserve">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FE">
      <w:pPr>
        <w:spacing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w:t>
      </w:r>
    </w:p>
    <w:p w:rsidR="00000000" w:rsidDel="00000000" w:rsidP="00000000" w:rsidRDefault="00000000" w:rsidRPr="00000000" w14:paraId="0000010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que ahora nos ocupa, este Organismo Garante notificó al Ayuntamiento un requerimiento de información adicional, con la finalidad de obtener mayores elementos para resolver el presente asunto, el cual desahogó arguyendo que: </w:t>
      </w:r>
    </w:p>
    <w:p w:rsidR="00000000" w:rsidDel="00000000" w:rsidP="00000000" w:rsidRDefault="00000000" w:rsidRPr="00000000" w14:paraId="0000010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existía falta de capacidad técnica, sino humana-administrativa. </w:t>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la información se trataba de diez quincenas multiplicado por el número de trabajadores y;</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Titular de la Unidad de Transparencia no contaba con el personal necesario para desarrollar dicha actividad. </w:t>
      </w:r>
    </w:p>
    <w:p w:rsidR="00000000" w:rsidDel="00000000" w:rsidP="00000000" w:rsidRDefault="00000000" w:rsidRPr="00000000" w14:paraId="0000010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esta Ponencia solicitó a la Dirección General de Informática tuviera a bien informar si existía algún reporte de incidencias por parte del Sujeto Obligado; unidad administrativa que refirió que </w:t>
      </w:r>
      <w:r w:rsidDel="00000000" w:rsidR="00000000" w:rsidRPr="00000000">
        <w:rPr>
          <w:rFonts w:ascii="Palatino Linotype" w:cs="Palatino Linotype" w:eastAsia="Palatino Linotype" w:hAnsi="Palatino Linotype"/>
          <w:b w:val="1"/>
          <w:sz w:val="24"/>
          <w:szCs w:val="24"/>
          <w:u w:val="single"/>
          <w:rtl w:val="0"/>
        </w:rPr>
        <w:t xml:space="preserve">no se había encontrado llamado o el registro correspondiente</w:t>
      </w:r>
      <w:r w:rsidDel="00000000" w:rsidR="00000000" w:rsidRPr="00000000">
        <w:rPr>
          <w:rFonts w:ascii="Palatino Linotype" w:cs="Palatino Linotype" w:eastAsia="Palatino Linotype" w:hAnsi="Palatino Linotype"/>
          <w:sz w:val="24"/>
          <w:szCs w:val="24"/>
          <w:rtl w:val="0"/>
        </w:rPr>
        <w:t xml:space="preserve">, tal como se observa a continuación: </w:t>
      </w:r>
    </w:p>
    <w:p w:rsidR="00000000" w:rsidDel="00000000" w:rsidP="00000000" w:rsidRDefault="00000000" w:rsidRPr="00000000" w14:paraId="0000010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756275" cy="1952625"/>
            <wp:effectExtent b="0" l="0" r="0" t="0"/>
            <wp:docPr id="3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562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también resulta importante destacar que de conformidad con la Dirección General de Informática, el peso máximo de archivos que soporta el Sistema de Acceso a la Información Mexiquense para adjuntar como respuesta a las solicitudes de información, tiene un soporte tecnológico de hasta 500Mg o un equivalente de hasta 8,000 hojas, convencionales bajo parámetros de escaneo en resolución máxima de 150 Dpi’s, escala de grises y formato PDF, tal como se aprecia a continuación: </w:t>
      </w:r>
    </w:p>
    <w:p w:rsidR="00000000" w:rsidDel="00000000" w:rsidP="00000000" w:rsidRDefault="00000000" w:rsidRPr="00000000" w14:paraId="000001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756275" cy="1207135"/>
            <wp:effectExtent b="0" l="0" r="0" t="0"/>
            <wp:docPr id="3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56275" cy="120713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este Organismo Garante precisa que, en cuanto hace a las capacidades técnicas del Sistema de Acceso a la Información Mexiquense, este no se encuentra rebasado por el cúmulo de información del Sujeto Obligado, ya que únicamente asciende a un total de 2,420 hojas, información que soporta el sistema. </w:t>
      </w:r>
    </w:p>
    <w:p w:rsidR="00000000" w:rsidDel="00000000" w:rsidP="00000000" w:rsidRDefault="00000000" w:rsidRPr="00000000" w14:paraId="0000011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el Sujeto Obligado al no justificar que la información requerida sobrepasaba las capacidades técnicas del Sistema de Acceso a la Información Mexiquense, al no indicar un número de fojas mayor al que soporta y al no haberse realizado el procedimiento de registro de incidencias correspondiente, no se actualiza el supuesto que indique que se exceden las capacidades técnicas. </w:t>
      </w:r>
    </w:p>
    <w:p w:rsidR="00000000" w:rsidDel="00000000" w:rsidP="00000000" w:rsidRDefault="00000000" w:rsidRPr="00000000" w14:paraId="00000112">
      <w:pPr>
        <w:spacing w:after="0" w:line="360" w:lineRule="auto"/>
        <w:ind w:right="49"/>
        <w:jc w:val="both"/>
        <w:rPr>
          <w:rFonts w:ascii="Palatino Linotype" w:cs="Palatino Linotype" w:eastAsia="Palatino Linotype" w:hAnsi="Palatino Linotype"/>
          <w:b w:val="1"/>
          <w:sz w:val="24"/>
          <w:szCs w:val="24"/>
          <w:u w:val="single"/>
        </w:rPr>
      </w:pPr>
      <w:r w:rsidDel="00000000" w:rsidR="00000000" w:rsidRPr="00000000">
        <w:rPr>
          <w:rtl w:val="0"/>
        </w:rPr>
      </w:r>
    </w:p>
    <w:p w:rsidR="00000000" w:rsidDel="00000000" w:rsidP="00000000" w:rsidRDefault="00000000" w:rsidRPr="00000000" w14:paraId="0000011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es de destacar que si bien, el Sujeto Obligado refirió constantemente que no se trataba de incapacidad técnica, sino administrativa y humana, ya que no se contaba con el personal necesario pues se trataban de 2420 fojas para analizar y elaborar versiones públicas, también lo es que, </w:t>
      </w:r>
      <w:r w:rsidDel="00000000" w:rsidR="00000000" w:rsidRPr="00000000">
        <w:rPr>
          <w:rFonts w:ascii="Palatino Linotype" w:cs="Palatino Linotype" w:eastAsia="Palatino Linotype" w:hAnsi="Palatino Linotype"/>
          <w:b w:val="1"/>
          <w:sz w:val="24"/>
          <w:szCs w:val="24"/>
          <w:rtl w:val="0"/>
        </w:rPr>
        <w:t xml:space="preserve">no aportó mayores elementos que permitan a este Organismo determinar que efectivamente, existen impedimentos administrativos y humanos para entregar la información requerida.</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1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5">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116">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numPr>
          <w:ilvl w:val="0"/>
          <w:numId w:val="5"/>
        </w:numPr>
        <w:spacing w:after="0" w:line="360" w:lineRule="auto"/>
        <w:ind w:left="720" w:right="90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razones por las cuales la información implicaba un análisis, estudio o procesamiento de datos;</w:t>
      </w:r>
    </w:p>
    <w:p w:rsidR="00000000" w:rsidDel="00000000" w:rsidP="00000000" w:rsidRDefault="00000000" w:rsidRPr="00000000" w14:paraId="00000118">
      <w:pPr>
        <w:numPr>
          <w:ilvl w:val="0"/>
          <w:numId w:val="5"/>
        </w:numPr>
        <w:spacing w:after="0" w:line="360" w:lineRule="auto"/>
        <w:ind w:left="720" w:right="90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qué motivo el tiempo, que se le otorga al Sujeto Obligado para dar respuesta, en la modalidad elegida a la solicitud de información, no le es suficiente, y</w:t>
      </w:r>
    </w:p>
    <w:p w:rsidR="00000000" w:rsidDel="00000000" w:rsidP="00000000" w:rsidRDefault="00000000" w:rsidRPr="00000000" w14:paraId="00000119">
      <w:pPr>
        <w:numPr>
          <w:ilvl w:val="0"/>
          <w:numId w:val="5"/>
        </w:numPr>
        <w:spacing w:after="0" w:line="360" w:lineRule="auto"/>
        <w:ind w:left="720" w:right="90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 cantidad de recursos humanos y materiales con los que cuenta el Sujeto Obligado son insuficientes.</w:t>
      </w:r>
    </w:p>
    <w:p w:rsidR="00000000" w:rsidDel="00000000" w:rsidP="00000000" w:rsidRDefault="00000000" w:rsidRPr="00000000" w14:paraId="0000011A">
      <w:pPr>
        <w:spacing w:after="0" w:line="360" w:lineRule="auto"/>
        <w:ind w:left="720" w:right="90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contexto, es de señalar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no señaló de manera puntual</w:t>
      </w:r>
      <w:r w:rsidDel="00000000" w:rsidR="00000000" w:rsidRPr="00000000">
        <w:rPr>
          <w:sz w:val="24"/>
          <w:szCs w:val="24"/>
          <w:rtl w:val="0"/>
        </w:rPr>
        <w:t xml:space="preserve"> las </w:t>
      </w:r>
      <w:r w:rsidDel="00000000" w:rsidR="00000000" w:rsidRPr="00000000">
        <w:rPr>
          <w:rFonts w:ascii="Palatino Linotype" w:cs="Palatino Linotype" w:eastAsia="Palatino Linotype" w:hAnsi="Palatino Linotype"/>
          <w:sz w:val="24"/>
          <w:szCs w:val="24"/>
          <w:rtl w:val="0"/>
        </w:rPr>
        <w:t xml:space="preserve">imposibilidades para dar atención a la solicitud, esto en observancia a las siguientes circunstancias:</w:t>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D">
      <w:pPr>
        <w:numPr>
          <w:ilvl w:val="0"/>
          <w:numId w:val="6"/>
        </w:numPr>
        <w:pBdr>
          <w:top w:space="0" w:sz="0" w:val="nil"/>
          <w:left w:space="0" w:sz="0" w:val="nil"/>
          <w:bottom w:space="0" w:sz="0" w:val="nil"/>
          <w:right w:space="0" w:sz="0" w:val="nil"/>
          <w:between w:space="0" w:sz="0" w:val="nil"/>
        </w:pBdr>
        <w:spacing w:after="0" w:line="360" w:lineRule="auto"/>
        <w:ind w:left="780" w:right="90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formato, en que se encontraba la información, es decir, de manera digital o física, y</w:t>
      </w:r>
    </w:p>
    <w:p w:rsidR="00000000" w:rsidDel="00000000" w:rsidP="00000000" w:rsidRDefault="00000000" w:rsidRPr="00000000" w14:paraId="0000011E">
      <w:pPr>
        <w:numPr>
          <w:ilvl w:val="0"/>
          <w:numId w:val="6"/>
        </w:numPr>
        <w:pBdr>
          <w:top w:space="0" w:sz="0" w:val="nil"/>
          <w:left w:space="0" w:sz="0" w:val="nil"/>
          <w:bottom w:space="0" w:sz="0" w:val="nil"/>
          <w:right w:space="0" w:sz="0" w:val="nil"/>
          <w:between w:space="0" w:sz="0" w:val="nil"/>
        </w:pBdr>
        <w:spacing w:after="0" w:line="360" w:lineRule="auto"/>
        <w:ind w:left="780" w:right="900" w:hanging="360"/>
        <w:jc w:val="both"/>
        <w:rPr>
          <w:rFonts w:ascii="Palatino Linotype" w:cs="Palatino Linotype" w:eastAsia="Palatino Linotype" w:hAnsi="Palatino Linotype"/>
          <w:b w:val="1"/>
          <w:u w:val="single"/>
        </w:rPr>
      </w:pPr>
      <w:bookmarkStart w:colFirst="0" w:colLast="0" w:name="_heading=h.2et92p0" w:id="2"/>
      <w:bookmarkEnd w:id="2"/>
      <w:r w:rsidDel="00000000" w:rsidR="00000000" w:rsidRPr="00000000">
        <w:rPr>
          <w:rFonts w:ascii="Palatino Linotype" w:cs="Palatino Linotype" w:eastAsia="Palatino Linotype" w:hAnsi="Palatino Linotype"/>
          <w:rtl w:val="0"/>
        </w:rPr>
        <w:t xml:space="preserve">Tampoco acreditó que lo peticionado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como se refirió, no se precisó el número de personas que se encontraban en las áreas, ni el formato, o bien, si lo peticionado, se encontraba en uno o varios expedientes; esto es, </w:t>
      </w:r>
      <w:r w:rsidDel="00000000" w:rsidR="00000000" w:rsidRPr="00000000">
        <w:rPr>
          <w:rFonts w:ascii="Palatino Linotype" w:cs="Palatino Linotype" w:eastAsia="Palatino Linotype" w:hAnsi="Palatino Linotype"/>
          <w:u w:val="single"/>
          <w:rtl w:val="0"/>
        </w:rPr>
        <w:t xml:space="preserve">no proporcionó los elementos necesarios para acreditar el cambio de modalidad, pues no justificó dicho cambio.</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360" w:lineRule="auto"/>
        <w:ind w:left="780" w:right="900" w:firstLine="0"/>
        <w:jc w:val="both"/>
        <w:rPr>
          <w:rFonts w:ascii="Palatino Linotype" w:cs="Palatino Linotype" w:eastAsia="Palatino Linotype" w:hAnsi="Palatino Linotype"/>
          <w:b w:val="1"/>
          <w:sz w:val="24"/>
          <w:szCs w:val="24"/>
          <w:u w:val="single"/>
        </w:rPr>
      </w:pPr>
      <w:r w:rsidDel="00000000" w:rsidR="00000000" w:rsidRPr="00000000">
        <w:rPr>
          <w:rtl w:val="0"/>
        </w:rPr>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que permitieran tener como imposibilidad la entrega de la información en el medio elegido por los solicitantes. </w:t>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precisan que no se debe ceñir el cambio de modalidad, directamente a consulta directa, sino que los Sujetos Obligados, deben de buscar la posibilidad de proporcionarla en las otras formas que establecen en la Ley, ya sean electrónicas o físicas. </w:t>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4">
      <w:pPr>
        <w:tabs>
          <w:tab w:val="left" w:leader="none" w:pos="97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se advierte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no acreditó la imposibilidad humana  y administrativa a la que hace alusión, establecida en el artículo 158 de la Ley de Transparencia y Acceso a la Información Pública del Estado de México y Municipios, para validar el cambio de modalidad a consulta directa, por lo que, los agravios resultan </w:t>
      </w:r>
      <w:r w:rsidDel="00000000" w:rsidR="00000000" w:rsidRPr="00000000">
        <w:rPr>
          <w:rFonts w:ascii="Palatino Linotype" w:cs="Palatino Linotype" w:eastAsia="Palatino Linotype" w:hAnsi="Palatino Linotype"/>
          <w:b w:val="1"/>
          <w:sz w:val="24"/>
          <w:szCs w:val="24"/>
          <w:rtl w:val="0"/>
        </w:rPr>
        <w:t xml:space="preserve">FUNDADOS</w:t>
      </w:r>
      <w:r w:rsidDel="00000000" w:rsidR="00000000" w:rsidRPr="00000000">
        <w:rPr>
          <w:rFonts w:ascii="Palatino Linotype" w:cs="Palatino Linotype" w:eastAsia="Palatino Linotype" w:hAnsi="Palatino Linotype"/>
          <w:sz w:val="24"/>
          <w:szCs w:val="24"/>
          <w:rtl w:val="0"/>
        </w:rPr>
        <w:t xml:space="preserve">; situación que se robustece, con el hecho de que tampoco vio la posibilidad de poner a disposición la información, en el resto de modalidades establecidas en la Ley de la materia.</w:t>
      </w:r>
    </w:p>
    <w:p w:rsidR="00000000" w:rsidDel="00000000" w:rsidP="00000000" w:rsidRDefault="00000000" w:rsidRPr="00000000" w14:paraId="0000012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las cosas así, cabe invocar el contenido del Capítulo X de Lineamientos Generales en Materia de Clasificación y Desclasificación de la Información, así como para la Elaboración de Versiones Públicas, respecto a la consulta directa, que señala:</w:t>
      </w:r>
    </w:p>
    <w:p w:rsidR="00000000" w:rsidDel="00000000" w:rsidP="00000000" w:rsidRDefault="00000000" w:rsidRPr="00000000" w14:paraId="00000126">
      <w:pPr>
        <w:spacing w:after="120" w:before="120" w:lineRule="auto"/>
        <w:ind w:left="851" w:right="902" w:firstLine="0"/>
        <w:jc w:val="center"/>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7">
      <w:pPr>
        <w:spacing w:after="120" w:before="120" w:lineRule="auto"/>
        <w:ind w:left="567"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CAPÍTULO X</w:t>
      </w:r>
    </w:p>
    <w:p w:rsidR="00000000" w:rsidDel="00000000" w:rsidP="00000000" w:rsidRDefault="00000000" w:rsidRPr="00000000" w14:paraId="00000128">
      <w:pPr>
        <w:spacing w:after="120" w:before="120" w:lineRule="auto"/>
        <w:ind w:left="567"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LA CONSULTA DIRECTA</w:t>
      </w:r>
    </w:p>
    <w:p w:rsidR="00000000" w:rsidDel="00000000" w:rsidP="00000000" w:rsidRDefault="00000000" w:rsidRPr="00000000" w14:paraId="00000129">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Sexagésimo séptimo</w:t>
      </w:r>
      <w:r w:rsidDel="00000000" w:rsidR="00000000" w:rsidRPr="00000000">
        <w:rPr>
          <w:rFonts w:ascii="Palatino Linotype" w:cs="Palatino Linotype" w:eastAsia="Palatino Linotype" w:hAnsi="Palatino Linotype"/>
          <w:i w:val="1"/>
          <w:rtl w:val="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Del="00000000" w:rsidR="00000000" w:rsidRPr="00000000">
        <w:rPr>
          <w:rFonts w:ascii="Palatino Linotype" w:cs="Palatino Linotype" w:eastAsia="Palatino Linotype" w:hAnsi="Palatino Linotype"/>
          <w:b w:val="1"/>
          <w:i w:val="1"/>
          <w:rtl w:val="0"/>
        </w:rPr>
        <w:t xml:space="preserve">deberá emitir la resolución en la que funde y motive la clasificación</w:t>
      </w:r>
      <w:r w:rsidDel="00000000" w:rsidR="00000000" w:rsidRPr="00000000">
        <w:rPr>
          <w:rFonts w:ascii="Palatino Linotype" w:cs="Palatino Linotype" w:eastAsia="Palatino Linotype" w:hAnsi="Palatino Linotype"/>
          <w:i w:val="1"/>
          <w:rtl w:val="0"/>
        </w:rPr>
        <w:t xml:space="preserve"> de las partes o secciones que no podrán dejarse a la vista del solicitante. </w:t>
      </w:r>
    </w:p>
    <w:p w:rsidR="00000000" w:rsidDel="00000000" w:rsidP="00000000" w:rsidRDefault="00000000" w:rsidRPr="00000000" w14:paraId="0000012A">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Sexagésimo octavo</w:t>
      </w:r>
      <w:r w:rsidDel="00000000" w:rsidR="00000000" w:rsidRPr="00000000">
        <w:rPr>
          <w:rFonts w:ascii="Palatino Linotype" w:cs="Palatino Linotype" w:eastAsia="Palatino Linotype" w:hAnsi="Palatino Linotype"/>
          <w:i w:val="1"/>
          <w:rtl w:val="0"/>
        </w:rPr>
        <w:t xml:space="preserve">. En la </w:t>
      </w:r>
      <w:r w:rsidDel="00000000" w:rsidR="00000000" w:rsidRPr="00000000">
        <w:rPr>
          <w:rFonts w:ascii="Palatino Linotype" w:cs="Palatino Linotype" w:eastAsia="Palatino Linotype" w:hAnsi="Palatino Linotype"/>
          <w:b w:val="1"/>
          <w:i w:val="1"/>
          <w:rtl w:val="0"/>
        </w:rPr>
        <w:t xml:space="preserve">resolución del Comité de Transparencia</w:t>
      </w:r>
      <w:r w:rsidDel="00000000" w:rsidR="00000000" w:rsidRPr="00000000">
        <w:rPr>
          <w:rFonts w:ascii="Palatino Linotype" w:cs="Palatino Linotype" w:eastAsia="Palatino Linotype" w:hAnsi="Palatino Linotype"/>
          <w:i w:val="1"/>
          <w:rtl w:val="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000000" w:rsidDel="00000000" w:rsidP="00000000" w:rsidRDefault="00000000" w:rsidRPr="00000000" w14:paraId="0000012B">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Sexagésimo noveno</w:t>
      </w:r>
      <w:r w:rsidDel="00000000" w:rsidR="00000000" w:rsidRPr="00000000">
        <w:rPr>
          <w:rFonts w:ascii="Palatino Linotype" w:cs="Palatino Linotype" w:eastAsia="Palatino Linotype" w:hAnsi="Palatino Linotype"/>
          <w:i w:val="1"/>
          <w:rtl w:val="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000000" w:rsidDel="00000000" w:rsidP="00000000" w:rsidRDefault="00000000" w:rsidRPr="00000000" w14:paraId="0000012C">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Septuagésimo</w:t>
      </w:r>
      <w:r w:rsidDel="00000000" w:rsidR="00000000" w:rsidRPr="00000000">
        <w:rPr>
          <w:rFonts w:ascii="Palatino Linotype" w:cs="Palatino Linotype" w:eastAsia="Palatino Linotype" w:hAnsi="Palatino Linotype"/>
          <w:i w:val="1"/>
          <w:rtl w:val="0"/>
        </w:rPr>
        <w:t xml:space="preserve">. Para el desahogo de las actuaciones tendientes a permitir la consulta directa, en los casos en que ésta resulte procedente, los sujetos obligados deberán observar lo siguiente: </w:t>
      </w:r>
    </w:p>
    <w:p w:rsidR="00000000" w:rsidDel="00000000" w:rsidP="00000000" w:rsidRDefault="00000000" w:rsidRPr="00000000" w14:paraId="0000012D">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000000" w:rsidDel="00000000" w:rsidP="00000000" w:rsidRDefault="00000000" w:rsidRPr="00000000" w14:paraId="0000012E">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En su caso, la procedencia de los ajustes razonables solicitados y/o la procedencia de acceso en la lengua indígena requerida; </w:t>
      </w:r>
    </w:p>
    <w:p w:rsidR="00000000" w:rsidDel="00000000" w:rsidP="00000000" w:rsidRDefault="00000000" w:rsidRPr="00000000" w14:paraId="0000012F">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000000" w:rsidDel="00000000" w:rsidP="00000000" w:rsidRDefault="00000000" w:rsidRPr="00000000" w14:paraId="00000130">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Proporcionar al solicitante las facilidades y asistencia requerida para la consulta de los documentos;</w:t>
      </w:r>
    </w:p>
    <w:p w:rsidR="00000000" w:rsidDel="00000000" w:rsidP="00000000" w:rsidRDefault="00000000" w:rsidRPr="00000000" w14:paraId="00000131">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w:t>
      </w:r>
      <w:r w:rsidDel="00000000" w:rsidR="00000000" w:rsidRPr="00000000">
        <w:rPr>
          <w:rFonts w:ascii="Palatino Linotype" w:cs="Palatino Linotype" w:eastAsia="Palatino Linotype" w:hAnsi="Palatino Linotype"/>
          <w:i w:val="1"/>
          <w:rtl w:val="0"/>
        </w:rPr>
        <w:t xml:space="preserve"> Abstenerse de requerir al solicitante que acredite interés alguno; </w:t>
      </w:r>
    </w:p>
    <w:p w:rsidR="00000000" w:rsidDel="00000000" w:rsidP="00000000" w:rsidRDefault="00000000" w:rsidRPr="00000000" w14:paraId="00000132">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w:t>
      </w:r>
      <w:r w:rsidDel="00000000" w:rsidR="00000000" w:rsidRPr="00000000">
        <w:rPr>
          <w:rFonts w:ascii="Palatino Linotype" w:cs="Palatino Linotype" w:eastAsia="Palatino Linotype" w:hAnsi="Palatino Linotype"/>
          <w:i w:val="1"/>
          <w:rtl w:val="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000000" w:rsidDel="00000000" w:rsidP="00000000" w:rsidRDefault="00000000" w:rsidRPr="00000000" w14:paraId="00000133">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w:t>
      </w:r>
      <w:r w:rsidDel="00000000" w:rsidR="00000000" w:rsidRPr="00000000">
        <w:rPr>
          <w:rFonts w:ascii="Palatino Linotype" w:cs="Palatino Linotype" w:eastAsia="Palatino Linotype" w:hAnsi="Palatino Linotype"/>
          <w:i w:val="1"/>
          <w:rtl w:val="0"/>
        </w:rPr>
        <w:t xml:space="preserve"> Contar con instalaciones y mobiliario adecuado para asegurar tanto la integridad del documento consultado, como para proporcionar al solicitante las mejores condiciones para poder llevar a cabo la consulta directa; </w:t>
      </w:r>
    </w:p>
    <w:p w:rsidR="00000000" w:rsidDel="00000000" w:rsidP="00000000" w:rsidRDefault="00000000" w:rsidRPr="00000000" w14:paraId="00000134">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b)</w:t>
      </w:r>
      <w:r w:rsidDel="00000000" w:rsidR="00000000" w:rsidRPr="00000000">
        <w:rPr>
          <w:rFonts w:ascii="Palatino Linotype" w:cs="Palatino Linotype" w:eastAsia="Palatino Linotype" w:hAnsi="Palatino Linotype"/>
          <w:i w:val="1"/>
          <w:rtl w:val="0"/>
        </w:rPr>
        <w:t xml:space="preserve"> Equipo y personal de vigilancia;</w:t>
      </w:r>
    </w:p>
    <w:p w:rsidR="00000000" w:rsidDel="00000000" w:rsidP="00000000" w:rsidRDefault="00000000" w:rsidRPr="00000000" w14:paraId="00000135">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w:t>
      </w:r>
      <w:r w:rsidDel="00000000" w:rsidR="00000000" w:rsidRPr="00000000">
        <w:rPr>
          <w:rFonts w:ascii="Palatino Linotype" w:cs="Palatino Linotype" w:eastAsia="Palatino Linotype" w:hAnsi="Palatino Linotype"/>
          <w:i w:val="1"/>
          <w:rtl w:val="0"/>
        </w:rPr>
        <w:t xml:space="preserve"> Plan de acción contra robo o vandalismo; </w:t>
      </w:r>
    </w:p>
    <w:p w:rsidR="00000000" w:rsidDel="00000000" w:rsidP="00000000" w:rsidRDefault="00000000" w:rsidRPr="00000000" w14:paraId="00000136">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w:t>
      </w:r>
      <w:r w:rsidDel="00000000" w:rsidR="00000000" w:rsidRPr="00000000">
        <w:rPr>
          <w:rFonts w:ascii="Palatino Linotype" w:cs="Palatino Linotype" w:eastAsia="Palatino Linotype" w:hAnsi="Palatino Linotype"/>
          <w:i w:val="1"/>
          <w:rtl w:val="0"/>
        </w:rPr>
        <w:t xml:space="preserve"> Extintores de fuego de gas inocuo; </w:t>
      </w:r>
    </w:p>
    <w:p w:rsidR="00000000" w:rsidDel="00000000" w:rsidP="00000000" w:rsidRDefault="00000000" w:rsidRPr="00000000" w14:paraId="00000137">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w:t>
      </w:r>
      <w:r w:rsidDel="00000000" w:rsidR="00000000" w:rsidRPr="00000000">
        <w:rPr>
          <w:rFonts w:ascii="Palatino Linotype" w:cs="Palatino Linotype" w:eastAsia="Palatino Linotype" w:hAnsi="Palatino Linotype"/>
          <w:i w:val="1"/>
          <w:rtl w:val="0"/>
        </w:rPr>
        <w:t xml:space="preserve"> Registro e identificación del personal autorizado para el tratamiento de los documentos o expedientes a revisar;</w:t>
      </w:r>
    </w:p>
    <w:p w:rsidR="00000000" w:rsidDel="00000000" w:rsidP="00000000" w:rsidRDefault="00000000" w:rsidRPr="00000000" w14:paraId="00000138">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w:t>
      </w:r>
      <w:r w:rsidDel="00000000" w:rsidR="00000000" w:rsidRPr="00000000">
        <w:rPr>
          <w:rFonts w:ascii="Palatino Linotype" w:cs="Palatino Linotype" w:eastAsia="Palatino Linotype" w:hAnsi="Palatino Linotype"/>
          <w:i w:val="1"/>
          <w:rtl w:val="0"/>
        </w:rPr>
        <w:t xml:space="preserve"> Registro e identificación de los particulares autorizados para llevar a cabo la consulta directa, y </w:t>
      </w:r>
    </w:p>
    <w:p w:rsidR="00000000" w:rsidDel="00000000" w:rsidP="00000000" w:rsidRDefault="00000000" w:rsidRPr="00000000" w14:paraId="00000139">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g)</w:t>
      </w:r>
      <w:r w:rsidDel="00000000" w:rsidR="00000000" w:rsidRPr="00000000">
        <w:rPr>
          <w:rFonts w:ascii="Palatino Linotype" w:cs="Palatino Linotype" w:eastAsia="Palatino Linotype" w:hAnsi="Palatino Linotype"/>
          <w:i w:val="1"/>
          <w:rtl w:val="0"/>
        </w:rPr>
        <w:t xml:space="preserve"> Las demás que, a criterio de los sujetos obligados, resulten necesarias. </w:t>
      </w:r>
    </w:p>
    <w:p w:rsidR="00000000" w:rsidDel="00000000" w:rsidP="00000000" w:rsidRDefault="00000000" w:rsidRPr="00000000" w14:paraId="0000013A">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w:t>
      </w:r>
      <w:r w:rsidDel="00000000" w:rsidR="00000000" w:rsidRPr="00000000">
        <w:rPr>
          <w:rFonts w:ascii="Palatino Linotype" w:cs="Palatino Linotype" w:eastAsia="Palatino Linotype" w:hAnsi="Palatino Linotype"/>
          <w:i w:val="1"/>
          <w:rtl w:val="0"/>
        </w:rPr>
        <w:t xml:space="preserve"> Hacer del conocimiento del solicitante, previo al acceso a la información, las reglas a que se sujetará la consulta para garantizar la integridad de los documentos, y</w:t>
      </w:r>
    </w:p>
    <w:p w:rsidR="00000000" w:rsidDel="00000000" w:rsidP="00000000" w:rsidRDefault="00000000" w:rsidRPr="00000000" w14:paraId="0000013B">
      <w:pPr>
        <w:spacing w:after="120" w:before="120" w:lineRule="auto"/>
        <w:ind w:left="567"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Para el caso de documentos que contengan partes o secciones clasificadas como reservadas o confidenciales, el sujeto obligado deberá hacer del conocimiento del solicitante, </w:t>
      </w:r>
      <w:r w:rsidDel="00000000" w:rsidR="00000000" w:rsidRPr="00000000">
        <w:rPr>
          <w:rFonts w:ascii="Palatino Linotype" w:cs="Palatino Linotype" w:eastAsia="Palatino Linotype" w:hAnsi="Palatino Linotype"/>
          <w:b w:val="1"/>
          <w:i w:val="1"/>
          <w:rtl w:val="0"/>
        </w:rPr>
        <w:t xml:space="preserve">previo al acceso a la información, la resolución debidamente fundada y motivada del Comité de Transparencia, en la que se clasificaron las partes o secciones que no podrán dejarse a la vista del solicitante. </w:t>
      </w:r>
    </w:p>
    <w:p w:rsidR="00000000" w:rsidDel="00000000" w:rsidP="00000000" w:rsidRDefault="00000000" w:rsidRPr="00000000" w14:paraId="0000013C">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Septuagésimo primero. </w:t>
      </w:r>
      <w:r w:rsidDel="00000000" w:rsidR="00000000" w:rsidRPr="00000000">
        <w:rPr>
          <w:rFonts w:ascii="Palatino Linotype" w:cs="Palatino Linotype" w:eastAsia="Palatino Linotype" w:hAnsi="Palatino Linotype"/>
          <w:i w:val="1"/>
          <w:rtl w:val="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000000" w:rsidDel="00000000" w:rsidP="00000000" w:rsidRDefault="00000000" w:rsidRPr="00000000" w14:paraId="0000013D">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solicitante deberá observar en todo momento las reglas que el sujeto obligado haya hecho de su conocimiento para efectos de la conservación de los documentos. </w:t>
      </w:r>
    </w:p>
    <w:p w:rsidR="00000000" w:rsidDel="00000000" w:rsidP="00000000" w:rsidRDefault="00000000" w:rsidRPr="00000000" w14:paraId="0000013E">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Septuagésimo segundo.</w:t>
      </w:r>
      <w:r w:rsidDel="00000000" w:rsidR="00000000" w:rsidRPr="00000000">
        <w:rPr>
          <w:rFonts w:ascii="Palatino Linotype" w:cs="Palatino Linotype" w:eastAsia="Palatino Linotype" w:hAnsi="Palatino Linotype"/>
          <w:i w:val="1"/>
          <w:rtl w:val="0"/>
        </w:rPr>
        <w:t xml:space="preserve"> El solicitante deberá realizar la consulta de los documentos requeridos en el lugar, horarios y con la persona destinada para tal efecto. </w:t>
      </w:r>
    </w:p>
    <w:p w:rsidR="00000000" w:rsidDel="00000000" w:rsidP="00000000" w:rsidRDefault="00000000" w:rsidRPr="00000000" w14:paraId="0000013F">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000000" w:rsidDel="00000000" w:rsidP="00000000" w:rsidRDefault="00000000" w:rsidRPr="00000000" w14:paraId="00000140">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Septuagésimo tercero</w:t>
      </w:r>
      <w:r w:rsidDel="00000000" w:rsidR="00000000" w:rsidRPr="00000000">
        <w:rPr>
          <w:rFonts w:ascii="Palatino Linotype" w:cs="Palatino Linotype" w:eastAsia="Palatino Linotype" w:hAnsi="Palatino Linotype"/>
          <w:i w:val="1"/>
          <w:rtl w:val="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000000" w:rsidDel="00000000" w:rsidP="00000000" w:rsidRDefault="00000000" w:rsidRPr="00000000" w14:paraId="00000141">
      <w:pPr>
        <w:spacing w:after="120" w:before="12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deberá ser entregada sin costo, cuando implique la entrega de no más de veinte hojas simples.”</w:t>
      </w:r>
    </w:p>
    <w:p w:rsidR="00000000" w:rsidDel="00000000" w:rsidP="00000000" w:rsidRDefault="00000000" w:rsidRPr="00000000" w14:paraId="00000142">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debido a que el Sujeto Obligado no proporcionó los elementos suficientes para acreditar y justificar un cambio de modalidad, se determina que los agravios hechos valer por el Solicitante devienen </w:t>
      </w:r>
      <w:r w:rsidDel="00000000" w:rsidR="00000000" w:rsidRPr="00000000">
        <w:rPr>
          <w:rFonts w:ascii="Palatino Linotype" w:cs="Palatino Linotype" w:eastAsia="Palatino Linotype" w:hAnsi="Palatino Linotype"/>
          <w:b w:val="1"/>
          <w:sz w:val="24"/>
          <w:szCs w:val="24"/>
          <w:rtl w:val="0"/>
        </w:rPr>
        <w:t xml:space="preserve">FUNDADOS</w:t>
      </w:r>
      <w:r w:rsidDel="00000000" w:rsidR="00000000" w:rsidRPr="00000000">
        <w:rPr>
          <w:rFonts w:ascii="Palatino Linotype" w:cs="Palatino Linotype" w:eastAsia="Palatino Linotype" w:hAnsi="Palatino Linotype"/>
          <w:sz w:val="24"/>
          <w:szCs w:val="24"/>
          <w:rtl w:val="0"/>
        </w:rPr>
        <w:t xml:space="preserve"> y, en consecuencia, se </w:t>
      </w:r>
      <w:r w:rsidDel="00000000" w:rsidR="00000000" w:rsidRPr="00000000">
        <w:rPr>
          <w:rFonts w:ascii="Palatino Linotype" w:cs="Palatino Linotype" w:eastAsia="Palatino Linotype" w:hAnsi="Palatino Linotype"/>
          <w:b w:val="1"/>
          <w:sz w:val="24"/>
          <w:szCs w:val="24"/>
          <w:rtl w:val="0"/>
        </w:rPr>
        <w:t xml:space="preserve">REVOCA </w:t>
      </w:r>
      <w:r w:rsidDel="00000000" w:rsidR="00000000" w:rsidRPr="00000000">
        <w:rPr>
          <w:rFonts w:ascii="Palatino Linotype" w:cs="Palatino Linotype" w:eastAsia="Palatino Linotype" w:hAnsi="Palatino Linotype"/>
          <w:sz w:val="24"/>
          <w:szCs w:val="24"/>
          <w:rtl w:val="0"/>
        </w:rPr>
        <w:t xml:space="preserve">el cambio de modalidad propuesto por el Sujeto Obligado en respuesta y, se le </w:t>
      </w:r>
      <w:r w:rsidDel="00000000" w:rsidR="00000000" w:rsidRPr="00000000">
        <w:rPr>
          <w:rFonts w:ascii="Palatino Linotype" w:cs="Palatino Linotype" w:eastAsia="Palatino Linotype" w:hAnsi="Palatino Linotype"/>
          <w:b w:val="1"/>
          <w:sz w:val="24"/>
          <w:szCs w:val="24"/>
          <w:rtl w:val="0"/>
        </w:rPr>
        <w:t xml:space="preserve">ORDENA </w:t>
      </w:r>
      <w:r w:rsidDel="00000000" w:rsidR="00000000" w:rsidRPr="00000000">
        <w:rPr>
          <w:rFonts w:ascii="Palatino Linotype" w:cs="Palatino Linotype" w:eastAsia="Palatino Linotype" w:hAnsi="Palatino Linotype"/>
          <w:sz w:val="24"/>
          <w:szCs w:val="24"/>
          <w:rtl w:val="0"/>
        </w:rPr>
        <w:t xml:space="preserve">haga entrega, vía Sistema de Acceso a la Información Mexiquense, en versión pública, la siguiente información:</w:t>
      </w:r>
    </w:p>
    <w:p w:rsidR="00000000" w:rsidDel="00000000" w:rsidP="00000000" w:rsidRDefault="00000000" w:rsidRPr="00000000" w14:paraId="0000014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567" w:right="567"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Recibos de nómina de la primera quincena de los meses de enero, febrero, marzo, abril y mayo del dos mil veintidós, de todos los trabajadores del Ayuntamiento y el Sistema Municipal DIF.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160" w:before="0" w:line="360" w:lineRule="auto"/>
        <w:ind w:left="567" w:right="567"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4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9">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w:t>
      </w:r>
      <w:r w:rsidDel="00000000" w:rsidR="00000000" w:rsidRPr="00000000">
        <w:rPr>
          <w:rFonts w:ascii="Palatino Linotype" w:cs="Palatino Linotype" w:eastAsia="Palatino Linotype" w:hAnsi="Palatino Linotype"/>
          <w:sz w:val="24"/>
          <w:szCs w:val="24"/>
          <w:rtl w:val="0"/>
        </w:rPr>
        <w:t xml:space="preserve">Como fue debidamente apuntado,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14A">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4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4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los artículos 3, fracciones IX, XX, XXI, XXXII, XLV; 6, 91, 137, 143 fracción I, de la Ley de Transparencia y Acceso a la Información Pública del Estado de México y Municipios vigente establecen:</w:t>
      </w:r>
    </w:p>
    <w:p w:rsidR="00000000" w:rsidDel="00000000" w:rsidP="00000000" w:rsidRDefault="00000000" w:rsidRPr="00000000" w14:paraId="0000015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1">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52">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3">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154">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5">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156">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 Información confidencial</w:t>
      </w:r>
      <w:r w:rsidDel="00000000" w:rsidR="00000000" w:rsidRPr="00000000">
        <w:rPr>
          <w:rFonts w:ascii="Palatino Linotype" w:cs="Palatino Linotype" w:eastAsia="Palatino Linotype" w:hAnsi="Palatino Linotype"/>
          <w:i w:val="1"/>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57">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8">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p>
    <w:p w:rsidR="00000000" w:rsidDel="00000000" w:rsidP="00000000" w:rsidRDefault="00000000" w:rsidRPr="00000000" w14:paraId="00000159">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A">
      <w:pPr>
        <w:tabs>
          <w:tab w:val="left" w:leader="none" w:pos="1276"/>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5B">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5C">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5D">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5E">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F">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60">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61">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62">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64">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5">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66">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4"/>
          <w:szCs w:val="24"/>
          <w:rtl w:val="0"/>
        </w:rPr>
        <w:t xml:space="preserve">Registro Federal de Contribuyentes</w:t>
      </w:r>
      <w:r w:rsidDel="00000000" w:rsidR="00000000" w:rsidRPr="00000000">
        <w:rPr>
          <w:rFonts w:ascii="Palatino Linotype" w:cs="Palatino Linotype" w:eastAsia="Palatino Linotype" w:hAnsi="Palatino Linotype"/>
          <w:sz w:val="24"/>
          <w:szCs w:val="24"/>
          <w:rtl w:val="0"/>
        </w:rPr>
        <w:t xml:space="preserve"> (RFC), la </w:t>
      </w:r>
      <w:r w:rsidDel="00000000" w:rsidR="00000000" w:rsidRPr="00000000">
        <w:rPr>
          <w:rFonts w:ascii="Palatino Linotype" w:cs="Palatino Linotype" w:eastAsia="Palatino Linotype" w:hAnsi="Palatino Linotype"/>
          <w:b w:val="1"/>
          <w:sz w:val="24"/>
          <w:szCs w:val="24"/>
          <w:rtl w:val="0"/>
        </w:rPr>
        <w:t xml:space="preserve">Clave Única de Registro de Población</w:t>
      </w:r>
      <w:r w:rsidDel="00000000" w:rsidR="00000000" w:rsidRPr="00000000">
        <w:rPr>
          <w:rFonts w:ascii="Palatino Linotype" w:cs="Palatino Linotype" w:eastAsia="Palatino Linotype" w:hAnsi="Palatino Linotype"/>
          <w:sz w:val="24"/>
          <w:szCs w:val="24"/>
          <w:rtl w:val="0"/>
        </w:rPr>
        <w:t xml:space="preserve"> (CURP),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w:t>
      </w:r>
      <w:r w:rsidDel="00000000" w:rsidR="00000000" w:rsidRPr="00000000">
        <w:rPr>
          <w:rFonts w:ascii="Palatino Linotype" w:cs="Palatino Linotype" w:eastAsia="Palatino Linotype" w:hAnsi="Palatino Linotype"/>
          <w:sz w:val="24"/>
          <w:szCs w:val="24"/>
          <w:rtl w:val="0"/>
        </w:rPr>
        <w:t xml:space="preserve"> (ISSEMYM, u otros), los </w:t>
      </w:r>
      <w:r w:rsidDel="00000000" w:rsidR="00000000" w:rsidRPr="00000000">
        <w:rPr>
          <w:rFonts w:ascii="Palatino Linotype" w:cs="Palatino Linotype" w:eastAsia="Palatino Linotype" w:hAnsi="Palatino Linotype"/>
          <w:b w:val="1"/>
          <w:sz w:val="24"/>
          <w:szCs w:val="24"/>
          <w:rtl w:val="0"/>
        </w:rPr>
        <w:t xml:space="preserve">números de cuentas bancarias</w:t>
      </w:r>
      <w:r w:rsidDel="00000000" w:rsidR="00000000" w:rsidRPr="00000000">
        <w:rPr>
          <w:rFonts w:ascii="Palatino Linotype" w:cs="Palatino Linotype" w:eastAsia="Palatino Linotype" w:hAnsi="Palatino Linotype"/>
          <w:sz w:val="24"/>
          <w:szCs w:val="24"/>
          <w:rtl w:val="0"/>
        </w:rPr>
        <w:t xml:space="preserve">, claves estandarizadas – interbancarias - (CLABES) y de tarjetas, los </w:t>
      </w:r>
      <w:r w:rsidDel="00000000" w:rsidR="00000000" w:rsidRPr="00000000">
        <w:rPr>
          <w:rFonts w:ascii="Palatino Linotype" w:cs="Palatino Linotype" w:eastAsia="Palatino Linotype" w:hAnsi="Palatino Linotype"/>
          <w:b w:val="1"/>
          <w:sz w:val="24"/>
          <w:szCs w:val="24"/>
          <w:rtl w:val="0"/>
        </w:rPr>
        <w:t xml:space="preserve">préstamos o descuentos</w:t>
      </w:r>
      <w:r w:rsidDel="00000000" w:rsidR="00000000" w:rsidRPr="00000000">
        <w:rPr>
          <w:rFonts w:ascii="Palatino Linotype" w:cs="Palatino Linotype" w:eastAsia="Palatino Linotype" w:hAnsi="Palatino Linotype"/>
          <w:sz w:val="24"/>
          <w:szCs w:val="24"/>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sz w:val="24"/>
          <w:szCs w:val="24"/>
          <w:rtl w:val="0"/>
        </w:rPr>
        <w:t xml:space="preserve"> número de empleado, </w:t>
      </w:r>
      <w:r w:rsidDel="00000000" w:rsidR="00000000" w:rsidRPr="00000000">
        <w:rPr>
          <w:rFonts w:ascii="Palatino Linotype" w:cs="Palatino Linotype" w:eastAsia="Palatino Linotype" w:hAnsi="Palatino Linotype"/>
          <w:sz w:val="24"/>
          <w:szCs w:val="24"/>
          <w:rtl w:val="0"/>
        </w:rPr>
        <w:t xml:space="preserve">así como de ser el caso, el </w:t>
      </w:r>
      <w:r w:rsidDel="00000000" w:rsidR="00000000" w:rsidRPr="00000000">
        <w:rPr>
          <w:rFonts w:ascii="Palatino Linotype" w:cs="Palatino Linotype" w:eastAsia="Palatino Linotype" w:hAnsi="Palatino Linotype"/>
          <w:b w:val="1"/>
          <w:sz w:val="24"/>
          <w:szCs w:val="24"/>
          <w:rtl w:val="0"/>
        </w:rPr>
        <w:t xml:space="preserve">folio fiscal</w:t>
      </w:r>
      <w:r w:rsidDel="00000000" w:rsidR="00000000" w:rsidRPr="00000000">
        <w:rPr>
          <w:rFonts w:ascii="Palatino Linotype" w:cs="Palatino Linotype" w:eastAsia="Palatino Linotype" w:hAnsi="Palatino Linotype"/>
          <w:sz w:val="24"/>
          <w:szCs w:val="24"/>
          <w:rtl w:val="0"/>
        </w:rPr>
        <w:t xml:space="preserve">, la  </w:t>
      </w:r>
      <w:r w:rsidDel="00000000" w:rsidR="00000000" w:rsidRPr="00000000">
        <w:rPr>
          <w:rFonts w:ascii="Palatino Linotype" w:cs="Palatino Linotype" w:eastAsia="Palatino Linotype" w:hAnsi="Palatino Linotype"/>
          <w:b w:val="1"/>
          <w:sz w:val="24"/>
          <w:szCs w:val="24"/>
          <w:rtl w:val="0"/>
        </w:rPr>
        <w:t xml:space="preserve">cadena original, </w:t>
      </w:r>
      <w:r w:rsidDel="00000000" w:rsidR="00000000" w:rsidRPr="00000000">
        <w:rPr>
          <w:rFonts w:ascii="Palatino Linotype" w:cs="Palatino Linotype" w:eastAsia="Palatino Linotype" w:hAnsi="Palatino Linotype"/>
          <w:sz w:val="24"/>
          <w:szCs w:val="24"/>
          <w:rtl w:val="0"/>
        </w:rPr>
        <w:t xml:space="preserve">los</w:t>
      </w:r>
      <w:r w:rsidDel="00000000" w:rsidR="00000000" w:rsidRPr="00000000">
        <w:rPr>
          <w:rFonts w:ascii="Palatino Linotype" w:cs="Palatino Linotype" w:eastAsia="Palatino Linotype" w:hAnsi="Palatino Linotype"/>
          <w:b w:val="1"/>
          <w:sz w:val="24"/>
          <w:szCs w:val="24"/>
          <w:rtl w:val="0"/>
        </w:rPr>
        <w:t xml:space="preserve"> códigos bidimensionales o códigos QR,</w:t>
      </w:r>
      <w:r w:rsidDel="00000000" w:rsidR="00000000" w:rsidRPr="00000000">
        <w:rPr>
          <w:rFonts w:ascii="Palatino Linotype" w:cs="Palatino Linotype" w:eastAsia="Palatino Linotype" w:hAnsi="Palatino Linotype"/>
          <w:sz w:val="24"/>
          <w:szCs w:val="24"/>
          <w:rtl w:val="0"/>
        </w:rPr>
        <w:t xml:space="preserve"> y cualquier información de carácter fiscal, bajo las siguientes consideraciones. </w:t>
      </w:r>
    </w:p>
    <w:p w:rsidR="00000000" w:rsidDel="00000000" w:rsidP="00000000" w:rsidRDefault="00000000" w:rsidRPr="00000000" w14:paraId="0000016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9">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6A">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6C">
      <w:pPr>
        <w:spacing w:after="0" w:line="360" w:lineRule="auto"/>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16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6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7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1">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72">
      <w:pPr>
        <w:spacing w:after="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es compartido por el Instituto Nacional de Transparencia, Acceso a la Información y Protección de Datos Personales, INAI, conforme al criterio 18/17, el cual refiere:</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0" w:line="24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“Clave Única de Registro de Población (CURP). </w:t>
      </w:r>
      <w:r w:rsidDel="00000000" w:rsidR="00000000" w:rsidRPr="00000000">
        <w:rPr>
          <w:rFonts w:ascii="Palatino Linotype" w:cs="Palatino Linotype" w:eastAsia="Palatino Linotype" w:hAnsi="Palatino Linotype"/>
          <w:i w:val="1"/>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79">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17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000000" w:rsidDel="00000000" w:rsidP="00000000" w:rsidRDefault="00000000" w:rsidRPr="00000000" w14:paraId="0000017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7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18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8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argumentado encuentra sustento en los criterios 10/17 y 11/17 emitidos por el Instituto Nacional de Transparencia, Acceso a la Información y Protección de Datos Personales, INAI, que llevan por rubro y texto los siguientes:</w:t>
      </w:r>
    </w:p>
    <w:p w:rsidR="00000000" w:rsidDel="00000000" w:rsidP="00000000" w:rsidRDefault="00000000" w:rsidRPr="00000000" w14:paraId="0000018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89">
      <w:pP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18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los </w:t>
      </w:r>
      <w:r w:rsidDel="00000000" w:rsidR="00000000" w:rsidRPr="00000000">
        <w:rPr>
          <w:rFonts w:ascii="Palatino Linotype" w:cs="Palatino Linotype" w:eastAsia="Palatino Linotype" w:hAnsi="Palatino Linotype"/>
          <w:b w:val="1"/>
          <w:sz w:val="24"/>
          <w:szCs w:val="24"/>
          <w:rtl w:val="0"/>
        </w:rPr>
        <w:t xml:space="preserve">préstamos o descuentos de carácter personal</w:t>
      </w:r>
      <w:r w:rsidDel="00000000" w:rsidR="00000000" w:rsidRPr="00000000">
        <w:rPr>
          <w:rFonts w:ascii="Palatino Linotype" w:cs="Palatino Linotype" w:eastAsia="Palatino Linotype" w:hAnsi="Palatino Linotype"/>
          <w:sz w:val="24"/>
          <w:szCs w:val="24"/>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18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8E">
      <w:pPr>
        <w:spacing w:after="0" w:line="360" w:lineRule="auto"/>
        <w:ind w:left="567" w:right="56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F">
      <w:pPr>
        <w:spacing w:after="0" w:line="276"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84. </w:t>
      </w:r>
      <w:r w:rsidDel="00000000" w:rsidR="00000000" w:rsidRPr="00000000">
        <w:rPr>
          <w:rFonts w:ascii="Palatino Linotype" w:cs="Palatino Linotype" w:eastAsia="Palatino Linotype" w:hAnsi="Palatino Linotype"/>
          <w:i w:val="1"/>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90">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Gravámenes fiscales relacionados con el sueldo;</w:t>
      </w:r>
    </w:p>
    <w:p w:rsidR="00000000" w:rsidDel="00000000" w:rsidP="00000000" w:rsidRDefault="00000000" w:rsidRPr="00000000" w14:paraId="00000191">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92">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Cuotas sindicales;</w:t>
      </w:r>
    </w:p>
    <w:p w:rsidR="00000000" w:rsidDel="00000000" w:rsidP="00000000" w:rsidRDefault="00000000" w:rsidRPr="00000000" w14:paraId="00000193">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94">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95">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96">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Faltas de puntualidad o de asistencia injustificadas;</w:t>
      </w:r>
    </w:p>
    <w:p w:rsidR="00000000" w:rsidDel="00000000" w:rsidP="00000000" w:rsidRDefault="00000000" w:rsidRPr="00000000" w14:paraId="00000197">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Pensiones alimenticias ordenadas por la autoridad judicial;</w:t>
      </w:r>
      <w:r w:rsidDel="00000000" w:rsidR="00000000" w:rsidRPr="00000000">
        <w:rPr>
          <w:rFonts w:ascii="Palatino Linotype" w:cs="Palatino Linotype" w:eastAsia="Palatino Linotype" w:hAnsi="Palatino Linotype"/>
          <w:i w:val="1"/>
          <w:rtl w:val="0"/>
        </w:rPr>
        <w:t xml:space="preserve"> o</w:t>
      </w:r>
    </w:p>
    <w:p w:rsidR="00000000" w:rsidDel="00000000" w:rsidP="00000000" w:rsidRDefault="00000000" w:rsidRPr="00000000" w14:paraId="00000198">
      <w:pPr>
        <w:spacing w:after="0" w:line="276"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IX. Cualquier otro convenido con instituciones de servicios y aceptado por el servidor público.</w:t>
      </w:r>
    </w:p>
    <w:p w:rsidR="00000000" w:rsidDel="00000000" w:rsidP="00000000" w:rsidRDefault="00000000" w:rsidRPr="00000000" w14:paraId="00000199">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000000" w:rsidDel="00000000" w:rsidP="00000000" w:rsidRDefault="00000000" w:rsidRPr="00000000" w14:paraId="0000019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9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relación al </w:t>
      </w:r>
      <w:r w:rsidDel="00000000" w:rsidR="00000000" w:rsidRPr="00000000">
        <w:rPr>
          <w:rFonts w:ascii="Palatino Linotype" w:cs="Palatino Linotype" w:eastAsia="Palatino Linotype" w:hAnsi="Palatino Linotype"/>
          <w:b w:val="1"/>
          <w:sz w:val="24"/>
          <w:szCs w:val="24"/>
          <w:rtl w:val="0"/>
        </w:rPr>
        <w:t xml:space="preserve">número de empleado</w:t>
      </w:r>
      <w:r w:rsidDel="00000000" w:rsidR="00000000" w:rsidRPr="00000000">
        <w:rPr>
          <w:rFonts w:ascii="Palatino Linotype" w:cs="Palatino Linotype" w:eastAsia="Palatino Linotype" w:hAnsi="Palatino Linotype"/>
          <w:sz w:val="24"/>
          <w:szCs w:val="24"/>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9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w:t>
      </w:r>
      <w:r w:rsidDel="00000000" w:rsidR="00000000" w:rsidRPr="00000000">
        <w:rPr>
          <w:rFonts w:ascii="Palatino Linotype" w:cs="Palatino Linotype" w:eastAsia="Palatino Linotype" w:hAnsi="Palatino Linotype"/>
          <w:rtl w:val="0"/>
        </w:rPr>
        <w:t xml:space="preserve">Nacional de Transparencia, Acceso a la Información, y Protección de Datos Personales, INAI  se ha pronunciado sobre su publicidad, a través del criterio 06/19, que indica lo siguiente:</w:t>
      </w:r>
    </w:p>
    <w:p w:rsidR="00000000" w:rsidDel="00000000" w:rsidP="00000000" w:rsidRDefault="00000000" w:rsidRPr="00000000" w14:paraId="0000019F">
      <w:pPr>
        <w:tabs>
          <w:tab w:val="left" w:leader="none" w:pos="7655"/>
        </w:tabs>
        <w:spacing w:after="0" w:line="240" w:lineRule="auto"/>
        <w:ind w:left="567"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“Número de empleado. </w:t>
      </w:r>
      <w:r w:rsidDel="00000000" w:rsidR="00000000" w:rsidRPr="00000000">
        <w:rPr>
          <w:rFonts w:ascii="Palatino Linotype" w:cs="Palatino Linotype" w:eastAsia="Palatino Linotype" w:hAnsi="Palatino Linotype"/>
          <w:i w:val="1"/>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1A0">
      <w:pPr>
        <w:tabs>
          <w:tab w:val="left" w:leader="none" w:pos="7655"/>
        </w:tabs>
        <w:spacing w:after="0" w:line="276" w:lineRule="auto"/>
        <w:ind w:left="567" w:right="85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1A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información fiscal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w:t>
      </w:r>
      <w:r w:rsidDel="00000000" w:rsidR="00000000" w:rsidRPr="00000000">
        <w:rPr>
          <w:rFonts w:ascii="Palatino Linotype" w:cs="Palatino Linotype" w:eastAsia="Palatino Linotype" w:hAnsi="Palatino Linotype"/>
          <w:b w:val="1"/>
          <w:sz w:val="24"/>
          <w:szCs w:val="24"/>
          <w:rtl w:val="0"/>
        </w:rPr>
        <w:t xml:space="preserve">Cadena Original</w:t>
      </w:r>
      <w:r w:rsidDel="00000000" w:rsidR="00000000" w:rsidRPr="00000000">
        <w:rPr>
          <w:rFonts w:ascii="Palatino Linotype" w:cs="Palatino Linotype" w:eastAsia="Palatino Linotype" w:hAnsi="Palatino Linotype"/>
          <w:sz w:val="24"/>
          <w:szCs w:val="24"/>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A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w:t>
      </w:r>
      <w:r w:rsidDel="00000000" w:rsidR="00000000" w:rsidRPr="00000000">
        <w:rPr>
          <w:rFonts w:ascii="Palatino Linotype" w:cs="Palatino Linotype" w:eastAsia="Palatino Linotype" w:hAnsi="Palatino Linotype"/>
          <w:b w:val="1"/>
          <w:sz w:val="24"/>
          <w:szCs w:val="24"/>
          <w:rtl w:val="0"/>
        </w:rPr>
        <w:t xml:space="preserve">códigos bidimensionales</w:t>
      </w:r>
      <w:r w:rsidDel="00000000" w:rsidR="00000000" w:rsidRPr="00000000">
        <w:rPr>
          <w:rFonts w:ascii="Palatino Linotype" w:cs="Palatino Linotype" w:eastAsia="Palatino Linotype" w:hAnsi="Palatino Linotype"/>
          <w:sz w:val="24"/>
          <w:szCs w:val="24"/>
          <w:rtl w:val="0"/>
        </w:rPr>
        <w:t xml:space="preserve"> o </w:t>
      </w:r>
      <w:r w:rsidDel="00000000" w:rsidR="00000000" w:rsidRPr="00000000">
        <w:rPr>
          <w:rFonts w:ascii="Palatino Linotype" w:cs="Palatino Linotype" w:eastAsia="Palatino Linotype" w:hAnsi="Palatino Linotype"/>
          <w:b w:val="1"/>
          <w:sz w:val="24"/>
          <w:szCs w:val="24"/>
          <w:rtl w:val="0"/>
        </w:rPr>
        <w:t xml:space="preserve">códigos QR, </w:t>
      </w:r>
      <w:r w:rsidDel="00000000" w:rsidR="00000000" w:rsidRPr="00000000">
        <w:rPr>
          <w:rFonts w:ascii="Palatino Linotype" w:cs="Palatino Linotype" w:eastAsia="Palatino Linotype" w:hAnsi="Palatino Linotype"/>
          <w:sz w:val="24"/>
          <w:szCs w:val="24"/>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analizar dicha circunstancia con la finalidad de determinar si se actualiza algún supuesto de confidencialidad.</w:t>
      </w:r>
    </w:p>
    <w:p w:rsidR="00000000" w:rsidDel="00000000" w:rsidP="00000000" w:rsidRDefault="00000000" w:rsidRPr="00000000" w14:paraId="000001A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sentido, si derivado del análisis efectuado por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1A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Del="00000000" w:rsidR="00000000" w:rsidRPr="00000000">
        <w:rPr>
          <w:rFonts w:ascii="Palatino Linotype" w:cs="Palatino Linotype" w:eastAsia="Palatino Linotype" w:hAnsi="Palatino Linotype"/>
          <w:b w:val="1"/>
          <w:sz w:val="24"/>
          <w:szCs w:val="24"/>
          <w:rtl w:val="0"/>
        </w:rPr>
        <w:t xml:space="preserve">que desempeñen funciones operativas</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A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000000" w:rsidDel="00000000" w:rsidP="00000000" w:rsidRDefault="00000000" w:rsidRPr="00000000" w14:paraId="000001A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000000" w:rsidDel="00000000" w:rsidP="00000000" w:rsidRDefault="00000000" w:rsidRPr="00000000" w14:paraId="000001B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entendido, la leyenda de clasificación que se genere, deberá establecer ambos supuestos de clasificación: reserva y confidencialidad, en congruencia con los requisitos establecidos en los lineamientos citados.</w:t>
      </w:r>
    </w:p>
    <w:p w:rsidR="00000000" w:rsidDel="00000000" w:rsidP="00000000" w:rsidRDefault="00000000" w:rsidRPr="00000000" w14:paraId="000001B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000000" w:rsidDel="00000000" w:rsidP="00000000" w:rsidRDefault="00000000" w:rsidRPr="00000000" w14:paraId="000001B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4">
      <w:pPr>
        <w:tabs>
          <w:tab w:val="left" w:leader="none" w:pos="4962"/>
        </w:tabs>
        <w:spacing w:after="0" w:line="24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i w:val="1"/>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00000" w:rsidDel="00000000" w:rsidP="00000000" w:rsidRDefault="00000000" w:rsidRPr="00000000" w14:paraId="000001B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6">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Del="00000000" w:rsidR="00000000" w:rsidRPr="00000000">
        <w:rPr>
          <w:rFonts w:ascii="Palatino Linotype" w:cs="Palatino Linotype" w:eastAsia="Palatino Linotype" w:hAnsi="Palatino Linotype"/>
          <w:b w:val="1"/>
          <w:sz w:val="24"/>
          <w:szCs w:val="24"/>
          <w:rtl w:val="0"/>
        </w:rPr>
        <w:t xml:space="preserve">funciones de carácter operativo.</w:t>
      </w:r>
    </w:p>
    <w:p w:rsidR="00000000" w:rsidDel="00000000" w:rsidP="00000000" w:rsidRDefault="00000000" w:rsidRPr="00000000" w14:paraId="000001B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Sirven de sustento a lo anterior las tesis jurisprudenciales emitidas por la Suprema corte de Justicia de la Nación, que son del literal siguiente:</w:t>
      </w:r>
    </w:p>
    <w:p w:rsidR="00000000" w:rsidDel="00000000" w:rsidP="00000000" w:rsidRDefault="00000000" w:rsidRPr="00000000" w14:paraId="000001B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A">
      <w:pPr>
        <w:spacing w:after="0" w:line="240" w:lineRule="auto"/>
        <w:ind w:left="567" w:right="7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rtl w:val="0"/>
        </w:rPr>
        <w:t xml:space="preserve">mientras que por lo que respecta a la protección de la persona existen normas que protegen el derecho a la vida o a la privacidad de los gobernados.</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BB">
      <w:pPr>
        <w:spacing w:after="0" w:line="240"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“TRANSPARENCIA Y ACCESO A LA INFORMACIÓN PÚBLICA GUBERNAMENTAL. EL ARTÍCULO 14, FRACCIÓN I, DE LA LEY FEDERAL RELATIVA, NO VIOLA LA GARANTÍA DE ACCESO A LA INFORMACIÓN.</w:t>
      </w:r>
      <w:r w:rsidDel="00000000" w:rsidR="00000000" w:rsidRPr="00000000">
        <w:rPr>
          <w:rFonts w:ascii="Palatino Linotype" w:cs="Palatino Linotype" w:eastAsia="Palatino Linotype" w:hAnsi="Palatino Linotype"/>
          <w:i w:val="1"/>
          <w:rtl w:val="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0000" w:rsidDel="00000000" w:rsidP="00000000" w:rsidRDefault="00000000" w:rsidRPr="00000000" w14:paraId="000001BC">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D">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sz w:val="24"/>
          <w:szCs w:val="24"/>
          <w:u w:val="single"/>
          <w:rtl w:val="0"/>
        </w:rPr>
        <w:t xml:space="preserve">razones, motivos o circunstancias especiales</w:t>
      </w:r>
      <w:r w:rsidDel="00000000" w:rsidR="00000000" w:rsidRPr="00000000">
        <w:rPr>
          <w:rFonts w:ascii="Palatino Linotype" w:cs="Palatino Linotype" w:eastAsia="Palatino Linotype" w:hAnsi="Palatino Linotype"/>
          <w:sz w:val="24"/>
          <w:szCs w:val="24"/>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1BE">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F">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C0">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1">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C2">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C3">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C4">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C5">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C6">
      <w:pPr>
        <w:spacing w:after="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w:t>
      </w:r>
    </w:p>
    <w:p w:rsidR="00000000" w:rsidDel="00000000" w:rsidP="00000000" w:rsidRDefault="00000000" w:rsidRPr="00000000" w14:paraId="000001C7">
      <w:pPr>
        <w:spacing w:after="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C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C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D">
      <w:pPr>
        <w:spacing w:after="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 (Sic)</w:t>
      </w:r>
    </w:p>
    <w:p w:rsidR="00000000" w:rsidDel="00000000" w:rsidP="00000000" w:rsidRDefault="00000000" w:rsidRPr="00000000" w14:paraId="000001CE">
      <w:pPr>
        <w:spacing w:after="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F">
      <w:pPr>
        <w:spacing w:after="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0">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D1">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spacing w:after="0" w:line="360" w:lineRule="auto"/>
        <w:ind w:right="49"/>
        <w:jc w:val="both"/>
        <w:rPr>
          <w:rFonts w:ascii="Palatino Linotype" w:cs="Palatino Linotype" w:eastAsia="Palatino Linotype" w:hAnsi="Palatino Linotype"/>
          <w:sz w:val="24"/>
          <w:szCs w:val="24"/>
        </w:rPr>
      </w:pPr>
      <w:bookmarkStart w:colFirst="0" w:colLast="0" w:name="_heading=h.3dy6vkm" w:id="3"/>
      <w:bookmarkEnd w:id="3"/>
      <w:r w:rsidDel="00000000" w:rsidR="00000000" w:rsidRPr="00000000">
        <w:rPr>
          <w:rFonts w:ascii="Palatino Linotype" w:cs="Palatino Linotype" w:eastAsia="Palatino Linotype" w:hAnsi="Palatino Linotype"/>
          <w:sz w:val="24"/>
          <w:szCs w:val="24"/>
          <w:rtl w:val="0"/>
        </w:rPr>
        <w:t xml:space="preserve">Por último, respecto a la versión pública de los documentos que contenga la información solicitada, cabe señalar que 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D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tabs>
          <w:tab w:val="left" w:leader="none" w:pos="8222"/>
        </w:tabs>
        <w:spacing w:after="0" w:line="240" w:lineRule="auto"/>
        <w:ind w:left="851" w:right="1134" w:firstLine="0"/>
        <w:jc w:val="both"/>
        <w:rPr>
          <w:rFonts w:ascii="Palatino Linotype" w:cs="Palatino Linotype" w:eastAsia="Palatino Linotype" w:hAnsi="Palatino Linotype"/>
          <w:b w:val="1"/>
          <w:i w:val="1"/>
          <w:sz w:val="21"/>
          <w:szCs w:val="21"/>
        </w:rPr>
      </w:pPr>
      <w:bookmarkStart w:colFirst="0" w:colLast="0" w:name="_heading=h.1t3h5sf" w:id="4"/>
      <w:bookmarkEnd w:id="4"/>
      <w:r w:rsidDel="00000000" w:rsidR="00000000" w:rsidRPr="00000000">
        <w:rPr>
          <w:rFonts w:ascii="Palatino Linotype" w:cs="Palatino Linotype" w:eastAsia="Palatino Linotype" w:hAnsi="Palatino Linotype"/>
          <w:i w:val="1"/>
          <w:sz w:val="21"/>
          <w:szCs w:val="21"/>
          <w:rtl w:val="0"/>
        </w:rPr>
        <w:t xml:space="preserve">“</w:t>
      </w:r>
      <w:r w:rsidDel="00000000" w:rsidR="00000000" w:rsidRPr="00000000">
        <w:rPr>
          <w:rFonts w:ascii="Palatino Linotype" w:cs="Palatino Linotype" w:eastAsia="Palatino Linotype" w:hAnsi="Palatino Linotype"/>
          <w:b w:val="1"/>
          <w:i w:val="1"/>
          <w:sz w:val="21"/>
          <w:szCs w:val="21"/>
          <w:rtl w:val="0"/>
        </w:rPr>
        <w:t xml:space="preserve">Artículo 132.</w:t>
      </w:r>
      <w:r w:rsidDel="00000000" w:rsidR="00000000" w:rsidRPr="00000000">
        <w:rPr>
          <w:rFonts w:ascii="Palatino Linotype" w:cs="Palatino Linotype" w:eastAsia="Palatino Linotype" w:hAnsi="Palatino Linotype"/>
          <w:i w:val="1"/>
          <w:sz w:val="21"/>
          <w:szCs w:val="21"/>
          <w:rtl w:val="0"/>
        </w:rPr>
        <w:t xml:space="preserve"> </w:t>
      </w:r>
      <w:r w:rsidDel="00000000" w:rsidR="00000000" w:rsidRPr="00000000">
        <w:rPr>
          <w:rFonts w:ascii="Palatino Linotype" w:cs="Palatino Linotype" w:eastAsia="Palatino Linotype" w:hAnsi="Palatino Linotype"/>
          <w:b w:val="1"/>
          <w:i w:val="1"/>
          <w:sz w:val="21"/>
          <w:szCs w:val="21"/>
          <w:rtl w:val="0"/>
        </w:rPr>
        <w:t xml:space="preserve">La clasificación de la información se llevará a cabo en el momento en que:</w:t>
      </w:r>
    </w:p>
    <w:p w:rsidR="00000000" w:rsidDel="00000000" w:rsidP="00000000" w:rsidRDefault="00000000" w:rsidRPr="00000000" w14:paraId="000001D5">
      <w:pPr>
        <w:tabs>
          <w:tab w:val="left" w:leader="none" w:pos="8222"/>
        </w:tabs>
        <w:spacing w:after="0" w:line="240" w:lineRule="auto"/>
        <w:ind w:left="1134"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w:t>
      </w:r>
    </w:p>
    <w:p w:rsidR="00000000" w:rsidDel="00000000" w:rsidP="00000000" w:rsidRDefault="00000000" w:rsidRPr="00000000" w14:paraId="000001D6">
      <w:pPr>
        <w:tabs>
          <w:tab w:val="left" w:leader="none" w:pos="8222"/>
        </w:tabs>
        <w:spacing w:after="0" w:line="240" w:lineRule="auto"/>
        <w:ind w:left="1134"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II.</w:t>
      </w:r>
      <w:r w:rsidDel="00000000" w:rsidR="00000000" w:rsidRPr="00000000">
        <w:rPr>
          <w:rFonts w:ascii="Palatino Linotype" w:cs="Palatino Linotype" w:eastAsia="Palatino Linotype" w:hAnsi="Palatino Linotype"/>
          <w:i w:val="1"/>
          <w:sz w:val="21"/>
          <w:szCs w:val="21"/>
          <w:rtl w:val="0"/>
        </w:rPr>
        <w:t xml:space="preserve"> Se determine mediante resolución de autoridad competente; o</w:t>
      </w:r>
    </w:p>
    <w:p w:rsidR="00000000" w:rsidDel="00000000" w:rsidP="00000000" w:rsidRDefault="00000000" w:rsidRPr="00000000" w14:paraId="000001D7">
      <w:pPr>
        <w:tabs>
          <w:tab w:val="left" w:leader="none" w:pos="8222"/>
        </w:tabs>
        <w:spacing w:after="0" w:line="240" w:lineRule="auto"/>
        <w:ind w:left="1134"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III</w:t>
      </w:r>
      <w:r w:rsidDel="00000000" w:rsidR="00000000" w:rsidRPr="00000000">
        <w:rPr>
          <w:rFonts w:ascii="Palatino Linotype" w:cs="Palatino Linotype" w:eastAsia="Palatino Linotype" w:hAnsi="Palatino Linotype"/>
          <w:i w:val="1"/>
          <w:sz w:val="21"/>
          <w:szCs w:val="21"/>
          <w:rtl w:val="0"/>
        </w:rPr>
        <w:t xml:space="preserve">. </w:t>
      </w:r>
      <w:r w:rsidDel="00000000" w:rsidR="00000000" w:rsidRPr="00000000">
        <w:rPr>
          <w:rFonts w:ascii="Palatino Linotype" w:cs="Palatino Linotype" w:eastAsia="Palatino Linotype" w:hAnsi="Palatino Linotype"/>
          <w:b w:val="1"/>
          <w:i w:val="1"/>
          <w:sz w:val="21"/>
          <w:szCs w:val="21"/>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sz w:val="21"/>
          <w:szCs w:val="21"/>
          <w:rtl w:val="0"/>
        </w:rPr>
        <w:t xml:space="preserve">.”</w:t>
      </w:r>
    </w:p>
    <w:p w:rsidR="00000000" w:rsidDel="00000000" w:rsidP="00000000" w:rsidRDefault="00000000" w:rsidRPr="00000000" w14:paraId="000001D8">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w:t>
      </w:r>
      <w:r w:rsidDel="00000000" w:rsidR="00000000" w:rsidRPr="00000000">
        <w:rPr>
          <w:rFonts w:ascii="Palatino Linotype" w:cs="Palatino Linotype" w:eastAsia="Palatino Linotype" w:hAnsi="Palatino Linotype"/>
          <w:b w:val="1"/>
          <w:i w:val="1"/>
          <w:sz w:val="21"/>
          <w:szCs w:val="21"/>
          <w:rtl w:val="0"/>
        </w:rPr>
        <w:t xml:space="preserve">Segundo.-</w:t>
      </w:r>
      <w:r w:rsidDel="00000000" w:rsidR="00000000" w:rsidRPr="00000000">
        <w:rPr>
          <w:rFonts w:ascii="Palatino Linotype" w:cs="Palatino Linotype" w:eastAsia="Palatino Linotype" w:hAnsi="Palatino Linotype"/>
          <w:i w:val="1"/>
          <w:sz w:val="21"/>
          <w:szCs w:val="21"/>
          <w:rtl w:val="0"/>
        </w:rPr>
        <w:t xml:space="preserve"> Para efectos de los presentes Lineamientos Generales, se entenderá por:</w:t>
      </w:r>
    </w:p>
    <w:p w:rsidR="00000000" w:rsidDel="00000000" w:rsidP="00000000" w:rsidRDefault="00000000" w:rsidRPr="00000000" w14:paraId="000001D9">
      <w:pPr>
        <w:tabs>
          <w:tab w:val="left" w:leader="none" w:pos="8222"/>
        </w:tabs>
        <w:spacing w:after="0" w:line="240" w:lineRule="auto"/>
        <w:ind w:left="1134"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XVIII.</w:t>
      </w:r>
      <w:r w:rsidDel="00000000" w:rsidR="00000000" w:rsidRPr="00000000">
        <w:rPr>
          <w:rFonts w:ascii="Palatino Linotype" w:cs="Palatino Linotype" w:eastAsia="Palatino Linotype" w:hAnsi="Palatino Linotype"/>
          <w:i w:val="1"/>
          <w:sz w:val="21"/>
          <w:szCs w:val="21"/>
          <w:rtl w:val="0"/>
        </w:rPr>
        <w:t xml:space="preserve"> </w:t>
      </w:r>
      <w:r w:rsidDel="00000000" w:rsidR="00000000" w:rsidRPr="00000000">
        <w:rPr>
          <w:rFonts w:ascii="Palatino Linotype" w:cs="Palatino Linotype" w:eastAsia="Palatino Linotype" w:hAnsi="Palatino Linotype"/>
          <w:b w:val="1"/>
          <w:i w:val="1"/>
          <w:sz w:val="21"/>
          <w:szCs w:val="21"/>
          <w:rtl w:val="0"/>
        </w:rPr>
        <w:t xml:space="preserve">Versión pública:</w:t>
      </w:r>
      <w:r w:rsidDel="00000000" w:rsidR="00000000" w:rsidRPr="00000000">
        <w:rPr>
          <w:rFonts w:ascii="Palatino Linotype" w:cs="Palatino Linotype" w:eastAsia="Palatino Linotype" w:hAnsi="Palatino Linotype"/>
          <w:i w:val="1"/>
          <w:sz w:val="21"/>
          <w:szCs w:val="2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1"/>
          <w:szCs w:val="21"/>
          <w:rtl w:val="0"/>
        </w:rPr>
        <w:t xml:space="preserve">fundando y motivando la</w:t>
      </w:r>
      <w:r w:rsidDel="00000000" w:rsidR="00000000" w:rsidRPr="00000000">
        <w:rPr>
          <w:rFonts w:ascii="Palatino Linotype" w:cs="Palatino Linotype" w:eastAsia="Palatino Linotype" w:hAnsi="Palatino Linotype"/>
          <w:i w:val="1"/>
          <w:sz w:val="21"/>
          <w:szCs w:val="21"/>
          <w:rtl w:val="0"/>
        </w:rPr>
        <w:t xml:space="preserve"> reserva o </w:t>
      </w:r>
      <w:r w:rsidDel="00000000" w:rsidR="00000000" w:rsidRPr="00000000">
        <w:rPr>
          <w:rFonts w:ascii="Palatino Linotype" w:cs="Palatino Linotype" w:eastAsia="Palatino Linotype" w:hAnsi="Palatino Linotype"/>
          <w:b w:val="1"/>
          <w:i w:val="1"/>
          <w:sz w:val="21"/>
          <w:szCs w:val="21"/>
          <w:rtl w:val="0"/>
        </w:rPr>
        <w:t xml:space="preserve">confidencialidad</w:t>
      </w:r>
      <w:r w:rsidDel="00000000" w:rsidR="00000000" w:rsidRPr="00000000">
        <w:rPr>
          <w:rFonts w:ascii="Palatino Linotype" w:cs="Palatino Linotype" w:eastAsia="Palatino Linotype" w:hAnsi="Palatino Linotype"/>
          <w:i w:val="1"/>
          <w:sz w:val="21"/>
          <w:szCs w:val="21"/>
          <w:rtl w:val="0"/>
        </w:rPr>
        <w:t xml:space="preserve">, a través de la resolución que para tal efecto emita el Comité de Transparencia.</w:t>
      </w:r>
    </w:p>
    <w:p w:rsidR="00000000" w:rsidDel="00000000" w:rsidP="00000000" w:rsidRDefault="00000000" w:rsidRPr="00000000" w14:paraId="000001DA">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Cuarto.</w:t>
      </w:r>
      <w:r w:rsidDel="00000000" w:rsidR="00000000" w:rsidRPr="00000000">
        <w:rPr>
          <w:rFonts w:ascii="Palatino Linotype" w:cs="Palatino Linotype" w:eastAsia="Palatino Linotype" w:hAnsi="Palatino Linotype"/>
          <w:i w:val="1"/>
          <w:sz w:val="21"/>
          <w:szCs w:val="21"/>
          <w:rtl w:val="0"/>
        </w:rPr>
        <w:t xml:space="preserve"> </w:t>
      </w:r>
      <w:r w:rsidDel="00000000" w:rsidR="00000000" w:rsidRPr="00000000">
        <w:rPr>
          <w:rFonts w:ascii="Palatino Linotype" w:cs="Palatino Linotype" w:eastAsia="Palatino Linotype" w:hAnsi="Palatino Linotype"/>
          <w:b w:val="1"/>
          <w:i w:val="1"/>
          <w:sz w:val="21"/>
          <w:szCs w:val="21"/>
          <w:rtl w:val="0"/>
        </w:rPr>
        <w:t xml:space="preserve">Para clasificar la información como</w:t>
      </w:r>
      <w:r w:rsidDel="00000000" w:rsidR="00000000" w:rsidRPr="00000000">
        <w:rPr>
          <w:rFonts w:ascii="Palatino Linotype" w:cs="Palatino Linotype" w:eastAsia="Palatino Linotype" w:hAnsi="Palatino Linotype"/>
          <w:i w:val="1"/>
          <w:sz w:val="21"/>
          <w:szCs w:val="21"/>
          <w:rtl w:val="0"/>
        </w:rPr>
        <w:t xml:space="preserve"> reservada o </w:t>
      </w:r>
      <w:r w:rsidDel="00000000" w:rsidR="00000000" w:rsidRPr="00000000">
        <w:rPr>
          <w:rFonts w:ascii="Palatino Linotype" w:cs="Palatino Linotype" w:eastAsia="Palatino Linotype" w:hAnsi="Palatino Linotype"/>
          <w:b w:val="1"/>
          <w:i w:val="1"/>
          <w:sz w:val="21"/>
          <w:szCs w:val="21"/>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1"/>
          <w:szCs w:val="21"/>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DB">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DC">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Quinto.</w:t>
      </w:r>
      <w:r w:rsidDel="00000000" w:rsidR="00000000" w:rsidRPr="00000000">
        <w:rPr>
          <w:rFonts w:ascii="Palatino Linotype" w:cs="Palatino Linotype" w:eastAsia="Palatino Linotype" w:hAnsi="Palatino Linotype"/>
          <w:i w:val="1"/>
          <w:sz w:val="21"/>
          <w:szCs w:val="2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DD">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Sexto.</w:t>
      </w:r>
      <w:r w:rsidDel="00000000" w:rsidR="00000000" w:rsidRPr="00000000">
        <w:rPr>
          <w:rFonts w:ascii="Palatino Linotype" w:cs="Palatino Linotype" w:eastAsia="Palatino Linotype" w:hAnsi="Palatino Linotype"/>
          <w:i w:val="1"/>
          <w:sz w:val="21"/>
          <w:szCs w:val="21"/>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1DE">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1DF">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Séptimo.</w:t>
      </w:r>
      <w:r w:rsidDel="00000000" w:rsidR="00000000" w:rsidRPr="00000000">
        <w:rPr>
          <w:rFonts w:ascii="Palatino Linotype" w:cs="Palatino Linotype" w:eastAsia="Palatino Linotype" w:hAnsi="Palatino Linotype"/>
          <w:i w:val="1"/>
          <w:sz w:val="21"/>
          <w:szCs w:val="21"/>
          <w:rtl w:val="0"/>
        </w:rPr>
        <w:t xml:space="preserve"> La clasificación de la información se llevará a cabo en el momento en que:</w:t>
      </w:r>
    </w:p>
    <w:p w:rsidR="00000000" w:rsidDel="00000000" w:rsidP="00000000" w:rsidRDefault="00000000" w:rsidRPr="00000000" w14:paraId="000001E0">
      <w:pPr>
        <w:tabs>
          <w:tab w:val="left" w:leader="none" w:pos="8222"/>
        </w:tabs>
        <w:spacing w:after="0" w:line="240" w:lineRule="auto"/>
        <w:ind w:left="1134"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w:t>
      </w:r>
      <w:r w:rsidDel="00000000" w:rsidR="00000000" w:rsidRPr="00000000">
        <w:rPr>
          <w:rFonts w:ascii="Palatino Linotype" w:cs="Palatino Linotype" w:eastAsia="Palatino Linotype" w:hAnsi="Palatino Linotype"/>
          <w:i w:val="1"/>
          <w:sz w:val="21"/>
          <w:szCs w:val="21"/>
          <w:rtl w:val="0"/>
        </w:rPr>
        <w:t xml:space="preserve"> Se reciba una solicitud de acceso a la información;</w:t>
      </w:r>
    </w:p>
    <w:p w:rsidR="00000000" w:rsidDel="00000000" w:rsidP="00000000" w:rsidRDefault="00000000" w:rsidRPr="00000000" w14:paraId="000001E1">
      <w:pPr>
        <w:tabs>
          <w:tab w:val="left" w:leader="none" w:pos="8222"/>
        </w:tabs>
        <w:spacing w:after="0" w:line="240" w:lineRule="auto"/>
        <w:ind w:left="1134"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II.</w:t>
      </w:r>
      <w:r w:rsidDel="00000000" w:rsidR="00000000" w:rsidRPr="00000000">
        <w:rPr>
          <w:rFonts w:ascii="Palatino Linotype" w:cs="Palatino Linotype" w:eastAsia="Palatino Linotype" w:hAnsi="Palatino Linotype"/>
          <w:i w:val="1"/>
          <w:sz w:val="21"/>
          <w:szCs w:val="21"/>
          <w:rtl w:val="0"/>
        </w:rPr>
        <w:t xml:space="preserve"> Se determine mediante resolución de autoridad competente, o</w:t>
      </w:r>
    </w:p>
    <w:p w:rsidR="00000000" w:rsidDel="00000000" w:rsidP="00000000" w:rsidRDefault="00000000" w:rsidRPr="00000000" w14:paraId="000001E2">
      <w:pPr>
        <w:tabs>
          <w:tab w:val="left" w:leader="none" w:pos="8222"/>
        </w:tabs>
        <w:spacing w:after="0" w:line="240" w:lineRule="auto"/>
        <w:ind w:left="1134"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III.</w:t>
      </w:r>
      <w:r w:rsidDel="00000000" w:rsidR="00000000" w:rsidRPr="00000000">
        <w:rPr>
          <w:rFonts w:ascii="Palatino Linotype" w:cs="Palatino Linotype" w:eastAsia="Palatino Linotype" w:hAnsi="Palatino Linotype"/>
          <w:i w:val="1"/>
          <w:sz w:val="21"/>
          <w:szCs w:val="21"/>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E3">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1E4">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Octavo.</w:t>
      </w:r>
      <w:r w:rsidDel="00000000" w:rsidR="00000000" w:rsidRPr="00000000">
        <w:rPr>
          <w:rFonts w:ascii="Palatino Linotype" w:cs="Palatino Linotype" w:eastAsia="Palatino Linotype" w:hAnsi="Palatino Linotype"/>
          <w:i w:val="1"/>
          <w:sz w:val="21"/>
          <w:szCs w:val="2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E5">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E6">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1E7">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1E8">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1E9">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Noveno.</w:t>
      </w:r>
      <w:r w:rsidDel="00000000" w:rsidR="00000000" w:rsidRPr="00000000">
        <w:rPr>
          <w:rFonts w:ascii="Palatino Linotype" w:cs="Palatino Linotype" w:eastAsia="Palatino Linotype" w:hAnsi="Palatino Linotype"/>
          <w:i w:val="1"/>
          <w:sz w:val="21"/>
          <w:szCs w:val="2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EA">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Décimo.</w:t>
      </w:r>
      <w:r w:rsidDel="00000000" w:rsidR="00000000" w:rsidRPr="00000000">
        <w:rPr>
          <w:rFonts w:ascii="Palatino Linotype" w:cs="Palatino Linotype" w:eastAsia="Palatino Linotype" w:hAnsi="Palatino Linotype"/>
          <w:i w:val="1"/>
          <w:sz w:val="21"/>
          <w:szCs w:val="2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1EB">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EC">
      <w:pPr>
        <w:tabs>
          <w:tab w:val="left" w:leader="none" w:pos="8222"/>
        </w:tabs>
        <w:spacing w:after="0" w:line="240" w:lineRule="auto"/>
        <w:ind w:left="851" w:right="1134"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Décimo primero.</w:t>
      </w:r>
      <w:r w:rsidDel="00000000" w:rsidR="00000000" w:rsidRPr="00000000">
        <w:rPr>
          <w:rFonts w:ascii="Palatino Linotype" w:cs="Palatino Linotype" w:eastAsia="Palatino Linotype" w:hAnsi="Palatino Linotype"/>
          <w:i w:val="1"/>
          <w:sz w:val="21"/>
          <w:szCs w:val="2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ED">
      <w:pPr>
        <w:spacing w:after="0" w:line="360" w:lineRule="auto"/>
        <w:jc w:val="both"/>
        <w:rPr>
          <w:rFonts w:ascii="Palatino Linotype" w:cs="Palatino Linotype" w:eastAsia="Palatino Linotype" w:hAnsi="Palatino Linotype"/>
        </w:rPr>
      </w:pPr>
      <w:bookmarkStart w:colFirst="0" w:colLast="0" w:name="_heading=h.4d34og8" w:id="5"/>
      <w:bookmarkEnd w:id="5"/>
      <w:r w:rsidDel="00000000" w:rsidR="00000000" w:rsidRPr="00000000">
        <w:rPr>
          <w:rtl w:val="0"/>
        </w:rPr>
      </w:r>
    </w:p>
    <w:p w:rsidR="00000000" w:rsidDel="00000000" w:rsidP="00000000" w:rsidRDefault="00000000" w:rsidRPr="00000000" w14:paraId="000001E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rsidR="00000000" w:rsidDel="00000000" w:rsidP="00000000" w:rsidRDefault="00000000" w:rsidRPr="00000000" w14:paraId="000001EF">
      <w:pPr>
        <w:spacing w:after="0"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spacing w:after="0" w:line="24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CAPÍTULO VIII</w:t>
      </w:r>
    </w:p>
    <w:p w:rsidR="00000000" w:rsidDel="00000000" w:rsidP="00000000" w:rsidRDefault="00000000" w:rsidRPr="00000000" w14:paraId="000001F1">
      <w:pPr>
        <w:spacing w:after="0" w:line="24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LA LEYENDA DE CLASIFICACIÓN</w:t>
      </w:r>
    </w:p>
    <w:p w:rsidR="00000000" w:rsidDel="00000000" w:rsidP="00000000" w:rsidRDefault="00000000" w:rsidRPr="00000000" w14:paraId="000001F2">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F3">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tercero. </w:t>
      </w:r>
      <w:r w:rsidDel="00000000" w:rsidR="00000000" w:rsidRPr="00000000">
        <w:rPr>
          <w:rFonts w:ascii="Palatino Linotype" w:cs="Palatino Linotype" w:eastAsia="Palatino Linotype" w:hAnsi="Palatino Linotype"/>
          <w:b w:val="1"/>
          <w:i w:val="1"/>
          <w:u w:val="single"/>
          <w:rtl w:val="0"/>
        </w:rPr>
        <w:t xml:space="preserve">El formato para señalar la clasificación parcial de un documento</w:t>
      </w:r>
      <w:r w:rsidDel="00000000" w:rsidR="00000000" w:rsidRPr="00000000">
        <w:rPr>
          <w:rFonts w:ascii="Palatino Linotype" w:cs="Palatino Linotype" w:eastAsia="Palatino Linotype" w:hAnsi="Palatino Linotype"/>
          <w:i w:val="1"/>
          <w:rtl w:val="0"/>
        </w:rPr>
        <w:t xml:space="preserve">, es el siguiente:</w:t>
      </w:r>
    </w:p>
    <w:p w:rsidR="00000000" w:rsidDel="00000000" w:rsidP="00000000" w:rsidRDefault="00000000" w:rsidRPr="00000000" w14:paraId="000001F4">
      <w:pPr>
        <w:spacing w:after="0" w:line="240" w:lineRule="auto"/>
        <w:ind w:left="851"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1F5">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Los documentos que integren un expediente reservado o confidencial en su totalidad no deberán marcarse en lo individual.</w:t>
      </w:r>
    </w:p>
    <w:p w:rsidR="00000000" w:rsidDel="00000000" w:rsidP="00000000" w:rsidRDefault="00000000" w:rsidRPr="00000000" w14:paraId="000001F6">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Una vez desclasificados los expedientes, si existieren documentos que tuvieran el carácter de reservados o confidenciales, deberán ser marcados.</w:t>
      </w:r>
    </w:p>
    <w:p w:rsidR="00000000" w:rsidDel="00000000" w:rsidP="00000000" w:rsidRDefault="00000000" w:rsidRPr="00000000" w14:paraId="000001F7">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formato para señalar la clasificación de expedientes que por su naturaleza sean en su totalidad reservados o confidenciales, es el siguiente:”</w:t>
      </w:r>
    </w:p>
    <w:p w:rsidR="00000000" w:rsidDel="00000000" w:rsidP="00000000" w:rsidRDefault="00000000" w:rsidRPr="00000000" w14:paraId="000001F8">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F9">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tl w:val="0"/>
        </w:rPr>
      </w:r>
    </w:p>
    <w:tbl>
      <w:tblPr>
        <w:tblStyle w:val="Table1"/>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FA">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Parcial</w:t>
            </w:r>
          </w:p>
        </w:tc>
        <w:tc>
          <w:tcPr>
            <w:gridSpan w:val="2"/>
          </w:tcPr>
          <w:p w:rsidR="00000000" w:rsidDel="00000000" w:rsidP="00000000" w:rsidRDefault="00000000" w:rsidRPr="00000000" w14:paraId="000001FC">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w:t>
            </w:r>
          </w:p>
        </w:tc>
      </w:tr>
      <w:tr>
        <w:trPr>
          <w:cantSplit w:val="0"/>
          <w:tblHeader w:val="0"/>
        </w:trPr>
        <w:tc>
          <w:tcPr/>
          <w:p w:rsidR="00000000" w:rsidDel="00000000" w:rsidP="00000000" w:rsidRDefault="00000000" w:rsidRPr="00000000" w14:paraId="000001FE">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Concepto</w:t>
            </w:r>
          </w:p>
        </w:tc>
        <w:tc>
          <w:tcPr/>
          <w:p w:rsidR="00000000" w:rsidDel="00000000" w:rsidP="00000000" w:rsidRDefault="00000000" w:rsidRPr="00000000" w14:paraId="000001FF">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Dónde</w:t>
            </w:r>
          </w:p>
        </w:tc>
        <w:tc>
          <w:tcPr/>
          <w:p w:rsidR="00000000" w:rsidDel="00000000" w:rsidP="00000000" w:rsidRDefault="00000000" w:rsidRPr="00000000" w14:paraId="00000200">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Concepto</w:t>
            </w:r>
          </w:p>
        </w:tc>
        <w:tc>
          <w:tcPr/>
          <w:p w:rsidR="00000000" w:rsidDel="00000000" w:rsidP="00000000" w:rsidRDefault="00000000" w:rsidRPr="00000000" w14:paraId="00000201">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Dónde</w:t>
            </w:r>
          </w:p>
        </w:tc>
      </w:tr>
      <w:tr>
        <w:trPr>
          <w:cantSplit w:val="0"/>
          <w:tblHeader w:val="0"/>
        </w:trPr>
        <w:tc>
          <w:tcPr>
            <w:gridSpan w:val="4"/>
          </w:tcPr>
          <w:p w:rsidR="00000000" w:rsidDel="00000000" w:rsidP="00000000" w:rsidRDefault="00000000" w:rsidRPr="00000000" w14:paraId="00000202">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Sello oficial o logotipo del sujeto obligado</w:t>
            </w:r>
          </w:p>
        </w:tc>
      </w:tr>
      <w:tr>
        <w:trPr>
          <w:cantSplit w:val="0"/>
          <w:tblHeader w:val="0"/>
        </w:trPr>
        <w:tc>
          <w:tcPr/>
          <w:p w:rsidR="00000000" w:rsidDel="00000000" w:rsidP="00000000" w:rsidRDefault="00000000" w:rsidRPr="00000000" w14:paraId="00000206">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clasificación</w:t>
            </w:r>
          </w:p>
        </w:tc>
        <w:tc>
          <w:tcPr/>
          <w:p w:rsidR="00000000" w:rsidDel="00000000" w:rsidP="00000000" w:rsidRDefault="00000000" w:rsidRPr="00000000" w14:paraId="00000207">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la que el Comité de Transparencia confirmó la clasificación del documento, en su caso.</w:t>
            </w:r>
          </w:p>
        </w:tc>
        <w:tc>
          <w:tcPr/>
          <w:p w:rsidR="00000000" w:rsidDel="00000000" w:rsidP="00000000" w:rsidRDefault="00000000" w:rsidRPr="00000000" w14:paraId="00000208">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Fecha de clasificación</w:t>
            </w:r>
          </w:p>
        </w:tc>
        <w:tc>
          <w:tcPr/>
          <w:p w:rsidR="00000000" w:rsidDel="00000000" w:rsidP="00000000" w:rsidRDefault="00000000" w:rsidRPr="00000000" w14:paraId="00000209">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20A">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Área</w:t>
            </w:r>
          </w:p>
        </w:tc>
        <w:tc>
          <w:tcPr/>
          <w:p w:rsidR="00000000" w:rsidDel="00000000" w:rsidP="00000000" w:rsidRDefault="00000000" w:rsidRPr="00000000" w14:paraId="0000020B">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área del cual es titular quien clasifica.</w:t>
            </w:r>
          </w:p>
        </w:tc>
        <w:tc>
          <w:tcPr/>
          <w:p w:rsidR="00000000" w:rsidDel="00000000" w:rsidP="00000000" w:rsidRDefault="00000000" w:rsidRPr="00000000" w14:paraId="0000020C">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Área</w:t>
            </w:r>
          </w:p>
        </w:tc>
        <w:tc>
          <w:tcPr/>
          <w:p w:rsidR="00000000" w:rsidDel="00000000" w:rsidP="00000000" w:rsidRDefault="00000000" w:rsidRPr="00000000" w14:paraId="0000020D">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20E">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Información reservada</w:t>
            </w:r>
          </w:p>
        </w:tc>
        <w:tc>
          <w:tcPr/>
          <w:p w:rsidR="00000000" w:rsidDel="00000000" w:rsidP="00000000" w:rsidRDefault="00000000" w:rsidRPr="00000000" w14:paraId="0000020F">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210">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Reservado</w:t>
            </w:r>
          </w:p>
        </w:tc>
        <w:tc>
          <w:tcPr/>
          <w:p w:rsidR="00000000" w:rsidDel="00000000" w:rsidP="00000000" w:rsidRDefault="00000000" w:rsidRPr="00000000" w14:paraId="00000211">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Leyenda de información RESERVADA.</w:t>
            </w:r>
          </w:p>
        </w:tc>
      </w:tr>
      <w:tr>
        <w:trPr>
          <w:cantSplit w:val="0"/>
          <w:tblHeader w:val="0"/>
        </w:trPr>
        <w:tc>
          <w:tcPr/>
          <w:p w:rsidR="00000000" w:rsidDel="00000000" w:rsidP="00000000" w:rsidRDefault="00000000" w:rsidRPr="00000000" w14:paraId="00000212">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Fundamento legal</w:t>
            </w:r>
          </w:p>
        </w:tc>
        <w:tc>
          <w:tcPr/>
          <w:p w:rsidR="00000000" w:rsidDel="00000000" w:rsidP="00000000" w:rsidRDefault="00000000" w:rsidRPr="00000000" w14:paraId="00000213">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214">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Periodo de reserva</w:t>
            </w:r>
          </w:p>
        </w:tc>
        <w:tc>
          <w:tcPr/>
          <w:p w:rsidR="00000000" w:rsidDel="00000000" w:rsidP="00000000" w:rsidRDefault="00000000" w:rsidRPr="00000000" w14:paraId="00000215">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216">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Ampliación del periodo de reserva</w:t>
            </w:r>
          </w:p>
        </w:tc>
        <w:tc>
          <w:tcPr/>
          <w:p w:rsidR="00000000" w:rsidDel="00000000" w:rsidP="00000000" w:rsidRDefault="00000000" w:rsidRPr="00000000" w14:paraId="00000217">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218">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Fundamento legal</w:t>
            </w:r>
          </w:p>
        </w:tc>
        <w:tc>
          <w:tcPr/>
          <w:p w:rsidR="00000000" w:rsidDel="00000000" w:rsidP="00000000" w:rsidRDefault="00000000" w:rsidRPr="00000000" w14:paraId="00000219">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21A">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c>
          <w:tcPr/>
          <w:p w:rsidR="00000000" w:rsidDel="00000000" w:rsidP="00000000" w:rsidRDefault="00000000" w:rsidRPr="00000000" w14:paraId="0000021B">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21C">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Ampliación del periodo de reserva</w:t>
            </w:r>
          </w:p>
        </w:tc>
        <w:tc>
          <w:tcPr/>
          <w:p w:rsidR="00000000" w:rsidDel="00000000" w:rsidP="00000000" w:rsidRDefault="00000000" w:rsidRPr="00000000" w14:paraId="0000021D">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21E">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Fundamento legal</w:t>
            </w:r>
          </w:p>
        </w:tc>
        <w:tc>
          <w:tcPr/>
          <w:p w:rsidR="00000000" w:rsidDel="00000000" w:rsidP="00000000" w:rsidRDefault="00000000" w:rsidRPr="00000000" w14:paraId="0000021F">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220">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Confidencial</w:t>
            </w:r>
          </w:p>
        </w:tc>
        <w:tc>
          <w:tcPr/>
          <w:p w:rsidR="00000000" w:rsidDel="00000000" w:rsidP="00000000" w:rsidRDefault="00000000" w:rsidRPr="00000000" w14:paraId="00000221">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Leyenda de información CONFIDENCIAL.</w:t>
            </w:r>
          </w:p>
        </w:tc>
      </w:tr>
      <w:tr>
        <w:trPr>
          <w:cantSplit w:val="0"/>
          <w:tblHeader w:val="0"/>
        </w:trPr>
        <w:tc>
          <w:tcPr/>
          <w:p w:rsidR="00000000" w:rsidDel="00000000" w:rsidP="00000000" w:rsidRDefault="00000000" w:rsidRPr="00000000" w14:paraId="00000222">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del titular del área</w:t>
            </w:r>
          </w:p>
        </w:tc>
        <w:tc>
          <w:tcPr/>
          <w:p w:rsidR="00000000" w:rsidDel="00000000" w:rsidP="00000000" w:rsidRDefault="00000000" w:rsidRPr="00000000" w14:paraId="00000223">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de quien clasifica.</w:t>
            </w:r>
          </w:p>
        </w:tc>
        <w:tc>
          <w:tcPr/>
          <w:p w:rsidR="00000000" w:rsidDel="00000000" w:rsidP="00000000" w:rsidRDefault="00000000" w:rsidRPr="00000000" w14:paraId="00000224">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Fundamento legal</w:t>
            </w:r>
          </w:p>
        </w:tc>
        <w:tc>
          <w:tcPr/>
          <w:p w:rsidR="00000000" w:rsidDel="00000000" w:rsidP="00000000" w:rsidRDefault="00000000" w:rsidRPr="00000000" w14:paraId="00000225">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226">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desclasificación</w:t>
            </w:r>
          </w:p>
        </w:tc>
        <w:tc>
          <w:tcPr/>
          <w:p w:rsidR="00000000" w:rsidDel="00000000" w:rsidP="00000000" w:rsidRDefault="00000000" w:rsidRPr="00000000" w14:paraId="00000227">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que se desclasifica el documento.</w:t>
            </w:r>
          </w:p>
        </w:tc>
        <w:tc>
          <w:tcPr/>
          <w:p w:rsidR="00000000" w:rsidDel="00000000" w:rsidP="00000000" w:rsidRDefault="00000000" w:rsidRPr="00000000" w14:paraId="00000228">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Rúbrica del titular del área</w:t>
            </w:r>
          </w:p>
        </w:tc>
        <w:tc>
          <w:tcPr/>
          <w:p w:rsidR="00000000" w:rsidDel="00000000" w:rsidP="00000000" w:rsidRDefault="00000000" w:rsidRPr="00000000" w14:paraId="00000229">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de quien clasifica.</w:t>
            </w:r>
          </w:p>
        </w:tc>
      </w:tr>
      <w:tr>
        <w:trPr>
          <w:cantSplit w:val="0"/>
          <w:tblHeader w:val="0"/>
        </w:trPr>
        <w:tc>
          <w:tcPr/>
          <w:p w:rsidR="00000000" w:rsidDel="00000000" w:rsidP="00000000" w:rsidRDefault="00000000" w:rsidRPr="00000000" w14:paraId="0000022A">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y cargo del servidor público</w:t>
            </w:r>
          </w:p>
        </w:tc>
        <w:tc>
          <w:tcPr/>
          <w:p w:rsidR="00000000" w:rsidDel="00000000" w:rsidP="00000000" w:rsidRDefault="00000000" w:rsidRPr="00000000" w14:paraId="0000022B">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de quien desclasifica.</w:t>
            </w:r>
          </w:p>
        </w:tc>
        <w:tc>
          <w:tcPr/>
          <w:p w:rsidR="00000000" w:rsidDel="00000000" w:rsidP="00000000" w:rsidRDefault="00000000" w:rsidRPr="00000000" w14:paraId="0000022C">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Fecha de desclasificación</w:t>
            </w:r>
          </w:p>
        </w:tc>
        <w:tc>
          <w:tcPr/>
          <w:p w:rsidR="00000000" w:rsidDel="00000000" w:rsidP="00000000" w:rsidRDefault="00000000" w:rsidRPr="00000000" w14:paraId="0000022D">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que se desclasifica.</w:t>
            </w:r>
          </w:p>
        </w:tc>
      </w:tr>
      <w:tr>
        <w:trPr>
          <w:cantSplit w:val="0"/>
          <w:tblHeader w:val="0"/>
        </w:trPr>
        <w:tc>
          <w:tcPr/>
          <w:p w:rsidR="00000000" w:rsidDel="00000000" w:rsidP="00000000" w:rsidRDefault="00000000" w:rsidRPr="00000000" w14:paraId="0000022E">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2F">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30">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Partes o secciones reservadas o confidenciales</w:t>
            </w:r>
          </w:p>
        </w:tc>
        <w:tc>
          <w:tcPr/>
          <w:p w:rsidR="00000000" w:rsidDel="00000000" w:rsidP="00000000" w:rsidRDefault="00000000" w:rsidRPr="00000000" w14:paraId="00000231">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232">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33">
            <w:pPr>
              <w:spacing w:line="276"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34">
            <w:pPr>
              <w:spacing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Rúbrica y cargo del servidor público</w:t>
            </w:r>
          </w:p>
        </w:tc>
        <w:tc>
          <w:tcPr/>
          <w:p w:rsidR="00000000" w:rsidDel="00000000" w:rsidP="00000000" w:rsidRDefault="00000000" w:rsidRPr="00000000" w14:paraId="00000235">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de quien desclasifica.</w:t>
            </w:r>
          </w:p>
        </w:tc>
      </w:tr>
    </w:tbl>
    <w:p w:rsidR="00000000" w:rsidDel="00000000" w:rsidP="00000000" w:rsidRDefault="00000000" w:rsidRPr="00000000" w14:paraId="00000236">
      <w:pPr>
        <w:tabs>
          <w:tab w:val="left" w:leader="none" w:pos="993"/>
        </w:tabs>
        <w:spacing w:after="0" w:line="360" w:lineRule="auto"/>
        <w:ind w:right="-28"/>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3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dentro del recurso de revisión </w:t>
      </w:r>
      <w:r w:rsidDel="00000000" w:rsidR="00000000" w:rsidRPr="00000000">
        <w:rPr>
          <w:rFonts w:ascii="Palatino Linotype" w:cs="Palatino Linotype" w:eastAsia="Palatino Linotype" w:hAnsi="Palatino Linotype"/>
          <w:b w:val="1"/>
          <w:sz w:val="24"/>
          <w:szCs w:val="24"/>
          <w:rtl w:val="0"/>
        </w:rPr>
        <w:t xml:space="preserve">11239/INFOEM/IP/RR/2022</w:t>
      </w:r>
      <w:r w:rsidDel="00000000" w:rsidR="00000000" w:rsidRPr="00000000">
        <w:rPr>
          <w:rFonts w:ascii="Palatino Linotype" w:cs="Palatino Linotype" w:eastAsia="Palatino Linotype" w:hAnsi="Palatino Linotype"/>
          <w:sz w:val="24"/>
          <w:szCs w:val="24"/>
          <w:rtl w:val="0"/>
        </w:rPr>
        <w:t xml:space="preserve">; por ello, y con fundamento en la fracción III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4"/>
          <w:szCs w:val="24"/>
          <w:rtl w:val="0"/>
        </w:rPr>
        <w:t xml:space="preserve">REVOCA </w:t>
      </w:r>
      <w:r w:rsidDel="00000000" w:rsidR="00000000" w:rsidRPr="00000000">
        <w:rPr>
          <w:rFonts w:ascii="Palatino Linotype" w:cs="Palatino Linotype" w:eastAsia="Palatino Linotype" w:hAnsi="Palatino Linotype"/>
          <w:sz w:val="24"/>
          <w:szCs w:val="24"/>
          <w:rtl w:val="0"/>
        </w:rPr>
        <w:t xml:space="preserve">la respuesta a la solicitud de información número </w:t>
      </w:r>
      <w:r w:rsidDel="00000000" w:rsidR="00000000" w:rsidRPr="00000000">
        <w:rPr>
          <w:rFonts w:ascii="Palatino Linotype" w:cs="Palatino Linotype" w:eastAsia="Palatino Linotype" w:hAnsi="Palatino Linotype"/>
          <w:b w:val="1"/>
          <w:sz w:val="24"/>
          <w:szCs w:val="24"/>
          <w:rtl w:val="0"/>
        </w:rPr>
        <w:t xml:space="preserve">00176/XONACAT/IP/2022.</w:t>
      </w:r>
      <w:r w:rsidDel="00000000" w:rsidR="00000000" w:rsidRPr="00000000">
        <w:rPr>
          <w:rtl w:val="0"/>
        </w:rPr>
      </w:r>
    </w:p>
    <w:p w:rsidR="00000000" w:rsidDel="00000000" w:rsidP="00000000" w:rsidRDefault="00000000" w:rsidRPr="00000000" w14:paraId="0000023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3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23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3B">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III.</w:t>
        <w:tab/>
        <w:t xml:space="preserve">R E S U E L V E:</w:t>
      </w:r>
    </w:p>
    <w:p w:rsidR="00000000" w:rsidDel="00000000" w:rsidP="00000000" w:rsidRDefault="00000000" w:rsidRPr="00000000" w14:paraId="0000023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3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Resultan</w:t>
      </w:r>
      <w:r w:rsidDel="00000000" w:rsidR="00000000" w:rsidRPr="00000000">
        <w:rPr>
          <w:rFonts w:ascii="Palatino Linotype" w:cs="Palatino Linotype" w:eastAsia="Palatino Linotype" w:hAnsi="Palatino Linotype"/>
          <w:b w:val="1"/>
          <w:sz w:val="24"/>
          <w:szCs w:val="24"/>
          <w:rtl w:val="0"/>
        </w:rPr>
        <w:t xml:space="preserve"> FUNDADOS</w:t>
      </w:r>
      <w:r w:rsidDel="00000000" w:rsidR="00000000" w:rsidRPr="00000000">
        <w:rPr>
          <w:rFonts w:ascii="Palatino Linotype" w:cs="Palatino Linotype" w:eastAsia="Palatino Linotype" w:hAnsi="Palatino Linotype"/>
          <w:sz w:val="24"/>
          <w:szCs w:val="24"/>
          <w:rtl w:val="0"/>
        </w:rPr>
        <w:t xml:space="preserve"> los motivos de inconformidad hechos valer por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11239/INFOEM/IP/RR/2022</w:t>
      </w:r>
      <w:r w:rsidDel="00000000" w:rsidR="00000000" w:rsidRPr="00000000">
        <w:rPr>
          <w:rFonts w:ascii="Palatino Linotype" w:cs="Palatino Linotype" w:eastAsia="Palatino Linotype" w:hAnsi="Palatino Linotype"/>
          <w:sz w:val="24"/>
          <w:szCs w:val="24"/>
          <w:rtl w:val="0"/>
        </w:rPr>
        <w:t xml:space="preserve">, por lo que, en términos del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esta resolución, se </w:t>
      </w:r>
      <w:r w:rsidDel="00000000" w:rsidR="00000000" w:rsidRPr="00000000">
        <w:rPr>
          <w:rFonts w:ascii="Palatino Linotype" w:cs="Palatino Linotype" w:eastAsia="Palatino Linotype" w:hAnsi="Palatino Linotype"/>
          <w:b w:val="1"/>
          <w:sz w:val="24"/>
          <w:szCs w:val="24"/>
          <w:rtl w:val="0"/>
        </w:rPr>
        <w:t xml:space="preserve">REVOCA</w:t>
      </w:r>
      <w:r w:rsidDel="00000000" w:rsidR="00000000" w:rsidRPr="00000000">
        <w:rPr>
          <w:rFonts w:ascii="Palatino Linotype" w:cs="Palatino Linotype" w:eastAsia="Palatino Linotype" w:hAnsi="Palatino Linotype"/>
          <w:sz w:val="24"/>
          <w:szCs w:val="24"/>
          <w:rtl w:val="0"/>
        </w:rPr>
        <w:t xml:space="preserve"> la respuesta emitida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23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3F">
      <w:pPr>
        <w:spacing w:after="0" w:line="360" w:lineRule="auto"/>
        <w:ind w:right="49"/>
        <w:jc w:val="both"/>
        <w:rPr>
          <w:rFonts w:ascii="Palatino Linotype" w:cs="Palatino Linotype" w:eastAsia="Palatino Linotype" w:hAnsi="Palatino Linotype"/>
          <w:sz w:val="24"/>
          <w:szCs w:val="24"/>
        </w:rPr>
      </w:pPr>
      <w:bookmarkStart w:colFirst="0" w:colLast="0" w:name="_heading=h.1fob9te" w:id="6"/>
      <w:bookmarkEnd w:id="6"/>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que, en términos del Considerando Cuarto y Quinto, haga entrega previa búsqueda exhaustiva y razonable, vía Sistema de Acceso a la Información Mexiquense, en versión pública, de la siguiente información:</w:t>
      </w:r>
    </w:p>
    <w:p w:rsidR="00000000" w:rsidDel="00000000" w:rsidP="00000000" w:rsidRDefault="00000000" w:rsidRPr="00000000" w14:paraId="000002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28"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Recibos de nómina de la primera quincena de los meses de enero, febrero, marzo, abril y mayo del dos mil veintidós, de todos los trabajadores del Ayuntamiento y del Sistema Municipal DIF de Xonacatlán.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28"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2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28" w:firstLine="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Responsable de la Unidad de Transparencia</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del Sujeto Obligado</w:t>
      </w:r>
      <w:r w:rsidDel="00000000" w:rsidR="00000000" w:rsidRPr="00000000">
        <w:rPr>
          <w:rFonts w:ascii="Palatino Linotype" w:cs="Palatino Linotype" w:eastAsia="Palatino Linotype" w:hAnsi="Palatino Linotype"/>
          <w:sz w:val="24"/>
          <w:szCs w:val="24"/>
          <w:rtl w:val="0"/>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00000" w:rsidDel="00000000" w:rsidP="00000000" w:rsidRDefault="00000000" w:rsidRPr="00000000" w14:paraId="0000024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w:t>
      </w:r>
      <w:r w:rsidDel="00000000" w:rsidR="00000000" w:rsidRPr="00000000">
        <w:rPr>
          <w:rFonts w:ascii="Palatino Linotype" w:cs="Palatino Linotype" w:eastAsia="Palatino Linotype" w:hAnsi="Palatino Linotype"/>
          <w:sz w:val="24"/>
          <w:szCs w:val="24"/>
          <w:rtl w:val="0"/>
        </w:rPr>
        <w:t xml:space="preserve"> a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24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24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MAYORIA DE VOTOS, EL PLENO DEL INSTITUTO DE TRANSPARENCIA, ACCESO A LA INFORMACIÓN PÚBLICA Y PROTECCIÓN DE DATOS PERSONALES DEL ESTADO DE MÉXICO Y MUNICIPIOS, CONFORMADO POR LOS COMISIONADOS JOSÉ MARTÍNEZ VILCHIS EMITIENDO VOTO PARTICULAR, MARÍA DEL ROSARIO MEJÍA AYALA, SHARON CRISTINA MORALES MARTÍNEZ EMITIENDO VOTO DISIDENTE, LUIS GUSTAVO PARRA NORIEGA EMITIENDO VOTO PARTICULAR Y GUADALUPE RAMÍREZ PEÑA; EN LA OCTAVA SESIÓN ORDINARIA CELEBRADA EL UNO DE MARZO DE DOS MIL VEINTITRÉS, ANTE EL SECRETARIO TÉCNICO DEL PLENO ALEXIS TAPIA RAMÍREZ.</w:t>
      </w:r>
    </w:p>
    <w:p w:rsidR="00000000" w:rsidDel="00000000" w:rsidP="00000000" w:rsidRDefault="00000000" w:rsidRPr="00000000" w14:paraId="0000024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5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5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52">
      <w:pPr>
        <w:spacing w:after="0" w:line="360" w:lineRule="auto"/>
        <w:ind w:right="49"/>
        <w:jc w:val="both"/>
        <w:rPr>
          <w:rFonts w:ascii="Palatino Linotype" w:cs="Palatino Linotype" w:eastAsia="Palatino Linotype" w:hAnsi="Palatino Linotype"/>
          <w:sz w:val="28"/>
          <w:szCs w:val="28"/>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right" w:leader="none" w:pos="0"/>
        </w:tabs>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Resolución RRA2431/17 del Instituto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-761364</wp:posOffset>
          </wp:positionH>
          <wp:positionV relativeFrom="paragraph">
            <wp:posOffset>5080</wp:posOffset>
          </wp:positionV>
          <wp:extent cx="7809876" cy="10165823"/>
          <wp:effectExtent b="0" l="0" r="0" t="0"/>
          <wp:wrapNone/>
          <wp:docPr id="3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11239/INFOEM/IP/RR/2022</w:t>
          </w:r>
        </w:p>
      </w:tc>
    </w:tr>
    <w:tr>
      <w:trPr>
        <w:cantSplit w:val="0"/>
        <w:tblHeader w:val="0"/>
      </w:trPr>
      <w:tc>
        <w:tcPr>
          <w:vAlign w:val="center"/>
        </w:tcPr>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5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 XXXXXX X XX XXXXXXXXXXX XXXXXXX </w:t>
          </w:r>
        </w:p>
      </w:tc>
    </w:tr>
    <w:tr>
      <w:trPr>
        <w:cantSplit w:val="0"/>
        <w:trHeight w:val="743" w:hRule="atLeast"/>
        <w:tblHeader w:val="0"/>
      </w:trPr>
      <w:tc>
        <w:tcPr>
          <w:vAlign w:val="center"/>
        </w:tcPr>
        <w:p w:rsidR="00000000" w:rsidDel="00000000" w:rsidP="00000000" w:rsidRDefault="00000000" w:rsidRPr="00000000" w14:paraId="0000025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5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Xonacatlán</w:t>
          </w:r>
        </w:p>
      </w:tc>
    </w:tr>
    <w:tr>
      <w:trPr>
        <w:cantSplit w:val="0"/>
        <w:tblHeader w:val="0"/>
      </w:trPr>
      <w:tc>
        <w:tcPr>
          <w:vAlign w:val="center"/>
        </w:tcPr>
        <w:p w:rsidR="00000000" w:rsidDel="00000000" w:rsidP="00000000" w:rsidRDefault="00000000" w:rsidRPr="00000000" w14:paraId="0000025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5F">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-774699</wp:posOffset>
          </wp:positionH>
          <wp:positionV relativeFrom="paragraph">
            <wp:posOffset>-345439</wp:posOffset>
          </wp:positionV>
          <wp:extent cx="7809876" cy="10165823"/>
          <wp:effectExtent b="0" l="0" r="0" t="0"/>
          <wp:wrapNone/>
          <wp:docPr id="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6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11239/INFOEM/IP/RR/2022</w:t>
          </w:r>
        </w:p>
      </w:tc>
    </w:tr>
    <w:tr>
      <w:trPr>
        <w:cantSplit w:val="0"/>
        <w:trHeight w:val="643" w:hRule="atLeast"/>
        <w:tblHeader w:val="0"/>
      </w:trPr>
      <w:tc>
        <w:tcPr>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Xonacatlán</w:t>
          </w:r>
        </w:p>
      </w:tc>
    </w:tr>
    <w:tr>
      <w:trPr>
        <w:cantSplit w:val="0"/>
        <w:tblHeader w:val="0"/>
      </w:trPr>
      <w:tc>
        <w:tcPr>
          <w:vAlign w:val="center"/>
        </w:tcPr>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6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0"/>
      <w:numFmt w:val="bullet"/>
      <w:lvlText w:val="•"/>
      <w:lvlJc w:val="left"/>
      <w:pPr>
        <w:ind w:left="1440" w:hanging="360"/>
      </w:pPr>
      <w:rPr>
        <w:rFonts w:ascii="Palatino Linotype" w:cs="Palatino Linotype" w:eastAsia="Palatino Linotype" w:hAnsi="Palatino Linotype"/>
      </w:rPr>
    </w:lvl>
    <w:lvl w:ilvl="2">
      <w:start w:val="1"/>
      <w:numFmt w:val="bullet"/>
      <w:lvlText w:val="●"/>
      <w:lvlJc w:val="left"/>
      <w:pPr>
        <w:ind w:left="2160" w:hanging="360"/>
      </w:pPr>
      <w:rPr>
        <w:rFonts w:ascii="Noto Sans Symbols" w:cs="Noto Sans Symbols" w:eastAsia="Noto Sans Symbols" w:hAnsi="Noto Sans Symbols"/>
        <w:color w:val="000000"/>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80" w:hanging="360"/>
      </w:pPr>
      <w:rPr>
        <w:rFonts w:ascii="Palatino Linotype" w:cs="Palatino Linotype" w:eastAsia="Palatino Linotype" w:hAnsi="Palatino Linotype"/>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tblPr>
      <w:tblStyleRowBandSize w:val="1"/>
      <w:tblStyleColBandSize w:val="1"/>
      <w:tblCellMar>
        <w:top w:w="0.0" w:type="dxa"/>
        <w:left w:w="115.0" w:type="dxa"/>
        <w:bottom w:w="0.0" w:type="dxa"/>
        <w:right w:w="115.0" w:type="dxa"/>
      </w:tblCellMar>
    </w:tblPr>
  </w:style>
  <w:style w:type="table" w:styleId="a1" w:customStyle="1">
    <w:basedOn w:val="TableNormal0"/>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15.0" w:type="dxa"/>
        <w:left w:w="115.0" w:type="dxa"/>
        <w:bottom w:w="15.0" w:type="dxa"/>
        <w:right w:w="115.0" w:type="dxa"/>
      </w:tblCellMar>
    </w:tblPr>
  </w:style>
  <w:style w:type="table" w:styleId="a3" w:customStyle="1">
    <w:basedOn w:val="TableNormal0"/>
    <w:tblPr>
      <w:tblStyleRowBandSize w:val="1"/>
      <w:tblStyleColBandSize w:val="1"/>
      <w:tblCellMar>
        <w:top w:w="15.0" w:type="dxa"/>
        <w:left w:w="115.0" w:type="dxa"/>
        <w:bottom w:w="15.0" w:type="dxa"/>
        <w:right w:w="115.0" w:type="dxa"/>
      </w:tblCellMar>
    </w:tblPr>
  </w:style>
  <w:style w:type="table" w:styleId="a4" w:customStyle="1">
    <w:basedOn w:val="TableNormal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table" w:styleId="Tabladelista1clara-nfasis11" w:customStyle="1">
    <w:name w:val="Tabla de lista 1 clara - Énfasis 11"/>
    <w:basedOn w:val="Tablanormal"/>
    <w:uiPriority w:val="46"/>
    <w:rsid w:val="005A6642"/>
    <w:pPr>
      <w:spacing w:after="0" w:line="240" w:lineRule="auto"/>
    </w:pPr>
    <w:rPr>
      <w:rFonts w:ascii="Times New Roman" w:cs="Times New Roman" w:eastAsia="MS Mincho" w:hAnsi="Times New Roman"/>
      <w:sz w:val="24"/>
      <w:szCs w:val="24"/>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Z48zhzk7Ohgq3QQ5xUqtXfxi9A==">AMUW2mUgbioCazaNfjW1lI4PnHQ6CmZkcPHVG7EzhMKfqlZBVx123/DH24UDBlIektnW+D7a1GrC2j/JdH5Zn5xjzRygb80NPgUDRxvqAxKA0LSDfkMAHTYm7RwgeaLRPTDiRWXAwIwTh+cgnizsl8yHtGc93zt4Fom37zE4oxyKbMs2DCd0N3HlBPgQLdqh8buKKOr6Il6h274Vys4A8KYnfDP70n55GA==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2023-03-08T20:01:00Z</dcterms:created>
  <dc:creator>Cuenta Microsoft</dc:creator>
</cp:coreProperties>
</file>