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B1A" w:rsidRPr="002D19C4" w:rsidRDefault="00A200C6">
      <w:pPr>
        <w:spacing w:before="240" w:after="240" w:line="360" w:lineRule="auto"/>
        <w:jc w:val="both"/>
        <w:rPr>
          <w:rFonts w:ascii="Palatino Linotype" w:eastAsia="Palatino Linotype" w:hAnsi="Palatino Linotype" w:cs="Palatino Linotype"/>
        </w:rPr>
      </w:pPr>
      <w:bookmarkStart w:id="0" w:name="_heading=h.tyjcwt" w:colFirst="0" w:colLast="0"/>
      <w:bookmarkStart w:id="1" w:name="_GoBack"/>
      <w:bookmarkEnd w:id="0"/>
      <w:bookmarkEnd w:id="1"/>
      <w:r w:rsidRPr="002D19C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VISTO</w:t>
      </w:r>
      <w:r w:rsidRPr="002D19C4">
        <w:rPr>
          <w:rFonts w:ascii="Palatino Linotype" w:eastAsia="Palatino Linotype" w:hAnsi="Palatino Linotype" w:cs="Palatino Linotype"/>
        </w:rPr>
        <w:t xml:space="preserve"> el expediente formado con motivo del recurso de revisión </w:t>
      </w:r>
      <w:r w:rsidRPr="002D19C4">
        <w:rPr>
          <w:rFonts w:ascii="Palatino Linotype" w:eastAsia="Palatino Linotype" w:hAnsi="Palatino Linotype" w:cs="Palatino Linotype"/>
          <w:b/>
        </w:rPr>
        <w:t>00159/INFOEM/IP/RR/2023</w:t>
      </w:r>
      <w:r w:rsidRPr="002D19C4">
        <w:rPr>
          <w:rFonts w:ascii="Palatino Linotype" w:eastAsia="Palatino Linotype" w:hAnsi="Palatino Linotype" w:cs="Palatino Linotype"/>
        </w:rPr>
        <w:t xml:space="preserve">, interpuesto por </w:t>
      </w:r>
      <w:r w:rsidRPr="002D19C4">
        <w:rPr>
          <w:rFonts w:ascii="Palatino Linotype" w:eastAsia="Palatino Linotype" w:hAnsi="Palatino Linotype" w:cs="Palatino Linotype"/>
          <w:b/>
        </w:rPr>
        <w:t xml:space="preserve">una persona que no proporcionó nombre o seudónimo  </w:t>
      </w:r>
      <w:r w:rsidRPr="002D19C4">
        <w:rPr>
          <w:rFonts w:ascii="Palatino Linotype" w:eastAsia="Palatino Linotype" w:hAnsi="Palatino Linotype" w:cs="Palatino Linotype"/>
        </w:rPr>
        <w:t>y</w:t>
      </w:r>
      <w:r w:rsidRPr="002D19C4">
        <w:rPr>
          <w:rFonts w:ascii="Palatino Linotype" w:eastAsia="Palatino Linotype" w:hAnsi="Palatino Linotype" w:cs="Palatino Linotype"/>
          <w:b/>
        </w:rPr>
        <w:t xml:space="preserve"> </w:t>
      </w:r>
      <w:r w:rsidRPr="002D19C4">
        <w:rPr>
          <w:rFonts w:ascii="Palatino Linotype" w:eastAsia="Palatino Linotype" w:hAnsi="Palatino Linotype" w:cs="Palatino Linotype"/>
        </w:rPr>
        <w:t>quien en lo sucesivo</w:t>
      </w:r>
      <w:r w:rsidRPr="002D19C4">
        <w:rPr>
          <w:rFonts w:ascii="Palatino Linotype" w:eastAsia="Palatino Linotype" w:hAnsi="Palatino Linotype" w:cs="Palatino Linotype"/>
          <w:b/>
        </w:rPr>
        <w:t xml:space="preserve"> </w:t>
      </w:r>
      <w:r w:rsidRPr="002D19C4">
        <w:rPr>
          <w:rFonts w:ascii="Palatino Linotype" w:eastAsia="Palatino Linotype" w:hAnsi="Palatino Linotype" w:cs="Palatino Linotype"/>
        </w:rPr>
        <w:t xml:space="preserve">será identificado en su calidad de la parte </w:t>
      </w:r>
      <w:r w:rsidRPr="002D19C4">
        <w:rPr>
          <w:rFonts w:ascii="Palatino Linotype" w:eastAsia="Palatino Linotype" w:hAnsi="Palatino Linotype" w:cs="Palatino Linotype"/>
          <w:b/>
        </w:rPr>
        <w:t>Recurrente,</w:t>
      </w:r>
      <w:r w:rsidRPr="002D19C4">
        <w:rPr>
          <w:rFonts w:ascii="Palatino Linotype" w:eastAsia="Palatino Linotype" w:hAnsi="Palatino Linotype" w:cs="Palatino Linotype"/>
        </w:rPr>
        <w:t xml:space="preserve"> en contra de la respuesta del </w:t>
      </w:r>
      <w:r w:rsidRPr="002D19C4">
        <w:rPr>
          <w:rFonts w:ascii="Palatino Linotype" w:eastAsia="Palatino Linotype" w:hAnsi="Palatino Linotype" w:cs="Palatino Linotype"/>
          <w:b/>
        </w:rPr>
        <w:t xml:space="preserve">Ayuntamiento de Valle de Bravo, </w:t>
      </w:r>
      <w:r w:rsidRPr="002D19C4">
        <w:rPr>
          <w:rFonts w:ascii="Palatino Linotype" w:eastAsia="Palatino Linotype" w:hAnsi="Palatino Linotype" w:cs="Palatino Linotype"/>
        </w:rPr>
        <w:t xml:space="preserve">en lo sucesivo 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se procede a dictar la presente resolución con base en los siguientes: </w:t>
      </w:r>
    </w:p>
    <w:p w:rsidR="00F26B1A" w:rsidRPr="002D19C4" w:rsidRDefault="00A200C6">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2D19C4">
        <w:rPr>
          <w:rFonts w:ascii="Palatino Linotype" w:eastAsia="Palatino Linotype" w:hAnsi="Palatino Linotype" w:cs="Palatino Linotype"/>
          <w:b/>
        </w:rPr>
        <w:t>I. A N T E C E D E N T E 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1. Solicitud de acceso a la información.</w:t>
      </w:r>
      <w:r w:rsidRPr="002D19C4">
        <w:rPr>
          <w:rFonts w:ascii="Palatino Linotype" w:eastAsia="Palatino Linotype" w:hAnsi="Palatino Linotype" w:cs="Palatino Linotype"/>
        </w:rPr>
        <w:t xml:space="preserve"> El </w:t>
      </w:r>
      <w:r w:rsidRPr="002D19C4">
        <w:rPr>
          <w:rFonts w:ascii="Palatino Linotype" w:eastAsia="Palatino Linotype" w:hAnsi="Palatino Linotype" w:cs="Palatino Linotype"/>
          <w:b/>
        </w:rPr>
        <w:t>quince de diciembre de dos mil veintidós,</w:t>
      </w:r>
      <w:r w:rsidRPr="002D19C4">
        <w:rPr>
          <w:rFonts w:ascii="Palatino Linotype" w:eastAsia="Palatino Linotype" w:hAnsi="Palatino Linotype" w:cs="Palatino Linotype"/>
        </w:rPr>
        <w:t xml:space="preserve"> la parte </w:t>
      </w:r>
      <w:r w:rsidRPr="002D19C4">
        <w:rPr>
          <w:rFonts w:ascii="Palatino Linotype" w:eastAsia="Palatino Linotype" w:hAnsi="Palatino Linotype" w:cs="Palatino Linotype"/>
          <w:b/>
        </w:rPr>
        <w:t xml:space="preserve">Recurrente </w:t>
      </w:r>
      <w:r w:rsidRPr="002D19C4">
        <w:rPr>
          <w:rFonts w:ascii="Palatino Linotype" w:eastAsia="Palatino Linotype" w:hAnsi="Palatino Linotype" w:cs="Palatino Linotype"/>
        </w:rPr>
        <w:t>presentó a través del Sistema de Acceso a la Información Mexiquense (</w:t>
      </w:r>
      <w:r w:rsidRPr="002D19C4">
        <w:rPr>
          <w:rFonts w:ascii="Palatino Linotype" w:eastAsia="Palatino Linotype" w:hAnsi="Palatino Linotype" w:cs="Palatino Linotype"/>
          <w:b/>
        </w:rPr>
        <w:t>SAIMEX),</w:t>
      </w:r>
      <w:r w:rsidRPr="002D19C4">
        <w:rPr>
          <w:rFonts w:ascii="Palatino Linotype" w:eastAsia="Palatino Linotype" w:hAnsi="Palatino Linotype" w:cs="Palatino Linotype"/>
        </w:rPr>
        <w:t xml:space="preserve"> la solicitud de acceso a la información pública registrada con el número </w:t>
      </w:r>
      <w:r w:rsidRPr="002D19C4">
        <w:rPr>
          <w:rFonts w:ascii="Palatino Linotype" w:eastAsia="Palatino Linotype" w:hAnsi="Palatino Linotype" w:cs="Palatino Linotype"/>
          <w:b/>
        </w:rPr>
        <w:t xml:space="preserve">00380/VABRAVO/IP/2022, </w:t>
      </w:r>
      <w:r w:rsidRPr="002D19C4">
        <w:rPr>
          <w:rFonts w:ascii="Palatino Linotype" w:eastAsia="Palatino Linotype" w:hAnsi="Palatino Linotype" w:cs="Palatino Linotype"/>
        </w:rPr>
        <w:t xml:space="preserve">mediante la cual requirió la información siguiente: </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2D19C4">
        <w:rPr>
          <w:rFonts w:ascii="Palatino Linotype" w:eastAsia="Palatino Linotype" w:hAnsi="Palatino Linotype" w:cs="Palatino Linotype"/>
          <w:i/>
          <w:sz w:val="22"/>
          <w:szCs w:val="22"/>
        </w:rPr>
        <w:t>“espero me puedan hacer llegar el listad de todos los servidores públicos en activo que laboran dentro del ayuntamiento de Valle de Bravo de la actual administración. Gracias.” (Sic)</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Modalidad de Entrega:</w:t>
      </w:r>
      <w:r w:rsidRPr="002D19C4">
        <w:rPr>
          <w:rFonts w:ascii="Palatino Linotype" w:eastAsia="Palatino Linotype" w:hAnsi="Palatino Linotype" w:cs="Palatino Linotype"/>
        </w:rPr>
        <w:t xml:space="preserve"> A través del Sistema de Acceso a la Información Mexiquense (SAIMEX).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lastRenderedPageBreak/>
        <w:t xml:space="preserve">2. Respuesta. </w:t>
      </w:r>
      <w:r w:rsidRPr="002D19C4">
        <w:rPr>
          <w:rFonts w:ascii="Palatino Linotype" w:eastAsia="Palatino Linotype" w:hAnsi="Palatino Linotype" w:cs="Palatino Linotype"/>
        </w:rPr>
        <w:t>El</w:t>
      </w:r>
      <w:r w:rsidRPr="002D19C4">
        <w:rPr>
          <w:rFonts w:ascii="Palatino Linotype" w:eastAsia="Palatino Linotype" w:hAnsi="Palatino Linotype" w:cs="Palatino Linotype"/>
          <w:b/>
        </w:rPr>
        <w:t xml:space="preserve"> veintiuno de diciembre de dos mil veintidós, </w:t>
      </w:r>
      <w:r w:rsidRPr="002D19C4">
        <w:rPr>
          <w:rFonts w:ascii="Palatino Linotype" w:eastAsia="Palatino Linotype" w:hAnsi="Palatino Linotype" w:cs="Palatino Linotype"/>
        </w:rPr>
        <w:t xml:space="preserve">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respondió a la solicitud en los siguientes términos: </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“Se envía adjunta la presente documentación, la cual fue turnada a la Unidad de Transparencia y Acceso a la Información Pública del Municipio de Valle de Bravo.” (Sic)</w:t>
      </w:r>
    </w:p>
    <w:p w:rsidR="00F26B1A" w:rsidRPr="002D19C4" w:rsidRDefault="00A200C6">
      <w:pPr>
        <w:spacing w:before="240" w:after="240" w:line="360" w:lineRule="auto"/>
        <w:ind w:right="49"/>
        <w:jc w:val="both"/>
        <w:rPr>
          <w:rFonts w:ascii="Palatino Linotype" w:eastAsia="Palatino Linotype" w:hAnsi="Palatino Linotype" w:cs="Palatino Linotype"/>
          <w:b/>
          <w:i/>
        </w:rPr>
      </w:pPr>
      <w:r w:rsidRPr="002D19C4">
        <w:rPr>
          <w:rFonts w:ascii="Palatino Linotype" w:eastAsia="Palatino Linotype" w:hAnsi="Palatino Linotype" w:cs="Palatino Linotype"/>
        </w:rPr>
        <w:t xml:space="preserve">Pronunciamiento al que adjuntó el archivo electrónico identificado como </w:t>
      </w:r>
      <w:r w:rsidRPr="002D19C4">
        <w:rPr>
          <w:rFonts w:ascii="Palatino Linotype" w:eastAsia="Palatino Linotype" w:hAnsi="Palatino Linotype" w:cs="Palatino Linotype"/>
          <w:b/>
          <w:i/>
        </w:rPr>
        <w:t xml:space="preserve">380 admon.pdf </w:t>
      </w:r>
      <w:r w:rsidRPr="002D19C4">
        <w:rPr>
          <w:rFonts w:ascii="Palatino Linotype" w:eastAsia="Palatino Linotype" w:hAnsi="Palatino Linotype" w:cs="Palatino Linotype"/>
        </w:rPr>
        <w:t xml:space="preserve">que contiene el oficio número DA/0854/DICIEMBRE/2022 de fecha veinte de diciembre de dos mil veintidós, suscrito y signado por el Director de Administración, por medio del cual respondió: </w:t>
      </w:r>
      <w:r w:rsidRPr="002D19C4">
        <w:rPr>
          <w:rFonts w:ascii="Palatino Linotype" w:eastAsia="Palatino Linotype" w:hAnsi="Palatino Linotype" w:cs="Palatino Linotype"/>
          <w:i/>
        </w:rPr>
        <w:t>“</w:t>
      </w:r>
      <w:r w:rsidRPr="002D19C4">
        <w:rPr>
          <w:rFonts w:ascii="Palatino Linotype" w:eastAsia="Palatino Linotype" w:hAnsi="Palatino Linotype" w:cs="Palatino Linotype"/>
          <w:b/>
          <w:i/>
        </w:rPr>
        <w:t xml:space="preserve">Se informa lo siguiente: </w:t>
      </w:r>
      <w:r w:rsidRPr="002D19C4">
        <w:rPr>
          <w:rFonts w:ascii="Palatino Linotype" w:eastAsia="Palatino Linotype" w:hAnsi="Palatino Linotype" w:cs="Palatino Linotype"/>
          <w:i/>
        </w:rPr>
        <w:t xml:space="preserve">La información solicitada la puede obtener a través de la plataforma de </w:t>
      </w:r>
      <w:proofErr w:type="spellStart"/>
      <w:r w:rsidRPr="002D19C4">
        <w:rPr>
          <w:rFonts w:ascii="Palatino Linotype" w:eastAsia="Palatino Linotype" w:hAnsi="Palatino Linotype" w:cs="Palatino Linotype"/>
          <w:b/>
          <w:i/>
        </w:rPr>
        <w:t>ipomex</w:t>
      </w:r>
      <w:proofErr w:type="spellEnd"/>
      <w:r w:rsidRPr="002D19C4">
        <w:rPr>
          <w:rFonts w:ascii="Palatino Linotype" w:eastAsia="Palatino Linotype" w:hAnsi="Palatino Linotype" w:cs="Palatino Linotype"/>
          <w:b/>
          <w:i/>
        </w:rPr>
        <w:t>: https://ipomex2.ipomex.org.mx</w:t>
      </w:r>
    </w:p>
    <w:p w:rsidR="00F26B1A" w:rsidRPr="002D19C4" w:rsidRDefault="00A200C6">
      <w:pPr>
        <w:spacing w:before="240" w:after="240" w:line="360" w:lineRule="auto"/>
        <w:ind w:right="49"/>
        <w:jc w:val="both"/>
        <w:rPr>
          <w:rFonts w:ascii="Palatino Linotype" w:eastAsia="Palatino Linotype" w:hAnsi="Palatino Linotype" w:cs="Palatino Linotype"/>
          <w:b/>
          <w:i/>
        </w:rPr>
      </w:pPr>
      <w:r w:rsidRPr="002D19C4">
        <w:rPr>
          <w:rFonts w:ascii="Palatino Linotype" w:eastAsia="Palatino Linotype" w:hAnsi="Palatino Linotype" w:cs="Palatino Linotype"/>
          <w:b/>
        </w:rPr>
        <w:t xml:space="preserve">3. Interposición del recurso de revisión.  </w:t>
      </w:r>
      <w:r w:rsidRPr="002D19C4">
        <w:rPr>
          <w:rFonts w:ascii="Palatino Linotype" w:eastAsia="Palatino Linotype" w:hAnsi="Palatino Linotype" w:cs="Palatino Linotype"/>
        </w:rPr>
        <w:t xml:space="preserve">El </w:t>
      </w:r>
      <w:r w:rsidRPr="002D19C4">
        <w:rPr>
          <w:rFonts w:ascii="Palatino Linotype" w:eastAsia="Palatino Linotype" w:hAnsi="Palatino Linotype" w:cs="Palatino Linotype"/>
          <w:b/>
        </w:rPr>
        <w:t xml:space="preserve">diez de enero de dos mil veintitrés </w:t>
      </w:r>
      <w:r w:rsidRPr="002D19C4">
        <w:rPr>
          <w:rFonts w:ascii="Palatino Linotype" w:eastAsia="Palatino Linotype" w:hAnsi="Palatino Linotype" w:cs="Palatino Linotype"/>
        </w:rPr>
        <w:t xml:space="preserve">la parte </w:t>
      </w:r>
      <w:r w:rsidRPr="002D19C4">
        <w:rPr>
          <w:rFonts w:ascii="Palatino Linotype" w:eastAsia="Palatino Linotype" w:hAnsi="Palatino Linotype" w:cs="Palatino Linotype"/>
          <w:b/>
        </w:rPr>
        <w:t xml:space="preserve">Recurrente </w:t>
      </w:r>
      <w:r w:rsidRPr="002D19C4">
        <w:rPr>
          <w:rFonts w:ascii="Palatino Linotype" w:eastAsia="Palatino Linotype" w:hAnsi="Palatino Linotype" w:cs="Palatino Linotype"/>
        </w:rPr>
        <w:t>inconforme con la respuesta, interpuso el recurso de revisión en el que expresó lo siguiente:</w:t>
      </w:r>
    </w:p>
    <w:p w:rsidR="00F26B1A" w:rsidRPr="002D19C4" w:rsidRDefault="00A200C6">
      <w:pPr>
        <w:spacing w:before="240" w:after="240" w:line="360" w:lineRule="auto"/>
        <w:ind w:right="49"/>
        <w:jc w:val="both"/>
        <w:rPr>
          <w:rFonts w:ascii="Palatino Linotype" w:eastAsia="Palatino Linotype" w:hAnsi="Palatino Linotype" w:cs="Palatino Linotype"/>
          <w:i/>
          <w:sz w:val="2"/>
          <w:szCs w:val="2"/>
        </w:rPr>
      </w:pPr>
      <w:r w:rsidRPr="002D19C4">
        <w:rPr>
          <w:rFonts w:ascii="Palatino Linotype" w:eastAsia="Palatino Linotype" w:hAnsi="Palatino Linotype" w:cs="Palatino Linotype"/>
          <w:b/>
        </w:rPr>
        <w:t xml:space="preserve">Acto impugnado: </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“NO ENVÍA LA INFORMACIÓN"(Sic)</w:t>
      </w:r>
    </w:p>
    <w:p w:rsidR="00F26B1A" w:rsidRPr="002D19C4" w:rsidRDefault="00A200C6">
      <w:pPr>
        <w:spacing w:before="240" w:after="240" w:line="360" w:lineRule="auto"/>
        <w:ind w:right="616"/>
        <w:jc w:val="both"/>
        <w:rPr>
          <w:rFonts w:ascii="Palatino Linotype" w:eastAsia="Palatino Linotype" w:hAnsi="Palatino Linotype" w:cs="Palatino Linotype"/>
          <w:b/>
          <w:sz w:val="22"/>
          <w:szCs w:val="22"/>
        </w:rPr>
      </w:pPr>
      <w:r w:rsidRPr="002D19C4">
        <w:rPr>
          <w:rFonts w:ascii="Palatino Linotype" w:eastAsia="Palatino Linotype" w:hAnsi="Palatino Linotype" w:cs="Palatino Linotype"/>
          <w:b/>
        </w:rPr>
        <w:t>Razones o motivos de inconformidad</w:t>
      </w:r>
      <w:r w:rsidRPr="002D19C4">
        <w:rPr>
          <w:rFonts w:ascii="Palatino Linotype" w:eastAsia="Palatino Linotype" w:hAnsi="Palatino Linotype" w:cs="Palatino Linotype"/>
          <w:b/>
          <w:sz w:val="22"/>
          <w:szCs w:val="22"/>
        </w:rPr>
        <w:t xml:space="preserve">: </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“LA RESPUESTA SEÑALA UNA LIGA DE ACCESO LA CUAL NO ES COMPRESIBLE PUESTO QUE MANDA A UN PORTAL QUE NO SEÑALA LO QUE SOLICITÉ, ES POR ELLO QUE SOLICITO AMABLEMENTE SE LE DE CONTESTACIÓN A LO RQUERIDO DE UNA MANERA CLARA Y PRECISA. ADJUNTO EVIDENCIA DE LA LIGA SEÑALADA."(Sic)</w:t>
      </w:r>
    </w:p>
    <w:p w:rsidR="00F26B1A" w:rsidRPr="002D19C4" w:rsidRDefault="00F26B1A">
      <w:pPr>
        <w:spacing w:before="240" w:after="240" w:line="276" w:lineRule="auto"/>
        <w:ind w:right="616"/>
        <w:jc w:val="both"/>
        <w:rPr>
          <w:rFonts w:ascii="Palatino Linotype" w:eastAsia="Palatino Linotype" w:hAnsi="Palatino Linotype" w:cs="Palatino Linotype"/>
          <w:i/>
          <w:sz w:val="22"/>
          <w:szCs w:val="22"/>
        </w:rPr>
      </w:pPr>
    </w:p>
    <w:p w:rsidR="00F26B1A" w:rsidRPr="002D19C4" w:rsidRDefault="00A200C6">
      <w:pPr>
        <w:spacing w:before="240" w:after="240" w:line="276"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 xml:space="preserve">Inconformidad a la que adjuntó el documento identificado como </w:t>
      </w:r>
      <w:r w:rsidRPr="002D19C4">
        <w:rPr>
          <w:rFonts w:ascii="Palatino Linotype" w:eastAsia="Palatino Linotype" w:hAnsi="Palatino Linotype" w:cs="Palatino Linotype"/>
          <w:b/>
          <w:i/>
        </w:rPr>
        <w:t xml:space="preserve">Doc2.docx </w:t>
      </w:r>
      <w:r w:rsidRPr="002D19C4">
        <w:rPr>
          <w:rFonts w:ascii="Palatino Linotype" w:eastAsia="Palatino Linotype" w:hAnsi="Palatino Linotype" w:cs="Palatino Linotype"/>
        </w:rPr>
        <w:t xml:space="preserve">que es del contenido siguiente: </w:t>
      </w:r>
    </w:p>
    <w:p w:rsidR="00F26B1A" w:rsidRPr="002D19C4" w:rsidRDefault="00A200C6">
      <w:pPr>
        <w:spacing w:before="240" w:after="240" w:line="276"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5612130" cy="4334510"/>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4334510"/>
                    </a:xfrm>
                    <a:prstGeom prst="rect">
                      <a:avLst/>
                    </a:prstGeom>
                    <a:ln/>
                  </pic:spPr>
                </pic:pic>
              </a:graphicData>
            </a:graphic>
          </wp:inline>
        </w:drawing>
      </w:r>
    </w:p>
    <w:p w:rsidR="00F26B1A" w:rsidRPr="002D19C4" w:rsidRDefault="00F26B1A">
      <w:pPr>
        <w:spacing w:before="240" w:after="240" w:line="360" w:lineRule="auto"/>
        <w:jc w:val="both"/>
        <w:rPr>
          <w:rFonts w:ascii="Palatino Linotype" w:eastAsia="Palatino Linotype" w:hAnsi="Palatino Linotype" w:cs="Palatino Linotype"/>
          <w:sz w:val="2"/>
          <w:szCs w:val="2"/>
        </w:rPr>
      </w:pP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4. Turno.</w:t>
      </w:r>
      <w:r w:rsidRPr="002D19C4">
        <w:rPr>
          <w:rFonts w:ascii="Palatino Linotype" w:eastAsia="Palatino Linotype" w:hAnsi="Palatino Linotype" w:cs="Palatino Linotype"/>
          <w:b/>
          <w:sz w:val="28"/>
          <w:szCs w:val="28"/>
        </w:rPr>
        <w:t xml:space="preserve"> </w:t>
      </w:r>
      <w:r w:rsidRPr="002D19C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D19C4">
        <w:rPr>
          <w:rFonts w:ascii="Palatino Linotype" w:eastAsia="Palatino Linotype" w:hAnsi="Palatino Linotype" w:cs="Palatino Linotype"/>
          <w:b/>
        </w:rPr>
        <w:t xml:space="preserve">Guadalupe Ramírez Peña, </w:t>
      </w:r>
      <w:r w:rsidRPr="002D19C4">
        <w:rPr>
          <w:rFonts w:ascii="Palatino Linotype" w:eastAsia="Palatino Linotype" w:hAnsi="Palatino Linotype" w:cs="Palatino Linotype"/>
        </w:rPr>
        <w:t xml:space="preserve">a efecto de que analizara sobre su admisión o su </w:t>
      </w:r>
      <w:proofErr w:type="spellStart"/>
      <w:r w:rsidRPr="002D19C4">
        <w:rPr>
          <w:rFonts w:ascii="Palatino Linotype" w:eastAsia="Palatino Linotype" w:hAnsi="Palatino Linotype" w:cs="Palatino Linotype"/>
        </w:rPr>
        <w:t>desechamiento</w:t>
      </w:r>
      <w:proofErr w:type="spellEnd"/>
      <w:r w:rsidRPr="002D19C4">
        <w:rPr>
          <w:rFonts w:ascii="Palatino Linotype" w:eastAsia="Palatino Linotype" w:hAnsi="Palatino Linotype" w:cs="Palatino Linotype"/>
        </w:rPr>
        <w:t>.</w:t>
      </w:r>
    </w:p>
    <w:p w:rsidR="00F26B1A" w:rsidRPr="002D19C4" w:rsidRDefault="00A200C6">
      <w:pPr>
        <w:spacing w:before="240" w:after="240" w:line="360" w:lineRule="auto"/>
        <w:jc w:val="both"/>
        <w:rPr>
          <w:rFonts w:ascii="Palatino Linotype" w:eastAsia="Palatino Linotype" w:hAnsi="Palatino Linotype" w:cs="Palatino Linotype"/>
          <w:b/>
        </w:rPr>
      </w:pPr>
      <w:r w:rsidRPr="002D19C4">
        <w:rPr>
          <w:rFonts w:ascii="Palatino Linotype" w:eastAsia="Palatino Linotype" w:hAnsi="Palatino Linotype" w:cs="Palatino Linotype"/>
          <w:b/>
        </w:rPr>
        <w:lastRenderedPageBreak/>
        <w:t>5.</w:t>
      </w:r>
      <w:r w:rsidRPr="002D19C4">
        <w:rPr>
          <w:rFonts w:ascii="Palatino Linotype" w:eastAsia="Palatino Linotype" w:hAnsi="Palatino Linotype" w:cs="Palatino Linotype"/>
          <w:b/>
          <w:i/>
        </w:rPr>
        <w:t xml:space="preserve"> </w:t>
      </w:r>
      <w:r w:rsidRPr="002D19C4">
        <w:rPr>
          <w:rFonts w:ascii="Palatino Linotype" w:eastAsia="Palatino Linotype" w:hAnsi="Palatino Linotype" w:cs="Palatino Linotype"/>
          <w:b/>
        </w:rPr>
        <w:t>Admisión del Recurso de revisión.</w:t>
      </w:r>
      <w:r w:rsidRPr="002D19C4">
        <w:rPr>
          <w:rFonts w:ascii="Palatino Linotype" w:eastAsia="Palatino Linotype" w:hAnsi="Palatino Linotype" w:cs="Palatino Linotype"/>
          <w:sz w:val="28"/>
          <w:szCs w:val="28"/>
        </w:rPr>
        <w:t xml:space="preserve"> El</w:t>
      </w:r>
      <w:r w:rsidRPr="002D19C4">
        <w:rPr>
          <w:rFonts w:ascii="Palatino Linotype" w:eastAsia="Palatino Linotype" w:hAnsi="Palatino Linotype" w:cs="Palatino Linotype"/>
          <w:b/>
        </w:rPr>
        <w:t xml:space="preserve"> trece de enero de dos mil veintitrés, </w:t>
      </w:r>
      <w:r w:rsidRPr="002D19C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presentara su informe justificado.</w:t>
      </w:r>
    </w:p>
    <w:p w:rsidR="00F26B1A" w:rsidRPr="002D19C4" w:rsidRDefault="00A200C6">
      <w:pPr>
        <w:widowControl w:val="0"/>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6. Manifestaciones</w:t>
      </w:r>
      <w:r w:rsidRPr="002D19C4">
        <w:rPr>
          <w:rFonts w:ascii="Palatino Linotype" w:eastAsia="Palatino Linotype" w:hAnsi="Palatino Linotype" w:cs="Palatino Linotype"/>
        </w:rPr>
        <w:t xml:space="preserve">. El </w:t>
      </w:r>
      <w:r w:rsidRPr="002D19C4">
        <w:rPr>
          <w:rFonts w:ascii="Palatino Linotype" w:eastAsia="Palatino Linotype" w:hAnsi="Palatino Linotype" w:cs="Palatino Linotype"/>
          <w:b/>
        </w:rPr>
        <w:t xml:space="preserve">trece de enero y el veintinueve de  septiembre dos mil veintitrés </w:t>
      </w:r>
      <w:r w:rsidRPr="002D19C4">
        <w:rPr>
          <w:rFonts w:ascii="Palatino Linotype" w:eastAsia="Palatino Linotype" w:hAnsi="Palatino Linotype" w:cs="Palatino Linotype"/>
        </w:rPr>
        <w:t xml:space="preserve">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rindió su informe justificado consistente en los archivos denominados y descritos en el siguiente orden. </w:t>
      </w:r>
    </w:p>
    <w:p w:rsidR="00F26B1A" w:rsidRPr="002D19C4" w:rsidRDefault="00A200C6">
      <w:pPr>
        <w:widowControl w:val="0"/>
        <w:numPr>
          <w:ilvl w:val="0"/>
          <w:numId w:val="4"/>
        </w:numPr>
        <w:pBdr>
          <w:top w:val="nil"/>
          <w:left w:val="nil"/>
          <w:bottom w:val="nil"/>
          <w:right w:val="nil"/>
          <w:between w:val="nil"/>
        </w:pBdr>
        <w:spacing w:before="240" w:line="360" w:lineRule="auto"/>
        <w:jc w:val="both"/>
        <w:rPr>
          <w:rFonts w:ascii="Palatino Linotype" w:eastAsia="Palatino Linotype" w:hAnsi="Palatino Linotype" w:cs="Palatino Linotype"/>
          <w:b/>
        </w:rPr>
      </w:pPr>
      <w:r w:rsidRPr="002D19C4">
        <w:rPr>
          <w:rFonts w:ascii="Palatino Linotype" w:eastAsia="Palatino Linotype" w:hAnsi="Palatino Linotype" w:cs="Palatino Linotype"/>
          <w:b/>
          <w:i/>
        </w:rPr>
        <w:t xml:space="preserve">380 - RR 159-23 admon.pdf: </w:t>
      </w:r>
      <w:r w:rsidRPr="002D19C4">
        <w:rPr>
          <w:rFonts w:ascii="Palatino Linotype" w:eastAsia="Palatino Linotype" w:hAnsi="Palatino Linotype" w:cs="Palatino Linotype"/>
        </w:rPr>
        <w:t xml:space="preserve">Oficio DA/057/ENERO/2023, emitido por el Director de Administración por medio del cual además de ratificar la respuesta inicial, indicó el procedimiento para consultar de la información solicitada. </w:t>
      </w:r>
    </w:p>
    <w:p w:rsidR="00F26B1A" w:rsidRPr="002D19C4" w:rsidRDefault="00A200C6">
      <w:pPr>
        <w:widowControl w:val="0"/>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rPr>
      </w:pPr>
      <w:r w:rsidRPr="002D19C4">
        <w:rPr>
          <w:rFonts w:ascii="Palatino Linotype" w:eastAsia="Palatino Linotype" w:hAnsi="Palatino Linotype" w:cs="Palatino Linotype"/>
          <w:b/>
          <w:i/>
        </w:rPr>
        <w:t xml:space="preserve">360AdmonT.pdf: </w:t>
      </w:r>
      <w:r w:rsidRPr="002D19C4">
        <w:rPr>
          <w:rFonts w:ascii="Palatino Linotype" w:eastAsia="Palatino Linotype" w:hAnsi="Palatino Linotype" w:cs="Palatino Linotype"/>
        </w:rPr>
        <w:t xml:space="preserve">Se trata del oficio número DA/1154/SEPTIEMBRE/2023 de fecha veintisiete de septiembre e dos mil veintitrés, suscrito y signado por el Director de Administración, por medio del cual remitió el listado de servidores públicos adscritos al Ayuntamiento de Valle de Bravo, en la que clasificó como información reservada el nombre del personal operativo con funciones de seguridad pública. </w:t>
      </w:r>
    </w:p>
    <w:p w:rsidR="00F26B1A" w:rsidRPr="002D19C4" w:rsidRDefault="00A200C6">
      <w:pPr>
        <w:widowControl w:val="0"/>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rPr>
      </w:pPr>
      <w:r w:rsidRPr="002D19C4">
        <w:rPr>
          <w:rFonts w:ascii="Palatino Linotype" w:eastAsia="Palatino Linotype" w:hAnsi="Palatino Linotype" w:cs="Palatino Linotype"/>
          <w:b/>
          <w:i/>
        </w:rPr>
        <w:t xml:space="preserve">29Extra.pdf: </w:t>
      </w:r>
      <w:r w:rsidRPr="002D19C4">
        <w:rPr>
          <w:rFonts w:ascii="Palatino Linotype" w:eastAsia="Palatino Linotype" w:hAnsi="Palatino Linotype" w:cs="Palatino Linotype"/>
        </w:rPr>
        <w:t xml:space="preserve">Contiene el Acta de la Vigésima Novena Sesión Extraordinaria del Comité de Transparencia, de fecha veintiocho de septiembre de dos mil veintitrés en la que se confirmó por unanimidad de votos la clasificación como reservada de la información relativa a los nombres del personal </w:t>
      </w:r>
      <w:r w:rsidRPr="002D19C4">
        <w:rPr>
          <w:rFonts w:ascii="Palatino Linotype" w:eastAsia="Palatino Linotype" w:hAnsi="Palatino Linotype" w:cs="Palatino Linotype"/>
        </w:rPr>
        <w:lastRenderedPageBreak/>
        <w:t xml:space="preserve">operativo adscrito a la Dirección de Seguridad Púbica, Protección Civil, Movilidad y Ecología.  </w:t>
      </w:r>
    </w:p>
    <w:p w:rsidR="00F26B1A" w:rsidRPr="002D19C4" w:rsidRDefault="00A200C6">
      <w:pPr>
        <w:widowControl w:val="0"/>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Documentos que fueron puestos a la vista de la parte </w:t>
      </w:r>
      <w:r w:rsidRPr="002D19C4">
        <w:rPr>
          <w:rFonts w:ascii="Palatino Linotype" w:eastAsia="Palatino Linotype" w:hAnsi="Palatino Linotype" w:cs="Palatino Linotype"/>
          <w:b/>
        </w:rPr>
        <w:t xml:space="preserve">Recurrente </w:t>
      </w:r>
      <w:r w:rsidRPr="002D19C4">
        <w:rPr>
          <w:rFonts w:ascii="Palatino Linotype" w:eastAsia="Palatino Linotype" w:hAnsi="Palatino Linotype" w:cs="Palatino Linotype"/>
        </w:rPr>
        <w:t xml:space="preserve">para su conocimiento.  </w:t>
      </w:r>
    </w:p>
    <w:p w:rsidR="00F26B1A" w:rsidRPr="002D19C4" w:rsidRDefault="00A200C6">
      <w:pPr>
        <w:widowControl w:val="0"/>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 xml:space="preserve">7. Ampliación del plazo para emitir resolución. </w:t>
      </w:r>
      <w:r w:rsidRPr="002D19C4">
        <w:rPr>
          <w:rFonts w:ascii="Palatino Linotype" w:eastAsia="Palatino Linotype" w:hAnsi="Palatino Linotype" w:cs="Palatino Linotype"/>
        </w:rPr>
        <w:t xml:space="preserve">El </w:t>
      </w:r>
      <w:r w:rsidRPr="002D19C4">
        <w:rPr>
          <w:rFonts w:ascii="Palatino Linotype" w:eastAsia="Palatino Linotype" w:hAnsi="Palatino Linotype" w:cs="Palatino Linotype"/>
          <w:b/>
        </w:rPr>
        <w:t>diez de octubre de dos mil veintitrés</w:t>
      </w:r>
      <w:r w:rsidRPr="002D19C4">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F26B1A" w:rsidRPr="002D19C4" w:rsidRDefault="00A200C6">
      <w:pPr>
        <w:spacing w:before="240" w:after="240" w:line="360" w:lineRule="auto"/>
        <w:jc w:val="both"/>
        <w:rPr>
          <w:rFonts w:ascii="Palatino Linotype" w:eastAsia="Palatino Linotype" w:hAnsi="Palatino Linotype" w:cs="Palatino Linotype"/>
          <w:strike/>
        </w:rPr>
      </w:pPr>
      <w:r w:rsidRPr="002D19C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F26B1A" w:rsidRPr="002D19C4" w:rsidRDefault="00A200C6">
      <w:pPr>
        <w:numPr>
          <w:ilvl w:val="0"/>
          <w:numId w:val="2"/>
        </w:num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F26B1A" w:rsidRPr="002D19C4" w:rsidRDefault="00A200C6">
      <w:pPr>
        <w:numPr>
          <w:ilvl w:val="0"/>
          <w:numId w:val="2"/>
        </w:num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Actividad Procesal del interesado. Acciones u omisiones del interesado.</w:t>
      </w:r>
    </w:p>
    <w:p w:rsidR="00F26B1A" w:rsidRPr="002D19C4" w:rsidRDefault="00A200C6">
      <w:pPr>
        <w:numPr>
          <w:ilvl w:val="0"/>
          <w:numId w:val="2"/>
        </w:num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Conducta de la Autoridad: Las Acciones u omisiones realizadas en el procedimiento. Así como si la autoridad actuó con la debida diligencia.</w:t>
      </w:r>
    </w:p>
    <w:p w:rsidR="00F26B1A" w:rsidRPr="002D19C4" w:rsidRDefault="00A200C6">
      <w:pPr>
        <w:spacing w:before="240" w:after="240" w:line="360" w:lineRule="auto"/>
        <w:ind w:left="567"/>
        <w:jc w:val="both"/>
        <w:rPr>
          <w:rFonts w:ascii="Palatino Linotype" w:eastAsia="Palatino Linotype" w:hAnsi="Palatino Linotype" w:cs="Palatino Linotype"/>
        </w:rPr>
      </w:pPr>
      <w:r w:rsidRPr="002D19C4">
        <w:rPr>
          <w:rFonts w:ascii="Palatino Linotype" w:eastAsia="Palatino Linotype" w:hAnsi="Palatino Linotype" w:cs="Palatino Linotype"/>
        </w:rPr>
        <w:t>d) La afectación generada en la situación jurídica de la persona involucrada en el proceso: Violación a sus derechos humanos.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2D19C4">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F26B1A" w:rsidRPr="002D19C4" w:rsidRDefault="00A200C6">
      <w:pPr>
        <w:spacing w:before="240" w:after="240" w:line="360" w:lineRule="auto"/>
        <w:jc w:val="both"/>
        <w:rPr>
          <w:rFonts w:ascii="Palatino Linotype" w:eastAsia="Palatino Linotype" w:hAnsi="Palatino Linotype" w:cs="Palatino Linotype"/>
          <w:b/>
        </w:rPr>
      </w:pPr>
      <w:r w:rsidRPr="002D19C4">
        <w:rPr>
          <w:rFonts w:ascii="Palatino Linotype" w:eastAsia="Palatino Linotype" w:hAnsi="Palatino Linotype" w:cs="Palatino Linotype"/>
        </w:rPr>
        <w:t>Argumento que encuentra sustento en la jurisprudencia P</w:t>
      </w:r>
      <w:proofErr w:type="gramStart"/>
      <w:r w:rsidRPr="002D19C4">
        <w:rPr>
          <w:rFonts w:ascii="Palatino Linotype" w:eastAsia="Palatino Linotype" w:hAnsi="Palatino Linotype" w:cs="Palatino Linotype"/>
        </w:rPr>
        <w:t>./</w:t>
      </w:r>
      <w:proofErr w:type="gramEnd"/>
      <w:r w:rsidRPr="002D19C4">
        <w:rPr>
          <w:rFonts w:ascii="Palatino Linotype" w:eastAsia="Palatino Linotype" w:hAnsi="Palatino Linotype" w:cs="Palatino Linotype"/>
        </w:rPr>
        <w:t xml:space="preserve">J. 32/92 emitida por el Pleno de la Suprema Corte de Justicia de la Nación de rubro </w:t>
      </w:r>
      <w:r w:rsidRPr="002D19C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D19C4">
        <w:rPr>
          <w:rFonts w:ascii="Palatino Linotype" w:eastAsia="Palatino Linotype" w:hAnsi="Palatino Linotype" w:cs="Palatino Linotype"/>
        </w:rPr>
        <w:t>, visible en la Gaceta del Seminario Judicial de la Federación con el registro digital 205635.</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 </w:t>
      </w:r>
      <w:r w:rsidRPr="002D19C4">
        <w:rPr>
          <w:rFonts w:ascii="Palatino Linotype" w:eastAsia="Palatino Linotype" w:hAnsi="Palatino Linotype" w:cs="Palatino Linotype"/>
          <w:i/>
        </w:rPr>
        <w:t>“PLAZO RAZONABLE PARA RESOLVER. DIMENSIÓN Y EFECTOS DE ESTE CONCEPTO CUANDO SE ADUCE EXCESIVA CARGA DE TRABAJO.”</w:t>
      </w:r>
      <w:r w:rsidRPr="002D19C4">
        <w:rPr>
          <w:rFonts w:ascii="Palatino Linotype" w:eastAsia="Palatino Linotype" w:hAnsi="Palatino Linotype" w:cs="Palatino Linotype"/>
        </w:rPr>
        <w:t xml:space="preserve"> consultable en el Seminario Judicial de la Federación y su gaceta, con el registro digital 2002351.</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i/>
        </w:rPr>
        <w:t>“PLAZO RAZONABLE PARA RESOLVER. CONCEPTO Y ELEMENTOS QUE LO INTEGRAN A LA LUZ DEL DERECHO INTERNACIONAL DE LOS DERECHOS HUMANOS.”</w:t>
      </w:r>
      <w:r w:rsidRPr="002D19C4">
        <w:rPr>
          <w:rFonts w:ascii="Palatino Linotype" w:eastAsia="Palatino Linotype" w:hAnsi="Palatino Linotype" w:cs="Palatino Linotype"/>
        </w:rPr>
        <w:t>, visible en el Seminario Judicial de la Federación y su gaceta, con el registro digital 2002350.</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F26B1A" w:rsidRPr="002D19C4" w:rsidRDefault="00A200C6">
      <w:pPr>
        <w:widowControl w:val="0"/>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8. Cierre de instrucción</w:t>
      </w:r>
      <w:r w:rsidRPr="002D19C4">
        <w:rPr>
          <w:rFonts w:ascii="Palatino Linotype" w:eastAsia="Palatino Linotype" w:hAnsi="Palatino Linotype" w:cs="Palatino Linotype"/>
        </w:rPr>
        <w:t xml:space="preserve">. Una vez transcurrido el periodo otorgado a las partes para realizar sus manifestaciones y no habiendo documentos que integrar al expediente, el </w:t>
      </w:r>
      <w:r w:rsidRPr="002D19C4">
        <w:rPr>
          <w:rFonts w:ascii="Palatino Linotype" w:eastAsia="Palatino Linotype" w:hAnsi="Palatino Linotype" w:cs="Palatino Linotype"/>
          <w:b/>
        </w:rPr>
        <w:t>dieciséis de octubre de dos mil veintitrés</w:t>
      </w:r>
      <w:r w:rsidRPr="002D19C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F26B1A" w:rsidRPr="002D19C4" w:rsidRDefault="00A200C6">
      <w:pPr>
        <w:widowControl w:val="0"/>
        <w:spacing w:before="240" w:after="240" w:line="360" w:lineRule="auto"/>
        <w:jc w:val="both"/>
        <w:rPr>
          <w:rFonts w:ascii="Palatino Linotype" w:eastAsia="Palatino Linotype" w:hAnsi="Palatino Linotype" w:cs="Palatino Linotype"/>
          <w:b/>
        </w:rPr>
      </w:pPr>
      <w:r w:rsidRPr="002D19C4">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2D19C4">
        <w:rPr>
          <w:rFonts w:ascii="Palatino Linotype" w:eastAsia="Palatino Linotype" w:hAnsi="Palatino Linotype" w:cs="Palatino Linotype"/>
          <w:b/>
        </w:rPr>
        <w:t xml:space="preserve"> </w:t>
      </w:r>
    </w:p>
    <w:p w:rsidR="00F26B1A" w:rsidRPr="002D19C4" w:rsidRDefault="00A200C6">
      <w:pPr>
        <w:widowControl w:val="0"/>
        <w:spacing w:before="240" w:after="240" w:line="360" w:lineRule="auto"/>
        <w:jc w:val="center"/>
        <w:rPr>
          <w:rFonts w:ascii="Palatino Linotype" w:eastAsia="Palatino Linotype" w:hAnsi="Palatino Linotype" w:cs="Palatino Linotype"/>
          <w:b/>
        </w:rPr>
      </w:pPr>
      <w:r w:rsidRPr="002D19C4">
        <w:rPr>
          <w:rFonts w:ascii="Palatino Linotype" w:eastAsia="Palatino Linotype" w:hAnsi="Palatino Linotype" w:cs="Palatino Linotype"/>
          <w:b/>
        </w:rPr>
        <w:lastRenderedPageBreak/>
        <w:t>II. C O N S I D E R A N D O 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Primero. Competencia.</w:t>
      </w:r>
      <w:r w:rsidRPr="002D19C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F26B1A" w:rsidRPr="002D19C4" w:rsidRDefault="00A200C6">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2D19C4">
        <w:rPr>
          <w:rFonts w:ascii="Palatino Linotype" w:eastAsia="Palatino Linotype" w:hAnsi="Palatino Linotype" w:cs="Palatino Linotype"/>
          <w:b/>
        </w:rPr>
        <w:t xml:space="preserve">Segundo. Oportunidad y </w:t>
      </w:r>
      <w:proofErr w:type="spellStart"/>
      <w:r w:rsidRPr="002D19C4">
        <w:rPr>
          <w:rFonts w:ascii="Palatino Linotype" w:eastAsia="Palatino Linotype" w:hAnsi="Palatino Linotype" w:cs="Palatino Linotype"/>
          <w:b/>
        </w:rPr>
        <w:t>Procedibilidad</w:t>
      </w:r>
      <w:proofErr w:type="spellEnd"/>
      <w:r w:rsidRPr="002D19C4">
        <w:rPr>
          <w:rFonts w:ascii="Palatino Linotype" w:eastAsia="Palatino Linotype" w:hAnsi="Palatino Linotype" w:cs="Palatino Linotype"/>
          <w:b/>
        </w:rPr>
        <w:t xml:space="preserve"> del Recurso de Revisión</w:t>
      </w:r>
      <w:r w:rsidRPr="002D19C4">
        <w:rPr>
          <w:rFonts w:ascii="Palatino Linotype" w:eastAsia="Palatino Linotype" w:hAnsi="Palatino Linotype" w:cs="Palatino Linotype"/>
        </w:rPr>
        <w:t xml:space="preserve">. Previo al estudio del fondo del asunto, se procede a analizar los requisitos de oportunidad y </w:t>
      </w:r>
      <w:proofErr w:type="spellStart"/>
      <w:r w:rsidRPr="002D19C4">
        <w:rPr>
          <w:rFonts w:ascii="Palatino Linotype" w:eastAsia="Palatino Linotype" w:hAnsi="Palatino Linotype" w:cs="Palatino Linotype"/>
        </w:rPr>
        <w:t>procedibilidad</w:t>
      </w:r>
      <w:proofErr w:type="spellEnd"/>
      <w:r w:rsidRPr="002D19C4">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F26B1A" w:rsidRPr="002D19C4" w:rsidRDefault="00A200C6">
      <w:pPr>
        <w:spacing w:before="240" w:after="240"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respondió a la solicitud de información el </w:t>
      </w:r>
      <w:r w:rsidRPr="002D19C4">
        <w:rPr>
          <w:rFonts w:ascii="Palatino Linotype" w:eastAsia="Palatino Linotype" w:hAnsi="Palatino Linotype" w:cs="Palatino Linotype"/>
          <w:b/>
        </w:rPr>
        <w:t xml:space="preserve">veintiuno de diciembre de dos mil veintidós, </w:t>
      </w:r>
      <w:r w:rsidRPr="002D19C4">
        <w:rPr>
          <w:rFonts w:ascii="Palatino Linotype" w:eastAsia="Palatino Linotype" w:hAnsi="Palatino Linotype" w:cs="Palatino Linotype"/>
        </w:rPr>
        <w:t xml:space="preserve">mientras que el recurso de revisión se interpuso el </w:t>
      </w:r>
      <w:r w:rsidRPr="002D19C4">
        <w:rPr>
          <w:rFonts w:ascii="Palatino Linotype" w:eastAsia="Palatino Linotype" w:hAnsi="Palatino Linotype" w:cs="Palatino Linotype"/>
          <w:b/>
        </w:rPr>
        <w:t xml:space="preserve">diez de enero de dos </w:t>
      </w:r>
      <w:r w:rsidRPr="002D19C4">
        <w:rPr>
          <w:rFonts w:ascii="Palatino Linotype" w:eastAsia="Palatino Linotype" w:hAnsi="Palatino Linotype" w:cs="Palatino Linotype"/>
          <w:b/>
        </w:rPr>
        <w:lastRenderedPageBreak/>
        <w:t xml:space="preserve">mil veintitrés; </w:t>
      </w:r>
      <w:r w:rsidRPr="002D19C4">
        <w:rPr>
          <w:rFonts w:ascii="Palatino Linotype" w:eastAsia="Palatino Linotype" w:hAnsi="Palatino Linotype" w:cs="Palatino Linotype"/>
        </w:rPr>
        <w:t>esto es, el cuarto día hábil posterior en que tuvo conocimiento de la respuesta impugnada.</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En este sentido, al considerar la fecha en que se formuló la solicitud y la fecha en que respondió a esta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Por otro lado, es de suma importancia mencionar que, si bien la parte</w:t>
      </w:r>
      <w:r w:rsidRPr="002D19C4">
        <w:rPr>
          <w:rFonts w:ascii="Palatino Linotype" w:eastAsia="Palatino Linotype" w:hAnsi="Palatino Linotype" w:cs="Palatino Linotype"/>
          <w:b/>
        </w:rPr>
        <w:t xml:space="preserve"> Recurrente</w:t>
      </w:r>
      <w:r w:rsidRPr="002D19C4">
        <w:rPr>
          <w:rFonts w:ascii="Palatino Linotype" w:eastAsia="Palatino Linotype" w:hAnsi="Palatino Linotype" w:cs="Palatino Linotype"/>
        </w:rPr>
        <w:t xml:space="preserv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26B1A" w:rsidRPr="002D19C4" w:rsidRDefault="00A200C6">
      <w:pPr>
        <w:spacing w:before="120" w:after="120" w:line="276" w:lineRule="auto"/>
        <w:ind w:left="851" w:right="902"/>
        <w:jc w:val="both"/>
        <w:rPr>
          <w:rFonts w:ascii="Palatino Linotype" w:eastAsia="Palatino Linotype" w:hAnsi="Palatino Linotype" w:cs="Palatino Linotype"/>
          <w:sz w:val="22"/>
          <w:szCs w:val="22"/>
        </w:rPr>
      </w:pPr>
      <w:r w:rsidRPr="002D19C4">
        <w:rPr>
          <w:rFonts w:ascii="Palatino Linotype" w:eastAsia="Palatino Linotype" w:hAnsi="Palatino Linotype" w:cs="Palatino Linotype"/>
          <w:i/>
          <w:sz w:val="22"/>
          <w:szCs w:val="22"/>
        </w:rPr>
        <w:t>"</w:t>
      </w:r>
      <w:r w:rsidRPr="002D19C4">
        <w:rPr>
          <w:rFonts w:ascii="Palatino Linotype" w:eastAsia="Palatino Linotype" w:hAnsi="Palatino Linotype" w:cs="Palatino Linotype"/>
          <w:b/>
          <w:i/>
          <w:sz w:val="22"/>
          <w:szCs w:val="22"/>
        </w:rPr>
        <w:t>Las solicitudes anónimas</w:t>
      </w:r>
      <w:r w:rsidRPr="002D19C4">
        <w:rPr>
          <w:rFonts w:ascii="Palatino Linotype" w:eastAsia="Palatino Linotype" w:hAnsi="Palatino Linotype" w:cs="Palatino Linotype"/>
          <w:i/>
          <w:sz w:val="22"/>
          <w:szCs w:val="22"/>
        </w:rPr>
        <w:t>, con nombre incompleto o seudónimo </w:t>
      </w:r>
      <w:r w:rsidRPr="002D19C4">
        <w:rPr>
          <w:rFonts w:ascii="Palatino Linotype" w:eastAsia="Palatino Linotype" w:hAnsi="Palatino Linotype" w:cs="Palatino Linotype"/>
          <w:b/>
          <w:i/>
          <w:sz w:val="22"/>
          <w:szCs w:val="22"/>
        </w:rPr>
        <w:t>serán procedentes para su trámite por parte del sujeto obligado ante quien se presente</w:t>
      </w:r>
      <w:r w:rsidRPr="002D19C4">
        <w:rPr>
          <w:rFonts w:ascii="Palatino Linotype" w:eastAsia="Palatino Linotype" w:hAnsi="Palatino Linotype" w:cs="Palatino Linotype"/>
          <w:i/>
          <w:sz w:val="22"/>
          <w:szCs w:val="22"/>
        </w:rPr>
        <w:t>. No podrá requerirse información adicional con motivo del nombre proporcionado por el solicitante."</w:t>
      </w:r>
    </w:p>
    <w:p w:rsidR="00F26B1A" w:rsidRPr="002D19C4" w:rsidRDefault="00A200C6">
      <w:pPr>
        <w:spacing w:before="240" w:after="240" w:line="360" w:lineRule="auto"/>
        <w:jc w:val="both"/>
        <w:rPr>
          <w:rFonts w:ascii="Palatino Linotype" w:eastAsia="Palatino Linotype" w:hAnsi="Palatino Linotype" w:cs="Palatino Linotype"/>
          <w:b/>
        </w:rPr>
      </w:pPr>
      <w:r w:rsidRPr="002D19C4">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 presentado mediante el formato visible en el</w:t>
      </w:r>
      <w:r w:rsidRPr="002D19C4">
        <w:rPr>
          <w:rFonts w:ascii="Palatino Linotype" w:eastAsia="Palatino Linotype" w:hAnsi="Palatino Linotype" w:cs="Palatino Linotype"/>
          <w:b/>
        </w:rPr>
        <w:t xml:space="preserve"> SAIMEX.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Finalmente, se advierte que resulta procedente la interposición del recurso, según lo manifestado por la parte </w:t>
      </w:r>
      <w:r w:rsidRPr="002D19C4">
        <w:rPr>
          <w:rFonts w:ascii="Palatino Linotype" w:eastAsia="Palatino Linotype" w:hAnsi="Palatino Linotype" w:cs="Palatino Linotype"/>
          <w:b/>
        </w:rPr>
        <w:t>Recurrente</w:t>
      </w:r>
      <w:r w:rsidRPr="002D19C4">
        <w:rPr>
          <w:rFonts w:ascii="Palatino Linotype" w:eastAsia="Palatino Linotype" w:hAnsi="Palatino Linotype" w:cs="Palatino Linotype"/>
        </w:rPr>
        <w:t xml:space="preserve"> en sus motivos de inconformidad, de acuerdo al artículo 179, fracción IX del ordenamiento legal citado, que a la letra dice: </w:t>
      </w:r>
    </w:p>
    <w:p w:rsidR="00F26B1A" w:rsidRPr="002D19C4" w:rsidRDefault="00A200C6">
      <w:pPr>
        <w:spacing w:before="120" w:after="120"/>
        <w:ind w:left="993"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lastRenderedPageBreak/>
        <w:t>“</w:t>
      </w:r>
      <w:r w:rsidRPr="002D19C4">
        <w:rPr>
          <w:rFonts w:ascii="Palatino Linotype" w:eastAsia="Palatino Linotype" w:hAnsi="Palatino Linotype" w:cs="Palatino Linotype"/>
          <w:b/>
          <w:i/>
          <w:sz w:val="22"/>
          <w:szCs w:val="22"/>
        </w:rPr>
        <w:t>Artículo 179.</w:t>
      </w:r>
      <w:r w:rsidRPr="002D19C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F26B1A" w:rsidRPr="002D19C4" w:rsidRDefault="00A200C6">
      <w:pPr>
        <w:spacing w:before="120" w:after="120"/>
        <w:ind w:left="993"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IX.</w:t>
      </w:r>
      <w:r w:rsidRPr="002D19C4">
        <w:rPr>
          <w:rFonts w:ascii="Palatino Linotype" w:eastAsia="Palatino Linotype" w:hAnsi="Palatino Linotype" w:cs="Palatino Linotype"/>
          <w:i/>
          <w:sz w:val="22"/>
          <w:szCs w:val="22"/>
        </w:rPr>
        <w:t xml:space="preserve"> La entrega o puesta a disposición de información en un formato incomprensible y/o no accesible para el solicitante;”</w:t>
      </w:r>
    </w:p>
    <w:p w:rsidR="00F26B1A" w:rsidRPr="002D19C4" w:rsidRDefault="00F26B1A">
      <w:pPr>
        <w:spacing w:before="120" w:line="360" w:lineRule="auto"/>
        <w:ind w:right="62"/>
        <w:jc w:val="both"/>
        <w:rPr>
          <w:rFonts w:ascii="Palatino Linotype" w:eastAsia="Palatino Linotype" w:hAnsi="Palatino Linotype" w:cs="Palatino Linotype"/>
          <w:b/>
        </w:rPr>
      </w:pPr>
    </w:p>
    <w:p w:rsidR="00F26B1A" w:rsidRPr="002D19C4" w:rsidRDefault="00A200C6">
      <w:pPr>
        <w:spacing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Tercero. Análisis de las causales de improcedencia y sobreseimiento</w:t>
      </w:r>
      <w:r w:rsidRPr="002D19C4">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2D19C4">
        <w:rPr>
          <w:rFonts w:ascii="Palatino Linotype" w:eastAsia="Palatino Linotype" w:hAnsi="Palatino Linotype" w:cs="Palatino Linotype"/>
          <w:vertAlign w:val="superscript"/>
        </w:rPr>
        <w:footnoteReference w:id="1"/>
      </w:r>
      <w:r w:rsidRPr="002D19C4">
        <w:rPr>
          <w:rFonts w:ascii="Palatino Linotype" w:eastAsia="Palatino Linotype" w:hAnsi="Palatino Linotype" w:cs="Palatino Linotype"/>
        </w:rPr>
        <w:t xml:space="preserve"> en relación con el diverso 186 fracción I</w:t>
      </w:r>
      <w:r w:rsidRPr="002D19C4">
        <w:rPr>
          <w:rFonts w:ascii="Palatino Linotype" w:eastAsia="Palatino Linotype" w:hAnsi="Palatino Linotype" w:cs="Palatino Linotype"/>
          <w:vertAlign w:val="superscript"/>
        </w:rPr>
        <w:footnoteReference w:id="2"/>
      </w:r>
      <w:r w:rsidRPr="002D19C4">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w:t>
      </w:r>
    </w:p>
    <w:p w:rsidR="00F26B1A" w:rsidRPr="002D19C4" w:rsidRDefault="00A200C6">
      <w:pPr>
        <w:spacing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Es oportuno reiterar, que la parte </w:t>
      </w:r>
      <w:r w:rsidRPr="002D19C4">
        <w:rPr>
          <w:rFonts w:ascii="Palatino Linotype" w:eastAsia="Palatino Linotype" w:hAnsi="Palatino Linotype" w:cs="Palatino Linotype"/>
          <w:b/>
        </w:rPr>
        <w:t xml:space="preserve">Recurrente </w:t>
      </w:r>
      <w:r w:rsidRPr="002D19C4">
        <w:rPr>
          <w:rFonts w:ascii="Palatino Linotype" w:eastAsia="Palatino Linotype" w:hAnsi="Palatino Linotype" w:cs="Palatino Linotype"/>
        </w:rPr>
        <w:t xml:space="preserve">solicitó al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el listado de todos los servidores públicos que laboran en el Ayuntamiento de Valle de Bravo. </w:t>
      </w:r>
    </w:p>
    <w:p w:rsidR="00F26B1A" w:rsidRPr="002D19C4" w:rsidRDefault="00A200C6">
      <w:pPr>
        <w:spacing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a través de la Dirección de Administración informó que la información solicitada la puede obtener a  través de la plataforma de IPOMEX en la liga electrónica </w:t>
      </w:r>
      <w:hyperlink r:id="rId9">
        <w:r w:rsidRPr="002D19C4">
          <w:rPr>
            <w:rFonts w:ascii="Palatino Linotype" w:eastAsia="Palatino Linotype" w:hAnsi="Palatino Linotype" w:cs="Palatino Linotype"/>
            <w:u w:val="single"/>
          </w:rPr>
          <w:t>https://ipomex2.ipomex.org.mx</w:t>
        </w:r>
      </w:hyperlink>
      <w:r w:rsidRPr="002D19C4">
        <w:rPr>
          <w:rFonts w:ascii="Palatino Linotype" w:eastAsia="Palatino Linotype" w:hAnsi="Palatino Linotype" w:cs="Palatino Linotype"/>
        </w:rPr>
        <w:t xml:space="preserve"> . </w:t>
      </w:r>
    </w:p>
    <w:p w:rsidR="00F26B1A" w:rsidRPr="002D19C4" w:rsidRDefault="00A200C6">
      <w:pPr>
        <w:spacing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 xml:space="preserve">Conocida la respuesta,  la parte </w:t>
      </w:r>
      <w:r w:rsidRPr="002D19C4">
        <w:rPr>
          <w:rFonts w:ascii="Palatino Linotype" w:eastAsia="Palatino Linotype" w:hAnsi="Palatino Linotype" w:cs="Palatino Linotype"/>
          <w:b/>
        </w:rPr>
        <w:t xml:space="preserve">Recurrente </w:t>
      </w:r>
      <w:r w:rsidRPr="002D19C4">
        <w:rPr>
          <w:rFonts w:ascii="Palatino Linotype" w:eastAsia="Palatino Linotype" w:hAnsi="Palatino Linotype" w:cs="Palatino Linotype"/>
        </w:rPr>
        <w:t xml:space="preserve">interpuso el presente medio de impugnación en el que manifestó como razones o motivos de inconformidad que la respuesta señala una liga de acceso que no es compresible ya que dirige a un portal que no señala lo que solicitó.  </w:t>
      </w:r>
    </w:p>
    <w:p w:rsidR="00F26B1A" w:rsidRPr="002D19C4" w:rsidRDefault="00A200C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Acotado lo anterior, es importante invocar el contenido de los artículos 162, 163, 164 y 165 de la Ley de Transparencia y Acceso a la Información Pública del Estado de México y Municipios, que rezan así:</w:t>
      </w:r>
    </w:p>
    <w:p w:rsidR="00F26B1A" w:rsidRPr="002D19C4" w:rsidRDefault="00F26B1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F26B1A" w:rsidRPr="002D19C4" w:rsidRDefault="00A200C6">
      <w:pPr>
        <w:spacing w:after="120" w:line="276" w:lineRule="auto"/>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“Artículo 162.</w:t>
      </w:r>
      <w:r w:rsidRPr="002D19C4">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F26B1A" w:rsidRPr="002D19C4" w:rsidRDefault="00A200C6">
      <w:pPr>
        <w:spacing w:after="120" w:line="276" w:lineRule="auto"/>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Artículo 163.</w:t>
      </w:r>
      <w:r w:rsidRPr="002D19C4">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F26B1A" w:rsidRPr="002D19C4" w:rsidRDefault="00A200C6">
      <w:pPr>
        <w:spacing w:after="120" w:line="276" w:lineRule="auto"/>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26B1A" w:rsidRPr="002D19C4" w:rsidRDefault="00A200C6">
      <w:pPr>
        <w:spacing w:after="120" w:line="276" w:lineRule="auto"/>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Artículo 164.</w:t>
      </w:r>
      <w:r w:rsidRPr="002D19C4">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F26B1A" w:rsidRPr="002D19C4" w:rsidRDefault="00A200C6">
      <w:pPr>
        <w:spacing w:after="120" w:line="276" w:lineRule="auto"/>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En cualquier caso, se deberá fundar y motivar la necesidad de ofrecer otras modalidades.  </w:t>
      </w:r>
    </w:p>
    <w:p w:rsidR="00F26B1A" w:rsidRPr="002D19C4" w:rsidRDefault="00A200C6">
      <w:pPr>
        <w:spacing w:after="120" w:line="276" w:lineRule="auto"/>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lastRenderedPageBreak/>
        <w:t>Artículo 165.</w:t>
      </w:r>
      <w:r w:rsidRPr="002D19C4">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rsidR="00F26B1A" w:rsidRPr="002D19C4" w:rsidRDefault="00A200C6">
      <w:pPr>
        <w:spacing w:before="240" w:after="240"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rsidR="00F26B1A" w:rsidRPr="002D19C4" w:rsidRDefault="00A200C6">
      <w:pPr>
        <w:spacing w:before="240" w:after="240"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En el caso concreto, la Titular de la Unidad de Transparencia, turnó la solicitud de información al Servidor Público Habilitado de la Dirección de Administración que de conformidad con lo dispuesto en el Reglamento Orgánico de la Administración Pública Municipal de Valle de Bravo, referido en la fracción II A “Estructura orgánica” cuenta con las siguientes atribuciones. </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I. Dirigir la administración de los recursos materiales y humanos del Ayuntamiento;</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II. Atender las solicitudes de las unidades administrativas del Ayuntamiento relativas a dotación de insumos, servicios y recursos humanos, de acuerdo al presupuesto de cada solicitante y conforme a los procedimientos legales vigentes;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III. Tramitar la prestación de servicios solicitados por las unidades administrativas del Ayuntamiento, ajustándose al presupuesto asignado al área solicitante;</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IV. Gestionar los pagos a proveedores de insumos y servicios;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lastRenderedPageBreak/>
        <w:t>V. Vigilar la observancia de las políticas, normas, criterios, sistemas y procedimientos inherentes a la adquisición de recursos materiales, así como la contratación y operación de servicios y recursos humanos;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VI. </w:t>
      </w:r>
      <w:r w:rsidRPr="002D19C4">
        <w:rPr>
          <w:rFonts w:ascii="Palatino Linotype" w:eastAsia="Palatino Linotype" w:hAnsi="Palatino Linotype" w:cs="Palatino Linotype"/>
          <w:b/>
          <w:i/>
          <w:sz w:val="22"/>
          <w:szCs w:val="22"/>
          <w:u w:val="single"/>
        </w:rPr>
        <w:t>Organizar, coordinar y dirigir los sistemas de reclutamiento, selección, contratación y desarrollo de personal</w:t>
      </w:r>
      <w:r w:rsidRPr="002D19C4">
        <w:rPr>
          <w:rFonts w:ascii="Palatino Linotype" w:eastAsia="Palatino Linotype" w:hAnsi="Palatino Linotype" w:cs="Palatino Linotype"/>
          <w:i/>
          <w:sz w:val="22"/>
          <w:szCs w:val="22"/>
        </w:rPr>
        <w:t>, adquisiciones, guarda y distribución de bienes materiales y servicios generales;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VII. Llevar a cabo el mantenimiento de los bienes muebles del Municipio;</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VIII. Coordinar el archivo administrativo del Municipio, salvaguardando la información en términos de las disposiciones legales;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IX. Establecer y mantener una coordinación permanente con las dependencias correspondientes para el ágil y adecuado aprovisionamiento de recursos;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X. Coordinar la elaboración del Programa Anual de Adquisiciones del Ayuntamiento, en los términos legales señalados para el efecto;</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XI. </w:t>
      </w:r>
      <w:r w:rsidRPr="002D19C4">
        <w:rPr>
          <w:rFonts w:ascii="Palatino Linotype" w:eastAsia="Palatino Linotype" w:hAnsi="Palatino Linotype" w:cs="Palatino Linotype"/>
          <w:b/>
          <w:i/>
          <w:sz w:val="22"/>
          <w:szCs w:val="22"/>
          <w:u w:val="single"/>
        </w:rPr>
        <w:t>Verificar que se cumplan las disposiciones legales en materia de relaciones laborales, derechos y obligaciones de los servidores públicos municipales</w:t>
      </w:r>
      <w:r w:rsidRPr="002D19C4">
        <w:rPr>
          <w:rFonts w:ascii="Palatino Linotype" w:eastAsia="Palatino Linotype" w:hAnsi="Palatino Linotype" w:cs="Palatino Linotype"/>
          <w:i/>
          <w:sz w:val="22"/>
          <w:szCs w:val="22"/>
        </w:rPr>
        <w:t>, así como las relativas a seguridad e higiene en el trabajo;</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XII. </w:t>
      </w:r>
      <w:r w:rsidRPr="002D19C4">
        <w:rPr>
          <w:rFonts w:ascii="Palatino Linotype" w:eastAsia="Palatino Linotype" w:hAnsi="Palatino Linotype" w:cs="Palatino Linotype"/>
          <w:b/>
          <w:i/>
          <w:sz w:val="22"/>
          <w:szCs w:val="22"/>
          <w:u w:val="single"/>
        </w:rPr>
        <w:t>Vigilar la observancia de las condiciones generales de trabajo</w:t>
      </w:r>
      <w:r w:rsidRPr="002D19C4">
        <w:rPr>
          <w:rFonts w:ascii="Palatino Linotype" w:eastAsia="Palatino Linotype" w:hAnsi="Palatino Linotype" w:cs="Palatino Linotype"/>
          <w:i/>
          <w:sz w:val="22"/>
          <w:szCs w:val="22"/>
        </w:rPr>
        <w:t>;</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XIII. Atender las obligaciones del Ayuntamiento en materia de seguridad social y productividad;</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XIV. </w:t>
      </w:r>
      <w:r w:rsidRPr="002D19C4">
        <w:rPr>
          <w:rFonts w:ascii="Palatino Linotype" w:eastAsia="Palatino Linotype" w:hAnsi="Palatino Linotype" w:cs="Palatino Linotype"/>
          <w:b/>
          <w:i/>
          <w:sz w:val="22"/>
          <w:szCs w:val="22"/>
          <w:u w:val="single"/>
        </w:rPr>
        <w:t>Integrar y mantener actualizado el archivo de expedientes de los servidores públicos municipales</w:t>
      </w:r>
      <w:r w:rsidRPr="002D19C4">
        <w:rPr>
          <w:rFonts w:ascii="Palatino Linotype" w:eastAsia="Palatino Linotype" w:hAnsi="Palatino Linotype" w:cs="Palatino Linotype"/>
          <w:i/>
          <w:sz w:val="22"/>
          <w:szCs w:val="22"/>
        </w:rPr>
        <w:t>;</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XV. Implementar la credencialización de los servidores públicos municipales;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XVI. </w:t>
      </w:r>
      <w:r w:rsidRPr="002D19C4">
        <w:rPr>
          <w:rFonts w:ascii="Palatino Linotype" w:eastAsia="Palatino Linotype" w:hAnsi="Palatino Linotype" w:cs="Palatino Linotype"/>
          <w:b/>
          <w:i/>
          <w:sz w:val="22"/>
          <w:szCs w:val="22"/>
          <w:u w:val="single"/>
        </w:rPr>
        <w:t>Tramitar las altas, bajas, cambios de adscripción, permisos, licencias, renuncias, jubilaciones, incapacidades médicas del personal, e integrarlos correctamente en sus expedientes</w:t>
      </w:r>
      <w:r w:rsidRPr="002D19C4">
        <w:rPr>
          <w:rFonts w:ascii="Palatino Linotype" w:eastAsia="Palatino Linotype" w:hAnsi="Palatino Linotype" w:cs="Palatino Linotype"/>
          <w:i/>
          <w:sz w:val="22"/>
          <w:szCs w:val="22"/>
        </w:rPr>
        <w:t>;</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lastRenderedPageBreak/>
        <w:t xml:space="preserve">XVII. </w:t>
      </w:r>
      <w:r w:rsidRPr="002D19C4">
        <w:rPr>
          <w:rFonts w:ascii="Palatino Linotype" w:eastAsia="Palatino Linotype" w:hAnsi="Palatino Linotype" w:cs="Palatino Linotype"/>
          <w:b/>
          <w:i/>
          <w:sz w:val="22"/>
          <w:szCs w:val="22"/>
          <w:u w:val="single"/>
        </w:rPr>
        <w:t>Elaborar oportunamente la nómina para el pago de salarios de los servidores públicos municipales, apegándose al presupuesto autorizado</w:t>
      </w:r>
      <w:r w:rsidRPr="002D19C4">
        <w:rPr>
          <w:rFonts w:ascii="Palatino Linotype" w:eastAsia="Palatino Linotype" w:hAnsi="Palatino Linotype" w:cs="Palatino Linotype"/>
          <w:i/>
          <w:sz w:val="22"/>
          <w:szCs w:val="22"/>
        </w:rPr>
        <w:t>;</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XVIII. Tramitar los descuentos a que se hagan acreedores los servidores públicos municipales, en virtud de sus inasistencias y/o retardos;</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XIX. Diseñar y ejecutar programas de capacitación y adiestramiento de personal, conforme a las necesidades del Ayuntamiento;</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XX. Fortalecer las relaciones con los trabajadores sindicalizados del Ayuntamiento;</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XXI. Dotar a las dependencias del Ayuntamiento de los recursos humanos y materiales necesarios para su operación y eficaz desempeño;</w:t>
      </w:r>
    </w:p>
    <w:p w:rsidR="00F26B1A" w:rsidRPr="002D19C4" w:rsidRDefault="00A200C6">
      <w:pPr>
        <w:spacing w:before="240" w:after="240" w:line="276" w:lineRule="auto"/>
        <w:ind w:left="851" w:right="616"/>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En este sentido, del ordenamiento jurídico previamente citado, se tiene que la Dirección de Administración es el área con las facultades, competencias y funciones para generar, poseer y administrar la información solicitada.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Es así que el Servidor Público Habilitado de la Dirección de Administración del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respondió a la solicitud de información señalando que la información se puede obtener a través de la plataforma del IPOMEX en la liga electrónica </w:t>
      </w:r>
      <w:hyperlink r:id="rId10">
        <w:r w:rsidRPr="002D19C4">
          <w:rPr>
            <w:rFonts w:ascii="Palatino Linotype" w:eastAsia="Palatino Linotype" w:hAnsi="Palatino Linotype" w:cs="Palatino Linotype"/>
            <w:u w:val="single"/>
          </w:rPr>
          <w:t>https://ipomex2.ipomex.org.mx</w:t>
        </w:r>
      </w:hyperlink>
      <w:r w:rsidRPr="002D19C4">
        <w:rPr>
          <w:rFonts w:ascii="Palatino Linotype" w:eastAsia="Palatino Linotype" w:hAnsi="Palatino Linotype" w:cs="Palatino Linotype"/>
        </w:rPr>
        <w:t xml:space="preserve">. Hipervínculo que al ser consultado dirige a la página principal del portal de Información Pública de Oficio, tal como se muestra en la siguiente imagen.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noProof/>
        </w:rPr>
        <w:lastRenderedPageBreak/>
        <w:drawing>
          <wp:inline distT="0" distB="0" distL="0" distR="0">
            <wp:extent cx="5612130" cy="2691765"/>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612130" cy="2691765"/>
                    </a:xfrm>
                    <a:prstGeom prst="rect">
                      <a:avLst/>
                    </a:prstGeom>
                    <a:ln/>
                  </pic:spPr>
                </pic:pic>
              </a:graphicData>
            </a:graphic>
          </wp:inline>
        </w:drawing>
      </w:r>
    </w:p>
    <w:p w:rsidR="00F26B1A" w:rsidRPr="002D19C4" w:rsidRDefault="00F26B1A">
      <w:pPr>
        <w:spacing w:before="240" w:after="240" w:line="360" w:lineRule="auto"/>
        <w:jc w:val="both"/>
        <w:rPr>
          <w:rFonts w:ascii="Palatino Linotype" w:eastAsia="Palatino Linotype" w:hAnsi="Palatino Linotype" w:cs="Palatino Linotype"/>
        </w:rPr>
      </w:pPr>
    </w:p>
    <w:p w:rsidR="00F26B1A" w:rsidRPr="002D19C4" w:rsidRDefault="00A200C6">
      <w:pPr>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De ello, como se logra observar el vínculo proporcionado por el Sujeto Obligado dirige a la página principal del IPOMEX, de modo que, es importante traer a colación que el artículo 161</w:t>
      </w:r>
      <w:r w:rsidRPr="002D19C4">
        <w:rPr>
          <w:rFonts w:ascii="Palatino Linotype" w:eastAsia="Palatino Linotype" w:hAnsi="Palatino Linotype" w:cs="Palatino Linotype"/>
          <w:vertAlign w:val="superscript"/>
        </w:rPr>
        <w:t xml:space="preserve"> </w:t>
      </w:r>
      <w:r w:rsidRPr="002D19C4">
        <w:rPr>
          <w:rFonts w:ascii="Palatino Linotype" w:eastAsia="Palatino Linotype" w:hAnsi="Palatino Linotype" w:cs="Palatino Linotype"/>
        </w:rPr>
        <w:t>de la Ley de Transparencia y Acceso a la Información Pública del Estado de México y Municipios</w:t>
      </w:r>
      <w:r w:rsidRPr="002D19C4">
        <w:rPr>
          <w:rFonts w:ascii="Palatino Linotype" w:eastAsia="Palatino Linotype" w:hAnsi="Palatino Linotype" w:cs="Palatino Linotype"/>
          <w:i/>
        </w:rPr>
        <w:t xml:space="preserve"> </w:t>
      </w:r>
      <w:r w:rsidRPr="002D19C4">
        <w:rPr>
          <w:rFonts w:ascii="Palatino Linotype" w:eastAsia="Palatino Linotype" w:hAnsi="Palatino Linotype" w:cs="Palatino Linotype"/>
        </w:rPr>
        <w:t>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F26B1A" w:rsidRPr="002D19C4" w:rsidRDefault="00F26B1A">
      <w:pPr>
        <w:spacing w:line="360" w:lineRule="auto"/>
        <w:ind w:right="49"/>
        <w:jc w:val="both"/>
        <w:rPr>
          <w:rFonts w:ascii="Palatino Linotype" w:eastAsia="Palatino Linotype" w:hAnsi="Palatino Linotype" w:cs="Palatino Linotype"/>
        </w:rPr>
      </w:pPr>
    </w:p>
    <w:p w:rsidR="00F26B1A" w:rsidRPr="002D19C4" w:rsidRDefault="00A200C6">
      <w:pPr>
        <w:spacing w:line="276" w:lineRule="auto"/>
        <w:ind w:left="284" w:right="49"/>
        <w:jc w:val="both"/>
        <w:rPr>
          <w:rFonts w:ascii="Palatino Linotype" w:eastAsia="Palatino Linotype" w:hAnsi="Palatino Linotype" w:cs="Palatino Linotype"/>
        </w:rPr>
      </w:pPr>
      <w:r w:rsidRPr="002D19C4">
        <w:rPr>
          <w:rFonts w:ascii="Palatino Linotype" w:eastAsia="Palatino Linotype" w:hAnsi="Palatino Linotype" w:cs="Palatino Linotype"/>
        </w:rPr>
        <w:t>a) La fuente</w:t>
      </w:r>
    </w:p>
    <w:p w:rsidR="00F26B1A" w:rsidRPr="002D19C4" w:rsidRDefault="00A200C6">
      <w:pPr>
        <w:spacing w:line="276" w:lineRule="auto"/>
        <w:ind w:left="284" w:right="49"/>
        <w:jc w:val="both"/>
        <w:rPr>
          <w:rFonts w:ascii="Palatino Linotype" w:eastAsia="Palatino Linotype" w:hAnsi="Palatino Linotype" w:cs="Palatino Linotype"/>
        </w:rPr>
      </w:pPr>
      <w:r w:rsidRPr="002D19C4">
        <w:rPr>
          <w:rFonts w:ascii="Palatino Linotype" w:eastAsia="Palatino Linotype" w:hAnsi="Palatino Linotype" w:cs="Palatino Linotype"/>
        </w:rPr>
        <w:t>b) El lugar y</w:t>
      </w:r>
    </w:p>
    <w:p w:rsidR="00F26B1A" w:rsidRPr="002D19C4" w:rsidRDefault="00A200C6">
      <w:pPr>
        <w:spacing w:line="276" w:lineRule="auto"/>
        <w:ind w:left="284" w:right="49"/>
        <w:jc w:val="both"/>
        <w:rPr>
          <w:rFonts w:ascii="Palatino Linotype" w:eastAsia="Palatino Linotype" w:hAnsi="Palatino Linotype" w:cs="Palatino Linotype"/>
        </w:rPr>
      </w:pPr>
      <w:r w:rsidRPr="002D19C4">
        <w:rPr>
          <w:rFonts w:ascii="Palatino Linotype" w:eastAsia="Palatino Linotype" w:hAnsi="Palatino Linotype" w:cs="Palatino Linotype"/>
        </w:rPr>
        <w:t>c) La forma</w:t>
      </w:r>
    </w:p>
    <w:p w:rsidR="00F26B1A" w:rsidRPr="002D19C4" w:rsidRDefault="00F26B1A">
      <w:pPr>
        <w:spacing w:line="276" w:lineRule="auto"/>
        <w:ind w:left="284" w:right="49"/>
        <w:jc w:val="both"/>
        <w:rPr>
          <w:rFonts w:ascii="Palatino Linotype" w:eastAsia="Palatino Linotype" w:hAnsi="Palatino Linotype" w:cs="Palatino Linotype"/>
        </w:rPr>
      </w:pPr>
    </w:p>
    <w:p w:rsidR="00F26B1A" w:rsidRPr="002D19C4" w:rsidRDefault="00A200C6">
      <w:pPr>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Asimismo, se establece que la fuente de la información deberá ser:</w:t>
      </w:r>
    </w:p>
    <w:p w:rsidR="00F26B1A" w:rsidRPr="002D19C4" w:rsidRDefault="00A200C6">
      <w:pPr>
        <w:spacing w:line="276" w:lineRule="auto"/>
        <w:ind w:left="284" w:right="49"/>
        <w:jc w:val="both"/>
        <w:rPr>
          <w:rFonts w:ascii="Palatino Linotype" w:eastAsia="Palatino Linotype" w:hAnsi="Palatino Linotype" w:cs="Palatino Linotype"/>
        </w:rPr>
      </w:pPr>
      <w:r w:rsidRPr="002D19C4">
        <w:rPr>
          <w:rFonts w:ascii="Palatino Linotype" w:eastAsia="Palatino Linotype" w:hAnsi="Palatino Linotype" w:cs="Palatino Linotype"/>
        </w:rPr>
        <w:t>a) Precisa</w:t>
      </w:r>
    </w:p>
    <w:p w:rsidR="00F26B1A" w:rsidRPr="002D19C4" w:rsidRDefault="00A200C6">
      <w:pPr>
        <w:spacing w:line="276" w:lineRule="auto"/>
        <w:ind w:left="284" w:right="49"/>
        <w:jc w:val="both"/>
        <w:rPr>
          <w:rFonts w:ascii="Palatino Linotype" w:eastAsia="Palatino Linotype" w:hAnsi="Palatino Linotype" w:cs="Palatino Linotype"/>
        </w:rPr>
      </w:pPr>
      <w:r w:rsidRPr="002D19C4">
        <w:rPr>
          <w:rFonts w:ascii="Palatino Linotype" w:eastAsia="Palatino Linotype" w:hAnsi="Palatino Linotype" w:cs="Palatino Linotype"/>
        </w:rPr>
        <w:t>b) Concreta</w:t>
      </w:r>
    </w:p>
    <w:p w:rsidR="00F26B1A" w:rsidRPr="002D19C4" w:rsidRDefault="00A200C6">
      <w:pPr>
        <w:spacing w:line="360" w:lineRule="auto"/>
        <w:ind w:left="284" w:right="560"/>
        <w:jc w:val="both"/>
        <w:rPr>
          <w:rFonts w:ascii="Palatino Linotype" w:eastAsia="Palatino Linotype" w:hAnsi="Palatino Linotype" w:cs="Palatino Linotype"/>
          <w:b/>
          <w:u w:val="single"/>
        </w:rPr>
      </w:pPr>
      <w:r w:rsidRPr="002D19C4">
        <w:rPr>
          <w:rFonts w:ascii="Palatino Linotype" w:eastAsia="Palatino Linotype" w:hAnsi="Palatino Linotype" w:cs="Palatino Linotype"/>
          <w:b/>
          <w:u w:val="single"/>
        </w:rPr>
        <w:t>c) Y no debe implicar que el solicitante realice una búsqueda en toda la información que se encuentre disponible.</w:t>
      </w:r>
    </w:p>
    <w:p w:rsidR="00F26B1A" w:rsidRPr="002D19C4" w:rsidRDefault="00A200C6">
      <w:pPr>
        <w:spacing w:line="360" w:lineRule="auto"/>
        <w:ind w:right="51"/>
        <w:jc w:val="both"/>
        <w:rPr>
          <w:rFonts w:ascii="Palatino Linotype" w:eastAsia="Palatino Linotype" w:hAnsi="Palatino Linotype" w:cs="Palatino Linotype"/>
        </w:rPr>
      </w:pPr>
      <w:r w:rsidRPr="002D19C4">
        <w:rPr>
          <w:rFonts w:ascii="Palatino Linotype" w:eastAsia="Palatino Linotype" w:hAnsi="Palatino Linotype" w:cs="Palatino Linotype"/>
        </w:rPr>
        <w:t>Imperativos legales que detallan el procedimiento que debe seguir el Sujeto Obligado para que pueda tomarse como válida su orientación sobre la forma en que puede consultar la información requerida.</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Dicho esto, se tiene que, respecto a la información que la persona Solicitante requirió, la liga electrónica que proporcionó el Sujeto Obligado </w:t>
      </w:r>
      <w:r w:rsidRPr="002D19C4">
        <w:rPr>
          <w:rFonts w:ascii="Palatino Linotype" w:eastAsia="Palatino Linotype" w:hAnsi="Palatino Linotype" w:cs="Palatino Linotype"/>
          <w:b/>
          <w:u w:val="single"/>
        </w:rPr>
        <w:t>no redirige directamente a la información</w:t>
      </w:r>
      <w:r w:rsidRPr="002D19C4">
        <w:rPr>
          <w:rFonts w:ascii="Palatino Linotype" w:eastAsia="Palatino Linotype" w:hAnsi="Palatino Linotype" w:cs="Palatino Linotype"/>
        </w:rPr>
        <w:t xml:space="preserve">, por el contrario implica que este tenga que realizar una búsqueda en la página proporcionada, por lo que, se determina que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no observó lo que dispone el artículo 161 de la Ley en la materia.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Ahora bien, es importante referir que una vez interpuesto el recurso de revisión, 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haciendo uso de su derecho remitió en informe justificado la liga electrónica proporcionada en respuesta, pero además, refirió los pasos a seguir para la consulta de la información solicitada; sin embargo, tales precisiones no dirigen a la información solicitada ya que únicamente le indica que seleccione el Sujeto Obligado y al desplegarse podrá seleccionar la información requerida, tal como se aprecia en la siguiente imagen.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noProof/>
        </w:rPr>
        <w:lastRenderedPageBreak/>
        <w:drawing>
          <wp:inline distT="0" distB="0" distL="0" distR="0">
            <wp:extent cx="5612130" cy="4728210"/>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4728210"/>
                    </a:xfrm>
                    <a:prstGeom prst="rect">
                      <a:avLst/>
                    </a:prstGeom>
                    <a:ln/>
                  </pic:spPr>
                </pic:pic>
              </a:graphicData>
            </a:graphic>
          </wp:inline>
        </w:drawing>
      </w:r>
    </w:p>
    <w:p w:rsidR="00F26B1A" w:rsidRPr="002D19C4" w:rsidRDefault="00A200C6">
      <w:pPr>
        <w:spacing w:before="240" w:line="360" w:lineRule="auto"/>
        <w:ind w:right="62"/>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No obstante lo anterior, 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en aras de garantizar el derecho de acceso a la información pública del particular remitió el oficio número DA/1154/SEPTIEMBE/2023, suscrito y signado por el Director de Administración en el que solicitó se sometiera a consideración del Comité de Transparencia la clasificación como reserva parcial de la información pública solicitada; respecto al nombre del personal operativo de seguridad pública y el listado del personal adscrito al Ayuntamiento al quince de diciembre de dos mil veintidós, en el que se advierten clasificados nombres de servidores públicos como información reservada. </w:t>
      </w:r>
    </w:p>
    <w:p w:rsidR="00F26B1A" w:rsidRPr="002D19C4" w:rsidRDefault="00A200C6">
      <w:pPr>
        <w:spacing w:before="240" w:after="240" w:line="360" w:lineRule="auto"/>
        <w:ind w:right="51"/>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En este tenor, es oportuno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F26B1A" w:rsidRPr="002D19C4" w:rsidRDefault="00A200C6">
      <w:pPr>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 xml:space="preserve">“Artículo 91. </w:t>
      </w:r>
      <w:r w:rsidRPr="002D19C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Siendo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2D19C4">
        <w:rPr>
          <w:rFonts w:ascii="Palatino Linotype" w:eastAsia="Palatino Linotype" w:hAnsi="Palatino Linotype" w:cs="Palatino Linotype"/>
          <w:sz w:val="18"/>
          <w:szCs w:val="18"/>
        </w:rPr>
        <w:t xml:space="preserve">.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En lo que concierne a la información clasificada como reservada, para que el acceso a la información pública pueda ser restringido, se deben actualizar los supuestos </w:t>
      </w:r>
      <w:r w:rsidRPr="002D19C4">
        <w:rPr>
          <w:rFonts w:ascii="Palatino Linotype" w:eastAsia="Palatino Linotype" w:hAnsi="Palatino Linotype" w:cs="Palatino Linotype"/>
        </w:rPr>
        <w:lastRenderedPageBreak/>
        <w:t>establecidos en el artículo 113 de la Ley General de Transparencia Acceso a la Información Pública y el artículo 140 de la Ley de Transparencia y Acceso a la Información Pública del Estado de México y Municipios, que a la letra señalan lo siguiente:</w:t>
      </w:r>
    </w:p>
    <w:p w:rsidR="00F26B1A" w:rsidRPr="002D19C4" w:rsidRDefault="00A200C6">
      <w:pPr>
        <w:spacing w:before="120" w:after="120"/>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“Artículo 113.</w:t>
      </w:r>
      <w:r w:rsidRPr="002D19C4">
        <w:rPr>
          <w:rFonts w:ascii="Palatino Linotype" w:eastAsia="Palatino Linotype" w:hAnsi="Palatino Linotype" w:cs="Palatino Linotype"/>
          <w:i/>
          <w:sz w:val="22"/>
          <w:szCs w:val="22"/>
        </w:rPr>
        <w:t xml:space="preserve"> Como información reservada podrá clasificarse aquella cuya publicación:</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 xml:space="preserve"> I.</w:t>
      </w:r>
      <w:r w:rsidRPr="002D19C4">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w:t>
      </w:r>
      <w:r w:rsidRPr="002D19C4">
        <w:rPr>
          <w:rFonts w:ascii="Palatino Linotype" w:eastAsia="Palatino Linotype" w:hAnsi="Palatino Linotype" w:cs="Palatino Linotype"/>
          <w:i/>
          <w:sz w:val="22"/>
          <w:szCs w:val="22"/>
        </w:rPr>
        <w:t xml:space="preserve"> Pueda menoscabar la conducción de las negociaciones y relaciones internacionales; </w:t>
      </w:r>
      <w:r w:rsidRPr="002D19C4">
        <w:rPr>
          <w:rFonts w:ascii="Palatino Linotype" w:eastAsia="Palatino Linotype" w:hAnsi="Palatino Linotype" w:cs="Palatino Linotype"/>
          <w:i/>
          <w:sz w:val="22"/>
          <w:szCs w:val="22"/>
        </w:rPr>
        <w:br/>
      </w:r>
      <w:r w:rsidRPr="002D19C4">
        <w:rPr>
          <w:rFonts w:ascii="Palatino Linotype" w:eastAsia="Palatino Linotype" w:hAnsi="Palatino Linotype" w:cs="Palatino Linotype"/>
          <w:b/>
          <w:i/>
          <w:sz w:val="22"/>
          <w:szCs w:val="22"/>
        </w:rPr>
        <w:t>III.</w:t>
      </w:r>
      <w:r w:rsidRPr="002D19C4">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IV.</w:t>
      </w:r>
      <w:r w:rsidRPr="002D19C4">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w:t>
      </w:r>
      <w:r w:rsidRPr="002D19C4">
        <w:rPr>
          <w:rFonts w:ascii="Palatino Linotype" w:eastAsia="Palatino Linotype" w:hAnsi="Palatino Linotype" w:cs="Palatino Linotype"/>
          <w:i/>
          <w:sz w:val="22"/>
          <w:szCs w:val="22"/>
        </w:rPr>
        <w:t xml:space="preserve"> Pueda poner en riesgo la vida, seguridad o salud de una persona física;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VI</w:t>
      </w:r>
      <w:r w:rsidRPr="002D19C4">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VII.</w:t>
      </w:r>
      <w:r w:rsidRPr="002D19C4">
        <w:rPr>
          <w:rFonts w:ascii="Palatino Linotype" w:eastAsia="Palatino Linotype" w:hAnsi="Palatino Linotype" w:cs="Palatino Linotype"/>
          <w:i/>
          <w:sz w:val="22"/>
          <w:szCs w:val="22"/>
        </w:rPr>
        <w:t xml:space="preserve"> Obstruya la prevención o persecución de los delitos;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VIII.</w:t>
      </w:r>
      <w:r w:rsidRPr="002D19C4">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IX.</w:t>
      </w:r>
      <w:r w:rsidRPr="002D19C4">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X.</w:t>
      </w:r>
      <w:r w:rsidRPr="002D19C4">
        <w:rPr>
          <w:rFonts w:ascii="Palatino Linotype" w:eastAsia="Palatino Linotype" w:hAnsi="Palatino Linotype" w:cs="Palatino Linotype"/>
          <w:i/>
          <w:sz w:val="22"/>
          <w:szCs w:val="22"/>
        </w:rPr>
        <w:t xml:space="preserve"> Afecte los derechos del debido proceso;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lastRenderedPageBreak/>
        <w:t>XI.</w:t>
      </w:r>
      <w:r w:rsidRPr="002D19C4">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rsidR="00F26B1A" w:rsidRPr="002D19C4" w:rsidRDefault="00A200C6">
      <w:pPr>
        <w:spacing w:before="120" w:after="120"/>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Artículo 140</w:t>
      </w:r>
      <w:r w:rsidRPr="002D19C4">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w:t>
      </w:r>
      <w:r w:rsidRPr="002D19C4">
        <w:rPr>
          <w:rFonts w:ascii="Palatino Linotype" w:eastAsia="Palatino Linotype" w:hAnsi="Palatino Linotype" w:cs="Palatino Linotype"/>
          <w:i/>
          <w:sz w:val="22"/>
          <w:szCs w:val="22"/>
        </w:rPr>
        <w:t xml:space="preserve">. Comprometa la seguridad pública y cuente con un propósito genuino y un efecto demostrable;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w:t>
      </w:r>
      <w:r w:rsidRPr="002D19C4">
        <w:rPr>
          <w:rFonts w:ascii="Palatino Linotype" w:eastAsia="Palatino Linotype" w:hAnsi="Palatino Linotype" w:cs="Palatino Linotype"/>
          <w:i/>
          <w:sz w:val="22"/>
          <w:szCs w:val="22"/>
        </w:rPr>
        <w:t xml:space="preserve"> Pueda menoscabar la conducción de las negociaciones y relaciones internacionales;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III.</w:t>
      </w:r>
      <w:r w:rsidRPr="002D19C4">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IV.</w:t>
      </w:r>
      <w:r w:rsidRPr="002D19C4">
        <w:rPr>
          <w:rFonts w:ascii="Palatino Linotype" w:eastAsia="Palatino Linotype" w:hAnsi="Palatino Linotype" w:cs="Palatino Linotype"/>
          <w:i/>
          <w:sz w:val="22"/>
          <w:szCs w:val="22"/>
        </w:rPr>
        <w:t xml:space="preserve"> Ponga en riesgo la vida, la seguridad o la salud de una persona física;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w:t>
      </w:r>
      <w:r w:rsidRPr="002D19C4">
        <w:rPr>
          <w:rFonts w:ascii="Palatino Linotype" w:eastAsia="Palatino Linotype" w:hAnsi="Palatino Linotype" w:cs="Palatino Linotype"/>
          <w:i/>
          <w:sz w:val="22"/>
          <w:szCs w:val="22"/>
        </w:rPr>
        <w:t xml:space="preserve">. Aquella cuya divulgación obstruya o pueda causar un serio perjuicio a: </w:t>
      </w:r>
    </w:p>
    <w:p w:rsidR="00F26B1A" w:rsidRPr="002D19C4" w:rsidRDefault="00A200C6">
      <w:pPr>
        <w:spacing w:before="120" w:after="120"/>
        <w:ind w:left="1418"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rsidR="00F26B1A" w:rsidRPr="002D19C4" w:rsidRDefault="00A200C6">
      <w:pPr>
        <w:spacing w:before="120" w:after="120"/>
        <w:ind w:left="1418"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2. La recaudación de las contribuciones.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VI</w:t>
      </w:r>
      <w:r w:rsidRPr="002D19C4">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VII.</w:t>
      </w:r>
      <w:r w:rsidRPr="002D19C4">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VIII.</w:t>
      </w:r>
      <w:r w:rsidRPr="002D19C4">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IX</w:t>
      </w:r>
      <w:r w:rsidRPr="002D19C4">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lastRenderedPageBreak/>
        <w:t>X.</w:t>
      </w:r>
      <w:r w:rsidRPr="002D19C4">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F26B1A" w:rsidRPr="002D19C4" w:rsidRDefault="00A200C6">
      <w:pPr>
        <w:spacing w:before="120" w:after="120"/>
        <w:ind w:left="1134"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XI.</w:t>
      </w:r>
      <w:r w:rsidRPr="002D19C4">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2D19C4">
        <w:rPr>
          <w:rFonts w:ascii="Palatino Linotype" w:eastAsia="Palatino Linotype" w:hAnsi="Palatino Linotype" w:cs="Palatino Linotype"/>
          <w:b/>
        </w:rPr>
        <w:t>Reservada</w:t>
      </w:r>
      <w:r w:rsidRPr="002D19C4">
        <w:rPr>
          <w:rFonts w:ascii="Palatino Linotype" w:eastAsia="Palatino Linotype" w:hAnsi="Palatino Linotype" w:cs="Palatino Linotype"/>
        </w:rPr>
        <w:t xml:space="preserve">,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w:t>
      </w:r>
      <w:r w:rsidRPr="002D19C4">
        <w:rPr>
          <w:rFonts w:ascii="Palatino Linotype" w:eastAsia="Palatino Linotype" w:hAnsi="Palatino Linotype" w:cs="Palatino Linotype"/>
        </w:rPr>
        <w:lastRenderedPageBreak/>
        <w:t>judiciales que no hayan quedado firmes; o que por disposición expresa de una ley tengan tal carácter.</w:t>
      </w:r>
    </w:p>
    <w:p w:rsidR="00F26B1A" w:rsidRPr="002D19C4" w:rsidRDefault="00A200C6">
      <w:pPr>
        <w:spacing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spacing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Dicha valoración, debe realizarse caso por caso, a través de lo que se conoce como la llamada </w:t>
      </w:r>
      <w:r w:rsidRPr="002D19C4">
        <w:rPr>
          <w:rFonts w:ascii="Palatino Linotype" w:eastAsia="Palatino Linotype" w:hAnsi="Palatino Linotype" w:cs="Palatino Linotype"/>
          <w:i/>
        </w:rPr>
        <w:t>“prueba de daño”</w:t>
      </w:r>
      <w:r w:rsidRPr="002D19C4">
        <w:rPr>
          <w:rFonts w:ascii="Palatino Linotype" w:eastAsia="Palatino Linotype" w:hAnsi="Palatino Linotype" w:cs="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ind w:left="851"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“Segundo.</w:t>
      </w:r>
      <w:r w:rsidRPr="002D19C4">
        <w:rPr>
          <w:rFonts w:ascii="Palatino Linotype" w:eastAsia="Palatino Linotype" w:hAnsi="Palatino Linotype" w:cs="Palatino Linotype"/>
          <w:i/>
          <w:sz w:val="22"/>
          <w:szCs w:val="22"/>
        </w:rPr>
        <w:t xml:space="preserve"> Para efectos de los presentes Lineamientos Generales, se entenderá por: </w:t>
      </w:r>
    </w:p>
    <w:p w:rsidR="00F26B1A" w:rsidRPr="002D19C4" w:rsidRDefault="00A200C6">
      <w:pPr>
        <w:ind w:left="1134" w:right="902"/>
        <w:jc w:val="both"/>
        <w:rPr>
          <w:rFonts w:ascii="Palatino Linotype" w:eastAsia="Palatino Linotype" w:hAnsi="Palatino Linotype" w:cs="Palatino Linotype"/>
          <w:b/>
          <w:i/>
          <w:sz w:val="22"/>
          <w:szCs w:val="22"/>
        </w:rPr>
      </w:pPr>
      <w:r w:rsidRPr="002D19C4">
        <w:rPr>
          <w:rFonts w:ascii="Palatino Linotype" w:eastAsia="Palatino Linotype" w:hAnsi="Palatino Linotype" w:cs="Palatino Linotype"/>
          <w:b/>
          <w:i/>
          <w:sz w:val="22"/>
          <w:szCs w:val="22"/>
        </w:rPr>
        <w:t>...</w:t>
      </w:r>
    </w:p>
    <w:p w:rsidR="00F26B1A" w:rsidRPr="002D19C4" w:rsidRDefault="00A200C6">
      <w:pPr>
        <w:ind w:left="1134" w:right="902"/>
        <w:jc w:val="both"/>
        <w:rPr>
          <w:rFonts w:ascii="Palatino Linotype" w:eastAsia="Palatino Linotype" w:hAnsi="Palatino Linotype" w:cs="Palatino Linotype"/>
          <w:b/>
          <w:i/>
          <w:sz w:val="22"/>
          <w:szCs w:val="22"/>
        </w:rPr>
      </w:pPr>
      <w:r w:rsidRPr="002D19C4">
        <w:rPr>
          <w:rFonts w:ascii="Palatino Linotype" w:eastAsia="Palatino Linotype" w:hAnsi="Palatino Linotype" w:cs="Palatino Linotype"/>
          <w:b/>
          <w:i/>
          <w:sz w:val="22"/>
          <w:szCs w:val="22"/>
        </w:rPr>
        <w:t>XIII.    Prueba de daño</w:t>
      </w:r>
      <w:r w:rsidRPr="002D19C4">
        <w:rPr>
          <w:rFonts w:ascii="Palatino Linotype" w:eastAsia="Palatino Linotype" w:hAnsi="Palatino Linotype" w:cs="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2D19C4">
        <w:rPr>
          <w:rFonts w:ascii="Palatino Linotype" w:eastAsia="Palatino Linotype" w:hAnsi="Palatino Linotype" w:cs="Palatino Linotype"/>
          <w:b/>
          <w:i/>
          <w:sz w:val="22"/>
          <w:szCs w:val="22"/>
        </w:rPr>
        <w:t>”</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F26B1A" w:rsidRPr="002D19C4" w:rsidRDefault="00A200C6">
      <w:pPr>
        <w:numPr>
          <w:ilvl w:val="0"/>
          <w:numId w:val="1"/>
        </w:numPr>
        <w:spacing w:line="360" w:lineRule="auto"/>
        <w:ind w:left="851"/>
        <w:jc w:val="both"/>
        <w:rPr>
          <w:rFonts w:ascii="Palatino Linotype" w:eastAsia="Palatino Linotype" w:hAnsi="Palatino Linotype" w:cs="Palatino Linotype"/>
        </w:rPr>
      </w:pPr>
      <w:r w:rsidRPr="002D19C4">
        <w:rPr>
          <w:rFonts w:ascii="Palatino Linotype" w:eastAsia="Palatino Linotype" w:hAnsi="Palatino Linotype" w:cs="Palatino Linotype"/>
        </w:rPr>
        <w:t>Se reciba una solicitud de acceso a la información.</w:t>
      </w:r>
    </w:p>
    <w:p w:rsidR="00F26B1A" w:rsidRPr="002D19C4" w:rsidRDefault="00A200C6">
      <w:pPr>
        <w:numPr>
          <w:ilvl w:val="0"/>
          <w:numId w:val="1"/>
        </w:numPr>
        <w:spacing w:line="360" w:lineRule="auto"/>
        <w:ind w:left="851"/>
        <w:jc w:val="both"/>
        <w:rPr>
          <w:rFonts w:ascii="Palatino Linotype" w:eastAsia="Palatino Linotype" w:hAnsi="Palatino Linotype" w:cs="Palatino Linotype"/>
        </w:rPr>
      </w:pPr>
      <w:r w:rsidRPr="002D19C4">
        <w:rPr>
          <w:rFonts w:ascii="Palatino Linotype" w:eastAsia="Palatino Linotype" w:hAnsi="Palatino Linotype" w:cs="Palatino Linotype"/>
        </w:rPr>
        <w:t>Se determine mediante resolución de autoridad competente.</w:t>
      </w:r>
    </w:p>
    <w:p w:rsidR="00F26B1A" w:rsidRPr="002D19C4" w:rsidRDefault="00A200C6">
      <w:pPr>
        <w:numPr>
          <w:ilvl w:val="0"/>
          <w:numId w:val="1"/>
        </w:numPr>
        <w:spacing w:line="360" w:lineRule="auto"/>
        <w:ind w:left="851"/>
        <w:jc w:val="both"/>
        <w:rPr>
          <w:rFonts w:ascii="Palatino Linotype" w:eastAsia="Palatino Linotype" w:hAnsi="Palatino Linotype" w:cs="Palatino Linotype"/>
        </w:rPr>
      </w:pPr>
      <w:r w:rsidRPr="002D19C4">
        <w:rPr>
          <w:rFonts w:ascii="Palatino Linotype" w:eastAsia="Palatino Linotype" w:hAnsi="Palatino Linotype" w:cs="Palatino Linotype"/>
        </w:rPr>
        <w:t>Se generen versiones públicas para dar cumplimiento a las obligaciones de transparencia previstas en la Ley.</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spacing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spacing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rsidR="00F26B1A" w:rsidRPr="002D19C4" w:rsidRDefault="00A200C6">
      <w:pPr>
        <w:spacing w:before="240" w:after="240"/>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“Artículo 129</w:t>
      </w:r>
      <w:r w:rsidRPr="002D19C4">
        <w:rPr>
          <w:rFonts w:ascii="Palatino Linotype" w:eastAsia="Palatino Linotype" w:hAnsi="Palatino Linotype" w:cs="Palatino Linotype"/>
          <w:i/>
          <w:sz w:val="22"/>
          <w:szCs w:val="22"/>
        </w:rPr>
        <w:t>. En la aplicación de la prueba de daño, el sujeto obligado deberá precisar las razones objetivas por las que la apertura de la información generaría una afectación, justificando que:</w:t>
      </w:r>
    </w:p>
    <w:p w:rsidR="00F26B1A" w:rsidRPr="002D19C4" w:rsidRDefault="00A200C6">
      <w:pPr>
        <w:spacing w:before="240" w:after="240"/>
        <w:ind w:left="1134"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w:t>
      </w:r>
      <w:r w:rsidRPr="002D19C4">
        <w:rPr>
          <w:rFonts w:ascii="Palatino Linotype" w:eastAsia="Palatino Linotype" w:hAnsi="Palatino Linotype" w:cs="Palatino Linotype"/>
          <w:i/>
          <w:sz w:val="22"/>
          <w:szCs w:val="22"/>
        </w:rPr>
        <w:t xml:space="preserve">. La divulgación de la información representa un riesgo real, demostrable e identificable del perjuicio significativo al interés público o a la seguridad pública; </w:t>
      </w:r>
    </w:p>
    <w:p w:rsidR="00F26B1A" w:rsidRPr="002D19C4" w:rsidRDefault="00A200C6">
      <w:pPr>
        <w:spacing w:before="240" w:after="240"/>
        <w:ind w:left="1134"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lastRenderedPageBreak/>
        <w:t>II.</w:t>
      </w:r>
      <w:r w:rsidRPr="002D19C4">
        <w:rPr>
          <w:rFonts w:ascii="Palatino Linotype" w:eastAsia="Palatino Linotype" w:hAnsi="Palatino Linotype" w:cs="Palatino Linotype"/>
          <w:i/>
          <w:sz w:val="22"/>
          <w:szCs w:val="22"/>
        </w:rPr>
        <w:t xml:space="preserve"> El riesgo de perjuicio que supondría la divulgación supera el interés público general de que se difunda; y</w:t>
      </w:r>
    </w:p>
    <w:p w:rsidR="00F26B1A" w:rsidRPr="002D19C4" w:rsidRDefault="00A200C6">
      <w:pPr>
        <w:spacing w:before="240" w:after="240"/>
        <w:ind w:left="1134"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III.</w:t>
      </w:r>
      <w:r w:rsidRPr="002D19C4">
        <w:rPr>
          <w:rFonts w:ascii="Palatino Linotype" w:eastAsia="Palatino Linotype" w:hAnsi="Palatino Linotype" w:cs="Palatino Linotype"/>
          <w:i/>
          <w:sz w:val="22"/>
          <w:szCs w:val="22"/>
        </w:rPr>
        <w:t xml:space="preserve"> La limitación se adecua al principio de proporcionalidad y representa el medio menos restrictivo disponible representa el medio menos restrictivo disponible para evitar el perjuicio.”</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w:t>
      </w:r>
      <w:r w:rsidRPr="002D19C4">
        <w:rPr>
          <w:rFonts w:ascii="Palatino Linotype" w:eastAsia="Palatino Linotype" w:hAnsi="Palatino Linotype" w:cs="Palatino Linotype"/>
          <w:sz w:val="22"/>
          <w:szCs w:val="22"/>
        </w:rPr>
        <w:t xml:space="preserve">-el riesgo al divulgarse- </w:t>
      </w:r>
      <w:r w:rsidRPr="002D19C4">
        <w:rPr>
          <w:rFonts w:ascii="Palatino Linotype" w:eastAsia="Palatino Linotype" w:hAnsi="Palatino Linotype" w:cs="Palatino Linotype"/>
        </w:rPr>
        <w:t xml:space="preserve">supera al segundo </w:t>
      </w:r>
      <w:r w:rsidRPr="002D19C4">
        <w:rPr>
          <w:rFonts w:ascii="Palatino Linotype" w:eastAsia="Palatino Linotype" w:hAnsi="Palatino Linotype" w:cs="Palatino Linotype"/>
          <w:sz w:val="22"/>
          <w:szCs w:val="22"/>
        </w:rPr>
        <w:t>-el interés de que se conozca-</w:t>
      </w:r>
      <w:r w:rsidRPr="002D19C4">
        <w:rPr>
          <w:rFonts w:ascii="Palatino Linotype" w:eastAsia="Palatino Linotype" w:hAnsi="Palatino Linotype" w:cs="Palatino Linotype"/>
        </w:rPr>
        <w:t>.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En el mismo tenor el Lineamiento Trigésimo Tercero, de los Lineamientos Generales en Materia de Clasificación y Desclasificación de la Información, así como para la elaboración de versiones públicas, dispone lo siguiente:</w:t>
      </w:r>
    </w:p>
    <w:p w:rsidR="00F26B1A" w:rsidRPr="002D19C4" w:rsidRDefault="00A200C6">
      <w:pPr>
        <w:spacing w:before="120" w:after="120"/>
        <w:ind w:left="851" w:right="758"/>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lastRenderedPageBreak/>
        <w:t>“</w:t>
      </w:r>
      <w:r w:rsidRPr="002D19C4">
        <w:rPr>
          <w:rFonts w:ascii="Palatino Linotype" w:eastAsia="Palatino Linotype" w:hAnsi="Palatino Linotype" w:cs="Palatino Linotype"/>
          <w:b/>
          <w:i/>
          <w:sz w:val="22"/>
          <w:szCs w:val="22"/>
        </w:rPr>
        <w:t>Trigésimo tercero</w:t>
      </w:r>
      <w:r w:rsidRPr="002D19C4">
        <w:rPr>
          <w:rFonts w:ascii="Palatino Linotype" w:eastAsia="Palatino Linotype" w:hAnsi="Palatino Linotype" w:cs="Palatino Linotype"/>
          <w:i/>
          <w:sz w:val="22"/>
          <w:szCs w:val="22"/>
        </w:rPr>
        <w:t>. Para la aplicación de la prueba de daño a la que hace referencia el artículo 104 de la Ley General, los sujetos obligados atenderán lo siguiente:</w:t>
      </w:r>
    </w:p>
    <w:p w:rsidR="00F26B1A" w:rsidRPr="002D19C4" w:rsidRDefault="00A200C6">
      <w:pPr>
        <w:tabs>
          <w:tab w:val="left" w:pos="1701"/>
        </w:tabs>
        <w:spacing w:before="120" w:after="120"/>
        <w:ind w:left="1134" w:right="760"/>
        <w:jc w:val="both"/>
        <w:rPr>
          <w:rFonts w:ascii="Palatino Linotype" w:eastAsia="Palatino Linotype" w:hAnsi="Palatino Linotype" w:cs="Palatino Linotype"/>
          <w:b/>
          <w:i/>
          <w:sz w:val="20"/>
          <w:szCs w:val="20"/>
        </w:rPr>
      </w:pPr>
      <w:r w:rsidRPr="002D19C4">
        <w:rPr>
          <w:rFonts w:ascii="Palatino Linotype" w:eastAsia="Palatino Linotype" w:hAnsi="Palatino Linotype" w:cs="Palatino Linotype"/>
          <w:b/>
          <w:i/>
          <w:sz w:val="22"/>
          <w:szCs w:val="22"/>
        </w:rPr>
        <w:t xml:space="preserve">I. </w:t>
      </w:r>
      <w:r w:rsidRPr="002D19C4">
        <w:rPr>
          <w:rFonts w:ascii="Palatino Linotype" w:eastAsia="Palatino Linotype" w:hAnsi="Palatino Linotype" w:cs="Palatino Linotype"/>
          <w:i/>
          <w:sz w:val="22"/>
          <w:szCs w:val="22"/>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rsidR="00F26B1A" w:rsidRPr="002D19C4" w:rsidRDefault="00A200C6">
      <w:pPr>
        <w:tabs>
          <w:tab w:val="left" w:pos="1701"/>
        </w:tabs>
        <w:spacing w:before="120" w:after="120"/>
        <w:ind w:left="1134" w:right="76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w:t>
      </w:r>
      <w:r w:rsidRPr="002D19C4">
        <w:rPr>
          <w:rFonts w:ascii="Palatino Linotype" w:eastAsia="Palatino Linotype" w:hAnsi="Palatino Linotype" w:cs="Palatino Linotype"/>
          <w:i/>
          <w:sz w:val="22"/>
          <w:szCs w:val="22"/>
        </w:rPr>
        <w:t>. Se deberá motivar la clasificación, señalando las circunstancias de modo, tiempo y lugar que acrediten el vínculo entre la difusión de la información y la afectación al interés público o a la seguridad nacional;</w:t>
      </w:r>
    </w:p>
    <w:p w:rsidR="00F26B1A" w:rsidRPr="002D19C4" w:rsidRDefault="00A200C6">
      <w:pPr>
        <w:tabs>
          <w:tab w:val="left" w:pos="1701"/>
        </w:tabs>
        <w:spacing w:before="120" w:after="120"/>
        <w:ind w:left="1134" w:right="76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III.</w:t>
      </w:r>
      <w:r w:rsidRPr="002D19C4">
        <w:rPr>
          <w:rFonts w:ascii="Palatino Linotype" w:eastAsia="Palatino Linotype" w:hAnsi="Palatino Linotype" w:cs="Palatino Linotype"/>
          <w:i/>
          <w:sz w:val="22"/>
          <w:szCs w:val="22"/>
        </w:rPr>
        <w:t xml:space="preserve"> Se deberán precisar las razones objetivas por las que la apertura de la información generaría un riesgo de perjuicio real, demostrable e identificable al interés jurídico tutelado de que se trate;</w:t>
      </w:r>
    </w:p>
    <w:p w:rsidR="00F26B1A" w:rsidRPr="002D19C4" w:rsidRDefault="00A200C6">
      <w:pPr>
        <w:tabs>
          <w:tab w:val="left" w:pos="1701"/>
        </w:tabs>
        <w:spacing w:before="120" w:after="120"/>
        <w:ind w:left="1134" w:right="760"/>
        <w:jc w:val="both"/>
        <w:rPr>
          <w:rFonts w:ascii="Palatino Linotype" w:eastAsia="Palatino Linotype" w:hAnsi="Palatino Linotype" w:cs="Palatino Linotype"/>
          <w:b/>
          <w:i/>
          <w:sz w:val="22"/>
          <w:szCs w:val="22"/>
        </w:rPr>
      </w:pPr>
      <w:r w:rsidRPr="002D19C4">
        <w:rPr>
          <w:rFonts w:ascii="Palatino Linotype" w:eastAsia="Palatino Linotype" w:hAnsi="Palatino Linotype" w:cs="Palatino Linotype"/>
          <w:b/>
          <w:i/>
          <w:sz w:val="22"/>
          <w:szCs w:val="22"/>
        </w:rPr>
        <w:t>IV.</w:t>
      </w:r>
      <w:r w:rsidRPr="002D19C4">
        <w:rPr>
          <w:rFonts w:ascii="Palatino Linotype" w:eastAsia="Palatino Linotype" w:hAnsi="Palatino Linotype" w:cs="Palatino Linotype"/>
          <w:i/>
          <w:sz w:val="22"/>
          <w:szCs w:val="22"/>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2D19C4">
        <w:rPr>
          <w:rFonts w:ascii="Palatino Linotype" w:eastAsia="Palatino Linotype" w:hAnsi="Palatino Linotype" w:cs="Palatino Linotype"/>
          <w:b/>
          <w:i/>
          <w:sz w:val="22"/>
          <w:szCs w:val="22"/>
        </w:rPr>
        <w:t xml:space="preserve"> </w:t>
      </w:r>
    </w:p>
    <w:p w:rsidR="00F26B1A" w:rsidRPr="002D19C4" w:rsidRDefault="00A200C6">
      <w:pPr>
        <w:tabs>
          <w:tab w:val="left" w:pos="1701"/>
        </w:tabs>
        <w:spacing w:before="120" w:after="120"/>
        <w:ind w:left="1134" w:right="760"/>
        <w:jc w:val="both"/>
        <w:rPr>
          <w:rFonts w:ascii="Palatino Linotype" w:eastAsia="Palatino Linotype" w:hAnsi="Palatino Linotype" w:cs="Palatino Linotype"/>
          <w:b/>
          <w:i/>
          <w:sz w:val="22"/>
          <w:szCs w:val="22"/>
        </w:rPr>
      </w:pPr>
      <w:r w:rsidRPr="002D19C4">
        <w:rPr>
          <w:rFonts w:ascii="Palatino Linotype" w:eastAsia="Palatino Linotype" w:hAnsi="Palatino Linotype" w:cs="Palatino Linotype"/>
          <w:b/>
          <w:i/>
          <w:sz w:val="22"/>
          <w:szCs w:val="22"/>
        </w:rPr>
        <w:t>V</w:t>
      </w:r>
      <w:r w:rsidRPr="002D19C4">
        <w:rPr>
          <w:rFonts w:ascii="Palatino Linotype" w:eastAsia="Palatino Linotype" w:hAnsi="Palatino Linotype" w:cs="Palatino Linotype"/>
          <w:i/>
          <w:sz w:val="22"/>
          <w:szCs w:val="22"/>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2D19C4">
        <w:rPr>
          <w:rFonts w:ascii="Palatino Linotype" w:eastAsia="Palatino Linotype" w:hAnsi="Palatino Linotype" w:cs="Palatino Linotype"/>
          <w:b/>
          <w:i/>
          <w:sz w:val="22"/>
          <w:szCs w:val="22"/>
        </w:rPr>
        <w:t xml:space="preserve"> </w:t>
      </w:r>
    </w:p>
    <w:p w:rsidR="00F26B1A" w:rsidRPr="002D19C4" w:rsidRDefault="00A200C6">
      <w:pPr>
        <w:tabs>
          <w:tab w:val="left" w:pos="1701"/>
        </w:tabs>
        <w:spacing w:before="120" w:after="120"/>
        <w:ind w:left="1134" w:right="76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VI</w:t>
      </w:r>
      <w:r w:rsidRPr="002D19C4">
        <w:rPr>
          <w:rFonts w:ascii="Palatino Linotype" w:eastAsia="Palatino Linotype" w:hAnsi="Palatino Linotype" w:cs="Palatino Linotype"/>
          <w:i/>
          <w:sz w:val="22"/>
          <w:szCs w:val="22"/>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Lo anterior, encuentra sustento en la Tesis de la Décima Época, publicada en la Gaceta del Semanario Judicial de la Federación, sección Tribunales Colegiados de </w:t>
      </w:r>
      <w:r w:rsidRPr="002D19C4">
        <w:rPr>
          <w:rFonts w:ascii="Palatino Linotype" w:eastAsia="Palatino Linotype" w:hAnsi="Palatino Linotype" w:cs="Palatino Linotype"/>
        </w:rPr>
        <w:lastRenderedPageBreak/>
        <w:t>Circuito, Libro 5, de fecha abril de 2014, pág. 1523, Registro, 2, 006,299. I.1o.A.E.3 K (10a.), que literalmente señala:</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ind w:left="851"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w:t>
      </w:r>
      <w:r w:rsidRPr="002D19C4">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2D19C4">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2D19C4">
        <w:rPr>
          <w:rFonts w:ascii="Palatino Linotype" w:eastAsia="Palatino Linotype" w:hAnsi="Palatino Linotype" w:cs="Palatino Linotype"/>
          <w:i/>
          <w:sz w:val="22"/>
          <w:szCs w:val="22"/>
        </w:rPr>
        <w:t>officio</w:t>
      </w:r>
      <w:proofErr w:type="spellEnd"/>
      <w:r w:rsidRPr="002D19C4">
        <w:rPr>
          <w:rFonts w:ascii="Palatino Linotype" w:eastAsia="Palatino Linotype" w:hAnsi="Palatino Linotype" w:cs="Palatino Linotype"/>
          <w:i/>
          <w:sz w:val="22"/>
          <w:szCs w:val="22"/>
        </w:rPr>
        <w:t>, con el propósito de obtener una versión que sea pública para la parte interesada.” (</w:t>
      </w:r>
      <w:proofErr w:type="gramStart"/>
      <w:r w:rsidRPr="002D19C4">
        <w:rPr>
          <w:rFonts w:ascii="Palatino Linotype" w:eastAsia="Palatino Linotype" w:hAnsi="Palatino Linotype" w:cs="Palatino Linotype"/>
          <w:i/>
          <w:sz w:val="22"/>
          <w:szCs w:val="22"/>
        </w:rPr>
        <w:t>sic</w:t>
      </w:r>
      <w:proofErr w:type="gramEnd"/>
      <w:r w:rsidRPr="002D19C4">
        <w:rPr>
          <w:rFonts w:ascii="Palatino Linotype" w:eastAsia="Palatino Linotype" w:hAnsi="Palatino Linotype" w:cs="Palatino Linotype"/>
          <w:i/>
          <w:sz w:val="22"/>
          <w:szCs w:val="22"/>
        </w:rPr>
        <w:t>)</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Prueba de daño, que cobra relevancia puesto que sí ésta no arroja resultados contundentes sobre un posible peligro, deberá de publicarse o difundirse la información.</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w:t>
      </w:r>
      <w:r w:rsidRPr="002D19C4">
        <w:rPr>
          <w:rFonts w:ascii="Palatino Linotype" w:eastAsia="Palatino Linotype" w:hAnsi="Palatino Linotype" w:cs="Palatino Linotype"/>
        </w:rPr>
        <w:lastRenderedPageBreak/>
        <w:t>conforme a un análisis caso por caso, mediante la aplicación de la enunciada prueba de daño.</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mientras que para motivar la clasificación se deben señalar las razones o circunstancias especiales que lo llevaron a concluir que el caso particular se ajusta al supuesto previsto por la norma legal invocada como fundamento</w:t>
      </w:r>
      <w:r w:rsidRPr="002D19C4">
        <w:rPr>
          <w:rFonts w:ascii="Arial" w:eastAsia="Arial" w:hAnsi="Arial" w:cs="Arial"/>
        </w:rPr>
        <w:t xml:space="preserve">, </w:t>
      </w:r>
      <w:r w:rsidRPr="002D19C4">
        <w:rPr>
          <w:rFonts w:ascii="Palatino Linotype" w:eastAsia="Palatino Linotype" w:hAnsi="Palatino Linotype" w:cs="Palatino Linotype"/>
        </w:rPr>
        <w:t xml:space="preserve">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w:t>
      </w:r>
      <w:r w:rsidRPr="002D19C4">
        <w:rPr>
          <w:rFonts w:ascii="Palatino Linotype" w:eastAsia="Palatino Linotype" w:hAnsi="Palatino Linotype" w:cs="Palatino Linotype"/>
        </w:rPr>
        <w:lastRenderedPageBreak/>
        <w:t>en otras palabras, para clasificar la información como reservada, el acuerdo respectivo debe estar debidamente fundado y motivado.</w:t>
      </w:r>
    </w:p>
    <w:p w:rsidR="00F26B1A" w:rsidRPr="002D19C4" w:rsidRDefault="00A200C6">
      <w:pPr>
        <w:spacing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Sirve de sustento a lo anterior, la Tesis jurisprudencial número I.4º.A. J/43, publicada en el Semanario Judicial de la Federación y su Gaceta, bajo el número de registro 175,082; que a la letra dice:</w:t>
      </w:r>
    </w:p>
    <w:p w:rsidR="00F26B1A" w:rsidRPr="002D19C4" w:rsidRDefault="00F26B1A">
      <w:pPr>
        <w:spacing w:line="360" w:lineRule="auto"/>
        <w:jc w:val="both"/>
        <w:rPr>
          <w:rFonts w:ascii="Palatino Linotype" w:eastAsia="Palatino Linotype" w:hAnsi="Palatino Linotype" w:cs="Palatino Linotype"/>
          <w:sz w:val="10"/>
          <w:szCs w:val="10"/>
        </w:rPr>
      </w:pPr>
    </w:p>
    <w:p w:rsidR="00F26B1A" w:rsidRPr="002D19C4" w:rsidRDefault="00A200C6">
      <w:pPr>
        <w:ind w:left="851"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w:t>
      </w:r>
      <w:r w:rsidRPr="002D19C4">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 </w:t>
      </w:r>
      <w:r w:rsidRPr="002D19C4">
        <w:rPr>
          <w:rFonts w:ascii="Palatino Linotype" w:eastAsia="Palatino Linotype" w:hAnsi="Palatino Linotype" w:cs="Palatino Linotype"/>
          <w:i/>
          <w:sz w:val="22"/>
          <w:szCs w:val="22"/>
        </w:rPr>
        <w:t>El contenido formal de la garantía de legalidad prevista en el artículo 16 constitucional relativa a la fundamentación y motivación tiene como propósito primordial y ratio que el justiciable </w:t>
      </w:r>
      <w:r w:rsidRPr="002D19C4">
        <w:rPr>
          <w:rFonts w:ascii="Palatino Linotype" w:eastAsia="Palatino Linotype" w:hAnsi="Palatino Linotype" w:cs="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D19C4">
        <w:rPr>
          <w:rFonts w:ascii="Palatino Linotype" w:eastAsia="Palatino Linotype" w:hAnsi="Palatino Linotype" w:cs="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2D19C4">
        <w:rPr>
          <w:rFonts w:ascii="Palatino Linotype" w:eastAsia="Palatino Linotype" w:hAnsi="Palatino Linotype" w:cs="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2D19C4">
        <w:rPr>
          <w:rFonts w:ascii="Palatino Linotype" w:eastAsia="Palatino Linotype" w:hAnsi="Palatino Linotype" w:cs="Palatino Linotype"/>
          <w:i/>
          <w:sz w:val="22"/>
          <w:szCs w:val="22"/>
        </w:rPr>
        <w:t> del que se deduzca la relación de pertenencia lógica de los hechos al derecho invocado, que es la subsunción.”</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En el caso concreto, este Organismo Garante estima que la información concerniente al personal de seguridad y los vehículos destinados a la seguridad del presidente actualiza el supuesto de información clasificada como reservada, en términos de los artículos 113, fracción V de la Ley General de Transparencia Acceso a la Información Pública y 140, fracción IV de la Ley de Transparencia y Acceso a la Información </w:t>
      </w:r>
      <w:r w:rsidRPr="002D19C4">
        <w:rPr>
          <w:rFonts w:ascii="Palatino Linotype" w:eastAsia="Palatino Linotype" w:hAnsi="Palatino Linotype" w:cs="Palatino Linotype"/>
        </w:rPr>
        <w:lastRenderedPageBreak/>
        <w:t xml:space="preserve">Pública del Estado de México y Municipios, ya que como ha sido mencionado, el derecho de acceso no es absoluto, sino que, como toda garantía, se halla sujeto a limitaciones o excepciones que se sustentan en las disposiciones normativas aplicables, y en el presente caso se considera que la divulgación de dicha información pudiera poner en riesgo la vida, seguridad o salud tanto del personal con funciones de seguridad pública.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En esta tesitura, se procede al análisis del Acta emitida por el Comité de Transparencia, con la finalidad de determinar si cuenta con los elementos necesarios para justificar, la restricción al Derecho Humano de acceso a la información de la persona solicitante, para lo cual es necesario verificar si dicha Acta cumple con la totalidad de las formalidades precisadas en líneas anteriores, así como con el Lineamiento Quincuagésimo primero de los Lineamientos Generales en Materia de Clasificación y Desclasificación de la Información, que es del tenor literal siguiente:</w:t>
      </w:r>
    </w:p>
    <w:p w:rsidR="00F26B1A" w:rsidRPr="002D19C4" w:rsidRDefault="00A200C6">
      <w:pPr>
        <w:spacing w:before="120" w:after="120"/>
        <w:ind w:left="851"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w:t>
      </w:r>
      <w:r w:rsidRPr="002D19C4">
        <w:rPr>
          <w:rFonts w:ascii="Palatino Linotype" w:eastAsia="Palatino Linotype" w:hAnsi="Palatino Linotype" w:cs="Palatino Linotype"/>
          <w:b/>
          <w:i/>
          <w:sz w:val="22"/>
          <w:szCs w:val="22"/>
        </w:rPr>
        <w:t>Quincuagésimo primero.</w:t>
      </w:r>
      <w:r w:rsidRPr="002D19C4">
        <w:rPr>
          <w:rFonts w:ascii="Palatino Linotype" w:eastAsia="Palatino Linotype" w:hAnsi="Palatino Linotype" w:cs="Palatino Linotype"/>
          <w:i/>
          <w:sz w:val="22"/>
          <w:szCs w:val="22"/>
        </w:rPr>
        <w:t xml:space="preserve"> Toda acta del Comité de Transparencia deberá contener:</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w:t>
      </w:r>
      <w:r w:rsidRPr="002D19C4">
        <w:rPr>
          <w:rFonts w:ascii="Palatino Linotype" w:eastAsia="Palatino Linotype" w:hAnsi="Palatino Linotype" w:cs="Palatino Linotype"/>
          <w:i/>
          <w:sz w:val="22"/>
          <w:szCs w:val="22"/>
        </w:rPr>
        <w:t xml:space="preserve"> El número de sesión y fecha;</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w:t>
      </w:r>
      <w:r w:rsidRPr="002D19C4">
        <w:rPr>
          <w:rFonts w:ascii="Palatino Linotype" w:eastAsia="Palatino Linotype" w:hAnsi="Palatino Linotype" w:cs="Palatino Linotype"/>
          <w:i/>
          <w:sz w:val="22"/>
          <w:szCs w:val="22"/>
        </w:rPr>
        <w:t xml:space="preserve"> El nombre del área que solicitó la clasificación de información;</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III.</w:t>
      </w:r>
      <w:r w:rsidRPr="002D19C4">
        <w:rPr>
          <w:rFonts w:ascii="Palatino Linotype" w:eastAsia="Palatino Linotype" w:hAnsi="Palatino Linotype" w:cs="Palatino Linotype"/>
          <w:i/>
          <w:sz w:val="22"/>
          <w:szCs w:val="22"/>
        </w:rPr>
        <w:t xml:space="preserve"> La fundamentación legal y motivación correspondiente;</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IV</w:t>
      </w:r>
      <w:r w:rsidRPr="002D19C4">
        <w:rPr>
          <w:rFonts w:ascii="Palatino Linotype" w:eastAsia="Palatino Linotype" w:hAnsi="Palatino Linotype" w:cs="Palatino Linotype"/>
          <w:i/>
          <w:sz w:val="22"/>
          <w:szCs w:val="22"/>
        </w:rPr>
        <w:t xml:space="preserve">. La resolución o resoluciones aprobadas; y </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V.</w:t>
      </w:r>
      <w:r w:rsidRPr="002D19C4">
        <w:rPr>
          <w:rFonts w:ascii="Palatino Linotype" w:eastAsia="Palatino Linotype" w:hAnsi="Palatino Linotype" w:cs="Palatino Linotype"/>
          <w:i/>
          <w:sz w:val="22"/>
          <w:szCs w:val="22"/>
        </w:rPr>
        <w:t xml:space="preserve"> La rúbrica o firma digital de cada integrante del Comité de Transparencia.</w:t>
      </w:r>
    </w:p>
    <w:p w:rsidR="00F26B1A" w:rsidRPr="002D19C4" w:rsidRDefault="00A200C6">
      <w:pPr>
        <w:spacing w:before="120" w:after="120"/>
        <w:ind w:left="851"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w:t>
      </w:r>
      <w:r w:rsidRPr="002D19C4">
        <w:rPr>
          <w:rFonts w:ascii="Palatino Linotype" w:eastAsia="Palatino Linotype" w:hAnsi="Palatino Linotype" w:cs="Palatino Linotype"/>
          <w:i/>
          <w:sz w:val="22"/>
          <w:szCs w:val="22"/>
        </w:rPr>
        <w:t xml:space="preserve"> Los motivos y razonamientos que sustenten la confirmación o modificación de la prueba de daño;</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II</w:t>
      </w:r>
      <w:r w:rsidRPr="002D19C4">
        <w:rPr>
          <w:rFonts w:ascii="Palatino Linotype" w:eastAsia="Palatino Linotype" w:hAnsi="Palatino Linotype" w:cs="Palatino Linotype"/>
          <w:i/>
          <w:sz w:val="22"/>
          <w:szCs w:val="22"/>
        </w:rPr>
        <w:t xml:space="preserve">. Descripción de las partes o secciones reservadas, en caso de clasificación parcial; </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lastRenderedPageBreak/>
        <w:t>III</w:t>
      </w:r>
      <w:r w:rsidRPr="002D19C4">
        <w:rPr>
          <w:rFonts w:ascii="Palatino Linotype" w:eastAsia="Palatino Linotype" w:hAnsi="Palatino Linotype" w:cs="Palatino Linotype"/>
          <w:i/>
          <w:sz w:val="22"/>
          <w:szCs w:val="22"/>
        </w:rPr>
        <w:t>. El periodo por el que mantendrá su clasificación y fecha de expiración; y</w:t>
      </w:r>
    </w:p>
    <w:p w:rsidR="00F26B1A" w:rsidRPr="002D19C4" w:rsidRDefault="00A200C6">
      <w:pPr>
        <w:spacing w:before="120" w:after="120"/>
        <w:ind w:left="1134"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IV</w:t>
      </w:r>
      <w:r w:rsidRPr="002D19C4">
        <w:rPr>
          <w:rFonts w:ascii="Palatino Linotype" w:eastAsia="Palatino Linotype" w:hAnsi="Palatino Linotype" w:cs="Palatino Linotype"/>
          <w:i/>
          <w:sz w:val="22"/>
          <w:szCs w:val="22"/>
        </w:rPr>
        <w:t>. El nombre del titular y área encargada de realizar la versión pública del documento, en su caso.</w:t>
      </w:r>
    </w:p>
    <w:p w:rsidR="00F26B1A" w:rsidRPr="002D19C4" w:rsidRDefault="00A200C6">
      <w:pPr>
        <w:spacing w:before="120" w:after="120"/>
        <w:ind w:left="851"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w:t>
      </w:r>
    </w:p>
    <w:p w:rsidR="00F26B1A" w:rsidRPr="002D19C4" w:rsidRDefault="00A200C6">
      <w:pPr>
        <w:spacing w:before="120" w:after="120"/>
        <w:ind w:left="851" w:right="902"/>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Para un mejor entendimiento, dicho análisis se realizará a través del siguiente cuadro: </w:t>
      </w:r>
    </w:p>
    <w:tbl>
      <w:tblPr>
        <w:tblStyle w:val="a3"/>
        <w:tblW w:w="88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245"/>
        <w:gridCol w:w="1752"/>
      </w:tblGrid>
      <w:tr w:rsidR="002D19C4" w:rsidRPr="002D19C4">
        <w:tc>
          <w:tcPr>
            <w:tcW w:w="183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26B1A" w:rsidRPr="002D19C4" w:rsidRDefault="00A200C6">
            <w:pPr>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REQUISITOS</w:t>
            </w:r>
          </w:p>
        </w:tc>
        <w:tc>
          <w:tcPr>
            <w:tcW w:w="524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26B1A" w:rsidRPr="002D19C4" w:rsidRDefault="00A200C6">
            <w:pPr>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ACUERDO</w:t>
            </w:r>
          </w:p>
          <w:p w:rsidR="00F26B1A" w:rsidRPr="002D19C4" w:rsidRDefault="00A200C6">
            <w:pPr>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sz w:val="20"/>
                <w:szCs w:val="20"/>
              </w:rPr>
              <w:t>De conformidad con el lineamiento Quincuagésimo primero de los Lineamientos de Clasificación y Desclasificación de la Información.</w:t>
            </w:r>
          </w:p>
        </w:tc>
        <w:tc>
          <w:tcPr>
            <w:tcW w:w="17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26B1A" w:rsidRPr="002D19C4" w:rsidRDefault="00A200C6">
            <w:pPr>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¿CUMPLE?</w:t>
            </w:r>
          </w:p>
        </w:tc>
      </w:tr>
      <w:tr w:rsidR="002D19C4" w:rsidRPr="002D19C4">
        <w:trPr>
          <w:trHeight w:val="1794"/>
        </w:trPr>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Numero de Sesión y fecha.</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1445260"/>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93415" cy="1445260"/>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SI</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Nombre del área que solicitó la clasificación de la información, e información solicitada</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829945"/>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193415" cy="82994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SI</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b/>
                <w:sz w:val="20"/>
                <w:szCs w:val="20"/>
              </w:rPr>
              <w:lastRenderedPageBreak/>
              <w:t>Fundamento de la clasificación</w:t>
            </w:r>
            <w:r w:rsidRPr="002D19C4">
              <w:rPr>
                <w:rFonts w:ascii="Palatino Linotype" w:eastAsia="Palatino Linotype" w:hAnsi="Palatino Linotype" w:cs="Palatino Linotype"/>
                <w:sz w:val="20"/>
                <w:szCs w:val="20"/>
              </w:rPr>
              <w:t>.</w:t>
            </w:r>
          </w:p>
          <w:p w:rsidR="00F26B1A" w:rsidRPr="002D19C4" w:rsidRDefault="00A200C6">
            <w:pPr>
              <w:widowControl w:val="0"/>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sz w:val="20"/>
                <w:szCs w:val="20"/>
              </w:rPr>
              <w:t xml:space="preserve">De conformidad con el párrafo primero del Lineamiento octavo de los Lineamientos de Clasificación y Desclasificación de la Información. </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727075"/>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3193415" cy="727075"/>
                          </a:xfrm>
                          <a:prstGeom prst="rect">
                            <a:avLst/>
                          </a:prstGeom>
                          <a:ln/>
                        </pic:spPr>
                      </pic:pic>
                    </a:graphicData>
                  </a:graphic>
                </wp:inline>
              </w:drawing>
            </w:r>
          </w:p>
          <w:p w:rsidR="00F26B1A" w:rsidRPr="002D19C4" w:rsidRDefault="00F26B1A">
            <w:pPr>
              <w:spacing w:before="120" w:after="120"/>
              <w:jc w:val="center"/>
              <w:rPr>
                <w:rFonts w:ascii="Palatino Linotype" w:eastAsia="Palatino Linotype" w:hAnsi="Palatino Linotype" w:cs="Palatino Linotype"/>
              </w:rPr>
            </w:pPr>
          </w:p>
          <w:p w:rsidR="00F26B1A" w:rsidRPr="002D19C4" w:rsidRDefault="00A200C6">
            <w:pPr>
              <w:jc w:val="center"/>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282003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193415" cy="282003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 xml:space="preserve">SI </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b/>
                <w:sz w:val="20"/>
                <w:szCs w:val="20"/>
              </w:rPr>
              <w:t>Motivación de la clasificación</w:t>
            </w:r>
            <w:r w:rsidRPr="002D19C4">
              <w:rPr>
                <w:rFonts w:ascii="Palatino Linotype" w:eastAsia="Palatino Linotype" w:hAnsi="Palatino Linotype" w:cs="Palatino Linotype"/>
                <w:sz w:val="20"/>
                <w:szCs w:val="20"/>
              </w:rPr>
              <w:t>.</w:t>
            </w:r>
          </w:p>
          <w:p w:rsidR="00F26B1A" w:rsidRPr="002D19C4" w:rsidRDefault="00A200C6">
            <w:pPr>
              <w:widowControl w:val="0"/>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sz w:val="20"/>
                <w:szCs w:val="20"/>
              </w:rPr>
              <w:t>De conformidad con el párrafo segundo del Lineamiento octavo de los Lineamientos de Clasificación y Desclasificación de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F26B1A">
            <w:pPr>
              <w:jc w:val="center"/>
              <w:rPr>
                <w:rFonts w:ascii="Palatino Linotype" w:eastAsia="Palatino Linotype" w:hAnsi="Palatino Linotype" w:cs="Palatino Linotype"/>
              </w:rPr>
            </w:pPr>
          </w:p>
          <w:p w:rsidR="00F26B1A" w:rsidRPr="002D19C4" w:rsidRDefault="00F26B1A">
            <w:pPr>
              <w:rPr>
                <w:rFonts w:ascii="Palatino Linotype" w:eastAsia="Palatino Linotype" w:hAnsi="Palatino Linotype" w:cs="Palatino Linotype"/>
              </w:rPr>
            </w:pPr>
          </w:p>
          <w:p w:rsidR="00F26B1A" w:rsidRPr="002D19C4" w:rsidRDefault="00F26B1A">
            <w:pPr>
              <w:rPr>
                <w:rFonts w:ascii="Palatino Linotype" w:eastAsia="Palatino Linotype" w:hAnsi="Palatino Linotype" w:cs="Palatino Linotype"/>
              </w:rPr>
            </w:pPr>
          </w:p>
          <w:p w:rsidR="00F26B1A" w:rsidRPr="002D19C4" w:rsidRDefault="00F26B1A">
            <w:pPr>
              <w:rPr>
                <w:rFonts w:ascii="Palatino Linotype" w:eastAsia="Palatino Linotype" w:hAnsi="Palatino Linotype" w:cs="Palatino Linotype"/>
              </w:rPr>
            </w:pPr>
          </w:p>
          <w:p w:rsidR="00F26B1A" w:rsidRPr="002D19C4" w:rsidRDefault="00A200C6">
            <w:pPr>
              <w:jc w:val="center"/>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1840865"/>
                  <wp:effectExtent l="0" t="0" r="0" b="0"/>
                  <wp:docPr id="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193415" cy="184086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SI</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sz w:val="20"/>
                <w:szCs w:val="20"/>
              </w:rPr>
              <w:lastRenderedPageBreak/>
              <w:t>Resolución o resoluciones aprobadas</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1109980"/>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93415" cy="1109980"/>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jc w:val="center"/>
              <w:rPr>
                <w:rFonts w:ascii="Palatino Linotype" w:eastAsia="Palatino Linotype" w:hAnsi="Palatino Linotype" w:cs="Palatino Linotype"/>
                <w:sz w:val="12"/>
                <w:szCs w:val="12"/>
              </w:rPr>
            </w:pPr>
            <w:r w:rsidRPr="002D19C4">
              <w:rPr>
                <w:rFonts w:ascii="Palatino Linotype" w:eastAsia="Palatino Linotype" w:hAnsi="Palatino Linotype" w:cs="Palatino Linotype"/>
                <w:b/>
                <w:sz w:val="20"/>
                <w:szCs w:val="20"/>
              </w:rPr>
              <w:t>SI</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sz w:val="20"/>
                <w:szCs w:val="20"/>
              </w:rPr>
              <w:t xml:space="preserve">Los motivos y razonamientos que </w:t>
            </w:r>
            <w:r w:rsidRPr="002D19C4">
              <w:rPr>
                <w:rFonts w:ascii="Palatino Linotype" w:eastAsia="Palatino Linotype" w:hAnsi="Palatino Linotype" w:cs="Palatino Linotype"/>
                <w:b/>
                <w:sz w:val="20"/>
                <w:szCs w:val="20"/>
              </w:rPr>
              <w:t>sustenten la confirmación o modificación</w:t>
            </w:r>
            <w:r w:rsidRPr="002D19C4">
              <w:rPr>
                <w:rFonts w:ascii="Palatino Linotype" w:eastAsia="Palatino Linotype" w:hAnsi="Palatino Linotype" w:cs="Palatino Linotype"/>
                <w:sz w:val="20"/>
                <w:szCs w:val="20"/>
              </w:rPr>
              <w:t xml:space="preserve"> </w:t>
            </w:r>
            <w:r w:rsidRPr="002D19C4">
              <w:rPr>
                <w:rFonts w:ascii="Palatino Linotype" w:eastAsia="Palatino Linotype" w:hAnsi="Palatino Linotype" w:cs="Palatino Linotype"/>
                <w:b/>
                <w:sz w:val="20"/>
                <w:szCs w:val="20"/>
              </w:rPr>
              <w:t>de la prueba de daño</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noProof/>
                <w:sz w:val="20"/>
                <w:szCs w:val="20"/>
              </w:rPr>
              <w:drawing>
                <wp:inline distT="0" distB="0" distL="0" distR="0">
                  <wp:extent cx="3193415" cy="689610"/>
                  <wp:effectExtent l="0" t="0" r="0" b="0"/>
                  <wp:docPr id="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193415" cy="689610"/>
                          </a:xfrm>
                          <a:prstGeom prst="rect">
                            <a:avLst/>
                          </a:prstGeom>
                          <a:ln/>
                        </pic:spPr>
                      </pic:pic>
                    </a:graphicData>
                  </a:graphic>
                </wp:inline>
              </w:drawing>
            </w:r>
          </w:p>
          <w:p w:rsidR="00F26B1A" w:rsidRPr="002D19C4" w:rsidRDefault="00A200C6">
            <w:pPr>
              <w:spacing w:before="240" w:after="240" w:line="360" w:lineRule="auto"/>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noProof/>
                <w:sz w:val="20"/>
                <w:szCs w:val="20"/>
              </w:rPr>
              <w:drawing>
                <wp:inline distT="0" distB="0" distL="0" distR="0">
                  <wp:extent cx="3193415" cy="2843530"/>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193415" cy="2843530"/>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SI</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sz w:val="20"/>
                <w:szCs w:val="20"/>
              </w:rPr>
            </w:pPr>
            <w:r w:rsidRPr="002D19C4">
              <w:rPr>
                <w:rFonts w:ascii="Palatino Linotype" w:eastAsia="Palatino Linotype" w:hAnsi="Palatino Linotype" w:cs="Palatino Linotype"/>
                <w:sz w:val="20"/>
                <w:szCs w:val="20"/>
              </w:rPr>
              <w:t xml:space="preserve">El periodo por el que mantendrá su clasificación </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377190"/>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193415" cy="377190"/>
                          </a:xfrm>
                          <a:prstGeom prst="rect">
                            <a:avLst/>
                          </a:prstGeom>
                          <a:ln/>
                        </pic:spPr>
                      </pic:pic>
                    </a:graphicData>
                  </a:graphic>
                </wp:inline>
              </w:drawing>
            </w:r>
          </w:p>
          <w:p w:rsidR="00F26B1A" w:rsidRPr="002D19C4" w:rsidRDefault="00A200C6">
            <w:pPr>
              <w:spacing w:before="240" w:after="240" w:line="360" w:lineRule="auto"/>
              <w:jc w:val="center"/>
              <w:rPr>
                <w:rFonts w:ascii="Palatino Linotype" w:eastAsia="Palatino Linotype" w:hAnsi="Palatino Linotype" w:cs="Palatino Linotype"/>
              </w:rPr>
            </w:pPr>
            <w:r w:rsidRPr="002D19C4">
              <w:rPr>
                <w:rFonts w:ascii="Palatino Linotype" w:eastAsia="Palatino Linotype" w:hAnsi="Palatino Linotype" w:cs="Palatino Linotype"/>
                <w:noProof/>
              </w:rPr>
              <w:lastRenderedPageBreak/>
              <w:drawing>
                <wp:inline distT="0" distB="0" distL="0" distR="0">
                  <wp:extent cx="3193415" cy="1141095"/>
                  <wp:effectExtent l="0" t="0" r="0" b="0"/>
                  <wp:docPr id="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3193415" cy="114109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jc w:val="center"/>
              <w:rPr>
                <w:rFonts w:ascii="Palatino Linotype" w:eastAsia="Palatino Linotype" w:hAnsi="Palatino Linotype" w:cs="Palatino Linotype"/>
                <w:sz w:val="12"/>
                <w:szCs w:val="12"/>
              </w:rPr>
            </w:pPr>
            <w:r w:rsidRPr="002D19C4">
              <w:rPr>
                <w:rFonts w:ascii="Palatino Linotype" w:eastAsia="Palatino Linotype" w:hAnsi="Palatino Linotype" w:cs="Palatino Linotype"/>
                <w:b/>
                <w:sz w:val="20"/>
                <w:szCs w:val="20"/>
              </w:rPr>
              <w:lastRenderedPageBreak/>
              <w:t>SI</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lastRenderedPageBreak/>
              <w:t>Nombre y firma de los integrantes del Comité</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F26B1A">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p w:rsidR="00F26B1A" w:rsidRPr="002D19C4" w:rsidRDefault="00A200C6">
            <w:pPr>
              <w:spacing w:before="240" w:after="240" w:line="360" w:lineRule="auto"/>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3193415" cy="2888615"/>
                  <wp:effectExtent l="0" t="0" r="0" b="0"/>
                  <wp:docPr id="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193415" cy="288861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SI</w:t>
            </w:r>
          </w:p>
        </w:tc>
      </w:tr>
      <w:tr w:rsidR="002D19C4" w:rsidRPr="002D19C4">
        <w:tc>
          <w:tcPr>
            <w:tcW w:w="1838"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widowControl w:val="0"/>
              <w:jc w:val="center"/>
              <w:rPr>
                <w:rFonts w:ascii="Palatino Linotype" w:eastAsia="Palatino Linotype" w:hAnsi="Palatino Linotype" w:cs="Palatino Linotype"/>
                <w:b/>
                <w:sz w:val="20"/>
                <w:szCs w:val="20"/>
              </w:rPr>
            </w:pPr>
            <w:r w:rsidRPr="002D19C4">
              <w:rPr>
                <w:rFonts w:ascii="Palatino Linotype" w:eastAsia="Palatino Linotype" w:hAnsi="Palatino Linotype" w:cs="Palatino Linotype"/>
                <w:b/>
                <w:sz w:val="20"/>
                <w:szCs w:val="20"/>
              </w:rPr>
              <w:t xml:space="preserve">IV. </w:t>
            </w:r>
            <w:r w:rsidRPr="002D19C4">
              <w:rPr>
                <w:rFonts w:ascii="Palatino Linotype" w:eastAsia="Palatino Linotype" w:hAnsi="Palatino Linotype" w:cs="Palatino Linotype"/>
                <w:sz w:val="20"/>
                <w:szCs w:val="20"/>
              </w:rPr>
              <w:t>Ponderación entre la medida restrictiva y el derecho de acceso a la información.</w:t>
            </w:r>
          </w:p>
        </w:tc>
        <w:tc>
          <w:tcPr>
            <w:tcW w:w="5245"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line="360" w:lineRule="auto"/>
              <w:jc w:val="center"/>
              <w:rPr>
                <w:rFonts w:ascii="Palatino Linotype" w:eastAsia="Palatino Linotype" w:hAnsi="Palatino Linotype" w:cs="Palatino Linotype"/>
              </w:rPr>
            </w:pPr>
            <w:r w:rsidRPr="002D19C4">
              <w:rPr>
                <w:noProof/>
              </w:rPr>
              <w:drawing>
                <wp:inline distT="0" distB="0" distL="0" distR="0">
                  <wp:extent cx="3193415" cy="384175"/>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3193415" cy="384175"/>
                          </a:xfrm>
                          <a:prstGeom prst="rect">
                            <a:avLst/>
                          </a:prstGeom>
                          <a:ln/>
                        </pic:spPr>
                      </pic:pic>
                    </a:graphicData>
                  </a:graphic>
                </wp:inline>
              </w:drawing>
            </w:r>
          </w:p>
        </w:tc>
        <w:tc>
          <w:tcPr>
            <w:tcW w:w="1752" w:type="dxa"/>
            <w:tcBorders>
              <w:top w:val="single" w:sz="4" w:space="0" w:color="000000"/>
              <w:left w:val="single" w:sz="4" w:space="0" w:color="000000"/>
              <w:bottom w:val="single" w:sz="4" w:space="0" w:color="000000"/>
              <w:right w:val="single" w:sz="4" w:space="0" w:color="000000"/>
            </w:tcBorders>
            <w:vAlign w:val="center"/>
          </w:tcPr>
          <w:p w:rsidR="00F26B1A" w:rsidRPr="002D19C4" w:rsidRDefault="00A200C6">
            <w:pPr>
              <w:spacing w:before="240" w:after="240"/>
              <w:jc w:val="center"/>
              <w:rPr>
                <w:rFonts w:ascii="Palatino Linotype" w:eastAsia="Palatino Linotype" w:hAnsi="Palatino Linotype" w:cs="Palatino Linotype"/>
                <w:b/>
                <w:sz w:val="12"/>
                <w:szCs w:val="12"/>
              </w:rPr>
            </w:pPr>
            <w:r w:rsidRPr="002D19C4">
              <w:rPr>
                <w:rFonts w:ascii="Palatino Linotype" w:eastAsia="Palatino Linotype" w:hAnsi="Palatino Linotype" w:cs="Palatino Linotype"/>
                <w:b/>
                <w:sz w:val="12"/>
                <w:szCs w:val="12"/>
              </w:rPr>
              <w:t>PARCIALMENTE</w:t>
            </w:r>
          </w:p>
          <w:p w:rsidR="00F26B1A" w:rsidRPr="002D19C4" w:rsidRDefault="00A200C6">
            <w:pPr>
              <w:spacing w:before="240" w:after="240"/>
              <w:jc w:val="both"/>
              <w:rPr>
                <w:rFonts w:ascii="Palatino Linotype" w:eastAsia="Palatino Linotype" w:hAnsi="Palatino Linotype" w:cs="Palatino Linotype"/>
                <w:sz w:val="16"/>
                <w:szCs w:val="16"/>
              </w:rPr>
            </w:pPr>
            <w:r w:rsidRPr="002D19C4">
              <w:rPr>
                <w:rFonts w:ascii="Palatino Linotype" w:eastAsia="Palatino Linotype" w:hAnsi="Palatino Linotype" w:cs="Palatino Linotype"/>
                <w:sz w:val="14"/>
                <w:szCs w:val="14"/>
              </w:rPr>
              <w:t>No se prueba de manera objetiva que la publicidad de la información supera al interés público de que la información se difunda.</w:t>
            </w:r>
          </w:p>
        </w:tc>
      </w:tr>
    </w:tbl>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Como se advierte en el cuadro que antecede, el acuerdo emitido por el Comité de Transparencia,  cumple con las formalidades que contempla la Ley en la materia, por lo que se acredita, de manera fundada y motivada que la divulgación de información relativa al nombre del personal operativo de seguridad pública lesiona </w:t>
      </w:r>
      <w:r w:rsidRPr="002D19C4">
        <w:rPr>
          <w:rFonts w:ascii="Palatino Linotype" w:eastAsia="Palatino Linotype" w:hAnsi="Palatino Linotype" w:cs="Palatino Linotype"/>
        </w:rPr>
        <w:lastRenderedPageBreak/>
        <w:t>el interés jurídicamente protegido por la normativa aplicable y que el daño que puede producirse con la publicidad de la información es mayor que el interés de conocerla.</w:t>
      </w:r>
    </w:p>
    <w:p w:rsidR="00F26B1A" w:rsidRPr="002D19C4" w:rsidRDefault="00A200C6">
      <w:pPr>
        <w:spacing w:before="240" w:line="360" w:lineRule="auto"/>
        <w:ind w:right="62"/>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Ahora bien, cabe insistir que el listado remitido por el Servidor Público Habilitado de la Dirección de Administración, contiene el nombre de los servidores públicos en activo al quince de diciembre de dos mil veintidós, como se advierte en la siguiente imagen. </w:t>
      </w:r>
    </w:p>
    <w:p w:rsidR="00F26B1A" w:rsidRPr="002D19C4" w:rsidRDefault="00A200C6">
      <w:pPr>
        <w:spacing w:before="240" w:line="360" w:lineRule="auto"/>
        <w:ind w:right="62"/>
        <w:jc w:val="both"/>
        <w:rPr>
          <w:rFonts w:ascii="Palatino Linotype" w:eastAsia="Palatino Linotype" w:hAnsi="Palatino Linotype" w:cs="Palatino Linotype"/>
        </w:rPr>
      </w:pPr>
      <w:r w:rsidRPr="002D19C4">
        <w:rPr>
          <w:rFonts w:ascii="Palatino Linotype" w:eastAsia="Palatino Linotype" w:hAnsi="Palatino Linotype" w:cs="Palatino Linotype"/>
          <w:noProof/>
        </w:rPr>
        <w:drawing>
          <wp:inline distT="0" distB="0" distL="0" distR="0">
            <wp:extent cx="5612130" cy="4143375"/>
            <wp:effectExtent l="0" t="0" r="0" b="0"/>
            <wp:docPr id="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612130" cy="4143375"/>
                    </a:xfrm>
                    <a:prstGeom prst="rect">
                      <a:avLst/>
                    </a:prstGeom>
                    <a:ln/>
                  </pic:spPr>
                </pic:pic>
              </a:graphicData>
            </a:graphic>
          </wp:inline>
        </w:drawing>
      </w:r>
    </w:p>
    <w:p w:rsidR="00F26B1A" w:rsidRPr="002D19C4" w:rsidRDefault="00F26B1A">
      <w:pPr>
        <w:spacing w:after="240" w:line="360" w:lineRule="auto"/>
        <w:ind w:right="49"/>
        <w:jc w:val="both"/>
        <w:rPr>
          <w:rFonts w:ascii="Palatino Linotype" w:eastAsia="Palatino Linotype" w:hAnsi="Palatino Linotype" w:cs="Palatino Linotype"/>
        </w:rPr>
      </w:pPr>
    </w:p>
    <w:p w:rsidR="00F26B1A" w:rsidRPr="002D19C4" w:rsidRDefault="00A200C6">
      <w:pPr>
        <w:spacing w:after="240"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 xml:space="preserve">En este sentido al haber existido un pronunciamiento por parte del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específicamente del servidor público habilitado competente, respecto del requerimiento de información, este Organismo Garante no está facultado para manifestarse sobre la veracidad de lo proporcionado, pues no existe precepto legal alguno en la Ley de la materia que lo faculte para ello, por tanto, el punto en estudio, se tiene por satisfecho.</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F26B1A" w:rsidRPr="002D19C4" w:rsidRDefault="00A200C6">
      <w:pPr>
        <w:spacing w:before="240" w:after="240"/>
        <w:ind w:left="851" w:right="900"/>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b/>
          <w:i/>
          <w:sz w:val="22"/>
          <w:szCs w:val="22"/>
        </w:rPr>
        <w:t xml:space="preserve"> “El Instituto Federal de Acceso a la Información y Protección de Datos no cuenta con facultades para pronunciarse respecto de la veracidad de los documentos proporcionados por los sujetos obligados</w:t>
      </w:r>
      <w:r w:rsidRPr="002D19C4">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F26B1A" w:rsidRPr="002D19C4" w:rsidRDefault="00A200C6">
      <w:pPr>
        <w:spacing w:before="240" w:after="240" w:line="360" w:lineRule="auto"/>
        <w:jc w:val="both"/>
        <w:rPr>
          <w:rFonts w:ascii="Palatino Linotype" w:eastAsia="Palatino Linotype" w:hAnsi="Palatino Linotype" w:cs="Palatino Linotype"/>
          <w:b/>
        </w:rPr>
      </w:pPr>
      <w:r w:rsidRPr="002D19C4">
        <w:rPr>
          <w:rFonts w:ascii="Palatino Linotype" w:eastAsia="Palatino Linotype" w:hAnsi="Palatino Linotype" w:cs="Palatino Linotype"/>
        </w:rPr>
        <w:t xml:space="preserve">Por lo que, se tienen por satisfecho el requerimiento formulado por la parte </w:t>
      </w:r>
      <w:r w:rsidRPr="002D19C4">
        <w:rPr>
          <w:rFonts w:ascii="Palatino Linotype" w:eastAsia="Palatino Linotype" w:hAnsi="Palatino Linotype" w:cs="Palatino Linotype"/>
          <w:b/>
        </w:rPr>
        <w:t>Recurrente</w:t>
      </w:r>
      <w:r w:rsidRPr="002D19C4">
        <w:rPr>
          <w:rFonts w:ascii="Palatino Linotype" w:eastAsia="Palatino Linotype" w:hAnsi="Palatino Linotype" w:cs="Palatino Linotype"/>
        </w:rPr>
        <w:t xml:space="preserve">; toda vez que el Servidor Público respondió y proporcionó el listado de los servidores públicos adscritos al Ayuntamiento de Valle de Bravo a la fecha de la solicitud. </w:t>
      </w:r>
    </w:p>
    <w:p w:rsidR="00F26B1A" w:rsidRPr="002D19C4" w:rsidRDefault="00A200C6">
      <w:pPr>
        <w:spacing w:line="360" w:lineRule="auto"/>
        <w:ind w:right="-93"/>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 xml:space="preserve">Lo anterior, ya que si bien el derecho de acceso a la información pública se satisface en aquellos casos en que se entregue el soporte documental en que conste la información pública, sin la necesidad de elaborar documentos </w:t>
      </w:r>
      <w:r w:rsidRPr="002D19C4">
        <w:rPr>
          <w:rFonts w:ascii="Palatino Linotype" w:eastAsia="Palatino Linotype" w:hAnsi="Palatino Linotype" w:cs="Palatino Linotype"/>
          <w:i/>
        </w:rPr>
        <w:t>ad hoc</w:t>
      </w:r>
      <w:r w:rsidRPr="002D19C4">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2D19C4">
        <w:rPr>
          <w:rFonts w:ascii="Palatino Linotype" w:eastAsia="Palatino Linotype" w:hAnsi="Palatino Linotype" w:cs="Palatino Linotype"/>
          <w:b/>
        </w:rPr>
        <w:t>cuando no es una obligación de las autoridades</w:t>
      </w:r>
      <w:r w:rsidRPr="002D19C4">
        <w:rPr>
          <w:rFonts w:ascii="Palatino Linotype" w:eastAsia="Palatino Linotype" w:hAnsi="Palatino Linotype" w:cs="Palatino Linotype"/>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p>
    <w:p w:rsidR="00F26B1A" w:rsidRPr="002D19C4" w:rsidRDefault="00A200C6">
      <w:pPr>
        <w:spacing w:line="360" w:lineRule="auto"/>
        <w:ind w:right="-93"/>
        <w:jc w:val="both"/>
        <w:rPr>
          <w:rFonts w:ascii="Palatino Linotype" w:eastAsia="Palatino Linotype" w:hAnsi="Palatino Linotype" w:cs="Palatino Linotype"/>
          <w:b/>
        </w:rPr>
      </w:pPr>
      <w:bookmarkStart w:id="5" w:name="_heading=h.30j0zll" w:colFirst="0" w:colLast="0"/>
      <w:bookmarkEnd w:id="5"/>
      <w:r w:rsidRPr="002D19C4">
        <w:rPr>
          <w:rFonts w:ascii="Palatino Linotype" w:eastAsia="Palatino Linotype" w:hAnsi="Palatino Linotype" w:cs="Palatino Linotype"/>
          <w:b/>
        </w:rPr>
        <w:t xml:space="preserve"> </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Expedientes:</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0438/08 Pemex Exploración y Producción – Alonso Lujambio Irazábal</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1751/09 Laboratorios de Biológicos y Reactivos de México S.A. de C.V. –</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María </w:t>
      </w:r>
      <w:proofErr w:type="spellStart"/>
      <w:r w:rsidRPr="002D19C4">
        <w:rPr>
          <w:rFonts w:ascii="Palatino Linotype" w:eastAsia="Palatino Linotype" w:hAnsi="Palatino Linotype" w:cs="Palatino Linotype"/>
          <w:i/>
          <w:sz w:val="22"/>
          <w:szCs w:val="22"/>
        </w:rPr>
        <w:t>Marván</w:t>
      </w:r>
      <w:proofErr w:type="spellEnd"/>
      <w:r w:rsidRPr="002D19C4">
        <w:rPr>
          <w:rFonts w:ascii="Palatino Linotype" w:eastAsia="Palatino Linotype" w:hAnsi="Palatino Linotype" w:cs="Palatino Linotype"/>
          <w:i/>
          <w:sz w:val="22"/>
          <w:szCs w:val="22"/>
        </w:rPr>
        <w:t xml:space="preserve"> Laborde</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2868/09 Consejo Nacional de Ciencia y Tecnología – Jacqueline </w:t>
      </w:r>
      <w:proofErr w:type="spellStart"/>
      <w:r w:rsidRPr="002D19C4">
        <w:rPr>
          <w:rFonts w:ascii="Palatino Linotype" w:eastAsia="Palatino Linotype" w:hAnsi="Palatino Linotype" w:cs="Palatino Linotype"/>
          <w:i/>
          <w:sz w:val="22"/>
          <w:szCs w:val="22"/>
        </w:rPr>
        <w:t>Peschard</w:t>
      </w:r>
      <w:proofErr w:type="spellEnd"/>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Mariscal</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lastRenderedPageBreak/>
        <w:t>5160/09 Secretaría de Hacienda y Crédito Público – Ángel Trinidad Zaldívar</w:t>
      </w:r>
    </w:p>
    <w:p w:rsidR="00F26B1A" w:rsidRPr="002D19C4" w:rsidRDefault="00A200C6">
      <w:pPr>
        <w:spacing w:line="276" w:lineRule="auto"/>
        <w:ind w:left="851" w:right="851"/>
        <w:jc w:val="both"/>
        <w:rPr>
          <w:rFonts w:ascii="Palatino Linotype" w:eastAsia="Palatino Linotype" w:hAnsi="Palatino Linotype" w:cs="Palatino Linotype"/>
          <w:i/>
          <w:sz w:val="22"/>
          <w:szCs w:val="22"/>
        </w:rPr>
      </w:pPr>
      <w:r w:rsidRPr="002D19C4">
        <w:rPr>
          <w:rFonts w:ascii="Palatino Linotype" w:eastAsia="Palatino Linotype" w:hAnsi="Palatino Linotype" w:cs="Palatino Linotype"/>
          <w:i/>
          <w:sz w:val="22"/>
          <w:szCs w:val="22"/>
        </w:rPr>
        <w:t xml:space="preserve">0304/10 Instituto Nacional de Cancerología – Jacqueline </w:t>
      </w:r>
      <w:proofErr w:type="spellStart"/>
      <w:r w:rsidRPr="002D19C4">
        <w:rPr>
          <w:rFonts w:ascii="Palatino Linotype" w:eastAsia="Palatino Linotype" w:hAnsi="Palatino Linotype" w:cs="Palatino Linotype"/>
          <w:i/>
          <w:sz w:val="22"/>
          <w:szCs w:val="22"/>
        </w:rPr>
        <w:t>Peschard</w:t>
      </w:r>
      <w:proofErr w:type="spellEnd"/>
      <w:r w:rsidRPr="002D19C4">
        <w:rPr>
          <w:rFonts w:ascii="Palatino Linotype" w:eastAsia="Palatino Linotype" w:hAnsi="Palatino Linotype" w:cs="Palatino Linotype"/>
          <w:i/>
          <w:sz w:val="22"/>
          <w:szCs w:val="22"/>
        </w:rPr>
        <w:t xml:space="preserve"> Mariscal</w:t>
      </w:r>
    </w:p>
    <w:p w:rsidR="00F26B1A" w:rsidRPr="002D19C4" w:rsidRDefault="00F26B1A">
      <w:pPr>
        <w:spacing w:line="360" w:lineRule="auto"/>
        <w:ind w:right="-93"/>
        <w:jc w:val="both"/>
        <w:rPr>
          <w:rFonts w:ascii="Palatino Linotype" w:eastAsia="Palatino Linotype" w:hAnsi="Palatino Linotype" w:cs="Palatino Linotype"/>
        </w:rPr>
      </w:pPr>
    </w:p>
    <w:p w:rsidR="00F26B1A" w:rsidRPr="002D19C4" w:rsidRDefault="00A200C6">
      <w:pPr>
        <w:spacing w:line="360" w:lineRule="auto"/>
        <w:ind w:right="-93"/>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Entonces, dado a que el criterio en mención establece que las autoridades </w:t>
      </w:r>
      <w:r w:rsidRPr="002D19C4">
        <w:rPr>
          <w:rFonts w:ascii="Palatino Linotype" w:eastAsia="Palatino Linotype" w:hAnsi="Palatino Linotype" w:cs="Palatino Linotype"/>
          <w:b/>
        </w:rPr>
        <w:t xml:space="preserve">no están obligadas a generar documentos “ad hoc” </w:t>
      </w:r>
      <w:r w:rsidRPr="002D19C4">
        <w:rPr>
          <w:rFonts w:ascii="Palatino Linotype" w:eastAsia="Palatino Linotype" w:hAnsi="Palatino Linotype" w:cs="Palatino Linotype"/>
        </w:rPr>
        <w:t>en contrario sensu, dicho criterio se puede interpretar resultando que las autoridades no están impedidas a generar documentos “ad hoc”, esto, siempre que con dicho documento elaborado se dé cabal cumplimiento a los requerimientos planteados.</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En consecuencia, ante la información adicional y precisa remitida vía informe justificado, conviene hacer alusión a lo que señala el artículo 192, fracción III de la Ley de Transparencia y Acceso a la Información Pública del Estado de México y Municipios vigente, a saber:</w:t>
      </w:r>
    </w:p>
    <w:p w:rsidR="00F26B1A" w:rsidRPr="002D19C4" w:rsidRDefault="00A200C6">
      <w:pPr>
        <w:pBdr>
          <w:top w:val="nil"/>
          <w:left w:val="nil"/>
          <w:bottom w:val="nil"/>
          <w:right w:val="nil"/>
          <w:between w:val="nil"/>
        </w:pBdr>
        <w:spacing w:before="240" w:after="240"/>
        <w:ind w:left="851" w:right="900"/>
        <w:jc w:val="both"/>
      </w:pPr>
      <w:r w:rsidRPr="002D19C4">
        <w:rPr>
          <w:rFonts w:ascii="Palatino Linotype" w:eastAsia="Palatino Linotype" w:hAnsi="Palatino Linotype" w:cs="Palatino Linotype"/>
          <w:i/>
          <w:sz w:val="22"/>
          <w:szCs w:val="22"/>
        </w:rPr>
        <w:t>“</w:t>
      </w:r>
      <w:r w:rsidRPr="002D19C4">
        <w:rPr>
          <w:rFonts w:ascii="Palatino Linotype" w:eastAsia="Palatino Linotype" w:hAnsi="Palatino Linotype" w:cs="Palatino Linotype"/>
          <w:b/>
          <w:i/>
          <w:sz w:val="22"/>
          <w:szCs w:val="22"/>
        </w:rPr>
        <w:t>Artículo 192</w:t>
      </w:r>
      <w:r w:rsidRPr="002D19C4">
        <w:rPr>
          <w:rFonts w:ascii="Palatino Linotype" w:eastAsia="Palatino Linotype" w:hAnsi="Palatino Linotype" w:cs="Palatino Linotype"/>
          <w:i/>
          <w:sz w:val="22"/>
          <w:szCs w:val="22"/>
        </w:rPr>
        <w:t xml:space="preserve">. </w:t>
      </w:r>
      <w:r w:rsidRPr="002D19C4">
        <w:rPr>
          <w:rFonts w:ascii="Palatino Linotype" w:eastAsia="Palatino Linotype" w:hAnsi="Palatino Linotype" w:cs="Palatino Linotype"/>
          <w:b/>
          <w:i/>
          <w:sz w:val="22"/>
          <w:szCs w:val="22"/>
        </w:rPr>
        <w:t>El recurso será sobreseído</w:t>
      </w:r>
      <w:r w:rsidRPr="002D19C4">
        <w:rPr>
          <w:rFonts w:ascii="Palatino Linotype" w:eastAsia="Palatino Linotype" w:hAnsi="Palatino Linotype" w:cs="Palatino Linotype"/>
          <w:i/>
          <w:sz w:val="22"/>
          <w:szCs w:val="22"/>
        </w:rPr>
        <w:t xml:space="preserve">, </w:t>
      </w:r>
      <w:r w:rsidRPr="002D19C4">
        <w:rPr>
          <w:rFonts w:ascii="Palatino Linotype" w:eastAsia="Palatino Linotype" w:hAnsi="Palatino Linotype" w:cs="Palatino Linotype"/>
          <w:b/>
          <w:i/>
          <w:sz w:val="22"/>
          <w:szCs w:val="22"/>
        </w:rPr>
        <w:t>en todo o en parte,</w:t>
      </w:r>
      <w:r w:rsidRPr="002D19C4">
        <w:rPr>
          <w:rFonts w:ascii="Palatino Linotype" w:eastAsia="Palatino Linotype" w:hAnsi="Palatino Linotype" w:cs="Palatino Linotype"/>
          <w:i/>
          <w:sz w:val="22"/>
          <w:szCs w:val="22"/>
        </w:rPr>
        <w:t xml:space="preserve"> </w:t>
      </w:r>
      <w:r w:rsidRPr="002D19C4">
        <w:rPr>
          <w:rFonts w:ascii="Palatino Linotype" w:eastAsia="Palatino Linotype" w:hAnsi="Palatino Linotype" w:cs="Palatino Linotype"/>
          <w:b/>
          <w:i/>
          <w:sz w:val="22"/>
          <w:szCs w:val="22"/>
        </w:rPr>
        <w:t>cuando una vez admitido, se actualicen alguno de los siguientes supuestos</w:t>
      </w:r>
      <w:r w:rsidRPr="002D19C4">
        <w:rPr>
          <w:rFonts w:ascii="Palatino Linotype" w:eastAsia="Palatino Linotype" w:hAnsi="Palatino Linotype" w:cs="Palatino Linotype"/>
          <w:i/>
          <w:sz w:val="22"/>
          <w:szCs w:val="22"/>
        </w:rPr>
        <w:t>: </w:t>
      </w:r>
    </w:p>
    <w:p w:rsidR="00F26B1A" w:rsidRPr="002D19C4" w:rsidRDefault="00A200C6">
      <w:pPr>
        <w:pBdr>
          <w:top w:val="nil"/>
          <w:left w:val="nil"/>
          <w:bottom w:val="nil"/>
          <w:right w:val="nil"/>
          <w:between w:val="nil"/>
        </w:pBdr>
        <w:spacing w:before="240" w:after="240"/>
        <w:ind w:left="1134" w:right="900"/>
        <w:jc w:val="both"/>
      </w:pPr>
      <w:r w:rsidRPr="002D19C4">
        <w:rPr>
          <w:rFonts w:ascii="Palatino Linotype" w:eastAsia="Palatino Linotype" w:hAnsi="Palatino Linotype" w:cs="Palatino Linotype"/>
          <w:i/>
          <w:sz w:val="22"/>
          <w:szCs w:val="22"/>
        </w:rPr>
        <w:t>(…)</w:t>
      </w:r>
    </w:p>
    <w:p w:rsidR="00F26B1A" w:rsidRPr="002D19C4" w:rsidRDefault="00A200C6">
      <w:pPr>
        <w:pBdr>
          <w:top w:val="nil"/>
          <w:left w:val="nil"/>
          <w:bottom w:val="nil"/>
          <w:right w:val="nil"/>
          <w:between w:val="nil"/>
        </w:pBdr>
        <w:spacing w:before="240" w:after="240"/>
        <w:ind w:left="1134" w:right="900"/>
        <w:jc w:val="both"/>
      </w:pPr>
      <w:r w:rsidRPr="002D19C4">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2D19C4">
        <w:rPr>
          <w:rFonts w:ascii="Palatino Linotype" w:eastAsia="Palatino Linotype" w:hAnsi="Palatino Linotype" w:cs="Palatino Linotype"/>
          <w:i/>
          <w:sz w:val="22"/>
          <w:szCs w:val="22"/>
        </w:rPr>
        <w:t>”</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De lo establecido en el precepto legal citado se advierte que el sobreseimiento del recurso de revisión procede en los siguientes casos:</w:t>
      </w:r>
    </w:p>
    <w:p w:rsidR="00F26B1A" w:rsidRPr="002D19C4" w:rsidRDefault="00A200C6">
      <w:pPr>
        <w:pBdr>
          <w:top w:val="nil"/>
          <w:left w:val="nil"/>
          <w:bottom w:val="nil"/>
          <w:right w:val="nil"/>
          <w:between w:val="nil"/>
        </w:pBdr>
        <w:spacing w:before="240" w:after="240"/>
        <w:ind w:left="284"/>
        <w:jc w:val="both"/>
      </w:pPr>
      <w:r w:rsidRPr="002D19C4">
        <w:rPr>
          <w:rFonts w:ascii="Palatino Linotype" w:eastAsia="Palatino Linotype" w:hAnsi="Palatino Linotype" w:cs="Palatino Linotype"/>
        </w:rPr>
        <w:t>a) Cuando el Sujeto Obligado modifique el acto impugnado. </w:t>
      </w:r>
    </w:p>
    <w:p w:rsidR="00F26B1A" w:rsidRPr="002D19C4" w:rsidRDefault="00A200C6">
      <w:pPr>
        <w:pBdr>
          <w:top w:val="nil"/>
          <w:left w:val="nil"/>
          <w:bottom w:val="nil"/>
          <w:right w:val="nil"/>
          <w:between w:val="nil"/>
        </w:pBdr>
        <w:spacing w:before="240" w:after="240"/>
        <w:ind w:left="284"/>
        <w:jc w:val="both"/>
      </w:pPr>
      <w:r w:rsidRPr="002D19C4">
        <w:rPr>
          <w:rFonts w:ascii="Palatino Linotype" w:eastAsia="Palatino Linotype" w:hAnsi="Palatino Linotype" w:cs="Palatino Linotype"/>
        </w:rPr>
        <w:t>b) Cuando el Sujeto Obligado revoque el acto impugnado; </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Quedando en ambos casos el acto combatido sin materia o sin efectos.</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lastRenderedPageBreak/>
        <w:t>Como se observa de lo anterior, un acto impugnado es modificado en aquellos casos en los que el Sujeto Obligado después de haber otorgado una respuesta, o haber omitido hacerlo (acto de no hacer), emite una o una diversa de manera posterior y en esta subsanó las deficiencias que hubiera tenido, quedando satisfecho el derecho subjetivo accionado por la parte recurrente.</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En tanto que, un acto impugnado queda sin materia, cuando ha sido satisfecha la pretensión del recurrente de manera que el Sujeto Obligado entrega una respuesta completa aunque sea posterior a los términos previstos en la ley y mediante ésta concede la información solicitada.</w:t>
      </w:r>
    </w:p>
    <w:p w:rsidR="00F26B1A" w:rsidRPr="002D19C4" w:rsidRDefault="00A200C6">
      <w:pPr>
        <w:pBdr>
          <w:top w:val="nil"/>
          <w:left w:val="nil"/>
          <w:bottom w:val="nil"/>
          <w:right w:val="nil"/>
          <w:between w:val="nil"/>
        </w:pBdr>
        <w:spacing w:before="240" w:after="240" w:line="360" w:lineRule="auto"/>
        <w:jc w:val="both"/>
      </w:pPr>
      <w:r w:rsidRPr="002D19C4">
        <w:rPr>
          <w:rFonts w:ascii="Palatino Linotype" w:eastAsia="Palatino Linotype" w:hAnsi="Palatino Linotype" w:cs="Palatino Linotype"/>
        </w:rPr>
        <w:t xml:space="preserve">Ahora bien, en el caso concreto, es evidente que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modificó su respuesta, ya que, a través de su pronunciamiento emitido en la etapa de manifestaciones, proporcionó la información faltante.</w:t>
      </w:r>
    </w:p>
    <w:p w:rsidR="00F26B1A" w:rsidRPr="002D19C4" w:rsidRDefault="00A200C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De este modo, cuando el </w:t>
      </w:r>
      <w:r w:rsidRPr="002D19C4">
        <w:rPr>
          <w:rFonts w:ascii="Palatino Linotype" w:eastAsia="Palatino Linotype" w:hAnsi="Palatino Linotype" w:cs="Palatino Linotype"/>
          <w:b/>
        </w:rPr>
        <w:t xml:space="preserve">Sujeto Obligado, </w:t>
      </w:r>
      <w:r w:rsidRPr="002D19C4">
        <w:rPr>
          <w:rFonts w:ascii="Palatino Linotype" w:eastAsia="Palatino Linotype" w:hAnsi="Palatino Linotype" w:cs="Palatino Linotype"/>
        </w:rPr>
        <w:t xml:space="preserve">antes de que se dicte resolución definitiva, entrega la información solicitada o </w:t>
      </w:r>
      <w:r w:rsidRPr="002D19C4">
        <w:rPr>
          <w:rFonts w:ascii="Palatino Linotype" w:eastAsia="Palatino Linotype" w:hAnsi="Palatino Linotype" w:cs="Palatino Linotype"/>
          <w:u w:val="single"/>
        </w:rPr>
        <w:t>completa la respuesta que en un primer momento fue incompleta</w:t>
      </w:r>
      <w:r w:rsidRPr="002D19C4">
        <w:rPr>
          <w:rFonts w:ascii="Palatino Linotype" w:eastAsia="Palatino Linotype" w:hAnsi="Palatino Linotype" w:cs="Palatino Linotype"/>
        </w:rPr>
        <w:t xml:space="preserve"> o no correspondió con lo solicitado; el recurso de </w:t>
      </w:r>
      <w:r w:rsidRPr="002D19C4">
        <w:rPr>
          <w:rFonts w:ascii="Palatino Linotype" w:eastAsia="Palatino Linotype" w:hAnsi="Palatino Linotype" w:cs="Palatino Linotype"/>
        </w:rPr>
        <w:lastRenderedPageBreak/>
        <w:t xml:space="preserve">revisión que al efecto se haya interpuesto queda sin materia lo que imposibilita el estudio de fondo de la </w:t>
      </w:r>
      <w:proofErr w:type="spellStart"/>
      <w:r w:rsidRPr="002D19C4">
        <w:rPr>
          <w:rFonts w:ascii="Palatino Linotype" w:eastAsia="Palatino Linotype" w:hAnsi="Palatino Linotype" w:cs="Palatino Linotype"/>
          <w:i/>
        </w:rPr>
        <w:t>litis</w:t>
      </w:r>
      <w:proofErr w:type="spellEnd"/>
      <w:r w:rsidRPr="002D19C4">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F26B1A" w:rsidRPr="002D19C4" w:rsidRDefault="00F26B1A">
      <w:pPr>
        <w:pBdr>
          <w:top w:val="nil"/>
          <w:left w:val="nil"/>
          <w:bottom w:val="nil"/>
          <w:right w:val="nil"/>
          <w:between w:val="nil"/>
        </w:pBdr>
        <w:ind w:left="720"/>
        <w:rPr>
          <w:rFonts w:ascii="Palatino Linotype" w:eastAsia="Palatino Linotype" w:hAnsi="Palatino Linotype" w:cs="Palatino Linotype"/>
        </w:rPr>
      </w:pPr>
    </w:p>
    <w:p w:rsidR="00F26B1A" w:rsidRPr="002D19C4" w:rsidRDefault="00A200C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Por lo tanto, para que se actualice el sobreseimiento de un recurso de revisión,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puede entregar o completar la información al momento de rendir su </w:t>
      </w:r>
      <w:r w:rsidRPr="002D19C4">
        <w:rPr>
          <w:rFonts w:ascii="Palatino Linotype" w:eastAsia="Palatino Linotype" w:hAnsi="Palatino Linotype" w:cs="Palatino Linotype"/>
          <w:b/>
          <w:u w:val="single"/>
        </w:rPr>
        <w:t>informe de justificación</w:t>
      </w:r>
      <w:r w:rsidRPr="002D19C4">
        <w:rPr>
          <w:rFonts w:ascii="Palatino Linotype" w:eastAsia="Palatino Linotype" w:hAnsi="Palatino Linotype" w:cs="Palatino Linotype"/>
        </w:rPr>
        <w:t xml:space="preserve"> </w:t>
      </w:r>
      <w:r w:rsidRPr="002D19C4">
        <w:rPr>
          <w:rFonts w:ascii="Palatino Linotype" w:eastAsia="Palatino Linotype" w:hAnsi="Palatino Linotype" w:cs="Palatino Linotype"/>
          <w:b/>
          <w:u w:val="single"/>
        </w:rPr>
        <w:t>dentro de los siete días</w:t>
      </w:r>
      <w:r w:rsidRPr="002D19C4">
        <w:rPr>
          <w:rFonts w:ascii="Palatino Linotype" w:eastAsia="Palatino Linotype" w:hAnsi="Palatino Linotype" w:cs="Palatino Linotype"/>
        </w:rPr>
        <w:t xml:space="preserve"> previstos para manifestar lo que a su derecho convenga, </w:t>
      </w:r>
      <w:r w:rsidRPr="002D19C4">
        <w:rPr>
          <w:rFonts w:ascii="Palatino Linotype" w:eastAsia="Palatino Linotype" w:hAnsi="Palatino Linotype" w:cs="Palatino Linotype"/>
          <w:b/>
          <w:u w:val="single"/>
        </w:rPr>
        <w:t>lo anterior también puede ocurrir si entrega la información después de ese lapso, pero antes del cierre de instrucción</w:t>
      </w:r>
      <w:r w:rsidRPr="002D19C4">
        <w:rPr>
          <w:rFonts w:ascii="Palatino Linotype" w:eastAsia="Palatino Linotype" w:hAnsi="Palatino Linotype" w:cs="Palatino Linotype"/>
        </w:rPr>
        <w:t xml:space="preserve">. </w:t>
      </w:r>
    </w:p>
    <w:p w:rsidR="00F26B1A" w:rsidRPr="002D19C4" w:rsidRDefault="00F26B1A">
      <w:pPr>
        <w:pBdr>
          <w:top w:val="nil"/>
          <w:left w:val="nil"/>
          <w:bottom w:val="nil"/>
          <w:right w:val="nil"/>
          <w:between w:val="nil"/>
        </w:pBdr>
        <w:ind w:left="720"/>
        <w:rPr>
          <w:rFonts w:ascii="Palatino Linotype" w:eastAsia="Palatino Linotype" w:hAnsi="Palatino Linotype" w:cs="Palatino Linotype"/>
        </w:rPr>
      </w:pPr>
    </w:p>
    <w:p w:rsidR="00F26B1A" w:rsidRPr="002D19C4" w:rsidRDefault="00A200C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Este Pleno advierte que 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con la información enviada, </w:t>
      </w:r>
      <w:r w:rsidRPr="002D19C4">
        <w:rPr>
          <w:rFonts w:ascii="Palatino Linotype" w:eastAsia="Palatino Linotype" w:hAnsi="Palatino Linotype" w:cs="Palatino Linotype"/>
          <w:b/>
        </w:rPr>
        <w:t>modifica</w:t>
      </w:r>
      <w:r w:rsidRPr="002D19C4">
        <w:rPr>
          <w:rFonts w:ascii="Palatino Linotype" w:eastAsia="Palatino Linotype" w:hAnsi="Palatino Linotype" w:cs="Palatino Linotype"/>
        </w:rPr>
        <w:t xml:space="preserve"> </w:t>
      </w:r>
      <w:r w:rsidRPr="002D19C4">
        <w:rPr>
          <w:rFonts w:ascii="Palatino Linotype" w:eastAsia="Palatino Linotype" w:hAnsi="Palatino Linotype" w:cs="Palatino Linotype"/>
          <w:u w:val="single"/>
        </w:rPr>
        <w:t>el acto que le dio origen al recurso de revisión, por lo que trae como consecuencia que el mismo quede sin materia</w:t>
      </w:r>
      <w:r w:rsidRPr="002D19C4">
        <w:rPr>
          <w:rFonts w:ascii="Palatino Linotype" w:eastAsia="Palatino Linotype" w:hAnsi="Palatino Linotype" w:cs="Palatino Linotype"/>
        </w:rPr>
        <w:t xml:space="preserve">, actualizándose de este modo, la hipótesis jurídica contenida en la </w:t>
      </w:r>
      <w:r w:rsidRPr="002D19C4">
        <w:rPr>
          <w:rFonts w:ascii="Palatino Linotype" w:eastAsia="Palatino Linotype" w:hAnsi="Palatino Linotype" w:cs="Palatino Linotype"/>
          <w:b/>
        </w:rPr>
        <w:t>fracción III</w:t>
      </w:r>
      <w:r w:rsidRPr="002D19C4">
        <w:rPr>
          <w:rFonts w:ascii="Palatino Linotype" w:eastAsia="Palatino Linotype" w:hAnsi="Palatino Linotype" w:cs="Palatino Linotype"/>
        </w:rPr>
        <w:t xml:space="preserve"> del citado artículo </w:t>
      </w:r>
      <w:r w:rsidRPr="002D19C4">
        <w:rPr>
          <w:rFonts w:ascii="Palatino Linotype" w:eastAsia="Palatino Linotype" w:hAnsi="Palatino Linotype" w:cs="Palatino Linotype"/>
          <w:b/>
        </w:rPr>
        <w:t>192</w:t>
      </w:r>
      <w:r w:rsidRPr="002D19C4">
        <w:rPr>
          <w:rFonts w:ascii="Palatino Linotype" w:eastAsia="Palatino Linotype" w:hAnsi="Palatino Linotype" w:cs="Palatino Linotype"/>
        </w:rPr>
        <w:t>.</w:t>
      </w:r>
    </w:p>
    <w:p w:rsidR="00F26B1A" w:rsidRPr="002D19C4" w:rsidRDefault="00F26B1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F26B1A" w:rsidRPr="002D19C4" w:rsidRDefault="00A200C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t xml:space="preserve">Así, siendo el </w:t>
      </w:r>
      <w:r w:rsidRPr="002D19C4">
        <w:rPr>
          <w:rFonts w:ascii="Palatino Linotype" w:eastAsia="Palatino Linotype" w:hAnsi="Palatino Linotype" w:cs="Palatino Linotype"/>
          <w:i/>
        </w:rPr>
        <w:t>sobreseimiento</w:t>
      </w:r>
      <w:r w:rsidRPr="002D19C4">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SOBRESEIMIENTO, NO PERMITE ENTRAR AL ESTUDIO DE LAS CUESTIONES DE FONDO</w:t>
      </w:r>
    </w:p>
    <w:p w:rsidR="00F26B1A" w:rsidRPr="002D19C4" w:rsidRDefault="00F26B1A">
      <w:pPr>
        <w:pBdr>
          <w:top w:val="nil"/>
          <w:left w:val="nil"/>
          <w:bottom w:val="nil"/>
          <w:right w:val="nil"/>
          <w:between w:val="nil"/>
        </w:pBdr>
        <w:spacing w:line="360" w:lineRule="auto"/>
        <w:ind w:right="96"/>
        <w:jc w:val="both"/>
        <w:rPr>
          <w:rFonts w:ascii="Palatino Linotype" w:eastAsia="Palatino Linotype" w:hAnsi="Palatino Linotype" w:cs="Palatino Linotype"/>
        </w:rPr>
      </w:pPr>
    </w:p>
    <w:p w:rsidR="00F26B1A" w:rsidRPr="002D19C4" w:rsidRDefault="00A200C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D19C4">
        <w:rPr>
          <w:rFonts w:ascii="Palatino Linotype" w:eastAsia="Palatino Linotype" w:hAnsi="Palatino Linotype" w:cs="Palatino Linotype"/>
        </w:rPr>
        <w:lastRenderedPageBreak/>
        <w:t xml:space="preserve">Por lo tanto, en términos del artículo 186 fracción I este Pleno determina el </w:t>
      </w:r>
      <w:r w:rsidRPr="002D19C4">
        <w:rPr>
          <w:rFonts w:ascii="Palatino Linotype" w:eastAsia="Palatino Linotype" w:hAnsi="Palatino Linotype" w:cs="Palatino Linotype"/>
          <w:b/>
        </w:rPr>
        <w:t xml:space="preserve">Sobreseimiento </w:t>
      </w:r>
      <w:r w:rsidRPr="002D19C4">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rsidR="00F26B1A" w:rsidRPr="002D19C4" w:rsidRDefault="00F26B1A">
      <w:pPr>
        <w:pBdr>
          <w:top w:val="nil"/>
          <w:left w:val="nil"/>
          <w:bottom w:val="nil"/>
          <w:right w:val="nil"/>
          <w:between w:val="nil"/>
        </w:pBdr>
        <w:spacing w:line="360" w:lineRule="auto"/>
        <w:ind w:right="96"/>
        <w:jc w:val="both"/>
        <w:rPr>
          <w:rFonts w:ascii="Palatino Linotype" w:eastAsia="Palatino Linotype" w:hAnsi="Palatino Linotype" w:cs="Palatino Linotype"/>
        </w:rPr>
      </w:pPr>
    </w:p>
    <w:p w:rsidR="00F26B1A" w:rsidRPr="002D19C4" w:rsidRDefault="00A200C6">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2D19C4">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rsidR="00F26B1A" w:rsidRPr="002D19C4" w:rsidRDefault="00F26B1A">
      <w:pPr>
        <w:pBdr>
          <w:top w:val="nil"/>
          <w:left w:val="nil"/>
          <w:bottom w:val="nil"/>
          <w:right w:val="nil"/>
          <w:between w:val="nil"/>
        </w:pBdr>
        <w:spacing w:line="360" w:lineRule="auto"/>
        <w:ind w:right="96"/>
        <w:jc w:val="both"/>
        <w:rPr>
          <w:rFonts w:ascii="Palatino Linotype" w:eastAsia="Palatino Linotype" w:hAnsi="Palatino Linotype" w:cs="Palatino Linotype"/>
        </w:rPr>
      </w:pPr>
    </w:p>
    <w:p w:rsidR="00F26B1A" w:rsidRPr="002D19C4" w:rsidRDefault="00A200C6">
      <w:pPr>
        <w:numPr>
          <w:ilvl w:val="0"/>
          <w:numId w:val="3"/>
        </w:numPr>
        <w:pBdr>
          <w:top w:val="nil"/>
          <w:left w:val="nil"/>
          <w:bottom w:val="nil"/>
          <w:right w:val="nil"/>
          <w:between w:val="nil"/>
        </w:pBdr>
        <w:spacing w:after="240" w:line="360" w:lineRule="auto"/>
        <w:jc w:val="center"/>
        <w:rPr>
          <w:rFonts w:ascii="Palatino Linotype" w:eastAsia="Palatino Linotype" w:hAnsi="Palatino Linotype" w:cs="Palatino Linotype"/>
          <w:b/>
        </w:rPr>
      </w:pPr>
      <w:r w:rsidRPr="002D19C4">
        <w:rPr>
          <w:rFonts w:ascii="Palatino Linotype" w:eastAsia="Palatino Linotype" w:hAnsi="Palatino Linotype" w:cs="Palatino Linotype"/>
          <w:b/>
        </w:rPr>
        <w:t>R E S U E L V E:</w:t>
      </w:r>
    </w:p>
    <w:p w:rsidR="00F26B1A" w:rsidRPr="002D19C4" w:rsidRDefault="00A200C6">
      <w:pPr>
        <w:spacing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 xml:space="preserve">Primero. </w:t>
      </w:r>
      <w:r w:rsidRPr="002D19C4">
        <w:rPr>
          <w:rFonts w:ascii="Palatino Linotype" w:eastAsia="Palatino Linotype" w:hAnsi="Palatino Linotype" w:cs="Palatino Linotype"/>
        </w:rPr>
        <w:t>Se</w:t>
      </w:r>
      <w:r w:rsidRPr="002D19C4">
        <w:rPr>
          <w:rFonts w:ascii="Palatino Linotype" w:eastAsia="Palatino Linotype" w:hAnsi="Palatino Linotype" w:cs="Palatino Linotype"/>
          <w:b/>
        </w:rPr>
        <w:t xml:space="preserve"> Sobresee </w:t>
      </w:r>
      <w:r w:rsidRPr="002D19C4">
        <w:rPr>
          <w:rFonts w:ascii="Palatino Linotype" w:eastAsia="Palatino Linotype" w:hAnsi="Palatino Linotype" w:cs="Palatino Linotype"/>
        </w:rPr>
        <w:t xml:space="preserve">el recurso de revisión número </w:t>
      </w:r>
      <w:r w:rsidRPr="002D19C4">
        <w:rPr>
          <w:rFonts w:ascii="Palatino Linotype" w:eastAsia="Palatino Linotype" w:hAnsi="Palatino Linotype" w:cs="Palatino Linotype"/>
          <w:b/>
        </w:rPr>
        <w:t xml:space="preserve">00159/INFOEM/IP/RR/2023, </w:t>
      </w:r>
      <w:r w:rsidRPr="002D19C4">
        <w:rPr>
          <w:rFonts w:ascii="Palatino Linotype" w:eastAsia="Palatino Linotype" w:hAnsi="Palatino Linotype" w:cs="Palatino Linotype"/>
        </w:rPr>
        <w:t xml:space="preserve">porque al </w:t>
      </w:r>
      <w:r w:rsidRPr="002D19C4">
        <w:rPr>
          <w:rFonts w:ascii="Palatino Linotype" w:eastAsia="Palatino Linotype" w:hAnsi="Palatino Linotype" w:cs="Palatino Linotype"/>
          <w:b/>
        </w:rPr>
        <w:t>modificar la respuesta</w:t>
      </w:r>
      <w:r w:rsidRPr="002D19C4">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2D19C4">
        <w:rPr>
          <w:rFonts w:ascii="Palatino Linotype" w:eastAsia="Palatino Linotype" w:hAnsi="Palatino Linotype" w:cs="Palatino Linotype"/>
          <w:b/>
        </w:rPr>
        <w:t xml:space="preserve">Tercero </w:t>
      </w:r>
      <w:r w:rsidRPr="002D19C4">
        <w:rPr>
          <w:rFonts w:ascii="Palatino Linotype" w:eastAsia="Palatino Linotype" w:hAnsi="Palatino Linotype" w:cs="Palatino Linotype"/>
        </w:rPr>
        <w:t>de la presente Resolución.</w:t>
      </w:r>
    </w:p>
    <w:p w:rsidR="00F26B1A" w:rsidRPr="002D19C4" w:rsidRDefault="00A200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 xml:space="preserve">Segundo. Notifíquese, </w:t>
      </w:r>
      <w:r w:rsidRPr="002D19C4">
        <w:rPr>
          <w:rFonts w:ascii="Palatino Linotype" w:eastAsia="Palatino Linotype" w:hAnsi="Palatino Linotype" w:cs="Palatino Linotype"/>
        </w:rPr>
        <w:t xml:space="preserve">al Titular de la Unidad de Transparencia del </w:t>
      </w:r>
      <w:r w:rsidRPr="002D19C4">
        <w:rPr>
          <w:rFonts w:ascii="Palatino Linotype" w:eastAsia="Palatino Linotype" w:hAnsi="Palatino Linotype" w:cs="Palatino Linotype"/>
          <w:b/>
        </w:rPr>
        <w:t>Sujeto Obligado</w:t>
      </w:r>
      <w:r w:rsidRPr="002D19C4">
        <w:rPr>
          <w:rFonts w:ascii="Palatino Linotype" w:eastAsia="Palatino Linotype" w:hAnsi="Palatino Linotype" w:cs="Palatino Linotype"/>
        </w:rPr>
        <w:t xml:space="preserve"> la presente resolución, para su conocimiento.</w:t>
      </w:r>
    </w:p>
    <w:p w:rsidR="00F26B1A" w:rsidRPr="002D19C4" w:rsidRDefault="00A200C6">
      <w:pPr>
        <w:spacing w:before="240" w:after="240" w:line="360" w:lineRule="auto"/>
        <w:jc w:val="both"/>
        <w:rPr>
          <w:rFonts w:ascii="Palatino Linotype" w:eastAsia="Palatino Linotype" w:hAnsi="Palatino Linotype" w:cs="Palatino Linotype"/>
        </w:rPr>
      </w:pPr>
      <w:r w:rsidRPr="002D19C4">
        <w:rPr>
          <w:rFonts w:ascii="Palatino Linotype" w:eastAsia="Palatino Linotype" w:hAnsi="Palatino Linotype" w:cs="Palatino Linotype"/>
          <w:b/>
        </w:rPr>
        <w:t xml:space="preserve">Tercero. Notifíquese, </w:t>
      </w:r>
      <w:r w:rsidRPr="002D19C4">
        <w:rPr>
          <w:rFonts w:ascii="Palatino Linotype" w:eastAsia="Palatino Linotype" w:hAnsi="Palatino Linotype" w:cs="Palatino Linotype"/>
        </w:rPr>
        <w:t>vía</w:t>
      </w:r>
      <w:r w:rsidRPr="002D19C4">
        <w:rPr>
          <w:rFonts w:ascii="Palatino Linotype" w:eastAsia="Palatino Linotype" w:hAnsi="Palatino Linotype" w:cs="Palatino Linotype"/>
          <w:b/>
        </w:rPr>
        <w:t xml:space="preserve"> SAIMEX</w:t>
      </w:r>
      <w:r w:rsidRPr="002D19C4">
        <w:rPr>
          <w:rFonts w:ascii="Palatino Linotype" w:eastAsia="Palatino Linotype" w:hAnsi="Palatino Linotype" w:cs="Palatino Linotype"/>
        </w:rPr>
        <w:t>, a</w:t>
      </w:r>
      <w:r w:rsidRPr="002D19C4">
        <w:rPr>
          <w:rFonts w:ascii="Palatino Linotype" w:eastAsia="Palatino Linotype" w:hAnsi="Palatino Linotype" w:cs="Palatino Linotype"/>
          <w:b/>
        </w:rPr>
        <w:t xml:space="preserve"> </w:t>
      </w:r>
      <w:r w:rsidRPr="002D19C4">
        <w:rPr>
          <w:rFonts w:ascii="Palatino Linotype" w:eastAsia="Palatino Linotype" w:hAnsi="Palatino Linotype" w:cs="Palatino Linotype"/>
        </w:rPr>
        <w:t xml:space="preserve">la parte </w:t>
      </w:r>
      <w:r w:rsidRPr="002D19C4">
        <w:rPr>
          <w:rFonts w:ascii="Palatino Linotype" w:eastAsia="Palatino Linotype" w:hAnsi="Palatino Linotype" w:cs="Palatino Linotype"/>
          <w:b/>
        </w:rPr>
        <w:t>Recurrente</w:t>
      </w:r>
      <w:r w:rsidRPr="002D19C4">
        <w:rPr>
          <w:rFonts w:ascii="Palatino Linotype" w:eastAsia="Palatino Linotype" w:hAnsi="Palatino Linotype" w:cs="Palatino Linotype"/>
        </w:rPr>
        <w:t xml:space="preserve"> la presente resolución, así como, que de conformidad con lo establecido en el artículo 196 de la Ley de </w:t>
      </w:r>
      <w:r w:rsidRPr="002D19C4">
        <w:rPr>
          <w:rFonts w:ascii="Palatino Linotype" w:eastAsia="Palatino Linotype" w:hAnsi="Palatino Linotype" w:cs="Palatino Linotype"/>
        </w:rPr>
        <w:lastRenderedPageBreak/>
        <w:t>Transparencia y Acceso a la Información Pública del Estado de México y Municipios, podrá impugnarla vía el Juicio de Amparo en los términos de las leyes aplicables.</w:t>
      </w:r>
    </w:p>
    <w:p w:rsidR="00F26B1A" w:rsidRPr="002D19C4" w:rsidRDefault="00A200C6">
      <w:pPr>
        <w:spacing w:before="240" w:after="240" w:line="360" w:lineRule="auto"/>
        <w:jc w:val="both"/>
        <w:rPr>
          <w:rFonts w:ascii="Palatino Linotype" w:eastAsia="Palatino Linotype" w:hAnsi="Palatino Linotype" w:cs="Palatino Linotype"/>
          <w:sz w:val="20"/>
          <w:szCs w:val="20"/>
        </w:rPr>
      </w:pPr>
      <w:r w:rsidRPr="002D19C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p w:rsidR="00F26B1A" w:rsidRPr="002D19C4" w:rsidRDefault="00F26B1A">
      <w:pPr>
        <w:spacing w:before="240" w:after="240"/>
        <w:jc w:val="both"/>
        <w:rPr>
          <w:rFonts w:ascii="Palatino Linotype" w:eastAsia="Palatino Linotype" w:hAnsi="Palatino Linotype" w:cs="Palatino Linotype"/>
          <w:sz w:val="20"/>
          <w:szCs w:val="20"/>
        </w:rPr>
      </w:pPr>
    </w:p>
    <w:sectPr w:rsidR="00F26B1A" w:rsidRPr="002D19C4">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C96" w:rsidRDefault="00606C96">
      <w:r>
        <w:separator/>
      </w:r>
    </w:p>
  </w:endnote>
  <w:endnote w:type="continuationSeparator" w:id="0">
    <w:p w:rsidR="00606C96" w:rsidRDefault="00606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1A" w:rsidRDefault="00A200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D510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D5107">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F26B1A" w:rsidRDefault="00F26B1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1A" w:rsidRDefault="00A200C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D510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D5107">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F26B1A" w:rsidRDefault="00F26B1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C96" w:rsidRDefault="00606C96">
      <w:r>
        <w:separator/>
      </w:r>
    </w:p>
  </w:footnote>
  <w:footnote w:type="continuationSeparator" w:id="0">
    <w:p w:rsidR="00606C96" w:rsidRDefault="00606C96">
      <w:r>
        <w:continuationSeparator/>
      </w:r>
    </w:p>
  </w:footnote>
  <w:footnote w:id="1">
    <w:p w:rsidR="00F26B1A" w:rsidRDefault="00A200C6">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rsidR="00F26B1A" w:rsidRDefault="00A200C6">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F26B1A" w:rsidRDefault="00A200C6">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rsidR="00F26B1A" w:rsidRDefault="00A200C6">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rsidR="00F26B1A" w:rsidRDefault="00A200C6">
      <w:pPr>
        <w:pBdr>
          <w:top w:val="nil"/>
          <w:left w:val="nil"/>
          <w:bottom w:val="nil"/>
          <w:right w:val="nil"/>
          <w:between w:val="nil"/>
        </w:pBdr>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1A" w:rsidRDefault="00A200C6">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-1080125</wp:posOffset>
          </wp:positionH>
          <wp:positionV relativeFrom="paragraph">
            <wp:posOffset>-396392</wp:posOffset>
          </wp:positionV>
          <wp:extent cx="7809865" cy="10165715"/>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237" w:type="dxa"/>
      <w:tblInd w:w="2977" w:type="dxa"/>
      <w:tblLayout w:type="fixed"/>
      <w:tblLook w:val="0400" w:firstRow="0" w:lastRow="0" w:firstColumn="0" w:lastColumn="0" w:noHBand="0" w:noVBand="1"/>
    </w:tblPr>
    <w:tblGrid>
      <w:gridCol w:w="2489"/>
      <w:gridCol w:w="3748"/>
    </w:tblGrid>
    <w:tr w:rsidR="00F26B1A">
      <w:tc>
        <w:tcPr>
          <w:tcW w:w="2489" w:type="dxa"/>
          <w:shd w:val="clear" w:color="auto" w:fill="auto"/>
        </w:tcPr>
        <w:p w:rsidR="00F26B1A" w:rsidRDefault="00A200C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48" w:type="dxa"/>
          <w:shd w:val="clear" w:color="auto" w:fill="auto"/>
          <w:vAlign w:val="center"/>
        </w:tcPr>
        <w:p w:rsidR="00F26B1A" w:rsidRDefault="00A200C6">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00159/INFOEM/IP/RR/2023</w:t>
          </w:r>
        </w:p>
      </w:tc>
    </w:tr>
    <w:tr w:rsidR="00F26B1A">
      <w:trPr>
        <w:trHeight w:val="228"/>
      </w:trPr>
      <w:tc>
        <w:tcPr>
          <w:tcW w:w="2489" w:type="dxa"/>
          <w:shd w:val="clear" w:color="auto" w:fill="auto"/>
          <w:vAlign w:val="center"/>
        </w:tcPr>
        <w:p w:rsidR="00F26B1A" w:rsidRDefault="00A200C6">
          <w:pPr>
            <w:ind w:left="-115" w:firstLine="11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48" w:type="dxa"/>
          <w:shd w:val="clear" w:color="auto" w:fill="auto"/>
          <w:vAlign w:val="center"/>
        </w:tcPr>
        <w:p w:rsidR="00F26B1A" w:rsidRDefault="00A200C6">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Valle de Bravo</w:t>
          </w:r>
        </w:p>
      </w:tc>
    </w:tr>
    <w:tr w:rsidR="00F26B1A">
      <w:trPr>
        <w:trHeight w:val="311"/>
      </w:trPr>
      <w:tc>
        <w:tcPr>
          <w:tcW w:w="2489" w:type="dxa"/>
          <w:shd w:val="clear" w:color="auto" w:fill="auto"/>
          <w:vAlign w:val="center"/>
        </w:tcPr>
        <w:p w:rsidR="00F26B1A" w:rsidRDefault="00A200C6">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48" w:type="dxa"/>
          <w:shd w:val="clear" w:color="auto" w:fill="auto"/>
          <w:vAlign w:val="center"/>
        </w:tcPr>
        <w:p w:rsidR="00F26B1A" w:rsidRDefault="00A200C6">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F26B1A" w:rsidRDefault="00A200C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B1A" w:rsidRDefault="00A200C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-1039494</wp:posOffset>
          </wp:positionH>
          <wp:positionV relativeFrom="paragraph">
            <wp:posOffset>-566419</wp:posOffset>
          </wp:positionV>
          <wp:extent cx="7809865" cy="10165715"/>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379" w:type="dxa"/>
      <w:tblInd w:w="2410" w:type="dxa"/>
      <w:tblLayout w:type="fixed"/>
      <w:tblLook w:val="0400" w:firstRow="0" w:lastRow="0" w:firstColumn="0" w:lastColumn="0" w:noHBand="0" w:noVBand="1"/>
    </w:tblPr>
    <w:tblGrid>
      <w:gridCol w:w="2551"/>
      <w:gridCol w:w="3828"/>
    </w:tblGrid>
    <w:tr w:rsidR="00F26B1A">
      <w:tc>
        <w:tcPr>
          <w:tcW w:w="2551" w:type="dxa"/>
          <w:shd w:val="clear" w:color="auto" w:fill="auto"/>
          <w:vAlign w:val="center"/>
        </w:tcPr>
        <w:p w:rsidR="00F26B1A" w:rsidRDefault="00A200C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28" w:type="dxa"/>
          <w:shd w:val="clear" w:color="auto" w:fill="auto"/>
          <w:vAlign w:val="center"/>
        </w:tcPr>
        <w:p w:rsidR="00F26B1A" w:rsidRDefault="00A200C6">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00159/INFOEM/IP/RR/2023</w:t>
          </w:r>
        </w:p>
      </w:tc>
    </w:tr>
    <w:tr w:rsidR="00F26B1A">
      <w:trPr>
        <w:trHeight w:val="130"/>
      </w:trPr>
      <w:tc>
        <w:tcPr>
          <w:tcW w:w="2551" w:type="dxa"/>
          <w:shd w:val="clear" w:color="auto" w:fill="auto"/>
          <w:vAlign w:val="center"/>
        </w:tcPr>
        <w:p w:rsidR="00F26B1A" w:rsidRDefault="00A200C6">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28" w:type="dxa"/>
          <w:shd w:val="clear" w:color="auto" w:fill="auto"/>
          <w:vAlign w:val="center"/>
        </w:tcPr>
        <w:p w:rsidR="00F26B1A" w:rsidRDefault="00F26B1A">
          <w:pPr>
            <w:jc w:val="both"/>
            <w:rPr>
              <w:rFonts w:ascii="Palatino Linotype" w:eastAsia="Palatino Linotype" w:hAnsi="Palatino Linotype" w:cs="Palatino Linotype"/>
              <w:b/>
            </w:rPr>
          </w:pPr>
        </w:p>
      </w:tc>
    </w:tr>
    <w:tr w:rsidR="00F26B1A">
      <w:trPr>
        <w:trHeight w:val="228"/>
      </w:trPr>
      <w:tc>
        <w:tcPr>
          <w:tcW w:w="2551" w:type="dxa"/>
          <w:shd w:val="clear" w:color="auto" w:fill="auto"/>
          <w:vAlign w:val="center"/>
        </w:tcPr>
        <w:p w:rsidR="00F26B1A" w:rsidRDefault="00A200C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28" w:type="dxa"/>
          <w:shd w:val="clear" w:color="auto" w:fill="auto"/>
          <w:vAlign w:val="center"/>
        </w:tcPr>
        <w:p w:rsidR="00F26B1A" w:rsidRDefault="00A200C6">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Valle de Bravo</w:t>
          </w:r>
        </w:p>
      </w:tc>
    </w:tr>
    <w:tr w:rsidR="00F26B1A">
      <w:tc>
        <w:tcPr>
          <w:tcW w:w="2551" w:type="dxa"/>
          <w:shd w:val="clear" w:color="auto" w:fill="auto"/>
          <w:vAlign w:val="center"/>
        </w:tcPr>
        <w:p w:rsidR="00F26B1A" w:rsidRDefault="00A200C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28" w:type="dxa"/>
          <w:shd w:val="clear" w:color="auto" w:fill="auto"/>
          <w:vAlign w:val="center"/>
        </w:tcPr>
        <w:p w:rsidR="00F26B1A" w:rsidRDefault="00A200C6">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F26B1A" w:rsidRDefault="00F26B1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16320"/>
    <w:multiLevelType w:val="multilevel"/>
    <w:tmpl w:val="26B416C2"/>
    <w:lvl w:ilvl="0">
      <w:start w:val="1"/>
      <w:numFmt w:val="bullet"/>
      <w:pStyle w:val="Listaconvietas2"/>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3449037C"/>
    <w:multiLevelType w:val="multilevel"/>
    <w:tmpl w:val="A0660EB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928"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8D159F7"/>
    <w:multiLevelType w:val="multilevel"/>
    <w:tmpl w:val="4830D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0C75593"/>
    <w:multiLevelType w:val="multilevel"/>
    <w:tmpl w:val="482874F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B1A"/>
    <w:rsid w:val="00254845"/>
    <w:rsid w:val="002D19C4"/>
    <w:rsid w:val="00606C96"/>
    <w:rsid w:val="00972929"/>
    <w:rsid w:val="00A200C6"/>
    <w:rsid w:val="00D47C7D"/>
    <w:rsid w:val="00EA64C7"/>
    <w:rsid w:val="00F20BBC"/>
    <w:rsid w:val="00F26B1A"/>
    <w:rsid w:val="00F7650F"/>
    <w:rsid w:val="00FD51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65019-3C03-4BB0-9475-9BDC42A1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1F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18"/>
    <w:basedOn w:val="TableNormal4"/>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17">
    <w:name w:val="17"/>
    <w:basedOn w:val="TableNormal4"/>
    <w:tblPr>
      <w:tblStyleRowBandSize w:val="1"/>
      <w:tblStyleColBandSize w:val="1"/>
      <w:tblCellMar>
        <w:top w:w="0" w:type="dxa"/>
        <w:left w:w="70" w:type="dxa"/>
        <w:bottom w:w="0" w:type="dxa"/>
        <w:right w:w="70" w:type="dxa"/>
      </w:tblCellMar>
    </w:tblPr>
  </w:style>
  <w:style w:type="table" w:customStyle="1" w:styleId="16">
    <w:name w:val="16"/>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5">
    <w:name w:val="1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4">
    <w:name w:val="14"/>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3">
    <w:name w:val="13"/>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4"/>
      </w:numPr>
      <w:contextualSpacing/>
    </w:pPr>
  </w:style>
  <w:style w:type="table" w:customStyle="1" w:styleId="23">
    <w:name w:val="23"/>
    <w:basedOn w:val="TableNormal6"/>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22">
    <w:name w:val="22"/>
    <w:basedOn w:val="TableNormal6"/>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21">
    <w:name w:val="21"/>
    <w:basedOn w:val="TableNormal7"/>
    <w:tblPr>
      <w:tblStyleRowBandSize w:val="1"/>
      <w:tblStyleColBandSize w:val="1"/>
      <w:tblCellMar>
        <w:top w:w="0" w:type="dxa"/>
        <w:left w:w="115" w:type="dxa"/>
        <w:bottom w:w="0" w:type="dxa"/>
        <w:right w:w="115" w:type="dxa"/>
      </w:tblCellMar>
    </w:tblPr>
  </w:style>
  <w:style w:type="table" w:customStyle="1" w:styleId="20">
    <w:name w:val="20"/>
    <w:basedOn w:val="TableNormal7"/>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9">
    <w:name w:val="19"/>
    <w:basedOn w:val="TableNormal7"/>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1505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50527"/>
    <w:rPr>
      <w:i/>
      <w:iCs/>
      <w:color w:val="404040" w:themeColor="text1" w:themeTint="BF"/>
    </w:rPr>
  </w:style>
  <w:style w:type="table" w:customStyle="1" w:styleId="a">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hyperlink" Target="https://ipomex2.ipomex.org.mx"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pomex2.ipomex.org.m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WZ8h5QbxgSiZ9V8NWzSDXYfjDg==">CgMxLjAyCGgudHlqY3d0MgloLjN6bnlzaDcyCGguZ2pkZ3hzMgloLjFmb2I5dGUyCWguMzBqMHpsbDgAciExUnRLT1oweC1QZ19hMlY5S1dfckRPN0hieUNZNVY0V0w=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9541</Words>
  <Characters>52476</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2023-10-27T15:50:00Z</cp:lastPrinted>
  <dcterms:created xsi:type="dcterms:W3CDTF">2023-10-31T17:54:00Z</dcterms:created>
  <dcterms:modified xsi:type="dcterms:W3CDTF">2023-10-31T17:54:00Z</dcterms:modified>
</cp:coreProperties>
</file>