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56E1C"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fecha seis de diciembre de dos mil veintitrés. </w:t>
      </w:r>
    </w:p>
    <w:p w14:paraId="4C7DD7FA" w14:textId="77777777" w:rsidR="00452988" w:rsidRDefault="00452988">
      <w:pPr>
        <w:spacing w:after="0" w:line="360" w:lineRule="auto"/>
        <w:ind w:right="49"/>
        <w:jc w:val="center"/>
        <w:rPr>
          <w:rFonts w:ascii="Palatino Linotype" w:eastAsia="Palatino Linotype" w:hAnsi="Palatino Linotype" w:cs="Palatino Linotype"/>
          <w:sz w:val="24"/>
          <w:szCs w:val="24"/>
        </w:rPr>
      </w:pPr>
    </w:p>
    <w:p w14:paraId="12D36751" w14:textId="53AA4F0C" w:rsidR="00452988" w:rsidRDefault="004303A7">
      <w:pPr>
        <w:spacing w:after="0" w:line="360" w:lineRule="auto"/>
        <w:ind w:right="49"/>
        <w:jc w:val="both"/>
        <w:rPr>
          <w:rFonts w:ascii="Palatino Linotype" w:eastAsia="Palatino Linotype" w:hAnsi="Palatino Linotype" w:cs="Palatino Linotype"/>
          <w:sz w:val="24"/>
          <w:szCs w:val="24"/>
        </w:rPr>
      </w:pPr>
      <w:bookmarkStart w:id="0" w:name="_heading=h.gjdgxs" w:colFirst="0" w:colLast="0"/>
      <w:bookmarkEnd w:id="0"/>
      <w:r>
        <w:rPr>
          <w:rFonts w:ascii="Palatino Linotype" w:eastAsia="Palatino Linotype" w:hAnsi="Palatino Linotype" w:cs="Palatino Linotype"/>
          <w:sz w:val="24"/>
          <w:szCs w:val="24"/>
        </w:rPr>
        <w:t xml:space="preserve">Visto el expediente relativo al recurso de revisión </w:t>
      </w:r>
      <w:r>
        <w:rPr>
          <w:rFonts w:ascii="Palatino Linotype" w:eastAsia="Palatino Linotype" w:hAnsi="Palatino Linotype" w:cs="Palatino Linotype"/>
          <w:b/>
          <w:sz w:val="24"/>
          <w:szCs w:val="24"/>
        </w:rPr>
        <w:t>02559/INFOEM/IP/RR/2023</w:t>
      </w:r>
      <w:r>
        <w:rPr>
          <w:rFonts w:ascii="Palatino Linotype" w:eastAsia="Palatino Linotype" w:hAnsi="Palatino Linotype" w:cs="Palatino Linotype"/>
          <w:sz w:val="24"/>
          <w:szCs w:val="24"/>
        </w:rPr>
        <w:t xml:space="preserve">, interpuesto por </w:t>
      </w:r>
      <w:r w:rsidR="004015F6">
        <w:rPr>
          <w:rFonts w:ascii="Palatino Linotype" w:eastAsia="Palatino Linotype" w:hAnsi="Palatino Linotype" w:cs="Palatino Linotype"/>
          <w:b/>
          <w:sz w:val="24"/>
          <w:szCs w:val="24"/>
        </w:rPr>
        <w:t>XX XX XX</w:t>
      </w:r>
      <w:r>
        <w:rPr>
          <w:rFonts w:ascii="Palatino Linotype" w:eastAsia="Palatino Linotype" w:hAnsi="Palatino Linotype" w:cs="Palatino Linotype"/>
          <w:sz w:val="24"/>
          <w:szCs w:val="24"/>
        </w:rPr>
        <w:t xml:space="preserve">, al cual en lo sucesivo se le denominará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contra de la respuesta a su solicitud de información identificada con número de folio </w:t>
      </w:r>
      <w:r>
        <w:rPr>
          <w:rFonts w:ascii="Palatino Linotype" w:eastAsia="Palatino Linotype" w:hAnsi="Palatino Linotype" w:cs="Palatino Linotype"/>
          <w:b/>
          <w:sz w:val="24"/>
          <w:szCs w:val="24"/>
        </w:rPr>
        <w:t>01057/TOLUCA/IP/2023</w:t>
      </w:r>
      <w:r>
        <w:rPr>
          <w:rFonts w:ascii="Palatino Linotype" w:eastAsia="Palatino Linotype" w:hAnsi="Palatino Linotype" w:cs="Palatino Linotype"/>
          <w:sz w:val="24"/>
          <w:szCs w:val="24"/>
        </w:rPr>
        <w:t xml:space="preserve"> proporcionada por parte del </w:t>
      </w:r>
      <w:r>
        <w:rPr>
          <w:rFonts w:ascii="Palatino Linotype" w:eastAsia="Palatino Linotype" w:hAnsi="Palatino Linotype" w:cs="Palatino Linotype"/>
          <w:b/>
          <w:sz w:val="24"/>
          <w:szCs w:val="24"/>
        </w:rPr>
        <w:t>Ayuntamiento de Toluca</w:t>
      </w:r>
      <w:r>
        <w:rPr>
          <w:rFonts w:ascii="Palatino Linotype" w:eastAsia="Palatino Linotype" w:hAnsi="Palatino Linotype" w:cs="Palatino Linotype"/>
          <w:sz w:val="24"/>
          <w:szCs w:val="24"/>
        </w:rPr>
        <w:t xml:space="preserve">, en lo sucesivo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se procede a dictar la presente resolución, con base en los siguientes:</w:t>
      </w:r>
    </w:p>
    <w:p w14:paraId="532F4B91"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5872DBE8" w14:textId="77777777" w:rsidR="00452988" w:rsidRDefault="004303A7">
      <w:pPr>
        <w:spacing w:after="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I.</w:t>
      </w:r>
      <w:r>
        <w:rPr>
          <w:rFonts w:ascii="Palatino Linotype" w:eastAsia="Palatino Linotype" w:hAnsi="Palatino Linotype" w:cs="Palatino Linotype"/>
          <w:b/>
          <w:sz w:val="24"/>
          <w:szCs w:val="24"/>
        </w:rPr>
        <w:tab/>
        <w:t>A N T E C E D E N T E S</w:t>
      </w:r>
    </w:p>
    <w:p w14:paraId="496B3224"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306F6745" w14:textId="77777777" w:rsidR="00452988" w:rsidRDefault="004303A7">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Solicitud de acceso a la información.</w:t>
      </w:r>
      <w:r>
        <w:rPr>
          <w:rFonts w:ascii="Palatino Linotype" w:eastAsia="Palatino Linotype" w:hAnsi="Palatino Linotype" w:cs="Palatino Linotype"/>
          <w:color w:val="000000"/>
          <w:sz w:val="24"/>
          <w:szCs w:val="24"/>
        </w:rPr>
        <w:t xml:space="preserve"> Con fecha </w:t>
      </w:r>
      <w:r>
        <w:rPr>
          <w:rFonts w:ascii="Palatino Linotype" w:eastAsia="Palatino Linotype" w:hAnsi="Palatino Linotype" w:cs="Palatino Linotype"/>
          <w:b/>
          <w:color w:val="000000"/>
          <w:sz w:val="24"/>
          <w:szCs w:val="24"/>
        </w:rPr>
        <w:t>veintiuno de marzo de dos mil veintitrés</w:t>
      </w:r>
      <w:r>
        <w:rPr>
          <w:rFonts w:ascii="Palatino Linotype" w:eastAsia="Palatino Linotype" w:hAnsi="Palatino Linotype" w:cs="Palatino Linotype"/>
          <w:color w:val="000000"/>
          <w:sz w:val="24"/>
          <w:szCs w:val="24"/>
        </w:rPr>
        <w:t xml:space="preserve">,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formuló solicitud de acceso a información pública al</w:t>
      </w:r>
      <w:r>
        <w:rPr>
          <w:rFonts w:ascii="Palatino Linotype" w:eastAsia="Palatino Linotype" w:hAnsi="Palatino Linotype" w:cs="Palatino Linotype"/>
          <w:b/>
          <w:color w:val="000000"/>
          <w:sz w:val="24"/>
          <w:szCs w:val="24"/>
        </w:rPr>
        <w:t xml:space="preserve"> SUJETO OBLIGADO</w:t>
      </w:r>
      <w:r>
        <w:rPr>
          <w:rFonts w:ascii="Palatino Linotype" w:eastAsia="Palatino Linotype" w:hAnsi="Palatino Linotype" w:cs="Palatino Linotype"/>
          <w:color w:val="000000"/>
          <w:sz w:val="24"/>
          <w:szCs w:val="24"/>
        </w:rPr>
        <w:t xml:space="preserve"> a través del Sistema de Acceso a la Información Mexiquense, en adelante SAIMEX, en la que requirió lo siguiente: </w:t>
      </w:r>
    </w:p>
    <w:p w14:paraId="3CD993E3" w14:textId="77777777" w:rsidR="00452988" w:rsidRDefault="004303A7">
      <w:pPr>
        <w:tabs>
          <w:tab w:val="left" w:pos="1530"/>
        </w:tabs>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b/>
      </w:r>
    </w:p>
    <w:p w14:paraId="020B52CC" w14:textId="77777777" w:rsidR="00452988" w:rsidRDefault="004303A7">
      <w:pPr>
        <w:spacing w:after="0"/>
        <w:ind w:left="567" w:right="560"/>
        <w:jc w:val="both"/>
        <w:rPr>
          <w:rFonts w:ascii="Palatino Linotype" w:eastAsia="Palatino Linotype" w:hAnsi="Palatino Linotype" w:cs="Palatino Linotype"/>
          <w:i/>
        </w:rPr>
      </w:pPr>
      <w:bookmarkStart w:id="1" w:name="_heading=h.30j0zll" w:colFirst="0" w:colLast="0"/>
      <w:bookmarkEnd w:id="1"/>
      <w:r>
        <w:rPr>
          <w:rFonts w:ascii="Palatino Linotype" w:eastAsia="Palatino Linotype" w:hAnsi="Palatino Linotype" w:cs="Palatino Linotype"/>
          <w:i/>
        </w:rPr>
        <w:t xml:space="preserve">“1. Solicito las fotos de las 39 mascotas (25 perros y 14 gatos) rescatadas por personal de la Procuraduría de Protección al Ambiente del Estado de México, el día 16 de marzo del presente año en el domicilio ubicado en calle General Bernardo Reyes en la Colonia del Parque, Toluca, las cuales se encuentran en resguardo del Centro de Control y Bienestar Animal de Toluca. 2. El numero de la carpeta de investigación con la cual se le </w:t>
      </w:r>
      <w:proofErr w:type="spellStart"/>
      <w:r>
        <w:rPr>
          <w:rFonts w:ascii="Palatino Linotype" w:eastAsia="Palatino Linotype" w:hAnsi="Palatino Linotype" w:cs="Palatino Linotype"/>
          <w:i/>
        </w:rPr>
        <w:t>esta</w:t>
      </w:r>
      <w:proofErr w:type="spellEnd"/>
      <w:r>
        <w:rPr>
          <w:rFonts w:ascii="Palatino Linotype" w:eastAsia="Palatino Linotype" w:hAnsi="Palatino Linotype" w:cs="Palatino Linotype"/>
          <w:i/>
        </w:rPr>
        <w:t xml:space="preserve"> dando seguimiento en la Fiscalía del Estado. En su caso remitir la prueba de daño derivado de la imposibilidad de proporcionarlos, debido a que la información de dichas mascotas es crucial para la identificación y denuncia por parte de los dueños”. </w:t>
      </w:r>
    </w:p>
    <w:p w14:paraId="0773FBBC"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Modalidad elegida para la entrega de la información:</w:t>
      </w:r>
      <w:r>
        <w:rPr>
          <w:rFonts w:ascii="Palatino Linotype" w:eastAsia="Palatino Linotype" w:hAnsi="Palatino Linotype" w:cs="Palatino Linotype"/>
          <w:sz w:val="24"/>
          <w:szCs w:val="24"/>
        </w:rPr>
        <w:t xml:space="preserve"> a través del Sistema de Acceso a la Información Mexiquense (SAIMEX). </w:t>
      </w:r>
    </w:p>
    <w:p w14:paraId="078D0171" w14:textId="77777777" w:rsidR="00452988" w:rsidRDefault="0045298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477D019D" w14:textId="77777777" w:rsidR="00452988" w:rsidRDefault="004303A7">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Incompetencia Parcial.</w:t>
      </w:r>
      <w:r>
        <w:rPr>
          <w:rFonts w:ascii="Palatino Linotype" w:eastAsia="Palatino Linotype" w:hAnsi="Palatino Linotype" w:cs="Palatino Linotype"/>
          <w:color w:val="000000"/>
          <w:sz w:val="24"/>
          <w:szCs w:val="24"/>
        </w:rPr>
        <w:t xml:space="preserve"> Con fecha </w:t>
      </w:r>
      <w:r>
        <w:rPr>
          <w:rFonts w:ascii="Palatino Linotype" w:eastAsia="Palatino Linotype" w:hAnsi="Palatino Linotype" w:cs="Palatino Linotype"/>
          <w:b/>
          <w:color w:val="000000"/>
          <w:sz w:val="24"/>
          <w:szCs w:val="24"/>
        </w:rPr>
        <w:t>veinticuatro de marzo de dos mil veintitrés</w:t>
      </w:r>
      <w:r>
        <w:rPr>
          <w:rFonts w:ascii="Palatino Linotype" w:eastAsia="Palatino Linotype" w:hAnsi="Palatino Linotype" w:cs="Palatino Linotype"/>
          <w:color w:val="000000"/>
          <w:sz w:val="24"/>
          <w:szCs w:val="24"/>
        </w:rPr>
        <w:t xml:space="preserv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envió su respuesta a la solicitud de acceso a la información a través del SAIMEX, la cual versa como sigue:</w:t>
      </w:r>
    </w:p>
    <w:p w14:paraId="21B3D01D" w14:textId="77777777" w:rsidR="00452988" w:rsidRDefault="00452988">
      <w:pPr>
        <w:spacing w:after="0" w:line="360" w:lineRule="auto"/>
        <w:ind w:right="560"/>
        <w:jc w:val="both"/>
        <w:rPr>
          <w:rFonts w:ascii="Verdana" w:eastAsia="Verdana" w:hAnsi="Verdana" w:cs="Verdana"/>
          <w:color w:val="000000"/>
          <w:sz w:val="24"/>
          <w:szCs w:val="24"/>
        </w:rPr>
      </w:pPr>
    </w:p>
    <w:p w14:paraId="0A43A096" w14:textId="77777777" w:rsidR="00452988" w:rsidRDefault="004303A7">
      <w:pPr>
        <w:spacing w:after="0" w:line="360" w:lineRule="auto"/>
        <w:ind w:left="567" w:right="56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Con fundamento en el artículo 167 de la ley de Transparencia y Acceso a la Información Pública del Estado de México y Municipios, se orienta sobre el Sujeto Obligado que puede atender a su solicitud de información de forma parcial.</w:t>
      </w:r>
    </w:p>
    <w:p w14:paraId="5F7448DF" w14:textId="77777777" w:rsidR="00452988" w:rsidRDefault="00452988">
      <w:pPr>
        <w:spacing w:after="0" w:line="360" w:lineRule="auto"/>
        <w:ind w:left="567" w:right="560"/>
        <w:jc w:val="both"/>
        <w:rPr>
          <w:rFonts w:ascii="Palatino Linotype" w:eastAsia="Palatino Linotype" w:hAnsi="Palatino Linotype" w:cs="Palatino Linotype"/>
          <w:sz w:val="24"/>
          <w:szCs w:val="24"/>
        </w:rPr>
      </w:pPr>
    </w:p>
    <w:p w14:paraId="0B1C7D90"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Sujeto Obligado a su respuesta adjuntó el documento que se describe a continuación:  </w:t>
      </w:r>
    </w:p>
    <w:p w14:paraId="5F09BC07" w14:textId="77777777" w:rsidR="00452988" w:rsidRDefault="00452988">
      <w:pPr>
        <w:pBdr>
          <w:top w:val="nil"/>
          <w:left w:val="nil"/>
          <w:bottom w:val="nil"/>
          <w:right w:val="nil"/>
          <w:between w:val="nil"/>
        </w:pBdr>
        <w:tabs>
          <w:tab w:val="left" w:pos="993"/>
        </w:tabs>
        <w:spacing w:after="0" w:line="360" w:lineRule="auto"/>
        <w:ind w:right="560"/>
        <w:jc w:val="both"/>
        <w:rPr>
          <w:rFonts w:ascii="Palatino Linotype" w:eastAsia="Palatino Linotype" w:hAnsi="Palatino Linotype" w:cs="Palatino Linotype"/>
          <w:sz w:val="24"/>
          <w:szCs w:val="24"/>
        </w:rPr>
      </w:pPr>
    </w:p>
    <w:p w14:paraId="137F33A9" w14:textId="77777777" w:rsidR="00452988" w:rsidRDefault="004303A7">
      <w:pPr>
        <w:numPr>
          <w:ilvl w:val="0"/>
          <w:numId w:val="1"/>
        </w:numPr>
        <w:pBdr>
          <w:top w:val="nil"/>
          <w:left w:val="nil"/>
          <w:bottom w:val="nil"/>
          <w:right w:val="nil"/>
          <w:between w:val="nil"/>
        </w:pBdr>
        <w:tabs>
          <w:tab w:val="left" w:pos="993"/>
        </w:tabs>
        <w:spacing w:after="0" w:line="360" w:lineRule="auto"/>
        <w:ind w:right="5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Acuerdo de Incompetencia Parcial de la Solicitud de Información Pública Número 01057/TOLUCA/IP/2023, mediante el cual se informa que en lo que hace al </w:t>
      </w:r>
      <w:r>
        <w:rPr>
          <w:rFonts w:ascii="Palatino Linotype" w:eastAsia="Palatino Linotype" w:hAnsi="Palatino Linotype" w:cs="Palatino Linotype"/>
          <w:i/>
          <w:color w:val="000000"/>
        </w:rPr>
        <w:t xml:space="preserve">“número de la carpeta de investigación con la cual se le está dando seguimiento en la Fiscalía del Estado”, </w:t>
      </w:r>
      <w:r>
        <w:rPr>
          <w:rFonts w:ascii="Palatino Linotype" w:eastAsia="Palatino Linotype" w:hAnsi="Palatino Linotype" w:cs="Palatino Linotype"/>
          <w:color w:val="000000"/>
        </w:rPr>
        <w:t xml:space="preserve">es información que, no corresponde al Ayuntamiento de Toluca, sino a la </w:t>
      </w:r>
      <w:proofErr w:type="gramStart"/>
      <w:r>
        <w:rPr>
          <w:rFonts w:ascii="Palatino Linotype" w:eastAsia="Palatino Linotype" w:hAnsi="Palatino Linotype" w:cs="Palatino Linotype"/>
          <w:color w:val="000000"/>
        </w:rPr>
        <w:t>Fiscalía General</w:t>
      </w:r>
      <w:proofErr w:type="gramEnd"/>
      <w:r>
        <w:rPr>
          <w:rFonts w:ascii="Palatino Linotype" w:eastAsia="Palatino Linotype" w:hAnsi="Palatino Linotype" w:cs="Palatino Linotype"/>
          <w:color w:val="000000"/>
        </w:rPr>
        <w:t xml:space="preserve"> de Justicia del Gobierno del Estado de México, es por lo que, se pide que se dirija esta parte de la solicitud a dicho ente público. </w:t>
      </w:r>
    </w:p>
    <w:p w14:paraId="11ED8914" w14:textId="77777777" w:rsidR="00452988" w:rsidRDefault="00452988">
      <w:pPr>
        <w:pBdr>
          <w:top w:val="nil"/>
          <w:left w:val="nil"/>
          <w:bottom w:val="nil"/>
          <w:right w:val="nil"/>
          <w:between w:val="nil"/>
        </w:pBdr>
        <w:tabs>
          <w:tab w:val="left" w:pos="993"/>
        </w:tabs>
        <w:spacing w:after="0" w:line="360" w:lineRule="auto"/>
        <w:ind w:left="720" w:right="560"/>
        <w:jc w:val="both"/>
        <w:rPr>
          <w:rFonts w:ascii="Palatino Linotype" w:eastAsia="Palatino Linotype" w:hAnsi="Palatino Linotype" w:cs="Palatino Linotype"/>
          <w:color w:val="000000"/>
        </w:rPr>
      </w:pPr>
    </w:p>
    <w:p w14:paraId="60B07DF5" w14:textId="77777777" w:rsidR="00452988" w:rsidRDefault="004303A7">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Respuesta. </w:t>
      </w:r>
      <w:r>
        <w:rPr>
          <w:rFonts w:ascii="Palatino Linotype" w:eastAsia="Palatino Linotype" w:hAnsi="Palatino Linotype" w:cs="Palatino Linotype"/>
          <w:color w:val="000000"/>
          <w:sz w:val="24"/>
          <w:szCs w:val="24"/>
        </w:rPr>
        <w:t xml:space="preserve">En fecha </w:t>
      </w:r>
      <w:r>
        <w:rPr>
          <w:rFonts w:ascii="Palatino Linotype" w:eastAsia="Palatino Linotype" w:hAnsi="Palatino Linotype" w:cs="Palatino Linotype"/>
          <w:b/>
          <w:color w:val="000000"/>
          <w:sz w:val="24"/>
          <w:szCs w:val="24"/>
        </w:rPr>
        <w:t>dieciocho de abril de dos mil veintitrés</w:t>
      </w:r>
      <w:r>
        <w:rPr>
          <w:rFonts w:ascii="Palatino Linotype" w:eastAsia="Palatino Linotype" w:hAnsi="Palatino Linotype" w:cs="Palatino Linotype"/>
          <w:color w:val="000000"/>
          <w:sz w:val="24"/>
          <w:szCs w:val="24"/>
        </w:rPr>
        <w:t xml:space="preserve">,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proporcionó respuesta a la solicitud de información, al tenor de lo siguiente: </w:t>
      </w:r>
    </w:p>
    <w:p w14:paraId="6DDD1AF5" w14:textId="77777777" w:rsidR="00452988" w:rsidRDefault="004303A7">
      <w:pPr>
        <w:pBdr>
          <w:top w:val="nil"/>
          <w:left w:val="nil"/>
          <w:bottom w:val="nil"/>
          <w:right w:val="nil"/>
          <w:between w:val="nil"/>
        </w:pBdr>
        <w:spacing w:after="0"/>
        <w:ind w:left="567" w:right="56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56602BFA" w14:textId="77777777" w:rsidR="00452988" w:rsidRDefault="004303A7">
      <w:pPr>
        <w:pBdr>
          <w:top w:val="nil"/>
          <w:left w:val="nil"/>
          <w:bottom w:val="nil"/>
          <w:right w:val="nil"/>
          <w:between w:val="nil"/>
        </w:pBdr>
        <w:spacing w:after="0"/>
        <w:ind w:left="567" w:right="56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atención a la solicitud con folio 01057/TOLUCA/IP/2023, me permito adjuntar al presente la respuesta correspondiente. Sin más por el momento, reciba un saludo.</w:t>
      </w:r>
    </w:p>
    <w:p w14:paraId="42840324" w14:textId="77777777" w:rsidR="00452988" w:rsidRDefault="0045298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5D795671" w14:textId="77777777" w:rsidR="00452988" w:rsidRDefault="004303A7">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Asimismo, adjuntó el documento que se describe a continuación:</w:t>
      </w:r>
    </w:p>
    <w:p w14:paraId="12F60924" w14:textId="77777777" w:rsidR="00452988" w:rsidRDefault="0045298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03C966A0" w14:textId="77777777" w:rsidR="00452988" w:rsidRDefault="004303A7">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rPr>
        <w:t xml:space="preserve">Oficio de fecha dieciocho de abril de dos mil veintitrés, signado por la Titular de la Unidad de Transparencia, mediante el cual informa que la </w:t>
      </w:r>
      <w:r>
        <w:rPr>
          <w:rFonts w:ascii="Palatino Linotype" w:eastAsia="Palatino Linotype" w:hAnsi="Palatino Linotype" w:cs="Palatino Linotype"/>
          <w:b/>
          <w:color w:val="000000"/>
        </w:rPr>
        <w:t xml:space="preserve">Dirección General de Medio Ambiente y Servidor Público Habilitado informó que derivado de una búsqueda exhaustiva y razonable dentro de los archivos tanto físicos como digitales que obran en ella, no se cuenta con la información requerida, en virtud de que no existe precepto legal que determine su obligatoriedad, sin embargo, se proporciona la única imagen con la que se cuenta sobre dicho tema, la cual fue difundida por Comunicación Social, a través de redes sociales del Ayuntamiento. </w:t>
      </w:r>
    </w:p>
    <w:p w14:paraId="6072B29C" w14:textId="77777777" w:rsidR="00452988" w:rsidRDefault="004303A7">
      <w:pPr>
        <w:pBdr>
          <w:top w:val="nil"/>
          <w:left w:val="nil"/>
          <w:bottom w:val="nil"/>
          <w:right w:val="nil"/>
          <w:between w:val="nil"/>
        </w:pBdr>
        <w:spacing w:after="0" w:line="360" w:lineRule="auto"/>
        <w:ind w:left="720"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el </w:t>
      </w:r>
      <w:r>
        <w:rPr>
          <w:rFonts w:ascii="Palatino Linotype" w:eastAsia="Palatino Linotype" w:hAnsi="Palatino Linotype" w:cs="Palatino Linotype"/>
          <w:b/>
          <w:color w:val="000000"/>
        </w:rPr>
        <w:t xml:space="preserve">Departamento de Normatividad de la Dirección Jurídica e Inspección Ambiental </w:t>
      </w:r>
      <w:r>
        <w:rPr>
          <w:rFonts w:ascii="Palatino Linotype" w:eastAsia="Palatino Linotype" w:hAnsi="Palatino Linotype" w:cs="Palatino Linotype"/>
          <w:color w:val="000000"/>
        </w:rPr>
        <w:t xml:space="preserve">informó que derivado de la búsqueda exhaustiva y razonable dentro de los archivos que obran en la dependencia, no se cuenta con la información solicitada, ya que no existe precepto legal que determine la obligatoriedad de contar con fotos de los animales que se tienen bajo resguardo del Centro de Control y Bienestar Anual. </w:t>
      </w:r>
    </w:p>
    <w:p w14:paraId="2B3AE423" w14:textId="77777777" w:rsidR="00452988" w:rsidRDefault="004303A7">
      <w:pPr>
        <w:pBdr>
          <w:top w:val="nil"/>
          <w:left w:val="nil"/>
          <w:bottom w:val="nil"/>
          <w:right w:val="nil"/>
          <w:between w:val="nil"/>
        </w:pBdr>
        <w:spacing w:after="0" w:line="360" w:lineRule="auto"/>
        <w:ind w:left="720"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rPr>
        <w:t xml:space="preserve">No obstante, se proporciona una liga electrónica de la página oficial del Ayuntamiento de Toluca, en el cual se muestra el comunicado y las imágenes con las que se cuenta sobre dicho tema </w:t>
      </w:r>
      <w:hyperlink r:id="rId8">
        <w:r>
          <w:rPr>
            <w:rFonts w:ascii="Palatino Linotype" w:eastAsia="Palatino Linotype" w:hAnsi="Palatino Linotype" w:cs="Palatino Linotype"/>
            <w:color w:val="0563C1"/>
            <w:u w:val="single"/>
          </w:rPr>
          <w:t>https://www.facebook.com/H.AyuntamientoDeToluca/posts/587373450093532</w:t>
        </w:r>
      </w:hyperlink>
      <w:r>
        <w:rPr>
          <w:rFonts w:ascii="Palatino Linotype" w:eastAsia="Palatino Linotype" w:hAnsi="Palatino Linotype" w:cs="Palatino Linotype"/>
          <w:color w:val="000000"/>
        </w:rPr>
        <w:t xml:space="preserve"> </w:t>
      </w:r>
    </w:p>
    <w:p w14:paraId="0D4EE7E9" w14:textId="77777777" w:rsidR="00452988" w:rsidRDefault="0045298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27239D47" w14:textId="77777777" w:rsidR="00452988" w:rsidRDefault="0045298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1C557926" w14:textId="77777777" w:rsidR="00452988" w:rsidRDefault="004303A7">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lastRenderedPageBreak/>
        <w:t xml:space="preserve">Recurso de Revisión. </w:t>
      </w:r>
      <w:r>
        <w:rPr>
          <w:rFonts w:ascii="Palatino Linotype" w:eastAsia="Palatino Linotype" w:hAnsi="Palatino Linotype" w:cs="Palatino Linotype"/>
          <w:color w:val="000000"/>
          <w:sz w:val="24"/>
          <w:szCs w:val="24"/>
        </w:rPr>
        <w:t xml:space="preserve">En fecha </w:t>
      </w:r>
      <w:r>
        <w:rPr>
          <w:rFonts w:ascii="Palatino Linotype" w:eastAsia="Palatino Linotype" w:hAnsi="Palatino Linotype" w:cs="Palatino Linotype"/>
          <w:b/>
          <w:color w:val="000000"/>
          <w:sz w:val="24"/>
          <w:szCs w:val="24"/>
        </w:rPr>
        <w:t>diez de mayo de dos mil veintitrés</w:t>
      </w:r>
      <w:r>
        <w:rPr>
          <w:rFonts w:ascii="Palatino Linotype" w:eastAsia="Palatino Linotype" w:hAnsi="Palatino Linotype" w:cs="Palatino Linotype"/>
          <w:color w:val="000000"/>
          <w:sz w:val="24"/>
          <w:szCs w:val="24"/>
        </w:rPr>
        <w:t xml:space="preserve"> la persona Solicitante interpuso Recurso de Revisión a través del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 a través del cual expresó lo siguiente:</w:t>
      </w:r>
    </w:p>
    <w:p w14:paraId="16155DCE" w14:textId="77777777" w:rsidR="00452988" w:rsidRDefault="0045298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4CBC67C0" w14:textId="77777777" w:rsidR="00452988" w:rsidRDefault="004303A7">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Acto impugnado</w:t>
      </w:r>
      <w:r>
        <w:rPr>
          <w:rFonts w:ascii="Palatino Linotype" w:eastAsia="Palatino Linotype" w:hAnsi="Palatino Linotype" w:cs="Palatino Linotype"/>
          <w:b/>
          <w:i/>
          <w:color w:val="000000"/>
          <w:sz w:val="24"/>
          <w:szCs w:val="24"/>
        </w:rPr>
        <w:t xml:space="preserve">. </w:t>
      </w:r>
      <w:r>
        <w:rPr>
          <w:rFonts w:ascii="Palatino Linotype" w:eastAsia="Palatino Linotype" w:hAnsi="Palatino Linotype" w:cs="Palatino Linotype"/>
          <w:i/>
          <w:color w:val="000000"/>
        </w:rPr>
        <w:t>“La respuesta de la titular de transparencia.”.</w:t>
      </w:r>
    </w:p>
    <w:p w14:paraId="72E50843" w14:textId="77777777" w:rsidR="00452988" w:rsidRDefault="00452988">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color w:val="000000"/>
          <w:sz w:val="24"/>
          <w:szCs w:val="24"/>
        </w:rPr>
      </w:pPr>
    </w:p>
    <w:p w14:paraId="577AF889" w14:textId="77777777" w:rsidR="00452988" w:rsidRDefault="004303A7">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sz w:val="24"/>
          <w:szCs w:val="24"/>
        </w:rPr>
        <w:t xml:space="preserve">Razones o motivos de la inconformidad: </w:t>
      </w:r>
      <w:r>
        <w:rPr>
          <w:rFonts w:ascii="Palatino Linotype" w:eastAsia="Palatino Linotype" w:hAnsi="Palatino Linotype" w:cs="Palatino Linotype"/>
          <w:color w:val="000000"/>
        </w:rPr>
        <w:t>“</w:t>
      </w:r>
      <w:r>
        <w:rPr>
          <w:rFonts w:ascii="Palatino Linotype" w:eastAsia="Palatino Linotype" w:hAnsi="Palatino Linotype" w:cs="Palatino Linotype"/>
          <w:i/>
          <w:color w:val="000000"/>
        </w:rPr>
        <w:t>No proporciona la información solicitada</w:t>
      </w:r>
      <w:r>
        <w:rPr>
          <w:rFonts w:ascii="Palatino Linotype" w:eastAsia="Palatino Linotype" w:hAnsi="Palatino Linotype" w:cs="Palatino Linotype"/>
          <w:b/>
          <w:i/>
          <w:color w:val="000000"/>
          <w:u w:val="single"/>
        </w:rPr>
        <w:t>, proporciona un link argumentando que son las únicas fotografías que tienen y si ya estaban publicadas</w:t>
      </w:r>
      <w:r>
        <w:rPr>
          <w:rFonts w:ascii="Palatino Linotype" w:eastAsia="Palatino Linotype" w:hAnsi="Palatino Linotype" w:cs="Palatino Linotype"/>
          <w:i/>
          <w:color w:val="000000"/>
        </w:rPr>
        <w:t xml:space="preserve">, dicho link debió de haberse proporcionado en los primeros cinco días y no hasta el día quince, de igual manera el formato </w:t>
      </w:r>
      <w:proofErr w:type="spellStart"/>
      <w:r>
        <w:rPr>
          <w:rFonts w:ascii="Palatino Linotype" w:eastAsia="Palatino Linotype" w:hAnsi="Palatino Linotype" w:cs="Palatino Linotype"/>
          <w:i/>
          <w:color w:val="000000"/>
        </w:rPr>
        <w:t>pdf</w:t>
      </w:r>
      <w:proofErr w:type="spellEnd"/>
      <w:r>
        <w:rPr>
          <w:rFonts w:ascii="Palatino Linotype" w:eastAsia="Palatino Linotype" w:hAnsi="Palatino Linotype" w:cs="Palatino Linotype"/>
          <w:i/>
          <w:color w:val="000000"/>
        </w:rPr>
        <w:t>. que sube como respuesta, tiene acceso restringido, evitando la reutilización de la información de datos abiertos. Esperando pronta respuesta, que pasen una bonita noche.”.</w:t>
      </w:r>
    </w:p>
    <w:p w14:paraId="239D85E6" w14:textId="77777777" w:rsidR="00452988" w:rsidRDefault="00452988">
      <w:pPr>
        <w:pBdr>
          <w:top w:val="nil"/>
          <w:left w:val="nil"/>
          <w:bottom w:val="nil"/>
          <w:right w:val="nil"/>
          <w:between w:val="nil"/>
        </w:pBdr>
        <w:tabs>
          <w:tab w:val="left" w:pos="1276"/>
        </w:tabs>
        <w:spacing w:after="0" w:line="360" w:lineRule="auto"/>
        <w:ind w:left="567" w:right="701"/>
        <w:jc w:val="both"/>
        <w:rPr>
          <w:rFonts w:ascii="Palatino Linotype" w:eastAsia="Palatino Linotype" w:hAnsi="Palatino Linotype" w:cs="Palatino Linotype"/>
          <w:i/>
          <w:color w:val="000000"/>
        </w:rPr>
      </w:pPr>
    </w:p>
    <w:p w14:paraId="6D269222" w14:textId="77777777" w:rsidR="00452988" w:rsidRDefault="004303A7">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la parte Recurrente, adjuntó a su Recurso de Revisión el documento remitido en respuesta por el Sujeto Obligado. </w:t>
      </w:r>
    </w:p>
    <w:p w14:paraId="7BC10A6C" w14:textId="77777777" w:rsidR="00452988" w:rsidRDefault="00452988">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color w:val="000000"/>
          <w:sz w:val="24"/>
          <w:szCs w:val="24"/>
        </w:rPr>
      </w:pPr>
    </w:p>
    <w:p w14:paraId="37B9DCFA" w14:textId="77777777" w:rsidR="00452988" w:rsidRDefault="004303A7">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Turno.</w:t>
      </w:r>
      <w:r>
        <w:rPr>
          <w:rFonts w:ascii="Palatino Linotype" w:eastAsia="Palatino Linotype" w:hAnsi="Palatino Linotype" w:cs="Palatino Linotype"/>
          <w:color w:val="000000"/>
          <w:sz w:val="24"/>
          <w:szCs w:val="24"/>
        </w:rPr>
        <w:t xml:space="preserve"> 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color w:val="000000"/>
          <w:sz w:val="24"/>
          <w:szCs w:val="24"/>
        </w:rPr>
        <w:t>02559/INFOEM/IP/RR/2023</w:t>
      </w:r>
      <w:r>
        <w:rPr>
          <w:rFonts w:ascii="Palatino Linotype" w:eastAsia="Palatino Linotype" w:hAnsi="Palatino Linotype" w:cs="Palatino Linotype"/>
          <w:color w:val="000000"/>
          <w:sz w:val="24"/>
          <w:szCs w:val="24"/>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705F3384" w14:textId="77777777" w:rsidR="00452988" w:rsidRDefault="0045298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0F4840D9" w14:textId="77777777" w:rsidR="00452988" w:rsidRDefault="004303A7">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Admisión del recurso de revisión</w:t>
      </w:r>
      <w:r>
        <w:rPr>
          <w:rFonts w:ascii="Palatino Linotype" w:eastAsia="Palatino Linotype" w:hAnsi="Palatino Linotype" w:cs="Palatino Linotype"/>
          <w:color w:val="000000"/>
          <w:sz w:val="24"/>
          <w:szCs w:val="24"/>
        </w:rPr>
        <w:t xml:space="preserve">: En fecha </w:t>
      </w:r>
      <w:r>
        <w:rPr>
          <w:rFonts w:ascii="Palatino Linotype" w:eastAsia="Palatino Linotype" w:hAnsi="Palatino Linotype" w:cs="Palatino Linotype"/>
          <w:b/>
          <w:color w:val="000000"/>
          <w:sz w:val="24"/>
          <w:szCs w:val="24"/>
        </w:rPr>
        <w:t>quince de mayo de dos mil veintitrés</w:t>
      </w:r>
      <w:r>
        <w:rPr>
          <w:rFonts w:ascii="Palatino Linotype" w:eastAsia="Palatino Linotype" w:hAnsi="Palatino Linotype" w:cs="Palatino Linotype"/>
          <w:color w:val="000000"/>
          <w:sz w:val="24"/>
          <w:szCs w:val="24"/>
        </w:rPr>
        <w:t xml:space="preserve">, la Comisionada Ponente admitió a trámite el recurso de revisión que ahora se resuelve, dando un plazo máximo de siete días hábiles para que las partes </w:t>
      </w:r>
      <w:r>
        <w:rPr>
          <w:rFonts w:ascii="Palatino Linotype" w:eastAsia="Palatino Linotype" w:hAnsi="Palatino Linotype" w:cs="Palatino Linotype"/>
          <w:color w:val="000000"/>
          <w:sz w:val="24"/>
          <w:szCs w:val="24"/>
        </w:rPr>
        <w:lastRenderedPageBreak/>
        <w:t xml:space="preserve">manifestaran lo que a su derecho resultara conveniente, ofrecieran pruebas, formularan alegatos y el Sujeto Obligado presentara su informe justificado. </w:t>
      </w:r>
    </w:p>
    <w:p w14:paraId="61EC7BE7" w14:textId="77777777" w:rsidR="00452988" w:rsidRDefault="00452988">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485A3A2A" w14:textId="77777777" w:rsidR="00452988" w:rsidRDefault="004303A7">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Informe Justificado. </w:t>
      </w:r>
      <w:r>
        <w:rPr>
          <w:rFonts w:ascii="Palatino Linotype" w:eastAsia="Palatino Linotype" w:hAnsi="Palatino Linotype" w:cs="Palatino Linotype"/>
          <w:color w:val="000000"/>
          <w:sz w:val="24"/>
          <w:szCs w:val="24"/>
        </w:rPr>
        <w:t xml:space="preserve">En fecha </w:t>
      </w:r>
      <w:r>
        <w:rPr>
          <w:rFonts w:ascii="Palatino Linotype" w:eastAsia="Palatino Linotype" w:hAnsi="Palatino Linotype" w:cs="Palatino Linotype"/>
          <w:b/>
          <w:color w:val="000000"/>
          <w:sz w:val="24"/>
          <w:szCs w:val="24"/>
        </w:rPr>
        <w:t xml:space="preserve">veinticuatro de mayo de dos mil veintitrés </w:t>
      </w: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rindió su informe justificado, al tenor de lo siguiente:</w:t>
      </w:r>
    </w:p>
    <w:p w14:paraId="487630A7" w14:textId="77777777" w:rsidR="00452988" w:rsidRDefault="0045298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793556DF" w14:textId="77777777" w:rsidR="00452988" w:rsidRDefault="004303A7">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rPr>
        <w:t xml:space="preserve">Oficio de fecha veinticuatro de mayo de dos mil veintitrés, signado por la Titular de la Unidad de Transparencia, mediante el cual refirió que, la evidencia fotográfica que se entregó es lo que obra en los archivos del Sujeto Obligado y, respecto a la liga electrónica fue adicional a la respuesta.  </w:t>
      </w:r>
    </w:p>
    <w:p w14:paraId="0E52B1E9" w14:textId="77777777" w:rsidR="00452988" w:rsidRDefault="00452988">
      <w:pPr>
        <w:pBdr>
          <w:top w:val="nil"/>
          <w:left w:val="nil"/>
          <w:bottom w:val="nil"/>
          <w:right w:val="nil"/>
          <w:between w:val="nil"/>
        </w:pBdr>
        <w:spacing w:after="0" w:line="360" w:lineRule="auto"/>
        <w:ind w:left="720" w:right="49"/>
        <w:jc w:val="both"/>
        <w:rPr>
          <w:rFonts w:ascii="Palatino Linotype" w:eastAsia="Palatino Linotype" w:hAnsi="Palatino Linotype" w:cs="Palatino Linotype"/>
          <w:color w:val="000000"/>
          <w:sz w:val="24"/>
          <w:szCs w:val="24"/>
        </w:rPr>
      </w:pPr>
    </w:p>
    <w:p w14:paraId="157FE5BA" w14:textId="77777777" w:rsidR="00452988" w:rsidRDefault="004303A7">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Documento que se hizo del conocimiento de la parte Recurrente </w:t>
      </w:r>
      <w:r>
        <w:rPr>
          <w:rFonts w:ascii="Palatino Linotype" w:eastAsia="Palatino Linotype" w:hAnsi="Palatino Linotype" w:cs="Palatino Linotype"/>
          <w:b/>
          <w:color w:val="000000"/>
        </w:rPr>
        <w:t xml:space="preserve">el veintinueve de noviembre de dos mil veintitrés. </w:t>
      </w:r>
    </w:p>
    <w:p w14:paraId="669CDF3E" w14:textId="77777777" w:rsidR="00452988" w:rsidRDefault="004303A7">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w:t>
      </w:r>
    </w:p>
    <w:p w14:paraId="2B2D4316" w14:textId="77777777" w:rsidR="00452988" w:rsidRDefault="004303A7">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parte Recurrente no realizó manifestaciones. </w:t>
      </w:r>
    </w:p>
    <w:p w14:paraId="02737C9C" w14:textId="77777777" w:rsidR="00452988" w:rsidRDefault="0045298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23802971" w14:textId="77777777" w:rsidR="00452988" w:rsidRDefault="004303A7">
      <w:pPr>
        <w:numPr>
          <w:ilvl w:val="0"/>
          <w:numId w:val="5"/>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Ampliación de plazo:</w:t>
      </w:r>
      <w:r>
        <w:rPr>
          <w:rFonts w:ascii="Palatino Linotype" w:eastAsia="Palatino Linotype" w:hAnsi="Palatino Linotype" w:cs="Palatino Linotype"/>
          <w:color w:val="000000"/>
          <w:sz w:val="24"/>
          <w:szCs w:val="24"/>
        </w:rPr>
        <w:t xml:space="preserve"> En fecha </w:t>
      </w:r>
      <w:r>
        <w:rPr>
          <w:rFonts w:ascii="Palatino Linotype" w:eastAsia="Palatino Linotype" w:hAnsi="Palatino Linotype" w:cs="Palatino Linotype"/>
          <w:b/>
          <w:color w:val="000000"/>
          <w:sz w:val="24"/>
          <w:szCs w:val="24"/>
        </w:rPr>
        <w:t>veintinueve de noviembre de dos mil veintitrés</w:t>
      </w:r>
      <w:r>
        <w:rPr>
          <w:rFonts w:ascii="Palatino Linotype" w:eastAsia="Palatino Linotype" w:hAnsi="Palatino Linotype" w:cs="Palatino Linotype"/>
          <w:color w:val="000000"/>
          <w:sz w:val="24"/>
          <w:szCs w:val="24"/>
        </w:rPr>
        <w:t>, con fundamento en el artículo 181, párrafo tercero de la Ley de Transparencia y Acceso a la Información Pública del Estado de México y Municipios, se acordó la ampliación del plazo para su resolución.</w:t>
      </w:r>
    </w:p>
    <w:p w14:paraId="06C29372" w14:textId="77777777" w:rsidR="00452988" w:rsidRDefault="00452988">
      <w:pPr>
        <w:widowControl w:val="0"/>
        <w:spacing w:after="0" w:line="360" w:lineRule="auto"/>
        <w:jc w:val="both"/>
        <w:rPr>
          <w:rFonts w:ascii="Palatino Linotype" w:eastAsia="Palatino Linotype" w:hAnsi="Palatino Linotype" w:cs="Palatino Linotype"/>
          <w:sz w:val="24"/>
          <w:szCs w:val="24"/>
        </w:rPr>
      </w:pPr>
    </w:p>
    <w:p w14:paraId="719F3A27" w14:textId="77777777" w:rsidR="00452988" w:rsidRDefault="004303A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w:t>
      </w:r>
      <w:r>
        <w:rPr>
          <w:rFonts w:ascii="Palatino Linotype" w:eastAsia="Palatino Linotype" w:hAnsi="Palatino Linotype" w:cs="Palatino Linotype"/>
          <w:sz w:val="24"/>
          <w:szCs w:val="24"/>
        </w:rPr>
        <w:lastRenderedPageBreak/>
        <w:t>circunstancia atípica que ha rebasado las capacidades técnicas y humanas del personal encargado de la proyección de las resoluciones a dichos medios de impugnación.</w:t>
      </w:r>
    </w:p>
    <w:p w14:paraId="0486DDC9" w14:textId="77777777" w:rsidR="00452988" w:rsidRDefault="00452988">
      <w:pPr>
        <w:spacing w:after="0" w:line="360" w:lineRule="auto"/>
        <w:jc w:val="both"/>
        <w:rPr>
          <w:rFonts w:ascii="Palatino Linotype" w:eastAsia="Palatino Linotype" w:hAnsi="Palatino Linotype" w:cs="Palatino Linotype"/>
          <w:sz w:val="24"/>
          <w:szCs w:val="24"/>
        </w:rPr>
      </w:pPr>
    </w:p>
    <w:p w14:paraId="44F725FC" w14:textId="77777777" w:rsidR="00452988" w:rsidRDefault="004303A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87916B4" w14:textId="77777777" w:rsidR="00452988" w:rsidRDefault="00452988">
      <w:pPr>
        <w:spacing w:after="0" w:line="360" w:lineRule="auto"/>
        <w:jc w:val="both"/>
        <w:rPr>
          <w:rFonts w:ascii="Palatino Linotype" w:eastAsia="Palatino Linotype" w:hAnsi="Palatino Linotype" w:cs="Palatino Linotype"/>
          <w:sz w:val="24"/>
          <w:szCs w:val="24"/>
        </w:rPr>
      </w:pPr>
    </w:p>
    <w:p w14:paraId="3868CF48" w14:textId="77777777" w:rsidR="00452988" w:rsidRDefault="004303A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7E4D978" w14:textId="77777777" w:rsidR="00452988" w:rsidRDefault="00452988">
      <w:pPr>
        <w:spacing w:after="0" w:line="360" w:lineRule="auto"/>
        <w:jc w:val="both"/>
        <w:rPr>
          <w:rFonts w:ascii="Palatino Linotype" w:eastAsia="Palatino Linotype" w:hAnsi="Palatino Linotype" w:cs="Palatino Linotype"/>
          <w:sz w:val="24"/>
          <w:szCs w:val="24"/>
        </w:rPr>
      </w:pPr>
    </w:p>
    <w:p w14:paraId="1177A20B" w14:textId="77777777" w:rsidR="00452988" w:rsidRDefault="004303A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590447B" w14:textId="77777777" w:rsidR="00452988" w:rsidRDefault="00452988">
      <w:pPr>
        <w:spacing w:after="0" w:line="360" w:lineRule="auto"/>
        <w:jc w:val="both"/>
        <w:rPr>
          <w:rFonts w:ascii="Palatino Linotype" w:eastAsia="Palatino Linotype" w:hAnsi="Palatino Linotype" w:cs="Palatino Linotype"/>
          <w:sz w:val="24"/>
          <w:szCs w:val="24"/>
        </w:rPr>
      </w:pPr>
    </w:p>
    <w:p w14:paraId="7A9FFD45" w14:textId="77777777" w:rsidR="00452988" w:rsidRDefault="004303A7">
      <w:pPr>
        <w:spacing w:after="0" w:line="360" w:lineRule="auto"/>
        <w:jc w:val="both"/>
        <w:rPr>
          <w:rFonts w:ascii="Palatino Linotype" w:eastAsia="Palatino Linotype" w:hAnsi="Palatino Linotype" w:cs="Palatino Linotype"/>
          <w:strike/>
          <w:color w:val="FF0000"/>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66C4310E" w14:textId="77777777" w:rsidR="00452988" w:rsidRDefault="00452988">
      <w:pPr>
        <w:spacing w:after="0" w:line="360" w:lineRule="auto"/>
        <w:jc w:val="both"/>
        <w:rPr>
          <w:rFonts w:ascii="Palatino Linotype" w:eastAsia="Palatino Linotype" w:hAnsi="Palatino Linotype" w:cs="Palatino Linotype"/>
          <w:sz w:val="24"/>
          <w:szCs w:val="24"/>
        </w:rPr>
      </w:pPr>
    </w:p>
    <w:p w14:paraId="0F9AE2FF" w14:textId="77777777" w:rsidR="00452988" w:rsidRDefault="004303A7">
      <w:pPr>
        <w:numPr>
          <w:ilvl w:val="0"/>
          <w:numId w:val="4"/>
        </w:num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Complejidad del Asunto: La complejidad de la prueba, la pluralidad de sujetos procesales, el tiempo transcurrido, las características y contexto del recurso.</w:t>
      </w:r>
    </w:p>
    <w:p w14:paraId="4402FC3F" w14:textId="77777777" w:rsidR="00452988" w:rsidRDefault="004303A7">
      <w:pPr>
        <w:numPr>
          <w:ilvl w:val="0"/>
          <w:numId w:val="4"/>
        </w:num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4193CBC9" w14:textId="77777777" w:rsidR="00452988" w:rsidRDefault="004303A7">
      <w:pPr>
        <w:numPr>
          <w:ilvl w:val="0"/>
          <w:numId w:val="4"/>
        </w:num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5DFDC21F" w14:textId="77777777" w:rsidR="00452988" w:rsidRDefault="004303A7">
      <w:pPr>
        <w:numPr>
          <w:ilvl w:val="0"/>
          <w:numId w:val="4"/>
        </w:num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6B0D12E0" w14:textId="77777777" w:rsidR="00452988" w:rsidRDefault="00452988">
      <w:pPr>
        <w:spacing w:after="0" w:line="360" w:lineRule="auto"/>
        <w:jc w:val="both"/>
        <w:rPr>
          <w:rFonts w:ascii="Palatino Linotype" w:eastAsia="Palatino Linotype" w:hAnsi="Palatino Linotype" w:cs="Palatino Linotype"/>
          <w:sz w:val="24"/>
          <w:szCs w:val="24"/>
        </w:rPr>
      </w:pPr>
    </w:p>
    <w:p w14:paraId="6F99FFA0" w14:textId="77777777" w:rsidR="00452988" w:rsidRDefault="004303A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1F09ED4" w14:textId="77777777" w:rsidR="00452988" w:rsidRDefault="00452988">
      <w:pPr>
        <w:spacing w:after="0" w:line="360" w:lineRule="auto"/>
        <w:jc w:val="both"/>
        <w:rPr>
          <w:rFonts w:ascii="Palatino Linotype" w:eastAsia="Palatino Linotype" w:hAnsi="Palatino Linotype" w:cs="Palatino Linotype"/>
          <w:sz w:val="24"/>
          <w:szCs w:val="24"/>
        </w:rPr>
      </w:pPr>
    </w:p>
    <w:p w14:paraId="0709EEAE" w14:textId="77777777" w:rsidR="00452988" w:rsidRDefault="004303A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14:paraId="23163D84" w14:textId="77777777" w:rsidR="00452988" w:rsidRDefault="00452988">
      <w:pPr>
        <w:spacing w:after="0" w:line="360" w:lineRule="auto"/>
        <w:jc w:val="both"/>
        <w:rPr>
          <w:rFonts w:ascii="Palatino Linotype" w:eastAsia="Palatino Linotype" w:hAnsi="Palatino Linotype" w:cs="Palatino Linotype"/>
          <w:b/>
          <w:sz w:val="24"/>
          <w:szCs w:val="24"/>
        </w:rPr>
      </w:pPr>
    </w:p>
    <w:p w14:paraId="2742B32F" w14:textId="77777777" w:rsidR="00452988" w:rsidRDefault="004303A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Pr>
          <w:rFonts w:ascii="Palatino Linotype" w:eastAsia="Palatino Linotype" w:hAnsi="Palatino Linotype" w:cs="Palatino Linotype"/>
          <w:sz w:val="24"/>
          <w:szCs w:val="24"/>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4E0CC2E" w14:textId="77777777" w:rsidR="00452988" w:rsidRDefault="00452988">
      <w:pPr>
        <w:spacing w:after="0" w:line="360" w:lineRule="auto"/>
        <w:jc w:val="both"/>
        <w:rPr>
          <w:rFonts w:ascii="Palatino Linotype" w:eastAsia="Palatino Linotype" w:hAnsi="Palatino Linotype" w:cs="Palatino Linotype"/>
          <w:sz w:val="24"/>
          <w:szCs w:val="24"/>
        </w:rPr>
      </w:pPr>
    </w:p>
    <w:p w14:paraId="7F05E872" w14:textId="77777777" w:rsidR="00452988" w:rsidRDefault="004303A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20B35CF2" w14:textId="77777777" w:rsidR="00452988" w:rsidRDefault="00452988">
      <w:pPr>
        <w:spacing w:after="0" w:line="360" w:lineRule="auto"/>
        <w:jc w:val="both"/>
        <w:rPr>
          <w:rFonts w:ascii="Palatino Linotype" w:eastAsia="Palatino Linotype" w:hAnsi="Palatino Linotype" w:cs="Palatino Linotype"/>
          <w:sz w:val="24"/>
          <w:szCs w:val="24"/>
        </w:rPr>
      </w:pPr>
    </w:p>
    <w:p w14:paraId="1C016963" w14:textId="77777777" w:rsidR="00452988" w:rsidRDefault="004303A7">
      <w:pPr>
        <w:spacing w:after="0" w:line="360" w:lineRule="auto"/>
        <w:ind w:left="567" w:right="616"/>
        <w:jc w:val="both"/>
        <w:rPr>
          <w:rFonts w:ascii="Palatino Linotype" w:eastAsia="Palatino Linotype" w:hAnsi="Palatino Linotype" w:cs="Palatino Linotype"/>
        </w:rPr>
      </w:pPr>
      <w:r>
        <w:rPr>
          <w:rFonts w:ascii="Palatino Linotype" w:eastAsia="Palatino Linotype" w:hAnsi="Palatino Linotype" w:cs="Palatino Linotype"/>
          <w:b/>
        </w:rPr>
        <w:t xml:space="preserve"> </w:t>
      </w:r>
      <w:r>
        <w:rPr>
          <w:rFonts w:ascii="Palatino Linotype" w:eastAsia="Palatino Linotype" w:hAnsi="Palatino Linotype" w:cs="Palatino Linotype"/>
          <w:b/>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7D34BAA7" w14:textId="77777777" w:rsidR="00452988" w:rsidRDefault="00452988">
      <w:pPr>
        <w:spacing w:after="0" w:line="360" w:lineRule="auto"/>
        <w:ind w:left="567" w:right="616"/>
        <w:jc w:val="both"/>
        <w:rPr>
          <w:rFonts w:ascii="Palatino Linotype" w:eastAsia="Palatino Linotype" w:hAnsi="Palatino Linotype" w:cs="Palatino Linotype"/>
          <w:b/>
        </w:rPr>
      </w:pPr>
    </w:p>
    <w:p w14:paraId="6AE981A4" w14:textId="77777777" w:rsidR="00452988" w:rsidRDefault="004303A7">
      <w:pPr>
        <w:spacing w:after="0" w:line="360" w:lineRule="auto"/>
        <w:ind w:left="567" w:right="616"/>
        <w:jc w:val="both"/>
        <w:rPr>
          <w:rFonts w:ascii="Palatino Linotype" w:eastAsia="Palatino Linotype" w:hAnsi="Palatino Linotype" w:cs="Palatino Linotype"/>
        </w:rPr>
      </w:pPr>
      <w:r>
        <w:rPr>
          <w:rFonts w:ascii="Palatino Linotype" w:eastAsia="Palatino Linotype" w:hAnsi="Palatino Linotype" w:cs="Palatino Linotype"/>
          <w:b/>
          <w:i/>
        </w:rPr>
        <w:t>“PLAZO RAZONABLE PARA RESOLVER. CONCEPTO Y ELEMENTOS QUE LO INTEGRAN A LA LUZ DEL DERECHO INTERNACIONAL DE LOS DERECHOS HUMANOS</w:t>
      </w:r>
      <w:r>
        <w:rPr>
          <w:rFonts w:ascii="Palatino Linotype" w:eastAsia="Palatino Linotype" w:hAnsi="Palatino Linotype" w:cs="Palatino Linotype"/>
          <w:i/>
        </w:rPr>
        <w:t>.”</w:t>
      </w:r>
      <w:r>
        <w:rPr>
          <w:rFonts w:ascii="Palatino Linotype" w:eastAsia="Palatino Linotype" w:hAnsi="Palatino Linotype" w:cs="Palatino Linotype"/>
        </w:rPr>
        <w:t>, visible en el Seminario Judicial de la Federación y su gaceta, con el registro digital 2002350.</w:t>
      </w:r>
    </w:p>
    <w:p w14:paraId="1B1F5CDA" w14:textId="77777777" w:rsidR="00452988" w:rsidRDefault="00452988">
      <w:pPr>
        <w:spacing w:after="0" w:line="360" w:lineRule="auto"/>
        <w:ind w:left="567" w:right="616"/>
        <w:jc w:val="both"/>
        <w:rPr>
          <w:rFonts w:ascii="Palatino Linotype" w:eastAsia="Palatino Linotype" w:hAnsi="Palatino Linotype" w:cs="Palatino Linotype"/>
        </w:rPr>
      </w:pPr>
    </w:p>
    <w:p w14:paraId="1D39DCCE" w14:textId="77777777" w:rsidR="00452988" w:rsidRDefault="004303A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este organismo garante comprometido con la tutela de los derechos humanos confiados señala que este exceso de plazo legal para resolver el presente asunto resulta de carácter excepcional.</w:t>
      </w:r>
    </w:p>
    <w:p w14:paraId="4FD89ADC" w14:textId="77777777" w:rsidR="00452988" w:rsidRDefault="004303A7">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lastRenderedPageBreak/>
        <w:t>Cierre de instrucción</w:t>
      </w:r>
      <w:r>
        <w:rPr>
          <w:rFonts w:ascii="Palatino Linotype" w:eastAsia="Palatino Linotype" w:hAnsi="Palatino Linotype" w:cs="Palatino Linotype"/>
          <w:color w:val="000000"/>
          <w:sz w:val="24"/>
          <w:szCs w:val="24"/>
        </w:rPr>
        <w:t xml:space="preserve">. En fecha </w:t>
      </w:r>
      <w:r>
        <w:rPr>
          <w:rFonts w:ascii="Palatino Linotype" w:eastAsia="Palatino Linotype" w:hAnsi="Palatino Linotype" w:cs="Palatino Linotype"/>
          <w:b/>
          <w:color w:val="000000"/>
          <w:sz w:val="24"/>
          <w:szCs w:val="24"/>
        </w:rPr>
        <w:t>cinco de diciembre de dos mil veintitrés</w:t>
      </w:r>
      <w:r>
        <w:rPr>
          <w:rFonts w:ascii="Palatino Linotype" w:eastAsia="Palatino Linotype" w:hAnsi="Palatino Linotype" w:cs="Palatino Linotype"/>
          <w:color w:val="000000"/>
          <w:sz w:val="24"/>
          <w:szCs w:val="24"/>
        </w:rPr>
        <w:t>, la Comisionada Ponente determinó el cierre de instrucción en términos de la fracción VI del artículo 185 de la Ley de Transparencia y Acceso a la Información Pública del Estado de México y Municipios.</w:t>
      </w:r>
    </w:p>
    <w:p w14:paraId="43B9C376" w14:textId="77777777" w:rsidR="00452988" w:rsidRDefault="0045298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488C6207"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4C99906B"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3A462599" w14:textId="77777777" w:rsidR="00452988" w:rsidRDefault="004303A7">
      <w:pPr>
        <w:spacing w:after="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II.</w:t>
      </w:r>
      <w:r>
        <w:rPr>
          <w:rFonts w:ascii="Palatino Linotype" w:eastAsia="Palatino Linotype" w:hAnsi="Palatino Linotype" w:cs="Palatino Linotype"/>
          <w:b/>
          <w:sz w:val="24"/>
          <w:szCs w:val="24"/>
        </w:rPr>
        <w:tab/>
        <w:t>C O N S I D E R A N D O:</w:t>
      </w:r>
    </w:p>
    <w:p w14:paraId="301D386C"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6C0A58E7" w14:textId="77777777" w:rsidR="00452988" w:rsidRDefault="004303A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Competencia. </w:t>
      </w:r>
      <w:r>
        <w:rPr>
          <w:rFonts w:ascii="Palatino Linotype" w:eastAsia="Palatino Linotype" w:hAnsi="Palatino Linotype" w:cs="Palatino Linotype"/>
          <w:sz w:val="24"/>
          <w:szCs w:val="24"/>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40195AB"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2BD7B5C9"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Segundo. Oportunidad y Procedibilidad del Recurso de Revisión.</w:t>
      </w:r>
      <w:r>
        <w:rPr>
          <w:rFonts w:ascii="Palatino Linotype" w:eastAsia="Palatino Linotype" w:hAnsi="Palatino Linotype" w:cs="Palatino Linotype"/>
          <w:sz w:val="24"/>
          <w:szCs w:val="24"/>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0D65B2BE"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1186EAE2"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recurso de revisión fue interpuesto dentro del plazo de quince días hábiles previstos en el artículo 178 de la Ley de Transparencia y Acceso a la Información Pública del Estado de México y Municipios, toda vez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remitió la respuesta a la solicitud de información el </w:t>
      </w:r>
      <w:r>
        <w:rPr>
          <w:rFonts w:ascii="Palatino Linotype" w:eastAsia="Palatino Linotype" w:hAnsi="Palatino Linotype" w:cs="Palatino Linotype"/>
          <w:b/>
          <w:sz w:val="24"/>
          <w:szCs w:val="24"/>
        </w:rPr>
        <w:t>dieciocho de abril de dos mil veintitrés</w:t>
      </w:r>
      <w:r>
        <w:rPr>
          <w:rFonts w:ascii="Palatino Linotype" w:eastAsia="Palatino Linotype" w:hAnsi="Palatino Linotype" w:cs="Palatino Linotype"/>
          <w:sz w:val="24"/>
          <w:szCs w:val="24"/>
        </w:rPr>
        <w:t xml:space="preserve">, mientras que el recurso de revisión interpuesto por la parte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se tuvo por presentado al décimo cuarto día hábil en que se tuvo conocimiento de la respuesta.</w:t>
      </w:r>
    </w:p>
    <w:p w14:paraId="7FED9AFE"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595FF9A2" w14:textId="77777777" w:rsidR="00452988" w:rsidRDefault="004303A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de suma importancia mencionar que si bien, la </w:t>
      </w:r>
      <w:proofErr w:type="gramStart"/>
      <w:r>
        <w:rPr>
          <w:rFonts w:ascii="Palatino Linotype" w:eastAsia="Palatino Linotype" w:hAnsi="Palatino Linotype" w:cs="Palatino Linotype"/>
          <w:sz w:val="24"/>
          <w:szCs w:val="24"/>
        </w:rPr>
        <w:t>parte  proporcionó</w:t>
      </w:r>
      <w:proofErr w:type="gramEnd"/>
      <w:r>
        <w:rPr>
          <w:rFonts w:ascii="Palatino Linotype" w:eastAsia="Palatino Linotype" w:hAnsi="Palatino Linotype" w:cs="Palatino Linotype"/>
          <w:sz w:val="24"/>
          <w:szCs w:val="24"/>
        </w:rPr>
        <w:t xml:space="preserve"> un </w:t>
      </w:r>
      <w:r>
        <w:rPr>
          <w:rFonts w:ascii="Palatino Linotype" w:eastAsia="Palatino Linotype" w:hAnsi="Palatino Linotype" w:cs="Palatino Linotype"/>
          <w:b/>
          <w:sz w:val="24"/>
          <w:szCs w:val="24"/>
          <w:u w:val="single"/>
        </w:rPr>
        <w:t>seudónimo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1F8A354" w14:textId="77777777" w:rsidR="00452988" w:rsidRDefault="00452988">
      <w:pPr>
        <w:spacing w:after="0" w:line="360" w:lineRule="auto"/>
        <w:jc w:val="both"/>
        <w:rPr>
          <w:rFonts w:ascii="Palatino Linotype" w:eastAsia="Palatino Linotype" w:hAnsi="Palatino Linotype" w:cs="Palatino Linotype"/>
          <w:sz w:val="24"/>
          <w:szCs w:val="24"/>
        </w:rPr>
      </w:pPr>
    </w:p>
    <w:p w14:paraId="4A9EA16F" w14:textId="77777777" w:rsidR="00452988" w:rsidRDefault="004303A7">
      <w:pPr>
        <w:ind w:left="567" w:right="843"/>
        <w:jc w:val="both"/>
        <w:rPr>
          <w:rFonts w:ascii="Palatino Linotype" w:eastAsia="Palatino Linotype" w:hAnsi="Palatino Linotype" w:cs="Palatino Linotype"/>
          <w:i/>
        </w:rPr>
      </w:pPr>
      <w:r>
        <w:rPr>
          <w:rFonts w:ascii="Palatino Linotype" w:eastAsia="Palatino Linotype" w:hAnsi="Palatino Linotype" w:cs="Palatino Linotype"/>
          <w:i/>
        </w:rPr>
        <w:t xml:space="preserve">"Las solicitudes anónimas, con nombre incompleto o </w:t>
      </w:r>
      <w:r>
        <w:rPr>
          <w:rFonts w:ascii="Palatino Linotype" w:eastAsia="Palatino Linotype" w:hAnsi="Palatino Linotype" w:cs="Palatino Linotype"/>
          <w:b/>
          <w:i/>
        </w:rPr>
        <w:t xml:space="preserve">seudónimo </w:t>
      </w:r>
      <w:r>
        <w:rPr>
          <w:rFonts w:ascii="Palatino Linotype" w:eastAsia="Palatino Linotype" w:hAnsi="Palatino Linotype" w:cs="Palatino Linotype"/>
          <w:i/>
        </w:rPr>
        <w:t>serán procedentes para su trámite por parte del sujeto obligado ante quien se presente. No podrá requerirse información adicional con motivo del nombre proporcionado por el solicitante."</w:t>
      </w:r>
    </w:p>
    <w:p w14:paraId="42A409F3"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2A1E74F6"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w:t>
      </w:r>
    </w:p>
    <w:p w14:paraId="6D79D85B"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766E16D6"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Finalmente, resulta procedente la interposición del recurso de revisión al rubro anotado, toda vez que se actualiza la hipótesis de procedencia prevista en los artículos 179, fracciones I y IX de la Ley de la materia, que a la letra dice:</w:t>
      </w:r>
    </w:p>
    <w:p w14:paraId="786F12A4"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582B0401"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05457FE5"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6482C63"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I. Negativa de entrega de la información</w:t>
      </w:r>
    </w:p>
    <w:p w14:paraId="29DBB4A6"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CAE003F"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IX. La entrega o puesta a disposición de información en un formato incomprensible y/o no accesible para el solicitante; </w:t>
      </w:r>
    </w:p>
    <w:p w14:paraId="6A4C56B6" w14:textId="77777777" w:rsidR="00452988" w:rsidRDefault="00452988">
      <w:pPr>
        <w:spacing w:after="0" w:line="360" w:lineRule="auto"/>
        <w:ind w:left="567" w:right="560"/>
        <w:jc w:val="both"/>
        <w:rPr>
          <w:rFonts w:ascii="Palatino Linotype" w:eastAsia="Palatino Linotype" w:hAnsi="Palatino Linotype" w:cs="Palatino Linotype"/>
          <w:i/>
          <w:sz w:val="24"/>
          <w:szCs w:val="24"/>
        </w:rPr>
      </w:pPr>
    </w:p>
    <w:p w14:paraId="0DA77EA1"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 Materia de la revisión</w:t>
      </w:r>
      <w:r>
        <w:rPr>
          <w:rFonts w:ascii="Palatino Linotype" w:eastAsia="Palatino Linotype" w:hAnsi="Palatino Linotype" w:cs="Palatino Linotype"/>
          <w:sz w:val="24"/>
          <w:szCs w:val="24"/>
        </w:rPr>
        <w:t xml:space="preserve">. De la revisión a las constancias y documentos que obran en el expediente electrónico se advierte, que el tema sobre el que este Organismo Garante de Transparencia y Acceso a la Información se pronunciará será en determinar, si se actualizan las hipótesis previstas en las fracciones I y IX del artículo 179 de la Ley en la materia. </w:t>
      </w:r>
    </w:p>
    <w:p w14:paraId="6DB1994A"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51528B91"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Cuarto.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Estudio de fondo del asunto.</w:t>
      </w:r>
      <w:r>
        <w:rPr>
          <w:rFonts w:ascii="Palatino Linotype" w:eastAsia="Palatino Linotype" w:hAnsi="Palatino Linotype" w:cs="Palatino Linotype"/>
          <w:sz w:val="24"/>
          <w:szCs w:val="24"/>
        </w:rPr>
        <w:t xml:space="preserve">  Antes de entrar al análisis de los pronunciamientos del Sujeto Obligado en la respuesta proporcionada, así como en el </w:t>
      </w:r>
      <w:r>
        <w:rPr>
          <w:rFonts w:ascii="Palatino Linotype" w:eastAsia="Palatino Linotype" w:hAnsi="Palatino Linotype" w:cs="Palatino Linotype"/>
          <w:sz w:val="24"/>
          <w:szCs w:val="24"/>
        </w:rPr>
        <w:lastRenderedPageBreak/>
        <w:t>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6C111DD" w14:textId="77777777" w:rsidR="00452988" w:rsidRDefault="00452988">
      <w:pPr>
        <w:spacing w:after="0"/>
        <w:ind w:left="567" w:right="560"/>
        <w:jc w:val="both"/>
        <w:rPr>
          <w:rFonts w:ascii="Palatino Linotype" w:eastAsia="Palatino Linotype" w:hAnsi="Palatino Linotype" w:cs="Palatino Linotype"/>
          <w:i/>
        </w:rPr>
      </w:pPr>
    </w:p>
    <w:p w14:paraId="17D74379"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1o.</w:t>
      </w:r>
      <w:r>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84439EC"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2C6ED8B8"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37CD759"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75E3644" w14:textId="77777777" w:rsidR="00452988" w:rsidRDefault="004303A7">
      <w:pPr>
        <w:spacing w:after="0"/>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“Artículo 6o.</w:t>
      </w:r>
    </w:p>
    <w:p w14:paraId="5454ACBD"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F73A6ED"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A. Para el ejercicio del derecho de acceso a la información, la Federación y las entidades federativas, en el ámbito de sus respectivas competencias, se regirán por los siguientes principios y bases:</w:t>
      </w:r>
    </w:p>
    <w:p w14:paraId="22D7AAE4"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w:t>
      </w:r>
      <w:r>
        <w:rPr>
          <w:rFonts w:ascii="Palatino Linotype" w:eastAsia="Palatino Linotype" w:hAnsi="Palatino Linotype" w:cs="Palatino Linotype"/>
          <w:i/>
        </w:rPr>
        <w:lastRenderedPageBreak/>
        <w:t>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6C3A9AB"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 II. La información que se refiere a la vida privada y los datos personales será protegida en los términos y con las excepciones que fijen las leyes.</w:t>
      </w:r>
    </w:p>
    <w:p w14:paraId="5B50F1D7"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 III. Toda persona, sin necesidad de acreditar interés alguno o justificar su utilización, tendrá acceso gratuito a la información pública, a sus datos personales o a la rectificación de éstos.</w:t>
      </w:r>
    </w:p>
    <w:p w14:paraId="4B5AB473"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 IV. Se establecerán mecanismos de acceso a la información y procedimientos de revisión expeditos que se sustanciarán ante los organismos autónomos especializados e imparciales que establece esta Constitución.</w:t>
      </w:r>
    </w:p>
    <w:p w14:paraId="71C97677"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8D2B980"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 VI. Las leyes determinarán la manera en que los sujetos obligados deberán hacer pública la información relativa a los recursos públicos que entreguen a personas físicas o morales.</w:t>
      </w:r>
    </w:p>
    <w:p w14:paraId="27235086"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 VII. La inobservancia a las disposiciones en materia de acceso a la información pública será sancionada en los términos que dispongan las leyes. [...]</w:t>
      </w:r>
    </w:p>
    <w:p w14:paraId="10D4E32C" w14:textId="77777777" w:rsidR="00452988" w:rsidRDefault="00452988">
      <w:pPr>
        <w:spacing w:after="0"/>
        <w:ind w:left="567" w:right="560"/>
        <w:jc w:val="both"/>
        <w:rPr>
          <w:rFonts w:ascii="Palatino Linotype" w:eastAsia="Palatino Linotype" w:hAnsi="Palatino Linotype" w:cs="Palatino Linotype"/>
          <w:i/>
        </w:rPr>
      </w:pPr>
    </w:p>
    <w:p w14:paraId="521BD531"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0CE9A36"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60FEC230"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86C8A99"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70DDD48"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19EEFADC" w14:textId="77777777" w:rsidR="00452988" w:rsidRDefault="00452988">
      <w:pPr>
        <w:spacing w:after="0" w:line="360" w:lineRule="auto"/>
        <w:ind w:left="567" w:right="560"/>
        <w:jc w:val="both"/>
        <w:rPr>
          <w:rFonts w:ascii="Palatino Linotype" w:eastAsia="Palatino Linotype" w:hAnsi="Palatino Linotype" w:cs="Palatino Linotype"/>
          <w:i/>
          <w:sz w:val="24"/>
          <w:szCs w:val="24"/>
        </w:rPr>
      </w:pPr>
    </w:p>
    <w:p w14:paraId="001A8C63"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58869DD"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2D520A18"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F5A1583"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DF829FD"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346FC23A"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14:paraId="3E7AF387"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0DDD4E53" w14:textId="77777777" w:rsidR="00452988" w:rsidRDefault="004303A7">
      <w:pPr>
        <w:spacing w:after="0"/>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Criterio 03/17</w:t>
      </w:r>
    </w:p>
    <w:p w14:paraId="7E12762E"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 xml:space="preserve">“NO EXISTE OBLIGACIÓN DE ELABORAR DOCUMENTOS AD HOC PARA ATENDER LAS SOLICITUDES DE ACCESO A LA INFORMACIÓN. </w:t>
      </w:r>
      <w:r>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54CAD1C" w14:textId="77777777" w:rsidR="00452988" w:rsidRDefault="00452988">
      <w:pPr>
        <w:spacing w:after="0" w:line="360" w:lineRule="auto"/>
        <w:ind w:left="567" w:right="560"/>
        <w:jc w:val="both"/>
        <w:rPr>
          <w:rFonts w:ascii="Palatino Linotype" w:eastAsia="Palatino Linotype" w:hAnsi="Palatino Linotype" w:cs="Palatino Linotype"/>
          <w:b/>
          <w:i/>
          <w:sz w:val="24"/>
          <w:szCs w:val="24"/>
        </w:rPr>
      </w:pPr>
    </w:p>
    <w:p w14:paraId="0999E251"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F8BFA6A"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812AF2A"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2FD6C56F"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D6111BB"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6FF22E0A"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xml:space="preserve"> Para los efectos de la presente Ley se entenderá por:</w:t>
      </w:r>
    </w:p>
    <w:p w14:paraId="38DD202E"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62869F1"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775053D"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4F56C1F6"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E5BDB2D"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34F41AE6" w14:textId="77777777" w:rsidR="00452988" w:rsidRDefault="004303A7">
      <w:pPr>
        <w:spacing w:after="0"/>
        <w:ind w:left="567" w:right="560"/>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CRITERIO 0002-11</w:t>
      </w:r>
    </w:p>
    <w:p w14:paraId="13B8C352"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229EB7E"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En </w:t>
      </w:r>
      <w:proofErr w:type="gramStart"/>
      <w:r>
        <w:rPr>
          <w:rFonts w:ascii="Palatino Linotype" w:eastAsia="Palatino Linotype" w:hAnsi="Palatino Linotype" w:cs="Palatino Linotype"/>
          <w:i/>
        </w:rPr>
        <w:t>consecuencia</w:t>
      </w:r>
      <w:proofErr w:type="gramEnd"/>
      <w:r>
        <w:rPr>
          <w:rFonts w:ascii="Palatino Linotype" w:eastAsia="Palatino Linotype" w:hAnsi="Palatino Linotype" w:cs="Palatino Linotype"/>
          <w:i/>
        </w:rPr>
        <w:t xml:space="preserve"> el acceso a la información se refiere a que se cumplan cualquiera de los siguientes tres supuestos:</w:t>
      </w:r>
    </w:p>
    <w:p w14:paraId="0D3C1E4A"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1)</w:t>
      </w:r>
      <w:r>
        <w:rPr>
          <w:rFonts w:ascii="Palatino Linotype" w:eastAsia="Palatino Linotype" w:hAnsi="Palatino Linotype" w:cs="Palatino Linotype"/>
          <w:i/>
        </w:rPr>
        <w:tab/>
        <w:t xml:space="preserve">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generada por los Sujetos Obligados;</w:t>
      </w:r>
    </w:p>
    <w:p w14:paraId="5662A45E"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2)</w:t>
      </w:r>
      <w:r>
        <w:rPr>
          <w:rFonts w:ascii="Palatino Linotype" w:eastAsia="Palatino Linotype" w:hAnsi="Palatino Linotype" w:cs="Palatino Linotype"/>
          <w:i/>
        </w:rPr>
        <w:tab/>
        <w:t xml:space="preserve">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administrada por los Sujetos Obligados, y</w:t>
      </w:r>
    </w:p>
    <w:p w14:paraId="21489FCA" w14:textId="77777777" w:rsidR="00452988" w:rsidRDefault="004303A7">
      <w:pP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3)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 encuentre en posesión de los Sujetos Obligados.” </w:t>
      </w:r>
    </w:p>
    <w:p w14:paraId="7A26C299"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3C046CF4"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w:t>
      </w:r>
      <w:r>
        <w:rPr>
          <w:rFonts w:ascii="Palatino Linotype" w:eastAsia="Palatino Linotype" w:hAnsi="Palatino Linotype" w:cs="Palatino Linotype"/>
          <w:sz w:val="24"/>
          <w:szCs w:val="24"/>
        </w:rPr>
        <w:lastRenderedPageBreak/>
        <w:t>individual y cuya divulgación resulta útil para que el público comprenda las actividades que llevan a cabo los Sujetos Obligados .</w:t>
      </w:r>
    </w:p>
    <w:p w14:paraId="10D4B2C5"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4ADAF925"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las actuaciones que integran el expediente electrónico, se procede al análisis de los agravios hechos valer por el Recurrente, relativos a la negativa de entrega de la información y a la entrega o puesta a disposición de información en un formato no accesible para el solicitante, lo que actualiza las causales de procedencia previstas en las fracciones I y </w:t>
      </w:r>
      <w:proofErr w:type="gramStart"/>
      <w:r>
        <w:rPr>
          <w:rFonts w:ascii="Palatino Linotype" w:eastAsia="Palatino Linotype" w:hAnsi="Palatino Linotype" w:cs="Palatino Linotype"/>
          <w:sz w:val="24"/>
          <w:szCs w:val="24"/>
        </w:rPr>
        <w:t>IX  del</w:t>
      </w:r>
      <w:proofErr w:type="gramEnd"/>
      <w:r>
        <w:rPr>
          <w:rFonts w:ascii="Palatino Linotype" w:eastAsia="Palatino Linotype" w:hAnsi="Palatino Linotype" w:cs="Palatino Linotype"/>
          <w:sz w:val="24"/>
          <w:szCs w:val="24"/>
        </w:rPr>
        <w:t xml:space="preserve"> artículo 179 de la Ley de Transparencia y Acceso a la Información Pública del Estado de México y Municipios.</w:t>
      </w:r>
    </w:p>
    <w:p w14:paraId="4D94E884"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64A8F541"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Para ello, en principio resulta recordar que la pretensión de la parte ahora Recurrente es obtener la siguiente información: </w:t>
      </w:r>
    </w:p>
    <w:p w14:paraId="40D5AEA2"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60994588" w14:textId="77777777" w:rsidR="00452988" w:rsidRDefault="004303A7">
      <w:pPr>
        <w:numPr>
          <w:ilvl w:val="0"/>
          <w:numId w:val="3"/>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Fotografías de las 39 mascotas (25 perros y 14 gatos) rescatadas por personal de la Procuraduría de Protección al Ambiente del Estado de México, el día 16 de marzo del presente año en el domicilio ubicado en calle General Bernardo Reyes en la Colonia del Parque, Toluca, las cuales se encuentran en resguardo del Centro de Control y Bienestar Animal de Toluca. </w:t>
      </w:r>
    </w:p>
    <w:p w14:paraId="730D5396" w14:textId="77777777" w:rsidR="00452988" w:rsidRDefault="004303A7">
      <w:pPr>
        <w:numPr>
          <w:ilvl w:val="0"/>
          <w:numId w:val="3"/>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número de la carpeta de investigación con la cual se está dando seguimiento en la </w:t>
      </w:r>
      <w:proofErr w:type="gramStart"/>
      <w:r>
        <w:rPr>
          <w:rFonts w:ascii="Palatino Linotype" w:eastAsia="Palatino Linotype" w:hAnsi="Palatino Linotype" w:cs="Palatino Linotype"/>
          <w:color w:val="000000"/>
        </w:rPr>
        <w:t>Fiscalía General</w:t>
      </w:r>
      <w:proofErr w:type="gramEnd"/>
      <w:r>
        <w:rPr>
          <w:rFonts w:ascii="Palatino Linotype" w:eastAsia="Palatino Linotype" w:hAnsi="Palatino Linotype" w:cs="Palatino Linotype"/>
          <w:color w:val="000000"/>
        </w:rPr>
        <w:t xml:space="preserve"> del Estado de México, en su caso remitir la prueba de daño derivado de la imposibilidad de proporcionarlos, debido a que la información de dichas mascotas es crucial para la identificación y denuncia por parte de los dueños.</w:t>
      </w:r>
    </w:p>
    <w:p w14:paraId="614C91E2" w14:textId="77777777" w:rsidR="00452988" w:rsidRDefault="00452988">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color w:val="000000"/>
        </w:rPr>
      </w:pPr>
    </w:p>
    <w:p w14:paraId="5185769F"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Sujeto Obligado declinó parcialmente su competencia respecto a la información relacionada con el número de carpeta de investigación, precisando que, esta </w:t>
      </w:r>
      <w:r>
        <w:rPr>
          <w:rFonts w:ascii="Palatino Linotype" w:eastAsia="Palatino Linotype" w:hAnsi="Palatino Linotype" w:cs="Palatino Linotype"/>
          <w:sz w:val="24"/>
          <w:szCs w:val="24"/>
        </w:rPr>
        <w:lastRenderedPageBreak/>
        <w:t xml:space="preserve">información se encontraba en posesión de la </w:t>
      </w:r>
      <w:proofErr w:type="gramStart"/>
      <w:r>
        <w:rPr>
          <w:rFonts w:ascii="Palatino Linotype" w:eastAsia="Palatino Linotype" w:hAnsi="Palatino Linotype" w:cs="Palatino Linotype"/>
          <w:sz w:val="24"/>
          <w:szCs w:val="24"/>
        </w:rPr>
        <w:t>Fiscalía General</w:t>
      </w:r>
      <w:proofErr w:type="gramEnd"/>
      <w:r>
        <w:rPr>
          <w:rFonts w:ascii="Palatino Linotype" w:eastAsia="Palatino Linotype" w:hAnsi="Palatino Linotype" w:cs="Palatino Linotype"/>
          <w:sz w:val="24"/>
          <w:szCs w:val="24"/>
        </w:rPr>
        <w:t xml:space="preserve"> de Justicia del Estado de México. </w:t>
      </w:r>
    </w:p>
    <w:p w14:paraId="0824A4B5"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00CF594C" w14:textId="77777777" w:rsidR="00452988" w:rsidRDefault="004303A7">
      <w:pP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Posteriormente, en respuesta, </w:t>
      </w:r>
      <w:r>
        <w:rPr>
          <w:rFonts w:ascii="Palatino Linotype" w:eastAsia="Palatino Linotype" w:hAnsi="Palatino Linotype" w:cs="Palatino Linotype"/>
          <w:color w:val="000000"/>
          <w:sz w:val="24"/>
          <w:szCs w:val="24"/>
        </w:rPr>
        <w:t xml:space="preserve">la Titular de la Unidad de Transparencia, informó que la </w:t>
      </w:r>
      <w:r>
        <w:rPr>
          <w:rFonts w:ascii="Palatino Linotype" w:eastAsia="Palatino Linotype" w:hAnsi="Palatino Linotype" w:cs="Palatino Linotype"/>
          <w:b/>
          <w:color w:val="000000"/>
          <w:sz w:val="24"/>
          <w:szCs w:val="24"/>
        </w:rPr>
        <w:t>Dirección General de Medio Ambiente y Servidor Público Habilitado señaló que derivado de una búsqueda exhaustiva y razonable dentro de los archivos tanto físicos como digitales, no se cuenta con la información requerida, en virtud de que no existe precepto legal que determine su obligatoriedad, sin embargo, se proporciona la única imagen con la que se cuenta sobre dicho tema, la cual fue difundida por Comunicación Social, a través de redes sociales del Ayuntamiento</w:t>
      </w:r>
      <w:r>
        <w:rPr>
          <w:rFonts w:ascii="Palatino Linotype" w:eastAsia="Palatino Linotype" w:hAnsi="Palatino Linotype" w:cs="Palatino Linotype"/>
          <w:color w:val="000000"/>
          <w:sz w:val="24"/>
          <w:szCs w:val="24"/>
        </w:rPr>
        <w:t xml:space="preserve">, siendo esta la siguiente: </w:t>
      </w:r>
    </w:p>
    <w:p w14:paraId="2DA16C29" w14:textId="77777777" w:rsidR="00452988" w:rsidRDefault="004303A7">
      <w:pPr>
        <w:spacing w:after="0" w:line="360" w:lineRule="auto"/>
        <w:ind w:right="49"/>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drawing>
          <wp:inline distT="0" distB="0" distL="0" distR="0" wp14:anchorId="293C250F" wp14:editId="03667563">
            <wp:extent cx="3304828" cy="241396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304828" cy="2413961"/>
                    </a:xfrm>
                    <a:prstGeom prst="rect">
                      <a:avLst/>
                    </a:prstGeom>
                    <a:ln/>
                  </pic:spPr>
                </pic:pic>
              </a:graphicData>
            </a:graphic>
          </wp:inline>
        </w:drawing>
      </w:r>
    </w:p>
    <w:p w14:paraId="24BF398A" w14:textId="77777777" w:rsidR="00452988" w:rsidRDefault="004303A7">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Asimismo, el </w:t>
      </w:r>
      <w:r>
        <w:rPr>
          <w:rFonts w:ascii="Palatino Linotype" w:eastAsia="Palatino Linotype" w:hAnsi="Palatino Linotype" w:cs="Palatino Linotype"/>
          <w:b/>
          <w:color w:val="000000"/>
          <w:sz w:val="24"/>
          <w:szCs w:val="24"/>
        </w:rPr>
        <w:t xml:space="preserve">Departamento de Normatividad de la Dirección Jurídica e Inspección Ambiental </w:t>
      </w:r>
      <w:r>
        <w:rPr>
          <w:rFonts w:ascii="Palatino Linotype" w:eastAsia="Palatino Linotype" w:hAnsi="Palatino Linotype" w:cs="Palatino Linotype"/>
          <w:color w:val="000000"/>
          <w:sz w:val="24"/>
          <w:szCs w:val="24"/>
        </w:rPr>
        <w:t xml:space="preserve">informó que derivado de la búsqueda exhaustiva y razonable dentro de los archivos que obran en la dependencia, no se cuenta con la información solicitada, ya que no existe precepto legal que determine la obligatoriedad de contar con fotos de los animales que se tienen bajo resguardo del Centro de Control y Bienestar Anual, no </w:t>
      </w:r>
      <w:r>
        <w:rPr>
          <w:rFonts w:ascii="Palatino Linotype" w:eastAsia="Palatino Linotype" w:hAnsi="Palatino Linotype" w:cs="Palatino Linotype"/>
          <w:color w:val="000000"/>
          <w:sz w:val="24"/>
          <w:szCs w:val="24"/>
        </w:rPr>
        <w:lastRenderedPageBreak/>
        <w:t xml:space="preserve">obstante, proporcionó una liga electrónica de la página oficial del Ayuntamiento de Toluca, en el cual se muestra el comunicado y las imágenes con las que se cuenta sobre dicho tema </w:t>
      </w:r>
      <w:hyperlink r:id="rId10">
        <w:r>
          <w:rPr>
            <w:rFonts w:ascii="Palatino Linotype" w:eastAsia="Palatino Linotype" w:hAnsi="Palatino Linotype" w:cs="Palatino Linotype"/>
            <w:color w:val="0563C1"/>
            <w:sz w:val="24"/>
            <w:szCs w:val="24"/>
            <w:u w:val="single"/>
          </w:rPr>
          <w:t>https://www.facebook.com/H.AyuntamientoDeToluca/posts/587373450093532</w:t>
        </w:r>
      </w:hyperlink>
      <w:r>
        <w:rPr>
          <w:rFonts w:ascii="Palatino Linotype" w:eastAsia="Palatino Linotype" w:hAnsi="Palatino Linotype" w:cs="Palatino Linotype"/>
          <w:color w:val="000000"/>
          <w:sz w:val="24"/>
          <w:szCs w:val="24"/>
        </w:rPr>
        <w:t xml:space="preserve">. </w:t>
      </w:r>
    </w:p>
    <w:p w14:paraId="570F1D8A"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79ED1461"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Derivado de ello, la parte Solicitante se inconformó arguyendo que no se proporcionó la información solicitada porque la liga electrónica debió remitirse en los primeros cinco días hábiles posteriores a la presentación de la solicitud de información y el documento de respuesta no se encuentra en un formato de datos abiertos. </w:t>
      </w:r>
    </w:p>
    <w:p w14:paraId="1733BC49"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36CAF77D"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Sujeto Obligado, mediante informe justificado, medularmente ratificó su respuesta inicial y señaló que, la liga electrónica enviada fue adicional a la respuesta.  </w:t>
      </w:r>
    </w:p>
    <w:p w14:paraId="23854E61" w14:textId="77777777" w:rsidR="00452988" w:rsidRDefault="00452988">
      <w:pPr>
        <w:spacing w:after="0" w:line="360" w:lineRule="auto"/>
        <w:ind w:right="49"/>
        <w:jc w:val="both"/>
      </w:pPr>
    </w:p>
    <w:p w14:paraId="4C1C9C28" w14:textId="77777777" w:rsidR="00452988" w:rsidRDefault="004303A7">
      <w:pPr>
        <w:tabs>
          <w:tab w:val="center" w:pos="4508"/>
        </w:tabs>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Dicho lo anterior, no pasa inadvertido para este Organismo Garante señalar que del análisis realizado a los motivos de inconformidad hechos valer por la parte Recurrente, no se advierte que esta se haya inconformado por la declaración de incompetencia parcial señalada en un inicio por el Sujeto Obligado, sino únicamente porque no se le proporcionó la información de las fotografías, así como, porque la liga electrónica debió remitirse en los primeros  cinco días hábiles y el documento entregado no se encuentra en formato de datos abiertos, en ese sentido, se colige que, la parte de la respuesta que no fue impugnada debe declararse consentida, toda vez que, al no haber realizado manifestaciones de inconformidad respecto a la incompetencia aducida por el Sujeto Obligado, no pueden producirse efectos jurídicos tendentes a revocar, confirmar o modificar el acto reclamado, ya que, en el caso </w:t>
      </w:r>
      <w:r>
        <w:rPr>
          <w:rFonts w:ascii="Palatino Linotype" w:eastAsia="Palatino Linotype" w:hAnsi="Palatino Linotype" w:cs="Palatino Linotype"/>
          <w:sz w:val="24"/>
          <w:szCs w:val="24"/>
        </w:rPr>
        <w:lastRenderedPageBreak/>
        <w:t>concreto se infiere que la información proporcionada por el Sujeto Obligado, satisface la solicitud presentada.</w:t>
      </w:r>
    </w:p>
    <w:p w14:paraId="009F77DD" w14:textId="77777777" w:rsidR="00452988" w:rsidRDefault="00452988">
      <w:pPr>
        <w:tabs>
          <w:tab w:val="center" w:pos="4508"/>
        </w:tabs>
        <w:spacing w:after="0" w:line="360" w:lineRule="auto"/>
        <w:ind w:right="49"/>
        <w:jc w:val="both"/>
        <w:rPr>
          <w:rFonts w:ascii="Palatino Linotype" w:eastAsia="Palatino Linotype" w:hAnsi="Palatino Linotype" w:cs="Palatino Linotype"/>
          <w:sz w:val="24"/>
          <w:szCs w:val="24"/>
        </w:rPr>
      </w:pPr>
    </w:p>
    <w:p w14:paraId="00C5F7C9" w14:textId="77777777" w:rsidR="00452988" w:rsidRDefault="004303A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5BF8AB9" w14:textId="77777777" w:rsidR="00452988" w:rsidRDefault="00452988">
      <w:pPr>
        <w:spacing w:after="0" w:line="360" w:lineRule="auto"/>
        <w:jc w:val="both"/>
        <w:rPr>
          <w:rFonts w:ascii="Palatino Linotype" w:eastAsia="Palatino Linotype" w:hAnsi="Palatino Linotype" w:cs="Palatino Linotype"/>
        </w:rPr>
      </w:pPr>
    </w:p>
    <w:p w14:paraId="6039C317" w14:textId="77777777" w:rsidR="00452988" w:rsidRDefault="004303A7">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 xml:space="preserve">“REVISIÓN EN AMPARO. LOS RESOLUTIVOS NO COMBATIDOS DEBEN DECLARARSE FIRMES. </w:t>
      </w:r>
      <w:r>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2FE3FD2" w14:textId="77777777" w:rsidR="00452988" w:rsidRDefault="00452988">
      <w:pPr>
        <w:spacing w:after="0" w:line="360" w:lineRule="auto"/>
        <w:jc w:val="both"/>
        <w:rPr>
          <w:rFonts w:ascii="Palatino Linotype" w:eastAsia="Palatino Linotype" w:hAnsi="Palatino Linotype" w:cs="Palatino Linotype"/>
        </w:rPr>
      </w:pPr>
      <w:bookmarkStart w:id="2" w:name="_heading=h.3znysh7" w:colFirst="0" w:colLast="0"/>
      <w:bookmarkEnd w:id="2"/>
    </w:p>
    <w:p w14:paraId="0EE31570" w14:textId="77777777" w:rsidR="00452988" w:rsidRDefault="004303A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Consecuentemente, se insiste, ante la falta de impugnación eficaz, la respuesta entregada debe declararse consentida por persona solicitante.</w:t>
      </w:r>
    </w:p>
    <w:p w14:paraId="38BA1B5E" w14:textId="77777777" w:rsidR="00452988" w:rsidRDefault="004303A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b/>
      </w:r>
    </w:p>
    <w:p w14:paraId="56B8A908" w14:textId="77777777" w:rsidR="00452988" w:rsidRDefault="004303A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Lo anterior se sustenta con lo plasmado en el criterio 01/20 emitido por el Instituto Nacional de Transparencia, Acceso a la Información, y Protección de Datos Personales, INAI, que lleva por rubro y texto los siguientes: </w:t>
      </w:r>
    </w:p>
    <w:p w14:paraId="0539877A" w14:textId="77777777" w:rsidR="00452988" w:rsidRDefault="00452988">
      <w:pPr>
        <w:spacing w:after="0" w:line="360" w:lineRule="auto"/>
        <w:jc w:val="both"/>
        <w:rPr>
          <w:rFonts w:ascii="Palatino Linotype" w:eastAsia="Palatino Linotype" w:hAnsi="Palatino Linotype" w:cs="Palatino Linotype"/>
        </w:rPr>
      </w:pPr>
    </w:p>
    <w:p w14:paraId="0B0F188F" w14:textId="77777777" w:rsidR="00452988" w:rsidRDefault="004303A7">
      <w:pPr>
        <w:pBdr>
          <w:top w:val="nil"/>
          <w:left w:val="nil"/>
          <w:bottom w:val="nil"/>
          <w:right w:val="nil"/>
          <w:between w:val="nil"/>
        </w:pBdr>
        <w:spacing w:after="0"/>
        <w:ind w:left="567"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w:t>
      </w:r>
      <w:r>
        <w:rPr>
          <w:rFonts w:ascii="Palatino Linotype" w:eastAsia="Palatino Linotype" w:hAnsi="Palatino Linotype" w:cs="Palatino Linotype"/>
          <w:b/>
          <w:i/>
          <w:color w:val="000000"/>
        </w:rPr>
        <w:t xml:space="preserve">Actos consentidos tácitamente. Improcedencia de su análisis. </w:t>
      </w:r>
      <w:r>
        <w:rPr>
          <w:rFonts w:ascii="Palatino Linotype" w:eastAsia="Palatino Linotype" w:hAnsi="Palatino Linotype" w:cs="Palatino Linotype"/>
          <w:i/>
          <w:color w:val="00000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D2DD321" w14:textId="77777777" w:rsidR="00452988" w:rsidRDefault="00452988">
      <w:pPr>
        <w:pBdr>
          <w:top w:val="nil"/>
          <w:left w:val="nil"/>
          <w:bottom w:val="nil"/>
          <w:right w:val="nil"/>
          <w:between w:val="nil"/>
        </w:pBdr>
        <w:spacing w:after="0"/>
        <w:ind w:left="567" w:right="902"/>
        <w:jc w:val="both"/>
        <w:rPr>
          <w:rFonts w:ascii="Palatino Linotype" w:eastAsia="Palatino Linotype" w:hAnsi="Palatino Linotype" w:cs="Palatino Linotype"/>
          <w:i/>
          <w:color w:val="000000"/>
          <w:sz w:val="24"/>
          <w:szCs w:val="24"/>
        </w:rPr>
      </w:pPr>
    </w:p>
    <w:p w14:paraId="42098722" w14:textId="77777777" w:rsidR="00452988" w:rsidRDefault="004303A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 resulta aplicable por analogía la tesis jurisprudencial número VI.3o.C. J/60, publicada en el Semanario Judicial de la Federación y su Gaceta bajo el número de registro 176,608 que a la letra dice:</w:t>
      </w:r>
    </w:p>
    <w:p w14:paraId="0291FDA5" w14:textId="77777777" w:rsidR="00452988" w:rsidRDefault="00452988">
      <w:pPr>
        <w:spacing w:after="0" w:line="360" w:lineRule="auto"/>
        <w:ind w:left="851" w:right="900"/>
        <w:jc w:val="both"/>
        <w:rPr>
          <w:rFonts w:ascii="Palatino Linotype" w:eastAsia="Palatino Linotype" w:hAnsi="Palatino Linotype" w:cs="Palatino Linotype"/>
          <w:b/>
          <w:i/>
          <w:smallCaps/>
          <w:highlight w:val="yellow"/>
        </w:rPr>
      </w:pPr>
    </w:p>
    <w:p w14:paraId="35BC51B3" w14:textId="77777777" w:rsidR="00452988" w:rsidRDefault="004303A7">
      <w:pPr>
        <w:tabs>
          <w:tab w:val="left" w:pos="851"/>
          <w:tab w:val="left" w:pos="1276"/>
        </w:tabs>
        <w:spacing w:after="0"/>
        <w:ind w:left="567" w:right="709"/>
        <w:jc w:val="both"/>
        <w:rPr>
          <w:rFonts w:ascii="Palatino Linotype" w:eastAsia="Palatino Linotype" w:hAnsi="Palatino Linotype" w:cs="Palatino Linotype"/>
          <w:color w:val="000000"/>
        </w:rPr>
      </w:pPr>
      <w:r>
        <w:rPr>
          <w:rFonts w:ascii="Palatino Linotype" w:eastAsia="Palatino Linotype" w:hAnsi="Palatino Linotype" w:cs="Palatino Linotype"/>
          <w:b/>
          <w:i/>
          <w:smallCaps/>
        </w:rPr>
        <w:t xml:space="preserve">“ACTOS CONSENTIDOS. SON LOS QUE NO SE IMPUGNAN MEDIANTE EL RECURSO IDÓNEO. </w:t>
      </w:r>
      <w:r>
        <w:rPr>
          <w:rFonts w:ascii="Palatino Linotype" w:eastAsia="Palatino Linotype" w:hAnsi="Palatino Linotype" w:cs="Palatino Linotype"/>
          <w:i/>
        </w:rPr>
        <w:t xml:space="preserve">Debe reputarse como consentido el acto que no se impugnó por el medio establecido por la ley, </w:t>
      </w:r>
      <w:proofErr w:type="gramStart"/>
      <w:r>
        <w:rPr>
          <w:rFonts w:ascii="Palatino Linotype" w:eastAsia="Palatino Linotype" w:hAnsi="Palatino Linotype" w:cs="Palatino Linotype"/>
          <w:i/>
        </w:rPr>
        <w:t>ya que</w:t>
      </w:r>
      <w:proofErr w:type="gramEnd"/>
      <w:r>
        <w:rPr>
          <w:rFonts w:ascii="Palatino Linotype" w:eastAsia="Palatino Linotype" w:hAnsi="Palatino Linotype" w:cs="Palatino Linotype"/>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49700B2" w14:textId="77777777" w:rsidR="00452988" w:rsidRDefault="0045298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p>
    <w:p w14:paraId="00026DC8" w14:textId="77777777" w:rsidR="00452988" w:rsidRDefault="004303A7">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Dicho lo anterior, se procede al análisis de la falta de entrega de las fotografías, el incumplimiento de los plazos previstos por la Ley en la materia para proporcionar la liga electrónica y la falta de respuesta en un formato de datos abiertos, al tenor de lo siguiente: </w:t>
      </w:r>
    </w:p>
    <w:p w14:paraId="783A3F36" w14:textId="77777777" w:rsidR="00452988" w:rsidRDefault="0045298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6D97E53D" w14:textId="77777777" w:rsidR="00452988" w:rsidRDefault="004303A7">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conformidad con el Bando Municipal de Toluca, el Ayuntamiento a través de las dependencias y organismos municipales tendrá a su cargo la planeación, implementación, administración, organización, evaluación y modificación de los servicios públicos municipales, en ese sentido, se tienen que son servicios públicos que presta el municipio, los siguientes: </w:t>
      </w:r>
    </w:p>
    <w:p w14:paraId="77424F11" w14:textId="77777777" w:rsidR="00452988" w:rsidRDefault="0045298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45E02D65" w14:textId="77777777" w:rsidR="00452988" w:rsidRDefault="004303A7">
      <w:pPr>
        <w:pBdr>
          <w:top w:val="nil"/>
          <w:left w:val="nil"/>
          <w:bottom w:val="nil"/>
          <w:right w:val="nil"/>
          <w:between w:val="nil"/>
        </w:pBdr>
        <w:spacing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44</w:t>
      </w:r>
      <w:r>
        <w:rPr>
          <w:rFonts w:ascii="Palatino Linotype" w:eastAsia="Palatino Linotype" w:hAnsi="Palatino Linotype" w:cs="Palatino Linotype"/>
          <w:i/>
        </w:rPr>
        <w:t xml:space="preserve">. Son servicios públicos que presta el municipio los siguientes: </w:t>
      </w:r>
    </w:p>
    <w:p w14:paraId="443A5D06" w14:textId="77777777" w:rsidR="00452988" w:rsidRDefault="004303A7">
      <w:pPr>
        <w:numPr>
          <w:ilvl w:val="0"/>
          <w:numId w:val="2"/>
        </w:numPr>
        <w:pBdr>
          <w:top w:val="nil"/>
          <w:left w:val="nil"/>
          <w:bottom w:val="nil"/>
          <w:right w:val="nil"/>
          <w:between w:val="nil"/>
        </w:pBdr>
        <w:spacing w:after="0"/>
        <w:ind w:right="56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rPr>
        <w:lastRenderedPageBreak/>
        <w:t xml:space="preserve">Agua potable, drenaje, alcantarillado y tratamiento de aguas residuales; </w:t>
      </w:r>
    </w:p>
    <w:p w14:paraId="0E0F8726" w14:textId="77777777" w:rsidR="00452988" w:rsidRDefault="004303A7">
      <w:pPr>
        <w:numPr>
          <w:ilvl w:val="0"/>
          <w:numId w:val="2"/>
        </w:numPr>
        <w:pBdr>
          <w:top w:val="nil"/>
          <w:left w:val="nil"/>
          <w:bottom w:val="nil"/>
          <w:right w:val="nil"/>
          <w:between w:val="nil"/>
        </w:pBdr>
        <w:spacing w:after="0"/>
        <w:ind w:right="56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rPr>
        <w:t xml:space="preserve">Alumbrado público; </w:t>
      </w:r>
    </w:p>
    <w:p w14:paraId="04C079BA" w14:textId="77777777" w:rsidR="00452988" w:rsidRDefault="004303A7">
      <w:pPr>
        <w:numPr>
          <w:ilvl w:val="0"/>
          <w:numId w:val="2"/>
        </w:numPr>
        <w:pBdr>
          <w:top w:val="nil"/>
          <w:left w:val="nil"/>
          <w:bottom w:val="nil"/>
          <w:right w:val="nil"/>
          <w:between w:val="nil"/>
        </w:pBdr>
        <w:spacing w:after="0"/>
        <w:ind w:right="56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rPr>
        <w:t xml:space="preserve">Limpia y tratamiento integral de residuos sólidos; </w:t>
      </w:r>
    </w:p>
    <w:p w14:paraId="670A7B88" w14:textId="77777777" w:rsidR="00452988" w:rsidRDefault="004303A7">
      <w:pPr>
        <w:numPr>
          <w:ilvl w:val="0"/>
          <w:numId w:val="2"/>
        </w:numPr>
        <w:pBdr>
          <w:top w:val="nil"/>
          <w:left w:val="nil"/>
          <w:bottom w:val="nil"/>
          <w:right w:val="nil"/>
          <w:between w:val="nil"/>
        </w:pBdr>
        <w:spacing w:after="0"/>
        <w:ind w:right="56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rPr>
        <w:t xml:space="preserve">Mercados y centrales de abastos; </w:t>
      </w:r>
    </w:p>
    <w:p w14:paraId="1831FBA2" w14:textId="77777777" w:rsidR="00452988" w:rsidRDefault="004303A7">
      <w:pPr>
        <w:numPr>
          <w:ilvl w:val="0"/>
          <w:numId w:val="2"/>
        </w:numPr>
        <w:pBdr>
          <w:top w:val="nil"/>
          <w:left w:val="nil"/>
          <w:bottom w:val="nil"/>
          <w:right w:val="nil"/>
          <w:between w:val="nil"/>
        </w:pBdr>
        <w:spacing w:after="0"/>
        <w:ind w:right="56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rPr>
        <w:t xml:space="preserve">Panteones municipales; </w:t>
      </w:r>
    </w:p>
    <w:p w14:paraId="508F268E" w14:textId="77777777" w:rsidR="00452988" w:rsidRDefault="004303A7">
      <w:pPr>
        <w:numPr>
          <w:ilvl w:val="0"/>
          <w:numId w:val="2"/>
        </w:numPr>
        <w:pBdr>
          <w:top w:val="nil"/>
          <w:left w:val="nil"/>
          <w:bottom w:val="nil"/>
          <w:right w:val="nil"/>
          <w:between w:val="nil"/>
        </w:pBdr>
        <w:spacing w:after="0"/>
        <w:ind w:right="56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rPr>
        <w:t xml:space="preserve">Rastro; </w:t>
      </w:r>
    </w:p>
    <w:p w14:paraId="1EC6F1FA" w14:textId="77777777" w:rsidR="00452988" w:rsidRDefault="004303A7">
      <w:pPr>
        <w:numPr>
          <w:ilvl w:val="0"/>
          <w:numId w:val="2"/>
        </w:numPr>
        <w:pBdr>
          <w:top w:val="nil"/>
          <w:left w:val="nil"/>
          <w:bottom w:val="nil"/>
          <w:right w:val="nil"/>
          <w:between w:val="nil"/>
        </w:pBdr>
        <w:spacing w:after="0"/>
        <w:ind w:right="56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rPr>
        <w:t xml:space="preserve">Parques y jardines; </w:t>
      </w:r>
    </w:p>
    <w:p w14:paraId="513DB5DF" w14:textId="77777777" w:rsidR="00452988" w:rsidRDefault="004303A7">
      <w:pPr>
        <w:numPr>
          <w:ilvl w:val="0"/>
          <w:numId w:val="2"/>
        </w:numPr>
        <w:pBdr>
          <w:top w:val="nil"/>
          <w:left w:val="nil"/>
          <w:bottom w:val="nil"/>
          <w:right w:val="nil"/>
          <w:between w:val="nil"/>
        </w:pBdr>
        <w:spacing w:after="0"/>
        <w:ind w:right="56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rPr>
        <w:t xml:space="preserve">Seguridad pública y vial; </w:t>
      </w:r>
    </w:p>
    <w:p w14:paraId="477712BD" w14:textId="77777777" w:rsidR="00452988" w:rsidRDefault="004303A7">
      <w:pPr>
        <w:numPr>
          <w:ilvl w:val="0"/>
          <w:numId w:val="2"/>
        </w:numPr>
        <w:pBdr>
          <w:top w:val="nil"/>
          <w:left w:val="nil"/>
          <w:bottom w:val="nil"/>
          <w:right w:val="nil"/>
          <w:between w:val="nil"/>
        </w:pBdr>
        <w:spacing w:after="0"/>
        <w:ind w:right="56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rPr>
        <w:t xml:space="preserve">Protección civil y bomberos; </w:t>
      </w:r>
    </w:p>
    <w:p w14:paraId="3E16B7A0" w14:textId="77777777" w:rsidR="00452988" w:rsidRDefault="004303A7">
      <w:pPr>
        <w:numPr>
          <w:ilvl w:val="0"/>
          <w:numId w:val="2"/>
        </w:numPr>
        <w:pBdr>
          <w:top w:val="nil"/>
          <w:left w:val="nil"/>
          <w:bottom w:val="nil"/>
          <w:right w:val="nil"/>
          <w:between w:val="nil"/>
        </w:pBdr>
        <w:spacing w:after="0"/>
        <w:ind w:right="56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rPr>
        <w:t xml:space="preserve">Estacionamientos y </w:t>
      </w:r>
      <w:proofErr w:type="spellStart"/>
      <w:r>
        <w:rPr>
          <w:rFonts w:ascii="Palatino Linotype" w:eastAsia="Palatino Linotype" w:hAnsi="Palatino Linotype" w:cs="Palatino Linotype"/>
          <w:i/>
          <w:color w:val="000000"/>
        </w:rPr>
        <w:t>estacionómetros</w:t>
      </w:r>
      <w:proofErr w:type="spellEnd"/>
      <w:r>
        <w:rPr>
          <w:rFonts w:ascii="Palatino Linotype" w:eastAsia="Palatino Linotype" w:hAnsi="Palatino Linotype" w:cs="Palatino Linotype"/>
          <w:i/>
          <w:color w:val="000000"/>
        </w:rPr>
        <w:t xml:space="preserve">; </w:t>
      </w:r>
    </w:p>
    <w:p w14:paraId="088F3C3C" w14:textId="77777777" w:rsidR="00452988" w:rsidRDefault="004303A7">
      <w:pPr>
        <w:numPr>
          <w:ilvl w:val="0"/>
          <w:numId w:val="2"/>
        </w:numPr>
        <w:pBdr>
          <w:top w:val="nil"/>
          <w:left w:val="nil"/>
          <w:bottom w:val="nil"/>
          <w:right w:val="nil"/>
          <w:between w:val="nil"/>
        </w:pBdr>
        <w:spacing w:after="0"/>
        <w:ind w:right="560"/>
        <w:jc w:val="both"/>
        <w:rPr>
          <w:rFonts w:ascii="Palatino Linotype" w:eastAsia="Palatino Linotype" w:hAnsi="Palatino Linotype" w:cs="Palatino Linotype"/>
          <w:b/>
          <w:i/>
          <w:color w:val="000000"/>
          <w:sz w:val="24"/>
          <w:szCs w:val="24"/>
          <w:u w:val="single"/>
        </w:rPr>
      </w:pPr>
      <w:r>
        <w:rPr>
          <w:rFonts w:ascii="Palatino Linotype" w:eastAsia="Palatino Linotype" w:hAnsi="Palatino Linotype" w:cs="Palatino Linotype"/>
          <w:b/>
          <w:i/>
          <w:color w:val="000000"/>
          <w:u w:val="single"/>
        </w:rPr>
        <w:t xml:space="preserve">Control y Bienestar Animal; </w:t>
      </w:r>
    </w:p>
    <w:p w14:paraId="7A068BBB" w14:textId="77777777" w:rsidR="00452988" w:rsidRDefault="004303A7">
      <w:pPr>
        <w:numPr>
          <w:ilvl w:val="0"/>
          <w:numId w:val="2"/>
        </w:numPr>
        <w:pBdr>
          <w:top w:val="nil"/>
          <w:left w:val="nil"/>
          <w:bottom w:val="nil"/>
          <w:right w:val="nil"/>
          <w:between w:val="nil"/>
        </w:pBdr>
        <w:spacing w:after="0"/>
        <w:ind w:right="56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rPr>
        <w:t xml:space="preserve">Sistema de Bicicleta Pública; y </w:t>
      </w:r>
    </w:p>
    <w:p w14:paraId="682B7F24" w14:textId="77777777" w:rsidR="00452988" w:rsidRDefault="004303A7">
      <w:pPr>
        <w:numPr>
          <w:ilvl w:val="0"/>
          <w:numId w:val="2"/>
        </w:numPr>
        <w:pBdr>
          <w:top w:val="nil"/>
          <w:left w:val="nil"/>
          <w:bottom w:val="nil"/>
          <w:right w:val="nil"/>
          <w:between w:val="nil"/>
        </w:pBdr>
        <w:spacing w:after="0"/>
        <w:ind w:right="56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rPr>
        <w:t>Los demás que le confiera la ley</w:t>
      </w:r>
    </w:p>
    <w:p w14:paraId="67B96BCE" w14:textId="77777777" w:rsidR="00452988" w:rsidRDefault="0045298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p>
    <w:p w14:paraId="4F69B4F9" w14:textId="77777777" w:rsidR="00452988" w:rsidRDefault="004303A7">
      <w:pPr>
        <w:tabs>
          <w:tab w:val="center" w:pos="4508"/>
        </w:tabs>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Asimismo, de acuerdo con el Código Reglamentario Municipal de Toluca, se establece en su artículo 7.24 lo siguiente: </w:t>
      </w:r>
    </w:p>
    <w:p w14:paraId="255086F4" w14:textId="77777777" w:rsidR="00452988" w:rsidRDefault="00452988">
      <w:pPr>
        <w:tabs>
          <w:tab w:val="center" w:pos="4508"/>
        </w:tabs>
        <w:spacing w:after="0" w:line="360" w:lineRule="auto"/>
        <w:ind w:right="49"/>
        <w:jc w:val="both"/>
        <w:rPr>
          <w:rFonts w:ascii="Palatino Linotype" w:eastAsia="Palatino Linotype" w:hAnsi="Palatino Linotype" w:cs="Palatino Linotype"/>
          <w:sz w:val="24"/>
          <w:szCs w:val="24"/>
        </w:rPr>
      </w:pPr>
    </w:p>
    <w:p w14:paraId="1D5617F5" w14:textId="77777777" w:rsidR="00452988" w:rsidRDefault="004303A7">
      <w:pPr>
        <w:tabs>
          <w:tab w:val="center" w:pos="4508"/>
        </w:tabs>
        <w:spacing w:after="0"/>
        <w:ind w:left="567" w:right="843"/>
        <w:jc w:val="both"/>
        <w:rPr>
          <w:rFonts w:ascii="Palatino Linotype" w:eastAsia="Palatino Linotype" w:hAnsi="Palatino Linotype" w:cs="Palatino Linotype"/>
          <w:i/>
        </w:rPr>
      </w:pPr>
      <w:r>
        <w:rPr>
          <w:rFonts w:ascii="Palatino Linotype" w:eastAsia="Palatino Linotype" w:hAnsi="Palatino Linotype" w:cs="Palatino Linotype"/>
          <w:b/>
          <w:i/>
        </w:rPr>
        <w:t>Artículo 7.24.</w:t>
      </w:r>
      <w:r>
        <w:rPr>
          <w:rFonts w:ascii="Palatino Linotype" w:eastAsia="Palatino Linotype" w:hAnsi="Palatino Linotype" w:cs="Palatino Linotype"/>
          <w:i/>
        </w:rPr>
        <w:t xml:space="preserve"> El Centro dependerá de la Dirección General de Medio Ambiente y tendrá las siguientes atribuciones:</w:t>
      </w:r>
    </w:p>
    <w:p w14:paraId="0AE1D944" w14:textId="77777777" w:rsidR="00452988" w:rsidRDefault="004303A7">
      <w:pPr>
        <w:tabs>
          <w:tab w:val="center" w:pos="4508"/>
        </w:tabs>
        <w:spacing w:after="0"/>
        <w:ind w:left="567" w:right="843"/>
        <w:jc w:val="both"/>
        <w:rPr>
          <w:rFonts w:ascii="Palatino Linotype" w:eastAsia="Palatino Linotype" w:hAnsi="Palatino Linotype" w:cs="Palatino Linotype"/>
          <w:i/>
        </w:rPr>
      </w:pPr>
      <w:r>
        <w:rPr>
          <w:rFonts w:ascii="Palatino Linotype" w:eastAsia="Palatino Linotype" w:hAnsi="Palatino Linotype" w:cs="Palatino Linotype"/>
          <w:i/>
        </w:rPr>
        <w:t xml:space="preserve">I. Coadyuvar con la población en la promoción de la cultura de dueños responsables, que propicie cambios en beneficio del cuidado y posesión de perros y gatos; </w:t>
      </w:r>
    </w:p>
    <w:p w14:paraId="1558AF37" w14:textId="77777777" w:rsidR="00452988" w:rsidRDefault="004303A7">
      <w:pPr>
        <w:tabs>
          <w:tab w:val="center" w:pos="4508"/>
        </w:tabs>
        <w:spacing w:after="0"/>
        <w:ind w:left="567" w:right="843"/>
        <w:jc w:val="both"/>
        <w:rPr>
          <w:rFonts w:ascii="Palatino Linotype" w:eastAsia="Palatino Linotype" w:hAnsi="Palatino Linotype" w:cs="Palatino Linotype"/>
          <w:i/>
        </w:rPr>
      </w:pPr>
      <w:r>
        <w:rPr>
          <w:rFonts w:ascii="Palatino Linotype" w:eastAsia="Palatino Linotype" w:hAnsi="Palatino Linotype" w:cs="Palatino Linotype"/>
          <w:i/>
        </w:rPr>
        <w:t xml:space="preserve">II. Cumplir con las especificaciones sanitarias para prevenir enfermedades zoonóticas; III. Proporcionar vacunación antirrábica y esterilización quirúrgica en forma permanente, sistemática, extensiva y de calidad, observación clínica de animales agresores o sospechosos de rabia, toma de muestra de animales sospechosos para diagnóstico de laboratorio, eutanasia de perros y gatos agresivos que no puedan ser resocializados, cuando representen un peligro para la salud pública, o cuando tengan una enfermedad grave que no pueda ser tratada o con el fin de que éstos dejen de sufrir por lesiones o enfermedades graves e incurables, así como brindar información de primer contacto con personas agredidas, para su remisión a las unidades de salud; </w:t>
      </w:r>
    </w:p>
    <w:p w14:paraId="06469C96" w14:textId="77777777" w:rsidR="00452988" w:rsidRDefault="004303A7">
      <w:pPr>
        <w:tabs>
          <w:tab w:val="center" w:pos="4508"/>
        </w:tabs>
        <w:spacing w:after="0"/>
        <w:ind w:left="567" w:right="843"/>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IV. Capturar animales abandonados y en situación de calle bajo denuncia ciudadana, cuando representen un riesgo para la salud y seguridad pública o </w:t>
      </w:r>
      <w:r>
        <w:rPr>
          <w:rFonts w:ascii="Palatino Linotype" w:eastAsia="Palatino Linotype" w:hAnsi="Palatino Linotype" w:cs="Palatino Linotype"/>
          <w:b/>
          <w:i/>
        </w:rPr>
        <w:lastRenderedPageBreak/>
        <w:t xml:space="preserve">cuando se encuentren comprometidos la salud o el bienestar del animal, así como determinar el destino de estos, conforme a la Norma Oficial Mexicana 042-SSA2- 2006, o bien, las disposiciones que mejor beneficien el bienestar de los animales; </w:t>
      </w:r>
    </w:p>
    <w:p w14:paraId="5DF1E488" w14:textId="77777777" w:rsidR="00452988" w:rsidRDefault="004303A7">
      <w:pPr>
        <w:tabs>
          <w:tab w:val="center" w:pos="4508"/>
        </w:tabs>
        <w:spacing w:after="0"/>
        <w:ind w:left="567" w:right="843"/>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V. Coadyuvar en la atención a reportes relacionados al maltrato animal o que representen un riesgo a la salud humana; </w:t>
      </w:r>
    </w:p>
    <w:p w14:paraId="23D91E88" w14:textId="77777777" w:rsidR="00452988" w:rsidRDefault="004303A7">
      <w:pPr>
        <w:tabs>
          <w:tab w:val="center" w:pos="4508"/>
        </w:tabs>
        <w:spacing w:after="0"/>
        <w:ind w:left="567" w:right="843"/>
        <w:jc w:val="both"/>
        <w:rPr>
          <w:rFonts w:ascii="Palatino Linotype" w:eastAsia="Palatino Linotype" w:hAnsi="Palatino Linotype" w:cs="Palatino Linotype"/>
          <w:i/>
        </w:rPr>
      </w:pPr>
      <w:r>
        <w:rPr>
          <w:rFonts w:ascii="Palatino Linotype" w:eastAsia="Palatino Linotype" w:hAnsi="Palatino Linotype" w:cs="Palatino Linotype"/>
          <w:i/>
        </w:rPr>
        <w:t xml:space="preserve">VI. Solicitar a las y los propietarios o poseedores de animales agresores o sospechosos de rabia, que los presenten para su observación clínica-veterinaria, en el Centro o de forma particular por las y los veterinarios autorizados por éste; </w:t>
      </w:r>
    </w:p>
    <w:p w14:paraId="5B751B2D" w14:textId="77777777" w:rsidR="00452988" w:rsidRDefault="004303A7">
      <w:pPr>
        <w:tabs>
          <w:tab w:val="center" w:pos="4508"/>
        </w:tabs>
        <w:spacing w:after="0"/>
        <w:ind w:left="567" w:right="843"/>
        <w:jc w:val="both"/>
        <w:rPr>
          <w:rFonts w:ascii="Palatino Linotype" w:eastAsia="Palatino Linotype" w:hAnsi="Palatino Linotype" w:cs="Palatino Linotype"/>
          <w:i/>
        </w:rPr>
      </w:pPr>
      <w:r>
        <w:rPr>
          <w:rFonts w:ascii="Palatino Linotype" w:eastAsia="Palatino Linotype" w:hAnsi="Palatino Linotype" w:cs="Palatino Linotype"/>
          <w:i/>
        </w:rPr>
        <w:t xml:space="preserve">VII. Celebrar convenios de concertación con personas físicas y jurídico colectivas legalmente constituidas; </w:t>
      </w:r>
    </w:p>
    <w:p w14:paraId="36A06A09" w14:textId="77777777" w:rsidR="00452988" w:rsidRDefault="004303A7">
      <w:pPr>
        <w:tabs>
          <w:tab w:val="center" w:pos="4508"/>
        </w:tabs>
        <w:spacing w:after="0"/>
        <w:ind w:left="567" w:right="843"/>
        <w:jc w:val="both"/>
        <w:rPr>
          <w:rFonts w:ascii="Palatino Linotype" w:eastAsia="Palatino Linotype" w:hAnsi="Palatino Linotype" w:cs="Palatino Linotype"/>
          <w:i/>
        </w:rPr>
      </w:pPr>
      <w:r>
        <w:rPr>
          <w:rFonts w:ascii="Palatino Linotype" w:eastAsia="Palatino Linotype" w:hAnsi="Palatino Linotype" w:cs="Palatino Linotype"/>
          <w:i/>
        </w:rPr>
        <w:t>VIII. Aplicar eutanasia a través de sobredosis de barbitúricos, previa tranquilización o sedación, a los perros y gatos sujetos a su disposición, cuando representen un riesgo para la salud y seguridad pública, o cuando tengan un padecimiento grave que no pueda ser tratado y que comprometa su salud y bienestar, de acuerdo a la normatividad correspondiente;</w:t>
      </w:r>
    </w:p>
    <w:p w14:paraId="4310A932" w14:textId="77777777" w:rsidR="00452988" w:rsidRDefault="004303A7">
      <w:pPr>
        <w:tabs>
          <w:tab w:val="center" w:pos="4508"/>
        </w:tabs>
        <w:spacing w:after="0"/>
        <w:ind w:left="567" w:right="843"/>
        <w:jc w:val="both"/>
        <w:rPr>
          <w:rFonts w:ascii="Palatino Linotype" w:eastAsia="Palatino Linotype" w:hAnsi="Palatino Linotype" w:cs="Palatino Linotype"/>
          <w:i/>
        </w:rPr>
      </w:pPr>
      <w:r>
        <w:rPr>
          <w:rFonts w:ascii="Palatino Linotype" w:eastAsia="Palatino Linotype" w:hAnsi="Palatino Linotype" w:cs="Palatino Linotype"/>
          <w:i/>
        </w:rPr>
        <w:t xml:space="preserve"> IX. Determinar la disposición final de perros y gatos muertos en la vía pública; y todos aquellos a disposición del Centro; y </w:t>
      </w:r>
    </w:p>
    <w:p w14:paraId="7137B967" w14:textId="77777777" w:rsidR="00452988" w:rsidRDefault="004303A7">
      <w:pPr>
        <w:tabs>
          <w:tab w:val="center" w:pos="4508"/>
        </w:tabs>
        <w:spacing w:after="0"/>
        <w:ind w:left="567" w:right="843"/>
        <w:jc w:val="both"/>
        <w:rPr>
          <w:rFonts w:ascii="Palatino Linotype" w:eastAsia="Palatino Linotype" w:hAnsi="Palatino Linotype" w:cs="Palatino Linotype"/>
          <w:i/>
          <w:sz w:val="24"/>
          <w:szCs w:val="24"/>
        </w:rPr>
      </w:pPr>
      <w:r>
        <w:rPr>
          <w:rFonts w:ascii="Palatino Linotype" w:eastAsia="Palatino Linotype" w:hAnsi="Palatino Linotype" w:cs="Palatino Linotype"/>
          <w:i/>
        </w:rPr>
        <w:t>X. Las demás que le asignen otras disposiciones.</w:t>
      </w:r>
    </w:p>
    <w:p w14:paraId="01D0A73F"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3CACD50F"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 se puede apreciar que la unidad administrativa cuyas atribuciones </w:t>
      </w:r>
      <w:proofErr w:type="gramStart"/>
      <w:r>
        <w:rPr>
          <w:rFonts w:ascii="Palatino Linotype" w:eastAsia="Palatino Linotype" w:hAnsi="Palatino Linotype" w:cs="Palatino Linotype"/>
          <w:sz w:val="24"/>
          <w:szCs w:val="24"/>
        </w:rPr>
        <w:t>guardan  relación</w:t>
      </w:r>
      <w:proofErr w:type="gramEnd"/>
      <w:r>
        <w:rPr>
          <w:rFonts w:ascii="Palatino Linotype" w:eastAsia="Palatino Linotype" w:hAnsi="Palatino Linotype" w:cs="Palatino Linotype"/>
          <w:sz w:val="24"/>
          <w:szCs w:val="24"/>
        </w:rPr>
        <w:t xml:space="preserve"> con lo solicitado, es el Centro Municipal de Control y Bienestar Animal, la cual es dependiente de la Dirección General de Medio Ambiente y, asimismo, </w:t>
      </w:r>
      <w:r>
        <w:rPr>
          <w:rFonts w:ascii="Palatino Linotype" w:eastAsia="Palatino Linotype" w:hAnsi="Palatino Linotype" w:cs="Palatino Linotype"/>
          <w:b/>
          <w:sz w:val="24"/>
          <w:szCs w:val="24"/>
          <w:u w:val="single"/>
        </w:rPr>
        <w:t>se puede advertir que no existe precepto normativo que establezca que esta dependencia deba administrar fotografías respecto a los animales rescatados que se encuentran bajo su resguardo.</w:t>
      </w:r>
      <w:r>
        <w:rPr>
          <w:rFonts w:ascii="Palatino Linotype" w:eastAsia="Palatino Linotype" w:hAnsi="Palatino Linotype" w:cs="Palatino Linotype"/>
          <w:sz w:val="24"/>
          <w:szCs w:val="24"/>
        </w:rPr>
        <w:t xml:space="preserve"> </w:t>
      </w:r>
    </w:p>
    <w:p w14:paraId="4D766AA1"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52E58C96"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en atención a los agravios hechos valer por la parte Recurrente, relacionados con la falta de entrega de las fotografías de los animales resguardados en el Centro de Control y Bienestar, es de mencionar que, tal como se advirtió, </w:t>
      </w:r>
      <w:r>
        <w:rPr>
          <w:rFonts w:ascii="Palatino Linotype" w:eastAsia="Palatino Linotype" w:hAnsi="Palatino Linotype" w:cs="Palatino Linotype"/>
          <w:b/>
          <w:sz w:val="24"/>
          <w:szCs w:val="24"/>
        </w:rPr>
        <w:t xml:space="preserve">no </w:t>
      </w:r>
      <w:r>
        <w:rPr>
          <w:rFonts w:ascii="Palatino Linotype" w:eastAsia="Palatino Linotype" w:hAnsi="Palatino Linotype" w:cs="Palatino Linotype"/>
          <w:b/>
          <w:sz w:val="24"/>
          <w:szCs w:val="24"/>
        </w:rPr>
        <w:lastRenderedPageBreak/>
        <w:t>existe precepto normativo que constriña al Sujeto Obligado de contar con dichos soportes documentales</w:t>
      </w:r>
      <w:r>
        <w:rPr>
          <w:rFonts w:ascii="Palatino Linotype" w:eastAsia="Palatino Linotype" w:hAnsi="Palatino Linotype" w:cs="Palatino Linotype"/>
          <w:sz w:val="24"/>
          <w:szCs w:val="24"/>
        </w:rPr>
        <w:t xml:space="preserve">, tal como fue señalado en respuesta, sin embargo, en ejercicio del principio de máxima publicidad, el Ayuntamiento de Toluca remitió una imagen, que a su dicho, es la única con la que se cuenta y la cual fue difundida por Comunicación Social a través de sus redes sociales, siendo la siguiente: </w:t>
      </w:r>
    </w:p>
    <w:p w14:paraId="4B4F3820" w14:textId="77777777" w:rsidR="00452988" w:rsidRDefault="004303A7">
      <w:pPr>
        <w:spacing w:after="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14:anchorId="0CB20EA4" wp14:editId="25E85B7B">
            <wp:extent cx="3436882" cy="251764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436882" cy="2517648"/>
                    </a:xfrm>
                    <a:prstGeom prst="rect">
                      <a:avLst/>
                    </a:prstGeom>
                    <a:ln/>
                  </pic:spPr>
                </pic:pic>
              </a:graphicData>
            </a:graphic>
          </wp:inline>
        </w:drawing>
      </w:r>
    </w:p>
    <w:p w14:paraId="3928F11A" w14:textId="77777777" w:rsidR="00452988" w:rsidRDefault="00452988">
      <w:pPr>
        <w:spacing w:after="0" w:line="360" w:lineRule="auto"/>
        <w:ind w:right="49"/>
        <w:jc w:val="center"/>
        <w:rPr>
          <w:rFonts w:ascii="Palatino Linotype" w:eastAsia="Palatino Linotype" w:hAnsi="Palatino Linotype" w:cs="Palatino Linotype"/>
          <w:sz w:val="24"/>
          <w:szCs w:val="24"/>
        </w:rPr>
      </w:pPr>
    </w:p>
    <w:p w14:paraId="72B6453D"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mismo orden de ideas, es de recordar que en respuesta, el Sujeto Obligado, a través del Departamento de Normatividad proporcionó una liga electrónica y refirió que en esta se podía encontrar el comunicado y las imágenes con las que contaban, en ese sentido, este Organismo Garante accedió a la liga electrónica y esta redirige a una publicación realizada por el Ayuntamiento de Toluca el dieciséis de marzo de dos mil veintitrés, en la que se mencionó el rescate de animales que se encontraban en condiciones deplorables y a dicha publicación se adjuntaron un total de once fotografías. </w:t>
      </w:r>
    </w:p>
    <w:p w14:paraId="558B2A59"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56E47578"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De su análisis, se observó que la fotografía que había proporcionado el Centro Municipal de Control y Bienestar Animal no era la única con la que contaba el Sujeto Obligado, sino que, existían fotografías de otros animales rescatados, como se puede observar a continuación:</w:t>
      </w:r>
    </w:p>
    <w:p w14:paraId="157B4DF8" w14:textId="77777777" w:rsidR="00452988" w:rsidRDefault="00452988">
      <w:pPr>
        <w:spacing w:after="0" w:line="360" w:lineRule="auto"/>
        <w:ind w:right="49"/>
        <w:jc w:val="both"/>
        <w:rPr>
          <w:rFonts w:ascii="Palatino Linotype" w:eastAsia="Palatino Linotype" w:hAnsi="Palatino Linotype" w:cs="Palatino Linotype"/>
          <w:sz w:val="24"/>
          <w:szCs w:val="24"/>
        </w:rPr>
      </w:pPr>
    </w:p>
    <w:tbl>
      <w:tblPr>
        <w:tblStyle w:val="a"/>
        <w:tblW w:w="9055" w:type="dxa"/>
        <w:tblInd w:w="5" w:type="dxa"/>
        <w:tblLayout w:type="fixed"/>
        <w:tblLook w:val="0400" w:firstRow="0" w:lastRow="0" w:firstColumn="0" w:lastColumn="0" w:noHBand="0" w:noVBand="1"/>
      </w:tblPr>
      <w:tblGrid>
        <w:gridCol w:w="4673"/>
        <w:gridCol w:w="4382"/>
      </w:tblGrid>
      <w:tr w:rsidR="00452988" w14:paraId="19EA3CDC" w14:textId="77777777">
        <w:tc>
          <w:tcPr>
            <w:tcW w:w="4673" w:type="dxa"/>
          </w:tcPr>
          <w:p w14:paraId="366AE09C"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14:anchorId="5E0A5679" wp14:editId="4DA44329">
                  <wp:extent cx="2876533" cy="1534482"/>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876533" cy="1534482"/>
                          </a:xfrm>
                          <a:prstGeom prst="rect">
                            <a:avLst/>
                          </a:prstGeom>
                          <a:ln/>
                        </pic:spPr>
                      </pic:pic>
                    </a:graphicData>
                  </a:graphic>
                </wp:inline>
              </w:drawing>
            </w:r>
          </w:p>
        </w:tc>
        <w:tc>
          <w:tcPr>
            <w:tcW w:w="4382" w:type="dxa"/>
          </w:tcPr>
          <w:p w14:paraId="3D379F62"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14:anchorId="31B1689E" wp14:editId="7E073E60">
                  <wp:extent cx="2689943" cy="1508289"/>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689943" cy="1508289"/>
                          </a:xfrm>
                          <a:prstGeom prst="rect">
                            <a:avLst/>
                          </a:prstGeom>
                          <a:ln/>
                        </pic:spPr>
                      </pic:pic>
                    </a:graphicData>
                  </a:graphic>
                </wp:inline>
              </w:drawing>
            </w:r>
          </w:p>
        </w:tc>
      </w:tr>
      <w:tr w:rsidR="00452988" w14:paraId="029AD7A3" w14:textId="77777777">
        <w:tc>
          <w:tcPr>
            <w:tcW w:w="4673" w:type="dxa"/>
          </w:tcPr>
          <w:p w14:paraId="4A2D779F"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14:anchorId="76F0E5ED" wp14:editId="12B1BB72">
                  <wp:extent cx="2830195" cy="20955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830195" cy="2095500"/>
                          </a:xfrm>
                          <a:prstGeom prst="rect">
                            <a:avLst/>
                          </a:prstGeom>
                          <a:ln/>
                        </pic:spPr>
                      </pic:pic>
                    </a:graphicData>
                  </a:graphic>
                </wp:inline>
              </w:drawing>
            </w:r>
          </w:p>
        </w:tc>
        <w:tc>
          <w:tcPr>
            <w:tcW w:w="4382" w:type="dxa"/>
          </w:tcPr>
          <w:p w14:paraId="4D52F557"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14:anchorId="4770D21D" wp14:editId="4E398A3C">
                  <wp:extent cx="2516412" cy="2118626"/>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516412" cy="2118626"/>
                          </a:xfrm>
                          <a:prstGeom prst="rect">
                            <a:avLst/>
                          </a:prstGeom>
                          <a:ln/>
                        </pic:spPr>
                      </pic:pic>
                    </a:graphicData>
                  </a:graphic>
                </wp:inline>
              </w:drawing>
            </w:r>
          </w:p>
        </w:tc>
      </w:tr>
      <w:tr w:rsidR="00452988" w14:paraId="53A94625" w14:textId="77777777">
        <w:tc>
          <w:tcPr>
            <w:tcW w:w="4673" w:type="dxa"/>
          </w:tcPr>
          <w:p w14:paraId="094F3134"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14:anchorId="107908A0" wp14:editId="0E4C9A06">
                  <wp:extent cx="2830195" cy="18669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830195" cy="1866900"/>
                          </a:xfrm>
                          <a:prstGeom prst="rect">
                            <a:avLst/>
                          </a:prstGeom>
                          <a:ln/>
                        </pic:spPr>
                      </pic:pic>
                    </a:graphicData>
                  </a:graphic>
                </wp:inline>
              </w:drawing>
            </w:r>
          </w:p>
        </w:tc>
        <w:tc>
          <w:tcPr>
            <w:tcW w:w="4382" w:type="dxa"/>
          </w:tcPr>
          <w:p w14:paraId="3E1F5915" w14:textId="77777777" w:rsidR="00452988" w:rsidRDefault="004303A7">
            <w:pPr>
              <w:spacing w:after="0" w:line="360" w:lineRule="auto"/>
              <w:ind w:right="49"/>
              <w:jc w:val="both"/>
            </w:pPr>
            <w:r>
              <w:rPr>
                <w:noProof/>
              </w:rPr>
              <w:drawing>
                <wp:inline distT="0" distB="0" distL="0" distR="0" wp14:anchorId="2BBD9EFD" wp14:editId="24891C57">
                  <wp:extent cx="2520806" cy="1864313"/>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520806" cy="1864313"/>
                          </a:xfrm>
                          <a:prstGeom prst="rect">
                            <a:avLst/>
                          </a:prstGeom>
                          <a:ln/>
                        </pic:spPr>
                      </pic:pic>
                    </a:graphicData>
                  </a:graphic>
                </wp:inline>
              </w:drawing>
            </w:r>
          </w:p>
        </w:tc>
      </w:tr>
    </w:tbl>
    <w:p w14:paraId="1FF4EDF5"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Ahora bien, si bien es cierto, de la liga electrónica remitida por el Departamento de Normatividad se advirtieron fotografías distintas a la enviada por la Dirección General de Medio Ambiente, también lo es que, sigue subsistiendo la falta de precepto normativo que obligue al Sujeto Obligado de contar con evidencia fotográfica de los animales resguardados, por lo que, se colige que la información que se obtuvo tanto de la respuesta como de la liga electrónica remitida, es la información con la que cuenta el Ayuntamiento de Toluca y que obra en sus archivos. </w:t>
      </w:r>
    </w:p>
    <w:p w14:paraId="125994CB"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11ADD97C"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anterior, resulta necesario traer a colación lo que establece el Criterio 31/10 emitido por el Instituto Nacional de Transparencia, Acceso a la Información y Protección de Datos Personales que señala lo siguiente: </w:t>
      </w:r>
    </w:p>
    <w:p w14:paraId="557D2431"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3CE243D8" w14:textId="77777777" w:rsidR="00452988" w:rsidRDefault="004303A7">
      <w:pPr>
        <w:spacing w:after="0"/>
        <w:ind w:left="567" w:right="56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El Instituto Federal de Acceso a la Información y Protección de Datos no cuenta con facultades para pronunciarse respecto de la veracidad de los documentos proporcionados por los sujetos obligados. </w:t>
      </w:r>
      <w:r>
        <w:rPr>
          <w:rFonts w:ascii="Palatino Linotype" w:eastAsia="Palatino Linotype" w:hAnsi="Palatino Linotype" w:cs="Palatino Linotype"/>
          <w:i/>
          <w:color w:val="000000"/>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F51795A"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03A96144"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así que, este Organismo Garante no cuenta con facultades para pronunciarse de la veracidad de la información que los sujetos obligados ponen a disposición de los </w:t>
      </w:r>
      <w:r>
        <w:rPr>
          <w:rFonts w:ascii="Palatino Linotype" w:eastAsia="Palatino Linotype" w:hAnsi="Palatino Linotype" w:cs="Palatino Linotype"/>
          <w:sz w:val="24"/>
          <w:szCs w:val="24"/>
        </w:rPr>
        <w:lastRenderedPageBreak/>
        <w:t xml:space="preserve">particulares, aunado a ello, de conformidad con el artículo 12 de la Ley de Transparencia y Acceso a la Información Pública del Estado de México y Municipios, los sujetos obligados únicamente proporcionarán la información que se les requiera, tal como obren en sus archivos. </w:t>
      </w:r>
    </w:p>
    <w:p w14:paraId="140532F1"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267FF4BC"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otro lado, en relación con el agravio manifestado por la parte Recurrente relacionado con la falta de atención de plazos por parte del Sujeto Obligado para proporcionar la liga electrónica donde obraba la información, es de señalar que si bien, se le atribuye razón a la parte Recurrente, debido a que, el artículo 161 de la Ley de Transparencia y Acceso a la Información Pública del Estado de México y Municipios establece que cuando la información ya se encuentre disponible al público en medios impresos, deberá informar a los particulares en un plazo no mayor a cinco días hábiles, también lo es que, en el presente caso, es un agravio de imposible resarcimiento, ya que, no se puede ordenar al Sujeto Obligado proporcione la liga electrónica en el plazo correspondiente. </w:t>
      </w:r>
    </w:p>
    <w:p w14:paraId="15DC9815"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4AC3118E"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No obstante, no pasa desapercibido mencionar que se insta al Sujeto Obligado atienda los plazos establecidos por la Ley en la materia, con la finalidad de garantizar el correcto ejercicio del derecho de acceso a la información pública de los particulares. </w:t>
      </w:r>
    </w:p>
    <w:p w14:paraId="388549B5"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6C69656A"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último, en relación con el agravio relacionado con que el Sujeto Obligado no proporcionó la información en formato de datos abiertos, se precisa que la Ley en la materia establece como principio de transparencia proactiva al conjunto de actividades e iniciativas ordenadas que van más allá de las obligaciones que marca </w:t>
      </w:r>
      <w:r>
        <w:rPr>
          <w:rFonts w:ascii="Palatino Linotype" w:eastAsia="Palatino Linotype" w:hAnsi="Palatino Linotype" w:cs="Palatino Linotype"/>
          <w:sz w:val="24"/>
          <w:szCs w:val="24"/>
        </w:rPr>
        <w:lastRenderedPageBreak/>
        <w:t xml:space="preserve">esta Ley y, que tienen como propósito elevar en forma sostenida la publicación de información y bases de datos relevantes en formato de datos abiertos de información pública, que permitan la rendición de cuentas, promuevan la participación activa de la sociedad en la solución de problemas públicos de manera permanente y den respuesta a la demanda. </w:t>
      </w:r>
    </w:p>
    <w:p w14:paraId="22648A59"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061C2F1C"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No obstante, si bien, es cierto los sujetos obligados deberán procurar la generación de la información en un formato de datos abiertos, también lo es que, la parte Recurrente, no requirió la información bajo este formato, sino que fue hasta el recurso de revisión, que argumentó que el formato de la respuesta enviado por el Sujeto Obligado no era reutilizable, situación que no puede ser atendida por este Organismo Garante, al ser considerada como una ampliación a su solicitud inicial, dicha situación configura una </w:t>
      </w:r>
      <w:r>
        <w:rPr>
          <w:rFonts w:ascii="Palatino Linotype" w:eastAsia="Palatino Linotype" w:hAnsi="Palatino Linotype" w:cs="Palatino Linotype"/>
          <w:i/>
          <w:sz w:val="24"/>
          <w:szCs w:val="24"/>
        </w:rPr>
        <w:t xml:space="preserve">plus </w:t>
      </w:r>
      <w:proofErr w:type="spellStart"/>
      <w:r>
        <w:rPr>
          <w:rFonts w:ascii="Palatino Linotype" w:eastAsia="Palatino Linotype" w:hAnsi="Palatino Linotype" w:cs="Palatino Linotype"/>
          <w:i/>
          <w:sz w:val="24"/>
          <w:szCs w:val="24"/>
        </w:rPr>
        <w:t>petitio</w:t>
      </w:r>
      <w:proofErr w:type="spellEnd"/>
      <w:r>
        <w:rPr>
          <w:rFonts w:ascii="Palatino Linotype" w:eastAsia="Palatino Linotype" w:hAnsi="Palatino Linotype" w:cs="Palatino Linotype"/>
          <w:i/>
          <w:sz w:val="24"/>
          <w:szCs w:val="24"/>
        </w:rPr>
        <w:t>,</w:t>
      </w:r>
      <w:r>
        <w:rPr>
          <w:rFonts w:ascii="Palatino Linotype" w:eastAsia="Palatino Linotype" w:hAnsi="Palatino Linotype" w:cs="Palatino Linotype"/>
          <w:sz w:val="24"/>
          <w:szCs w:val="24"/>
        </w:rPr>
        <w:t xml:space="preserve"> 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Recurrente amplíe su solicitud en el Recurso de Revisión, únicamente respecto de los nuevos contenidos.</w:t>
      </w:r>
    </w:p>
    <w:p w14:paraId="0247F02F"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1CD5F898" w14:textId="77777777" w:rsidR="00452988" w:rsidRDefault="004303A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anterior, toda vez que, no se advirtió precepto normativo que obligue al Sujeto Obligado a contar con evidencia fotográfica de los animales resguardados en el Centro de Control y Bienestar Animal y, proporcionó la información con la que cuenta, se determina que, los agravios hechos valer por la parte Recurrente devienen </w:t>
      </w:r>
      <w:r>
        <w:rPr>
          <w:rFonts w:ascii="Palatino Linotype" w:eastAsia="Palatino Linotype" w:hAnsi="Palatino Linotype" w:cs="Palatino Linotype"/>
          <w:b/>
          <w:sz w:val="24"/>
          <w:szCs w:val="24"/>
        </w:rPr>
        <w:t xml:space="preserve">INFUNDADOS </w:t>
      </w:r>
      <w:r>
        <w:rPr>
          <w:rFonts w:ascii="Palatino Linotype" w:eastAsia="Palatino Linotype" w:hAnsi="Palatino Linotype" w:cs="Palatino Linotype"/>
          <w:sz w:val="24"/>
          <w:szCs w:val="24"/>
        </w:rPr>
        <w:t xml:space="preserve">y, por lo tanto, resulta procedente </w:t>
      </w:r>
      <w:r>
        <w:rPr>
          <w:rFonts w:ascii="Palatino Linotype" w:eastAsia="Palatino Linotype" w:hAnsi="Palatino Linotype" w:cs="Palatino Linotype"/>
          <w:b/>
          <w:sz w:val="24"/>
          <w:szCs w:val="24"/>
        </w:rPr>
        <w:t xml:space="preserve">CONFIRMAR </w:t>
      </w:r>
      <w:r>
        <w:rPr>
          <w:rFonts w:ascii="Palatino Linotype" w:eastAsia="Palatino Linotype" w:hAnsi="Palatino Linotype" w:cs="Palatino Linotype"/>
          <w:sz w:val="24"/>
          <w:szCs w:val="24"/>
        </w:rPr>
        <w:t xml:space="preserve">la respuesta emitida </w:t>
      </w:r>
      <w:r>
        <w:rPr>
          <w:rFonts w:ascii="Palatino Linotype" w:eastAsia="Palatino Linotype" w:hAnsi="Palatino Linotype" w:cs="Palatino Linotype"/>
          <w:sz w:val="24"/>
          <w:szCs w:val="24"/>
        </w:rPr>
        <w:lastRenderedPageBreak/>
        <w:t xml:space="preserve">por el Sujeto Obligado, en términos de la fracción II del artículo 186 de la Ley de Transparencia y Acceso a la Información Pública del Estado de México y Municipios. </w:t>
      </w:r>
    </w:p>
    <w:p w14:paraId="57AE9791" w14:textId="77777777" w:rsidR="00452988" w:rsidRDefault="00452988">
      <w:pPr>
        <w:spacing w:after="0" w:line="360" w:lineRule="auto"/>
        <w:jc w:val="both"/>
        <w:rPr>
          <w:rFonts w:ascii="Palatino Linotype" w:eastAsia="Palatino Linotype" w:hAnsi="Palatino Linotype" w:cs="Palatino Linotype"/>
          <w:sz w:val="24"/>
          <w:szCs w:val="24"/>
        </w:rPr>
      </w:pPr>
    </w:p>
    <w:p w14:paraId="5FF976EE" w14:textId="77777777"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0547FD3"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44B882B1" w14:textId="77777777" w:rsidR="00452988" w:rsidRDefault="004303A7">
      <w:pPr>
        <w:spacing w:after="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 E S U E L V E:</w:t>
      </w:r>
    </w:p>
    <w:p w14:paraId="757A8D40" w14:textId="77777777" w:rsidR="00452988" w:rsidRDefault="00452988">
      <w:pPr>
        <w:spacing w:after="0" w:line="360" w:lineRule="auto"/>
        <w:rPr>
          <w:rFonts w:ascii="Palatino Linotype" w:eastAsia="Palatino Linotype" w:hAnsi="Palatino Linotype" w:cs="Palatino Linotype"/>
          <w:b/>
          <w:sz w:val="24"/>
          <w:szCs w:val="24"/>
        </w:rPr>
      </w:pPr>
    </w:p>
    <w:p w14:paraId="7989CD61" w14:textId="77777777" w:rsidR="00452988" w:rsidRDefault="004303A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sz w:val="24"/>
          <w:szCs w:val="24"/>
        </w:rPr>
        <w:t xml:space="preserve">Resultan </w:t>
      </w:r>
      <w:r>
        <w:rPr>
          <w:rFonts w:ascii="Palatino Linotype" w:eastAsia="Palatino Linotype" w:hAnsi="Palatino Linotype" w:cs="Palatino Linotype"/>
          <w:b/>
          <w:sz w:val="24"/>
          <w:szCs w:val="24"/>
        </w:rPr>
        <w:t>INFUNDADOS</w:t>
      </w:r>
      <w:r>
        <w:rPr>
          <w:rFonts w:ascii="Palatino Linotype" w:eastAsia="Palatino Linotype" w:hAnsi="Palatino Linotype" w:cs="Palatino Linotype"/>
          <w:sz w:val="24"/>
          <w:szCs w:val="24"/>
        </w:rPr>
        <w:t xml:space="preserve"> los motivos de inconformidad hechos valer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el Recurso de Revisión </w:t>
      </w:r>
      <w:r>
        <w:rPr>
          <w:rFonts w:ascii="Palatino Linotype" w:eastAsia="Palatino Linotype" w:hAnsi="Palatino Linotype" w:cs="Palatino Linotype"/>
          <w:b/>
          <w:sz w:val="24"/>
          <w:szCs w:val="24"/>
        </w:rPr>
        <w:t>02559/INFOEM/IP/RR/2023</w:t>
      </w:r>
      <w:r>
        <w:rPr>
          <w:rFonts w:ascii="Palatino Linotype" w:eastAsia="Palatino Linotype" w:hAnsi="Palatino Linotype" w:cs="Palatino Linotype"/>
          <w:sz w:val="24"/>
          <w:szCs w:val="24"/>
        </w:rPr>
        <w:t xml:space="preserve"> por lo que, en términos del</w:t>
      </w:r>
      <w:r>
        <w:rPr>
          <w:rFonts w:ascii="Palatino Linotype" w:eastAsia="Palatino Linotype" w:hAnsi="Palatino Linotype" w:cs="Palatino Linotype"/>
          <w:b/>
          <w:sz w:val="24"/>
          <w:szCs w:val="24"/>
        </w:rPr>
        <w:t xml:space="preserve"> Considerando Cuarto </w:t>
      </w:r>
      <w:r>
        <w:rPr>
          <w:rFonts w:ascii="Palatino Linotype" w:eastAsia="Palatino Linotype" w:hAnsi="Palatino Linotype" w:cs="Palatino Linotype"/>
          <w:sz w:val="24"/>
          <w:szCs w:val="24"/>
        </w:rPr>
        <w:t xml:space="preserve">de esta resolución, se </w:t>
      </w:r>
      <w:r>
        <w:rPr>
          <w:rFonts w:ascii="Palatino Linotype" w:eastAsia="Palatino Linotype" w:hAnsi="Palatino Linotype" w:cs="Palatino Linotype"/>
          <w:b/>
          <w:sz w:val="24"/>
          <w:szCs w:val="24"/>
        </w:rPr>
        <w:t xml:space="preserve">CONFIRMA </w:t>
      </w:r>
      <w:r>
        <w:rPr>
          <w:rFonts w:ascii="Palatino Linotype" w:eastAsia="Palatino Linotype" w:hAnsi="Palatino Linotype" w:cs="Palatino Linotype"/>
          <w:sz w:val="24"/>
          <w:szCs w:val="24"/>
        </w:rPr>
        <w:t xml:space="preserve">la respuesta emitida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p>
    <w:p w14:paraId="3698E944" w14:textId="77777777" w:rsidR="00452988" w:rsidRDefault="00452988">
      <w:pPr>
        <w:spacing w:after="0" w:line="360" w:lineRule="auto"/>
        <w:jc w:val="both"/>
        <w:rPr>
          <w:rFonts w:ascii="Palatino Linotype" w:eastAsia="Palatino Linotype" w:hAnsi="Palatino Linotype" w:cs="Palatino Linotype"/>
          <w:sz w:val="24"/>
          <w:szCs w:val="24"/>
        </w:rPr>
      </w:pPr>
    </w:p>
    <w:p w14:paraId="2339A641" w14:textId="77777777" w:rsidR="00452988" w:rsidRDefault="004303A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 Notifíquese vía Sistema de Acceso a la Información Mexiquense (SAIMEX)</w:t>
      </w:r>
      <w:r>
        <w:rPr>
          <w:rFonts w:ascii="Palatino Linotype" w:eastAsia="Palatino Linotype" w:hAnsi="Palatino Linotype" w:cs="Palatino Linotype"/>
          <w:sz w:val="24"/>
          <w:szCs w:val="24"/>
        </w:rPr>
        <w:t>, al Titular de la Unidad de Transparencia del Sujeto Obligado, para su conocimiento.</w:t>
      </w:r>
    </w:p>
    <w:p w14:paraId="75ABC934" w14:textId="77777777" w:rsidR="00452988" w:rsidRDefault="00452988">
      <w:pPr>
        <w:spacing w:after="0" w:line="360" w:lineRule="auto"/>
        <w:ind w:firstLine="720"/>
        <w:jc w:val="both"/>
        <w:rPr>
          <w:rFonts w:ascii="Palatino Linotype" w:eastAsia="Palatino Linotype" w:hAnsi="Palatino Linotype" w:cs="Palatino Linotype"/>
        </w:rPr>
      </w:pPr>
    </w:p>
    <w:p w14:paraId="5A52B591" w14:textId="77777777" w:rsidR="00452988" w:rsidRDefault="004303A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Notifíquese vía Sistema de Acceso a la Información Mexiquense (SAIMEX) </w:t>
      </w:r>
      <w:r>
        <w:rPr>
          <w:rFonts w:ascii="Palatino Linotype" w:eastAsia="Palatino Linotype" w:hAnsi="Palatino Linotype" w:cs="Palatino Linotype"/>
          <w:sz w:val="24"/>
          <w:szCs w:val="24"/>
        </w:rPr>
        <w:t xml:space="preserve">la presente resolución a la parte recurrente, así como, que de conformidad con lo establecido en el artículo 196 de la Ley de Transparencia y Acceso a la Información </w:t>
      </w:r>
      <w:r>
        <w:rPr>
          <w:rFonts w:ascii="Palatino Linotype" w:eastAsia="Palatino Linotype" w:hAnsi="Palatino Linotype" w:cs="Palatino Linotype"/>
          <w:sz w:val="24"/>
          <w:szCs w:val="24"/>
        </w:rPr>
        <w:lastRenderedPageBreak/>
        <w:t>Pública del Estado de México y Municipios, podrá impugnarla vía Juicio de Amparo en los términos de las leyes aplicables.</w:t>
      </w:r>
    </w:p>
    <w:p w14:paraId="320C6840"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21081A4C" w14:textId="746B2C6F" w:rsidR="00452988" w:rsidRDefault="004303A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SEIS DE DICIEMBRE DE DOS MIL VEINTITRÉS, ANTE EL SECRETARIO TÉCNICO DEL PLENO ALEXIS TAPIA RAMÍREZ. </w:t>
      </w:r>
    </w:p>
    <w:p w14:paraId="4E9495D6" w14:textId="354501CB" w:rsidR="00683B9C" w:rsidRDefault="00683B9C">
      <w:pPr>
        <w:spacing w:after="0" w:line="360" w:lineRule="auto"/>
        <w:ind w:right="49"/>
        <w:jc w:val="both"/>
        <w:rPr>
          <w:rFonts w:ascii="Palatino Linotype" w:eastAsia="Palatino Linotype" w:hAnsi="Palatino Linotype" w:cs="Palatino Linotype"/>
          <w:sz w:val="24"/>
          <w:szCs w:val="24"/>
        </w:rPr>
      </w:pPr>
    </w:p>
    <w:p w14:paraId="3362946D" w14:textId="67E4DE9B" w:rsidR="00683B9C" w:rsidRDefault="00683B9C">
      <w:pPr>
        <w:spacing w:after="0" w:line="360" w:lineRule="auto"/>
        <w:ind w:right="49"/>
        <w:jc w:val="both"/>
        <w:rPr>
          <w:rFonts w:ascii="Palatino Linotype" w:eastAsia="Palatino Linotype" w:hAnsi="Palatino Linotype" w:cs="Palatino Linotype"/>
          <w:sz w:val="24"/>
          <w:szCs w:val="24"/>
        </w:rPr>
      </w:pPr>
    </w:p>
    <w:p w14:paraId="523CC550" w14:textId="006A6236" w:rsidR="00683B9C" w:rsidRDefault="00683B9C">
      <w:pPr>
        <w:spacing w:after="0" w:line="360" w:lineRule="auto"/>
        <w:ind w:right="49"/>
        <w:jc w:val="both"/>
        <w:rPr>
          <w:rFonts w:ascii="Palatino Linotype" w:eastAsia="Palatino Linotype" w:hAnsi="Palatino Linotype" w:cs="Palatino Linotype"/>
          <w:sz w:val="24"/>
          <w:szCs w:val="24"/>
        </w:rPr>
      </w:pPr>
    </w:p>
    <w:p w14:paraId="0C46646C" w14:textId="03873C8F" w:rsidR="00683B9C" w:rsidRDefault="00683B9C">
      <w:pPr>
        <w:spacing w:after="0" w:line="360" w:lineRule="auto"/>
        <w:ind w:right="49"/>
        <w:jc w:val="both"/>
        <w:rPr>
          <w:rFonts w:ascii="Palatino Linotype" w:eastAsia="Palatino Linotype" w:hAnsi="Palatino Linotype" w:cs="Palatino Linotype"/>
          <w:sz w:val="24"/>
          <w:szCs w:val="24"/>
        </w:rPr>
      </w:pPr>
    </w:p>
    <w:p w14:paraId="762AF733" w14:textId="695A5F64" w:rsidR="00683B9C" w:rsidRDefault="00683B9C">
      <w:pPr>
        <w:spacing w:after="0" w:line="360" w:lineRule="auto"/>
        <w:ind w:right="49"/>
        <w:jc w:val="both"/>
        <w:rPr>
          <w:rFonts w:ascii="Palatino Linotype" w:eastAsia="Palatino Linotype" w:hAnsi="Palatino Linotype" w:cs="Palatino Linotype"/>
          <w:sz w:val="24"/>
          <w:szCs w:val="24"/>
        </w:rPr>
      </w:pPr>
    </w:p>
    <w:p w14:paraId="4B0A6B4D" w14:textId="69C338FE" w:rsidR="00683B9C" w:rsidRDefault="00683B9C">
      <w:pPr>
        <w:spacing w:after="0" w:line="360" w:lineRule="auto"/>
        <w:ind w:right="49"/>
        <w:jc w:val="both"/>
        <w:rPr>
          <w:rFonts w:ascii="Palatino Linotype" w:eastAsia="Palatino Linotype" w:hAnsi="Palatino Linotype" w:cs="Palatino Linotype"/>
          <w:sz w:val="24"/>
          <w:szCs w:val="24"/>
        </w:rPr>
      </w:pPr>
    </w:p>
    <w:p w14:paraId="016E682E" w14:textId="039F6283" w:rsidR="00683B9C" w:rsidRDefault="00683B9C">
      <w:pPr>
        <w:spacing w:after="0" w:line="360" w:lineRule="auto"/>
        <w:ind w:right="49"/>
        <w:jc w:val="both"/>
        <w:rPr>
          <w:rFonts w:ascii="Palatino Linotype" w:eastAsia="Palatino Linotype" w:hAnsi="Palatino Linotype" w:cs="Palatino Linotype"/>
          <w:sz w:val="24"/>
          <w:szCs w:val="24"/>
        </w:rPr>
      </w:pPr>
    </w:p>
    <w:p w14:paraId="1492FF1B" w14:textId="665160AB" w:rsidR="00683B9C" w:rsidRDefault="00683B9C">
      <w:pPr>
        <w:spacing w:after="0" w:line="360" w:lineRule="auto"/>
        <w:ind w:right="49"/>
        <w:jc w:val="both"/>
        <w:rPr>
          <w:rFonts w:ascii="Palatino Linotype" w:eastAsia="Palatino Linotype" w:hAnsi="Palatino Linotype" w:cs="Palatino Linotype"/>
          <w:sz w:val="24"/>
          <w:szCs w:val="24"/>
        </w:rPr>
      </w:pPr>
    </w:p>
    <w:p w14:paraId="5AF660FC" w14:textId="38F37FEF" w:rsidR="00683B9C" w:rsidRDefault="00683B9C">
      <w:pPr>
        <w:spacing w:after="0" w:line="360" w:lineRule="auto"/>
        <w:ind w:right="49"/>
        <w:jc w:val="both"/>
        <w:rPr>
          <w:rFonts w:ascii="Palatino Linotype" w:eastAsia="Palatino Linotype" w:hAnsi="Palatino Linotype" w:cs="Palatino Linotype"/>
          <w:sz w:val="24"/>
          <w:szCs w:val="24"/>
        </w:rPr>
      </w:pPr>
    </w:p>
    <w:p w14:paraId="707FCC3D" w14:textId="71CB26E2" w:rsidR="00683B9C" w:rsidRDefault="00683B9C">
      <w:pPr>
        <w:spacing w:after="0" w:line="360" w:lineRule="auto"/>
        <w:ind w:right="49"/>
        <w:jc w:val="both"/>
        <w:rPr>
          <w:rFonts w:ascii="Palatino Linotype" w:eastAsia="Palatino Linotype" w:hAnsi="Palatino Linotype" w:cs="Palatino Linotype"/>
          <w:sz w:val="24"/>
          <w:szCs w:val="24"/>
        </w:rPr>
      </w:pPr>
    </w:p>
    <w:p w14:paraId="199FAD81" w14:textId="1DCFFC04" w:rsidR="00683B9C" w:rsidRDefault="00683B9C">
      <w:pPr>
        <w:spacing w:after="0" w:line="360" w:lineRule="auto"/>
        <w:ind w:right="49"/>
        <w:jc w:val="both"/>
        <w:rPr>
          <w:rFonts w:ascii="Palatino Linotype" w:eastAsia="Palatino Linotype" w:hAnsi="Palatino Linotype" w:cs="Palatino Linotype"/>
          <w:sz w:val="24"/>
          <w:szCs w:val="24"/>
        </w:rPr>
      </w:pPr>
    </w:p>
    <w:p w14:paraId="4F03EA3D" w14:textId="643DF642" w:rsidR="00683B9C" w:rsidRDefault="00683B9C">
      <w:pPr>
        <w:spacing w:after="0" w:line="360" w:lineRule="auto"/>
        <w:ind w:right="49"/>
        <w:jc w:val="both"/>
        <w:rPr>
          <w:rFonts w:ascii="Palatino Linotype" w:eastAsia="Palatino Linotype" w:hAnsi="Palatino Linotype" w:cs="Palatino Linotype"/>
          <w:sz w:val="24"/>
          <w:szCs w:val="24"/>
        </w:rPr>
      </w:pPr>
    </w:p>
    <w:p w14:paraId="381D227C" w14:textId="50C0C716" w:rsidR="00683B9C" w:rsidRDefault="00683B9C">
      <w:pPr>
        <w:spacing w:after="0" w:line="360" w:lineRule="auto"/>
        <w:ind w:right="49"/>
        <w:jc w:val="both"/>
        <w:rPr>
          <w:rFonts w:ascii="Palatino Linotype" w:eastAsia="Palatino Linotype" w:hAnsi="Palatino Linotype" w:cs="Palatino Linotype"/>
          <w:sz w:val="24"/>
          <w:szCs w:val="24"/>
        </w:rPr>
      </w:pPr>
    </w:p>
    <w:p w14:paraId="0EA2813E" w14:textId="0B44F0BB" w:rsidR="00683B9C" w:rsidRDefault="00683B9C">
      <w:pPr>
        <w:spacing w:after="0" w:line="360" w:lineRule="auto"/>
        <w:ind w:right="49"/>
        <w:jc w:val="both"/>
        <w:rPr>
          <w:rFonts w:ascii="Palatino Linotype" w:eastAsia="Palatino Linotype" w:hAnsi="Palatino Linotype" w:cs="Palatino Linotype"/>
          <w:sz w:val="24"/>
          <w:szCs w:val="24"/>
        </w:rPr>
      </w:pPr>
    </w:p>
    <w:p w14:paraId="6ED3FB2A" w14:textId="5557742A" w:rsidR="00683B9C" w:rsidRDefault="00683B9C">
      <w:pPr>
        <w:spacing w:after="0" w:line="360" w:lineRule="auto"/>
        <w:ind w:right="49"/>
        <w:jc w:val="both"/>
        <w:rPr>
          <w:rFonts w:ascii="Palatino Linotype" w:eastAsia="Palatino Linotype" w:hAnsi="Palatino Linotype" w:cs="Palatino Linotype"/>
          <w:sz w:val="24"/>
          <w:szCs w:val="24"/>
        </w:rPr>
      </w:pPr>
    </w:p>
    <w:p w14:paraId="17105D7B" w14:textId="69DEF293" w:rsidR="00683B9C" w:rsidRDefault="00683B9C">
      <w:pPr>
        <w:spacing w:after="0" w:line="360" w:lineRule="auto"/>
        <w:ind w:right="49"/>
        <w:jc w:val="both"/>
        <w:rPr>
          <w:rFonts w:ascii="Palatino Linotype" w:eastAsia="Palatino Linotype" w:hAnsi="Palatino Linotype" w:cs="Palatino Linotype"/>
          <w:sz w:val="24"/>
          <w:szCs w:val="24"/>
        </w:rPr>
      </w:pPr>
    </w:p>
    <w:p w14:paraId="290CE8C4" w14:textId="77777777" w:rsidR="00683B9C" w:rsidRDefault="00683B9C">
      <w:pPr>
        <w:spacing w:after="0" w:line="360" w:lineRule="auto"/>
        <w:ind w:right="49"/>
        <w:jc w:val="both"/>
        <w:rPr>
          <w:rFonts w:ascii="Palatino Linotype" w:eastAsia="Palatino Linotype" w:hAnsi="Palatino Linotype" w:cs="Palatino Linotype"/>
          <w:sz w:val="24"/>
          <w:szCs w:val="24"/>
        </w:rPr>
      </w:pPr>
    </w:p>
    <w:p w14:paraId="4EE58E2E"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578C59DE"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3E608DB6"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192966D2"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645A48C0"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76A5CC02" w14:textId="77777777" w:rsidR="00452988" w:rsidRDefault="00452988">
      <w:pPr>
        <w:spacing w:after="0" w:line="360" w:lineRule="auto"/>
        <w:ind w:right="49"/>
        <w:jc w:val="both"/>
        <w:rPr>
          <w:rFonts w:ascii="Palatino Linotype" w:eastAsia="Palatino Linotype" w:hAnsi="Palatino Linotype" w:cs="Palatino Linotype"/>
          <w:sz w:val="24"/>
          <w:szCs w:val="24"/>
        </w:rPr>
      </w:pPr>
    </w:p>
    <w:p w14:paraId="519055E5" w14:textId="77777777" w:rsidR="00452988" w:rsidRDefault="00452988">
      <w:pPr>
        <w:spacing w:after="0" w:line="360" w:lineRule="auto"/>
        <w:ind w:right="49"/>
        <w:jc w:val="both"/>
        <w:rPr>
          <w:rFonts w:ascii="Palatino Linotype" w:eastAsia="Palatino Linotype" w:hAnsi="Palatino Linotype" w:cs="Palatino Linotype"/>
          <w:sz w:val="24"/>
          <w:szCs w:val="24"/>
        </w:rPr>
      </w:pPr>
    </w:p>
    <w:sectPr w:rsidR="00452988">
      <w:headerReference w:type="default" r:id="rId18"/>
      <w:footerReference w:type="default" r:id="rId19"/>
      <w:headerReference w:type="first" r:id="rId20"/>
      <w:footerReference w:type="first" r:id="rId2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6AD44" w14:textId="77777777" w:rsidR="004303A7" w:rsidRDefault="004303A7">
      <w:pPr>
        <w:spacing w:after="0" w:line="240" w:lineRule="auto"/>
      </w:pPr>
      <w:r>
        <w:separator/>
      </w:r>
    </w:p>
  </w:endnote>
  <w:endnote w:type="continuationSeparator" w:id="0">
    <w:p w14:paraId="43328195" w14:textId="77777777" w:rsidR="004303A7" w:rsidRDefault="00430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7FD84" w14:textId="77777777" w:rsidR="00452988" w:rsidRDefault="004303A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83B9C">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83B9C">
      <w:rPr>
        <w:b/>
        <w:noProof/>
        <w:color w:val="000000"/>
        <w:sz w:val="24"/>
        <w:szCs w:val="24"/>
      </w:rPr>
      <w:t>2</w:t>
    </w:r>
    <w:r>
      <w:rPr>
        <w:b/>
        <w:color w:val="000000"/>
        <w:sz w:val="24"/>
        <w:szCs w:val="24"/>
      </w:rPr>
      <w:fldChar w:fldCharType="end"/>
    </w:r>
  </w:p>
  <w:p w14:paraId="65857F40" w14:textId="77777777" w:rsidR="00452988" w:rsidRDefault="0045298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3B91" w14:textId="77777777" w:rsidR="00452988" w:rsidRDefault="004303A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83B9C">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83B9C">
      <w:rPr>
        <w:b/>
        <w:noProof/>
        <w:color w:val="000000"/>
        <w:sz w:val="24"/>
        <w:szCs w:val="24"/>
      </w:rPr>
      <w:t>2</w:t>
    </w:r>
    <w:r>
      <w:rPr>
        <w:b/>
        <w:color w:val="000000"/>
        <w:sz w:val="24"/>
        <w:szCs w:val="24"/>
      </w:rPr>
      <w:fldChar w:fldCharType="end"/>
    </w:r>
  </w:p>
  <w:p w14:paraId="70963258" w14:textId="77777777" w:rsidR="00452988" w:rsidRDefault="0045298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5F691" w14:textId="77777777" w:rsidR="004303A7" w:rsidRDefault="004303A7">
      <w:pPr>
        <w:spacing w:after="0" w:line="240" w:lineRule="auto"/>
      </w:pPr>
      <w:r>
        <w:separator/>
      </w:r>
    </w:p>
  </w:footnote>
  <w:footnote w:type="continuationSeparator" w:id="0">
    <w:p w14:paraId="774AE398" w14:textId="77777777" w:rsidR="004303A7" w:rsidRDefault="004303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E921C" w14:textId="77777777" w:rsidR="00452988" w:rsidRDefault="004303A7">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5EF91BC7" wp14:editId="15AB80FB">
          <wp:simplePos x="0" y="0"/>
          <wp:positionH relativeFrom="column">
            <wp:posOffset>-708024</wp:posOffset>
          </wp:positionH>
          <wp:positionV relativeFrom="paragraph">
            <wp:posOffset>-402589</wp:posOffset>
          </wp:positionV>
          <wp:extent cx="7809876" cy="1016582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603" w:type="dxa"/>
      <w:tblInd w:w="3611" w:type="dxa"/>
      <w:tblLayout w:type="fixed"/>
      <w:tblLook w:val="0400" w:firstRow="0" w:lastRow="0" w:firstColumn="0" w:lastColumn="0" w:noHBand="0" w:noVBand="1"/>
    </w:tblPr>
    <w:tblGrid>
      <w:gridCol w:w="2551"/>
      <w:gridCol w:w="3052"/>
    </w:tblGrid>
    <w:tr w:rsidR="00452988" w14:paraId="0439C09F" w14:textId="77777777">
      <w:tc>
        <w:tcPr>
          <w:tcW w:w="2551" w:type="dxa"/>
          <w:vAlign w:val="center"/>
        </w:tcPr>
        <w:p w14:paraId="33380EE5" w14:textId="77777777" w:rsidR="00452988" w:rsidRDefault="004303A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08A02F0D" w14:textId="77777777" w:rsidR="00452988" w:rsidRDefault="004303A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02559/INFOEM/IP/RR/2023</w:t>
          </w:r>
        </w:p>
      </w:tc>
    </w:tr>
    <w:tr w:rsidR="00452988" w14:paraId="5389B5AB" w14:textId="77777777">
      <w:trPr>
        <w:trHeight w:val="217"/>
      </w:trPr>
      <w:tc>
        <w:tcPr>
          <w:tcW w:w="2551" w:type="dxa"/>
          <w:vAlign w:val="center"/>
        </w:tcPr>
        <w:p w14:paraId="369F3E66" w14:textId="77777777" w:rsidR="00452988" w:rsidRDefault="004303A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16299018" w14:textId="77777777" w:rsidR="00452988" w:rsidRDefault="004303A7">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452988" w14:paraId="7074DD84" w14:textId="77777777">
      <w:tc>
        <w:tcPr>
          <w:tcW w:w="2551" w:type="dxa"/>
          <w:vAlign w:val="center"/>
        </w:tcPr>
        <w:p w14:paraId="650B4FDD" w14:textId="77777777" w:rsidR="00452988" w:rsidRDefault="004303A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7E03BCF4" w14:textId="77777777" w:rsidR="00452988" w:rsidRDefault="004303A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4E62FAFA" w14:textId="77777777" w:rsidR="00452988" w:rsidRDefault="0045298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FB219" w14:textId="77777777" w:rsidR="00452988" w:rsidRDefault="004303A7">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6F7FCEEF" wp14:editId="1532980B">
          <wp:simplePos x="0" y="0"/>
          <wp:positionH relativeFrom="column">
            <wp:posOffset>-706754</wp:posOffset>
          </wp:positionH>
          <wp:positionV relativeFrom="paragraph">
            <wp:posOffset>-401319</wp:posOffset>
          </wp:positionV>
          <wp:extent cx="7809865" cy="1016571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603" w:type="dxa"/>
      <w:tblInd w:w="3611" w:type="dxa"/>
      <w:tblLayout w:type="fixed"/>
      <w:tblLook w:val="0400" w:firstRow="0" w:lastRow="0" w:firstColumn="0" w:lastColumn="0" w:noHBand="0" w:noVBand="1"/>
    </w:tblPr>
    <w:tblGrid>
      <w:gridCol w:w="2551"/>
      <w:gridCol w:w="3052"/>
    </w:tblGrid>
    <w:tr w:rsidR="00452988" w14:paraId="3F604759" w14:textId="77777777">
      <w:tc>
        <w:tcPr>
          <w:tcW w:w="2551" w:type="dxa"/>
          <w:vAlign w:val="center"/>
        </w:tcPr>
        <w:p w14:paraId="13A04A58" w14:textId="77777777" w:rsidR="00452988" w:rsidRDefault="004303A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0750BC9B" w14:textId="77777777" w:rsidR="00452988" w:rsidRDefault="004303A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02559/INFOEM/IP/RR/2023</w:t>
          </w:r>
        </w:p>
      </w:tc>
    </w:tr>
    <w:tr w:rsidR="00452988" w14:paraId="21D31961" w14:textId="77777777">
      <w:tc>
        <w:tcPr>
          <w:tcW w:w="2551" w:type="dxa"/>
          <w:vAlign w:val="center"/>
        </w:tcPr>
        <w:p w14:paraId="6B9DEE48" w14:textId="77777777" w:rsidR="00452988" w:rsidRDefault="004303A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24CB2EE7" w14:textId="0309B0C0" w:rsidR="00452988" w:rsidRDefault="004015F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 XX XX</w:t>
          </w:r>
          <w:r w:rsidR="004303A7">
            <w:rPr>
              <w:rFonts w:ascii="Palatino Linotype" w:eastAsia="Palatino Linotype" w:hAnsi="Palatino Linotype" w:cs="Palatino Linotype"/>
              <w:b/>
              <w:color w:val="000000"/>
            </w:rPr>
            <w:t xml:space="preserve"> </w:t>
          </w:r>
        </w:p>
      </w:tc>
    </w:tr>
    <w:tr w:rsidR="00452988" w14:paraId="48DD793D" w14:textId="77777777">
      <w:trPr>
        <w:trHeight w:val="152"/>
      </w:trPr>
      <w:tc>
        <w:tcPr>
          <w:tcW w:w="2551" w:type="dxa"/>
          <w:vAlign w:val="center"/>
        </w:tcPr>
        <w:p w14:paraId="3A816053" w14:textId="77777777" w:rsidR="00452988" w:rsidRDefault="004303A7">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105931F0" w14:textId="77777777" w:rsidR="00452988" w:rsidRDefault="004303A7">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452988" w14:paraId="265DF655" w14:textId="77777777">
      <w:tc>
        <w:tcPr>
          <w:tcW w:w="2551" w:type="dxa"/>
          <w:vAlign w:val="center"/>
        </w:tcPr>
        <w:p w14:paraId="7380E3B6" w14:textId="77777777" w:rsidR="00452988" w:rsidRDefault="004303A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32ACB30E" w14:textId="77777777" w:rsidR="00452988" w:rsidRDefault="004303A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DBFD0F9" w14:textId="77777777" w:rsidR="00452988" w:rsidRDefault="004303A7">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E1ADE"/>
    <w:multiLevelType w:val="multilevel"/>
    <w:tmpl w:val="CD8C277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617505"/>
    <w:multiLevelType w:val="multilevel"/>
    <w:tmpl w:val="478E88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F47509"/>
    <w:multiLevelType w:val="multilevel"/>
    <w:tmpl w:val="4D62180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40195094"/>
    <w:multiLevelType w:val="multilevel"/>
    <w:tmpl w:val="195076CA"/>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49B455A7"/>
    <w:multiLevelType w:val="multilevel"/>
    <w:tmpl w:val="521ED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988"/>
    <w:rsid w:val="004015F6"/>
    <w:rsid w:val="004303A7"/>
    <w:rsid w:val="00452988"/>
    <w:rsid w:val="00683B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3021B"/>
  <w15:docId w15:val="{722BF6F1-F59E-4C85-A12A-1E0EAA9A9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15" w:type="dxa"/>
        <w:bottom w:w="15" w:type="dxa"/>
        <w:right w:w="115" w:type="dxa"/>
      </w:tblCellMar>
    </w:tblPr>
  </w:style>
  <w:style w:type="table" w:customStyle="1" w:styleId="a0">
    <w:basedOn w:val="TableNormal"/>
    <w:tblPr>
      <w:tblStyleRowBandSize w:val="1"/>
      <w:tblStyleColBandSize w:val="1"/>
      <w:tblCellMar>
        <w:top w:w="15" w:type="dxa"/>
        <w:left w:w="115" w:type="dxa"/>
        <w:bottom w:w="15" w:type="dxa"/>
        <w:right w:w="115" w:type="dxa"/>
      </w:tblCellMar>
    </w:tblPr>
  </w:style>
  <w:style w:type="table" w:customStyle="1" w:styleId="a1">
    <w:basedOn w:val="TableNormal"/>
    <w:tblPr>
      <w:tblStyleRowBandSize w:val="1"/>
      <w:tblStyleColBandSize w:val="1"/>
      <w:tblCellMar>
        <w:top w:w="15" w:type="dxa"/>
        <w:left w:w="115" w:type="dxa"/>
        <w:bottom w:w="15" w:type="dxa"/>
        <w:right w:w="115" w:type="dxa"/>
      </w:tblCellMar>
    </w:tblPr>
  </w:style>
  <w:style w:type="paragraph" w:styleId="Encabezado">
    <w:name w:val="header"/>
    <w:basedOn w:val="Normal"/>
    <w:link w:val="EncabezadoCar"/>
    <w:uiPriority w:val="99"/>
    <w:unhideWhenUsed/>
    <w:rsid w:val="004015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15F6"/>
  </w:style>
  <w:style w:type="paragraph" w:styleId="Piedepgina">
    <w:name w:val="footer"/>
    <w:basedOn w:val="Normal"/>
    <w:link w:val="PiedepginaCar"/>
    <w:uiPriority w:val="99"/>
    <w:unhideWhenUsed/>
    <w:rsid w:val="004015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1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acebook.com/H.AyuntamientoDeToluca/posts/587373450093532"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facebook.com/H.AyuntamientoDeToluca/posts/58737345009353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ITuY5zMXRHU591cMJ0v/Gppn8A==">CgMxLjAyCGguZ2pkZ3hzMgloLjMwajB6bGwyCWguM3pueXNoNzgAciExcC1Kb2VRckM1T0xOMVgtbVhLaElUZGpWQmhyVDFQdVo=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7605</Words>
  <Characters>41829</Characters>
  <Application>Microsoft Office Word</Application>
  <DocSecurity>0</DocSecurity>
  <Lines>348</Lines>
  <Paragraphs>98</Paragraphs>
  <ScaleCrop>false</ScaleCrop>
  <Company/>
  <LinksUpToDate>false</LinksUpToDate>
  <CharactersWithSpaces>49336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ALIENWARE M900</dc:creator>
  <cp:lastModifiedBy>Maricela Villagómez Martínez</cp:lastModifiedBy>
  <cp:revision>2</cp:revision>
  <cp:lastPrinted>2023-12-08T16:42:00Z</cp:lastPrinted>
  <dcterms:created xsi:type="dcterms:W3CDTF">2023-12-19T22:44:00Z</dcterms:created>
  <dcterms:modified xsi:type="dcterms:W3CDTF">2023-12-19T22:44:00Z</dcterms:modified>
</cp:coreProperties>
</file>