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veintiuno de junio de dos mil veintitrés. </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b/>
        </w:rPr>
        <w:t>VISTO</w:t>
      </w:r>
      <w:r w:rsidRPr="00EA3E29">
        <w:rPr>
          <w:rFonts w:ascii="Palatino Linotype" w:eastAsia="Palatino Linotype" w:hAnsi="Palatino Linotype" w:cs="Palatino Linotype"/>
        </w:rPr>
        <w:t xml:space="preserve"> el expediente formado con motivo del recurso de revisión </w:t>
      </w:r>
      <w:r w:rsidRPr="00EA3E29">
        <w:rPr>
          <w:rFonts w:ascii="Palatino Linotype" w:eastAsia="Palatino Linotype" w:hAnsi="Palatino Linotype" w:cs="Palatino Linotype"/>
          <w:b/>
        </w:rPr>
        <w:t>13014/INFOEM/IP/RR/2022</w:t>
      </w:r>
      <w:r w:rsidRPr="00EA3E29">
        <w:rPr>
          <w:rFonts w:ascii="Palatino Linotype" w:eastAsia="Palatino Linotype" w:hAnsi="Palatino Linotype" w:cs="Palatino Linotype"/>
        </w:rPr>
        <w:t xml:space="preserve">, interpuesto por </w:t>
      </w:r>
      <w:r w:rsidR="00E71F7C">
        <w:rPr>
          <w:rFonts w:ascii="Palatino Linotype" w:eastAsia="Palatino Linotype" w:hAnsi="Palatino Linotype" w:cs="Palatino Linotype"/>
          <w:b/>
        </w:rPr>
        <w:t>XX XXX XXXXXXXXXX XXXX XXXXXXXXXX</w:t>
      </w:r>
      <w:bookmarkStart w:id="0" w:name="_GoBack"/>
      <w:bookmarkEnd w:id="0"/>
      <w:r w:rsidRPr="00EA3E29">
        <w:rPr>
          <w:rFonts w:ascii="Palatino Linotype" w:eastAsia="Palatino Linotype" w:hAnsi="Palatino Linotype" w:cs="Palatino Linotype"/>
        </w:rPr>
        <w:t>, en lo sucesivo</w:t>
      </w:r>
      <w:r w:rsidRPr="00EA3E29">
        <w:rPr>
          <w:rFonts w:ascii="Palatino Linotype" w:eastAsia="Palatino Linotype" w:hAnsi="Palatino Linotype" w:cs="Palatino Linotype"/>
          <w:b/>
        </w:rPr>
        <w:t xml:space="preserve"> </w:t>
      </w:r>
      <w:r w:rsidRPr="00EA3E29">
        <w:rPr>
          <w:rFonts w:ascii="Palatino Linotype" w:eastAsia="Palatino Linotype" w:hAnsi="Palatino Linotype" w:cs="Palatino Linotype"/>
        </w:rPr>
        <w:t xml:space="preserve">la parte </w:t>
      </w:r>
      <w:r w:rsidRPr="00EA3E29">
        <w:rPr>
          <w:rFonts w:ascii="Palatino Linotype" w:eastAsia="Palatino Linotype" w:hAnsi="Palatino Linotype" w:cs="Palatino Linotype"/>
          <w:b/>
        </w:rPr>
        <w:t>RECURRENTE,</w:t>
      </w:r>
      <w:r w:rsidRPr="00EA3E29">
        <w:rPr>
          <w:rFonts w:ascii="Palatino Linotype" w:eastAsia="Palatino Linotype" w:hAnsi="Palatino Linotype" w:cs="Palatino Linotype"/>
        </w:rPr>
        <w:t xml:space="preserve"> en contra de la respuesta a su solicitud por parte de la </w:t>
      </w:r>
      <w:r w:rsidRPr="00EA3E29">
        <w:rPr>
          <w:rFonts w:ascii="Palatino Linotype" w:eastAsia="Palatino Linotype" w:hAnsi="Palatino Linotype" w:cs="Palatino Linotype"/>
          <w:b/>
        </w:rPr>
        <w:t xml:space="preserve">Secretaría de Cultura y Turismo, </w:t>
      </w:r>
      <w:r w:rsidRPr="00EA3E29">
        <w:rPr>
          <w:rFonts w:ascii="Palatino Linotype" w:eastAsia="Palatino Linotype" w:hAnsi="Palatino Linotype" w:cs="Palatino Linotype"/>
        </w:rPr>
        <w:t xml:space="preserve">en lo sucesivo el </w:t>
      </w:r>
      <w:r w:rsidRPr="00EA3E29">
        <w:rPr>
          <w:rFonts w:ascii="Palatino Linotype" w:eastAsia="Palatino Linotype" w:hAnsi="Palatino Linotype" w:cs="Palatino Linotype"/>
          <w:b/>
        </w:rPr>
        <w:t xml:space="preserve">SUJETO OBLIGADO, </w:t>
      </w:r>
      <w:r w:rsidRPr="00EA3E29">
        <w:rPr>
          <w:rFonts w:ascii="Palatino Linotype" w:eastAsia="Palatino Linotype" w:hAnsi="Palatino Linotype" w:cs="Palatino Linotype"/>
        </w:rPr>
        <w:t xml:space="preserve">se procede a dictar la presente resolución con base en los siguientes: </w:t>
      </w:r>
    </w:p>
    <w:p w:rsidR="00550112" w:rsidRPr="00EA3E29" w:rsidRDefault="00221369">
      <w:pPr>
        <w:spacing w:before="240" w:after="240" w:line="360" w:lineRule="auto"/>
        <w:jc w:val="center"/>
        <w:rPr>
          <w:rFonts w:ascii="Palatino Linotype" w:eastAsia="Palatino Linotype" w:hAnsi="Palatino Linotype" w:cs="Palatino Linotype"/>
          <w:b/>
        </w:rPr>
      </w:pPr>
      <w:r w:rsidRPr="00EA3E29">
        <w:rPr>
          <w:rFonts w:ascii="Palatino Linotype" w:eastAsia="Palatino Linotype" w:hAnsi="Palatino Linotype" w:cs="Palatino Linotype"/>
          <w:b/>
        </w:rPr>
        <w:t>I. A N T E C E D E N T E 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b/>
        </w:rPr>
        <w:t>1. Solicitud de acceso a la información.</w:t>
      </w:r>
      <w:r w:rsidRPr="00EA3E29">
        <w:rPr>
          <w:rFonts w:ascii="Palatino Linotype" w:eastAsia="Palatino Linotype" w:hAnsi="Palatino Linotype" w:cs="Palatino Linotype"/>
        </w:rPr>
        <w:t xml:space="preserve"> Con fecha </w:t>
      </w:r>
      <w:r w:rsidRPr="00EA3E29">
        <w:rPr>
          <w:rFonts w:ascii="Palatino Linotype" w:eastAsia="Palatino Linotype" w:hAnsi="Palatino Linotype" w:cs="Palatino Linotype"/>
          <w:b/>
        </w:rPr>
        <w:t>veintiuno de junio de</w:t>
      </w:r>
      <w:r w:rsidRPr="00EA3E29">
        <w:rPr>
          <w:rFonts w:ascii="Palatino Linotype" w:eastAsia="Palatino Linotype" w:hAnsi="Palatino Linotype" w:cs="Palatino Linotype"/>
        </w:rPr>
        <w:t xml:space="preserve"> </w:t>
      </w:r>
      <w:r w:rsidRPr="00EA3E29">
        <w:rPr>
          <w:rFonts w:ascii="Palatino Linotype" w:eastAsia="Palatino Linotype" w:hAnsi="Palatino Linotype" w:cs="Palatino Linotype"/>
          <w:b/>
        </w:rPr>
        <w:t>dos mil veintidós,</w:t>
      </w:r>
      <w:r w:rsidRPr="00EA3E29">
        <w:rPr>
          <w:rFonts w:ascii="Palatino Linotype" w:eastAsia="Palatino Linotype" w:hAnsi="Palatino Linotype" w:cs="Palatino Linotype"/>
        </w:rPr>
        <w:t xml:space="preserve"> la parte </w:t>
      </w:r>
      <w:r w:rsidRPr="00EA3E29">
        <w:rPr>
          <w:rFonts w:ascii="Palatino Linotype" w:eastAsia="Palatino Linotype" w:hAnsi="Palatino Linotype" w:cs="Palatino Linotype"/>
          <w:b/>
        </w:rPr>
        <w:t xml:space="preserve">Recurrente </w:t>
      </w:r>
      <w:r w:rsidRPr="00EA3E29">
        <w:rPr>
          <w:rFonts w:ascii="Palatino Linotype" w:eastAsia="Palatino Linotype" w:hAnsi="Palatino Linotype" w:cs="Palatino Linotype"/>
        </w:rPr>
        <w:t xml:space="preserve">presentó, a través del Sistema de Acceso a la Información Mexiquense, en lo subsecuente el </w:t>
      </w:r>
      <w:r w:rsidRPr="00EA3E29">
        <w:rPr>
          <w:rFonts w:ascii="Palatino Linotype" w:eastAsia="Palatino Linotype" w:hAnsi="Palatino Linotype" w:cs="Palatino Linotype"/>
          <w:b/>
        </w:rPr>
        <w:t>SAIMEX,</w:t>
      </w:r>
      <w:r w:rsidRPr="00EA3E29">
        <w:rPr>
          <w:rFonts w:ascii="Palatino Linotype" w:eastAsia="Palatino Linotype" w:hAnsi="Palatino Linotype" w:cs="Palatino Linotype"/>
        </w:rPr>
        <w:t xml:space="preserve"> ante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la solicitud de acceso a la información pública, a la que se le asignó el número</w:t>
      </w:r>
      <w:r w:rsidRPr="00EA3E29">
        <w:rPr>
          <w:rFonts w:ascii="Palatino Linotype" w:eastAsia="Palatino Linotype" w:hAnsi="Palatino Linotype" w:cs="Palatino Linotype"/>
          <w:b/>
        </w:rPr>
        <w:t xml:space="preserve"> 00098/SCTUR/IP/2022, </w:t>
      </w:r>
      <w:r w:rsidRPr="00EA3E29">
        <w:rPr>
          <w:rFonts w:ascii="Palatino Linotype" w:eastAsia="Palatino Linotype" w:hAnsi="Palatino Linotype" w:cs="Palatino Linotype"/>
        </w:rPr>
        <w:t xml:space="preserve">mediante la cual requirió la información siguiente: </w:t>
      </w:r>
    </w:p>
    <w:p w:rsidR="00550112" w:rsidRPr="00EA3E29" w:rsidRDefault="00221369">
      <w:pPr>
        <w:spacing w:before="240" w:after="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EA3E29">
        <w:rPr>
          <w:rFonts w:ascii="Palatino Linotype" w:eastAsia="Palatino Linotype" w:hAnsi="Palatino Linotype" w:cs="Palatino Linotype"/>
          <w:i/>
          <w:sz w:val="22"/>
          <w:szCs w:val="22"/>
        </w:rPr>
        <w:t>“Solicito el Plan de Trabajo del Sistema de Gestión de Protección de Datos Personales de esta Dependencia, correspondiente al ejercicio 2019 a 2022, así como los documentos y/</w:t>
      </w:r>
      <w:proofErr w:type="spellStart"/>
      <w:r w:rsidRPr="00EA3E29">
        <w:rPr>
          <w:rFonts w:ascii="Palatino Linotype" w:eastAsia="Palatino Linotype" w:hAnsi="Palatino Linotype" w:cs="Palatino Linotype"/>
          <w:i/>
          <w:sz w:val="22"/>
          <w:szCs w:val="22"/>
        </w:rPr>
        <w:t>o</w:t>
      </w:r>
      <w:proofErr w:type="spellEnd"/>
      <w:r w:rsidRPr="00EA3E29">
        <w:rPr>
          <w:rFonts w:ascii="Palatino Linotype" w:eastAsia="Palatino Linotype" w:hAnsi="Palatino Linotype" w:cs="Palatino Linotype"/>
          <w:i/>
          <w:sz w:val="22"/>
          <w:szCs w:val="22"/>
        </w:rPr>
        <w:t xml:space="preserve"> oficios generados y recibidos por la Unidad de Transparencia conforme al siguiente orden: Designación de los Administradores de Bases de Datos, Actualización de Avisos de Privacidad, Supervisión a las bases de datos documentales o electrónicas para establecer medidas de seguridad, Establecer bitácora de violaciones a la seguridad de las bases de datos </w:t>
      </w:r>
      <w:r w:rsidRPr="00EA3E29">
        <w:rPr>
          <w:rFonts w:ascii="Palatino Linotype" w:eastAsia="Palatino Linotype" w:hAnsi="Palatino Linotype" w:cs="Palatino Linotype"/>
          <w:i/>
          <w:sz w:val="22"/>
          <w:szCs w:val="22"/>
        </w:rPr>
        <w:lastRenderedPageBreak/>
        <w:t>documentales o electrónicas, Establecer el Plan de contingencia con las Unidades Administrativas y Actualización de bases de datos, el inventario de las bases de datos, documentos de Gestión de seguridad y documentos de seguridad de la dependencia.” (</w:t>
      </w:r>
      <w:proofErr w:type="gramStart"/>
      <w:r w:rsidRPr="00EA3E29">
        <w:rPr>
          <w:rFonts w:ascii="Palatino Linotype" w:eastAsia="Palatino Linotype" w:hAnsi="Palatino Linotype" w:cs="Palatino Linotype"/>
          <w:i/>
          <w:sz w:val="22"/>
          <w:szCs w:val="22"/>
        </w:rPr>
        <w:t>sic</w:t>
      </w:r>
      <w:proofErr w:type="gramEnd"/>
      <w:r w:rsidRPr="00EA3E29">
        <w:rPr>
          <w:rFonts w:ascii="Palatino Linotype" w:eastAsia="Palatino Linotype" w:hAnsi="Palatino Linotype" w:cs="Palatino Linotype"/>
          <w:i/>
          <w:sz w:val="22"/>
          <w:szCs w:val="22"/>
        </w:rPr>
        <w:t xml:space="preserve">)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La parte </w:t>
      </w:r>
      <w:r w:rsidRPr="00EA3E29">
        <w:rPr>
          <w:rFonts w:ascii="Palatino Linotype" w:eastAsia="Palatino Linotype" w:hAnsi="Palatino Linotype" w:cs="Palatino Linotype"/>
          <w:b/>
        </w:rPr>
        <w:t>Recurrente</w:t>
      </w:r>
      <w:r w:rsidRPr="00EA3E29">
        <w:rPr>
          <w:rFonts w:ascii="Palatino Linotype" w:eastAsia="Palatino Linotype" w:hAnsi="Palatino Linotype" w:cs="Palatino Linotype"/>
        </w:rPr>
        <w:t xml:space="preserve"> no adjuntó archivos.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b/>
        </w:rPr>
        <w:t>Modalidad de Entrega:</w:t>
      </w:r>
      <w:r w:rsidRPr="00EA3E29">
        <w:rPr>
          <w:rFonts w:ascii="Palatino Linotype" w:eastAsia="Palatino Linotype" w:hAnsi="Palatino Linotype" w:cs="Palatino Linotype"/>
        </w:rPr>
        <w:t xml:space="preserve"> a través </w:t>
      </w:r>
      <w:r w:rsidRPr="00EA3E29">
        <w:rPr>
          <w:rFonts w:ascii="Palatino Linotype" w:eastAsia="Palatino Linotype" w:hAnsi="Palatino Linotype" w:cs="Palatino Linotype"/>
          <w:b/>
        </w:rPr>
        <w:t>de SAIMEX</w:t>
      </w:r>
    </w:p>
    <w:p w:rsidR="00550112" w:rsidRPr="00EA3E29" w:rsidRDefault="00221369">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EA3E29">
        <w:rPr>
          <w:rFonts w:ascii="Palatino Linotype" w:eastAsia="Palatino Linotype" w:hAnsi="Palatino Linotype" w:cs="Palatino Linotype"/>
          <w:b/>
        </w:rPr>
        <w:t xml:space="preserve">2. Respuesta. </w:t>
      </w:r>
      <w:r w:rsidRPr="00EA3E29">
        <w:rPr>
          <w:rFonts w:ascii="Palatino Linotype" w:eastAsia="Palatino Linotype" w:hAnsi="Palatino Linotype" w:cs="Palatino Linotype"/>
        </w:rPr>
        <w:t>Con fecha</w:t>
      </w:r>
      <w:r w:rsidRPr="00EA3E29">
        <w:rPr>
          <w:rFonts w:ascii="Palatino Linotype" w:eastAsia="Palatino Linotype" w:hAnsi="Palatino Linotype" w:cs="Palatino Linotype"/>
          <w:b/>
        </w:rPr>
        <w:t xml:space="preserve"> doce de julio de dos mil veintidós</w:t>
      </w:r>
      <w:r w:rsidRPr="00EA3E29">
        <w:rPr>
          <w:rFonts w:ascii="Palatino Linotype" w:eastAsia="Palatino Linotype" w:hAnsi="Palatino Linotype" w:cs="Palatino Linotype"/>
        </w:rPr>
        <w:t xml:space="preserve">, el </w:t>
      </w:r>
      <w:r w:rsidRPr="00EA3E29">
        <w:rPr>
          <w:rFonts w:ascii="Palatino Linotype" w:eastAsia="Palatino Linotype" w:hAnsi="Palatino Linotype" w:cs="Palatino Linotype"/>
          <w:b/>
        </w:rPr>
        <w:t xml:space="preserve">Sujeto Obligado </w:t>
      </w:r>
      <w:r w:rsidRPr="00EA3E29">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550112" w:rsidRPr="00EA3E29" w:rsidRDefault="00221369">
      <w:pPr>
        <w:spacing w:before="240" w:after="24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“Respecto a la solicitud número 00098/SCTUR/IP/2022, le informo lo siguiente: </w:t>
      </w:r>
      <w:r w:rsidRPr="00EA3E29">
        <w:rPr>
          <w:rFonts w:ascii="Palatino Linotype" w:eastAsia="Palatino Linotype" w:hAnsi="Palatino Linotype" w:cs="Palatino Linotype"/>
          <w:b/>
          <w:i/>
          <w:sz w:val="22"/>
          <w:szCs w:val="22"/>
        </w:rPr>
        <w:t>Referente al Plan de Trabajo solicitado, se hace del conocimiento que, a partir de la publicación del Reglamento Interior de la Secretaría de Cultura y Turismo en el Periódico Oficial “Gaceta del Gobierno” de fecha 21 de junio de 2022, se desarrolla con base a la nueva estructura orgánica plasmada en el propio reglamento, y se enfoca principalmente en 2 vertientes, eliminar las brechas a través de la implementación de medidas de seguridad pendientes en cada uno de los tratamientos de datos personales identificados, y la consolidación y preservación de los niveles de protección de los datos personales a través de mecanismos de monitoreo y revisión</w:t>
      </w:r>
      <w:r w:rsidRPr="00EA3E29">
        <w:rPr>
          <w:rFonts w:ascii="Palatino Linotype" w:eastAsia="Palatino Linotype" w:hAnsi="Palatino Linotype" w:cs="Palatino Linotype"/>
          <w:i/>
          <w:sz w:val="22"/>
          <w:szCs w:val="22"/>
        </w:rPr>
        <w:t xml:space="preserve">. </w:t>
      </w:r>
    </w:p>
    <w:p w:rsidR="00550112" w:rsidRPr="00EA3E29" w:rsidRDefault="00221369">
      <w:pPr>
        <w:spacing w:before="240" w:after="24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u w:val="single"/>
        </w:rPr>
        <w:t xml:space="preserve">Con relación a la designación de Administradores de Bases de Datos Personales, se tiene registro a los siguientes Servidores Públicos: Administradora: Lic. </w:t>
      </w:r>
      <w:proofErr w:type="spellStart"/>
      <w:r w:rsidRPr="00EA3E29">
        <w:rPr>
          <w:rFonts w:ascii="Palatino Linotype" w:eastAsia="Palatino Linotype" w:hAnsi="Palatino Linotype" w:cs="Palatino Linotype"/>
          <w:i/>
          <w:sz w:val="22"/>
          <w:szCs w:val="22"/>
          <w:u w:val="single"/>
        </w:rPr>
        <w:t>Thelma</w:t>
      </w:r>
      <w:proofErr w:type="spellEnd"/>
      <w:r w:rsidRPr="00EA3E29">
        <w:rPr>
          <w:rFonts w:ascii="Palatino Linotype" w:eastAsia="Palatino Linotype" w:hAnsi="Palatino Linotype" w:cs="Palatino Linotype"/>
          <w:i/>
          <w:sz w:val="22"/>
          <w:szCs w:val="22"/>
          <w:u w:val="single"/>
        </w:rPr>
        <w:t xml:space="preserve"> A. Morales García Cargo: Jefa del Departamento de Museos. Administradora: Lic. Stephanie </w:t>
      </w:r>
      <w:proofErr w:type="spellStart"/>
      <w:r w:rsidRPr="00EA3E29">
        <w:rPr>
          <w:rFonts w:ascii="Palatino Linotype" w:eastAsia="Palatino Linotype" w:hAnsi="Palatino Linotype" w:cs="Palatino Linotype"/>
          <w:i/>
          <w:sz w:val="22"/>
          <w:szCs w:val="22"/>
          <w:u w:val="single"/>
        </w:rPr>
        <w:t>Albiter</w:t>
      </w:r>
      <w:proofErr w:type="spellEnd"/>
      <w:r w:rsidRPr="00EA3E29">
        <w:rPr>
          <w:rFonts w:ascii="Palatino Linotype" w:eastAsia="Palatino Linotype" w:hAnsi="Palatino Linotype" w:cs="Palatino Linotype"/>
          <w:i/>
          <w:sz w:val="22"/>
          <w:szCs w:val="22"/>
          <w:u w:val="single"/>
        </w:rPr>
        <w:t xml:space="preserve"> Gómez Cargo: Encargada del Departamento de Actividades Culturales y Artísticas Administrador: Arq. Gabino Simeón Santana Moreno Cargo: Jefe del Archivo Histórico del Estado de México.</w:t>
      </w:r>
      <w:r w:rsidRPr="00EA3E29">
        <w:rPr>
          <w:rFonts w:ascii="Palatino Linotype" w:eastAsia="Palatino Linotype" w:hAnsi="Palatino Linotype" w:cs="Palatino Linotype"/>
          <w:i/>
          <w:sz w:val="22"/>
          <w:szCs w:val="22"/>
        </w:rPr>
        <w:t xml:space="preserve"> </w:t>
      </w:r>
    </w:p>
    <w:p w:rsidR="00550112" w:rsidRPr="00EA3E29" w:rsidRDefault="00221369">
      <w:pPr>
        <w:spacing w:before="240" w:after="24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 xml:space="preserve">En cuanto al Aviso de Privacidad de esta Secretaría de Cultura y Turismo, puede consultarlo en la siguiente liga oficial: http://cultura.edomex.gob.mx/sites/cultura.edomex.gob.mx/files/files/transparencia/av2022.pdf Respecto a la supervisión a Bases de Datos </w:t>
      </w:r>
      <w:r w:rsidRPr="00EA3E29">
        <w:rPr>
          <w:rFonts w:ascii="Palatino Linotype" w:eastAsia="Palatino Linotype" w:hAnsi="Palatino Linotype" w:cs="Palatino Linotype"/>
          <w:b/>
          <w:i/>
          <w:sz w:val="22"/>
          <w:szCs w:val="22"/>
        </w:rPr>
        <w:lastRenderedPageBreak/>
        <w:t xml:space="preserve">Personales se tiene un registro para llevar a cabo el ejercicio a dichas Bases, por lo que se anexa en formato </w:t>
      </w:r>
      <w:proofErr w:type="spellStart"/>
      <w:r w:rsidRPr="00EA3E29">
        <w:rPr>
          <w:rFonts w:ascii="Palatino Linotype" w:eastAsia="Palatino Linotype" w:hAnsi="Palatino Linotype" w:cs="Palatino Linotype"/>
          <w:b/>
          <w:i/>
          <w:sz w:val="22"/>
          <w:szCs w:val="22"/>
        </w:rPr>
        <w:t>pdf</w:t>
      </w:r>
      <w:proofErr w:type="spellEnd"/>
      <w:r w:rsidRPr="00EA3E29">
        <w:rPr>
          <w:rFonts w:ascii="Palatino Linotype" w:eastAsia="Palatino Linotype" w:hAnsi="Palatino Linotype" w:cs="Palatino Linotype"/>
          <w:b/>
          <w:i/>
          <w:sz w:val="22"/>
          <w:szCs w:val="22"/>
        </w:rPr>
        <w:t>. (Matriz, Registro de incidencias</w:t>
      </w:r>
      <w:r w:rsidRPr="00EA3E29">
        <w:rPr>
          <w:rFonts w:ascii="Palatino Linotype" w:eastAsia="Palatino Linotype" w:hAnsi="Palatino Linotype" w:cs="Palatino Linotype"/>
          <w:i/>
          <w:sz w:val="22"/>
          <w:szCs w:val="22"/>
        </w:rPr>
        <w:t xml:space="preserve">) </w:t>
      </w:r>
    </w:p>
    <w:p w:rsidR="00550112" w:rsidRPr="00EA3E29" w:rsidRDefault="00221369">
      <w:pPr>
        <w:spacing w:before="240" w:after="24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Respecto al Plan de contingencia y actualización de las Bases de Datos Personales, se encuentra en proceso al interior de la Secretaría de Cultura y Turismo, derivado de la publicación del Reglamento Interior de la Secretaría de Cultura y Turismo en el Periódico Oficial “Gaceta del Gobierno” de fecha 21 de junio de 2022, se desarrolla con base a la nueva estructura orgánica plasmada en el propio reglamento, realizando el análisis y complementando las nuevas Bases de Datos que se manejarán en las diferentes áreas administrativas de esta Secretaría y a su vez llevar a cabo el procedimiento ante el Instituto de Transparencia, Acceso a la Información Pública y Protección de Datos Personales del Estado de México y Municipios (INFOEM) para su autorización</w:t>
      </w:r>
      <w:r w:rsidRPr="00EA3E29">
        <w:rPr>
          <w:rFonts w:ascii="Palatino Linotype" w:eastAsia="Palatino Linotype" w:hAnsi="Palatino Linotype" w:cs="Palatino Linotype"/>
          <w:i/>
          <w:sz w:val="22"/>
          <w:szCs w:val="22"/>
        </w:rPr>
        <w:t xml:space="preserve">. </w:t>
      </w:r>
    </w:p>
    <w:p w:rsidR="00550112" w:rsidRPr="00EA3E29" w:rsidRDefault="00221369">
      <w:pPr>
        <w:spacing w:before="240" w:after="24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En lo que concierne al inventario de las Bases de Datos Personales y documento de seguridad, se anexa el documento que se tiene en esta Secretaría de Cultura y Turismo</w:t>
      </w:r>
      <w:r w:rsidRPr="00EA3E29">
        <w:rPr>
          <w:rFonts w:ascii="Palatino Linotype" w:eastAsia="Palatino Linotype" w:hAnsi="Palatino Linotype" w:cs="Palatino Linotype"/>
          <w:i/>
          <w:sz w:val="22"/>
          <w:szCs w:val="22"/>
        </w:rPr>
        <w:t xml:space="preserve">. </w:t>
      </w:r>
    </w:p>
    <w:p w:rsidR="00550112" w:rsidRPr="00EA3E29" w:rsidRDefault="00221369">
      <w:pPr>
        <w:spacing w:before="240" w:after="24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No omito mencionar, que los documentos antes señalados pueden sufrir actualizaciones o modificaciones para las nuevas Bases de Datos en el momento que se tenga autorización por parte del Comité de Transparencia de esta Secretaría de Cultura y Turismo y el mismo Órgano Garante del INFOEM.” (</w:t>
      </w:r>
      <w:proofErr w:type="gramStart"/>
      <w:r w:rsidRPr="00EA3E29">
        <w:rPr>
          <w:rFonts w:ascii="Palatino Linotype" w:eastAsia="Palatino Linotype" w:hAnsi="Palatino Linotype" w:cs="Palatino Linotype"/>
          <w:i/>
          <w:sz w:val="22"/>
          <w:szCs w:val="22"/>
        </w:rPr>
        <w:t>sic</w:t>
      </w:r>
      <w:proofErr w:type="gramEnd"/>
      <w:r w:rsidRPr="00EA3E29">
        <w:rPr>
          <w:rFonts w:ascii="Palatino Linotype" w:eastAsia="Palatino Linotype" w:hAnsi="Palatino Linotype" w:cs="Palatino Linotype"/>
          <w:i/>
          <w:sz w:val="22"/>
          <w:szCs w:val="22"/>
        </w:rPr>
        <w:t>)</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El </w:t>
      </w:r>
      <w:r w:rsidRPr="00EA3E29">
        <w:rPr>
          <w:rFonts w:ascii="Palatino Linotype" w:eastAsia="Palatino Linotype" w:hAnsi="Palatino Linotype" w:cs="Palatino Linotype"/>
          <w:b/>
        </w:rPr>
        <w:t xml:space="preserve">SUJETO OBLIGADO </w:t>
      </w:r>
      <w:r w:rsidRPr="00EA3E29">
        <w:rPr>
          <w:rFonts w:ascii="Palatino Linotype" w:eastAsia="Palatino Linotype" w:hAnsi="Palatino Linotype" w:cs="Palatino Linotype"/>
        </w:rPr>
        <w:t>adjuntó a su respuesta, los siguientes archivos electrónicos, que contienen:</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w:t>
      </w:r>
      <w:hyperlink r:id="rId8">
        <w:r w:rsidRPr="00EA3E29">
          <w:rPr>
            <w:rFonts w:ascii="Palatino Linotype" w:eastAsia="Palatino Linotype" w:hAnsi="Palatino Linotype" w:cs="Palatino Linotype"/>
          </w:rPr>
          <w:t>REGISTRO INCIDENCIAS.pdf</w:t>
        </w:r>
      </w:hyperlink>
      <w:r w:rsidRPr="00EA3E29">
        <w:rPr>
          <w:rFonts w:ascii="Palatino Linotype" w:eastAsia="Palatino Linotype" w:hAnsi="Palatino Linotype" w:cs="Palatino Linotype"/>
        </w:rPr>
        <w:t xml:space="preserve">”, el cual contiene un formato de registro de incidencias, en versión pública, en donde se aprecia que se testó información correspondiente a la fecha, tipo de incidencia, descripción, persona quien registra, persona quien se le comunica y consecuencia de la incidencia.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lastRenderedPageBreak/>
        <w:t>“</w:t>
      </w:r>
      <w:hyperlink r:id="rId9">
        <w:r w:rsidRPr="00EA3E29">
          <w:rPr>
            <w:rFonts w:ascii="Palatino Linotype" w:eastAsia="Palatino Linotype" w:hAnsi="Palatino Linotype" w:cs="Palatino Linotype"/>
          </w:rPr>
          <w:t>Documento de Seguridad 2021.pdf</w:t>
        </w:r>
      </w:hyperlink>
      <w:r w:rsidRPr="00EA3E29">
        <w:rPr>
          <w:rFonts w:ascii="Palatino Linotype" w:eastAsia="Palatino Linotype" w:hAnsi="Palatino Linotype" w:cs="Palatino Linotype"/>
        </w:rPr>
        <w:t xml:space="preserve">”, el cual contiene un documento denominado “documento de seguridad”, sobre el tratamiento de datos personales en posesión del Sujeto Obligado Secretaría de Cultura y Turismo, constante de 12 fojas.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w:t>
      </w:r>
      <w:hyperlink r:id="rId10">
        <w:r w:rsidRPr="00EA3E29">
          <w:rPr>
            <w:rFonts w:ascii="Palatino Linotype" w:eastAsia="Palatino Linotype" w:hAnsi="Palatino Linotype" w:cs="Palatino Linotype"/>
          </w:rPr>
          <w:t>Análisis de Brecha.pdf</w:t>
        </w:r>
      </w:hyperlink>
      <w:r w:rsidRPr="00EA3E29">
        <w:rPr>
          <w:rFonts w:ascii="Palatino Linotype" w:eastAsia="Palatino Linotype" w:hAnsi="Palatino Linotype" w:cs="Palatino Linotype"/>
        </w:rPr>
        <w:t xml:space="preserve">”, el cual contiene el análisis de brecha de la Dirección General de Patrimonio y Servicios Culturales del Valle de Toluca, en versión pública en donde se aprecia que se testó información correspondiente a las observaciones y si es existente o no.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w:t>
      </w:r>
      <w:hyperlink r:id="rId11">
        <w:r w:rsidRPr="00EA3E29">
          <w:rPr>
            <w:rFonts w:ascii="Palatino Linotype" w:eastAsia="Palatino Linotype" w:hAnsi="Palatino Linotype" w:cs="Palatino Linotype"/>
          </w:rPr>
          <w:t xml:space="preserve">INVENTARIO DE </w:t>
        </w:r>
        <w:proofErr w:type="gramStart"/>
        <w:r w:rsidRPr="00EA3E29">
          <w:rPr>
            <w:rFonts w:ascii="Palatino Linotype" w:eastAsia="Palatino Linotype" w:hAnsi="Palatino Linotype" w:cs="Palatino Linotype"/>
          </w:rPr>
          <w:t>D.P..</w:t>
        </w:r>
        <w:proofErr w:type="spellStart"/>
        <w:proofErr w:type="gramEnd"/>
        <w:r w:rsidRPr="00EA3E29">
          <w:rPr>
            <w:rFonts w:ascii="Palatino Linotype" w:eastAsia="Palatino Linotype" w:hAnsi="Palatino Linotype" w:cs="Palatino Linotype"/>
          </w:rPr>
          <w:t>pdf</w:t>
        </w:r>
        <w:proofErr w:type="spellEnd"/>
      </w:hyperlink>
      <w:r w:rsidRPr="00EA3E29">
        <w:rPr>
          <w:rFonts w:ascii="Palatino Linotype" w:eastAsia="Palatino Linotype" w:hAnsi="Palatino Linotype" w:cs="Palatino Linotype"/>
        </w:rPr>
        <w:t>”, el cual contiene el inventario de datos personales de la Dirección General de Patrimonio y Servicios Culturales del Valle de Toluca, en versión pública, en donde se aprecia que se testó información correspondiente a los datos de identificación y contacto.</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w:t>
      </w:r>
      <w:hyperlink r:id="rId12">
        <w:r w:rsidRPr="00EA3E29">
          <w:rPr>
            <w:rFonts w:ascii="Palatino Linotype" w:eastAsia="Palatino Linotype" w:hAnsi="Palatino Linotype" w:cs="Palatino Linotype"/>
          </w:rPr>
          <w:t>MATRIZ.pdf</w:t>
        </w:r>
      </w:hyperlink>
      <w:r w:rsidRPr="00EA3E29">
        <w:rPr>
          <w:rFonts w:ascii="Palatino Linotype" w:eastAsia="Palatino Linotype" w:hAnsi="Palatino Linotype" w:cs="Palatino Linotype"/>
        </w:rPr>
        <w:t xml:space="preserve">”, el cual contiene la matriz de análisis de riesgos Dirección General de Patrimonio y Servicios Culturales del Valle de Toluca, en versión pública en donde se aprecia que se testó información correspondiente al nombre de base de datos personales, riesgo, análisis (probabilidad-gravedad), tratamiento o control operacional.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w:t>
      </w:r>
      <w:hyperlink r:id="rId13">
        <w:r w:rsidRPr="00EA3E29">
          <w:rPr>
            <w:rFonts w:ascii="Palatino Linotype" w:eastAsia="Palatino Linotype" w:hAnsi="Palatino Linotype" w:cs="Palatino Linotype"/>
          </w:rPr>
          <w:t>av2022.pdf</w:t>
        </w:r>
      </w:hyperlink>
      <w:r w:rsidRPr="00EA3E29">
        <w:rPr>
          <w:rFonts w:ascii="Palatino Linotype" w:eastAsia="Palatino Linotype" w:hAnsi="Palatino Linotype" w:cs="Palatino Linotype"/>
        </w:rPr>
        <w:t xml:space="preserve">”, el cual contiene el aviso de privacidad de la Secretaría de Cultura y Turismo, constante de 14 fojas.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b/>
        </w:rPr>
        <w:t xml:space="preserve">3. Interposición del recurso de revisión. </w:t>
      </w:r>
      <w:r w:rsidRPr="00EA3E29">
        <w:rPr>
          <w:rFonts w:ascii="Palatino Linotype" w:eastAsia="Palatino Linotype" w:hAnsi="Palatino Linotype" w:cs="Palatino Linotype"/>
        </w:rPr>
        <w:t xml:space="preserve">Inconforme con los términos de la respuesta emitida por parte del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el </w:t>
      </w:r>
      <w:r w:rsidRPr="00EA3E29">
        <w:rPr>
          <w:rFonts w:ascii="Palatino Linotype" w:eastAsia="Palatino Linotype" w:hAnsi="Palatino Linotype" w:cs="Palatino Linotype"/>
          <w:b/>
        </w:rPr>
        <w:t xml:space="preserve">primero de agosto de dos </w:t>
      </w:r>
      <w:r w:rsidRPr="00EA3E29">
        <w:rPr>
          <w:rFonts w:ascii="Palatino Linotype" w:eastAsia="Palatino Linotype" w:hAnsi="Palatino Linotype" w:cs="Palatino Linotype"/>
          <w:b/>
        </w:rPr>
        <w:lastRenderedPageBreak/>
        <w:t>mil veintidós,</w:t>
      </w:r>
      <w:r w:rsidRPr="00EA3E29">
        <w:rPr>
          <w:rFonts w:ascii="Palatino Linotype" w:eastAsia="Palatino Linotype" w:hAnsi="Palatino Linotype" w:cs="Palatino Linotype"/>
        </w:rPr>
        <w:t xml:space="preserve"> la parte </w:t>
      </w:r>
      <w:r w:rsidRPr="00EA3E29">
        <w:rPr>
          <w:rFonts w:ascii="Palatino Linotype" w:eastAsia="Palatino Linotype" w:hAnsi="Palatino Linotype" w:cs="Palatino Linotype"/>
          <w:b/>
        </w:rPr>
        <w:t>Recurrente</w:t>
      </w:r>
      <w:r w:rsidRPr="00EA3E29">
        <w:rPr>
          <w:rFonts w:ascii="Palatino Linotype" w:eastAsia="Palatino Linotype" w:hAnsi="Palatino Linotype" w:cs="Palatino Linotype"/>
        </w:rPr>
        <w:t xml:space="preserve"> interpuso el recurso de revisión a través de </w:t>
      </w:r>
      <w:r w:rsidRPr="00EA3E29">
        <w:rPr>
          <w:rFonts w:ascii="Palatino Linotype" w:eastAsia="Palatino Linotype" w:hAnsi="Palatino Linotype" w:cs="Palatino Linotype"/>
          <w:b/>
        </w:rPr>
        <w:t xml:space="preserve">SAIMEX, </w:t>
      </w:r>
      <w:r w:rsidRPr="00EA3E29">
        <w:rPr>
          <w:rFonts w:ascii="Palatino Linotype" w:eastAsia="Palatino Linotype" w:hAnsi="Palatino Linotype" w:cs="Palatino Linotype"/>
        </w:rPr>
        <w:t>en donde se manifestó de la siguiente manera:</w:t>
      </w:r>
    </w:p>
    <w:p w:rsidR="00550112" w:rsidRPr="00EA3E29" w:rsidRDefault="00221369">
      <w:pPr>
        <w:tabs>
          <w:tab w:val="left" w:pos="2745"/>
        </w:tabs>
        <w:spacing w:before="240" w:after="240" w:line="360" w:lineRule="auto"/>
        <w:jc w:val="both"/>
        <w:rPr>
          <w:rFonts w:ascii="Palatino Linotype" w:eastAsia="Palatino Linotype" w:hAnsi="Palatino Linotype" w:cs="Palatino Linotype"/>
          <w:b/>
        </w:rPr>
      </w:pPr>
      <w:r w:rsidRPr="00EA3E29">
        <w:rPr>
          <w:rFonts w:ascii="Palatino Linotype" w:eastAsia="Palatino Linotype" w:hAnsi="Palatino Linotype" w:cs="Palatino Linotype"/>
          <w:b/>
        </w:rPr>
        <w:t xml:space="preserve">Acto impugnado: </w:t>
      </w:r>
    </w:p>
    <w:p w:rsidR="00550112" w:rsidRPr="00EA3E29" w:rsidRDefault="00221369">
      <w:pPr>
        <w:tabs>
          <w:tab w:val="left" w:pos="2745"/>
        </w:tabs>
        <w:spacing w:before="240" w:after="240"/>
        <w:ind w:left="851" w:right="900"/>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“Entregan información incompleta” (sic)</w:t>
      </w:r>
    </w:p>
    <w:p w:rsidR="00550112" w:rsidRPr="00EA3E29" w:rsidRDefault="00221369">
      <w:pPr>
        <w:spacing w:line="360" w:lineRule="auto"/>
        <w:jc w:val="both"/>
        <w:rPr>
          <w:rFonts w:ascii="Palatino Linotype" w:eastAsia="Palatino Linotype" w:hAnsi="Palatino Linotype" w:cs="Palatino Linotype"/>
        </w:rPr>
      </w:pPr>
      <w:bookmarkStart w:id="3" w:name="_heading=h.30j0zll" w:colFirst="0" w:colLast="0"/>
      <w:bookmarkEnd w:id="3"/>
      <w:r w:rsidRPr="00EA3E29">
        <w:rPr>
          <w:rFonts w:ascii="Palatino Linotype" w:eastAsia="Palatino Linotype" w:hAnsi="Palatino Linotype" w:cs="Palatino Linotype"/>
          <w:b/>
        </w:rPr>
        <w:t>Y Razones o motivos de inconformidad</w:t>
      </w:r>
      <w:r w:rsidRPr="00EA3E29">
        <w:rPr>
          <w:rFonts w:ascii="Palatino Linotype" w:eastAsia="Palatino Linotype" w:hAnsi="Palatino Linotype" w:cs="Palatino Linotype"/>
        </w:rPr>
        <w:t xml:space="preserve">: </w:t>
      </w:r>
    </w:p>
    <w:p w:rsidR="00550112" w:rsidRPr="00EA3E29" w:rsidRDefault="00221369">
      <w:pPr>
        <w:tabs>
          <w:tab w:val="left" w:pos="2745"/>
        </w:tabs>
        <w:spacing w:before="240" w:after="240"/>
        <w:ind w:left="851" w:right="900"/>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“Entrega la información incompleta a mi solicitud.” (</w:t>
      </w:r>
      <w:proofErr w:type="gramStart"/>
      <w:r w:rsidRPr="00EA3E29">
        <w:rPr>
          <w:rFonts w:ascii="Palatino Linotype" w:eastAsia="Palatino Linotype" w:hAnsi="Palatino Linotype" w:cs="Palatino Linotype"/>
          <w:i/>
          <w:sz w:val="22"/>
          <w:szCs w:val="22"/>
        </w:rPr>
        <w:t>sic</w:t>
      </w:r>
      <w:proofErr w:type="gramEnd"/>
      <w:r w:rsidRPr="00EA3E29">
        <w:rPr>
          <w:rFonts w:ascii="Palatino Linotype" w:eastAsia="Palatino Linotype" w:hAnsi="Palatino Linotype" w:cs="Palatino Linotype"/>
          <w:i/>
          <w:sz w:val="22"/>
          <w:szCs w:val="22"/>
        </w:rPr>
        <w:t>)</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b/>
        </w:rPr>
        <w:t xml:space="preserve">Anexos: </w:t>
      </w:r>
      <w:r w:rsidRPr="00EA3E29">
        <w:rPr>
          <w:rFonts w:ascii="Palatino Linotype" w:eastAsia="Palatino Linotype" w:hAnsi="Palatino Linotype" w:cs="Palatino Linotype"/>
        </w:rPr>
        <w:t xml:space="preserve">La parte </w:t>
      </w:r>
      <w:r w:rsidRPr="00EA3E29">
        <w:rPr>
          <w:rFonts w:ascii="Palatino Linotype" w:eastAsia="Palatino Linotype" w:hAnsi="Palatino Linotype" w:cs="Palatino Linotype"/>
          <w:b/>
        </w:rPr>
        <w:t xml:space="preserve">Recurrente </w:t>
      </w:r>
      <w:r w:rsidRPr="00EA3E29">
        <w:rPr>
          <w:rFonts w:ascii="Palatino Linotype" w:eastAsia="Palatino Linotype" w:hAnsi="Palatino Linotype" w:cs="Palatino Linotype"/>
        </w:rPr>
        <w:t xml:space="preserve">no adjuntó archivos. </w:t>
      </w:r>
    </w:p>
    <w:p w:rsidR="00550112" w:rsidRPr="00EA3E29" w:rsidRDefault="00221369">
      <w:pPr>
        <w:spacing w:before="240" w:after="240" w:line="360" w:lineRule="auto"/>
        <w:ind w:right="51"/>
        <w:jc w:val="both"/>
        <w:rPr>
          <w:rFonts w:ascii="Palatino Linotype" w:eastAsia="Palatino Linotype" w:hAnsi="Palatino Linotype" w:cs="Palatino Linotype"/>
        </w:rPr>
      </w:pPr>
      <w:r w:rsidRPr="00EA3E29">
        <w:rPr>
          <w:rFonts w:ascii="Palatino Linotype" w:eastAsia="Palatino Linotype" w:hAnsi="Palatino Linotype" w:cs="Palatino Linotype"/>
          <w:b/>
        </w:rPr>
        <w:t xml:space="preserve">4. Turno. </w:t>
      </w:r>
      <w:r w:rsidRPr="00EA3E2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A3E29">
        <w:rPr>
          <w:rFonts w:ascii="Palatino Linotype" w:eastAsia="Palatino Linotype" w:hAnsi="Palatino Linotype" w:cs="Palatino Linotype"/>
          <w:b/>
        </w:rPr>
        <w:t xml:space="preserve">Guadalupe Ramírez Peña, </w:t>
      </w:r>
      <w:r w:rsidRPr="00EA3E29">
        <w:rPr>
          <w:rFonts w:ascii="Palatino Linotype" w:eastAsia="Palatino Linotype" w:hAnsi="Palatino Linotype" w:cs="Palatino Linotype"/>
        </w:rPr>
        <w:t xml:space="preserve">a efecto de que analizara sobre su admisión o su </w:t>
      </w:r>
      <w:proofErr w:type="spellStart"/>
      <w:r w:rsidRPr="00EA3E29">
        <w:rPr>
          <w:rFonts w:ascii="Palatino Linotype" w:eastAsia="Palatino Linotype" w:hAnsi="Palatino Linotype" w:cs="Palatino Linotype"/>
        </w:rPr>
        <w:t>desechamiento</w:t>
      </w:r>
      <w:proofErr w:type="spellEnd"/>
      <w:r w:rsidRPr="00EA3E29">
        <w:rPr>
          <w:rFonts w:ascii="Palatino Linotype" w:eastAsia="Palatino Linotype" w:hAnsi="Palatino Linotype" w:cs="Palatino Linotype"/>
        </w:rPr>
        <w:t>.</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b/>
        </w:rPr>
        <w:t>5. Admisión del Recurso de revisión.</w:t>
      </w:r>
      <w:r w:rsidRPr="00EA3E29">
        <w:rPr>
          <w:rFonts w:ascii="Palatino Linotype" w:eastAsia="Palatino Linotype" w:hAnsi="Palatino Linotype" w:cs="Palatino Linotype"/>
        </w:rPr>
        <w:t xml:space="preserve"> Con fecha</w:t>
      </w:r>
      <w:r w:rsidRPr="00EA3E29">
        <w:rPr>
          <w:rFonts w:ascii="Palatino Linotype" w:eastAsia="Palatino Linotype" w:hAnsi="Palatino Linotype" w:cs="Palatino Linotype"/>
          <w:b/>
        </w:rPr>
        <w:t xml:space="preserve"> cuatro de agosto de dos mil veintidós, </w:t>
      </w:r>
      <w:r w:rsidRPr="00EA3E2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A3E29">
        <w:rPr>
          <w:rFonts w:ascii="Palatino Linotype" w:eastAsia="Palatino Linotype" w:hAnsi="Palatino Linotype" w:cs="Palatino Linotype"/>
          <w:b/>
        </w:rPr>
        <w:t xml:space="preserve">Sujeto Obligado </w:t>
      </w:r>
      <w:r w:rsidRPr="00EA3E29">
        <w:rPr>
          <w:rFonts w:ascii="Palatino Linotype" w:eastAsia="Palatino Linotype" w:hAnsi="Palatino Linotype" w:cs="Palatino Linotype"/>
        </w:rPr>
        <w:t>presentara su informe justificado.</w:t>
      </w:r>
    </w:p>
    <w:p w:rsidR="00550112" w:rsidRPr="00EA3E29" w:rsidRDefault="00550112">
      <w:pPr>
        <w:spacing w:before="240" w:after="240" w:line="360" w:lineRule="auto"/>
        <w:jc w:val="both"/>
        <w:rPr>
          <w:rFonts w:ascii="Palatino Linotype" w:eastAsia="Palatino Linotype" w:hAnsi="Palatino Linotype" w:cs="Palatino Linotype"/>
        </w:rPr>
      </w:pPr>
    </w:p>
    <w:p w:rsidR="00550112" w:rsidRPr="00EA3E29" w:rsidRDefault="00221369">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bookmarkStart w:id="4" w:name="_heading=h.2s8eyo1" w:colFirst="0" w:colLast="0"/>
      <w:bookmarkEnd w:id="4"/>
      <w:r w:rsidRPr="00EA3E29">
        <w:rPr>
          <w:rFonts w:ascii="Palatino Linotype" w:eastAsia="Palatino Linotype" w:hAnsi="Palatino Linotype" w:cs="Palatino Linotype"/>
          <w:b/>
        </w:rPr>
        <w:lastRenderedPageBreak/>
        <w:t>6. Manifestaciones</w:t>
      </w:r>
      <w:r w:rsidRPr="00EA3E29">
        <w:rPr>
          <w:rFonts w:ascii="Palatino Linotype" w:eastAsia="Palatino Linotype" w:hAnsi="Palatino Linotype" w:cs="Palatino Linotype"/>
        </w:rPr>
        <w:t xml:space="preserve">. </w:t>
      </w:r>
      <w:r w:rsidRPr="00EA3E29">
        <w:rPr>
          <w:rFonts w:ascii="Palatino Linotype" w:eastAsia="Palatino Linotype" w:hAnsi="Palatino Linotype" w:cs="Palatino Linotype"/>
          <w:color w:val="000000"/>
        </w:rPr>
        <w:t xml:space="preserve">De las constancias que integran el expediente en que se actúa se advierte que el </w:t>
      </w:r>
      <w:r w:rsidRPr="00EA3E29">
        <w:rPr>
          <w:rFonts w:ascii="Palatino Linotype" w:eastAsia="Palatino Linotype" w:hAnsi="Palatino Linotype" w:cs="Palatino Linotype"/>
          <w:b/>
          <w:color w:val="000000"/>
        </w:rPr>
        <w:t>RECURRENTE</w:t>
      </w:r>
      <w:r w:rsidRPr="00EA3E29">
        <w:rPr>
          <w:rFonts w:ascii="Palatino Linotype" w:eastAsia="Palatino Linotype" w:hAnsi="Palatino Linotype" w:cs="Palatino Linotype"/>
          <w:color w:val="000000"/>
        </w:rPr>
        <w:t xml:space="preserve"> fue omiso en ofrecer pruebas o expresar alegatos; en términos del artículo 185 fracciones II de la ley que nos ocupa. </w:t>
      </w:r>
    </w:p>
    <w:p w:rsidR="00550112" w:rsidRPr="00EA3E29" w:rsidRDefault="0022136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 xml:space="preserve">Por su parte el </w:t>
      </w:r>
      <w:r w:rsidRPr="00EA3E29">
        <w:rPr>
          <w:rFonts w:ascii="Palatino Linotype" w:eastAsia="Palatino Linotype" w:hAnsi="Palatino Linotype" w:cs="Palatino Linotype"/>
          <w:b/>
          <w:color w:val="000000"/>
        </w:rPr>
        <w:t>SUJETO OBLIGADO</w:t>
      </w:r>
      <w:r w:rsidRPr="00EA3E29">
        <w:rPr>
          <w:rFonts w:ascii="Palatino Linotype" w:eastAsia="Palatino Linotype" w:hAnsi="Palatino Linotype" w:cs="Palatino Linotype"/>
          <w:color w:val="000000"/>
        </w:rPr>
        <w:t xml:space="preserve">, en fecha </w:t>
      </w:r>
      <w:r w:rsidRPr="00EA3E29">
        <w:rPr>
          <w:rFonts w:ascii="Palatino Linotype" w:eastAsia="Palatino Linotype" w:hAnsi="Palatino Linotype" w:cs="Palatino Linotype"/>
          <w:b/>
          <w:color w:val="000000"/>
        </w:rPr>
        <w:t xml:space="preserve">quince de agosto de dos mil veintidós, </w:t>
      </w:r>
      <w:r w:rsidRPr="00EA3E29">
        <w:rPr>
          <w:rFonts w:ascii="Palatino Linotype" w:eastAsia="Palatino Linotype" w:hAnsi="Palatino Linotype" w:cs="Palatino Linotype"/>
          <w:color w:val="000000"/>
        </w:rPr>
        <w:t>remitió, a través del SAIMEX, los archivos electrónicos denominados:</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w:t>
      </w:r>
      <w:hyperlink r:id="rId14">
        <w:r w:rsidRPr="00EA3E29">
          <w:rPr>
            <w:rFonts w:ascii="Palatino Linotype" w:eastAsia="Palatino Linotype" w:hAnsi="Palatino Linotype" w:cs="Palatino Linotype"/>
          </w:rPr>
          <w:t>Análisis de Brecha.pdf</w:t>
        </w:r>
      </w:hyperlink>
      <w:r w:rsidRPr="00EA3E29">
        <w:rPr>
          <w:rFonts w:ascii="Palatino Linotype" w:eastAsia="Palatino Linotype" w:hAnsi="Palatino Linotype" w:cs="Palatino Linotype"/>
        </w:rPr>
        <w:t xml:space="preserve">”, el cual contiene el análisis de brecha de la Dirección General de Patrimonio y Servicios Culturales del Valle de Toluca, en versión pública en donde se aprecia que se testó información correspondiente a las observaciones y si es existente o no. </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w:t>
      </w:r>
      <w:hyperlink r:id="rId15">
        <w:r w:rsidRPr="00EA3E29">
          <w:rPr>
            <w:rFonts w:ascii="Palatino Linotype" w:eastAsia="Palatino Linotype" w:hAnsi="Palatino Linotype" w:cs="Palatino Linotype"/>
          </w:rPr>
          <w:t>CONT. REC. REV. 13014</w:t>
        </w:r>
        <w:proofErr w:type="gramStart"/>
        <w:r w:rsidRPr="00EA3E29">
          <w:rPr>
            <w:rFonts w:ascii="Palatino Linotype" w:eastAsia="Palatino Linotype" w:hAnsi="Palatino Linotype" w:cs="Palatino Linotype"/>
          </w:rPr>
          <w:t>.pdf</w:t>
        </w:r>
        <w:proofErr w:type="gramEnd"/>
      </w:hyperlink>
      <w:r w:rsidRPr="00EA3E29">
        <w:rPr>
          <w:rFonts w:ascii="Palatino Linotype" w:eastAsia="Palatino Linotype" w:hAnsi="Palatino Linotype" w:cs="Palatino Linotype"/>
        </w:rPr>
        <w:t>”, el cual contiene el informe justificado del SUJETO OBLIGADO, por medio del cual informó en lo medular lo siguiente:</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“A) En cuanto al Acto Impugnado referente a que, se entregó información incompleta.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Se aclara que en la solicitud primigenia se informó al ahora Recurrente que, había documentales en proceso de generación de la información, debido a la publicación del Reglamento Interior de la Secretaría de Cultura y Turismo en el Periódico Oficial “Gaceta del Gobierno” de fecha 21 de junio de 2022; por lo que este Sujeto Obligado se encontraba y se encuentra en desarrollo de diversos documentos tomando como base la nueva estructura orgánica plasmada en el propio reglamento. Situación por lo que se entrega al recurrente la documentación que a la fecha genera, posee y administra este Sujeto Obligado.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Esto de conformidad con el artículo 12 de la Ley de Transparencia y Acceso a la Información Pública del Estado de México y Municipios, al señalar que los Sujetos Obligados solo proporcionaran la información pública que obre en sus archivos, lo que a contario sensu significa que no está obligado a proporcionar lo que no obra en los mismos.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lastRenderedPageBreak/>
        <w:t xml:space="preserve">A continuación, se hace referencia a cada punto referido y documento solicitado por el recurrente en su petición inicial.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1. Plan de Trabajo del Sistema de Gestión de Protección de Datos Personales de esta Dependencia, correspondiente al ejercicio 2019 a 2022. Como se hizo del conocimiento al hoy recurrente en la respuesta de fecha 12 de julio de 2022, a partir de la publicación del Reglamento Interior de la Secretaría de Cultura y Turismo en el Periódico Oficial “Gaceta del Gobierno” de fecha 21 de junio de 2022, el Plan de Trabajo se encontraba en desarrollo con base a la nueva estructura orgánica plasmada en el propio reglamento, por lo que se agrega en formato PDF el Plan de Trabajo en Materia de Protección de Datos Personales de la Secretaría de Cultura y Turismo, autorizado por el Comité de Transparencia de este Sujeto Obligado, el cual se encuentra vigente.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Se anexa Acta del Comité de Transparencia.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2. Designación de los Administradores de Bases de Datos.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Se ratifica la respuesta plasmada el 12 de julio de 2022, en el sentido de que a la fecha se tiene designados y registrados como administradores de bases de datos, a las y los siguientes servidores públicos: • Lic. </w:t>
      </w:r>
      <w:proofErr w:type="spellStart"/>
      <w:r w:rsidRPr="00EA3E29">
        <w:rPr>
          <w:rFonts w:ascii="Palatino Linotype" w:eastAsia="Palatino Linotype" w:hAnsi="Palatino Linotype" w:cs="Palatino Linotype"/>
          <w:i/>
          <w:sz w:val="22"/>
          <w:szCs w:val="22"/>
        </w:rPr>
        <w:t>Thelma</w:t>
      </w:r>
      <w:proofErr w:type="spellEnd"/>
      <w:r w:rsidRPr="00EA3E29">
        <w:rPr>
          <w:rFonts w:ascii="Palatino Linotype" w:eastAsia="Palatino Linotype" w:hAnsi="Palatino Linotype" w:cs="Palatino Linotype"/>
          <w:i/>
          <w:sz w:val="22"/>
          <w:szCs w:val="22"/>
        </w:rPr>
        <w:t xml:space="preserve"> A. Morales García. Jefa del Departamento de Museos. • Lic. Stephanie </w:t>
      </w:r>
      <w:proofErr w:type="spellStart"/>
      <w:r w:rsidRPr="00EA3E29">
        <w:rPr>
          <w:rFonts w:ascii="Palatino Linotype" w:eastAsia="Palatino Linotype" w:hAnsi="Palatino Linotype" w:cs="Palatino Linotype"/>
          <w:i/>
          <w:sz w:val="22"/>
          <w:szCs w:val="22"/>
        </w:rPr>
        <w:t>Albiter</w:t>
      </w:r>
      <w:proofErr w:type="spellEnd"/>
      <w:r w:rsidRPr="00EA3E29">
        <w:rPr>
          <w:rFonts w:ascii="Palatino Linotype" w:eastAsia="Palatino Linotype" w:hAnsi="Palatino Linotype" w:cs="Palatino Linotype"/>
          <w:i/>
          <w:sz w:val="22"/>
          <w:szCs w:val="22"/>
        </w:rPr>
        <w:t xml:space="preserve"> Gómez. Encargada del Departamento de Actividades Culturales y Artísticas. • Arq. Gabino Simeón Santana Moreno. Jefe del Archivo Histórico del Estado de México.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3. Actualización de Avisos de Privacidad.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Se ratifica la respuesta hecha valer el 12 de julio de 2022, en el sentido de que el aviso de privacidad vigente lo puede consultar en la siguiente liga oficial, el cual una vez más se proporciona: http://cultura.edomex.gob.mx/sites/cultura.edomex.gob.mx/files/files/transparen </w:t>
      </w:r>
      <w:proofErr w:type="spellStart"/>
      <w:r w:rsidRPr="00EA3E29">
        <w:rPr>
          <w:rFonts w:ascii="Palatino Linotype" w:eastAsia="Palatino Linotype" w:hAnsi="Palatino Linotype" w:cs="Palatino Linotype"/>
          <w:i/>
          <w:sz w:val="22"/>
          <w:szCs w:val="22"/>
        </w:rPr>
        <w:t>cia</w:t>
      </w:r>
      <w:proofErr w:type="spellEnd"/>
      <w:r w:rsidRPr="00EA3E29">
        <w:rPr>
          <w:rFonts w:ascii="Palatino Linotype" w:eastAsia="Palatino Linotype" w:hAnsi="Palatino Linotype" w:cs="Palatino Linotype"/>
          <w:i/>
          <w:sz w:val="22"/>
          <w:szCs w:val="22"/>
        </w:rPr>
        <w:t xml:space="preserve">/av2022.pdf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4. Supervisión a las bases de datos documentales o electrónicas para establecer medidas de seguridad.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lastRenderedPageBreak/>
        <w:t xml:space="preserve">Establecer bitácora de violaciones a la seguridad de las bases de datos documentales o electrónicas. Se ratifica la respuesta plasmada el 12 de julio de 2022, en el sentido de que este Sujeto Obligado tiene un registro y/o bitácora para la supervisión y/o violaciones a la seguridad de datos personales, mismo que una vez más se anexa en formato </w:t>
      </w:r>
      <w:proofErr w:type="spellStart"/>
      <w:r w:rsidRPr="00EA3E29">
        <w:rPr>
          <w:rFonts w:ascii="Palatino Linotype" w:eastAsia="Palatino Linotype" w:hAnsi="Palatino Linotype" w:cs="Palatino Linotype"/>
          <w:i/>
          <w:sz w:val="22"/>
          <w:szCs w:val="22"/>
        </w:rPr>
        <w:t>pdf</w:t>
      </w:r>
      <w:proofErr w:type="spellEnd"/>
      <w:r w:rsidRPr="00EA3E29">
        <w:rPr>
          <w:rFonts w:ascii="Palatino Linotype" w:eastAsia="Palatino Linotype" w:hAnsi="Palatino Linotype" w:cs="Palatino Linotype"/>
          <w:i/>
          <w:sz w:val="22"/>
          <w:szCs w:val="22"/>
        </w:rPr>
        <w:t xml:space="preserve">. (Matriz, Registro de incidencias).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5. Establecer el Plan de contingencia con las Unidades Administrativas y Actualización de bases de datos.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Como se hizo del conocimiento al hoy recurrente en la respuesta de fecha 12 de julio de 2022, a partir de la publicación del Reglamento Interior de la Secretaría de Cultura y Turismo en el Periódico Oficial “Gaceta del Gobierno” de fecha 21 de junio de 2022, el Plan de contingencia con las Unidades Administrativas y Actualización de bases de datos, se encontraba en desarrollo con base a la nueva estructura orgánica plasmada en el propio reglamento, por lo que se anexa en formato PDF el Plan de Contingencia (Gestión de Seguridad) en materia de Protección de Datos Personales de la Secretaría de Cultura y Turismo, autorizado por el Comité de Transparencia de este Sujeto Obligado, el cual se encuentra vigente, y que en su contenido se hace referencia a las unidades administrativas y la actualización de bases de datos.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Se anexa Acta del Comité de Transparencia.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6. El inventario de las bases de datos.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Se ratifica la respuesta del 12 de julio de 2022, y una vez más se anexa en formato PDF.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7. Documentos de Gestión de seguridad y documentos de seguridad de la dependencia. Se ratifica la respuesta dada el 12 de julio de 2022, y se agrega en formato PDF el Documento de Seguridad vigente autorizado por el Comité de Transparencia.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Se anexa Acta del Comité de Transparencia. </w:t>
      </w:r>
    </w:p>
    <w:p w:rsidR="00550112" w:rsidRPr="00EA3E29" w:rsidRDefault="00221369">
      <w:pPr>
        <w:spacing w:before="240" w:after="240" w:line="276" w:lineRule="auto"/>
        <w:ind w:left="567" w:right="75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B) En lo que hace a las Razones o Motivos de Inconformidad vertidos por el Recurrente, resultan ser los mismos que los de su Acto Impugnado, por lo que, en </w:t>
      </w:r>
      <w:r w:rsidRPr="00EA3E29">
        <w:rPr>
          <w:rFonts w:ascii="Palatino Linotype" w:eastAsia="Palatino Linotype" w:hAnsi="Palatino Linotype" w:cs="Palatino Linotype"/>
          <w:i/>
          <w:sz w:val="22"/>
          <w:szCs w:val="22"/>
        </w:rPr>
        <w:lastRenderedPageBreak/>
        <w:t>obvio de repeticiones, en este acto se tienen por insertados en este apartado los hechos valer en el inciso A) numerales 1, 2, 3, 4, 5 ,6 y 7 de este documento…</w:t>
      </w:r>
      <w:proofErr w:type="gramStart"/>
      <w:r w:rsidRPr="00EA3E29">
        <w:rPr>
          <w:rFonts w:ascii="Palatino Linotype" w:eastAsia="Palatino Linotype" w:hAnsi="Palatino Linotype" w:cs="Palatino Linotype"/>
          <w:i/>
          <w:sz w:val="22"/>
          <w:szCs w:val="22"/>
        </w:rPr>
        <w:t>”(</w:t>
      </w:r>
      <w:proofErr w:type="gramEnd"/>
      <w:r w:rsidRPr="00EA3E29">
        <w:rPr>
          <w:rFonts w:ascii="Palatino Linotype" w:eastAsia="Palatino Linotype" w:hAnsi="Palatino Linotype" w:cs="Palatino Linotype"/>
          <w:i/>
          <w:sz w:val="22"/>
          <w:szCs w:val="22"/>
        </w:rPr>
        <w:t>Sic)</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w:t>
      </w:r>
      <w:hyperlink r:id="rId16">
        <w:r w:rsidRPr="00EA3E29">
          <w:rPr>
            <w:rFonts w:ascii="Palatino Linotype" w:eastAsia="Palatino Linotype" w:hAnsi="Palatino Linotype" w:cs="Palatino Linotype"/>
          </w:rPr>
          <w:t>GESTIÓN DE SEGURIDAD.pdf</w:t>
        </w:r>
      </w:hyperlink>
      <w:r w:rsidRPr="00EA3E29">
        <w:rPr>
          <w:rFonts w:ascii="Palatino Linotype" w:eastAsia="Palatino Linotype" w:hAnsi="Palatino Linotype" w:cs="Palatino Linotype"/>
        </w:rPr>
        <w:t>”, el cual contiene el plan de contingencia (gestión de seguridad) en materia de protección de datos personales de la Secretaría de Cultura y Turismo, constante de 11 fojas.</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w:t>
      </w:r>
      <w:hyperlink r:id="rId17">
        <w:r w:rsidRPr="00EA3E29">
          <w:rPr>
            <w:rFonts w:ascii="Palatino Linotype" w:eastAsia="Palatino Linotype" w:hAnsi="Palatino Linotype" w:cs="Palatino Linotype"/>
          </w:rPr>
          <w:t xml:space="preserve">INVENTARIO DE </w:t>
        </w:r>
        <w:proofErr w:type="gramStart"/>
        <w:r w:rsidRPr="00EA3E29">
          <w:rPr>
            <w:rFonts w:ascii="Palatino Linotype" w:eastAsia="Palatino Linotype" w:hAnsi="Palatino Linotype" w:cs="Palatino Linotype"/>
          </w:rPr>
          <w:t>D.P..</w:t>
        </w:r>
        <w:proofErr w:type="spellStart"/>
        <w:proofErr w:type="gramEnd"/>
        <w:r w:rsidRPr="00EA3E29">
          <w:rPr>
            <w:rFonts w:ascii="Palatino Linotype" w:eastAsia="Palatino Linotype" w:hAnsi="Palatino Linotype" w:cs="Palatino Linotype"/>
          </w:rPr>
          <w:t>pdf</w:t>
        </w:r>
        <w:proofErr w:type="spellEnd"/>
      </w:hyperlink>
      <w:r w:rsidRPr="00EA3E29">
        <w:rPr>
          <w:rFonts w:ascii="Palatino Linotype" w:eastAsia="Palatino Linotype" w:hAnsi="Palatino Linotype" w:cs="Palatino Linotype"/>
        </w:rPr>
        <w:t>”, el cual contiene el inventario de datos personales de la Dirección General de Patrimonio y Servicios Culturales del Valle de Toluca, en versión pública, en donde se aprecia que se testó información correspondiente a los datos de identificación y contacto.</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w:t>
      </w:r>
      <w:hyperlink r:id="rId18">
        <w:r w:rsidRPr="00EA3E29">
          <w:rPr>
            <w:rFonts w:ascii="Palatino Linotype" w:eastAsia="Palatino Linotype" w:hAnsi="Palatino Linotype" w:cs="Palatino Linotype"/>
          </w:rPr>
          <w:t>18sesext.pdf</w:t>
        </w:r>
      </w:hyperlink>
      <w:r w:rsidRPr="00EA3E29">
        <w:rPr>
          <w:rFonts w:ascii="Palatino Linotype" w:eastAsia="Palatino Linotype" w:hAnsi="Palatino Linotype" w:cs="Palatino Linotype"/>
        </w:rPr>
        <w:t xml:space="preserve">”, el cual contiene el acta de la décima octava sesión extraordinaria del Comité de Transparencia del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por medio del cual se aprobó el acuerdo número SCYTUR/CT/EXT-18/AC-004/2022, a través del cual se garantizó la protección de los datos personales en posesión de las áreas administrativas de la Secretaría de Cultura y Turismos, autorizando los siguientes documentos: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noProof/>
        </w:rPr>
        <w:drawing>
          <wp:inline distT="0" distB="0" distL="0" distR="0">
            <wp:extent cx="5631904" cy="1677346"/>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32773" t="53478" r="18694" b="14029"/>
                    <a:stretch>
                      <a:fillRect/>
                    </a:stretch>
                  </pic:blipFill>
                  <pic:spPr>
                    <a:xfrm>
                      <a:off x="0" y="0"/>
                      <a:ext cx="5631904" cy="1677346"/>
                    </a:xfrm>
                    <a:prstGeom prst="rect">
                      <a:avLst/>
                    </a:prstGeom>
                    <a:ln/>
                  </pic:spPr>
                </pic:pic>
              </a:graphicData>
            </a:graphic>
          </wp:inline>
        </w:drawing>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lastRenderedPageBreak/>
        <w:t>“</w:t>
      </w:r>
      <w:hyperlink r:id="rId20">
        <w:r w:rsidRPr="00EA3E29">
          <w:rPr>
            <w:rFonts w:ascii="Palatino Linotype" w:eastAsia="Palatino Linotype" w:hAnsi="Palatino Linotype" w:cs="Palatino Linotype"/>
          </w:rPr>
          <w:t>PLAN DE TRABAJO PROT. DATOS PERS.pdf</w:t>
        </w:r>
      </w:hyperlink>
      <w:r w:rsidRPr="00EA3E29">
        <w:rPr>
          <w:rFonts w:ascii="Palatino Linotype" w:eastAsia="Palatino Linotype" w:hAnsi="Palatino Linotype" w:cs="Palatino Linotype"/>
        </w:rPr>
        <w:t>”, el cual contiene el plan de trabajo plan de trabajo en materia de protección de datos personales de la Secretaría de Cultura y Turismo.</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w:t>
      </w:r>
      <w:hyperlink r:id="rId21">
        <w:r w:rsidRPr="00EA3E29">
          <w:rPr>
            <w:rFonts w:ascii="Palatino Linotype" w:eastAsia="Palatino Linotype" w:hAnsi="Palatino Linotype" w:cs="Palatino Linotype"/>
          </w:rPr>
          <w:t>REGISTRO INCIDENCIAS.pdf</w:t>
        </w:r>
      </w:hyperlink>
      <w:r w:rsidRPr="00EA3E29">
        <w:rPr>
          <w:rFonts w:ascii="Palatino Linotype" w:eastAsia="Palatino Linotype" w:hAnsi="Palatino Linotype" w:cs="Palatino Linotype"/>
        </w:rPr>
        <w:t xml:space="preserve">”, el cual contiene un formato de registro de incidencias, en versión pública, en donde se aprecia que se testó información correspondiente a la fecha, tipo de incidencia, descripción, persona quien registra, persona quien se le comunica y consecuencia de la incidencia.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w:t>
      </w:r>
      <w:hyperlink r:id="rId22">
        <w:r w:rsidRPr="00EA3E29">
          <w:rPr>
            <w:rFonts w:ascii="Palatino Linotype" w:eastAsia="Palatino Linotype" w:hAnsi="Palatino Linotype" w:cs="Palatino Linotype"/>
          </w:rPr>
          <w:t>MATRIZ.pdf</w:t>
        </w:r>
      </w:hyperlink>
      <w:r w:rsidRPr="00EA3E29">
        <w:rPr>
          <w:rFonts w:ascii="Palatino Linotype" w:eastAsia="Palatino Linotype" w:hAnsi="Palatino Linotype" w:cs="Palatino Linotype"/>
        </w:rPr>
        <w:t xml:space="preserve">”, el cual contiene la matriz de análisis de riesgos Dirección General de Patrimonio y Servicios Culturales del Valle de Toluca, en versión pública en donde se aprecia que se testó información correspondiente al nombre de base de datos personales, riesgo, análisis (probabilidad-gravedad), tratamiento o control operacional.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w:t>
      </w:r>
      <w:hyperlink r:id="rId23">
        <w:r w:rsidRPr="00EA3E29">
          <w:rPr>
            <w:rFonts w:ascii="Palatino Linotype" w:eastAsia="Palatino Linotype" w:hAnsi="Palatino Linotype" w:cs="Palatino Linotype"/>
          </w:rPr>
          <w:t>DOC. SEGURIDAD DAT. PERS.pdf</w:t>
        </w:r>
      </w:hyperlink>
      <w:r w:rsidRPr="00EA3E29">
        <w:rPr>
          <w:rFonts w:ascii="Palatino Linotype" w:eastAsia="Palatino Linotype" w:hAnsi="Palatino Linotype" w:cs="Palatino Linotype"/>
        </w:rPr>
        <w:t xml:space="preserve">”, el cual contiene un documento denominado “documento de seguridad”, sobre el tratamiento de datos personales en posesión del Sujeto Obligado Secretaría de Cultura y Turismo, constante de 12 fojas. </w:t>
      </w:r>
    </w:p>
    <w:p w:rsidR="00550112" w:rsidRPr="00EA3E29" w:rsidRDefault="00221369">
      <w:pPr>
        <w:spacing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Documentos, que se pusieron a la vista del </w:t>
      </w:r>
      <w:r w:rsidRPr="00EA3E29">
        <w:rPr>
          <w:rFonts w:ascii="Palatino Linotype" w:eastAsia="Palatino Linotype" w:hAnsi="Palatino Linotype" w:cs="Palatino Linotype"/>
          <w:b/>
        </w:rPr>
        <w:t>RECURRENTE</w:t>
      </w:r>
      <w:r w:rsidRPr="00EA3E29">
        <w:rPr>
          <w:rFonts w:ascii="Palatino Linotype" w:eastAsia="Palatino Linotype" w:hAnsi="Palatino Linotype" w:cs="Palatino Linotype"/>
        </w:rPr>
        <w:t>, con excepción de los denominados “</w:t>
      </w:r>
      <w:hyperlink r:id="rId24">
        <w:r w:rsidRPr="00EA3E29">
          <w:rPr>
            <w:rFonts w:ascii="Palatino Linotype" w:eastAsia="Palatino Linotype" w:hAnsi="Palatino Linotype" w:cs="Palatino Linotype"/>
          </w:rPr>
          <w:t>DOC. SEGURIDAD DAT. PERS.pdf</w:t>
        </w:r>
      </w:hyperlink>
      <w:r w:rsidRPr="00EA3E29">
        <w:rPr>
          <w:rFonts w:ascii="Palatino Linotype" w:eastAsia="Palatino Linotype" w:hAnsi="Palatino Linotype" w:cs="Palatino Linotype"/>
        </w:rPr>
        <w:t>” y “</w:t>
      </w:r>
      <w:hyperlink r:id="rId25">
        <w:r w:rsidRPr="00EA3E29">
          <w:rPr>
            <w:rFonts w:ascii="Palatino Linotype" w:eastAsia="Palatino Linotype" w:hAnsi="Palatino Linotype" w:cs="Palatino Linotype"/>
          </w:rPr>
          <w:t>GESTIÓN DE SEGURIDAD.pdf</w:t>
        </w:r>
      </w:hyperlink>
      <w:r w:rsidRPr="00EA3E29">
        <w:rPr>
          <w:rFonts w:ascii="Palatino Linotype" w:eastAsia="Palatino Linotype" w:hAnsi="Palatino Linotype" w:cs="Palatino Linotype"/>
        </w:rPr>
        <w:t>”, por considerar que estos son confidenciales; pero, el documento de seguridad puede ser entregado en versión pública</w:t>
      </w:r>
      <w:r w:rsidRPr="00EA3E29">
        <w:rPr>
          <w:rFonts w:ascii="Palatino Linotype" w:eastAsia="Palatino Linotype" w:hAnsi="Palatino Linotype" w:cs="Palatino Linotype"/>
          <w:b/>
        </w:rPr>
        <w:t xml:space="preserve">, </w:t>
      </w:r>
      <w:r w:rsidRPr="00EA3E29">
        <w:rPr>
          <w:rFonts w:ascii="Palatino Linotype" w:eastAsia="Palatino Linotype" w:hAnsi="Palatino Linotype" w:cs="Palatino Linotype"/>
        </w:rPr>
        <w:t xml:space="preserve">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b/>
        </w:rPr>
        <w:lastRenderedPageBreak/>
        <w:t>7. Ampliación del término para resolver</w:t>
      </w:r>
      <w:r w:rsidRPr="00EA3E29">
        <w:rPr>
          <w:rFonts w:ascii="Palatino Linotype" w:eastAsia="Palatino Linotype" w:hAnsi="Palatino Linotype" w:cs="Palatino Linotype"/>
        </w:rPr>
        <w:t xml:space="preserve">. En fecha </w:t>
      </w:r>
      <w:r w:rsidRPr="00EA3E29">
        <w:rPr>
          <w:rFonts w:ascii="Palatino Linotype" w:eastAsia="Palatino Linotype" w:hAnsi="Palatino Linotype" w:cs="Palatino Linotype"/>
          <w:b/>
        </w:rPr>
        <w:t>ocho de noviembre de dos mil veintidós</w:t>
      </w:r>
      <w:r w:rsidRPr="00EA3E29">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rsidR="00550112" w:rsidRPr="00EA3E29" w:rsidRDefault="00221369">
      <w:pPr>
        <w:widowControl w:val="0"/>
        <w:spacing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50112" w:rsidRPr="00EA3E29" w:rsidRDefault="00221369">
      <w:pPr>
        <w:spacing w:before="240" w:after="240" w:line="360" w:lineRule="auto"/>
        <w:jc w:val="both"/>
        <w:rPr>
          <w:rFonts w:ascii="Palatino Linotype" w:eastAsia="Palatino Linotype" w:hAnsi="Palatino Linotype" w:cs="Palatino Linotype"/>
          <w:strike/>
        </w:rPr>
      </w:pPr>
      <w:r w:rsidRPr="00EA3E2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550112" w:rsidRPr="00EA3E29" w:rsidRDefault="00221369">
      <w:pPr>
        <w:numPr>
          <w:ilvl w:val="0"/>
          <w:numId w:val="2"/>
        </w:num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550112" w:rsidRPr="00EA3E29" w:rsidRDefault="00221369">
      <w:pPr>
        <w:numPr>
          <w:ilvl w:val="0"/>
          <w:numId w:val="2"/>
        </w:num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Actividad Procesal del interesado. Acciones u omisiones del interesado.</w:t>
      </w:r>
    </w:p>
    <w:p w:rsidR="00550112" w:rsidRPr="00EA3E29" w:rsidRDefault="00221369">
      <w:pPr>
        <w:numPr>
          <w:ilvl w:val="0"/>
          <w:numId w:val="2"/>
        </w:num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Conducta de la Autoridad: Las Acciones u omisiones realizadas en el procedimiento. Así como si la autoridad actuó con la debida diligencia.</w:t>
      </w:r>
    </w:p>
    <w:p w:rsidR="00550112" w:rsidRPr="00EA3E29" w:rsidRDefault="00221369">
      <w:pPr>
        <w:spacing w:before="240" w:after="240" w:line="360" w:lineRule="auto"/>
        <w:ind w:left="567"/>
        <w:jc w:val="both"/>
        <w:rPr>
          <w:rFonts w:ascii="Palatino Linotype" w:eastAsia="Palatino Linotype" w:hAnsi="Palatino Linotype" w:cs="Palatino Linotype"/>
        </w:rPr>
      </w:pPr>
      <w:r w:rsidRPr="00EA3E29">
        <w:rPr>
          <w:rFonts w:ascii="Palatino Linotype" w:eastAsia="Palatino Linotype" w:hAnsi="Palatino Linotype" w:cs="Palatino Linotype"/>
        </w:rPr>
        <w:t>d) La afectación generada en la situación jurídica de la persona involucrada en el proceso: Violación a sus derechos humanos.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50112" w:rsidRPr="00EA3E29" w:rsidRDefault="00221369">
      <w:pPr>
        <w:spacing w:before="240" w:after="240" w:line="360" w:lineRule="auto"/>
        <w:jc w:val="both"/>
        <w:rPr>
          <w:rFonts w:ascii="Palatino Linotype" w:eastAsia="Palatino Linotype" w:hAnsi="Palatino Linotype" w:cs="Palatino Linotype"/>
          <w:b/>
        </w:rPr>
      </w:pPr>
      <w:r w:rsidRPr="00EA3E29">
        <w:rPr>
          <w:rFonts w:ascii="Palatino Linotype" w:eastAsia="Palatino Linotype" w:hAnsi="Palatino Linotype" w:cs="Palatino Linotype"/>
        </w:rPr>
        <w:lastRenderedPageBreak/>
        <w:t>Argumento que encuentra sustento en la jurisprudencia P</w:t>
      </w:r>
      <w:proofErr w:type="gramStart"/>
      <w:r w:rsidRPr="00EA3E29">
        <w:rPr>
          <w:rFonts w:ascii="Palatino Linotype" w:eastAsia="Palatino Linotype" w:hAnsi="Palatino Linotype" w:cs="Palatino Linotype"/>
        </w:rPr>
        <w:t>./</w:t>
      </w:r>
      <w:proofErr w:type="gramEnd"/>
      <w:r w:rsidRPr="00EA3E29">
        <w:rPr>
          <w:rFonts w:ascii="Palatino Linotype" w:eastAsia="Palatino Linotype" w:hAnsi="Palatino Linotype" w:cs="Palatino Linotype"/>
        </w:rPr>
        <w:t xml:space="preserve">J. 32/92 emitida por el Pleno de la Suprema Corte de Justicia de la Nación de rubro </w:t>
      </w:r>
      <w:r w:rsidRPr="00EA3E2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A3E29">
        <w:rPr>
          <w:rFonts w:ascii="Palatino Linotype" w:eastAsia="Palatino Linotype" w:hAnsi="Palatino Linotype" w:cs="Palatino Linotype"/>
        </w:rPr>
        <w:t>, visible en la Gaceta del Seminario Judicial de la Federación con el registro digital 205635.</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550112" w:rsidRPr="00EA3E29" w:rsidRDefault="00221369">
      <w:pPr>
        <w:spacing w:before="240" w:after="240"/>
        <w:ind w:left="851" w:right="902"/>
        <w:jc w:val="both"/>
        <w:rPr>
          <w:rFonts w:ascii="Palatino Linotype" w:eastAsia="Palatino Linotype" w:hAnsi="Palatino Linotype" w:cs="Palatino Linotype"/>
          <w:sz w:val="22"/>
          <w:szCs w:val="22"/>
        </w:rPr>
      </w:pPr>
      <w:r w:rsidRPr="00EA3E29">
        <w:rPr>
          <w:rFonts w:ascii="Palatino Linotype" w:eastAsia="Palatino Linotype" w:hAnsi="Palatino Linotype" w:cs="Palatino Linotype"/>
        </w:rPr>
        <w:t xml:space="preserve"> </w:t>
      </w:r>
      <w:r w:rsidRPr="00EA3E29">
        <w:rPr>
          <w:rFonts w:ascii="Palatino Linotype" w:eastAsia="Palatino Linotype" w:hAnsi="Palatino Linotype" w:cs="Palatino Linotype"/>
          <w:i/>
          <w:sz w:val="22"/>
          <w:szCs w:val="22"/>
        </w:rPr>
        <w:t>“</w:t>
      </w:r>
      <w:r w:rsidRPr="00EA3E29">
        <w:rPr>
          <w:rFonts w:ascii="Palatino Linotype" w:eastAsia="Palatino Linotype" w:hAnsi="Palatino Linotype" w:cs="Palatino Linotype"/>
          <w:b/>
          <w:i/>
          <w:sz w:val="22"/>
          <w:szCs w:val="22"/>
        </w:rPr>
        <w:t>PLAZO RAZONABLE PARA RESOLVER. DIMENSIÓN Y EFECTOS DE ESTE CONCEPTO CUANDO SE ADUCE EXCESIVA CARGA DE TRABAJO</w:t>
      </w:r>
      <w:r w:rsidRPr="00EA3E29">
        <w:rPr>
          <w:rFonts w:ascii="Palatino Linotype" w:eastAsia="Palatino Linotype" w:hAnsi="Palatino Linotype" w:cs="Palatino Linotype"/>
          <w:i/>
          <w:sz w:val="22"/>
          <w:szCs w:val="22"/>
        </w:rPr>
        <w:t>.”</w:t>
      </w:r>
      <w:r w:rsidRPr="00EA3E29">
        <w:rPr>
          <w:rFonts w:ascii="Palatino Linotype" w:eastAsia="Palatino Linotype" w:hAnsi="Palatino Linotype" w:cs="Palatino Linotype"/>
          <w:sz w:val="22"/>
          <w:szCs w:val="22"/>
        </w:rPr>
        <w:t xml:space="preserve"> consultable en el Seminario Judicial de la Federación y su gaceta, con el registro digital 2002351.</w:t>
      </w:r>
    </w:p>
    <w:p w:rsidR="00550112" w:rsidRPr="00EA3E29" w:rsidRDefault="00221369">
      <w:pPr>
        <w:spacing w:before="240" w:after="240"/>
        <w:ind w:left="851" w:right="902"/>
        <w:jc w:val="both"/>
        <w:rPr>
          <w:rFonts w:ascii="Palatino Linotype" w:eastAsia="Palatino Linotype" w:hAnsi="Palatino Linotype" w:cs="Palatino Linotype"/>
          <w:sz w:val="22"/>
          <w:szCs w:val="22"/>
        </w:rPr>
      </w:pPr>
      <w:r w:rsidRPr="00EA3E29">
        <w:rPr>
          <w:rFonts w:ascii="Palatino Linotype" w:eastAsia="Palatino Linotype" w:hAnsi="Palatino Linotype" w:cs="Palatino Linotype"/>
          <w:i/>
          <w:sz w:val="22"/>
          <w:szCs w:val="22"/>
        </w:rPr>
        <w:lastRenderedPageBreak/>
        <w:t>“</w:t>
      </w:r>
      <w:r w:rsidRPr="00EA3E29">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EA3E29">
        <w:rPr>
          <w:rFonts w:ascii="Palatino Linotype" w:eastAsia="Palatino Linotype" w:hAnsi="Palatino Linotype" w:cs="Palatino Linotype"/>
          <w:i/>
          <w:sz w:val="22"/>
          <w:szCs w:val="22"/>
        </w:rPr>
        <w:t>.”</w:t>
      </w:r>
      <w:r w:rsidRPr="00EA3E29">
        <w:rPr>
          <w:rFonts w:ascii="Palatino Linotype" w:eastAsia="Palatino Linotype" w:hAnsi="Palatino Linotype" w:cs="Palatino Linotype"/>
          <w:sz w:val="22"/>
          <w:szCs w:val="22"/>
        </w:rPr>
        <w:t>, visible en el Seminario Judicial de la Federación y su gaceta, con el registro digital 2002350.</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b/>
        </w:rPr>
        <w:t xml:space="preserve">8. Cierre de instrucción. </w:t>
      </w:r>
      <w:r w:rsidRPr="00EA3E2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EA3E29">
        <w:rPr>
          <w:rFonts w:ascii="Palatino Linotype" w:eastAsia="Palatino Linotype" w:hAnsi="Palatino Linotype" w:cs="Palatino Linotype"/>
          <w:b/>
        </w:rPr>
        <w:t>diecinueve de junio</w:t>
      </w:r>
      <w:r w:rsidRPr="00EA3E29">
        <w:rPr>
          <w:rFonts w:ascii="Palatino Linotype" w:eastAsia="Palatino Linotype" w:hAnsi="Palatino Linotype" w:cs="Palatino Linotype"/>
        </w:rPr>
        <w:t xml:space="preserve"> </w:t>
      </w:r>
      <w:r w:rsidRPr="00EA3E29">
        <w:rPr>
          <w:rFonts w:ascii="Palatino Linotype" w:eastAsia="Palatino Linotype" w:hAnsi="Palatino Linotype" w:cs="Palatino Linotype"/>
          <w:b/>
        </w:rPr>
        <w:t xml:space="preserve">de dos mil veintitrés, </w:t>
      </w:r>
      <w:r w:rsidRPr="00EA3E29">
        <w:rPr>
          <w:rFonts w:ascii="Palatino Linotype" w:eastAsia="Palatino Linotype" w:hAnsi="Palatino Linotype" w:cs="Palatino Linotype"/>
        </w:rPr>
        <w:t>la Comisionada Ponente determinó el cierre de instrucción en términos de la fracción VI del artículo 185 de la Ley de Transparencia y Acceso a la Información Pública del Estado de México y Municipios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550112" w:rsidRPr="00EA3E29" w:rsidRDefault="00221369">
      <w:pPr>
        <w:widowControl w:val="0"/>
        <w:spacing w:before="240" w:after="240" w:line="360" w:lineRule="auto"/>
        <w:jc w:val="center"/>
        <w:rPr>
          <w:rFonts w:ascii="Palatino Linotype" w:eastAsia="Palatino Linotype" w:hAnsi="Palatino Linotype" w:cs="Palatino Linotype"/>
          <w:b/>
        </w:rPr>
      </w:pPr>
      <w:r w:rsidRPr="00EA3E29">
        <w:rPr>
          <w:rFonts w:ascii="Palatino Linotype" w:eastAsia="Palatino Linotype" w:hAnsi="Palatino Linotype" w:cs="Palatino Linotype"/>
          <w:b/>
        </w:rPr>
        <w:t>II. C O N S I D E R A N D O 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b/>
        </w:rPr>
        <w:t>Primero. Competencia.</w:t>
      </w:r>
      <w:r w:rsidRPr="00EA3E2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Pr="00EA3E29">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550112" w:rsidRPr="00EA3E29" w:rsidRDefault="00221369">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EA3E29">
        <w:rPr>
          <w:rFonts w:ascii="Palatino Linotype" w:eastAsia="Palatino Linotype" w:hAnsi="Palatino Linotype" w:cs="Palatino Linotype"/>
          <w:b/>
        </w:rPr>
        <w:t xml:space="preserve">Segundo. Oportunidad y </w:t>
      </w:r>
      <w:proofErr w:type="spellStart"/>
      <w:r w:rsidRPr="00EA3E29">
        <w:rPr>
          <w:rFonts w:ascii="Palatino Linotype" w:eastAsia="Palatino Linotype" w:hAnsi="Palatino Linotype" w:cs="Palatino Linotype"/>
          <w:b/>
        </w:rPr>
        <w:t>Procedibilidad</w:t>
      </w:r>
      <w:proofErr w:type="spellEnd"/>
      <w:r w:rsidRPr="00EA3E29">
        <w:rPr>
          <w:rFonts w:ascii="Palatino Linotype" w:eastAsia="Palatino Linotype" w:hAnsi="Palatino Linotype" w:cs="Palatino Linotype"/>
          <w:b/>
        </w:rPr>
        <w:t xml:space="preserve"> del Recurso de Revisión</w:t>
      </w:r>
      <w:r w:rsidRPr="00EA3E29">
        <w:rPr>
          <w:rFonts w:ascii="Palatino Linotype" w:eastAsia="Palatino Linotype" w:hAnsi="Palatino Linotype" w:cs="Palatino Linotype"/>
        </w:rPr>
        <w:t xml:space="preserve">. Previo al estudio del fondo del asunto, se procede a analizar los requisitos de oportunidad y </w:t>
      </w:r>
      <w:proofErr w:type="spellStart"/>
      <w:r w:rsidRPr="00EA3E29">
        <w:rPr>
          <w:rFonts w:ascii="Palatino Linotype" w:eastAsia="Palatino Linotype" w:hAnsi="Palatino Linotype" w:cs="Palatino Linotype"/>
        </w:rPr>
        <w:t>procedibilidad</w:t>
      </w:r>
      <w:proofErr w:type="spellEnd"/>
      <w:r w:rsidRPr="00EA3E29">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EA3E29">
        <w:rPr>
          <w:rFonts w:ascii="Palatino Linotype" w:eastAsia="Palatino Linotype" w:hAnsi="Palatino Linotype" w:cs="Palatino Linotype"/>
          <w:b/>
        </w:rPr>
        <w:t xml:space="preserve">SUJETO OBLIGADO </w:t>
      </w:r>
      <w:r w:rsidRPr="00EA3E29">
        <w:rPr>
          <w:rFonts w:ascii="Palatino Linotype" w:eastAsia="Palatino Linotype" w:hAnsi="Palatino Linotype" w:cs="Palatino Linotype"/>
        </w:rPr>
        <w:t xml:space="preserve">remitió la respuesta a la solicitud de información el día </w:t>
      </w:r>
      <w:r w:rsidRPr="00EA3E29">
        <w:rPr>
          <w:rFonts w:ascii="Palatino Linotype" w:eastAsia="Palatino Linotype" w:hAnsi="Palatino Linotype" w:cs="Palatino Linotype"/>
          <w:b/>
        </w:rPr>
        <w:t xml:space="preserve">doce de julio de dos mil veintidós, </w:t>
      </w:r>
      <w:r w:rsidRPr="00EA3E29">
        <w:rPr>
          <w:rFonts w:ascii="Palatino Linotype" w:eastAsia="Palatino Linotype" w:hAnsi="Palatino Linotype" w:cs="Palatino Linotype"/>
        </w:rPr>
        <w:t xml:space="preserve">mientras que el recurso de revisión interpuesto por la parte </w:t>
      </w:r>
      <w:r w:rsidRPr="00EA3E29">
        <w:rPr>
          <w:rFonts w:ascii="Palatino Linotype" w:eastAsia="Palatino Linotype" w:hAnsi="Palatino Linotype" w:cs="Palatino Linotype"/>
          <w:b/>
        </w:rPr>
        <w:t>RECURRENTE</w:t>
      </w:r>
      <w:r w:rsidRPr="00EA3E29">
        <w:rPr>
          <w:rFonts w:ascii="Palatino Linotype" w:eastAsia="Palatino Linotype" w:hAnsi="Palatino Linotype" w:cs="Palatino Linotype"/>
        </w:rPr>
        <w:t xml:space="preserve">, se tuvo por presentado el día </w:t>
      </w:r>
      <w:r w:rsidRPr="00EA3E29">
        <w:rPr>
          <w:rFonts w:ascii="Palatino Linotype" w:eastAsia="Palatino Linotype" w:hAnsi="Palatino Linotype" w:cs="Palatino Linotype"/>
          <w:b/>
        </w:rPr>
        <w:t>uno de agosto de dos mil veintidós</w:t>
      </w:r>
      <w:r w:rsidRPr="00EA3E29">
        <w:rPr>
          <w:rFonts w:ascii="Palatino Linotype" w:eastAsia="Palatino Linotype" w:hAnsi="Palatino Linotype" w:cs="Palatino Linotype"/>
        </w:rPr>
        <w:t>, esto es, al cuarto día en que tuvo conocimiento de la respuesta impugnada.</w:t>
      </w:r>
    </w:p>
    <w:p w:rsidR="00550112" w:rsidRPr="00EA3E29" w:rsidRDefault="00221369">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EA3E29">
        <w:rPr>
          <w:rFonts w:ascii="Palatino Linotype" w:eastAsia="Palatino Linotype" w:hAnsi="Palatino Linotype" w:cs="Palatino Linotype"/>
        </w:rPr>
        <w:t xml:space="preserve">Al mismo tiempo, por cuanto hace a la </w:t>
      </w:r>
      <w:proofErr w:type="spellStart"/>
      <w:r w:rsidRPr="00EA3E29">
        <w:rPr>
          <w:rFonts w:ascii="Palatino Linotype" w:eastAsia="Palatino Linotype" w:hAnsi="Palatino Linotype" w:cs="Palatino Linotype"/>
        </w:rPr>
        <w:t>procedibilidad</w:t>
      </w:r>
      <w:proofErr w:type="spellEnd"/>
      <w:r w:rsidRPr="00EA3E29">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EA3E29">
        <w:rPr>
          <w:rFonts w:ascii="Palatino Linotype" w:eastAsia="Palatino Linotype" w:hAnsi="Palatino Linotype" w:cs="Palatino Linotype"/>
        </w:rPr>
        <w:lastRenderedPageBreak/>
        <w:t>Municipios, en atención a que fue presentado mediante el formato visible en el SAIMEX.</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A efecto de sustentar lo anterior, es de suma importancia mencionar que si bien la persona solicitante </w:t>
      </w:r>
      <w:r w:rsidRPr="00EA3E29">
        <w:rPr>
          <w:rFonts w:ascii="Palatino Linotype" w:eastAsia="Palatino Linotype" w:hAnsi="Palatino Linotype" w:cs="Palatino Linotype"/>
          <w:b/>
        </w:rPr>
        <w:t xml:space="preserve">no proporcionó nombre o seudónimo </w:t>
      </w:r>
      <w:r w:rsidRPr="00EA3E29">
        <w:rPr>
          <w:rFonts w:ascii="Palatino Linotype" w:eastAsia="Palatino Linotype" w:hAnsi="Palatino Linotype" w:cs="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550112" w:rsidRPr="00EA3E29" w:rsidRDefault="00221369">
      <w:pPr>
        <w:spacing w:before="120" w:after="120"/>
        <w:ind w:left="851" w:right="902"/>
        <w:jc w:val="both"/>
        <w:rPr>
          <w:rFonts w:ascii="Palatino Linotype" w:eastAsia="Palatino Linotype" w:hAnsi="Palatino Linotype" w:cs="Palatino Linotype"/>
          <w:sz w:val="22"/>
          <w:szCs w:val="22"/>
        </w:rPr>
      </w:pPr>
      <w:r w:rsidRPr="00EA3E29">
        <w:rPr>
          <w:rFonts w:ascii="Palatino Linotype" w:eastAsia="Palatino Linotype" w:hAnsi="Palatino Linotype" w:cs="Palatino Linotype"/>
          <w:i/>
          <w:sz w:val="22"/>
          <w:szCs w:val="22"/>
        </w:rPr>
        <w:t>"</w:t>
      </w:r>
      <w:r w:rsidRPr="00EA3E29">
        <w:rPr>
          <w:rFonts w:ascii="Palatino Linotype" w:eastAsia="Palatino Linotype" w:hAnsi="Palatino Linotype" w:cs="Palatino Linotype"/>
          <w:b/>
          <w:i/>
          <w:sz w:val="22"/>
          <w:szCs w:val="22"/>
        </w:rPr>
        <w:t>Las solicitudes anónimas</w:t>
      </w:r>
      <w:r w:rsidRPr="00EA3E29">
        <w:rPr>
          <w:rFonts w:ascii="Palatino Linotype" w:eastAsia="Palatino Linotype" w:hAnsi="Palatino Linotype" w:cs="Palatino Linotype"/>
          <w:i/>
          <w:sz w:val="22"/>
          <w:szCs w:val="22"/>
        </w:rPr>
        <w:t xml:space="preserve">, con nombre incompleto o seudónimo </w:t>
      </w:r>
      <w:r w:rsidRPr="00EA3E29">
        <w:rPr>
          <w:rFonts w:ascii="Palatino Linotype" w:eastAsia="Palatino Linotype" w:hAnsi="Palatino Linotype" w:cs="Palatino Linotype"/>
          <w:b/>
          <w:i/>
          <w:sz w:val="22"/>
          <w:szCs w:val="22"/>
        </w:rPr>
        <w:t>serán procedentes para su trámite por parte del sujeto obligado ante quien se presente</w:t>
      </w:r>
      <w:r w:rsidRPr="00EA3E29">
        <w:rPr>
          <w:rFonts w:ascii="Palatino Linotype" w:eastAsia="Palatino Linotype" w:hAnsi="Palatino Linotype" w:cs="Palatino Linotype"/>
          <w:i/>
          <w:sz w:val="22"/>
          <w:szCs w:val="22"/>
        </w:rPr>
        <w:t>. No podrá requerirse información adicional con motivo del nombre proporcionado por el solicitante."</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EA3E29">
        <w:rPr>
          <w:rFonts w:ascii="Palatino Linotype" w:eastAsia="Palatino Linotype" w:hAnsi="Palatino Linotype" w:cs="Palatino Linotype"/>
          <w:b/>
        </w:rPr>
        <w:t>RECURRENTE</w:t>
      </w:r>
      <w:r w:rsidRPr="00EA3E29">
        <w:rPr>
          <w:rFonts w:ascii="Palatino Linotype" w:eastAsia="Palatino Linotype" w:hAnsi="Palatino Linotype" w:cs="Palatino Linotype"/>
        </w:rPr>
        <w:t>, por lo que, en el presente caso, al haber sido presentado el recurso de revisión vía SAIMEX, dicho requisito resulta innecesario.</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Finalmente, se advierte que resulta procedente la interposición del recurso, según lo manifestado por la parte </w:t>
      </w:r>
      <w:r w:rsidRPr="00EA3E29">
        <w:rPr>
          <w:rFonts w:ascii="Palatino Linotype" w:eastAsia="Palatino Linotype" w:hAnsi="Palatino Linotype" w:cs="Palatino Linotype"/>
          <w:b/>
        </w:rPr>
        <w:t>RECURRENTE</w:t>
      </w:r>
      <w:r w:rsidRPr="00EA3E29">
        <w:rPr>
          <w:rFonts w:ascii="Palatino Linotype" w:eastAsia="Palatino Linotype" w:hAnsi="Palatino Linotype" w:cs="Palatino Linotype"/>
        </w:rPr>
        <w:t xml:space="preserve"> en sus motivos de inconformidad, de acuerdo al artículo 179, fracción V del ordenamiento legal citado, que a la letra dice: </w:t>
      </w:r>
    </w:p>
    <w:p w:rsidR="00550112" w:rsidRPr="00EA3E29" w:rsidRDefault="00221369">
      <w:pPr>
        <w:spacing w:before="120" w:after="120"/>
        <w:ind w:left="993"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w:t>
      </w:r>
      <w:r w:rsidRPr="00EA3E29">
        <w:rPr>
          <w:rFonts w:ascii="Palatino Linotype" w:eastAsia="Palatino Linotype" w:hAnsi="Palatino Linotype" w:cs="Palatino Linotype"/>
          <w:b/>
          <w:i/>
          <w:sz w:val="22"/>
          <w:szCs w:val="22"/>
        </w:rPr>
        <w:t>Artículo 179.</w:t>
      </w:r>
      <w:r w:rsidRPr="00EA3E2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550112" w:rsidRPr="00EA3E29" w:rsidRDefault="00221369">
      <w:pPr>
        <w:spacing w:before="120" w:after="120"/>
        <w:ind w:left="1134"/>
        <w:rPr>
          <w:rFonts w:ascii="Palatino Linotype" w:eastAsia="Palatino Linotype" w:hAnsi="Palatino Linotype" w:cs="Palatino Linotype"/>
          <w:b/>
          <w:i/>
          <w:sz w:val="22"/>
          <w:szCs w:val="22"/>
        </w:rPr>
      </w:pPr>
      <w:r w:rsidRPr="00EA3E29">
        <w:rPr>
          <w:rFonts w:ascii="Palatino Linotype" w:eastAsia="Palatino Linotype" w:hAnsi="Palatino Linotype" w:cs="Palatino Linotype"/>
          <w:b/>
          <w:i/>
          <w:sz w:val="22"/>
          <w:szCs w:val="22"/>
        </w:rPr>
        <w:lastRenderedPageBreak/>
        <w:t>...</w:t>
      </w:r>
    </w:p>
    <w:p w:rsidR="00550112" w:rsidRPr="00EA3E29" w:rsidRDefault="00221369">
      <w:pPr>
        <w:spacing w:before="120" w:after="120"/>
        <w:ind w:left="1134"/>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V.</w:t>
      </w:r>
      <w:r w:rsidRPr="00EA3E29">
        <w:rPr>
          <w:rFonts w:ascii="Palatino Linotype" w:eastAsia="Palatino Linotype" w:hAnsi="Palatino Linotype" w:cs="Palatino Linotype"/>
          <w:i/>
          <w:sz w:val="22"/>
          <w:szCs w:val="22"/>
        </w:rPr>
        <w:t xml:space="preserve"> La entrega de información incompleta;”</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b/>
        </w:rPr>
        <w:t xml:space="preserve">Tercero. Materia de la revisión. </w:t>
      </w:r>
      <w:r w:rsidRPr="00EA3E2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EA3E29">
        <w:rPr>
          <w:rFonts w:ascii="Palatino Linotype" w:eastAsia="Palatino Linotype" w:hAnsi="Palatino Linotype" w:cs="Palatino Linotype"/>
          <w:b/>
        </w:rPr>
        <w:t xml:space="preserve">verificar si la respuesta como informe justificado, otorgados por el SUJETO OBLIGADO es adecuada y suficiente para satisfacer el derecho de acceso a la información pública </w:t>
      </w:r>
      <w:r w:rsidRPr="00EA3E29">
        <w:rPr>
          <w:rFonts w:ascii="Palatino Linotype" w:eastAsia="Palatino Linotype" w:hAnsi="Palatino Linotype" w:cs="Palatino Linotype"/>
        </w:rPr>
        <w:t xml:space="preserve">de la parte </w:t>
      </w:r>
      <w:r w:rsidRPr="00EA3E29">
        <w:rPr>
          <w:rFonts w:ascii="Palatino Linotype" w:eastAsia="Palatino Linotype" w:hAnsi="Palatino Linotype" w:cs="Palatino Linotype"/>
          <w:b/>
        </w:rPr>
        <w:t>Recurrente</w:t>
      </w:r>
      <w:r w:rsidRPr="00EA3E29">
        <w:rPr>
          <w:rFonts w:ascii="Palatino Linotype" w:eastAsia="Palatino Linotype" w:hAnsi="Palatino Linotype" w:cs="Palatino Linotype"/>
        </w:rPr>
        <w:t>, o en su defecto, en caso de ser procedente, ordenar la entrega de información oportuna.</w:t>
      </w:r>
    </w:p>
    <w:p w:rsidR="00550112" w:rsidRPr="00EA3E29" w:rsidRDefault="00221369">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EA3E29">
        <w:rPr>
          <w:rFonts w:ascii="Palatino Linotype" w:eastAsia="Palatino Linotype" w:hAnsi="Palatino Linotype" w:cs="Palatino Linotype"/>
          <w:b/>
        </w:rPr>
        <w:t xml:space="preserve">Cuarto. Estudio del asunto. </w:t>
      </w:r>
      <w:r w:rsidRPr="00EA3E29">
        <w:rPr>
          <w:rFonts w:ascii="Palatino Linotype" w:eastAsia="Palatino Linotype" w:hAnsi="Palatino Linotype" w:cs="Palatino Linotype"/>
        </w:rPr>
        <w:t xml:space="preserve">Acotado lo anterior, tenemos en principio de cuentas que el artículo 6°, Apartado A), fracción I de la Constitución Política de los Estados Unidos Mexicanos, establece que toda la información en posesión de cualquier autoridad es pública y sólo podrá ser reservada temporalmente por razones de interés público. </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lastRenderedPageBreak/>
        <w:t>Por su parte, la Ley de Transparencia y Acceso a la Información Pública del Estado de México y Municipios (Reglamentaria del artículo 5° de la Constitución Local), establece lo siguiente:</w:t>
      </w:r>
    </w:p>
    <w:p w:rsidR="00550112" w:rsidRPr="00EA3E29" w:rsidRDefault="00221369">
      <w:pPr>
        <w:numPr>
          <w:ilvl w:val="0"/>
          <w:numId w:val="3"/>
        </w:numPr>
        <w:pBdr>
          <w:top w:val="nil"/>
          <w:left w:val="nil"/>
          <w:bottom w:val="nil"/>
          <w:right w:val="nil"/>
          <w:between w:val="nil"/>
        </w:pBdr>
        <w:spacing w:before="240" w:after="240" w:line="360" w:lineRule="auto"/>
        <w:ind w:left="426"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El artículo 12, que, quienes generen, recopilen, administren, manejen, procesen, archiven o conserven información pública serán responsables de la misma.</w:t>
      </w:r>
    </w:p>
    <w:p w:rsidR="00550112" w:rsidRPr="00EA3E29" w:rsidRDefault="00221369">
      <w:pPr>
        <w:numPr>
          <w:ilvl w:val="0"/>
          <w:numId w:val="3"/>
        </w:numPr>
        <w:pBdr>
          <w:top w:val="nil"/>
          <w:left w:val="nil"/>
          <w:bottom w:val="nil"/>
          <w:right w:val="nil"/>
          <w:between w:val="nil"/>
        </w:pBdr>
        <w:spacing w:before="240" w:after="240" w:line="360" w:lineRule="auto"/>
        <w:ind w:left="426"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550112" w:rsidRPr="00EA3E29" w:rsidRDefault="00221369">
      <w:pPr>
        <w:numPr>
          <w:ilvl w:val="0"/>
          <w:numId w:val="3"/>
        </w:numPr>
        <w:pBdr>
          <w:top w:val="nil"/>
          <w:left w:val="nil"/>
          <w:bottom w:val="nil"/>
          <w:right w:val="nil"/>
          <w:between w:val="nil"/>
        </w:pBdr>
        <w:spacing w:before="240" w:after="240" w:line="360" w:lineRule="auto"/>
        <w:ind w:left="426"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En esta lógica,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EA3E29">
        <w:rPr>
          <w:rFonts w:ascii="Palatino Linotype" w:eastAsia="Palatino Linotype" w:hAnsi="Palatino Linotype" w:cs="Palatino Linotype"/>
        </w:rPr>
        <w:lastRenderedPageBreak/>
        <w:t xml:space="preserve">visual, electrónico, informático u holográfico de conformidad con el artículo 3, fracción XI de la Ley de la materia, el cual señala lo siguiente: </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w:t>
      </w:r>
      <w:r w:rsidRPr="00EA3E29">
        <w:rPr>
          <w:rFonts w:ascii="Palatino Linotype" w:eastAsia="Palatino Linotype" w:hAnsi="Palatino Linotype" w:cs="Palatino Linotype"/>
          <w:b/>
          <w:i/>
          <w:sz w:val="22"/>
          <w:szCs w:val="22"/>
        </w:rPr>
        <w:t xml:space="preserve">Artículo 3. </w:t>
      </w:r>
      <w:r w:rsidRPr="00EA3E29">
        <w:rPr>
          <w:rFonts w:ascii="Palatino Linotype" w:eastAsia="Palatino Linotype" w:hAnsi="Palatino Linotype" w:cs="Palatino Linotype"/>
          <w:i/>
          <w:sz w:val="22"/>
          <w:szCs w:val="22"/>
        </w:rPr>
        <w:t>Para los efectos de la presente Ley se entenderá por:</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XI. Documento:</w:t>
      </w:r>
      <w:r w:rsidRPr="00EA3E29">
        <w:rPr>
          <w:rFonts w:ascii="Palatino Linotype" w:eastAsia="Palatino Linotype" w:hAnsi="Palatino Linotype" w:cs="Palatino Linotype"/>
          <w:i/>
          <w:sz w:val="22"/>
          <w:szCs w:val="22"/>
        </w:rPr>
        <w:t xml:space="preserve"> Los expedientes, reportes, estudios, actas</w:t>
      </w:r>
      <w:r w:rsidRPr="00EA3E29">
        <w:rPr>
          <w:rFonts w:ascii="Palatino Linotype" w:eastAsia="Palatino Linotype" w:hAnsi="Palatino Linotype" w:cs="Palatino Linotype"/>
          <w:b/>
          <w:i/>
          <w:sz w:val="22"/>
          <w:szCs w:val="22"/>
        </w:rPr>
        <w:t>,</w:t>
      </w:r>
      <w:r w:rsidRPr="00EA3E2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50112" w:rsidRPr="00EA3E29" w:rsidRDefault="00221369">
      <w:pPr>
        <w:spacing w:before="120" w:after="120"/>
        <w:ind w:left="851" w:right="902"/>
        <w:jc w:val="both"/>
        <w:rPr>
          <w:rFonts w:ascii="Palatino Linotype" w:eastAsia="Palatino Linotype" w:hAnsi="Palatino Linotype" w:cs="Palatino Linotype"/>
          <w:b/>
          <w:i/>
          <w:sz w:val="22"/>
          <w:szCs w:val="22"/>
        </w:rPr>
      </w:pPr>
      <w:r w:rsidRPr="00EA3E29">
        <w:rPr>
          <w:rFonts w:ascii="Palatino Linotype" w:eastAsia="Palatino Linotype" w:hAnsi="Palatino Linotype" w:cs="Palatino Linotype"/>
          <w:b/>
          <w:sz w:val="22"/>
          <w:szCs w:val="22"/>
        </w:rPr>
        <w:t>“</w:t>
      </w:r>
      <w:r w:rsidRPr="00EA3E29">
        <w:rPr>
          <w:rFonts w:ascii="Palatino Linotype" w:eastAsia="Palatino Linotype" w:hAnsi="Palatino Linotype" w:cs="Palatino Linotype"/>
          <w:b/>
          <w:i/>
          <w:sz w:val="22"/>
          <w:szCs w:val="22"/>
        </w:rPr>
        <w:t>CRITERIO 0002-11</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A3E2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En consecuencia el acceso a la información se refiere a que se cumplan cualquiera de los siguientes tres supuestos:</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lastRenderedPageBreak/>
        <w:t xml:space="preserve">1) </w:t>
      </w:r>
      <w:r w:rsidRPr="00EA3E29">
        <w:rPr>
          <w:rFonts w:ascii="Palatino Linotype" w:eastAsia="Palatino Linotype" w:hAnsi="Palatino Linotype" w:cs="Palatino Linotype"/>
          <w:b/>
          <w:i/>
          <w:sz w:val="22"/>
          <w:szCs w:val="22"/>
        </w:rPr>
        <w:t>Que se trate de información registrada en cualquier soporte documental, que en ejercicio de las atribuciones conferidas, sea generada por los Sujetos Obligados;</w:t>
      </w:r>
    </w:p>
    <w:p w:rsidR="00550112" w:rsidRPr="00EA3E29" w:rsidRDefault="00221369">
      <w:pPr>
        <w:spacing w:before="120" w:after="120"/>
        <w:ind w:left="1134" w:right="902"/>
        <w:jc w:val="both"/>
        <w:rPr>
          <w:rFonts w:ascii="Palatino Linotype" w:eastAsia="Palatino Linotype" w:hAnsi="Palatino Linotype" w:cs="Palatino Linotype"/>
          <w:b/>
          <w:i/>
          <w:sz w:val="22"/>
          <w:szCs w:val="22"/>
        </w:rPr>
      </w:pPr>
      <w:r w:rsidRPr="00EA3E29">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550112" w:rsidRPr="00EA3E29" w:rsidRDefault="00221369">
      <w:pPr>
        <w:spacing w:before="120" w:after="120"/>
        <w:ind w:left="1134" w:right="902"/>
        <w:jc w:val="both"/>
        <w:rPr>
          <w:rFonts w:ascii="Palatino Linotype" w:eastAsia="Palatino Linotype" w:hAnsi="Palatino Linotype" w:cs="Palatino Linotype"/>
          <w:b/>
          <w:i/>
          <w:sz w:val="22"/>
          <w:szCs w:val="22"/>
        </w:rPr>
      </w:pPr>
      <w:r w:rsidRPr="00EA3E29">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550112" w:rsidRPr="00EA3E29" w:rsidRDefault="00221369">
      <w:pPr>
        <w:spacing w:before="280" w:after="28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De ahí que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EA3E29">
        <w:rPr>
          <w:rFonts w:ascii="Palatino Linotype" w:eastAsia="Palatino Linotype" w:hAnsi="Palatino Linotype" w:cs="Palatino Linotype"/>
          <w:vertAlign w:val="superscript"/>
        </w:rPr>
        <w:footnoteReference w:id="1"/>
      </w:r>
      <w:r w:rsidRPr="00EA3E29">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A3E29">
        <w:rPr>
          <w:rFonts w:ascii="Palatino Linotype" w:eastAsia="Palatino Linotype" w:hAnsi="Palatino Linotype" w:cs="Palatino Linotype"/>
          <w:vertAlign w:val="superscript"/>
        </w:rPr>
        <w:footnoteReference w:id="2"/>
      </w:r>
      <w:r w:rsidRPr="00EA3E29">
        <w:rPr>
          <w:rFonts w:ascii="Palatino Linotype" w:eastAsia="Palatino Linotype" w:hAnsi="Palatino Linotype" w:cs="Palatino Linotype"/>
        </w:rPr>
        <w:t>, como pudiera tratarse de aquella relacionada con las obligaciones de transparencia señaladas en los artículos 92 y 94 de la Ley de la Materia.</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lastRenderedPageBreak/>
        <w:t>Ahora bien,</w:t>
      </w:r>
      <w:r w:rsidRPr="00EA3E29">
        <w:rPr>
          <w:rFonts w:ascii="Palatino Linotype" w:eastAsia="Palatino Linotype" w:hAnsi="Palatino Linotype" w:cs="Palatino Linotype"/>
          <w:b/>
        </w:rPr>
        <w:t xml:space="preserve"> </w:t>
      </w:r>
      <w:r w:rsidRPr="00EA3E29">
        <w:rPr>
          <w:rFonts w:ascii="Palatino Linotype" w:eastAsia="Palatino Linotype" w:hAnsi="Palatino Linotype" w:cs="Palatino Linotype"/>
        </w:rPr>
        <w:t xml:space="preserve">para un mejor entendimiento en el tema que nos ocupa la solicitud planteada, así como de la respuesta que fue entregada por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y los motivos de informidad planteados por la parte </w:t>
      </w:r>
      <w:r w:rsidRPr="00EA3E29">
        <w:rPr>
          <w:rFonts w:ascii="Palatino Linotype" w:eastAsia="Palatino Linotype" w:hAnsi="Palatino Linotype" w:cs="Palatino Linotype"/>
          <w:b/>
        </w:rPr>
        <w:t>RECURRENTE</w:t>
      </w:r>
      <w:r w:rsidRPr="00EA3E29">
        <w:rPr>
          <w:rFonts w:ascii="Palatino Linotype" w:eastAsia="Palatino Linotype" w:hAnsi="Palatino Linotype" w:cs="Palatino Linotype"/>
        </w:rPr>
        <w:t xml:space="preserve"> en el recurso de revisión, la información que obra en el expediente electrónico será analizada a través del siguiente cuadro: </w:t>
      </w:r>
    </w:p>
    <w:tbl>
      <w:tblPr>
        <w:tblStyle w:val="a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1842"/>
        <w:gridCol w:w="1843"/>
        <w:gridCol w:w="1320"/>
      </w:tblGrid>
      <w:tr w:rsidR="00550112" w:rsidRPr="00EA3E29">
        <w:tc>
          <w:tcPr>
            <w:tcW w:w="1980" w:type="dxa"/>
            <w:tcBorders>
              <w:top w:val="single" w:sz="4" w:space="0" w:color="000000"/>
              <w:left w:val="single" w:sz="4" w:space="0" w:color="000000"/>
              <w:bottom w:val="single" w:sz="4" w:space="0" w:color="000000"/>
              <w:right w:val="single" w:sz="4" w:space="0" w:color="000000"/>
            </w:tcBorders>
            <w:vAlign w:val="center"/>
          </w:tcPr>
          <w:p w:rsidR="00550112" w:rsidRPr="00EA3E29" w:rsidRDefault="00221369">
            <w:pPr>
              <w:jc w:val="center"/>
              <w:rPr>
                <w:rFonts w:ascii="Palatino Linotype" w:eastAsia="Palatino Linotype" w:hAnsi="Palatino Linotype" w:cs="Palatino Linotype"/>
                <w:b/>
                <w:sz w:val="14"/>
                <w:szCs w:val="14"/>
              </w:rPr>
            </w:pPr>
            <w:r w:rsidRPr="00EA3E29">
              <w:rPr>
                <w:rFonts w:ascii="Palatino Linotype" w:eastAsia="Palatino Linotype" w:hAnsi="Palatino Linotype" w:cs="Palatino Linotype"/>
                <w:b/>
                <w:sz w:val="14"/>
                <w:szCs w:val="14"/>
              </w:rPr>
              <w:t>Requerimiento</w:t>
            </w:r>
          </w:p>
        </w:tc>
        <w:tc>
          <w:tcPr>
            <w:tcW w:w="1843" w:type="dxa"/>
            <w:tcBorders>
              <w:top w:val="single" w:sz="4" w:space="0" w:color="000000"/>
              <w:left w:val="single" w:sz="4" w:space="0" w:color="000000"/>
              <w:bottom w:val="single" w:sz="4" w:space="0" w:color="000000"/>
              <w:right w:val="single" w:sz="4" w:space="0" w:color="000000"/>
            </w:tcBorders>
            <w:vAlign w:val="center"/>
          </w:tcPr>
          <w:p w:rsidR="00550112" w:rsidRPr="00EA3E29" w:rsidRDefault="00221369">
            <w:pPr>
              <w:jc w:val="center"/>
              <w:rPr>
                <w:rFonts w:ascii="Palatino Linotype" w:eastAsia="Palatino Linotype" w:hAnsi="Palatino Linotype" w:cs="Palatino Linotype"/>
                <w:b/>
                <w:sz w:val="14"/>
                <w:szCs w:val="14"/>
              </w:rPr>
            </w:pPr>
            <w:r w:rsidRPr="00EA3E29">
              <w:rPr>
                <w:rFonts w:ascii="Palatino Linotype" w:eastAsia="Palatino Linotype" w:hAnsi="Palatino Linotype" w:cs="Palatino Linotype"/>
                <w:b/>
                <w:sz w:val="14"/>
                <w:szCs w:val="14"/>
              </w:rPr>
              <w:t>Respuesta</w:t>
            </w:r>
          </w:p>
        </w:tc>
        <w:tc>
          <w:tcPr>
            <w:tcW w:w="1842" w:type="dxa"/>
            <w:tcBorders>
              <w:top w:val="single" w:sz="4" w:space="0" w:color="000000"/>
              <w:left w:val="single" w:sz="4" w:space="0" w:color="000000"/>
              <w:bottom w:val="single" w:sz="4" w:space="0" w:color="000000"/>
              <w:right w:val="single" w:sz="4" w:space="0" w:color="000000"/>
            </w:tcBorders>
            <w:vAlign w:val="center"/>
          </w:tcPr>
          <w:p w:rsidR="00550112" w:rsidRPr="00EA3E29" w:rsidRDefault="00221369">
            <w:pPr>
              <w:jc w:val="center"/>
              <w:rPr>
                <w:rFonts w:ascii="Palatino Linotype" w:eastAsia="Palatino Linotype" w:hAnsi="Palatino Linotype" w:cs="Palatino Linotype"/>
                <w:b/>
                <w:sz w:val="14"/>
                <w:szCs w:val="14"/>
              </w:rPr>
            </w:pPr>
            <w:r w:rsidRPr="00EA3E29">
              <w:rPr>
                <w:rFonts w:ascii="Palatino Linotype" w:eastAsia="Palatino Linotype" w:hAnsi="Palatino Linotype" w:cs="Palatino Linotype"/>
                <w:b/>
                <w:sz w:val="14"/>
                <w:szCs w:val="14"/>
              </w:rPr>
              <w:t>Motivo de inconformidad</w:t>
            </w:r>
          </w:p>
        </w:tc>
        <w:tc>
          <w:tcPr>
            <w:tcW w:w="1843" w:type="dxa"/>
            <w:tcBorders>
              <w:top w:val="single" w:sz="4" w:space="0" w:color="000000"/>
              <w:left w:val="single" w:sz="4" w:space="0" w:color="000000"/>
              <w:bottom w:val="single" w:sz="4" w:space="0" w:color="000000"/>
              <w:right w:val="single" w:sz="4" w:space="0" w:color="000000"/>
            </w:tcBorders>
            <w:vAlign w:val="center"/>
          </w:tcPr>
          <w:p w:rsidR="00550112" w:rsidRPr="00EA3E29" w:rsidRDefault="00221369">
            <w:pPr>
              <w:jc w:val="center"/>
              <w:rPr>
                <w:rFonts w:ascii="Palatino Linotype" w:eastAsia="Palatino Linotype" w:hAnsi="Palatino Linotype" w:cs="Palatino Linotype"/>
                <w:b/>
                <w:sz w:val="14"/>
                <w:szCs w:val="14"/>
              </w:rPr>
            </w:pPr>
            <w:r w:rsidRPr="00EA3E29">
              <w:rPr>
                <w:rFonts w:ascii="Palatino Linotype" w:eastAsia="Palatino Linotype" w:hAnsi="Palatino Linotype" w:cs="Palatino Linotype"/>
                <w:b/>
                <w:sz w:val="14"/>
                <w:szCs w:val="14"/>
              </w:rPr>
              <w:t>Informe Justificado</w:t>
            </w:r>
          </w:p>
        </w:tc>
        <w:tc>
          <w:tcPr>
            <w:tcW w:w="1320" w:type="dxa"/>
            <w:tcBorders>
              <w:top w:val="single" w:sz="4" w:space="0" w:color="000000"/>
              <w:left w:val="single" w:sz="4" w:space="0" w:color="000000"/>
              <w:bottom w:val="single" w:sz="4" w:space="0" w:color="000000"/>
              <w:right w:val="single" w:sz="4" w:space="0" w:color="000000"/>
            </w:tcBorders>
            <w:vAlign w:val="center"/>
          </w:tcPr>
          <w:p w:rsidR="00550112" w:rsidRPr="00EA3E29" w:rsidRDefault="00221369">
            <w:pPr>
              <w:jc w:val="center"/>
              <w:rPr>
                <w:rFonts w:ascii="Palatino Linotype" w:eastAsia="Palatino Linotype" w:hAnsi="Palatino Linotype" w:cs="Palatino Linotype"/>
                <w:b/>
                <w:sz w:val="14"/>
                <w:szCs w:val="14"/>
              </w:rPr>
            </w:pPr>
            <w:r w:rsidRPr="00EA3E29">
              <w:rPr>
                <w:rFonts w:ascii="Palatino Linotype" w:eastAsia="Palatino Linotype" w:hAnsi="Palatino Linotype" w:cs="Palatino Linotype"/>
                <w:b/>
                <w:sz w:val="14"/>
                <w:szCs w:val="14"/>
              </w:rPr>
              <w:t>¿Satisface el Derecho de Acceso?</w:t>
            </w:r>
          </w:p>
        </w:tc>
      </w:tr>
      <w:tr w:rsidR="00550112" w:rsidRPr="00EA3E29">
        <w:trPr>
          <w:trHeight w:val="1697"/>
        </w:trPr>
        <w:tc>
          <w:tcPr>
            <w:tcW w:w="1980" w:type="dxa"/>
            <w:tcBorders>
              <w:top w:val="single" w:sz="4" w:space="0" w:color="000000"/>
              <w:left w:val="single" w:sz="4" w:space="0" w:color="000000"/>
              <w:bottom w:val="single" w:sz="4" w:space="0" w:color="000000"/>
              <w:right w:val="single" w:sz="4" w:space="0" w:color="000000"/>
            </w:tcBorders>
          </w:tcPr>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1. Plan de Trabajo del Sistema de Gestión de Protección de Datos Personales de esta Dependencia, correspondiente al ejercicio 2019 a 2022.</w:t>
            </w:r>
          </w:p>
        </w:tc>
        <w:tc>
          <w:tcPr>
            <w:tcW w:w="1843" w:type="dxa"/>
            <w:tcBorders>
              <w:top w:val="single" w:sz="4" w:space="0" w:color="000000"/>
              <w:left w:val="single" w:sz="4" w:space="0" w:color="000000"/>
              <w:bottom w:val="single" w:sz="4" w:space="0" w:color="000000"/>
              <w:right w:val="single" w:sz="4" w:space="0" w:color="000000"/>
            </w:tcBorders>
          </w:tcPr>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Referente al Plan de Trabajo solicitado:</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Se hace del conocimiento que, a partir de la publicación del Reglamento Interior de la Secretaría de Cultura y Turismo en el Periódico Oficial “Gaceta del Gobierno” de fecha 21 de junio de 2022, se desarrolla con base a la nueva estructura orgánica plasmada en el propio reglamento, y se enfoca principalmente en 2 vertientes, eliminar las brechas a través de la implementación de medidas de seguridad pendientes en cada uno de los tratamientos de datos personales identificados, y la consolidación y preservación de los niveles de protección de los datos personales a través de mecanismos de monitoreo y revisión. </w:t>
            </w:r>
          </w:p>
          <w:p w:rsidR="00550112" w:rsidRPr="00EA3E29" w:rsidRDefault="00550112">
            <w:pPr>
              <w:jc w:val="both"/>
              <w:rPr>
                <w:rFonts w:ascii="Palatino Linotype" w:eastAsia="Palatino Linotype" w:hAnsi="Palatino Linotype" w:cs="Palatino Linotype"/>
                <w:sz w:val="14"/>
                <w:szCs w:val="14"/>
              </w:rPr>
            </w:pPr>
          </w:p>
        </w:tc>
        <w:tc>
          <w:tcPr>
            <w:tcW w:w="1842" w:type="dxa"/>
            <w:vMerge w:val="restart"/>
            <w:tcBorders>
              <w:top w:val="single" w:sz="4" w:space="0" w:color="000000"/>
              <w:left w:val="single" w:sz="4" w:space="0" w:color="000000"/>
              <w:right w:val="single" w:sz="4" w:space="0" w:color="000000"/>
            </w:tcBorders>
          </w:tcPr>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Entrega la información incompleta a mi solicitud.</w:t>
            </w:r>
          </w:p>
        </w:tc>
        <w:tc>
          <w:tcPr>
            <w:tcW w:w="1843" w:type="dxa"/>
            <w:tcBorders>
              <w:top w:val="single" w:sz="4" w:space="0" w:color="000000"/>
              <w:left w:val="single" w:sz="4" w:space="0" w:color="000000"/>
              <w:bottom w:val="single" w:sz="4" w:space="0" w:color="000000"/>
              <w:right w:val="single" w:sz="4" w:space="0" w:color="000000"/>
            </w:tcBorders>
          </w:tcPr>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Entrega el plan de trabajo en materia de protección de datos personales de la Secretaría de Cultura y Turismo.</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 </w:t>
            </w:r>
          </w:p>
        </w:tc>
        <w:tc>
          <w:tcPr>
            <w:tcW w:w="1320" w:type="dxa"/>
            <w:tcBorders>
              <w:top w:val="single" w:sz="4" w:space="0" w:color="000000"/>
              <w:left w:val="single" w:sz="4" w:space="0" w:color="000000"/>
              <w:bottom w:val="single" w:sz="4" w:space="0" w:color="000000"/>
              <w:right w:val="single" w:sz="4" w:space="0" w:color="000000"/>
            </w:tcBorders>
            <w:vAlign w:val="center"/>
          </w:tcPr>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Sí, si bien es considera como confidencial, el mismo no contiene información que vulnere las medidas de seguridad físicas, administrativas y técnicas.</w:t>
            </w:r>
          </w:p>
          <w:p w:rsidR="00550112" w:rsidRPr="00EA3E29" w:rsidRDefault="00550112">
            <w:pPr>
              <w:jc w:val="both"/>
              <w:rPr>
                <w:rFonts w:ascii="Palatino Linotype" w:eastAsia="Palatino Linotype" w:hAnsi="Palatino Linotype" w:cs="Palatino Linotype"/>
                <w:sz w:val="14"/>
                <w:szCs w:val="14"/>
              </w:rPr>
            </w:pPr>
          </w:p>
          <w:p w:rsidR="00550112" w:rsidRPr="00EA3E29" w:rsidRDefault="00550112">
            <w:pPr>
              <w:jc w:val="both"/>
              <w:rPr>
                <w:rFonts w:ascii="Palatino Linotype" w:eastAsia="Palatino Linotype" w:hAnsi="Palatino Linotype" w:cs="Palatino Linotype"/>
                <w:sz w:val="14"/>
                <w:szCs w:val="14"/>
              </w:rPr>
            </w:pPr>
          </w:p>
        </w:tc>
      </w:tr>
      <w:tr w:rsidR="00550112" w:rsidRPr="00EA3E29">
        <w:trPr>
          <w:trHeight w:val="1358"/>
        </w:trPr>
        <w:tc>
          <w:tcPr>
            <w:tcW w:w="1980" w:type="dxa"/>
            <w:tcBorders>
              <w:top w:val="single" w:sz="4" w:space="0" w:color="000000"/>
              <w:left w:val="single" w:sz="4" w:space="0" w:color="000000"/>
              <w:bottom w:val="single" w:sz="4" w:space="0" w:color="000000"/>
              <w:right w:val="single" w:sz="4" w:space="0" w:color="000000"/>
            </w:tcBorders>
          </w:tcPr>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2. Documentos y/</w:t>
            </w:r>
            <w:proofErr w:type="spellStart"/>
            <w:r w:rsidRPr="00EA3E29">
              <w:rPr>
                <w:rFonts w:ascii="Palatino Linotype" w:eastAsia="Palatino Linotype" w:hAnsi="Palatino Linotype" w:cs="Palatino Linotype"/>
                <w:sz w:val="14"/>
                <w:szCs w:val="14"/>
              </w:rPr>
              <w:t>o</w:t>
            </w:r>
            <w:proofErr w:type="spellEnd"/>
            <w:r w:rsidRPr="00EA3E29">
              <w:rPr>
                <w:rFonts w:ascii="Palatino Linotype" w:eastAsia="Palatino Linotype" w:hAnsi="Palatino Linotype" w:cs="Palatino Linotype"/>
                <w:sz w:val="14"/>
                <w:szCs w:val="14"/>
              </w:rPr>
              <w:t xml:space="preserve"> oficios generados y recibidos por la Unidad de Transparencia conforme al siguiente orden: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a. Designación de los Administradores de Bases de Datos.</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b. Actualización de Avisos de Privacidad.</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c. Supervisión a las bases de datos documentales o electrónicas para establecer medidas de seguridad.</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lastRenderedPageBreak/>
              <w:t>d. Establecer bitácora de violaciones a la seguridad de las bases de datos documentales o electrónicas.</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e. Establecer el Plan de contingencia con las Unidades Administrativas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f. Actualización de bases de datos,</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g. Inventario de las bases de datos.</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h. documentos de gestión de seguridad y documentos de seguridad de la dependencia.</w:t>
            </w:r>
          </w:p>
        </w:tc>
        <w:tc>
          <w:tcPr>
            <w:tcW w:w="1843" w:type="dxa"/>
            <w:tcBorders>
              <w:top w:val="single" w:sz="4" w:space="0" w:color="000000"/>
              <w:left w:val="single" w:sz="4" w:space="0" w:color="000000"/>
              <w:bottom w:val="single" w:sz="4" w:space="0" w:color="000000"/>
              <w:right w:val="single" w:sz="4" w:space="0" w:color="000000"/>
            </w:tcBorders>
          </w:tcPr>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lastRenderedPageBreak/>
              <w:t>Entrega los documentos que contienen:</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-el registro de incidencias.</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-documento de seguridad sobre el tratamiento de datos personales en posesión del Sujeto Obligado Secretaría de Cultura y Turismo.</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 el análisis de brecha de la Dirección General de Patrimonio y Servicios </w:t>
            </w:r>
            <w:r w:rsidRPr="00EA3E29">
              <w:rPr>
                <w:rFonts w:ascii="Palatino Linotype" w:eastAsia="Palatino Linotype" w:hAnsi="Palatino Linotype" w:cs="Palatino Linotype"/>
                <w:sz w:val="14"/>
                <w:szCs w:val="14"/>
              </w:rPr>
              <w:lastRenderedPageBreak/>
              <w:t>Culturales del Valle de Toluca.</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el inventario de datos personales de la Dirección General de Patrimonio y Servicios Culturales del Valle de Toluca.</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la matriz de análisis de riesgos Dirección General de Patrimonio y Servicios Culturales del Valle de Toluca.</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 el aviso de privacidad de la Secretaría de Cultura y Turismo, constante de 14 fojas. </w:t>
            </w:r>
          </w:p>
          <w:p w:rsidR="00550112" w:rsidRPr="00EA3E29" w:rsidRDefault="00550112">
            <w:pPr>
              <w:jc w:val="both"/>
              <w:rPr>
                <w:rFonts w:ascii="Palatino Linotype" w:eastAsia="Palatino Linotype" w:hAnsi="Palatino Linotype" w:cs="Palatino Linotype"/>
                <w:sz w:val="14"/>
                <w:szCs w:val="14"/>
              </w:rPr>
            </w:pP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En versión pública, con excepción del aviso de privacidad; sin embargo, el </w:t>
            </w:r>
            <w:r w:rsidRPr="00EA3E29">
              <w:rPr>
                <w:rFonts w:ascii="Palatino Linotype" w:eastAsia="Palatino Linotype" w:hAnsi="Palatino Linotype" w:cs="Palatino Linotype"/>
                <w:b/>
                <w:sz w:val="14"/>
                <w:szCs w:val="14"/>
              </w:rPr>
              <w:t>SUJETO OBLIGADO</w:t>
            </w:r>
            <w:r w:rsidRPr="00EA3E29">
              <w:rPr>
                <w:rFonts w:ascii="Palatino Linotype" w:eastAsia="Palatino Linotype" w:hAnsi="Palatino Linotype" w:cs="Palatino Linotype"/>
                <w:sz w:val="14"/>
                <w:szCs w:val="14"/>
              </w:rPr>
              <w:t xml:space="preserve"> fue omiso en adjuntar el acuerdo del Comité de Transparencia por medio del cual se sustente la versión pública. </w:t>
            </w:r>
          </w:p>
          <w:p w:rsidR="00550112" w:rsidRPr="00EA3E29" w:rsidRDefault="00550112">
            <w:pPr>
              <w:jc w:val="both"/>
              <w:rPr>
                <w:rFonts w:ascii="Palatino Linotype" w:eastAsia="Palatino Linotype" w:hAnsi="Palatino Linotype" w:cs="Palatino Linotype"/>
                <w:sz w:val="14"/>
                <w:szCs w:val="14"/>
              </w:rPr>
            </w:pPr>
          </w:p>
        </w:tc>
        <w:tc>
          <w:tcPr>
            <w:tcW w:w="1842" w:type="dxa"/>
            <w:vMerge/>
            <w:tcBorders>
              <w:top w:val="single" w:sz="4" w:space="0" w:color="000000"/>
              <w:left w:val="single" w:sz="4" w:space="0" w:color="000000"/>
              <w:right w:val="single" w:sz="4" w:space="0" w:color="000000"/>
            </w:tcBorders>
          </w:tcPr>
          <w:p w:rsidR="00550112" w:rsidRPr="00EA3E29" w:rsidRDefault="00550112">
            <w:pPr>
              <w:widowControl w:val="0"/>
              <w:pBdr>
                <w:top w:val="nil"/>
                <w:left w:val="nil"/>
                <w:bottom w:val="nil"/>
                <w:right w:val="nil"/>
                <w:between w:val="nil"/>
              </w:pBdr>
              <w:spacing w:line="276" w:lineRule="auto"/>
              <w:rPr>
                <w:rFonts w:ascii="Palatino Linotype" w:eastAsia="Palatino Linotype" w:hAnsi="Palatino Linotype" w:cs="Palatino Linotype"/>
                <w:sz w:val="14"/>
                <w:szCs w:val="14"/>
              </w:rPr>
            </w:pPr>
          </w:p>
        </w:tc>
        <w:tc>
          <w:tcPr>
            <w:tcW w:w="1843" w:type="dxa"/>
            <w:tcBorders>
              <w:top w:val="single" w:sz="4" w:space="0" w:color="000000"/>
              <w:left w:val="single" w:sz="4" w:space="0" w:color="000000"/>
              <w:bottom w:val="single" w:sz="4" w:space="0" w:color="000000"/>
              <w:right w:val="single" w:sz="4" w:space="0" w:color="000000"/>
            </w:tcBorders>
          </w:tcPr>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“A) En cuanto al Acto Impugnado referente a que, se entregó información incompleta.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Se aclara que en la solicitud primigenia se informó al ahora Recurrente que, había documentales en proceso de generación de la información, debido a la publicación del Reglamento Interior de la </w:t>
            </w:r>
            <w:r w:rsidRPr="00EA3E29">
              <w:rPr>
                <w:rFonts w:ascii="Palatino Linotype" w:eastAsia="Palatino Linotype" w:hAnsi="Palatino Linotype" w:cs="Palatino Linotype"/>
                <w:sz w:val="14"/>
                <w:szCs w:val="14"/>
              </w:rPr>
              <w:lastRenderedPageBreak/>
              <w:t xml:space="preserve">Secretaría de Cultura y Turismo en el Periódico Oficial “Gaceta del Gobierno” de fecha 21 de junio de 2022; por lo que este Sujeto Obligado se encontraba y se encuentra en desarrollo de diversos documentos tomando como base la nueva estructura orgánica plasmada en el propio reglamento.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A continuación, se hace referencia a cada punto referido y documento solicitado por el recurrente en su petición inicial.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1. Plan de Trabajo del Sistema de Gestión de Protección de Datos Personales de esta Dependencia, correspondiente al ejercicio 2019 a 2022. Como se hizo del conocimiento al hoy recurrente en la respuesta de fecha 12 de julio de 2022, a partir de la publicación del Reglamento Interior de la Secretaría de Cultura y Turismo en el Periódico Oficial “Gaceta del Gobierno” de fecha 21 de junio de 2022, el Plan de Trabajo se encontraba en desarrollo con base a la nueva estructura orgánica plasmada en el propio reglamento, por lo que se agrega en formato PDF el Plan de Trabajo en Materia de Protección de Datos Personales de la Secretaría de Cultura y Turismo, autorizado por el Comité de Transparencia de este Sujeto Obligado, el cual se encuentra vigente.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Se anexa Acta del Comité de Transparencia. </w:t>
            </w:r>
          </w:p>
          <w:p w:rsidR="00550112" w:rsidRPr="00EA3E29" w:rsidRDefault="00550112">
            <w:pPr>
              <w:jc w:val="both"/>
              <w:rPr>
                <w:rFonts w:ascii="Palatino Linotype" w:eastAsia="Palatino Linotype" w:hAnsi="Palatino Linotype" w:cs="Palatino Linotype"/>
                <w:sz w:val="14"/>
                <w:szCs w:val="14"/>
              </w:rPr>
            </w:pP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2. Designación de los Administradores de Bases de Datos.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lastRenderedPageBreak/>
              <w:t xml:space="preserve">Se ratifica la respuesta plasmada el 12 de julio de 2022, en el sentido de que a la fecha se tiene designados y registrados como administradores de bases de datos, a las y los siguientes servidores públicos: • Lic. </w:t>
            </w:r>
            <w:proofErr w:type="spellStart"/>
            <w:r w:rsidRPr="00EA3E29">
              <w:rPr>
                <w:rFonts w:ascii="Palatino Linotype" w:eastAsia="Palatino Linotype" w:hAnsi="Palatino Linotype" w:cs="Palatino Linotype"/>
                <w:sz w:val="14"/>
                <w:szCs w:val="14"/>
              </w:rPr>
              <w:t>Thelma</w:t>
            </w:r>
            <w:proofErr w:type="spellEnd"/>
            <w:r w:rsidRPr="00EA3E29">
              <w:rPr>
                <w:rFonts w:ascii="Palatino Linotype" w:eastAsia="Palatino Linotype" w:hAnsi="Palatino Linotype" w:cs="Palatino Linotype"/>
                <w:sz w:val="14"/>
                <w:szCs w:val="14"/>
              </w:rPr>
              <w:t xml:space="preserve"> A. Morales García. Jefa del Departamento de Museos. • Lic. Stephanie </w:t>
            </w:r>
            <w:proofErr w:type="spellStart"/>
            <w:r w:rsidRPr="00EA3E29">
              <w:rPr>
                <w:rFonts w:ascii="Palatino Linotype" w:eastAsia="Palatino Linotype" w:hAnsi="Palatino Linotype" w:cs="Palatino Linotype"/>
                <w:sz w:val="14"/>
                <w:szCs w:val="14"/>
              </w:rPr>
              <w:t>Albiter</w:t>
            </w:r>
            <w:proofErr w:type="spellEnd"/>
            <w:r w:rsidRPr="00EA3E29">
              <w:rPr>
                <w:rFonts w:ascii="Palatino Linotype" w:eastAsia="Palatino Linotype" w:hAnsi="Palatino Linotype" w:cs="Palatino Linotype"/>
                <w:sz w:val="14"/>
                <w:szCs w:val="14"/>
              </w:rPr>
              <w:t xml:space="preserve"> Gómez. Encargada del Departamento de Actividades Culturales y Artísticas. • Arq. Gabino Simeón Santana Moreno. Jefe del Archivo Histórico del Estado de México. </w:t>
            </w:r>
          </w:p>
          <w:p w:rsidR="00550112" w:rsidRPr="00EA3E29" w:rsidRDefault="00550112">
            <w:pPr>
              <w:jc w:val="both"/>
              <w:rPr>
                <w:rFonts w:ascii="Palatino Linotype" w:eastAsia="Palatino Linotype" w:hAnsi="Palatino Linotype" w:cs="Palatino Linotype"/>
                <w:sz w:val="14"/>
                <w:szCs w:val="14"/>
              </w:rPr>
            </w:pP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3. Actualización de Avisos de Privacidad.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Se ratifica la respuesta hecha valer el 12 de julio de 2022, en el sentido de que el aviso de privacidad vigente lo puede consultar en la siguiente liga oficial, el cual una vez más se proporciona: http://cultura.edomex.gob.mx/sites/cultura.edomex.gob.mx/files/files/transparen </w:t>
            </w:r>
            <w:proofErr w:type="spellStart"/>
            <w:r w:rsidRPr="00EA3E29">
              <w:rPr>
                <w:rFonts w:ascii="Palatino Linotype" w:eastAsia="Palatino Linotype" w:hAnsi="Palatino Linotype" w:cs="Palatino Linotype"/>
                <w:sz w:val="14"/>
                <w:szCs w:val="14"/>
              </w:rPr>
              <w:t>cia</w:t>
            </w:r>
            <w:proofErr w:type="spellEnd"/>
            <w:r w:rsidRPr="00EA3E29">
              <w:rPr>
                <w:rFonts w:ascii="Palatino Linotype" w:eastAsia="Palatino Linotype" w:hAnsi="Palatino Linotype" w:cs="Palatino Linotype"/>
                <w:sz w:val="14"/>
                <w:szCs w:val="14"/>
              </w:rPr>
              <w:t xml:space="preserve">/av2022.pdf </w:t>
            </w:r>
          </w:p>
          <w:p w:rsidR="00550112" w:rsidRPr="00EA3E29" w:rsidRDefault="00550112">
            <w:pPr>
              <w:jc w:val="both"/>
              <w:rPr>
                <w:rFonts w:ascii="Palatino Linotype" w:eastAsia="Palatino Linotype" w:hAnsi="Palatino Linotype" w:cs="Palatino Linotype"/>
                <w:sz w:val="14"/>
                <w:szCs w:val="14"/>
              </w:rPr>
            </w:pP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4. Supervisión a las bases de datos documentales o electrónicas para establecer medidas de seguridad.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Establecer bitácora de violaciones a la seguridad de las bases de datos documentales o electrónicas. Se ratifica la respuesta plasmada el 12 de julio de 2022, en el sentido de que este Sujeto Obligado tiene un registro y/o bitácora para la supervisión y/o violaciones a la seguridad de datos personales, mismo que una vez más se anexa en formato </w:t>
            </w:r>
            <w:proofErr w:type="spellStart"/>
            <w:r w:rsidRPr="00EA3E29">
              <w:rPr>
                <w:rFonts w:ascii="Palatino Linotype" w:eastAsia="Palatino Linotype" w:hAnsi="Palatino Linotype" w:cs="Palatino Linotype"/>
                <w:sz w:val="14"/>
                <w:szCs w:val="14"/>
              </w:rPr>
              <w:t>pdf</w:t>
            </w:r>
            <w:proofErr w:type="spellEnd"/>
            <w:r w:rsidRPr="00EA3E29">
              <w:rPr>
                <w:rFonts w:ascii="Palatino Linotype" w:eastAsia="Palatino Linotype" w:hAnsi="Palatino Linotype" w:cs="Palatino Linotype"/>
                <w:sz w:val="14"/>
                <w:szCs w:val="14"/>
              </w:rPr>
              <w:t xml:space="preserve">. (Matriz, Registro de incidencias). </w:t>
            </w:r>
          </w:p>
          <w:p w:rsidR="00550112" w:rsidRPr="00EA3E29" w:rsidRDefault="00550112">
            <w:pPr>
              <w:jc w:val="both"/>
              <w:rPr>
                <w:rFonts w:ascii="Palatino Linotype" w:eastAsia="Palatino Linotype" w:hAnsi="Palatino Linotype" w:cs="Palatino Linotype"/>
                <w:sz w:val="14"/>
                <w:szCs w:val="14"/>
              </w:rPr>
            </w:pP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5. Establecer el Plan de contingencia con las </w:t>
            </w:r>
            <w:r w:rsidRPr="00EA3E29">
              <w:rPr>
                <w:rFonts w:ascii="Palatino Linotype" w:eastAsia="Palatino Linotype" w:hAnsi="Palatino Linotype" w:cs="Palatino Linotype"/>
                <w:sz w:val="14"/>
                <w:szCs w:val="14"/>
              </w:rPr>
              <w:lastRenderedPageBreak/>
              <w:t xml:space="preserve">Unidades Administrativas y Actualización de bases de datos.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Como se hizo del conocimiento al hoy recurrente en la respuesta de fecha 12 de julio de 2022, a partir de la publicación del Reglamento Interior de la Secretaría de Cultura y Turismo en el Periódico Oficial “Gaceta del Gobierno” de fecha 21 de junio de 2022, el Plan de contingencia con las Unidades Administrativas y Actualización de bases de datos, se encontraba en desarrollo con base a la nueva estructura orgánica plasmada en el propio reglamento, por lo que se anexa en formato PDF el Plan de Contingencia (Gestión de Seguridad) en materia de Protección de Datos Personales de la Secretaría de Cultura y Turismo, autorizado por el Comité de Transparencia de este Sujeto Obligado, el cual se encuentra vigente, y que en su contenido se hace referencia a las unidades administrativas y la actualización de bases de datos.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Se anexa Acta del Comité de Transparencia. </w:t>
            </w:r>
          </w:p>
          <w:p w:rsidR="00550112" w:rsidRPr="00EA3E29" w:rsidRDefault="00550112">
            <w:pPr>
              <w:jc w:val="both"/>
              <w:rPr>
                <w:rFonts w:ascii="Palatino Linotype" w:eastAsia="Palatino Linotype" w:hAnsi="Palatino Linotype" w:cs="Palatino Linotype"/>
                <w:sz w:val="14"/>
                <w:szCs w:val="14"/>
              </w:rPr>
            </w:pP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6. El inventario de las bases de datos.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Se ratifica la respuesta del 12 de julio de 2022, y una vez más se anexa en formato PDF. </w:t>
            </w:r>
          </w:p>
          <w:p w:rsidR="00550112" w:rsidRPr="00EA3E29" w:rsidRDefault="00550112">
            <w:pPr>
              <w:jc w:val="both"/>
              <w:rPr>
                <w:rFonts w:ascii="Palatino Linotype" w:eastAsia="Palatino Linotype" w:hAnsi="Palatino Linotype" w:cs="Palatino Linotype"/>
                <w:sz w:val="14"/>
                <w:szCs w:val="14"/>
              </w:rPr>
            </w:pP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7. Documentos de Gestión de seguridad y documentos de seguridad de la dependencia. Se ratifica la respuesta dada el 12 de julio de 2022, y se agrega en formato PDF el Documento de Seguridad vigente autorizado por el Comité de Transparencia.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lastRenderedPageBreak/>
              <w:t xml:space="preserve">Se anexa Acta del Comité de Transparencia. </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B) En lo que hace a las Razones o Motivos de Inconformidad vertidos por el Recurrente, resultan ser los mismos que los de su Acto Impugnado, por lo que, en obvio de repeticiones, en este acto se tienen por insertados en este apartado los hechos valer en el inciso A) numerales 1, 2, 3, 4, 5 ,6 y 7 de este documento…”(Sic)</w:t>
            </w:r>
          </w:p>
        </w:tc>
        <w:tc>
          <w:tcPr>
            <w:tcW w:w="1320" w:type="dxa"/>
            <w:tcBorders>
              <w:top w:val="single" w:sz="4" w:space="0" w:color="000000"/>
              <w:left w:val="single" w:sz="4" w:space="0" w:color="000000"/>
              <w:bottom w:val="single" w:sz="4" w:space="0" w:color="000000"/>
              <w:right w:val="single" w:sz="4" w:space="0" w:color="000000"/>
            </w:tcBorders>
            <w:vAlign w:val="center"/>
          </w:tcPr>
          <w:p w:rsidR="00550112" w:rsidRPr="00EA3E29" w:rsidRDefault="00221369">
            <w:pPr>
              <w:jc w:val="center"/>
              <w:rPr>
                <w:rFonts w:ascii="Palatino Linotype" w:eastAsia="Palatino Linotype" w:hAnsi="Palatino Linotype" w:cs="Palatino Linotype"/>
                <w:b/>
                <w:sz w:val="14"/>
                <w:szCs w:val="14"/>
              </w:rPr>
            </w:pPr>
            <w:r w:rsidRPr="00EA3E29">
              <w:rPr>
                <w:rFonts w:ascii="Palatino Linotype" w:eastAsia="Palatino Linotype" w:hAnsi="Palatino Linotype" w:cs="Palatino Linotype"/>
                <w:b/>
                <w:sz w:val="14"/>
                <w:szCs w:val="14"/>
              </w:rPr>
              <w:lastRenderedPageBreak/>
              <w:t>Parcialmente</w:t>
            </w:r>
          </w:p>
          <w:p w:rsidR="00550112" w:rsidRPr="00EA3E29" w:rsidRDefault="00221369">
            <w:pPr>
              <w:jc w:val="both"/>
              <w:rPr>
                <w:rFonts w:ascii="Palatino Linotype" w:eastAsia="Palatino Linotype" w:hAnsi="Palatino Linotype" w:cs="Palatino Linotype"/>
                <w:sz w:val="14"/>
                <w:szCs w:val="14"/>
              </w:rPr>
            </w:pPr>
            <w:r w:rsidRPr="00EA3E29">
              <w:rPr>
                <w:rFonts w:ascii="Palatino Linotype" w:eastAsia="Palatino Linotype" w:hAnsi="Palatino Linotype" w:cs="Palatino Linotype"/>
                <w:sz w:val="14"/>
                <w:szCs w:val="14"/>
              </w:rPr>
              <w:t xml:space="preserve">Los documentos remitidos se aprecian, que se testó algunos apartados y sin remitir el acuerdo de comité de trasparencia a través del cual se sustente la versión pública, en razón de que </w:t>
            </w:r>
            <w:r w:rsidRPr="00EA3E29">
              <w:rPr>
                <w:rFonts w:ascii="Palatino Linotype" w:eastAsia="Palatino Linotype" w:hAnsi="Palatino Linotype" w:cs="Palatino Linotype"/>
                <w:sz w:val="14"/>
                <w:szCs w:val="14"/>
              </w:rPr>
              <w:lastRenderedPageBreak/>
              <w:t xml:space="preserve">señala que su publicación podrá en riesgo a la secretaría por rebelar medidas de seguridad físicas, administrativas y técnicas. </w:t>
            </w:r>
          </w:p>
        </w:tc>
      </w:tr>
    </w:tbl>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lastRenderedPageBreak/>
        <w:t xml:space="preserve">En ese tenor, es importante precisar que, de la solicitud de información, así como la respuesta proporcionada a la misma se colige que la parte </w:t>
      </w:r>
      <w:r w:rsidRPr="00EA3E29">
        <w:rPr>
          <w:rFonts w:ascii="Palatino Linotype" w:eastAsia="Palatino Linotype" w:hAnsi="Palatino Linotype" w:cs="Palatino Linotype"/>
          <w:b/>
        </w:rPr>
        <w:t xml:space="preserve">RECURRENTE </w:t>
      </w:r>
      <w:r w:rsidRPr="00EA3E29">
        <w:rPr>
          <w:rFonts w:ascii="Palatino Linotype" w:eastAsia="Palatino Linotype" w:hAnsi="Palatino Linotype" w:cs="Palatino Linotype"/>
        </w:rPr>
        <w:t xml:space="preserve">únicamente requiere el Plan de Trabajo del Sistema de Gestión de Protección de Datos Personales del </w:t>
      </w:r>
      <w:r w:rsidRPr="00EA3E29">
        <w:rPr>
          <w:rFonts w:ascii="Palatino Linotype" w:eastAsia="Palatino Linotype" w:hAnsi="Palatino Linotype" w:cs="Palatino Linotype"/>
          <w:b/>
        </w:rPr>
        <w:t xml:space="preserve">SUJETO OBLIGADO </w:t>
      </w:r>
      <w:r w:rsidRPr="00EA3E29">
        <w:rPr>
          <w:rFonts w:ascii="Palatino Linotype" w:eastAsia="Palatino Linotype" w:hAnsi="Palatino Linotype" w:cs="Palatino Linotype"/>
        </w:rPr>
        <w:t>y los oficios que la unidad de transparencia haya girado o recibido respecto de la designación de los administradores de bases de datos; la actualización de avisos de privacidad; la supervisión a las bases de datos documentales o electrónicas para establecer medidas de seguridad; el establecimiento de la bitácora de violaciones a la seguridad de las bases de datos documentales o electrónicas; el establecimiento del plan de contingencia con las unidades administrativas; la actualización de bases de datos, y respecto del inventario de las bases de datos, documentos de gestión de seguridad y documentos de seguridad de la dependencia.</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En ese sentido por lo que hace al </w:t>
      </w:r>
      <w:r w:rsidRPr="00EA3E29">
        <w:rPr>
          <w:rFonts w:ascii="Palatino Linotype" w:eastAsia="Palatino Linotype" w:hAnsi="Palatino Linotype" w:cs="Palatino Linotype"/>
          <w:b/>
        </w:rPr>
        <w:t xml:space="preserve">requerimiento señalado en numeral 1. </w:t>
      </w:r>
      <w:r w:rsidRPr="00EA3E29">
        <w:rPr>
          <w:rFonts w:ascii="Palatino Linotype" w:eastAsia="Palatino Linotype" w:hAnsi="Palatino Linotype" w:cs="Palatino Linotype"/>
          <w:b/>
          <w:i/>
        </w:rPr>
        <w:t>Plan de Trabajo del Sistema de Gestión de Protección de Datos Personales de esta Dependencia, correspondiente al ejercicio 2019 a 2022,</w:t>
      </w:r>
      <w:r w:rsidRPr="00EA3E29">
        <w:rPr>
          <w:rFonts w:ascii="Palatino Linotype" w:eastAsia="Palatino Linotype" w:hAnsi="Palatino Linotype" w:cs="Palatino Linotype"/>
          <w:i/>
        </w:rPr>
        <w:t xml:space="preserve"> </w:t>
      </w:r>
      <w:r w:rsidRPr="00EA3E29">
        <w:rPr>
          <w:rFonts w:ascii="Palatino Linotype" w:eastAsia="Palatino Linotype" w:hAnsi="Palatino Linotype" w:cs="Palatino Linotype"/>
        </w:rPr>
        <w:t xml:space="preserve">como puede advertirse del cuadro que antecede, la Unidad de Transparencia, hizo entrega del  Plan de Trabajo </w:t>
      </w:r>
      <w:r w:rsidRPr="00EA3E29">
        <w:rPr>
          <w:rFonts w:ascii="Palatino Linotype" w:eastAsia="Palatino Linotype" w:hAnsi="Palatino Linotype" w:cs="Palatino Linotype"/>
        </w:rPr>
        <w:lastRenderedPageBreak/>
        <w:t>en Materia de Protección de Datos Personales de la Secretaría de Cultura y Turismo para el año 2022.</w:t>
      </w:r>
    </w:p>
    <w:p w:rsidR="00550112" w:rsidRPr="00EA3E29" w:rsidRDefault="00221369">
      <w:pPr>
        <w:spacing w:before="240" w:after="36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En este sentido, sobre el Plan de Trabajo, es importante analizar la naturaleza de la información solicitada a fin de conocer si a la misma le reviste el carácter de pública o, en su caso, se encuentra  dentro de las excepciones previstas al derecho de acceso a la  información. </w:t>
      </w:r>
    </w:p>
    <w:p w:rsidR="00550112" w:rsidRPr="00EA3E29" w:rsidRDefault="00221369">
      <w:pPr>
        <w:spacing w:before="240" w:after="36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Siendo importante comenzar señalando que el diverso 14, fracción IV, de la Ley de Protección de Datos Personales en Posesión de Sujetos Obligados del Estado de México y Municipios, establece lo siguiente:</w:t>
      </w:r>
    </w:p>
    <w:p w:rsidR="00550112" w:rsidRPr="00EA3E29" w:rsidRDefault="00221369">
      <w:pPr>
        <w:spacing w:before="120" w:after="120"/>
        <w:ind w:left="709"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“Del programa Estatal</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Artículo 14.</w:t>
      </w:r>
      <w:r w:rsidRPr="00EA3E29">
        <w:rPr>
          <w:rFonts w:ascii="Palatino Linotype" w:eastAsia="Palatino Linotype" w:hAnsi="Palatino Linotype" w:cs="Palatino Linotype"/>
          <w:i/>
          <w:sz w:val="22"/>
          <w:szCs w:val="22"/>
        </w:rPr>
        <w:t xml:space="preserve"> El Instituto será responsable de diseñar, ejecutar y evaluar un Programa Estatal de Protección de Datos Personales que defina la política pública y establezca, como mínimo, objetivos, estrategias, acciones y metas; conforme a las bases siguientes:</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VI.</w:t>
      </w:r>
      <w:r w:rsidRPr="00EA3E29">
        <w:rPr>
          <w:rFonts w:ascii="Palatino Linotype" w:eastAsia="Palatino Linotype" w:hAnsi="Palatino Linotype" w:cs="Palatino Linotype"/>
          <w:i/>
          <w:sz w:val="22"/>
          <w:szCs w:val="22"/>
        </w:rPr>
        <w:t xml:space="preserve"> </w:t>
      </w:r>
      <w:r w:rsidRPr="00EA3E29">
        <w:rPr>
          <w:rFonts w:ascii="Palatino Linotype" w:eastAsia="Palatino Linotype" w:hAnsi="Palatino Linotype" w:cs="Palatino Linotype"/>
          <w:b/>
          <w:i/>
          <w:sz w:val="22"/>
          <w:szCs w:val="22"/>
          <w:u w:val="single"/>
        </w:rPr>
        <w:t>Impulsar la implementación y mantenimiento de un sistema de gestión de seguridad a que se hace referencia en la presente Ley</w:t>
      </w:r>
      <w:r w:rsidRPr="00EA3E29">
        <w:rPr>
          <w:rFonts w:ascii="Palatino Linotype" w:eastAsia="Palatino Linotype" w:hAnsi="Palatino Linotype" w:cs="Palatino Linotype"/>
          <w:i/>
          <w:sz w:val="22"/>
          <w:szCs w:val="22"/>
        </w:rPr>
        <w:t>, así como promover la adopción de estándares nacionales e internacionales y buenas prácticas en la materia, y …” (Sic)</w:t>
      </w:r>
    </w:p>
    <w:p w:rsidR="00550112" w:rsidRPr="00EA3E29" w:rsidRDefault="00221369">
      <w:pPr>
        <w:spacing w:before="240" w:after="36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Del precepto citado se desprende que a este Instituto, como parte de sus atribuciones, le corresponde implementar y dar mantenimiento a un sistema de gestión de seguridad.</w:t>
      </w:r>
    </w:p>
    <w:p w:rsidR="00550112" w:rsidRPr="00EA3E29" w:rsidRDefault="00221369">
      <w:pPr>
        <w:spacing w:before="240" w:after="36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Mientras que el artículo 47 de la Ley de Protección de Datos Personales en Posesión de Sujetos Obligados del Estado de México y Municipios, establece que las acciones </w:t>
      </w:r>
      <w:r w:rsidRPr="00EA3E29">
        <w:rPr>
          <w:rFonts w:ascii="Palatino Linotype" w:eastAsia="Palatino Linotype" w:hAnsi="Palatino Linotype" w:cs="Palatino Linotype"/>
        </w:rPr>
        <w:lastRenderedPageBreak/>
        <w:t xml:space="preserve">relacionadas con las medidas de seguridad para el tratamiento de los datos personales serán documentadas y contenidas en un sistema de gestión: </w:t>
      </w:r>
    </w:p>
    <w:p w:rsidR="00550112" w:rsidRPr="00EA3E29" w:rsidRDefault="00221369">
      <w:pPr>
        <w:tabs>
          <w:tab w:val="left" w:pos="284"/>
          <w:tab w:val="left" w:pos="709"/>
        </w:tabs>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 “</w:t>
      </w:r>
      <w:r w:rsidRPr="00EA3E29">
        <w:rPr>
          <w:rFonts w:ascii="Palatino Linotype" w:eastAsia="Palatino Linotype" w:hAnsi="Palatino Linotype" w:cs="Palatino Linotype"/>
          <w:b/>
          <w:i/>
          <w:sz w:val="22"/>
          <w:szCs w:val="22"/>
        </w:rPr>
        <w:t>Artículo 47.</w:t>
      </w:r>
      <w:r w:rsidRPr="00EA3E29">
        <w:rPr>
          <w:rFonts w:ascii="Palatino Linotype" w:eastAsia="Palatino Linotype" w:hAnsi="Palatino Linotype" w:cs="Palatino Linotype"/>
          <w:i/>
          <w:sz w:val="22"/>
          <w:szCs w:val="22"/>
        </w:rPr>
        <w:t xml:space="preserve"> Las acciones relacionadas con las medidas de seguridad para el tratamiento de los datos personales serán documentadas y contenidas en un sistema de gestión. </w:t>
      </w:r>
    </w:p>
    <w:p w:rsidR="00550112" w:rsidRPr="00EA3E29" w:rsidRDefault="00221369">
      <w:pPr>
        <w:tabs>
          <w:tab w:val="left" w:pos="284"/>
          <w:tab w:val="left" w:pos="709"/>
        </w:tabs>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u w:val="single"/>
        </w:rPr>
        <w:t>Se entenderá por sistema de gestión al conjunto de elementos y actividades interrelacionadas para establecer, implementar, operar, monitorear, revisar, mantener y mejorar el tratamiento y seguridad de los datos personales</w:t>
      </w:r>
      <w:r w:rsidRPr="00EA3E29">
        <w:rPr>
          <w:rFonts w:ascii="Palatino Linotype" w:eastAsia="Palatino Linotype" w:hAnsi="Palatino Linotype" w:cs="Palatino Linotype"/>
          <w:i/>
          <w:sz w:val="22"/>
          <w:szCs w:val="22"/>
        </w:rPr>
        <w:t>, de conformidad con lo previsto en la presente Ley y las demás disposiciones legales aplicables.”</w:t>
      </w:r>
    </w:p>
    <w:p w:rsidR="00550112" w:rsidRPr="00EA3E29" w:rsidRDefault="00221369">
      <w:pPr>
        <w:pBdr>
          <w:top w:val="nil"/>
          <w:left w:val="nil"/>
          <w:bottom w:val="nil"/>
          <w:right w:val="nil"/>
          <w:between w:val="nil"/>
        </w:pBdr>
        <w:ind w:left="851" w:right="900"/>
        <w:jc w:val="both"/>
        <w:rPr>
          <w:color w:val="000000"/>
        </w:rPr>
      </w:pPr>
      <w:r w:rsidRPr="00EA3E29">
        <w:rPr>
          <w:rFonts w:ascii="Palatino Linotype" w:eastAsia="Palatino Linotype" w:hAnsi="Palatino Linotype" w:cs="Palatino Linotype"/>
          <w:b/>
          <w:i/>
          <w:color w:val="000000"/>
          <w:sz w:val="22"/>
          <w:szCs w:val="22"/>
        </w:rPr>
        <w:t>Revisión y actualización del documento de seguridad</w:t>
      </w:r>
    </w:p>
    <w:p w:rsidR="00550112" w:rsidRPr="00EA3E29" w:rsidRDefault="00221369">
      <w:pPr>
        <w:pBdr>
          <w:top w:val="nil"/>
          <w:left w:val="nil"/>
          <w:bottom w:val="nil"/>
          <w:right w:val="nil"/>
          <w:between w:val="nil"/>
        </w:pBdr>
        <w:ind w:left="851" w:right="900"/>
        <w:jc w:val="both"/>
        <w:rPr>
          <w:color w:val="000000"/>
        </w:rPr>
      </w:pPr>
      <w:r w:rsidRPr="00EA3E29">
        <w:rPr>
          <w:rFonts w:ascii="Palatino Linotype" w:eastAsia="Palatino Linotype" w:hAnsi="Palatino Linotype" w:cs="Palatino Linotype"/>
          <w:b/>
          <w:i/>
          <w:color w:val="000000"/>
          <w:sz w:val="22"/>
          <w:szCs w:val="22"/>
        </w:rPr>
        <w:t>Artículo 50</w:t>
      </w:r>
      <w:r w:rsidRPr="00EA3E29">
        <w:rPr>
          <w:rFonts w:ascii="Palatino Linotype" w:eastAsia="Palatino Linotype" w:hAnsi="Palatino Linotype" w:cs="Palatino Linotype"/>
          <w:i/>
          <w:color w:val="000000"/>
          <w:sz w:val="22"/>
          <w:szCs w:val="22"/>
        </w:rPr>
        <w:t xml:space="preserve">. </w:t>
      </w:r>
      <w:r w:rsidRPr="00EA3E29">
        <w:rPr>
          <w:rFonts w:ascii="Palatino Linotype" w:eastAsia="Palatino Linotype" w:hAnsi="Palatino Linotype" w:cs="Palatino Linotype"/>
          <w:b/>
          <w:i/>
          <w:color w:val="000000"/>
          <w:sz w:val="22"/>
          <w:szCs w:val="22"/>
        </w:rPr>
        <w:t>El responsable revisará</w:t>
      </w:r>
      <w:r w:rsidRPr="00EA3E29">
        <w:rPr>
          <w:rFonts w:ascii="Palatino Linotype" w:eastAsia="Palatino Linotype" w:hAnsi="Palatino Linotype" w:cs="Palatino Linotype"/>
          <w:i/>
          <w:color w:val="000000"/>
          <w:sz w:val="22"/>
          <w:szCs w:val="22"/>
        </w:rPr>
        <w:t xml:space="preserve"> el documento de seguridad de manera periódica y actualizarlo cuando ocurran los eventos siguientes:</w:t>
      </w:r>
    </w:p>
    <w:p w:rsidR="00550112" w:rsidRPr="00EA3E29" w:rsidRDefault="00221369">
      <w:pPr>
        <w:pBdr>
          <w:top w:val="nil"/>
          <w:left w:val="nil"/>
          <w:bottom w:val="nil"/>
          <w:right w:val="nil"/>
          <w:between w:val="nil"/>
        </w:pBdr>
        <w:ind w:left="1134" w:right="900"/>
        <w:jc w:val="both"/>
        <w:rPr>
          <w:color w:val="000000"/>
        </w:rPr>
      </w:pPr>
      <w:r w:rsidRPr="00EA3E29">
        <w:rPr>
          <w:rFonts w:ascii="Palatino Linotype" w:eastAsia="Palatino Linotype" w:hAnsi="Palatino Linotype" w:cs="Palatino Linotype"/>
          <w:i/>
          <w:color w:val="000000"/>
          <w:sz w:val="22"/>
          <w:szCs w:val="22"/>
        </w:rPr>
        <w:t>I. Se produzcan modificaciones sustanciales al tratamiento de datos personales que deriven en un cambio en el nivel de riesgo.</w:t>
      </w:r>
    </w:p>
    <w:p w:rsidR="00550112" w:rsidRPr="00EA3E29" w:rsidRDefault="00221369">
      <w:pPr>
        <w:pBdr>
          <w:top w:val="nil"/>
          <w:left w:val="nil"/>
          <w:bottom w:val="nil"/>
          <w:right w:val="nil"/>
          <w:between w:val="nil"/>
        </w:pBdr>
        <w:ind w:left="1134" w:right="900"/>
        <w:jc w:val="both"/>
        <w:rPr>
          <w:color w:val="000000"/>
        </w:rPr>
      </w:pPr>
      <w:r w:rsidRPr="00EA3E29">
        <w:rPr>
          <w:rFonts w:ascii="Palatino Linotype" w:eastAsia="Palatino Linotype" w:hAnsi="Palatino Linotype" w:cs="Palatino Linotype"/>
          <w:i/>
          <w:color w:val="000000"/>
          <w:sz w:val="22"/>
          <w:szCs w:val="22"/>
        </w:rPr>
        <w:t>II</w:t>
      </w:r>
      <w:r w:rsidRPr="00EA3E29">
        <w:rPr>
          <w:rFonts w:ascii="Palatino Linotype" w:eastAsia="Palatino Linotype" w:hAnsi="Palatino Linotype" w:cs="Palatino Linotype"/>
          <w:b/>
          <w:i/>
          <w:color w:val="000000"/>
          <w:sz w:val="22"/>
          <w:szCs w:val="22"/>
          <w:u w:val="single"/>
        </w:rPr>
        <w:t>. Como resultado de un proceso de mejora continua, derivado del monitoreo y revisión del sistema de gestión.</w:t>
      </w:r>
    </w:p>
    <w:p w:rsidR="00550112" w:rsidRPr="00EA3E29" w:rsidRDefault="00221369">
      <w:pPr>
        <w:pBdr>
          <w:top w:val="nil"/>
          <w:left w:val="nil"/>
          <w:bottom w:val="nil"/>
          <w:right w:val="nil"/>
          <w:between w:val="nil"/>
        </w:pBdr>
        <w:ind w:left="1134" w:right="900"/>
        <w:jc w:val="both"/>
        <w:rPr>
          <w:color w:val="000000"/>
        </w:rPr>
      </w:pPr>
      <w:r w:rsidRPr="00EA3E29">
        <w:rPr>
          <w:rFonts w:ascii="Palatino Linotype" w:eastAsia="Palatino Linotype" w:hAnsi="Palatino Linotype" w:cs="Palatino Linotype"/>
          <w:i/>
          <w:color w:val="000000"/>
          <w:sz w:val="22"/>
          <w:szCs w:val="22"/>
        </w:rPr>
        <w:t>III. Como resultado de un proceso de mejora para mitigar el impacto de una vulneración a la seguridad ocurrida.</w:t>
      </w:r>
    </w:p>
    <w:p w:rsidR="00550112" w:rsidRPr="00EA3E29" w:rsidRDefault="00221369">
      <w:pPr>
        <w:pBdr>
          <w:top w:val="nil"/>
          <w:left w:val="nil"/>
          <w:bottom w:val="nil"/>
          <w:right w:val="nil"/>
          <w:between w:val="nil"/>
        </w:pBdr>
        <w:ind w:left="1134" w:right="900"/>
        <w:jc w:val="both"/>
        <w:rPr>
          <w:color w:val="000000"/>
        </w:rPr>
      </w:pPr>
      <w:r w:rsidRPr="00EA3E29">
        <w:rPr>
          <w:rFonts w:ascii="Palatino Linotype" w:eastAsia="Palatino Linotype" w:hAnsi="Palatino Linotype" w:cs="Palatino Linotype"/>
          <w:i/>
          <w:color w:val="000000"/>
          <w:sz w:val="22"/>
          <w:szCs w:val="22"/>
        </w:rPr>
        <w:t>IV. Implementación de acciones correctivas y preventivas ante una violación de la seguridad de los datos personales.” (Sic)</w:t>
      </w:r>
    </w:p>
    <w:p w:rsidR="00550112" w:rsidRPr="00EA3E29" w:rsidRDefault="00221369">
      <w:pPr>
        <w:tabs>
          <w:tab w:val="left" w:pos="284"/>
          <w:tab w:val="left" w:pos="426"/>
        </w:tabs>
        <w:spacing w:before="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En esa razón, de conformidad con lo que señala el artículo 33 de la Ley General de Protección de Datos Personales en Posesión de Sujetos Obligados, para establecer y mantener las medidas de seguridad para la protección de los datos personales, el responsable debe implementar un sistema de gestión contemplando los siguientes aspectos: </w:t>
      </w:r>
    </w:p>
    <w:p w:rsidR="00550112" w:rsidRPr="00EA3E29" w:rsidRDefault="00550112">
      <w:pPr>
        <w:spacing w:line="360" w:lineRule="auto"/>
        <w:ind w:right="-93"/>
        <w:jc w:val="both"/>
        <w:rPr>
          <w:rFonts w:ascii="Palatino Linotype" w:eastAsia="Palatino Linotype" w:hAnsi="Palatino Linotype" w:cs="Palatino Linotype"/>
        </w:rPr>
      </w:pPr>
    </w:p>
    <w:p w:rsidR="00550112" w:rsidRPr="00EA3E29" w:rsidRDefault="00221369">
      <w:pPr>
        <w:tabs>
          <w:tab w:val="left" w:pos="284"/>
          <w:tab w:val="left" w:pos="426"/>
        </w:tabs>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“Artículo 33.</w:t>
      </w:r>
      <w:r w:rsidRPr="00EA3E29">
        <w:rPr>
          <w:rFonts w:ascii="Palatino Linotype" w:eastAsia="Palatino Linotype" w:hAnsi="Palatino Linotype" w:cs="Palatino Linotype"/>
          <w:i/>
          <w:sz w:val="22"/>
          <w:szCs w:val="22"/>
        </w:rPr>
        <w:t xml:space="preserve"> Para establecer y mantener las medidas de seguridad para la protección de los datos personales, el responsable deberá realizar, al menos, las siguientes actividades interrelacionadas: </w:t>
      </w:r>
    </w:p>
    <w:p w:rsidR="00550112" w:rsidRPr="00EA3E29" w:rsidRDefault="00221369">
      <w:pPr>
        <w:tabs>
          <w:tab w:val="left" w:pos="284"/>
          <w:tab w:val="left" w:pos="426"/>
        </w:tabs>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lastRenderedPageBreak/>
        <w:t xml:space="preserve">I. Crear políticas internas para la gestión y tratamiento de los datos personales, que tomen en cuenta el contexto en el que ocurren los tratamientos y el ciclo de vida de los datos personales, es decir, su obtención, uso y posterior supresión; </w:t>
      </w:r>
    </w:p>
    <w:p w:rsidR="00550112" w:rsidRPr="00EA3E29" w:rsidRDefault="00221369">
      <w:pPr>
        <w:tabs>
          <w:tab w:val="left" w:pos="284"/>
          <w:tab w:val="left" w:pos="426"/>
        </w:tabs>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II. Definir las funciones y obligaciones del personal involucrado en el tratamiento de datos personales;</w:t>
      </w:r>
    </w:p>
    <w:p w:rsidR="00550112" w:rsidRPr="00EA3E29" w:rsidRDefault="00221369">
      <w:pPr>
        <w:tabs>
          <w:tab w:val="left" w:pos="284"/>
          <w:tab w:val="left" w:pos="426"/>
        </w:tabs>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color w:val="FF0000"/>
          <w:sz w:val="22"/>
          <w:szCs w:val="22"/>
        </w:rPr>
        <w:t xml:space="preserve"> </w:t>
      </w:r>
      <w:r w:rsidRPr="00EA3E29">
        <w:rPr>
          <w:rFonts w:ascii="Palatino Linotype" w:eastAsia="Palatino Linotype" w:hAnsi="Palatino Linotype" w:cs="Palatino Linotype"/>
          <w:i/>
          <w:sz w:val="22"/>
          <w:szCs w:val="22"/>
        </w:rPr>
        <w:t xml:space="preserve">III. Elaborar un inventario de datos personales y de los sistemas de tratamiento; </w:t>
      </w:r>
    </w:p>
    <w:p w:rsidR="00550112" w:rsidRPr="00EA3E29" w:rsidRDefault="00221369">
      <w:pPr>
        <w:tabs>
          <w:tab w:val="left" w:pos="284"/>
          <w:tab w:val="left" w:pos="426"/>
        </w:tabs>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rsidR="00550112" w:rsidRPr="00EA3E29" w:rsidRDefault="00221369">
      <w:pPr>
        <w:tabs>
          <w:tab w:val="left" w:pos="284"/>
          <w:tab w:val="left" w:pos="426"/>
        </w:tabs>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V. Realizar un análisis de brecha, comparando las medidas de seguridad existentes contra las faltantes en la organización del responsable; </w:t>
      </w:r>
    </w:p>
    <w:p w:rsidR="00550112" w:rsidRPr="00EA3E29" w:rsidRDefault="00221369">
      <w:pPr>
        <w:tabs>
          <w:tab w:val="left" w:pos="284"/>
          <w:tab w:val="left" w:pos="426"/>
        </w:tabs>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 xml:space="preserve">VI. </w:t>
      </w:r>
      <w:r w:rsidRPr="00EA3E29">
        <w:rPr>
          <w:rFonts w:ascii="Palatino Linotype" w:eastAsia="Palatino Linotype" w:hAnsi="Palatino Linotype" w:cs="Palatino Linotype"/>
          <w:b/>
          <w:i/>
          <w:sz w:val="22"/>
          <w:szCs w:val="22"/>
          <w:u w:val="single"/>
        </w:rPr>
        <w:t>Elaborar un plan de trabajo para la implementación de las medidas de seguridad faltantes</w:t>
      </w:r>
      <w:r w:rsidRPr="00EA3E29">
        <w:rPr>
          <w:rFonts w:ascii="Palatino Linotype" w:eastAsia="Palatino Linotype" w:hAnsi="Palatino Linotype" w:cs="Palatino Linotype"/>
          <w:i/>
          <w:sz w:val="22"/>
          <w:szCs w:val="22"/>
        </w:rPr>
        <w:t xml:space="preserve">, así como las medidas para el cumplimiento cotidiano de las políticas de gestión y tratamiento de los datos personales; </w:t>
      </w:r>
    </w:p>
    <w:p w:rsidR="00550112" w:rsidRPr="00EA3E29" w:rsidRDefault="00221369">
      <w:pPr>
        <w:tabs>
          <w:tab w:val="left" w:pos="284"/>
          <w:tab w:val="left" w:pos="426"/>
        </w:tabs>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VII. Monitorear y revisar de manera periódica las medidas de seguridad implementadas, así como las amenazas y vulneraciones a las que están sujetos los datos personales, y </w:t>
      </w:r>
    </w:p>
    <w:p w:rsidR="00550112" w:rsidRPr="00EA3E29" w:rsidRDefault="00550112">
      <w:pPr>
        <w:tabs>
          <w:tab w:val="left" w:pos="284"/>
          <w:tab w:val="left" w:pos="426"/>
        </w:tabs>
        <w:ind w:left="567" w:right="616"/>
        <w:jc w:val="both"/>
        <w:rPr>
          <w:rFonts w:ascii="Palatino Linotype" w:eastAsia="Palatino Linotype" w:hAnsi="Palatino Linotype" w:cs="Palatino Linotype"/>
          <w:i/>
          <w:sz w:val="22"/>
          <w:szCs w:val="22"/>
        </w:rPr>
      </w:pPr>
    </w:p>
    <w:p w:rsidR="00550112" w:rsidRPr="00EA3E29" w:rsidRDefault="00221369">
      <w:pPr>
        <w:tabs>
          <w:tab w:val="left" w:pos="284"/>
          <w:tab w:val="left" w:pos="426"/>
        </w:tabs>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VIII. Diseñar y aplicar diferentes niveles de capacitación del personal bajo su mando, dependiendo de sus roles y responsabilidades respecto del tratamiento de los datos personales.” (Sic)</w:t>
      </w:r>
    </w:p>
    <w:p w:rsidR="00550112" w:rsidRPr="00EA3E29" w:rsidRDefault="00550112">
      <w:pPr>
        <w:ind w:right="-93"/>
        <w:jc w:val="both"/>
        <w:rPr>
          <w:rFonts w:ascii="Palatino Linotype" w:eastAsia="Palatino Linotype" w:hAnsi="Palatino Linotype" w:cs="Palatino Linotype"/>
          <w:color w:val="FF0000"/>
          <w:sz w:val="22"/>
          <w:szCs w:val="22"/>
        </w:rPr>
      </w:pPr>
    </w:p>
    <w:p w:rsidR="00550112" w:rsidRPr="00EA3E29" w:rsidRDefault="00221369">
      <w:pPr>
        <w:tabs>
          <w:tab w:val="left" w:pos="284"/>
          <w:tab w:val="left" w:pos="426"/>
        </w:tabs>
        <w:spacing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Hasta este punto, podemos establecer que lo señalado anteriormente corresponde con lo solicitado por el particular,  para adoptar un Sistema de Gestión de Seguridad de Datos Personales el Responsable se deben contemplar, entre otros aspectos con la elaboración de un plan de trabajo para la implementación de las medidas de seguridad.</w:t>
      </w:r>
    </w:p>
    <w:p w:rsidR="00550112" w:rsidRPr="00EA3E29" w:rsidRDefault="00550112">
      <w:pPr>
        <w:tabs>
          <w:tab w:val="left" w:pos="284"/>
          <w:tab w:val="left" w:pos="426"/>
        </w:tabs>
        <w:spacing w:line="360" w:lineRule="auto"/>
        <w:ind w:right="49"/>
        <w:jc w:val="both"/>
        <w:rPr>
          <w:rFonts w:ascii="Palatino Linotype" w:eastAsia="Palatino Linotype" w:hAnsi="Palatino Linotype" w:cs="Palatino Linotype"/>
        </w:rPr>
      </w:pPr>
    </w:p>
    <w:p w:rsidR="00550112" w:rsidRPr="00EA3E29" w:rsidRDefault="00221369">
      <w:pPr>
        <w:spacing w:line="360" w:lineRule="auto"/>
        <w:jc w:val="both"/>
        <w:rPr>
          <w:rFonts w:ascii="Palatino Linotype" w:eastAsia="Palatino Linotype" w:hAnsi="Palatino Linotype" w:cs="Palatino Linotype"/>
          <w:color w:val="FF0000"/>
        </w:rPr>
      </w:pPr>
      <w:r w:rsidRPr="00EA3E29">
        <w:rPr>
          <w:rFonts w:ascii="Palatino Linotype" w:eastAsia="Palatino Linotype" w:hAnsi="Palatino Linotype" w:cs="Palatino Linotype"/>
        </w:rPr>
        <w:t xml:space="preserve">Siendo a través del Documento de Seguridad que se establecen las medidas de seguridad técnicas, físicas y administrativas adoptadas para garantizar la confidencialidad, integridad y disponibilidad de la información contenida en los sistemas y bases de datos personales, para mayor referencia se inserta el artículo 4, </w:t>
      </w:r>
      <w:r w:rsidRPr="00EA3E29">
        <w:rPr>
          <w:rFonts w:ascii="Palatino Linotype" w:eastAsia="Palatino Linotype" w:hAnsi="Palatino Linotype" w:cs="Palatino Linotype"/>
        </w:rPr>
        <w:lastRenderedPageBreak/>
        <w:t>fracción XVIII de la Ley de Protección de Datos Personales en Posesión de los Sujetos Obligados del Estado de México y Municipios:</w:t>
      </w:r>
    </w:p>
    <w:p w:rsidR="00550112" w:rsidRPr="00EA3E29" w:rsidRDefault="00221369">
      <w:pPr>
        <w:spacing w:before="240" w:after="360"/>
        <w:ind w:left="708"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“Artículo 4. Para los efectos de esta Ley se entenderá por: … </w:t>
      </w:r>
    </w:p>
    <w:p w:rsidR="00550112" w:rsidRPr="00EA3E29" w:rsidRDefault="00221369">
      <w:pPr>
        <w:spacing w:before="240" w:after="360" w:line="276" w:lineRule="auto"/>
        <w:ind w:left="708"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XVIII. </w:t>
      </w:r>
      <w:r w:rsidRPr="00EA3E29">
        <w:rPr>
          <w:rFonts w:ascii="Palatino Linotype" w:eastAsia="Palatino Linotype" w:hAnsi="Palatino Linotype" w:cs="Palatino Linotype"/>
          <w:b/>
          <w:i/>
          <w:sz w:val="22"/>
          <w:szCs w:val="22"/>
        </w:rPr>
        <w:t xml:space="preserve">Documento de seguridad: </w:t>
      </w:r>
      <w:r w:rsidRPr="00EA3E29">
        <w:rPr>
          <w:rFonts w:ascii="Palatino Linotype" w:eastAsia="Palatino Linotype" w:hAnsi="Palatino Linotype" w:cs="Palatino Linotype"/>
          <w:i/>
          <w:sz w:val="22"/>
          <w:szCs w:val="22"/>
        </w:rPr>
        <w:t xml:space="preserve">al </w:t>
      </w:r>
      <w:r w:rsidRPr="00EA3E29">
        <w:rPr>
          <w:rFonts w:ascii="Palatino Linotype" w:eastAsia="Palatino Linotype" w:hAnsi="Palatino Linotype" w:cs="Palatino Linotype"/>
          <w:b/>
          <w:i/>
          <w:sz w:val="22"/>
          <w:szCs w:val="22"/>
          <w:u w:val="single"/>
        </w:rPr>
        <w:t>instrumento que describe y da cuenta de manera general sobre las medidas de seguridad técnicas, físicas y administrativas</w:t>
      </w:r>
      <w:r w:rsidRPr="00EA3E29">
        <w:rPr>
          <w:rFonts w:ascii="Palatino Linotype" w:eastAsia="Palatino Linotype" w:hAnsi="Palatino Linotype" w:cs="Palatino Linotype"/>
          <w:i/>
          <w:sz w:val="22"/>
          <w:szCs w:val="22"/>
        </w:rPr>
        <w:t xml:space="preserve"> adoptadas por el responsable para garantizar la confidencialidad, integridad y disponibilidad de la información contenida en los sistemas y bases de datos personales.</w:t>
      </w:r>
    </w:p>
    <w:p w:rsidR="00550112" w:rsidRPr="00EA3E29" w:rsidRDefault="00221369">
      <w:pPr>
        <w:tabs>
          <w:tab w:val="left" w:pos="284"/>
          <w:tab w:val="left" w:pos="426"/>
        </w:tabs>
        <w:spacing w:before="240" w:after="240" w:line="360" w:lineRule="auto"/>
        <w:ind w:right="51"/>
        <w:jc w:val="both"/>
        <w:rPr>
          <w:rFonts w:ascii="Palatino Linotype" w:eastAsia="Palatino Linotype" w:hAnsi="Palatino Linotype" w:cs="Palatino Linotype"/>
        </w:rPr>
      </w:pPr>
      <w:r w:rsidRPr="00EA3E29">
        <w:rPr>
          <w:rFonts w:ascii="Palatino Linotype" w:eastAsia="Palatino Linotype" w:hAnsi="Palatino Linotype" w:cs="Palatino Linotype"/>
        </w:rPr>
        <w:t>En razón de lo anterior, resulta imprescindible señalar que el Instituto Nacional de Transparencia, Acceso a la Información, y Protección de Datos Personales emitió una Guía para cumplir con los principios y deberes de la Ley General de Protección de Datos Personales en Posesión de Sujetos Obligados</w:t>
      </w:r>
      <w:r w:rsidRPr="00EA3E29">
        <w:rPr>
          <w:rFonts w:ascii="Palatino Linotype" w:eastAsia="Palatino Linotype" w:hAnsi="Palatino Linotype" w:cs="Palatino Linotype"/>
          <w:vertAlign w:val="superscript"/>
        </w:rPr>
        <w:footnoteReference w:id="3"/>
      </w:r>
      <w:r w:rsidRPr="00EA3E29">
        <w:rPr>
          <w:rFonts w:ascii="Palatino Linotype" w:eastAsia="Palatino Linotype" w:hAnsi="Palatino Linotype" w:cs="Palatino Linotype"/>
        </w:rPr>
        <w:t>, para el sector Público, dirigida a los Sujetos Obligados que traten datos personales, dicha Guía establece que por Sistema de Gestión de Seguridad de los Datos Personales se entenderá “…</w:t>
      </w:r>
      <w:r w:rsidRPr="00EA3E29">
        <w:rPr>
          <w:rFonts w:ascii="Palatino Linotype" w:eastAsia="Palatino Linotype" w:hAnsi="Palatino Linotype" w:cs="Palatino Linotype"/>
          <w:i/>
        </w:rPr>
        <w:t>al conjunto de elementos y actividades relacionadas entre sí, que le permitirán al responsable planificar, implementar, monitorear y mejorar las medidas de seguridad de carácter administrativo, físico y técnico, tomando en consideración la normatividad aplicable, así como los estándares a nivel nacional e internacional, en materia de protección de datos personales y seguridad</w:t>
      </w:r>
      <w:r w:rsidRPr="00EA3E29">
        <w:rPr>
          <w:rFonts w:ascii="Palatino Linotype" w:eastAsia="Palatino Linotype" w:hAnsi="Palatino Linotype" w:cs="Palatino Linotype"/>
        </w:rPr>
        <w:t>…”</w:t>
      </w:r>
    </w:p>
    <w:p w:rsidR="00550112" w:rsidRPr="00EA3E29" w:rsidRDefault="00221369">
      <w:pPr>
        <w:tabs>
          <w:tab w:val="left" w:pos="284"/>
          <w:tab w:val="left" w:pos="426"/>
        </w:tabs>
        <w:spacing w:before="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Situación que se robustece son la siguiente captura de pantalla de la guía antes  mencionada que establece: </w:t>
      </w:r>
    </w:p>
    <w:p w:rsidR="00550112" w:rsidRPr="00EA3E29" w:rsidRDefault="00221369">
      <w:pPr>
        <w:spacing w:line="360" w:lineRule="auto"/>
        <w:ind w:right="-93"/>
        <w:jc w:val="center"/>
        <w:rPr>
          <w:rFonts w:ascii="Palatino Linotype" w:eastAsia="Palatino Linotype" w:hAnsi="Palatino Linotype" w:cs="Palatino Linotype"/>
        </w:rPr>
      </w:pPr>
      <w:r w:rsidRPr="00EA3E29">
        <w:rPr>
          <w:rFonts w:ascii="Palatino Linotype" w:eastAsia="Palatino Linotype" w:hAnsi="Palatino Linotype" w:cs="Palatino Linotype"/>
          <w:noProof/>
        </w:rPr>
        <w:lastRenderedPageBreak/>
        <w:drawing>
          <wp:inline distT="0" distB="0" distL="0" distR="0">
            <wp:extent cx="4513666" cy="2066467"/>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l="59231" t="16596" r="9807" b="71837"/>
                    <a:stretch>
                      <a:fillRect/>
                    </a:stretch>
                  </pic:blipFill>
                  <pic:spPr>
                    <a:xfrm>
                      <a:off x="0" y="0"/>
                      <a:ext cx="4513666" cy="2066467"/>
                    </a:xfrm>
                    <a:prstGeom prst="rect">
                      <a:avLst/>
                    </a:prstGeom>
                    <a:ln/>
                  </pic:spPr>
                </pic:pic>
              </a:graphicData>
            </a:graphic>
          </wp:inline>
        </w:drawing>
      </w:r>
    </w:p>
    <w:p w:rsidR="00550112" w:rsidRPr="00EA3E29" w:rsidRDefault="00221369">
      <w:pPr>
        <w:spacing w:line="360" w:lineRule="auto"/>
        <w:ind w:right="-93"/>
        <w:jc w:val="center"/>
        <w:rPr>
          <w:rFonts w:ascii="Palatino Linotype" w:eastAsia="Palatino Linotype" w:hAnsi="Palatino Linotype" w:cs="Palatino Linotype"/>
        </w:rPr>
      </w:pPr>
      <w:r w:rsidRPr="00EA3E29">
        <w:rPr>
          <w:rFonts w:ascii="Palatino Linotype" w:eastAsia="Palatino Linotype" w:hAnsi="Palatino Linotype" w:cs="Palatino Linotype"/>
          <w:noProof/>
        </w:rPr>
        <w:drawing>
          <wp:inline distT="0" distB="0" distL="0" distR="0">
            <wp:extent cx="4716000" cy="3404597"/>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l="58555" t="50090" r="9708" b="9174"/>
                    <a:stretch>
                      <a:fillRect/>
                    </a:stretch>
                  </pic:blipFill>
                  <pic:spPr>
                    <a:xfrm>
                      <a:off x="0" y="0"/>
                      <a:ext cx="4716000" cy="3404597"/>
                    </a:xfrm>
                    <a:prstGeom prst="rect">
                      <a:avLst/>
                    </a:prstGeom>
                    <a:ln/>
                  </pic:spPr>
                </pic:pic>
              </a:graphicData>
            </a:graphic>
          </wp:inline>
        </w:drawing>
      </w:r>
      <w:r w:rsidRPr="00EA3E29">
        <w:rPr>
          <w:noProof/>
        </w:rPr>
        <mc:AlternateContent>
          <mc:Choice Requires="wpg">
            <w:drawing>
              <wp:anchor distT="0" distB="0" distL="114300" distR="114300" simplePos="0" relativeHeight="251658240" behindDoc="0" locked="0" layoutInCell="1" hidden="0" allowOverlap="1">
                <wp:simplePos x="0" y="0"/>
                <wp:positionH relativeFrom="column">
                  <wp:posOffset>355600</wp:posOffset>
                </wp:positionH>
                <wp:positionV relativeFrom="paragraph">
                  <wp:posOffset>292100</wp:posOffset>
                </wp:positionV>
                <wp:extent cx="4881730" cy="409015"/>
                <wp:effectExtent l="0" t="0" r="0" b="0"/>
                <wp:wrapNone/>
                <wp:docPr id="35" name="Rectángulo 35"/>
                <wp:cNvGraphicFramePr/>
                <a:graphic xmlns:a="http://schemas.openxmlformats.org/drawingml/2006/main">
                  <a:graphicData uri="http://schemas.microsoft.com/office/word/2010/wordprocessingShape">
                    <wps:wsp>
                      <wps:cNvSpPr/>
                      <wps:spPr>
                        <a:xfrm>
                          <a:off x="2933710" y="3604068"/>
                          <a:ext cx="4824580" cy="351865"/>
                        </a:xfrm>
                        <a:prstGeom prst="rect">
                          <a:avLst/>
                        </a:prstGeom>
                        <a:noFill/>
                        <a:ln w="57150" cap="flat" cmpd="sng">
                          <a:solidFill>
                            <a:srgbClr val="C00000"/>
                          </a:solidFill>
                          <a:prstDash val="solid"/>
                          <a:round/>
                          <a:headEnd type="none" w="sm" len="sm"/>
                          <a:tailEnd type="none" w="sm" len="sm"/>
                        </a:ln>
                      </wps:spPr>
                      <wps:txbx>
                        <w:txbxContent>
                          <w:p w:rsidR="00550112" w:rsidRDefault="00550112">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292100</wp:posOffset>
                </wp:positionV>
                <wp:extent cx="4881730" cy="409015"/>
                <wp:effectExtent b="0" l="0" r="0" t="0"/>
                <wp:wrapNone/>
                <wp:docPr id="35" name="image5.png"/>
                <a:graphic>
                  <a:graphicData uri="http://schemas.openxmlformats.org/drawingml/2006/picture">
                    <pic:pic>
                      <pic:nvPicPr>
                        <pic:cNvPr id="0" name="image5.png"/>
                        <pic:cNvPicPr preferRelativeResize="0"/>
                      </pic:nvPicPr>
                      <pic:blipFill>
                        <a:blip r:embed="rId27"/>
                        <a:srcRect/>
                        <a:stretch>
                          <a:fillRect/>
                        </a:stretch>
                      </pic:blipFill>
                      <pic:spPr>
                        <a:xfrm>
                          <a:off x="0" y="0"/>
                          <a:ext cx="4881730" cy="409015"/>
                        </a:xfrm>
                        <a:prstGeom prst="rect"/>
                        <a:ln/>
                      </pic:spPr>
                    </pic:pic>
                  </a:graphicData>
                </a:graphic>
              </wp:anchor>
            </w:drawing>
          </mc:Fallback>
        </mc:AlternateContent>
      </w:r>
    </w:p>
    <w:p w:rsidR="00550112" w:rsidRPr="00EA3E29" w:rsidRDefault="00221369">
      <w:pPr>
        <w:tabs>
          <w:tab w:val="left" w:pos="284"/>
          <w:tab w:val="left" w:pos="426"/>
        </w:tabs>
        <w:spacing w:before="240" w:after="240" w:line="360" w:lineRule="auto"/>
        <w:ind w:right="51"/>
        <w:jc w:val="both"/>
        <w:rPr>
          <w:rFonts w:ascii="Palatino Linotype" w:eastAsia="Palatino Linotype" w:hAnsi="Palatino Linotype" w:cs="Palatino Linotype"/>
        </w:rPr>
      </w:pPr>
      <w:r w:rsidRPr="00EA3E29">
        <w:rPr>
          <w:rFonts w:ascii="Palatino Linotype" w:eastAsia="Palatino Linotype" w:hAnsi="Palatino Linotype" w:cs="Palatino Linotype"/>
        </w:rPr>
        <w:t>Dentro de la guía en cuestión, se precisa  que, en cuanto al  “</w:t>
      </w:r>
      <w:r w:rsidRPr="00EA3E29">
        <w:rPr>
          <w:rFonts w:ascii="Palatino Linotype" w:eastAsia="Palatino Linotype" w:hAnsi="Palatino Linotype" w:cs="Palatino Linotype"/>
          <w:b/>
          <w:i/>
        </w:rPr>
        <w:t xml:space="preserve">El plan de trabajo” </w:t>
      </w:r>
      <w:r w:rsidRPr="00EA3E29">
        <w:rPr>
          <w:rFonts w:ascii="Palatino Linotype" w:eastAsia="Palatino Linotype" w:hAnsi="Palatino Linotype" w:cs="Palatino Linotype"/>
          <w:i/>
        </w:rPr>
        <w:t xml:space="preserve">Una vez realizados los análisis correspondientes entre los que se encuentran los de riesgos y de brecha, </w:t>
      </w:r>
      <w:r w:rsidRPr="00EA3E29">
        <w:rPr>
          <w:rFonts w:ascii="Palatino Linotype" w:eastAsia="Palatino Linotype" w:hAnsi="Palatino Linotype" w:cs="Palatino Linotype"/>
          <w:b/>
          <w:i/>
          <w:u w:val="single"/>
        </w:rPr>
        <w:t>se debe elaborar un plan de trabajo con la finalidad de implementar las medidas de seguridad faltantes</w:t>
      </w:r>
      <w:r w:rsidRPr="00EA3E29">
        <w:rPr>
          <w:rFonts w:ascii="Palatino Linotype" w:eastAsia="Palatino Linotype" w:hAnsi="Palatino Linotype" w:cs="Palatino Linotype"/>
          <w:i/>
        </w:rPr>
        <w:t xml:space="preserve">, así como para el cumplimiento cotidiano de las políticas de tratamiento de los datos personales. </w:t>
      </w:r>
    </w:p>
    <w:p w:rsidR="00550112" w:rsidRPr="00EA3E29" w:rsidRDefault="00221369">
      <w:pPr>
        <w:tabs>
          <w:tab w:val="left" w:pos="284"/>
          <w:tab w:val="left" w:pos="426"/>
        </w:tabs>
        <w:spacing w:before="240" w:after="240" w:line="360" w:lineRule="auto"/>
        <w:ind w:right="51"/>
        <w:jc w:val="both"/>
        <w:rPr>
          <w:rFonts w:ascii="Palatino Linotype" w:eastAsia="Palatino Linotype" w:hAnsi="Palatino Linotype" w:cs="Palatino Linotype"/>
          <w:i/>
        </w:rPr>
      </w:pPr>
      <w:r w:rsidRPr="00EA3E29">
        <w:rPr>
          <w:rFonts w:ascii="Palatino Linotype" w:eastAsia="Palatino Linotype" w:hAnsi="Palatino Linotype" w:cs="Palatino Linotype"/>
          <w:i/>
        </w:rPr>
        <w:lastRenderedPageBreak/>
        <w:t>Para ello, se deben priorizar las medidas de seguridad más relevantes e inmediatas a establecer, habrá de considerarse los recursos económicos y humanos con los que cuenta el responsable para el cumplimiento, como todo plan de trabajo es indispensable que se fijen fechas compromiso, personas a cargo de su cumplimiento y para su implementación.</w:t>
      </w:r>
    </w:p>
    <w:p w:rsidR="00550112" w:rsidRPr="00EA3E29" w:rsidRDefault="00221369">
      <w:pPr>
        <w:spacing w:before="240" w:after="240" w:line="360" w:lineRule="auto"/>
        <w:ind w:right="51"/>
        <w:jc w:val="both"/>
        <w:rPr>
          <w:rFonts w:ascii="Palatino Linotype" w:eastAsia="Palatino Linotype" w:hAnsi="Palatino Linotype" w:cs="Palatino Linotype"/>
        </w:rPr>
      </w:pPr>
      <w:r w:rsidRPr="00EA3E29">
        <w:rPr>
          <w:rFonts w:ascii="Palatino Linotype" w:eastAsia="Palatino Linotype" w:hAnsi="Palatino Linotype" w:cs="Palatino Linotype"/>
        </w:rPr>
        <w:t>La situación anterior, se robustece con el contenido del artículo 35 de la Ley General en la materia en el cual se establece que el responsable del tratamiento de datos deberá elaborar un documento de seguridad en el que se contenga, al menos, lo siguiente:</w:t>
      </w:r>
    </w:p>
    <w:p w:rsidR="00550112" w:rsidRPr="00EA3E29" w:rsidRDefault="00221369">
      <w:pPr>
        <w:spacing w:before="240" w:after="240"/>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“Artículo 35. De manera particular, el responsable deberá elaborar un documento de seguridad que contenga, al menos, lo siguiente:</w:t>
      </w:r>
    </w:p>
    <w:p w:rsidR="00550112" w:rsidRPr="00EA3E29" w:rsidRDefault="00221369">
      <w:pPr>
        <w:spacing w:before="240" w:after="240"/>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I. El inventario de datos personales y de los sistemas de tratamiento;</w:t>
      </w:r>
    </w:p>
    <w:p w:rsidR="00550112" w:rsidRPr="00EA3E29" w:rsidRDefault="00221369">
      <w:pPr>
        <w:spacing w:before="240" w:after="240"/>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II. Las funciones y obligaciones de las personas que traten datos personales;</w:t>
      </w:r>
    </w:p>
    <w:p w:rsidR="00550112" w:rsidRPr="00EA3E29" w:rsidRDefault="00221369">
      <w:pPr>
        <w:spacing w:before="240" w:after="240"/>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III. El análisis de riesgos;</w:t>
      </w:r>
    </w:p>
    <w:p w:rsidR="00550112" w:rsidRPr="00EA3E29" w:rsidRDefault="00221369">
      <w:pPr>
        <w:spacing w:before="240" w:after="240"/>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IV. El análisis de brecha;</w:t>
      </w:r>
    </w:p>
    <w:p w:rsidR="00550112" w:rsidRPr="00EA3E29" w:rsidRDefault="00221369">
      <w:pPr>
        <w:spacing w:before="240" w:after="240"/>
        <w:ind w:left="567" w:right="616"/>
        <w:jc w:val="both"/>
        <w:rPr>
          <w:rFonts w:ascii="Palatino Linotype" w:eastAsia="Palatino Linotype" w:hAnsi="Palatino Linotype" w:cs="Palatino Linotype"/>
          <w:b/>
          <w:i/>
          <w:sz w:val="22"/>
          <w:szCs w:val="22"/>
        </w:rPr>
      </w:pPr>
      <w:r w:rsidRPr="00EA3E29">
        <w:rPr>
          <w:rFonts w:ascii="Palatino Linotype" w:eastAsia="Palatino Linotype" w:hAnsi="Palatino Linotype" w:cs="Palatino Linotype"/>
          <w:b/>
          <w:i/>
          <w:sz w:val="22"/>
          <w:szCs w:val="22"/>
        </w:rPr>
        <w:t>V. El plan de trabajo;</w:t>
      </w:r>
    </w:p>
    <w:p w:rsidR="00550112" w:rsidRPr="00EA3E29" w:rsidRDefault="00221369">
      <w:pPr>
        <w:spacing w:before="240" w:after="240"/>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VI. Los mecanismos de monitoreo y revisión de las medidas de seguridad, y</w:t>
      </w:r>
    </w:p>
    <w:p w:rsidR="00550112" w:rsidRPr="00EA3E29" w:rsidRDefault="00221369">
      <w:pPr>
        <w:spacing w:before="240" w:after="240"/>
        <w:ind w:left="567" w:right="616"/>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VII. El programa general de capacitación.”</w:t>
      </w:r>
    </w:p>
    <w:p w:rsidR="00550112" w:rsidRPr="00EA3E29" w:rsidRDefault="00221369">
      <w:pPr>
        <w:spacing w:before="240" w:after="240" w:line="360" w:lineRule="auto"/>
        <w:ind w:right="51"/>
        <w:jc w:val="both"/>
        <w:rPr>
          <w:rFonts w:ascii="Palatino Linotype" w:eastAsia="Palatino Linotype" w:hAnsi="Palatino Linotype" w:cs="Palatino Linotype"/>
        </w:rPr>
      </w:pPr>
      <w:r w:rsidRPr="00EA3E29">
        <w:rPr>
          <w:rFonts w:ascii="Palatino Linotype" w:eastAsia="Palatino Linotype" w:hAnsi="Palatino Linotype" w:cs="Palatino Linotype"/>
        </w:rPr>
        <w:t>Por su parte, el Artículo 49 de la Ley de Protección de Datos Personales en Posesión de Sujetos Obligados del Estado de México y Municipios, que habla del contenido del documento de seguridad, estipula lo siguiente:</w:t>
      </w:r>
    </w:p>
    <w:p w:rsidR="00550112" w:rsidRPr="00EA3E29" w:rsidRDefault="00221369">
      <w:pPr>
        <w:spacing w:before="120" w:after="120"/>
        <w:ind w:left="851" w:right="902"/>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 xml:space="preserve">“Artículo 49. </w:t>
      </w:r>
      <w:r w:rsidRPr="00EA3E29">
        <w:rPr>
          <w:rFonts w:ascii="Palatino Linotype" w:eastAsia="Palatino Linotype" w:hAnsi="Palatino Linotype" w:cs="Palatino Linotype"/>
          <w:i/>
          <w:sz w:val="22"/>
          <w:szCs w:val="22"/>
        </w:rPr>
        <w:t xml:space="preserve">El </w:t>
      </w:r>
      <w:r w:rsidRPr="00EA3E29">
        <w:rPr>
          <w:rFonts w:ascii="Palatino Linotype" w:eastAsia="Palatino Linotype" w:hAnsi="Palatino Linotype" w:cs="Palatino Linotype"/>
          <w:b/>
          <w:i/>
          <w:sz w:val="22"/>
          <w:szCs w:val="22"/>
        </w:rPr>
        <w:t xml:space="preserve">documento de seguridad </w:t>
      </w:r>
      <w:r w:rsidRPr="00EA3E29">
        <w:rPr>
          <w:rFonts w:ascii="Palatino Linotype" w:eastAsia="Palatino Linotype" w:hAnsi="Palatino Linotype" w:cs="Palatino Linotype"/>
          <w:i/>
          <w:sz w:val="22"/>
          <w:szCs w:val="22"/>
        </w:rPr>
        <w:t>deberá contener como mínimo lo siguiente:</w:t>
      </w:r>
    </w:p>
    <w:p w:rsidR="00550112" w:rsidRPr="00EA3E29" w:rsidRDefault="00221369">
      <w:pPr>
        <w:spacing w:before="120" w:after="120"/>
        <w:ind w:left="1134" w:right="902"/>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w:t>
      </w:r>
    </w:p>
    <w:p w:rsidR="00550112" w:rsidRPr="00EA3E29" w:rsidRDefault="00221369">
      <w:pPr>
        <w:spacing w:before="120" w:after="120"/>
        <w:ind w:left="1134" w:right="902"/>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lastRenderedPageBreak/>
        <w:t>II.</w:t>
      </w:r>
      <w:r w:rsidRPr="00EA3E29">
        <w:rPr>
          <w:rFonts w:ascii="Palatino Linotype" w:eastAsia="Palatino Linotype" w:hAnsi="Palatino Linotype" w:cs="Palatino Linotype"/>
          <w:i/>
          <w:sz w:val="22"/>
          <w:szCs w:val="22"/>
        </w:rPr>
        <w:t xml:space="preserve"> Respecto de las </w:t>
      </w:r>
      <w:r w:rsidRPr="00EA3E29">
        <w:rPr>
          <w:rFonts w:ascii="Palatino Linotype" w:eastAsia="Palatino Linotype" w:hAnsi="Palatino Linotype" w:cs="Palatino Linotype"/>
          <w:b/>
          <w:i/>
          <w:sz w:val="22"/>
          <w:szCs w:val="22"/>
        </w:rPr>
        <w:t>medidas de seguridad</w:t>
      </w:r>
      <w:r w:rsidRPr="00EA3E29">
        <w:rPr>
          <w:rFonts w:ascii="Palatino Linotype" w:eastAsia="Palatino Linotype" w:hAnsi="Palatino Linotype" w:cs="Palatino Linotype"/>
          <w:i/>
          <w:sz w:val="22"/>
          <w:szCs w:val="22"/>
        </w:rPr>
        <w:t xml:space="preserve"> implementadas deberá incluir lo siguiente:</w:t>
      </w:r>
    </w:p>
    <w:p w:rsidR="00550112" w:rsidRPr="00EA3E29" w:rsidRDefault="00221369">
      <w:pPr>
        <w:spacing w:before="120" w:after="120"/>
        <w:ind w:left="1418" w:right="902"/>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w:t>
      </w:r>
    </w:p>
    <w:p w:rsidR="00550112" w:rsidRPr="00EA3E29" w:rsidRDefault="00221369">
      <w:pPr>
        <w:spacing w:before="120" w:after="120"/>
        <w:ind w:left="1418" w:right="902"/>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m)</w:t>
      </w:r>
      <w:r w:rsidRPr="00EA3E29">
        <w:rPr>
          <w:rFonts w:ascii="Palatino Linotype" w:eastAsia="Palatino Linotype" w:hAnsi="Palatino Linotype" w:cs="Palatino Linotype"/>
          <w:i/>
          <w:sz w:val="22"/>
          <w:szCs w:val="22"/>
        </w:rPr>
        <w:t xml:space="preserve"> El plan de trabajo.”</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Derivado de esta normatividad, queda especificado que </w:t>
      </w:r>
      <w:r w:rsidRPr="00EA3E29">
        <w:rPr>
          <w:rFonts w:ascii="Palatino Linotype" w:eastAsia="Palatino Linotype" w:hAnsi="Palatino Linotype" w:cs="Palatino Linotype"/>
          <w:b/>
          <w:i/>
        </w:rPr>
        <w:t>el Plan de Trabajo</w:t>
      </w:r>
      <w:r w:rsidRPr="00EA3E29">
        <w:rPr>
          <w:rFonts w:ascii="Palatino Linotype" w:eastAsia="Palatino Linotype" w:hAnsi="Palatino Linotype" w:cs="Palatino Linotype"/>
          <w:i/>
        </w:rPr>
        <w:t xml:space="preserve"> </w:t>
      </w:r>
      <w:r w:rsidRPr="00EA3E29">
        <w:rPr>
          <w:rFonts w:ascii="Palatino Linotype" w:eastAsia="Palatino Linotype" w:hAnsi="Palatino Linotype" w:cs="Palatino Linotype"/>
        </w:rPr>
        <w:t xml:space="preserve">es un documento que, a su vez, forma parte del documento de seguridad, entendido como el </w:t>
      </w:r>
      <w:r w:rsidRPr="00EA3E29">
        <w:rPr>
          <w:rFonts w:ascii="Palatino Linotype" w:eastAsia="Palatino Linotype" w:hAnsi="Palatino Linotype" w:cs="Palatino Linotype"/>
          <w:b/>
        </w:rPr>
        <w:t xml:space="preserve">instrumento que </w:t>
      </w:r>
      <w:r w:rsidRPr="00EA3E29">
        <w:rPr>
          <w:rFonts w:ascii="Palatino Linotype" w:eastAsia="Palatino Linotype" w:hAnsi="Palatino Linotype" w:cs="Palatino Linotype"/>
          <w:b/>
          <w:u w:val="single"/>
        </w:rPr>
        <w:t>establece las medidas de seguridad</w:t>
      </w:r>
      <w:r w:rsidRPr="00EA3E29">
        <w:rPr>
          <w:rFonts w:ascii="Palatino Linotype" w:eastAsia="Palatino Linotype" w:hAnsi="Palatino Linotype" w:cs="Palatino Linotype"/>
          <w:b/>
        </w:rPr>
        <w:t xml:space="preserve"> técnicas, físicas y administrativas adoptadas para garantizar la confidencialidad, integridad y disponibilidad de la información contenida en los sistemas y bases de datos personales</w:t>
      </w:r>
      <w:r w:rsidRPr="00EA3E29">
        <w:rPr>
          <w:rFonts w:ascii="Palatino Linotype" w:eastAsia="Palatino Linotype" w:hAnsi="Palatino Linotype" w:cs="Palatino Linotype"/>
        </w:rPr>
        <w:t xml:space="preserve">. </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Para mayor referencia se inserta el artículo 4, fracción XVIII de la Ley de Protección de Datos Personales en Posesión de los Sujetos Obligados del Estado de México y Municipios:</w:t>
      </w:r>
    </w:p>
    <w:p w:rsidR="00550112" w:rsidRPr="00EA3E29" w:rsidRDefault="00221369">
      <w:pPr>
        <w:spacing w:before="120" w:after="120"/>
        <w:ind w:left="851" w:right="1043"/>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w:t>
      </w:r>
      <w:r w:rsidRPr="00EA3E29">
        <w:rPr>
          <w:rFonts w:ascii="Palatino Linotype" w:eastAsia="Palatino Linotype" w:hAnsi="Palatino Linotype" w:cs="Palatino Linotype"/>
          <w:b/>
          <w:i/>
          <w:sz w:val="22"/>
          <w:szCs w:val="22"/>
        </w:rPr>
        <w:t>Artículo 4</w:t>
      </w:r>
      <w:r w:rsidRPr="00EA3E29">
        <w:rPr>
          <w:rFonts w:ascii="Palatino Linotype" w:eastAsia="Palatino Linotype" w:hAnsi="Palatino Linotype" w:cs="Palatino Linotype"/>
          <w:i/>
          <w:sz w:val="22"/>
          <w:szCs w:val="22"/>
        </w:rPr>
        <w:t xml:space="preserve">. Para los efectos de esta Ley se entenderá por: … </w:t>
      </w:r>
    </w:p>
    <w:p w:rsidR="00550112" w:rsidRPr="00EA3E29" w:rsidRDefault="00221369">
      <w:pPr>
        <w:spacing w:before="120" w:after="120"/>
        <w:ind w:left="1134" w:right="1043"/>
        <w:jc w:val="both"/>
        <w:rPr>
          <w:rFonts w:ascii="Palatino Linotype" w:eastAsia="Palatino Linotype" w:hAnsi="Palatino Linotype" w:cs="Palatino Linotype"/>
          <w:b/>
          <w:i/>
          <w:sz w:val="22"/>
          <w:szCs w:val="22"/>
        </w:rPr>
      </w:pPr>
      <w:r w:rsidRPr="00EA3E29">
        <w:rPr>
          <w:rFonts w:ascii="Palatino Linotype" w:eastAsia="Palatino Linotype" w:hAnsi="Palatino Linotype" w:cs="Palatino Linotype"/>
          <w:b/>
          <w:i/>
          <w:sz w:val="22"/>
          <w:szCs w:val="22"/>
        </w:rPr>
        <w:t>...</w:t>
      </w:r>
    </w:p>
    <w:p w:rsidR="00550112" w:rsidRPr="00EA3E29" w:rsidRDefault="00221369">
      <w:pPr>
        <w:spacing w:before="120" w:after="120"/>
        <w:ind w:left="1134" w:right="1043"/>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XVIII. Documento de seguridad</w:t>
      </w:r>
      <w:r w:rsidRPr="00EA3E29">
        <w:rPr>
          <w:rFonts w:ascii="Palatino Linotype" w:eastAsia="Palatino Linotype" w:hAnsi="Palatino Linotype" w:cs="Palatino Linotype"/>
          <w:i/>
          <w:sz w:val="22"/>
          <w:szCs w:val="22"/>
        </w:rPr>
        <w:t xml:space="preserve">: al instrumento que </w:t>
      </w:r>
      <w:r w:rsidRPr="00EA3E29">
        <w:rPr>
          <w:rFonts w:ascii="Palatino Linotype" w:eastAsia="Palatino Linotype" w:hAnsi="Palatino Linotype" w:cs="Palatino Linotype"/>
          <w:b/>
          <w:i/>
          <w:sz w:val="22"/>
          <w:szCs w:val="22"/>
        </w:rPr>
        <w:t xml:space="preserve">describe y da cuenta de manera general sobre las </w:t>
      </w:r>
      <w:r w:rsidRPr="00EA3E29">
        <w:rPr>
          <w:rFonts w:ascii="Palatino Linotype" w:eastAsia="Palatino Linotype" w:hAnsi="Palatino Linotype" w:cs="Palatino Linotype"/>
          <w:b/>
          <w:i/>
          <w:sz w:val="22"/>
          <w:szCs w:val="22"/>
          <w:u w:val="single"/>
        </w:rPr>
        <w:t>medidas de seguridad</w:t>
      </w:r>
      <w:r w:rsidRPr="00EA3E29">
        <w:rPr>
          <w:rFonts w:ascii="Palatino Linotype" w:eastAsia="Palatino Linotype" w:hAnsi="Palatino Linotype" w:cs="Palatino Linotype"/>
          <w:b/>
          <w:i/>
          <w:sz w:val="22"/>
          <w:szCs w:val="22"/>
        </w:rPr>
        <w:t xml:space="preserve"> técnicas, físicas y administrativas adoptadas</w:t>
      </w:r>
      <w:r w:rsidRPr="00EA3E29">
        <w:rPr>
          <w:rFonts w:ascii="Palatino Linotype" w:eastAsia="Palatino Linotype" w:hAnsi="Palatino Linotype" w:cs="Palatino Linotype"/>
          <w:i/>
          <w:sz w:val="22"/>
          <w:szCs w:val="22"/>
        </w:rPr>
        <w:t xml:space="preserve"> por el responsable para garantizar la confidencialidad, integridad y disponibilidad de la información contenida en los sistemas y bases de datos personales.”</w:t>
      </w:r>
    </w:p>
    <w:p w:rsidR="00550112" w:rsidRPr="00EA3E29" w:rsidRDefault="00221369">
      <w:pPr>
        <w:spacing w:before="240" w:after="240" w:line="360" w:lineRule="auto"/>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 xml:space="preserve">En ese orden de ideas, en lo que respecta al </w:t>
      </w:r>
      <w:r w:rsidRPr="00EA3E29">
        <w:rPr>
          <w:rFonts w:ascii="Palatino Linotype" w:eastAsia="Palatino Linotype" w:hAnsi="Palatino Linotype" w:cs="Palatino Linotype"/>
          <w:b/>
          <w:color w:val="000000"/>
        </w:rPr>
        <w:t>Plan de Trabajo del Sistema de Gestión de Protección de Datos Personales</w:t>
      </w:r>
      <w:r w:rsidRPr="00EA3E29">
        <w:rPr>
          <w:rFonts w:ascii="Palatino Linotype" w:eastAsia="Palatino Linotype" w:hAnsi="Palatino Linotype" w:cs="Palatino Linotype"/>
          <w:color w:val="000000"/>
        </w:rPr>
        <w:t xml:space="preserve">, es un documento forma parte de las obligaciones conferidas a los sujetos obligados para establecer y mantener las medidas de seguridad; sin embargo, pudiera contener dentro de los elementos que lo conforman, parte de las medidas de seguridad referidas en párrafos que preceden </w:t>
      </w:r>
      <w:r w:rsidRPr="00EA3E29">
        <w:rPr>
          <w:rFonts w:ascii="Palatino Linotype" w:eastAsia="Palatino Linotype" w:hAnsi="Palatino Linotype" w:cs="Palatino Linotype"/>
          <w:color w:val="000000"/>
        </w:rPr>
        <w:lastRenderedPageBreak/>
        <w:t>y por lo tanto,</w:t>
      </w:r>
      <w:r w:rsidRPr="00EA3E29">
        <w:rPr>
          <w:rFonts w:ascii="Palatino Linotype" w:eastAsia="Palatino Linotype" w:hAnsi="Palatino Linotype" w:cs="Palatino Linotype"/>
          <w:i/>
          <w:color w:val="000000"/>
          <w:sz w:val="22"/>
          <w:szCs w:val="22"/>
        </w:rPr>
        <w:t xml:space="preserve"> </w:t>
      </w:r>
      <w:r w:rsidRPr="00EA3E29">
        <w:rPr>
          <w:rFonts w:ascii="Palatino Linotype" w:eastAsia="Palatino Linotype" w:hAnsi="Palatino Linotype" w:cs="Palatino Linotype"/>
          <w:color w:val="000000"/>
        </w:rPr>
        <w:t>deben considerarse como información de carácter confidencial, de conformidad con el artículo 46 de la Ley de Protección de Datos Personales en Posesión de Sujetos Obligados del Estado de México y Municipios, que a la letra señalan lo siguiente:</w:t>
      </w:r>
    </w:p>
    <w:p w:rsidR="00550112" w:rsidRPr="00EA3E29" w:rsidRDefault="00221369">
      <w:pPr>
        <w:pBdr>
          <w:top w:val="nil"/>
          <w:left w:val="nil"/>
          <w:bottom w:val="nil"/>
          <w:right w:val="nil"/>
          <w:between w:val="nil"/>
        </w:pBdr>
        <w:spacing w:before="120" w:after="120"/>
        <w:ind w:left="851" w:right="851"/>
        <w:jc w:val="both"/>
        <w:rPr>
          <w:color w:val="000000"/>
        </w:rPr>
      </w:pPr>
      <w:r w:rsidRPr="00EA3E29">
        <w:rPr>
          <w:rFonts w:ascii="Palatino Linotype" w:eastAsia="Palatino Linotype" w:hAnsi="Palatino Linotype" w:cs="Palatino Linotype"/>
          <w:b/>
          <w:i/>
          <w:color w:val="000000"/>
          <w:sz w:val="22"/>
          <w:szCs w:val="22"/>
        </w:rPr>
        <w:t>“Actividades interrelacionadas para establecer y mantener las medidas de seguridad</w:t>
      </w:r>
    </w:p>
    <w:p w:rsidR="00550112" w:rsidRPr="00EA3E29" w:rsidRDefault="00221369">
      <w:pPr>
        <w:pBdr>
          <w:top w:val="nil"/>
          <w:left w:val="nil"/>
          <w:bottom w:val="nil"/>
          <w:right w:val="nil"/>
          <w:between w:val="nil"/>
        </w:pBdr>
        <w:spacing w:before="120" w:after="120"/>
        <w:ind w:left="851" w:right="851"/>
        <w:jc w:val="both"/>
        <w:rPr>
          <w:color w:val="000000"/>
        </w:rPr>
      </w:pPr>
      <w:r w:rsidRPr="00EA3E29">
        <w:rPr>
          <w:rFonts w:ascii="Palatino Linotype" w:eastAsia="Palatino Linotype" w:hAnsi="Palatino Linotype" w:cs="Palatino Linotype"/>
          <w:b/>
          <w:i/>
          <w:color w:val="000000"/>
          <w:sz w:val="22"/>
          <w:szCs w:val="22"/>
        </w:rPr>
        <w:t>Artículo 46</w:t>
      </w:r>
      <w:r w:rsidRPr="00EA3E29">
        <w:rPr>
          <w:rFonts w:ascii="Palatino Linotype" w:eastAsia="Palatino Linotype" w:hAnsi="Palatino Linotype" w:cs="Palatino Linotype"/>
          <w:i/>
          <w:color w:val="000000"/>
          <w:sz w:val="22"/>
          <w:szCs w:val="22"/>
        </w:rPr>
        <w:t>. Para establecer y mantener las medidas de seguridad para la protección de los datos personales, el responsable realizará, al menos, las actividades interrelacionadas siguientes: </w:t>
      </w:r>
    </w:p>
    <w:p w:rsidR="00550112" w:rsidRPr="00EA3E29" w:rsidRDefault="00221369">
      <w:pPr>
        <w:pBdr>
          <w:top w:val="nil"/>
          <w:left w:val="nil"/>
          <w:bottom w:val="nil"/>
          <w:right w:val="nil"/>
          <w:between w:val="nil"/>
        </w:pBdr>
        <w:spacing w:before="120" w:after="120"/>
        <w:ind w:left="1134" w:right="851"/>
        <w:jc w:val="both"/>
        <w:rPr>
          <w:color w:val="000000"/>
        </w:rPr>
      </w:pPr>
      <w:r w:rsidRPr="00EA3E29">
        <w:rPr>
          <w:rFonts w:ascii="Palatino Linotype" w:eastAsia="Palatino Linotype" w:hAnsi="Palatino Linotype" w:cs="Palatino Linotype"/>
          <w:i/>
          <w:color w:val="000000"/>
          <w:sz w:val="22"/>
          <w:szCs w:val="22"/>
        </w:rPr>
        <w:t>I. Crear políticas internas para la gestión y tratamiento de los datos personales, que tomen en cuenta el contexto en el que ocurren los tratamientos y el ciclo de vida de los datos personales, es decir, su obtención, uso y posterior supresión. </w:t>
      </w:r>
    </w:p>
    <w:p w:rsidR="00550112" w:rsidRPr="00EA3E29" w:rsidRDefault="00221369">
      <w:pPr>
        <w:pBdr>
          <w:top w:val="nil"/>
          <w:left w:val="nil"/>
          <w:bottom w:val="nil"/>
          <w:right w:val="nil"/>
          <w:between w:val="nil"/>
        </w:pBdr>
        <w:spacing w:before="120" w:after="120"/>
        <w:ind w:left="1134" w:right="851"/>
        <w:jc w:val="both"/>
        <w:rPr>
          <w:color w:val="000000"/>
        </w:rPr>
      </w:pPr>
      <w:r w:rsidRPr="00EA3E29">
        <w:rPr>
          <w:rFonts w:ascii="Palatino Linotype" w:eastAsia="Palatino Linotype" w:hAnsi="Palatino Linotype" w:cs="Palatino Linotype"/>
          <w:i/>
          <w:color w:val="000000"/>
          <w:sz w:val="22"/>
          <w:szCs w:val="22"/>
        </w:rPr>
        <w:t>II. Definir las funciones y obligaciones del personal involucrado en el tratamiento de datos personales. </w:t>
      </w:r>
    </w:p>
    <w:p w:rsidR="00550112" w:rsidRPr="00EA3E29" w:rsidRDefault="00221369">
      <w:pPr>
        <w:pBdr>
          <w:top w:val="nil"/>
          <w:left w:val="nil"/>
          <w:bottom w:val="nil"/>
          <w:right w:val="nil"/>
          <w:between w:val="nil"/>
        </w:pBdr>
        <w:spacing w:before="120" w:after="120"/>
        <w:ind w:left="1134" w:right="851"/>
        <w:jc w:val="both"/>
        <w:rPr>
          <w:color w:val="000000"/>
        </w:rPr>
      </w:pPr>
      <w:r w:rsidRPr="00EA3E29">
        <w:rPr>
          <w:rFonts w:ascii="Palatino Linotype" w:eastAsia="Palatino Linotype" w:hAnsi="Palatino Linotype" w:cs="Palatino Linotype"/>
          <w:i/>
          <w:color w:val="000000"/>
          <w:sz w:val="22"/>
          <w:szCs w:val="22"/>
        </w:rPr>
        <w:t>III. Elaborar un inventario de datos personales y de las bases y o sistemas de tratamiento. </w:t>
      </w:r>
    </w:p>
    <w:p w:rsidR="00550112" w:rsidRPr="00EA3E29" w:rsidRDefault="00221369">
      <w:pPr>
        <w:pBdr>
          <w:top w:val="nil"/>
          <w:left w:val="nil"/>
          <w:bottom w:val="nil"/>
          <w:right w:val="nil"/>
          <w:between w:val="nil"/>
        </w:pBdr>
        <w:spacing w:before="120" w:after="120"/>
        <w:ind w:left="1134" w:right="851"/>
        <w:jc w:val="both"/>
        <w:rPr>
          <w:color w:val="000000"/>
        </w:rPr>
      </w:pPr>
      <w:r w:rsidRPr="00EA3E29">
        <w:rPr>
          <w:rFonts w:ascii="Palatino Linotype" w:eastAsia="Palatino Linotype" w:hAnsi="Palatino Linotype" w:cs="Palatino Linotype"/>
          <w:i/>
          <w:color w:val="000000"/>
          <w:sz w:val="22"/>
          <w:szCs w:val="22"/>
        </w:rPr>
        <w:t>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rsidR="00550112" w:rsidRPr="00EA3E29" w:rsidRDefault="00221369">
      <w:pPr>
        <w:pBdr>
          <w:top w:val="nil"/>
          <w:left w:val="nil"/>
          <w:bottom w:val="nil"/>
          <w:right w:val="nil"/>
          <w:between w:val="nil"/>
        </w:pBdr>
        <w:spacing w:before="120" w:after="120"/>
        <w:ind w:left="1134" w:right="851"/>
        <w:jc w:val="both"/>
        <w:rPr>
          <w:color w:val="000000"/>
        </w:rPr>
      </w:pPr>
      <w:r w:rsidRPr="00EA3E29">
        <w:rPr>
          <w:rFonts w:ascii="Palatino Linotype" w:eastAsia="Palatino Linotype" w:hAnsi="Palatino Linotype" w:cs="Palatino Linotype"/>
          <w:i/>
          <w:color w:val="000000"/>
          <w:sz w:val="22"/>
          <w:szCs w:val="22"/>
        </w:rPr>
        <w:t>V. Realizar un análisis de brecha, comparando las medidas de seguridad existentes contra las faltantes en la organización del responsable.</w:t>
      </w:r>
    </w:p>
    <w:p w:rsidR="00550112" w:rsidRPr="00EA3E29" w:rsidRDefault="00221369">
      <w:pPr>
        <w:pBdr>
          <w:top w:val="nil"/>
          <w:left w:val="nil"/>
          <w:bottom w:val="nil"/>
          <w:right w:val="nil"/>
          <w:between w:val="nil"/>
        </w:pBdr>
        <w:spacing w:before="120" w:after="120"/>
        <w:ind w:left="1134" w:right="851"/>
        <w:jc w:val="both"/>
        <w:rPr>
          <w:color w:val="000000"/>
        </w:rPr>
      </w:pPr>
      <w:r w:rsidRPr="00EA3E29">
        <w:rPr>
          <w:rFonts w:ascii="Palatino Linotype" w:eastAsia="Palatino Linotype" w:hAnsi="Palatino Linotype" w:cs="Palatino Linotype"/>
          <w:b/>
          <w:i/>
          <w:color w:val="000000"/>
          <w:sz w:val="22"/>
          <w:szCs w:val="22"/>
        </w:rPr>
        <w:t>VI.</w:t>
      </w:r>
      <w:r w:rsidRPr="00EA3E29">
        <w:rPr>
          <w:rFonts w:ascii="Palatino Linotype" w:eastAsia="Palatino Linotype" w:hAnsi="Palatino Linotype" w:cs="Palatino Linotype"/>
          <w:i/>
          <w:color w:val="000000"/>
          <w:sz w:val="22"/>
          <w:szCs w:val="22"/>
        </w:rPr>
        <w:t xml:space="preserve"> </w:t>
      </w:r>
      <w:r w:rsidRPr="00EA3E29">
        <w:rPr>
          <w:rFonts w:ascii="Palatino Linotype" w:eastAsia="Palatino Linotype" w:hAnsi="Palatino Linotype" w:cs="Palatino Linotype"/>
          <w:b/>
          <w:i/>
          <w:color w:val="000000"/>
          <w:sz w:val="22"/>
          <w:szCs w:val="22"/>
        </w:rPr>
        <w:t>Elaborar un plan de trabajo para la implementación de las medidas de seguridad</w:t>
      </w:r>
      <w:r w:rsidRPr="00EA3E29">
        <w:rPr>
          <w:rFonts w:ascii="Palatino Linotype" w:eastAsia="Palatino Linotype" w:hAnsi="Palatino Linotype" w:cs="Palatino Linotype"/>
          <w:i/>
          <w:color w:val="000000"/>
          <w:sz w:val="22"/>
          <w:szCs w:val="22"/>
        </w:rPr>
        <w:t xml:space="preserve"> faltantes, </w:t>
      </w:r>
      <w:r w:rsidRPr="00EA3E29">
        <w:rPr>
          <w:rFonts w:ascii="Palatino Linotype" w:eastAsia="Palatino Linotype" w:hAnsi="Palatino Linotype" w:cs="Palatino Linotype"/>
          <w:b/>
          <w:i/>
          <w:color w:val="000000"/>
          <w:sz w:val="22"/>
          <w:szCs w:val="22"/>
          <w:u w:val="single"/>
        </w:rPr>
        <w:t>así como las medidas para el cumplimiento cotidiano de las políticas de gestión y tratamiento de los datos personales</w:t>
      </w:r>
      <w:r w:rsidRPr="00EA3E29">
        <w:rPr>
          <w:rFonts w:ascii="Palatino Linotype" w:eastAsia="Palatino Linotype" w:hAnsi="Palatino Linotype" w:cs="Palatino Linotype"/>
          <w:i/>
          <w:color w:val="000000"/>
          <w:sz w:val="22"/>
          <w:szCs w:val="22"/>
        </w:rPr>
        <w:t>.</w:t>
      </w:r>
    </w:p>
    <w:p w:rsidR="00550112" w:rsidRPr="00EA3E29" w:rsidRDefault="00221369">
      <w:pPr>
        <w:pBdr>
          <w:top w:val="nil"/>
          <w:left w:val="nil"/>
          <w:bottom w:val="nil"/>
          <w:right w:val="nil"/>
          <w:between w:val="nil"/>
        </w:pBdr>
        <w:spacing w:before="120" w:after="120"/>
        <w:ind w:left="1134" w:right="851"/>
        <w:jc w:val="both"/>
        <w:rPr>
          <w:color w:val="000000"/>
        </w:rPr>
      </w:pPr>
      <w:r w:rsidRPr="00EA3E29">
        <w:rPr>
          <w:rFonts w:ascii="Palatino Linotype" w:eastAsia="Palatino Linotype" w:hAnsi="Palatino Linotype" w:cs="Palatino Linotype"/>
          <w:i/>
          <w:color w:val="000000"/>
          <w:sz w:val="22"/>
          <w:szCs w:val="22"/>
        </w:rPr>
        <w:t>VII. Monitorear y revisar de manera periódica las medidas de seguridad implementadas, así como las amenazas y vulnerabilidades a las que están sujetos los datos personales. </w:t>
      </w:r>
    </w:p>
    <w:p w:rsidR="00550112" w:rsidRPr="00EA3E29" w:rsidRDefault="00221369">
      <w:pPr>
        <w:pBdr>
          <w:top w:val="nil"/>
          <w:left w:val="nil"/>
          <w:bottom w:val="nil"/>
          <w:right w:val="nil"/>
          <w:between w:val="nil"/>
        </w:pBdr>
        <w:spacing w:before="120" w:after="120"/>
        <w:ind w:left="1134" w:right="851"/>
        <w:jc w:val="both"/>
        <w:rPr>
          <w:color w:val="000000"/>
        </w:rPr>
      </w:pPr>
      <w:r w:rsidRPr="00EA3E29">
        <w:rPr>
          <w:rFonts w:ascii="Palatino Linotype" w:eastAsia="Palatino Linotype" w:hAnsi="Palatino Linotype" w:cs="Palatino Linotype"/>
          <w:i/>
          <w:color w:val="000000"/>
          <w:sz w:val="22"/>
          <w:szCs w:val="22"/>
        </w:rPr>
        <w:lastRenderedPageBreak/>
        <w:t>VIII. Diseñar y aplicar diferentes niveles de capacitación del personal bajo su mando, dependiendo de sus roles y responsabilidades respecto del tratamiento de los datos personales.”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Derivado de lo expuesto, el Plan de Trabajo, como ha quedado demostrado de la normatividad aplicable que el mismo que forma parte de las medidas de seguridad y del documento de seguridad; tiene el carácter de confidencial, de conformidad con lo estipulado en el artículo 43, segundo párrafo, de la Ley de Protección de Datos Personales en Posesión de Sujetos Obligados del Estado de México y Municipios, a saber: </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w:t>
      </w:r>
      <w:r w:rsidRPr="00EA3E29">
        <w:rPr>
          <w:rFonts w:ascii="Palatino Linotype" w:eastAsia="Palatino Linotype" w:hAnsi="Palatino Linotype" w:cs="Palatino Linotype"/>
          <w:b/>
          <w:i/>
          <w:sz w:val="22"/>
          <w:szCs w:val="22"/>
        </w:rPr>
        <w:t>Artículo 43.</w:t>
      </w:r>
      <w:r w:rsidRPr="00EA3E29">
        <w:rPr>
          <w:rFonts w:ascii="Palatino Linotype" w:eastAsia="Palatino Linotype" w:hAnsi="Palatino Linotype" w:cs="Palatino Linotype"/>
          <w:i/>
          <w:sz w:val="22"/>
          <w:szCs w:val="22"/>
        </w:rPr>
        <w:t>..</w:t>
      </w:r>
    </w:p>
    <w:p w:rsidR="00550112" w:rsidRPr="00EA3E29" w:rsidRDefault="00221369">
      <w:pPr>
        <w:spacing w:before="120" w:after="120"/>
        <w:ind w:left="851" w:right="902"/>
        <w:jc w:val="both"/>
        <w:rPr>
          <w:rFonts w:ascii="Palatino Linotype" w:eastAsia="Palatino Linotype" w:hAnsi="Palatino Linotype" w:cs="Palatino Linotype"/>
          <w:i/>
        </w:rPr>
      </w:pPr>
      <w:r w:rsidRPr="00EA3E29">
        <w:rPr>
          <w:rFonts w:ascii="Palatino Linotype" w:eastAsia="Palatino Linotype" w:hAnsi="Palatino Linotype" w:cs="Palatino Linotype"/>
          <w:b/>
          <w:i/>
          <w:sz w:val="22"/>
          <w:szCs w:val="22"/>
        </w:rPr>
        <w:t xml:space="preserve">Por la naturaleza de la información, </w:t>
      </w:r>
      <w:r w:rsidRPr="00EA3E29">
        <w:rPr>
          <w:rFonts w:ascii="Palatino Linotype" w:eastAsia="Palatino Linotype" w:hAnsi="Palatino Linotype" w:cs="Palatino Linotype"/>
          <w:b/>
          <w:i/>
          <w:sz w:val="22"/>
          <w:szCs w:val="22"/>
          <w:u w:val="single"/>
        </w:rPr>
        <w:t>las medidas de seguridad</w:t>
      </w:r>
      <w:r w:rsidRPr="00EA3E29">
        <w:rPr>
          <w:rFonts w:ascii="Palatino Linotype" w:eastAsia="Palatino Linotype" w:hAnsi="Palatino Linotype" w:cs="Palatino Linotype"/>
          <w:b/>
          <w:i/>
          <w:sz w:val="22"/>
          <w:szCs w:val="22"/>
        </w:rPr>
        <w:t xml:space="preserve"> que se adopten </w:t>
      </w:r>
      <w:r w:rsidRPr="00EA3E29">
        <w:rPr>
          <w:rFonts w:ascii="Palatino Linotype" w:eastAsia="Palatino Linotype" w:hAnsi="Palatino Linotype" w:cs="Palatino Linotype"/>
          <w:b/>
          <w:i/>
          <w:sz w:val="22"/>
          <w:szCs w:val="22"/>
          <w:u w:val="single"/>
        </w:rPr>
        <w:t>serán consideradas confidenciales</w:t>
      </w:r>
      <w:r w:rsidRPr="00EA3E29">
        <w:rPr>
          <w:rFonts w:ascii="Palatino Linotype" w:eastAsia="Palatino Linotype" w:hAnsi="Palatino Linotype" w:cs="Palatino Linotype"/>
          <w:i/>
          <w:sz w:val="22"/>
          <w:szCs w:val="22"/>
        </w:rPr>
        <w:t xml:space="preserve"> y únicamente se comunicará al Instituto, para su registro, el nivel de seguridad aplicable.”(Sic)</w:t>
      </w:r>
    </w:p>
    <w:p w:rsidR="00550112" w:rsidRPr="00EA3E29" w:rsidRDefault="00221369">
      <w:pPr>
        <w:spacing w:before="240" w:after="240" w:line="360" w:lineRule="auto"/>
        <w:ind w:right="49"/>
        <w:jc w:val="both"/>
      </w:pPr>
      <w:r w:rsidRPr="00EA3E29">
        <w:rPr>
          <w:rFonts w:ascii="Palatino Linotype" w:eastAsia="Palatino Linotype" w:hAnsi="Palatino Linotype" w:cs="Palatino Linotype"/>
        </w:rPr>
        <w:t xml:space="preserve">Es decir, que el </w:t>
      </w:r>
      <w:r w:rsidRPr="00EA3E29">
        <w:rPr>
          <w:rFonts w:ascii="Palatino Linotype" w:eastAsia="Palatino Linotype" w:hAnsi="Palatino Linotype" w:cs="Palatino Linotype"/>
          <w:i/>
        </w:rPr>
        <w:t>plan de trabajo</w:t>
      </w:r>
      <w:r w:rsidRPr="00EA3E29">
        <w:rPr>
          <w:rFonts w:ascii="Palatino Linotype" w:eastAsia="Palatino Linotype" w:hAnsi="Palatino Linotype" w:cs="Palatino Linotype"/>
        </w:rPr>
        <w:t xml:space="preserve"> forma parte del documento de seguridad y justamente considera las acciones tendentes a la protección de los sistemas de datos personales de manera preventiva y correctiva, incluso contempla las vulneraciones que han existido; en este sentido, como se trata de medidas de seguridad implementadas y los detalles de las áreas de oportunidad en la protección de los sistemas que van detectando los expertos en protección de sistemas de datos, tanto físicos como electrónicos, constituye información que en manos expertas puede ser utilizada para vulnerar los sistemas de datos personales, por lo que aplica lo dispuesto en el artículo 43 de la Ley de Protección de Datos Personales en Posesión de Sujetos Obligados del Estado de México y Municipios, ya que si bien, no son formalmente las medidas de seguridad implementadas, se trata del análisis de estas y su eficacia; sus áreas de oportunidad sobre lo que se debe hacer o mejorar, por lo que procedería </w:t>
      </w:r>
      <w:r w:rsidRPr="00EA3E29">
        <w:rPr>
          <w:rFonts w:ascii="Palatino Linotype" w:eastAsia="Palatino Linotype" w:hAnsi="Palatino Linotype" w:cs="Palatino Linotype"/>
        </w:rPr>
        <w:lastRenderedPageBreak/>
        <w:t xml:space="preserve">su clasificación como información confidencial, a través del acuerdo correspondiente. </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Sin embargo, de una revisión al plan de trabajo remitido por el </w:t>
      </w:r>
      <w:r w:rsidRPr="00EA3E29">
        <w:rPr>
          <w:rFonts w:ascii="Palatino Linotype" w:eastAsia="Palatino Linotype" w:hAnsi="Palatino Linotype" w:cs="Palatino Linotype"/>
          <w:b/>
        </w:rPr>
        <w:t xml:space="preserve">SUJETO OBLIGADO, </w:t>
      </w:r>
      <w:r w:rsidRPr="00EA3E29">
        <w:rPr>
          <w:rFonts w:ascii="Palatino Linotype" w:eastAsia="Palatino Linotype" w:hAnsi="Palatino Linotype" w:cs="Palatino Linotype"/>
        </w:rPr>
        <w:t>se pudo advertir</w:t>
      </w:r>
      <w:r w:rsidRPr="00EA3E29">
        <w:rPr>
          <w:rFonts w:ascii="Palatino Linotype" w:eastAsia="Palatino Linotype" w:hAnsi="Palatino Linotype" w:cs="Palatino Linotype"/>
          <w:b/>
        </w:rPr>
        <w:t xml:space="preserve"> </w:t>
      </w:r>
      <w:r w:rsidRPr="00EA3E29">
        <w:rPr>
          <w:rFonts w:ascii="Palatino Linotype" w:eastAsia="Palatino Linotype" w:hAnsi="Palatino Linotype" w:cs="Palatino Linotype"/>
        </w:rPr>
        <w:t xml:space="preserve">que el mismo no cumple con las formalidades señaladas Ley de Protección de Datos Personales en Posesión de Sujetos Obligados del Estado de México y Municipios, en términos de lo señalado en los párrafos anteriores; ya que no se advierte ninguna implementación a las medidas de seguridad técnicas, físicas y administrativas adoptadas para garantizar la confidencialidad, integridad y disponibilidad de la información contenida en los sistemas y bases de datos personales de la Secretaría de Cultura y Turismo, esto es no precisa las mismas, y su planeación sobre las actividades y gestiones sobre la eliminación de brechas y niveles de protección, no revela ningún dato que ponga en riesgo las medidas de seguridad de la Secretaría de Cultura y Turismo, por ello es que a nada práctico conduciría ordenar la confidencialidad del Plan de Trabajo del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del año 2022, si el mismo no contiene ninguna información que vulnere las medidas de seguridad técnicas, físicas y administrativas; en este sentido si bien dicho documento no cumple con los parámetros establecidos por la ley, se tiene por atendido este punto toda vez que es el documento con el que cuenta la Secretaría de Cultura y Turismo a la fecha de la solicitud de información.</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Respecto del </w:t>
      </w:r>
      <w:r w:rsidRPr="00EA3E29">
        <w:rPr>
          <w:rFonts w:ascii="Palatino Linotype" w:eastAsia="Palatino Linotype" w:hAnsi="Palatino Linotype" w:cs="Palatino Linotype"/>
          <w:b/>
        </w:rPr>
        <w:t>punto 2,</w:t>
      </w:r>
      <w:r w:rsidRPr="00EA3E29">
        <w:rPr>
          <w:rFonts w:ascii="Palatino Linotype" w:eastAsia="Palatino Linotype" w:hAnsi="Palatino Linotype" w:cs="Palatino Linotype"/>
        </w:rPr>
        <w:t xml:space="preserve"> mediante el cual la persona solicitante requirió le fueran entregados </w:t>
      </w:r>
      <w:r w:rsidRPr="00EA3E29">
        <w:rPr>
          <w:rFonts w:ascii="Palatino Linotype" w:eastAsia="Palatino Linotype" w:hAnsi="Palatino Linotype" w:cs="Palatino Linotype"/>
          <w:i/>
        </w:rPr>
        <w:t>documentos y/</w:t>
      </w:r>
      <w:proofErr w:type="spellStart"/>
      <w:r w:rsidRPr="00EA3E29">
        <w:rPr>
          <w:rFonts w:ascii="Palatino Linotype" w:eastAsia="Palatino Linotype" w:hAnsi="Palatino Linotype" w:cs="Palatino Linotype"/>
          <w:i/>
        </w:rPr>
        <w:t>o</w:t>
      </w:r>
      <w:proofErr w:type="spellEnd"/>
      <w:r w:rsidRPr="00EA3E29">
        <w:rPr>
          <w:rFonts w:ascii="Palatino Linotype" w:eastAsia="Palatino Linotype" w:hAnsi="Palatino Linotype" w:cs="Palatino Linotype"/>
          <w:i/>
        </w:rPr>
        <w:t xml:space="preserve"> oficios generados y recibidos por la Unidad de Transparencia </w:t>
      </w:r>
      <w:r w:rsidRPr="00EA3E29">
        <w:rPr>
          <w:rFonts w:ascii="Palatino Linotype" w:eastAsia="Palatino Linotype" w:hAnsi="Palatino Linotype" w:cs="Palatino Linotype"/>
        </w:rPr>
        <w:t xml:space="preserve">conforme a: </w:t>
      </w:r>
    </w:p>
    <w:p w:rsidR="00550112" w:rsidRPr="00EA3E29" w:rsidRDefault="00221369">
      <w:pPr>
        <w:spacing w:before="240" w:after="240" w:line="276" w:lineRule="auto"/>
        <w:ind w:left="426"/>
        <w:jc w:val="both"/>
        <w:rPr>
          <w:rFonts w:ascii="Palatino Linotype" w:eastAsia="Palatino Linotype" w:hAnsi="Palatino Linotype" w:cs="Palatino Linotype"/>
        </w:rPr>
      </w:pPr>
      <w:r w:rsidRPr="00EA3E29">
        <w:rPr>
          <w:rFonts w:ascii="Palatino Linotype" w:eastAsia="Palatino Linotype" w:hAnsi="Palatino Linotype" w:cs="Palatino Linotype"/>
        </w:rPr>
        <w:lastRenderedPageBreak/>
        <w:t>a. Designación de los Administradores de Bases de Datos.</w:t>
      </w:r>
    </w:p>
    <w:p w:rsidR="00550112" w:rsidRPr="00EA3E29" w:rsidRDefault="00221369">
      <w:pPr>
        <w:spacing w:before="240" w:after="240" w:line="276" w:lineRule="auto"/>
        <w:ind w:left="426"/>
        <w:jc w:val="both"/>
        <w:rPr>
          <w:rFonts w:ascii="Palatino Linotype" w:eastAsia="Palatino Linotype" w:hAnsi="Palatino Linotype" w:cs="Palatino Linotype"/>
        </w:rPr>
      </w:pPr>
      <w:r w:rsidRPr="00EA3E29">
        <w:rPr>
          <w:rFonts w:ascii="Palatino Linotype" w:eastAsia="Palatino Linotype" w:hAnsi="Palatino Linotype" w:cs="Palatino Linotype"/>
        </w:rPr>
        <w:t>b. Actualización de Avisos de Privacidad.</w:t>
      </w:r>
    </w:p>
    <w:p w:rsidR="00550112" w:rsidRPr="00EA3E29" w:rsidRDefault="00221369">
      <w:pPr>
        <w:spacing w:before="240" w:after="240" w:line="276" w:lineRule="auto"/>
        <w:ind w:left="426"/>
        <w:jc w:val="both"/>
        <w:rPr>
          <w:rFonts w:ascii="Palatino Linotype" w:eastAsia="Palatino Linotype" w:hAnsi="Palatino Linotype" w:cs="Palatino Linotype"/>
        </w:rPr>
      </w:pPr>
      <w:r w:rsidRPr="00EA3E29">
        <w:rPr>
          <w:rFonts w:ascii="Palatino Linotype" w:eastAsia="Palatino Linotype" w:hAnsi="Palatino Linotype" w:cs="Palatino Linotype"/>
        </w:rPr>
        <w:t>c. Supervisión a las bases de datos documentales o electrónicas para establecer medidas de seguridad.</w:t>
      </w:r>
    </w:p>
    <w:p w:rsidR="00550112" w:rsidRPr="00EA3E29" w:rsidRDefault="00221369">
      <w:pPr>
        <w:spacing w:before="240" w:after="240" w:line="276" w:lineRule="auto"/>
        <w:ind w:left="426"/>
        <w:jc w:val="both"/>
        <w:rPr>
          <w:rFonts w:ascii="Palatino Linotype" w:eastAsia="Palatino Linotype" w:hAnsi="Palatino Linotype" w:cs="Palatino Linotype"/>
        </w:rPr>
      </w:pPr>
      <w:r w:rsidRPr="00EA3E29">
        <w:rPr>
          <w:rFonts w:ascii="Palatino Linotype" w:eastAsia="Palatino Linotype" w:hAnsi="Palatino Linotype" w:cs="Palatino Linotype"/>
        </w:rPr>
        <w:t>d. Establecer bitácora de violaciones a la seguridad de las bases de datos documentales o electrónicas.</w:t>
      </w:r>
    </w:p>
    <w:p w:rsidR="00550112" w:rsidRPr="00EA3E29" w:rsidRDefault="00221369">
      <w:pPr>
        <w:spacing w:before="240" w:after="240" w:line="276" w:lineRule="auto"/>
        <w:ind w:left="426"/>
        <w:jc w:val="both"/>
        <w:rPr>
          <w:rFonts w:ascii="Palatino Linotype" w:eastAsia="Palatino Linotype" w:hAnsi="Palatino Linotype" w:cs="Palatino Linotype"/>
        </w:rPr>
      </w:pPr>
      <w:r w:rsidRPr="00EA3E29">
        <w:rPr>
          <w:rFonts w:ascii="Palatino Linotype" w:eastAsia="Palatino Linotype" w:hAnsi="Palatino Linotype" w:cs="Palatino Linotype"/>
        </w:rPr>
        <w:t>e. Establecer el Plan de contingencia con las Unidades Administrativas</w:t>
      </w:r>
    </w:p>
    <w:p w:rsidR="00550112" w:rsidRPr="00EA3E29" w:rsidRDefault="00221369">
      <w:pPr>
        <w:spacing w:before="240" w:after="240" w:line="276" w:lineRule="auto"/>
        <w:ind w:left="426"/>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f. Actualización de bases de datos. </w:t>
      </w:r>
    </w:p>
    <w:p w:rsidR="00550112" w:rsidRPr="00EA3E29" w:rsidRDefault="00221369">
      <w:pPr>
        <w:spacing w:before="240" w:after="240" w:line="276" w:lineRule="auto"/>
        <w:ind w:left="426"/>
        <w:jc w:val="both"/>
        <w:rPr>
          <w:rFonts w:ascii="Palatino Linotype" w:eastAsia="Palatino Linotype" w:hAnsi="Palatino Linotype" w:cs="Palatino Linotype"/>
        </w:rPr>
      </w:pPr>
      <w:r w:rsidRPr="00EA3E29">
        <w:rPr>
          <w:rFonts w:ascii="Palatino Linotype" w:eastAsia="Palatino Linotype" w:hAnsi="Palatino Linotype" w:cs="Palatino Linotype"/>
        </w:rPr>
        <w:t>g. El inventario de las bases de datos.</w:t>
      </w:r>
    </w:p>
    <w:p w:rsidR="00550112" w:rsidRPr="00EA3E29" w:rsidRDefault="00221369">
      <w:pPr>
        <w:spacing w:before="240" w:after="240" w:line="276" w:lineRule="auto"/>
        <w:ind w:left="426"/>
        <w:jc w:val="both"/>
        <w:rPr>
          <w:rFonts w:ascii="Palatino Linotype" w:eastAsia="Palatino Linotype" w:hAnsi="Palatino Linotype" w:cs="Palatino Linotype"/>
        </w:rPr>
      </w:pPr>
      <w:r w:rsidRPr="00EA3E29">
        <w:rPr>
          <w:rFonts w:ascii="Palatino Linotype" w:eastAsia="Palatino Linotype" w:hAnsi="Palatino Linotype" w:cs="Palatino Linotype"/>
        </w:rPr>
        <w:t>h. Documentos de gestión de seguridad y documentos de seguridad de la dependencia.</w:t>
      </w:r>
    </w:p>
    <w:p w:rsidR="00550112" w:rsidRPr="00EA3E29" w:rsidRDefault="00221369">
      <w:pPr>
        <w:spacing w:before="240" w:after="240" w:line="276" w:lineRule="auto"/>
        <w:jc w:val="both"/>
        <w:rPr>
          <w:rFonts w:ascii="Palatino Linotype" w:eastAsia="Palatino Linotype" w:hAnsi="Palatino Linotype" w:cs="Palatino Linotype"/>
        </w:rPr>
      </w:pPr>
      <w:bookmarkStart w:id="8" w:name="_heading=h.26in1rg" w:colFirst="0" w:colLast="0"/>
      <w:bookmarkEnd w:id="8"/>
      <w:r w:rsidRPr="00EA3E29">
        <w:rPr>
          <w:rFonts w:ascii="Palatino Linotype" w:eastAsia="Palatino Linotype" w:hAnsi="Palatino Linotype" w:cs="Palatino Linotype"/>
        </w:rPr>
        <w:t xml:space="preserve">Es de recordar que en respuesta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entregó: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-El registro de incidencias.</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-Documento de seguridad sobre el tratamiento de datos personales en posesión del Sujeto Obligado Secretaría de Cultura y Turismo.</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 El análisis de brecha de la Dirección General de Patrimonio y Servicios Culturales del Valle de Toluca.</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 El inventario de datos personales de la Dirección General de Patrimonio y Servicios Culturales del Valle de Toluca.</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lastRenderedPageBreak/>
        <w:t>- La matriz de análisis de riesgos Dirección General de Patrimonio y Servicios Culturales del Valle de Toluca.</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 El aviso de privacidad de la Secretaría de Cultura y Turismo, constante de 14 fojas.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En versión pública, con excepción del aviso de privacidad, en donde se aprecia que el </w:t>
      </w:r>
      <w:r w:rsidRPr="00EA3E29">
        <w:rPr>
          <w:rFonts w:ascii="Palatino Linotype" w:eastAsia="Palatino Linotype" w:hAnsi="Palatino Linotype" w:cs="Palatino Linotype"/>
          <w:b/>
        </w:rPr>
        <w:t xml:space="preserve">SUJETO OBLIGADO </w:t>
      </w:r>
      <w:r w:rsidRPr="00EA3E29">
        <w:rPr>
          <w:rFonts w:ascii="Palatino Linotype" w:eastAsia="Palatino Linotype" w:hAnsi="Palatino Linotype" w:cs="Palatino Linotype"/>
        </w:rPr>
        <w:t>testó varios apartados bajo la leyenda, siguiente:</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noProof/>
        </w:rPr>
        <w:drawing>
          <wp:inline distT="0" distB="0" distL="0" distR="0">
            <wp:extent cx="5581456" cy="1455555"/>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l="39523" t="34373" r="24848" b="51568"/>
                    <a:stretch>
                      <a:fillRect/>
                    </a:stretch>
                  </pic:blipFill>
                  <pic:spPr>
                    <a:xfrm>
                      <a:off x="0" y="0"/>
                      <a:ext cx="5581456" cy="1455555"/>
                    </a:xfrm>
                    <a:prstGeom prst="rect">
                      <a:avLst/>
                    </a:prstGeom>
                    <a:ln/>
                  </pic:spPr>
                </pic:pic>
              </a:graphicData>
            </a:graphic>
          </wp:inline>
        </w:drawing>
      </w:r>
      <w:r w:rsidRPr="00EA3E29">
        <w:rPr>
          <w:rFonts w:ascii="Palatino Linotype" w:eastAsia="Palatino Linotype" w:hAnsi="Palatino Linotype" w:cs="Palatino Linotype"/>
        </w:rPr>
        <w:t xml:space="preserve">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En donde señala que su publicación podrá en riesgo a la Secretaría por rebelar medidas de seguridad físicas, administrativas y técnicas; sin embargo,  fue omiso en remitir el acuerdo de su Comité de Trasparencia a través del cual se sustente la versión pública.</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Además, a través de su informe justificado la Secretaría de Cultura y Turismo, remitió la misma documentación entregada en respuesta con la diferencia que entregó el Plan de Trabajo en Materia de Protección de Datos Personales de la Secretaría de Cultura y Turismo, autorizado por el Comité de Transparencia de este Sujeto Obligado, el cual se encuentra vigente y el Documento de Seguridad vigente autorizado por el Comité de Transparencia.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lastRenderedPageBreak/>
        <w:t xml:space="preserve">Ahora bien, es importante mencionar que las documentales referidas no satisfacen el requerimiento de información, al remitir la Unidad de Transparencia únicamente documentos que generó, y que se encuentran relacionados con los incisos “a” al “h”, sin embargo, estos fueron entregados en una versión pública sin que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hiciera llegar el acuerdo de su Comité de Transparencia por medio del cual se aprobara la clasificación de la información que testó en la documentación remitida en respuesta como informe justificado; máxime que la información no es reservada como lo asevero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sino confidencial en términos de lo expuesto en el presente considerando; por consiguiente, se determina que con la documentación referida no se puede tener por atendido el derecho de acceso a la información pública del particular, en razón de no remitir el acuerdo que contenga un razonamiento lógico con el que se demuestre que la información que se testa de las versiones públicas, se tiene que lo entregado es más bien un documento ilegible, incompleto o tachado; en otras palabras si no se exponen de manera puntual las razones de la versión pública de la documentación entregada se estaría violentando el derecho de acceso a la información de la parte solicitante, de ahí que, lo procedente es ordenar de nueva cuenta dicha documentación, en una correcta versión pública en donde a través del Acuerdo que emita el Comité de Transparencia de la Secretaría de Cultura y Turismo, se clasifique como información confidencial las medidas de seguridad físicas, administrativas y técnicas, en la multicitada documentación.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Asimismo el particular solicitó los oficios generados y recibidos por la Unidad de Transparencia conforme al siguiente orden: Designación de los Administradores de </w:t>
      </w:r>
      <w:r w:rsidRPr="00EA3E29">
        <w:rPr>
          <w:rFonts w:ascii="Palatino Linotype" w:eastAsia="Palatino Linotype" w:hAnsi="Palatino Linotype" w:cs="Palatino Linotype"/>
        </w:rPr>
        <w:lastRenderedPageBreak/>
        <w:t xml:space="preserve">Bases de Datos, Actualización de Avisos de Privacidad, Supervisión a las bases de datos documentales o electrónicas para establecer medidas de seguridad, Establecer bitácora de violaciones a la seguridad de las bases de datos documentales o electrónicas, Establecer el Plan de contingencia con las Unidades Administrativas y Actualización de bases de datos, el inventario de las bases de datos, documentos de Gestión de seguridad y documentos de seguridad de la dependencia, sin que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se pronunciara al respecto. </w:t>
      </w:r>
    </w:p>
    <w:p w:rsidR="00550112" w:rsidRPr="00EA3E29" w:rsidRDefault="00221369">
      <w:pPr>
        <w:spacing w:before="240" w:after="240"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rPr>
        <w:t>En consecuencia, la respuesta emitida no agotó los principios de congruencia y exhaustividad, resultando aplicable el Criterio 02/17 emitido por el Pleno del Instituto Nacional de Transparencia y Acceso a la Información y Protección de Datos Personales, de título y texto siguientes:</w:t>
      </w:r>
    </w:p>
    <w:p w:rsidR="00550112" w:rsidRPr="00EA3E29" w:rsidRDefault="00221369">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 xml:space="preserve">“Congruencia y exhaustividad. Sus alcances para garantizar el derecho de acceso a la información. </w:t>
      </w:r>
      <w:r w:rsidRPr="00EA3E29">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EA3E29">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EA3E29">
        <w:rPr>
          <w:rFonts w:ascii="Palatino Linotype" w:eastAsia="Palatino Linotype" w:hAnsi="Palatino Linotype" w:cs="Palatino Linotype"/>
          <w:i/>
          <w:sz w:val="22"/>
          <w:szCs w:val="22"/>
        </w:rPr>
        <w:t xml:space="preserve">; mientras que </w:t>
      </w:r>
      <w:r w:rsidRPr="00EA3E29">
        <w:rPr>
          <w:rFonts w:ascii="Palatino Linotype" w:eastAsia="Palatino Linotype" w:hAnsi="Palatino Linotype" w:cs="Palatino Linotype"/>
          <w:b/>
          <w:i/>
          <w:sz w:val="22"/>
          <w:szCs w:val="22"/>
        </w:rPr>
        <w:t>la exhaustividad significa que dicha respuesta se refiera expresamente a cada uno de los puntos solicitados</w:t>
      </w:r>
      <w:r w:rsidRPr="00EA3E29">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Lo anterior se afirma así, en virtud de que la Titular de la Unidad de Transparencia no se pronunció de manera concreta sobre cada uno de los requerimientos realizados por la persona solicitante, ni tampoco precisó, de manera concreta, si la información </w:t>
      </w:r>
      <w:r w:rsidRPr="00EA3E29">
        <w:rPr>
          <w:rFonts w:ascii="Palatino Linotype" w:eastAsia="Palatino Linotype" w:hAnsi="Palatino Linotype" w:cs="Palatino Linotype"/>
        </w:rPr>
        <w:lastRenderedPageBreak/>
        <w:t xml:space="preserve">remitida correspondía con la totalidad de la documentación generada, administrada o poseída por el área a su cargo, pues no debe perderse de vista que no remitió ningún  documento u oficio recibido, razón por la cual este Organismo Garante, con la finalidad de garantizar el derecho humano de acceso a la información de la parte </w:t>
      </w:r>
      <w:r w:rsidRPr="00EA3E29">
        <w:rPr>
          <w:rFonts w:ascii="Palatino Linotype" w:eastAsia="Palatino Linotype" w:hAnsi="Palatino Linotype" w:cs="Palatino Linotype"/>
          <w:b/>
        </w:rPr>
        <w:t>RECURRENTE,</w:t>
      </w:r>
      <w:r w:rsidRPr="00EA3E29">
        <w:rPr>
          <w:rFonts w:ascii="Palatino Linotype" w:eastAsia="Palatino Linotype" w:hAnsi="Palatino Linotype" w:cs="Palatino Linotype"/>
        </w:rPr>
        <w:t xml:space="preserve"> y a fin de reparar el agravio causado ante la omisión en que incurriera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ya que, como se señaló, su respuesta careció de los principios de congruencia y exhaustividad, se estima procedente ordenar que, previa búsqueda exhaustiva y razonable, se haga entrega de los documentos que den cuenta de lo solicitado, en versión pública conforme al considerando siguiente.</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Para tal efecto, es oportuno mencionar, que la persona solicitante no solicitó una descripción de los elementos antes enunciados, no solicitó tampoco de forma separada las documentales que den cuenta de las definiciones citadas, sino que solicitó, de manera concreta, los oficios que la Unidad de Transparencia giró y recibió para elaborar o actualizar los temas descritos.</w:t>
      </w:r>
    </w:p>
    <w:p w:rsidR="00550112" w:rsidRPr="00EA3E29" w:rsidRDefault="00221369">
      <w:pPr>
        <w:spacing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En otras palabras, la persona solicitante requirió los oficios y/o documentos que giró la Unidad de Transparencia a las unidades administrativas que integran la estructura orgánica del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y los oficios y/o documentos que la Unidad de Transparencia recibió por parte de dichas unidades administrativas para:</w:t>
      </w:r>
    </w:p>
    <w:p w:rsidR="00550112" w:rsidRPr="00EA3E29" w:rsidRDefault="00221369">
      <w:pPr>
        <w:numPr>
          <w:ilvl w:val="0"/>
          <w:numId w:val="5"/>
        </w:numPr>
        <w:pBdr>
          <w:top w:val="nil"/>
          <w:left w:val="nil"/>
          <w:bottom w:val="nil"/>
          <w:right w:val="nil"/>
          <w:between w:val="nil"/>
        </w:pBdr>
        <w:spacing w:before="240" w:after="240" w:line="360" w:lineRule="auto"/>
        <w:ind w:left="425"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 xml:space="preserve">La Designación de los Administradores de Bases de Datos. </w:t>
      </w:r>
    </w:p>
    <w:p w:rsidR="00550112" w:rsidRPr="00EA3E29" w:rsidRDefault="00221369">
      <w:pPr>
        <w:numPr>
          <w:ilvl w:val="0"/>
          <w:numId w:val="5"/>
        </w:numPr>
        <w:pBdr>
          <w:top w:val="nil"/>
          <w:left w:val="nil"/>
          <w:bottom w:val="nil"/>
          <w:right w:val="nil"/>
          <w:between w:val="nil"/>
        </w:pBdr>
        <w:spacing w:before="240" w:after="240" w:line="360" w:lineRule="auto"/>
        <w:ind w:left="425"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 xml:space="preserve">La Actualización de Avisos de Privacidad. </w:t>
      </w:r>
    </w:p>
    <w:p w:rsidR="00550112" w:rsidRPr="00EA3E29" w:rsidRDefault="00221369">
      <w:pPr>
        <w:numPr>
          <w:ilvl w:val="0"/>
          <w:numId w:val="5"/>
        </w:numPr>
        <w:pBdr>
          <w:top w:val="nil"/>
          <w:left w:val="nil"/>
          <w:bottom w:val="nil"/>
          <w:right w:val="nil"/>
          <w:between w:val="nil"/>
        </w:pBdr>
        <w:spacing w:before="240" w:after="240" w:line="360" w:lineRule="auto"/>
        <w:ind w:left="425"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lastRenderedPageBreak/>
        <w:t xml:space="preserve">Llevar a cabo la Supervisión a las bases de datos documentales o electrónicas para establecer medidas de seguridad. </w:t>
      </w:r>
    </w:p>
    <w:p w:rsidR="00550112" w:rsidRPr="00EA3E29" w:rsidRDefault="00221369">
      <w:pPr>
        <w:numPr>
          <w:ilvl w:val="0"/>
          <w:numId w:val="5"/>
        </w:numPr>
        <w:pBdr>
          <w:top w:val="nil"/>
          <w:left w:val="nil"/>
          <w:bottom w:val="nil"/>
          <w:right w:val="nil"/>
          <w:between w:val="nil"/>
        </w:pBdr>
        <w:spacing w:before="240" w:after="240" w:line="360" w:lineRule="auto"/>
        <w:ind w:left="425"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Establecer la bitácora de violaciones a la seguridad de las bases de datos documentales o electrónicas.</w:t>
      </w:r>
    </w:p>
    <w:p w:rsidR="00550112" w:rsidRPr="00EA3E29" w:rsidRDefault="00221369">
      <w:pPr>
        <w:numPr>
          <w:ilvl w:val="0"/>
          <w:numId w:val="5"/>
        </w:numPr>
        <w:pBdr>
          <w:top w:val="nil"/>
          <w:left w:val="nil"/>
          <w:bottom w:val="nil"/>
          <w:right w:val="nil"/>
          <w:between w:val="nil"/>
        </w:pBdr>
        <w:spacing w:before="240" w:after="240" w:line="360" w:lineRule="auto"/>
        <w:ind w:left="425"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Establecer el Plan de contingencia con las Unidades Administrativas y</w:t>
      </w:r>
    </w:p>
    <w:p w:rsidR="00550112" w:rsidRPr="00EA3E29" w:rsidRDefault="00221369">
      <w:pPr>
        <w:numPr>
          <w:ilvl w:val="0"/>
          <w:numId w:val="5"/>
        </w:numPr>
        <w:pBdr>
          <w:top w:val="nil"/>
          <w:left w:val="nil"/>
          <w:bottom w:val="nil"/>
          <w:right w:val="nil"/>
          <w:between w:val="nil"/>
        </w:pBdr>
        <w:spacing w:before="240" w:after="240" w:line="360" w:lineRule="auto"/>
        <w:ind w:left="425"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 xml:space="preserve">Llevar a cabo la actualización de bases de datos, </w:t>
      </w:r>
    </w:p>
    <w:p w:rsidR="00550112" w:rsidRPr="00EA3E29" w:rsidRDefault="00221369">
      <w:pPr>
        <w:numPr>
          <w:ilvl w:val="0"/>
          <w:numId w:val="5"/>
        </w:numPr>
        <w:pBdr>
          <w:top w:val="nil"/>
          <w:left w:val="nil"/>
          <w:bottom w:val="nil"/>
          <w:right w:val="nil"/>
          <w:between w:val="nil"/>
        </w:pBdr>
        <w:spacing w:before="240" w:after="240" w:line="360" w:lineRule="auto"/>
        <w:ind w:left="425"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El inventario de las bases de datos.</w:t>
      </w:r>
    </w:p>
    <w:p w:rsidR="00550112" w:rsidRPr="00EA3E29" w:rsidRDefault="00221369">
      <w:pPr>
        <w:numPr>
          <w:ilvl w:val="0"/>
          <w:numId w:val="5"/>
        </w:numPr>
        <w:pBdr>
          <w:top w:val="nil"/>
          <w:left w:val="nil"/>
          <w:bottom w:val="nil"/>
          <w:right w:val="nil"/>
          <w:between w:val="nil"/>
        </w:pBdr>
        <w:spacing w:before="240" w:after="240" w:line="360" w:lineRule="auto"/>
        <w:ind w:left="425"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Documentos de gestión de seguridad y documentos de seguridad de la dependencia.</w:t>
      </w:r>
    </w:p>
    <w:p w:rsidR="00550112" w:rsidRPr="00EA3E29" w:rsidRDefault="00221369">
      <w:pPr>
        <w:spacing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Más no solicitó en ningún momento, la documentación generada con motivo de la implementación de los incisos antes citados, pues se insiste, la persona solicitante requirió los oficios y/o documentos de entrada y salida de la Unidad de Transparencia.</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En ese sentido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como se adelantó, debió pronunciarse respecto de si la información remitida consiste en la totalidad de documentos que obran en sus archivos, así como referir que no ha girado documento u oficio alguno, y, en su caso que no ha recibido ni oficio ni documento alguno, con la finalidad de no dejar lugar a dudas.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Por ende, se considera que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no atendió con la debida diligencia lo que respecta al segundo punto de la solicitud, pues no se tiene la certeza </w:t>
      </w:r>
      <w:r w:rsidRPr="00EA3E29">
        <w:rPr>
          <w:rFonts w:ascii="Palatino Linotype" w:eastAsia="Palatino Linotype" w:hAnsi="Palatino Linotype" w:cs="Palatino Linotype"/>
        </w:rPr>
        <w:lastRenderedPageBreak/>
        <w:t>de que hubiera realizado una búsqueda de la totalidad de los oficios o documentos girados y recibidos de las Oficinas de la Unidad de Transparencia.</w:t>
      </w:r>
    </w:p>
    <w:p w:rsidR="00550112" w:rsidRPr="00EA3E29" w:rsidRDefault="00221369">
      <w:pPr>
        <w:spacing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Así las cosas, para el </w:t>
      </w:r>
      <w:r w:rsidRPr="00EA3E29">
        <w:rPr>
          <w:rFonts w:ascii="Palatino Linotype" w:eastAsia="Palatino Linotype" w:hAnsi="Palatino Linotype" w:cs="Palatino Linotype"/>
          <w:b/>
        </w:rPr>
        <w:t>inciso a.</w:t>
      </w:r>
      <w:r w:rsidRPr="00EA3E29">
        <w:rPr>
          <w:rFonts w:ascii="Palatino Linotype" w:eastAsia="Palatino Linotype" w:hAnsi="Palatino Linotype" w:cs="Palatino Linotype"/>
        </w:rPr>
        <w:t xml:space="preserve"> relativo a la designación de los administradores de bases de datos,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debió generar oficios o documentos dirigidos a las diversas áreas que integran su estructura orgánica, lo cual es necesario para establecer y mantener las medidas de seguridad para la protección de los datos personales, y cada una de las unidades administrativas debió nombrar a un administrador de las bases de datos, lo anterior de acuerdo a la Ley de Protección de Datos Personales en Posesión de Sujetos Obligados del estado de México y Municipios, que establece lo siguiente:</w:t>
      </w:r>
    </w:p>
    <w:p w:rsidR="00550112" w:rsidRPr="00EA3E29" w:rsidRDefault="00221369">
      <w:pPr>
        <w:pBdr>
          <w:top w:val="nil"/>
          <w:left w:val="nil"/>
          <w:bottom w:val="nil"/>
          <w:right w:val="nil"/>
          <w:between w:val="nil"/>
        </w:pBdr>
        <w:tabs>
          <w:tab w:val="left" w:pos="7470"/>
        </w:tabs>
        <w:spacing w:before="120" w:after="120"/>
        <w:ind w:left="851" w:right="851"/>
        <w:jc w:val="both"/>
        <w:rPr>
          <w:rFonts w:ascii="Palatino Linotype" w:eastAsia="Palatino Linotype" w:hAnsi="Palatino Linotype" w:cs="Palatino Linotype"/>
          <w:i/>
          <w:color w:val="000000"/>
          <w:sz w:val="22"/>
          <w:szCs w:val="22"/>
        </w:rPr>
      </w:pPr>
      <w:r w:rsidRPr="00EA3E29">
        <w:rPr>
          <w:rFonts w:ascii="Palatino Linotype" w:eastAsia="Palatino Linotype" w:hAnsi="Palatino Linotype" w:cs="Palatino Linotype"/>
          <w:b/>
          <w:i/>
          <w:color w:val="000000"/>
          <w:sz w:val="22"/>
          <w:szCs w:val="22"/>
        </w:rPr>
        <w:t>“Artículo 46</w:t>
      </w:r>
      <w:r w:rsidRPr="00EA3E29">
        <w:rPr>
          <w:rFonts w:ascii="Palatino Linotype" w:eastAsia="Palatino Linotype" w:hAnsi="Palatino Linotype" w:cs="Palatino Linotype"/>
          <w:i/>
          <w:color w:val="000000"/>
          <w:sz w:val="22"/>
          <w:szCs w:val="22"/>
        </w:rPr>
        <w:t xml:space="preserve">. Para establecer y mantener las medidas de seguridad para la protección de los datos personales, </w:t>
      </w:r>
      <w:r w:rsidRPr="00EA3E29">
        <w:rPr>
          <w:rFonts w:ascii="Palatino Linotype" w:eastAsia="Palatino Linotype" w:hAnsi="Palatino Linotype" w:cs="Palatino Linotype"/>
          <w:b/>
          <w:i/>
          <w:color w:val="000000"/>
          <w:sz w:val="22"/>
          <w:szCs w:val="22"/>
          <w:u w:val="single"/>
        </w:rPr>
        <w:t>el responsable</w:t>
      </w:r>
      <w:r w:rsidRPr="00EA3E29">
        <w:rPr>
          <w:rFonts w:ascii="Palatino Linotype" w:eastAsia="Palatino Linotype" w:hAnsi="Palatino Linotype" w:cs="Palatino Linotype"/>
          <w:i/>
          <w:color w:val="000000"/>
          <w:sz w:val="22"/>
          <w:szCs w:val="22"/>
        </w:rPr>
        <w:t xml:space="preserve"> realizará, al menos, las actividades interrelacionadas siguientes:”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De acuerdo al artículo 4 fracción XLI de la Ley en cita, el responsable, es el propio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que en este caso es la Secretaría de Cultura y Turismo, sin embargo, las dependencias gubernamentales no operan sin funcionarios públicos, en ese sentido se entiende que en quien recaen las funciones previstas en artículo 46 de la Ley en comento, es en el Titular de la Secretaría citada, las cuales son las siguientes:</w:t>
      </w:r>
    </w:p>
    <w:p w:rsidR="00550112" w:rsidRPr="00EA3E29" w:rsidRDefault="00221369">
      <w:pPr>
        <w:numPr>
          <w:ilvl w:val="0"/>
          <w:numId w:val="1"/>
        </w:numPr>
        <w:pBdr>
          <w:top w:val="nil"/>
          <w:left w:val="nil"/>
          <w:bottom w:val="nil"/>
          <w:right w:val="nil"/>
          <w:between w:val="nil"/>
        </w:pBdr>
        <w:tabs>
          <w:tab w:val="left" w:pos="1276"/>
          <w:tab w:val="left" w:pos="7470"/>
        </w:tabs>
        <w:spacing w:before="120" w:after="120"/>
        <w:ind w:left="851" w:right="851" w:firstLine="0"/>
        <w:jc w:val="both"/>
      </w:pPr>
      <w:r w:rsidRPr="00EA3E29">
        <w:rPr>
          <w:rFonts w:ascii="Palatino Linotype" w:eastAsia="Palatino Linotype" w:hAnsi="Palatino Linotype" w:cs="Palatino Linotype"/>
          <w:i/>
          <w:color w:val="000000"/>
          <w:sz w:val="22"/>
          <w:szCs w:val="22"/>
        </w:rPr>
        <w:t>Crear políticas internas para la gestión y tratamiento de los datos personales, que tomen en cuenta el contexto en el que ocurren los tratamientos y el ciclo de vida de los datos personales, es decir, su obtención, uso y posterior supresión.</w:t>
      </w:r>
    </w:p>
    <w:p w:rsidR="00550112" w:rsidRPr="00EA3E29" w:rsidRDefault="00221369">
      <w:pPr>
        <w:numPr>
          <w:ilvl w:val="0"/>
          <w:numId w:val="1"/>
        </w:numPr>
        <w:pBdr>
          <w:top w:val="nil"/>
          <w:left w:val="nil"/>
          <w:bottom w:val="nil"/>
          <w:right w:val="nil"/>
          <w:between w:val="nil"/>
        </w:pBdr>
        <w:tabs>
          <w:tab w:val="left" w:pos="1276"/>
          <w:tab w:val="left" w:pos="7470"/>
        </w:tabs>
        <w:spacing w:before="120" w:after="120"/>
        <w:ind w:left="851" w:right="851" w:firstLine="0"/>
        <w:jc w:val="both"/>
      </w:pPr>
      <w:r w:rsidRPr="00EA3E29">
        <w:rPr>
          <w:rFonts w:ascii="Palatino Linotype" w:eastAsia="Palatino Linotype" w:hAnsi="Palatino Linotype" w:cs="Palatino Linotype"/>
          <w:i/>
          <w:color w:val="000000"/>
          <w:sz w:val="22"/>
          <w:szCs w:val="22"/>
        </w:rPr>
        <w:t>Definir las funciones y obligaciones del personal involucrado en el tratamiento de datos personales.</w:t>
      </w:r>
    </w:p>
    <w:p w:rsidR="00550112" w:rsidRPr="00EA3E29" w:rsidRDefault="00221369">
      <w:pPr>
        <w:numPr>
          <w:ilvl w:val="0"/>
          <w:numId w:val="1"/>
        </w:numPr>
        <w:pBdr>
          <w:top w:val="nil"/>
          <w:left w:val="nil"/>
          <w:bottom w:val="nil"/>
          <w:right w:val="nil"/>
          <w:between w:val="nil"/>
        </w:pBdr>
        <w:tabs>
          <w:tab w:val="left" w:pos="1276"/>
          <w:tab w:val="left" w:pos="7470"/>
        </w:tabs>
        <w:spacing w:before="120" w:after="120"/>
        <w:ind w:left="851" w:right="851" w:firstLine="0"/>
        <w:jc w:val="both"/>
      </w:pPr>
      <w:r w:rsidRPr="00EA3E29">
        <w:rPr>
          <w:rFonts w:ascii="Palatino Linotype" w:eastAsia="Palatino Linotype" w:hAnsi="Palatino Linotype" w:cs="Palatino Linotype"/>
          <w:i/>
          <w:color w:val="000000"/>
          <w:sz w:val="22"/>
          <w:szCs w:val="22"/>
        </w:rPr>
        <w:lastRenderedPageBreak/>
        <w:t>Elaborar un inventario de datos personales y de las bases y o sistemas de tratamiento.</w:t>
      </w:r>
    </w:p>
    <w:p w:rsidR="00550112" w:rsidRPr="00EA3E29" w:rsidRDefault="00221369">
      <w:pPr>
        <w:numPr>
          <w:ilvl w:val="0"/>
          <w:numId w:val="1"/>
        </w:numPr>
        <w:pBdr>
          <w:top w:val="nil"/>
          <w:left w:val="nil"/>
          <w:bottom w:val="nil"/>
          <w:right w:val="nil"/>
          <w:between w:val="nil"/>
        </w:pBdr>
        <w:tabs>
          <w:tab w:val="left" w:pos="1276"/>
          <w:tab w:val="left" w:pos="7470"/>
        </w:tabs>
        <w:spacing w:before="120" w:after="120"/>
        <w:ind w:left="851" w:right="851" w:firstLine="0"/>
        <w:jc w:val="both"/>
      </w:pPr>
      <w:r w:rsidRPr="00EA3E29">
        <w:rPr>
          <w:rFonts w:ascii="Palatino Linotype" w:eastAsia="Palatino Linotype" w:hAnsi="Palatino Linotype" w:cs="Palatino Linotype"/>
          <w:i/>
          <w:color w:val="000000"/>
          <w:sz w:val="22"/>
          <w:szCs w:val="22"/>
        </w:rPr>
        <w:t>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rsidR="00550112" w:rsidRPr="00EA3E29" w:rsidRDefault="00221369">
      <w:pPr>
        <w:numPr>
          <w:ilvl w:val="0"/>
          <w:numId w:val="1"/>
        </w:numPr>
        <w:pBdr>
          <w:top w:val="nil"/>
          <w:left w:val="nil"/>
          <w:bottom w:val="nil"/>
          <w:right w:val="nil"/>
          <w:between w:val="nil"/>
        </w:pBdr>
        <w:tabs>
          <w:tab w:val="left" w:pos="1276"/>
          <w:tab w:val="left" w:pos="7470"/>
        </w:tabs>
        <w:spacing w:before="120" w:after="120"/>
        <w:ind w:left="851" w:right="851" w:firstLine="0"/>
        <w:jc w:val="both"/>
      </w:pPr>
      <w:r w:rsidRPr="00EA3E29">
        <w:rPr>
          <w:rFonts w:ascii="Palatino Linotype" w:eastAsia="Palatino Linotype" w:hAnsi="Palatino Linotype" w:cs="Palatino Linotype"/>
          <w:i/>
          <w:color w:val="000000"/>
          <w:sz w:val="22"/>
          <w:szCs w:val="22"/>
        </w:rPr>
        <w:t>Realizar un análisis de brecha, comparando las medidas de seguridad existentes contra las faltantes en la organización del responsable.</w:t>
      </w:r>
    </w:p>
    <w:p w:rsidR="00550112" w:rsidRPr="00EA3E29" w:rsidRDefault="00221369">
      <w:pPr>
        <w:numPr>
          <w:ilvl w:val="0"/>
          <w:numId w:val="1"/>
        </w:numPr>
        <w:pBdr>
          <w:top w:val="nil"/>
          <w:left w:val="nil"/>
          <w:bottom w:val="nil"/>
          <w:right w:val="nil"/>
          <w:between w:val="nil"/>
        </w:pBdr>
        <w:tabs>
          <w:tab w:val="left" w:pos="1276"/>
          <w:tab w:val="left" w:pos="7470"/>
        </w:tabs>
        <w:spacing w:before="120" w:after="120"/>
        <w:ind w:left="851" w:right="851" w:firstLine="0"/>
        <w:jc w:val="both"/>
      </w:pPr>
      <w:r w:rsidRPr="00EA3E29">
        <w:rPr>
          <w:rFonts w:ascii="Palatino Linotype" w:eastAsia="Palatino Linotype" w:hAnsi="Palatino Linotype" w:cs="Palatino Linotype"/>
          <w:i/>
          <w:color w:val="000000"/>
          <w:sz w:val="22"/>
          <w:szCs w:val="22"/>
        </w:rPr>
        <w:t>Elaborar un plan de trabajo para la implementación de las medidas de seguridad faltantes, así como las medidas para el cumplimiento cotidiano de las políticas de gestión y tratamiento de los datos personales.</w:t>
      </w:r>
    </w:p>
    <w:p w:rsidR="00550112" w:rsidRPr="00EA3E29" w:rsidRDefault="00221369">
      <w:pPr>
        <w:numPr>
          <w:ilvl w:val="0"/>
          <w:numId w:val="1"/>
        </w:numPr>
        <w:pBdr>
          <w:top w:val="nil"/>
          <w:left w:val="nil"/>
          <w:bottom w:val="nil"/>
          <w:right w:val="nil"/>
          <w:between w:val="nil"/>
        </w:pBdr>
        <w:tabs>
          <w:tab w:val="left" w:pos="1276"/>
          <w:tab w:val="left" w:pos="7470"/>
        </w:tabs>
        <w:spacing w:before="120" w:after="120"/>
        <w:ind w:left="851" w:right="851" w:firstLine="0"/>
        <w:jc w:val="both"/>
      </w:pPr>
      <w:r w:rsidRPr="00EA3E29">
        <w:rPr>
          <w:rFonts w:ascii="Palatino Linotype" w:eastAsia="Palatino Linotype" w:hAnsi="Palatino Linotype" w:cs="Palatino Linotype"/>
          <w:i/>
          <w:color w:val="000000"/>
          <w:sz w:val="22"/>
          <w:szCs w:val="22"/>
        </w:rPr>
        <w:t>Monitorear y revisar de manera periódica las medidas de seguridad implementadas, así como las amenazas y vulnerabilidades a las que están sujetos los datos personales.</w:t>
      </w:r>
    </w:p>
    <w:p w:rsidR="00550112" w:rsidRPr="00EA3E29" w:rsidRDefault="00221369">
      <w:pPr>
        <w:numPr>
          <w:ilvl w:val="0"/>
          <w:numId w:val="1"/>
        </w:numPr>
        <w:pBdr>
          <w:top w:val="nil"/>
          <w:left w:val="nil"/>
          <w:bottom w:val="nil"/>
          <w:right w:val="nil"/>
          <w:between w:val="nil"/>
        </w:pBdr>
        <w:tabs>
          <w:tab w:val="left" w:pos="1276"/>
          <w:tab w:val="left" w:pos="7470"/>
        </w:tabs>
        <w:spacing w:before="120" w:after="120"/>
        <w:ind w:left="851" w:right="851" w:firstLine="0"/>
        <w:jc w:val="both"/>
      </w:pPr>
      <w:r w:rsidRPr="00EA3E29">
        <w:rPr>
          <w:rFonts w:ascii="Palatino Linotype" w:eastAsia="Palatino Linotype" w:hAnsi="Palatino Linotype" w:cs="Palatino Linotype"/>
          <w:i/>
          <w:color w:val="000000"/>
          <w:sz w:val="22"/>
          <w:szCs w:val="22"/>
        </w:rPr>
        <w:t>Diseñar y aplicar diferentes niveles de capacitación del personal bajo su mando, dependiendo de sus roles y responsabilidades respecto del tratamiento de los datos personales.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El artículo 4 de la Ley en cita, en su fracción I, establece que el </w:t>
      </w:r>
      <w:r w:rsidRPr="00EA3E29">
        <w:rPr>
          <w:rFonts w:ascii="Palatino Linotype" w:eastAsia="Palatino Linotype" w:hAnsi="Palatino Linotype" w:cs="Palatino Linotype"/>
          <w:b/>
          <w:u w:val="single"/>
        </w:rPr>
        <w:t>Administrador</w:t>
      </w:r>
      <w:r w:rsidRPr="00EA3E29">
        <w:rPr>
          <w:rFonts w:ascii="Palatino Linotype" w:eastAsia="Palatino Linotype" w:hAnsi="Palatino Linotype" w:cs="Palatino Linotype"/>
        </w:rPr>
        <w:t xml:space="preserve"> es la servidora o el servidor público o persona física facultada y </w:t>
      </w:r>
      <w:r w:rsidRPr="00EA3E29">
        <w:rPr>
          <w:rFonts w:ascii="Palatino Linotype" w:eastAsia="Palatino Linotype" w:hAnsi="Palatino Linotype" w:cs="Palatino Linotype"/>
          <w:b/>
          <w:u w:val="single"/>
        </w:rPr>
        <w:t>nombrada</w:t>
      </w:r>
      <w:r w:rsidRPr="00EA3E29">
        <w:rPr>
          <w:rFonts w:ascii="Palatino Linotype" w:eastAsia="Palatino Linotype" w:hAnsi="Palatino Linotype" w:cs="Palatino Linotype"/>
        </w:rPr>
        <w:t xml:space="preserve"> por el </w:t>
      </w:r>
      <w:r w:rsidRPr="00EA3E29">
        <w:rPr>
          <w:rFonts w:ascii="Palatino Linotype" w:eastAsia="Palatino Linotype" w:hAnsi="Palatino Linotype" w:cs="Palatino Linotype"/>
          <w:b/>
          <w:u w:val="single"/>
        </w:rPr>
        <w:t>Responsable</w:t>
      </w:r>
      <w:r w:rsidRPr="00EA3E29">
        <w:rPr>
          <w:rFonts w:ascii="Palatino Linotype" w:eastAsia="Palatino Linotype" w:hAnsi="Palatino Linotype" w:cs="Palatino Linotype"/>
        </w:rPr>
        <w:t xml:space="preserve"> para llevar a cabo </w:t>
      </w:r>
      <w:r w:rsidRPr="00EA3E29">
        <w:rPr>
          <w:rFonts w:ascii="Palatino Linotype" w:eastAsia="Palatino Linotype" w:hAnsi="Palatino Linotype" w:cs="Palatino Linotype"/>
          <w:b/>
        </w:rPr>
        <w:t>tratamiento de datos personales</w:t>
      </w:r>
      <w:r w:rsidRPr="00EA3E29">
        <w:rPr>
          <w:rFonts w:ascii="Palatino Linotype" w:eastAsia="Palatino Linotype" w:hAnsi="Palatino Linotype" w:cs="Palatino Linotype"/>
        </w:rPr>
        <w:t xml:space="preserve"> y que tiene bajo su responsabilidad los sistemas y bases de datos personales.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No podemos considerar que los administradores en las diversas unidades administrativas de la Secretaría de Justicia  y Derechos Humanos, se hayan autonombrado administradores, para manejar la base de datos, pues dicha facultad le corresponde al Responsable, (el titular de la Secretaría), se puede considerar que los nombramientos hayan sido de forma verbal (en económico), pero dicha circunstancia no se refiere ni en la respuesta ni en el informe justificado.</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lastRenderedPageBreak/>
        <w:t xml:space="preserve">En tal sentido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deberá hacer una búsqueda exhaustiva y razonable de los oficios o documentos girados o recibidos para la designación de los administradores de las bases de datos, en caso de no contar con ellos deberá informarlo así a la parte </w:t>
      </w:r>
      <w:r w:rsidRPr="00EA3E29">
        <w:rPr>
          <w:rFonts w:ascii="Palatino Linotype" w:eastAsia="Palatino Linotype" w:hAnsi="Palatino Linotype" w:cs="Palatino Linotype"/>
          <w:b/>
        </w:rPr>
        <w:t>RECURRENTE</w:t>
      </w:r>
      <w:r w:rsidRPr="00EA3E29">
        <w:rPr>
          <w:rFonts w:ascii="Palatino Linotype" w:eastAsia="Palatino Linotype" w:hAnsi="Palatino Linotype" w:cs="Palatino Linotype"/>
        </w:rPr>
        <w:t>, en términos de lo dispuesto por el artículo 19, párrafo segundo de la Ley de Transparencia y Acceso a la Información Pública del Estado de México y Municipios, a saber:</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w:t>
      </w:r>
      <w:r w:rsidRPr="00EA3E29">
        <w:rPr>
          <w:rFonts w:ascii="Palatino Linotype" w:eastAsia="Palatino Linotype" w:hAnsi="Palatino Linotype" w:cs="Palatino Linotype"/>
          <w:b/>
          <w:i/>
          <w:sz w:val="22"/>
          <w:szCs w:val="22"/>
        </w:rPr>
        <w:t>Artículo 19</w:t>
      </w:r>
      <w:r w:rsidRPr="00EA3E29">
        <w:rPr>
          <w:rFonts w:ascii="Palatino Linotype" w:eastAsia="Palatino Linotype" w:hAnsi="Palatino Linotype" w:cs="Palatino Linotype"/>
          <w:i/>
          <w:sz w:val="22"/>
          <w:szCs w:val="22"/>
        </w:rPr>
        <w:t>…</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550112" w:rsidRPr="00EA3E29" w:rsidRDefault="00221369">
      <w:pPr>
        <w:spacing w:before="240" w:after="240" w:line="360" w:lineRule="auto"/>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w:t>
      </w:r>
      <w:r w:rsidRPr="00EA3E29">
        <w:rPr>
          <w:rFonts w:ascii="Palatino Linotype" w:eastAsia="Palatino Linotype" w:hAnsi="Palatino Linotype" w:cs="Palatino Linotype"/>
          <w:vertAlign w:val="superscript"/>
        </w:rPr>
        <w:footnoteReference w:id="4"/>
      </w:r>
      <w:r w:rsidRPr="00EA3E29">
        <w:rPr>
          <w:rFonts w:ascii="Palatino Linotype" w:eastAsia="Palatino Linotype" w:hAnsi="Palatino Linotype" w:cs="Palatino Linotype"/>
        </w:rPr>
        <w:t xml:space="preserve"> de la Ley de Transparencia y Acceso a la Información Pública del Estado de México y Municipios.</w:t>
      </w:r>
    </w:p>
    <w:p w:rsidR="00550112" w:rsidRPr="00EA3E29" w:rsidRDefault="00221369">
      <w:pPr>
        <w:spacing w:before="240" w:after="240" w:line="360" w:lineRule="auto"/>
        <w:jc w:val="both"/>
        <w:rPr>
          <w:rFonts w:ascii="Palatino Linotype" w:eastAsia="Palatino Linotype" w:hAnsi="Palatino Linotype" w:cs="Palatino Linotype"/>
        </w:rPr>
      </w:pPr>
      <w:bookmarkStart w:id="9" w:name="_heading=h.lnxbz9" w:colFirst="0" w:colLast="0"/>
      <w:bookmarkEnd w:id="9"/>
      <w:r w:rsidRPr="00EA3E29">
        <w:rPr>
          <w:rFonts w:ascii="Palatino Linotype" w:eastAsia="Palatino Linotype" w:hAnsi="Palatino Linotype" w:cs="Palatino Linotype"/>
        </w:rPr>
        <w:t xml:space="preserve">Por lo que hace al </w:t>
      </w:r>
      <w:r w:rsidRPr="00EA3E29">
        <w:rPr>
          <w:rFonts w:ascii="Palatino Linotype" w:eastAsia="Palatino Linotype" w:hAnsi="Palatino Linotype" w:cs="Palatino Linotype"/>
          <w:b/>
        </w:rPr>
        <w:t>inciso b.</w:t>
      </w:r>
      <w:r w:rsidRPr="00EA3E29">
        <w:rPr>
          <w:rFonts w:ascii="Palatino Linotype" w:eastAsia="Palatino Linotype" w:hAnsi="Palatino Linotype" w:cs="Palatino Linotype"/>
        </w:rPr>
        <w:t xml:space="preserve"> referente a la actualización de avisos de privacidad, la parte </w:t>
      </w:r>
      <w:r w:rsidRPr="00EA3E29">
        <w:rPr>
          <w:rFonts w:ascii="Palatino Linotype" w:eastAsia="Palatino Linotype" w:hAnsi="Palatino Linotype" w:cs="Palatino Linotype"/>
          <w:b/>
        </w:rPr>
        <w:t>RECURRENTE</w:t>
      </w:r>
      <w:r w:rsidRPr="00EA3E29">
        <w:rPr>
          <w:rFonts w:ascii="Palatino Linotype" w:eastAsia="Palatino Linotype" w:hAnsi="Palatino Linotype" w:cs="Palatino Linotype"/>
        </w:rPr>
        <w:t xml:space="preserve"> no solicitó los avisos de privacidad, sino los oficios o documentos girados y recibidos en los que se interrelacionan las dependencias de la Secretaría para actualizar sus Avisos de Privacidad, y si bien el </w:t>
      </w:r>
      <w:r w:rsidRPr="00EA3E29">
        <w:rPr>
          <w:rFonts w:ascii="Palatino Linotype" w:eastAsia="Palatino Linotype" w:hAnsi="Palatino Linotype" w:cs="Palatino Linotype"/>
          <w:b/>
        </w:rPr>
        <w:t xml:space="preserve">SUJETO OBLIGADO </w:t>
      </w:r>
      <w:r w:rsidRPr="00EA3E29">
        <w:rPr>
          <w:rFonts w:ascii="Palatino Linotype" w:eastAsia="Palatino Linotype" w:hAnsi="Palatino Linotype" w:cs="Palatino Linotype"/>
        </w:rPr>
        <w:t xml:space="preserve">remitió el aviso de privacidad de la Secretaría de Cultura y Turismo, </w:t>
      </w:r>
      <w:r w:rsidRPr="00EA3E29">
        <w:rPr>
          <w:rFonts w:ascii="Palatino Linotype" w:eastAsia="Palatino Linotype" w:hAnsi="Palatino Linotype" w:cs="Palatino Linotype"/>
        </w:rPr>
        <w:lastRenderedPageBreak/>
        <w:t>no acreditó que hubiera realizado la búsqueda exhaustiva y razonable del soporte documental correspondiente a los oficios y/o documentos girados y recibidos.</w:t>
      </w:r>
      <w:r w:rsidRPr="00EA3E29">
        <w:rPr>
          <w:rFonts w:ascii="Palatino Linotype" w:eastAsia="Palatino Linotype" w:hAnsi="Palatino Linotype" w:cs="Palatino Linotype"/>
          <w:b/>
        </w:rPr>
        <w:t xml:space="preserve"> </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En tal sentido, es importante mencionar que no existe norma que obligue a generar oficios para reunirse para actualizar la base de datos, pero tampoco se acredita la búsqueda razonable y exhaustiva, por lo que el </w:t>
      </w:r>
      <w:r w:rsidRPr="00EA3E29">
        <w:rPr>
          <w:rFonts w:ascii="Palatino Linotype" w:eastAsia="Palatino Linotype" w:hAnsi="Palatino Linotype" w:cs="Palatino Linotype"/>
          <w:b/>
        </w:rPr>
        <w:t xml:space="preserve">SUJETO OBLIGADO </w:t>
      </w:r>
      <w:r w:rsidRPr="00EA3E29">
        <w:rPr>
          <w:rFonts w:ascii="Palatino Linotype" w:eastAsia="Palatino Linotype" w:hAnsi="Palatino Linotype" w:cs="Palatino Linotype"/>
        </w:rPr>
        <w:t xml:space="preserve">deberá efectuar dicha búsqueda respecto de los oficios o documentos girados o recibidos para la Actualización de Avisos de Privacidad, y, en caso de no contar con ellos deberá informarlo así a la parte </w:t>
      </w:r>
      <w:r w:rsidRPr="00EA3E29">
        <w:rPr>
          <w:rFonts w:ascii="Palatino Linotype" w:eastAsia="Palatino Linotype" w:hAnsi="Palatino Linotype" w:cs="Palatino Linotype"/>
          <w:b/>
        </w:rPr>
        <w:t xml:space="preserve">RECURRENTE, </w:t>
      </w:r>
      <w:r w:rsidRPr="00EA3E29">
        <w:rPr>
          <w:rFonts w:ascii="Palatino Linotype" w:eastAsia="Palatino Linotype" w:hAnsi="Palatino Linotype" w:cs="Palatino Linotype"/>
        </w:rPr>
        <w:t>en términos del artículo 19, párrafo segundo de Ley de Transparencia Local, citado con antelación.</w:t>
      </w:r>
    </w:p>
    <w:p w:rsidR="00550112" w:rsidRPr="00EA3E29" w:rsidRDefault="0022136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 xml:space="preserve">Tocante a los incisos </w:t>
      </w:r>
      <w:r w:rsidRPr="00EA3E29">
        <w:rPr>
          <w:rFonts w:ascii="Palatino Linotype" w:eastAsia="Palatino Linotype" w:hAnsi="Palatino Linotype" w:cs="Palatino Linotype"/>
          <w:b/>
          <w:color w:val="000000"/>
        </w:rPr>
        <w:t>c., d. e</w:t>
      </w:r>
      <w:r w:rsidRPr="00EA3E29">
        <w:rPr>
          <w:rFonts w:ascii="Palatino Linotype" w:eastAsia="Palatino Linotype" w:hAnsi="Palatino Linotype" w:cs="Palatino Linotype"/>
          <w:color w:val="000000"/>
        </w:rPr>
        <w:t xml:space="preserve">. y </w:t>
      </w:r>
      <w:r w:rsidRPr="00EA3E29">
        <w:rPr>
          <w:rFonts w:ascii="Palatino Linotype" w:eastAsia="Palatino Linotype" w:hAnsi="Palatino Linotype" w:cs="Palatino Linotype"/>
          <w:b/>
          <w:color w:val="000000"/>
        </w:rPr>
        <w:t>g</w:t>
      </w:r>
      <w:r w:rsidRPr="00EA3E29">
        <w:rPr>
          <w:rFonts w:ascii="Palatino Linotype" w:eastAsia="Palatino Linotype" w:hAnsi="Palatino Linotype" w:cs="Palatino Linotype"/>
          <w:color w:val="000000"/>
        </w:rPr>
        <w:t xml:space="preserve">, relativos a la supervisión a las bases de datos documentales o electrónicas para establecer medidas de seguridad, establecer bitácora de violaciones a la seguridad de las bases de datos documentales o electrónicas, establecer el Plan de contingencia con las Unidades Administrativas, y el inventario de las bases de datos, la persona solicitante requirió </w:t>
      </w:r>
      <w:r w:rsidRPr="00EA3E29">
        <w:rPr>
          <w:rFonts w:ascii="Palatino Linotype" w:eastAsia="Palatino Linotype" w:hAnsi="Palatino Linotype" w:cs="Palatino Linotype"/>
          <w:b/>
          <w:color w:val="000000"/>
          <w:u w:val="single"/>
        </w:rPr>
        <w:t>los oficios girados y recibidos</w:t>
      </w:r>
      <w:r w:rsidRPr="00EA3E29">
        <w:rPr>
          <w:rFonts w:ascii="Palatino Linotype" w:eastAsia="Palatino Linotype" w:hAnsi="Palatino Linotype" w:cs="Palatino Linotype"/>
          <w:b/>
          <w:color w:val="000000"/>
        </w:rPr>
        <w:t xml:space="preserve"> </w:t>
      </w:r>
      <w:r w:rsidRPr="00EA3E29">
        <w:rPr>
          <w:rFonts w:ascii="Palatino Linotype" w:eastAsia="Palatino Linotype" w:hAnsi="Palatino Linotype" w:cs="Palatino Linotype"/>
          <w:color w:val="000000"/>
        </w:rPr>
        <w:t xml:space="preserve">para fijar una supervisión a las bases de datos de las unidades administrativas de la Secretaría, los oficios girados y recibidos para la interacción de las dependencias de la Secretaría para crear o generar las bitácoras, el plan de contingencia, y el inventario de las bases de datos, si bien es cierto, el </w:t>
      </w:r>
      <w:r w:rsidRPr="00EA3E29">
        <w:rPr>
          <w:rFonts w:ascii="Palatino Linotype" w:eastAsia="Palatino Linotype" w:hAnsi="Palatino Linotype" w:cs="Palatino Linotype"/>
          <w:b/>
          <w:color w:val="000000"/>
        </w:rPr>
        <w:t xml:space="preserve">SUJETO OBLIGADO, </w:t>
      </w:r>
      <w:r w:rsidRPr="00EA3E29">
        <w:rPr>
          <w:rFonts w:ascii="Palatino Linotype" w:eastAsia="Palatino Linotype" w:hAnsi="Palatino Linotype" w:cs="Palatino Linotype"/>
          <w:color w:val="000000"/>
        </w:rPr>
        <w:t>entregó documentación relacionada con los temas en comento pero estos fueron entregados en una versión pública sin sustento lo que transgredió el derecho de acceso a la información pública del particular</w:t>
      </w:r>
      <w:r w:rsidRPr="00EA3E29">
        <w:rPr>
          <w:rFonts w:ascii="Palatino Linotype" w:eastAsia="Palatino Linotype" w:hAnsi="Palatino Linotype" w:cs="Palatino Linotype"/>
          <w:b/>
          <w:color w:val="000000"/>
        </w:rPr>
        <w:t xml:space="preserve">; </w:t>
      </w:r>
      <w:r w:rsidRPr="00EA3E29">
        <w:rPr>
          <w:rFonts w:ascii="Palatino Linotype" w:eastAsia="Palatino Linotype" w:hAnsi="Palatino Linotype" w:cs="Palatino Linotype"/>
          <w:color w:val="000000"/>
        </w:rPr>
        <w:t xml:space="preserve">lo cierto es, que el particular también fue claro en requerir los oficios girados y recibidos, lo que pasó </w:t>
      </w:r>
      <w:r w:rsidRPr="00EA3E29">
        <w:rPr>
          <w:rFonts w:ascii="Palatino Linotype" w:eastAsia="Palatino Linotype" w:hAnsi="Palatino Linotype" w:cs="Palatino Linotype"/>
          <w:color w:val="000000"/>
        </w:rPr>
        <w:lastRenderedPageBreak/>
        <w:t xml:space="preserve">desapercibido por el </w:t>
      </w:r>
      <w:r w:rsidRPr="00EA3E29">
        <w:rPr>
          <w:rFonts w:ascii="Palatino Linotype" w:eastAsia="Palatino Linotype" w:hAnsi="Palatino Linotype" w:cs="Palatino Linotype"/>
          <w:b/>
          <w:color w:val="000000"/>
        </w:rPr>
        <w:t>SUJETO OBLIGADO</w:t>
      </w:r>
      <w:r w:rsidRPr="00EA3E29">
        <w:rPr>
          <w:rFonts w:ascii="Palatino Linotype" w:eastAsia="Palatino Linotype" w:hAnsi="Palatino Linotype" w:cs="Palatino Linotype"/>
          <w:color w:val="000000"/>
        </w:rPr>
        <w:t>, al no emitir pronunciamiento alguno, asimismo, no consta la búsqueda razonable y exhaustiva de dichos oficios.</w:t>
      </w:r>
    </w:p>
    <w:p w:rsidR="00550112" w:rsidRPr="00EA3E29" w:rsidRDefault="0022136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 xml:space="preserve">En tal sentido el </w:t>
      </w:r>
      <w:r w:rsidRPr="00EA3E29">
        <w:rPr>
          <w:rFonts w:ascii="Palatino Linotype" w:eastAsia="Palatino Linotype" w:hAnsi="Palatino Linotype" w:cs="Palatino Linotype"/>
          <w:b/>
          <w:color w:val="000000"/>
        </w:rPr>
        <w:t>SUJETO OBLIGADO</w:t>
      </w:r>
      <w:r w:rsidRPr="00EA3E29">
        <w:rPr>
          <w:rFonts w:ascii="Palatino Linotype" w:eastAsia="Palatino Linotype" w:hAnsi="Palatino Linotype" w:cs="Palatino Linotype"/>
          <w:color w:val="000000"/>
        </w:rPr>
        <w:t xml:space="preserve"> deberá hacer una búsqueda exhaustiva y razonable de los oficios o documentos girados y recibidos para la supervisión a las bases de datos documentales o electrónicas para establecer medidas de seguridad; para establecer la bitácora de violaciones a la seguridad de las bases de datos documentales o electrónicas; y, para establecer el Plan de Contingencia con las Unidades Administrativas de la Secretaría, y, en caso de no contar con ellos deberá informarlo así a la parte </w:t>
      </w:r>
      <w:r w:rsidRPr="00EA3E29">
        <w:rPr>
          <w:rFonts w:ascii="Palatino Linotype" w:eastAsia="Palatino Linotype" w:hAnsi="Palatino Linotype" w:cs="Palatino Linotype"/>
          <w:b/>
          <w:color w:val="000000"/>
        </w:rPr>
        <w:t>RECURRENTE</w:t>
      </w:r>
      <w:r w:rsidRPr="00EA3E29">
        <w:rPr>
          <w:rFonts w:ascii="Palatino Linotype" w:eastAsia="Palatino Linotype" w:hAnsi="Palatino Linotype" w:cs="Palatino Linotype"/>
          <w:color w:val="000000"/>
        </w:rPr>
        <w:t xml:space="preserve"> en términos del artículo 19, párrafo segundo de Ley de Transparencia Local.</w:t>
      </w:r>
    </w:p>
    <w:p w:rsidR="00550112" w:rsidRPr="00EA3E29" w:rsidRDefault="0022136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 xml:space="preserve">Por lo que hace al </w:t>
      </w:r>
      <w:r w:rsidRPr="00EA3E29">
        <w:rPr>
          <w:rFonts w:ascii="Palatino Linotype" w:eastAsia="Palatino Linotype" w:hAnsi="Palatino Linotype" w:cs="Palatino Linotype"/>
          <w:b/>
          <w:color w:val="000000"/>
        </w:rPr>
        <w:t xml:space="preserve">inciso f., </w:t>
      </w:r>
      <w:r w:rsidRPr="00EA3E29">
        <w:rPr>
          <w:rFonts w:ascii="Palatino Linotype" w:eastAsia="Palatino Linotype" w:hAnsi="Palatino Linotype" w:cs="Palatino Linotype"/>
          <w:color w:val="000000"/>
        </w:rPr>
        <w:t xml:space="preserve">actualización de bases de datos, se reitera que la persona solicitante no requirió las bases de datos, sino los oficios o documentos girados y recibidos para actualizar las bases de datos de las unidades administrativas de las dependencias de la Secretaría, y, en atención al mismo, el </w:t>
      </w:r>
      <w:r w:rsidRPr="00EA3E29">
        <w:rPr>
          <w:rFonts w:ascii="Palatino Linotype" w:eastAsia="Palatino Linotype" w:hAnsi="Palatino Linotype" w:cs="Palatino Linotype"/>
          <w:b/>
          <w:color w:val="000000"/>
        </w:rPr>
        <w:t>SUJETO OBLIGADO</w:t>
      </w:r>
      <w:r w:rsidRPr="00EA3E29">
        <w:rPr>
          <w:rFonts w:ascii="Palatino Linotype" w:eastAsia="Palatino Linotype" w:hAnsi="Palatino Linotype" w:cs="Palatino Linotype"/>
          <w:color w:val="000000"/>
        </w:rPr>
        <w:t xml:space="preserve"> remitió inventario de datos personales, sin embargo, no hubo pronunciamiento respecto a los oficios y/o documentos girados y recibidos, ni tampoco acreditó que hubiera realizado la búsqueda exhaustiva y razonable del soporte documental correspondiente, pudiendo ser el caso de que nunca se hayan actualizado las bases de datos y por ende no se hayan girado oficios, o que las unidades administrativas las tengan siempre que actualizar sin necesidad que les recuerden, pero el </w:t>
      </w:r>
      <w:r w:rsidRPr="00EA3E29">
        <w:rPr>
          <w:rFonts w:ascii="Palatino Linotype" w:eastAsia="Palatino Linotype" w:hAnsi="Palatino Linotype" w:cs="Palatino Linotype"/>
          <w:b/>
          <w:color w:val="000000"/>
        </w:rPr>
        <w:t>SUJETO OBLIGADO</w:t>
      </w:r>
      <w:r w:rsidRPr="00EA3E29">
        <w:rPr>
          <w:rFonts w:ascii="Palatino Linotype" w:eastAsia="Palatino Linotype" w:hAnsi="Palatino Linotype" w:cs="Palatino Linotype"/>
          <w:color w:val="000000"/>
        </w:rPr>
        <w:t xml:space="preserve"> tampoco lo refiere. </w:t>
      </w:r>
    </w:p>
    <w:p w:rsidR="00550112" w:rsidRPr="00EA3E29" w:rsidRDefault="0022136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lastRenderedPageBreak/>
        <w:t xml:space="preserve">En tal sentido, se estima que el </w:t>
      </w:r>
      <w:r w:rsidRPr="00EA3E29">
        <w:rPr>
          <w:rFonts w:ascii="Palatino Linotype" w:eastAsia="Palatino Linotype" w:hAnsi="Palatino Linotype" w:cs="Palatino Linotype"/>
          <w:b/>
          <w:color w:val="000000"/>
        </w:rPr>
        <w:t>SUJETO OBLIGADO</w:t>
      </w:r>
      <w:r w:rsidRPr="00EA3E29">
        <w:rPr>
          <w:rFonts w:ascii="Palatino Linotype" w:eastAsia="Palatino Linotype" w:hAnsi="Palatino Linotype" w:cs="Palatino Linotype"/>
          <w:color w:val="000000"/>
        </w:rPr>
        <w:t xml:space="preserve"> deberá hacer una búsqueda exhaustiva y razonable de los oficios y/o documentos girados o recibidos para la actualización de bases de datos de las Unidades Administrativas de la Secretaría, y, en caso de no contar con ellos, al no haberse generado, deberá informarlo a la parte </w:t>
      </w:r>
      <w:r w:rsidRPr="00EA3E29">
        <w:rPr>
          <w:rFonts w:ascii="Palatino Linotype" w:eastAsia="Palatino Linotype" w:hAnsi="Palatino Linotype" w:cs="Palatino Linotype"/>
          <w:b/>
          <w:color w:val="000000"/>
        </w:rPr>
        <w:t>RECURRENTE</w:t>
      </w:r>
      <w:r w:rsidRPr="00EA3E29">
        <w:rPr>
          <w:rFonts w:ascii="Palatino Linotype" w:eastAsia="Palatino Linotype" w:hAnsi="Palatino Linotype" w:cs="Palatino Linotype"/>
          <w:color w:val="000000"/>
        </w:rPr>
        <w:t>, en términos del artículo 19, párrafo segundo de la Ley de Transparencia Local.</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Lo mismo ocurre respecto del </w:t>
      </w:r>
      <w:r w:rsidRPr="00EA3E29">
        <w:rPr>
          <w:rFonts w:ascii="Palatino Linotype" w:eastAsia="Palatino Linotype" w:hAnsi="Palatino Linotype" w:cs="Palatino Linotype"/>
          <w:b/>
        </w:rPr>
        <w:t>inciso h</w:t>
      </w:r>
      <w:r w:rsidRPr="00EA3E29">
        <w:rPr>
          <w:rFonts w:ascii="Palatino Linotype" w:eastAsia="Palatino Linotype" w:hAnsi="Palatino Linotype" w:cs="Palatino Linotype"/>
        </w:rPr>
        <w:t xml:space="preserve">, relativo a los documentos de gestión de seguridad y documentos de seguridad de la dependencia, reiterando que la parte  </w:t>
      </w:r>
      <w:r w:rsidRPr="00EA3E29">
        <w:rPr>
          <w:rFonts w:ascii="Palatino Linotype" w:eastAsia="Palatino Linotype" w:hAnsi="Palatino Linotype" w:cs="Palatino Linotype"/>
          <w:b/>
        </w:rPr>
        <w:t>RECURRENTE,</w:t>
      </w:r>
      <w:r w:rsidRPr="00EA3E29">
        <w:rPr>
          <w:rFonts w:ascii="Palatino Linotype" w:eastAsia="Palatino Linotype" w:hAnsi="Palatino Linotype" w:cs="Palatino Linotype"/>
        </w:rPr>
        <w:t xml:space="preserve"> solicitó los oficios o documentos que previamente generó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para poder crear el documento de seguridad, ya que, en atención al mismo, se remitió “documento de seguridad”, sobre el tratamiento de datos personales en posesión del Sujeto Obligado Secretaría de Cultura y Turismo, sin que se pronunciará respecto a los oficios y/o documentos girados y recibidos, ni tampoco acreditó que hubiera realizado la búsqueda exhaustiva y razonable del soporte documental correspondiente, en consecuencia, el </w:t>
      </w:r>
      <w:r w:rsidRPr="00EA3E29">
        <w:rPr>
          <w:rFonts w:ascii="Palatino Linotype" w:eastAsia="Palatino Linotype" w:hAnsi="Palatino Linotype" w:cs="Palatino Linotype"/>
          <w:b/>
        </w:rPr>
        <w:t xml:space="preserve">SUJETO OBLIGADO </w:t>
      </w:r>
      <w:r w:rsidRPr="00EA3E29">
        <w:rPr>
          <w:rFonts w:ascii="Palatino Linotype" w:eastAsia="Palatino Linotype" w:hAnsi="Palatino Linotype" w:cs="Palatino Linotype"/>
        </w:rPr>
        <w:t xml:space="preserve">deberá efectuar la búsqueda respecto de los oficios o documentos girados o recibidos y que se relacionen con los documentos de gestión de seguridad y documentos de seguridad de la dependencia, y, en caso de no contar con ellos deberá informarlo así a la parte </w:t>
      </w:r>
      <w:r w:rsidRPr="00EA3E29">
        <w:rPr>
          <w:rFonts w:ascii="Palatino Linotype" w:eastAsia="Palatino Linotype" w:hAnsi="Palatino Linotype" w:cs="Palatino Linotype"/>
          <w:b/>
        </w:rPr>
        <w:t xml:space="preserve">RECURRENTE, </w:t>
      </w:r>
      <w:r w:rsidRPr="00EA3E29">
        <w:rPr>
          <w:rFonts w:ascii="Palatino Linotype" w:eastAsia="Palatino Linotype" w:hAnsi="Palatino Linotype" w:cs="Palatino Linotype"/>
        </w:rPr>
        <w:t>en términos del artículo 19, párrafo segundo de Ley de Transparencia Local, previamente citado.</w:t>
      </w:r>
    </w:p>
    <w:p w:rsidR="00550112" w:rsidRPr="00EA3E29" w:rsidRDefault="00221369">
      <w:pPr>
        <w:spacing w:before="240" w:after="240" w:line="360" w:lineRule="auto"/>
        <w:ind w:right="51"/>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De lo hasta aquí expuesto, se concluye que los motivos de inconformidad de la parte </w:t>
      </w:r>
      <w:r w:rsidRPr="00EA3E29">
        <w:rPr>
          <w:rFonts w:ascii="Palatino Linotype" w:eastAsia="Palatino Linotype" w:hAnsi="Palatino Linotype" w:cs="Palatino Linotype"/>
          <w:b/>
        </w:rPr>
        <w:t xml:space="preserve">RECURRENTE </w:t>
      </w:r>
      <w:r w:rsidRPr="00EA3E29">
        <w:rPr>
          <w:rFonts w:ascii="Palatino Linotype" w:eastAsia="Palatino Linotype" w:hAnsi="Palatino Linotype" w:cs="Palatino Linotype"/>
        </w:rPr>
        <w:t xml:space="preserve">devienen fundados, siendo procedente </w:t>
      </w:r>
      <w:r w:rsidRPr="00EA3E29">
        <w:rPr>
          <w:rFonts w:ascii="Palatino Linotype" w:eastAsia="Palatino Linotype" w:hAnsi="Palatino Linotype" w:cs="Palatino Linotype"/>
          <w:i/>
        </w:rPr>
        <w:t>Modificar</w:t>
      </w:r>
      <w:r w:rsidRPr="00EA3E29">
        <w:rPr>
          <w:rFonts w:ascii="Palatino Linotype" w:eastAsia="Palatino Linotype" w:hAnsi="Palatino Linotype" w:cs="Palatino Linotype"/>
        </w:rPr>
        <w:t xml:space="preserve"> la respuesta proporcionada por el </w:t>
      </w:r>
      <w:r w:rsidRPr="00EA3E29">
        <w:rPr>
          <w:rFonts w:ascii="Palatino Linotype" w:eastAsia="Palatino Linotype" w:hAnsi="Palatino Linotype" w:cs="Palatino Linotype"/>
          <w:b/>
        </w:rPr>
        <w:t xml:space="preserve">SUJETO OBLIGADO </w:t>
      </w:r>
      <w:r w:rsidRPr="00EA3E29">
        <w:rPr>
          <w:rFonts w:ascii="Palatino Linotype" w:eastAsia="Palatino Linotype" w:hAnsi="Palatino Linotype" w:cs="Palatino Linotype"/>
        </w:rPr>
        <w:t xml:space="preserve">en términos del artículo 186 fracción </w:t>
      </w:r>
      <w:r w:rsidRPr="00EA3E29">
        <w:rPr>
          <w:rFonts w:ascii="Palatino Linotype" w:eastAsia="Palatino Linotype" w:hAnsi="Palatino Linotype" w:cs="Palatino Linotype"/>
        </w:rPr>
        <w:lastRenderedPageBreak/>
        <w:t>III de la Ley de Transparencia y Acceso a la Información Pública del Estado de México y Municipios.</w:t>
      </w:r>
    </w:p>
    <w:p w:rsidR="00550112" w:rsidRPr="00EA3E29" w:rsidRDefault="00221369">
      <w:pPr>
        <w:spacing w:before="240" w:after="240" w:line="360" w:lineRule="auto"/>
        <w:ind w:right="51"/>
        <w:jc w:val="both"/>
        <w:rPr>
          <w:rFonts w:ascii="Palatino Linotype" w:eastAsia="Palatino Linotype" w:hAnsi="Palatino Linotype" w:cs="Palatino Linotype"/>
          <w:b/>
        </w:rPr>
      </w:pPr>
      <w:r w:rsidRPr="00EA3E29">
        <w:rPr>
          <w:rFonts w:ascii="Palatino Linotype" w:eastAsia="Palatino Linotype" w:hAnsi="Palatino Linotype" w:cs="Palatino Linotype"/>
        </w:rPr>
        <w:t xml:space="preserve">Finalmente y en atención a que en la respuesta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hizo entrega del “documento de seguridad”, sobre el tratamiento de datos personales en posesión de la Secretaría de Cultura y Turismo, en donde se reveló medidas de seguridad técnicas, físicas y administrativas, que son considerados por este Organismo Garante como confidenciales; </w:t>
      </w:r>
      <w:r w:rsidRPr="00EA3E29">
        <w:rPr>
          <w:rFonts w:ascii="Palatino Linotype" w:eastAsia="Palatino Linotype" w:hAnsi="Palatino Linotype" w:cs="Palatino Linotype"/>
          <w:color w:val="000000"/>
        </w:rPr>
        <w:t>razón por la cual</w:t>
      </w:r>
      <w:r w:rsidRPr="00EA3E29">
        <w:rPr>
          <w:rFonts w:ascii="Palatino Linotype" w:eastAsia="Palatino Linotype" w:hAnsi="Palatino Linotype" w:cs="Palatino Linotype"/>
        </w:rPr>
        <w:t xml:space="preserve">, </w:t>
      </w:r>
      <w:r w:rsidRPr="00EA3E29">
        <w:rPr>
          <w:rFonts w:ascii="Palatino Linotype" w:eastAsia="Palatino Linotype" w:hAnsi="Palatino Linotype" w:cs="Palatino Linotype"/>
          <w:color w:val="000000"/>
        </w:rPr>
        <w:t>se ordena dar vista al Titular de la Dirección de Datos Personales de este Organismo Garante</w:t>
      </w:r>
      <w:r w:rsidRPr="00EA3E29">
        <w:rPr>
          <w:rFonts w:ascii="Palatino Linotype" w:eastAsia="Palatino Linotype" w:hAnsi="Palatino Linotype" w:cs="Palatino Linotype"/>
        </w:rPr>
        <w:t xml:space="preserve"> en observancia a lo señalado por el </w:t>
      </w:r>
      <w:r w:rsidRPr="00EA3E29">
        <w:rPr>
          <w:rFonts w:ascii="Palatino Linotype" w:eastAsia="Palatino Linotype" w:hAnsi="Palatino Linotype" w:cs="Palatino Linotype"/>
          <w:color w:val="000000"/>
        </w:rPr>
        <w:t>artículo 82 fracción XXVII de la Ley de Protección de Datos Personales del Estado de México, para que en ejercicio de sus atribuciones contenidas en el numeral 24 fracciones V, XI, XII Y XIII del Reglamento Interior del Instituto de Transparencia, Acceso a la Información Pública y Protección de Datos Personales del Estado de México y Municipios</w:t>
      </w:r>
      <w:r w:rsidRPr="00EA3E29">
        <w:rPr>
          <w:rFonts w:ascii="Palatino Linotype" w:eastAsia="Palatino Linotype" w:hAnsi="Palatino Linotype" w:cs="Palatino Linotype"/>
          <w:color w:val="222222"/>
        </w:rPr>
        <w:t>, a efecto de que investigue y sanciones las posibles omisiones en las que el </w:t>
      </w:r>
      <w:r w:rsidRPr="00EA3E29">
        <w:rPr>
          <w:rFonts w:ascii="Palatino Linotype" w:eastAsia="Palatino Linotype" w:hAnsi="Palatino Linotype" w:cs="Palatino Linotype"/>
          <w:b/>
          <w:color w:val="222222"/>
        </w:rPr>
        <w:t>SUJETO OBLIGADO</w:t>
      </w:r>
      <w:r w:rsidRPr="00EA3E29">
        <w:rPr>
          <w:rFonts w:ascii="Palatino Linotype" w:eastAsia="Palatino Linotype" w:hAnsi="Palatino Linotype" w:cs="Palatino Linotype"/>
          <w:color w:val="222222"/>
        </w:rPr>
        <w:t>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EA3E29">
        <w:rPr>
          <w:rFonts w:ascii="Palatino Linotype" w:eastAsia="Palatino Linotype" w:hAnsi="Palatino Linotype" w:cs="Palatino Linotype"/>
          <w:b/>
          <w:color w:val="222222"/>
        </w:rPr>
        <w:t>SUJETO OBLIGADO</w:t>
      </w:r>
      <w:r w:rsidRPr="00EA3E29">
        <w:rPr>
          <w:rFonts w:ascii="Palatino Linotype" w:eastAsia="Palatino Linotype" w:hAnsi="Palatino Linotype" w:cs="Palatino Linotype"/>
          <w:color w:val="222222"/>
        </w:rPr>
        <w:t> para que este determine lo que conforme derecho corresponda, cuyo resultado deberá ser informado a este Instituto.</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b/>
        </w:rPr>
        <w:t>Quinto. Versión Pública.</w:t>
      </w:r>
      <w:r w:rsidRPr="00EA3E29">
        <w:rPr>
          <w:rFonts w:ascii="Palatino Linotype" w:eastAsia="Palatino Linotype" w:hAnsi="Palatino Linotype" w:cs="Palatino Linotype"/>
          <w:sz w:val="28"/>
          <w:szCs w:val="28"/>
        </w:rPr>
        <w:t xml:space="preserve"> </w:t>
      </w:r>
      <w:r w:rsidRPr="00EA3E29">
        <w:rPr>
          <w:rFonts w:ascii="Palatino Linotype" w:eastAsia="Palatino Linotype" w:hAnsi="Palatino Linotype" w:cs="Palatino Linotype"/>
        </w:rPr>
        <w:t>Finalmente, debe señalarse que de ser el caso en que los documentos que vayan a ser entregados por el</w:t>
      </w:r>
      <w:r w:rsidRPr="00EA3E29">
        <w:rPr>
          <w:rFonts w:ascii="Palatino Linotype" w:eastAsia="Palatino Linotype" w:hAnsi="Palatino Linotype" w:cs="Palatino Linotype"/>
          <w:b/>
        </w:rPr>
        <w:t xml:space="preserve"> SUJETO OBLIGADO</w:t>
      </w:r>
      <w:r w:rsidRPr="00EA3E29">
        <w:rPr>
          <w:rFonts w:ascii="Palatino Linotype" w:eastAsia="Palatino Linotype" w:hAnsi="Palatino Linotype" w:cs="Palatino Linotype"/>
        </w:rPr>
        <w:t xml:space="preserve">, para dar cumplimiento a la presente resolución, contengan datos que deban ser clasificados, </w:t>
      </w:r>
      <w:r w:rsidRPr="00EA3E29">
        <w:rPr>
          <w:rFonts w:ascii="Palatino Linotype" w:eastAsia="Palatino Linotype" w:hAnsi="Palatino Linotype" w:cs="Palatino Linotype"/>
        </w:rPr>
        <w:lastRenderedPageBreak/>
        <w:t xml:space="preserve">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EA3E29">
        <w:rPr>
          <w:rFonts w:ascii="Palatino Linotype" w:eastAsia="Palatino Linotype" w:hAnsi="Palatino Linotype" w:cs="Palatino Linotype"/>
        </w:rPr>
        <w:t>fracción</w:t>
      </w:r>
      <w:proofErr w:type="gramEnd"/>
      <w:r w:rsidRPr="00EA3E29">
        <w:rPr>
          <w:rFonts w:ascii="Palatino Linotype" w:eastAsia="Palatino Linotype" w:hAnsi="Palatino Linotype" w:cs="Palatino Linotype"/>
        </w:rPr>
        <w:t xml:space="preserve"> I de la Ley de Transparencia y Acceso a la Información Pública del Estado de México y Municipios que establecen:</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w:t>
      </w:r>
      <w:r w:rsidRPr="00EA3E29">
        <w:rPr>
          <w:rFonts w:ascii="Palatino Linotype" w:eastAsia="Palatino Linotype" w:hAnsi="Palatino Linotype" w:cs="Palatino Linotype"/>
          <w:b/>
          <w:i/>
          <w:sz w:val="22"/>
          <w:szCs w:val="22"/>
        </w:rPr>
        <w:t>Artículo 3</w:t>
      </w:r>
      <w:r w:rsidRPr="00EA3E29">
        <w:rPr>
          <w:rFonts w:ascii="Palatino Linotype" w:eastAsia="Palatino Linotype" w:hAnsi="Palatino Linotype" w:cs="Palatino Linotype"/>
          <w:i/>
          <w:sz w:val="22"/>
          <w:szCs w:val="22"/>
        </w:rPr>
        <w:t>. Para los efectos de la presente Ley se entenderá por:</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IX. Datos personales</w:t>
      </w:r>
      <w:r w:rsidRPr="00EA3E2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XX. Información clasificada</w:t>
      </w:r>
      <w:r w:rsidRPr="00EA3E29">
        <w:rPr>
          <w:rFonts w:ascii="Palatino Linotype" w:eastAsia="Palatino Linotype" w:hAnsi="Palatino Linotype" w:cs="Palatino Linotype"/>
          <w:i/>
          <w:sz w:val="22"/>
          <w:szCs w:val="22"/>
        </w:rPr>
        <w:t>: Aquella considerada por la presente Ley como reservada o confidencial;</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 xml:space="preserve">XXI. Información confidencial: </w:t>
      </w:r>
      <w:r w:rsidRPr="00EA3E29">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XLV. Versión pública:</w:t>
      </w:r>
      <w:r w:rsidRPr="00EA3E2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Artículo 91.</w:t>
      </w:r>
      <w:r w:rsidRPr="00EA3E29">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Artículo 132.</w:t>
      </w:r>
      <w:r w:rsidRPr="00EA3E29">
        <w:rPr>
          <w:rFonts w:ascii="Palatino Linotype" w:eastAsia="Palatino Linotype" w:hAnsi="Palatino Linotype" w:cs="Palatino Linotype"/>
          <w:i/>
          <w:sz w:val="22"/>
          <w:szCs w:val="22"/>
        </w:rPr>
        <w:t xml:space="preserve"> La clasificación de la información se llevará a cabo en el momento en que:</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I</w:t>
      </w:r>
      <w:r w:rsidRPr="00EA3E29">
        <w:rPr>
          <w:rFonts w:ascii="Palatino Linotype" w:eastAsia="Palatino Linotype" w:hAnsi="Palatino Linotype" w:cs="Palatino Linotype"/>
          <w:i/>
          <w:sz w:val="22"/>
          <w:szCs w:val="22"/>
        </w:rPr>
        <w:t>. Se reciba una solicitud de acceso a la información;</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lastRenderedPageBreak/>
        <w:t>II.</w:t>
      </w:r>
      <w:r w:rsidRPr="00EA3E29">
        <w:rPr>
          <w:rFonts w:ascii="Palatino Linotype" w:eastAsia="Palatino Linotype" w:hAnsi="Palatino Linotype" w:cs="Palatino Linotype"/>
          <w:i/>
          <w:sz w:val="22"/>
          <w:szCs w:val="22"/>
        </w:rPr>
        <w:t xml:space="preserve"> Se determine mediante resolución de autoridad competente; o</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III.</w:t>
      </w:r>
      <w:r w:rsidRPr="00EA3E29">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Artículo 143</w:t>
      </w:r>
      <w:r w:rsidRPr="00EA3E2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I.</w:t>
      </w:r>
      <w:r w:rsidRPr="00EA3E29">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EA3E29">
        <w:rPr>
          <w:rFonts w:ascii="Palatino Linotype" w:eastAsia="Palatino Linotype" w:hAnsi="Palatino Linotype" w:cs="Palatino Linotype"/>
          <w:i/>
          <w:sz w:val="22"/>
          <w:szCs w:val="22"/>
        </w:rPr>
        <w:t>jurídico</w:t>
      </w:r>
      <w:proofErr w:type="gramEnd"/>
      <w:r w:rsidRPr="00EA3E29">
        <w:rPr>
          <w:rFonts w:ascii="Palatino Linotype" w:eastAsia="Palatino Linotype" w:hAnsi="Palatino Linotype" w:cs="Palatino Linotype"/>
          <w:i/>
          <w:sz w:val="22"/>
          <w:szCs w:val="22"/>
        </w:rPr>
        <w:t xml:space="preserve"> colectiva identificada o identificable;</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II.</w:t>
      </w:r>
      <w:r w:rsidRPr="00EA3E2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III.</w:t>
      </w:r>
      <w:r w:rsidRPr="00EA3E29">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en fecha dieciocho de noviembre del año dos mil veintidós,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lastRenderedPageBreak/>
        <w:t>Entorno a lo que aquí nos interesa, los Lineamientos Quincuagésimo sexto, Quincuagésimo séptimo y Quincuagésimo octavo, establecen lo siguiente:</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“Quincuagésimo sexto</w:t>
      </w:r>
      <w:r w:rsidRPr="00EA3E29">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Quincuagésimo séptimo</w:t>
      </w:r>
      <w:r w:rsidRPr="00EA3E29">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I.</w:t>
      </w:r>
      <w:r w:rsidRPr="00EA3E29">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II.</w:t>
      </w:r>
      <w:r w:rsidRPr="00EA3E29">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550112" w:rsidRPr="00EA3E29" w:rsidRDefault="00221369">
      <w:pPr>
        <w:spacing w:before="120" w:after="120"/>
        <w:ind w:left="1134"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III.</w:t>
      </w:r>
      <w:r w:rsidRPr="00EA3E29">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550112" w:rsidRPr="00EA3E29" w:rsidRDefault="00221369">
      <w:pPr>
        <w:spacing w:before="120" w:after="120"/>
        <w:ind w:left="851" w:right="902"/>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b/>
          <w:i/>
          <w:sz w:val="22"/>
          <w:szCs w:val="22"/>
        </w:rPr>
        <w:t>Quincuagésimo octavo</w:t>
      </w:r>
      <w:r w:rsidRPr="00EA3E29">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w:t>
      </w:r>
      <w:r w:rsidRPr="00EA3E29">
        <w:rPr>
          <w:rFonts w:ascii="Palatino Linotype" w:eastAsia="Palatino Linotype" w:hAnsi="Palatino Linotype" w:cs="Palatino Linotype"/>
        </w:rPr>
        <w:lastRenderedPageBreak/>
        <w:t>las causas o motivos por las que no se aprecian determinados datos -ya sea porque se testan o suprimen- deja al solicitante en estado de incertidumbre, al no conocer o comprender porque no aparecen en la documentación respectiva.</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550112" w:rsidRPr="00EA3E29" w:rsidTr="00550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Borders>
              <w:top w:val="nil"/>
              <w:left w:val="nil"/>
              <w:right w:val="nil"/>
            </w:tcBorders>
          </w:tcPr>
          <w:p w:rsidR="00550112" w:rsidRPr="00EA3E29" w:rsidRDefault="00221369">
            <w:pPr>
              <w:jc w:val="center"/>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Parcial</w:t>
            </w:r>
          </w:p>
        </w:tc>
        <w:tc>
          <w:tcPr>
            <w:tcW w:w="4414" w:type="dxa"/>
            <w:gridSpan w:val="2"/>
            <w:tcBorders>
              <w:top w:val="nil"/>
              <w:left w:val="nil"/>
              <w:right w:val="nil"/>
            </w:tcBorders>
          </w:tcPr>
          <w:p w:rsidR="00550112" w:rsidRPr="00EA3E29" w:rsidRDefault="00221369">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Total</w:t>
            </w:r>
          </w:p>
        </w:tc>
      </w:tr>
      <w:tr w:rsidR="00550112" w:rsidRPr="00EA3E29" w:rsidTr="0055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550112" w:rsidRPr="00EA3E29" w:rsidRDefault="00221369">
            <w:pPr>
              <w:jc w:val="center"/>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Concepto</w:t>
            </w:r>
          </w:p>
        </w:tc>
        <w:tc>
          <w:tcPr>
            <w:tcW w:w="3421" w:type="dxa"/>
          </w:tcPr>
          <w:p w:rsidR="00550112" w:rsidRPr="00EA3E29" w:rsidRDefault="0022136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Dónde</w:t>
            </w:r>
          </w:p>
        </w:tc>
        <w:tc>
          <w:tcPr>
            <w:tcW w:w="968" w:type="dxa"/>
          </w:tcPr>
          <w:p w:rsidR="00550112" w:rsidRPr="00EA3E29" w:rsidRDefault="0022136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Concepto</w:t>
            </w:r>
          </w:p>
        </w:tc>
        <w:tc>
          <w:tcPr>
            <w:tcW w:w="3446" w:type="dxa"/>
          </w:tcPr>
          <w:p w:rsidR="00550112" w:rsidRPr="00EA3E29" w:rsidRDefault="00221369">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Dónde</w:t>
            </w:r>
          </w:p>
        </w:tc>
      </w:tr>
      <w:tr w:rsidR="00550112" w:rsidRPr="00EA3E29" w:rsidTr="00550112">
        <w:tc>
          <w:tcPr>
            <w:cnfStyle w:val="001000000000" w:firstRow="0" w:lastRow="0" w:firstColumn="1" w:lastColumn="0" w:oddVBand="0" w:evenVBand="0" w:oddHBand="0" w:evenHBand="0" w:firstRowFirstColumn="0" w:firstRowLastColumn="0" w:lastRowFirstColumn="0" w:lastRowLastColumn="0"/>
            <w:tcW w:w="8828" w:type="dxa"/>
            <w:gridSpan w:val="4"/>
          </w:tcPr>
          <w:p w:rsidR="00550112" w:rsidRPr="00EA3E29" w:rsidRDefault="00221369">
            <w:pPr>
              <w:jc w:val="center"/>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Sello oficial o logotipo del sujeto obligado</w:t>
            </w:r>
          </w:p>
        </w:tc>
      </w:tr>
      <w:tr w:rsidR="00550112" w:rsidRPr="00EA3E29" w:rsidTr="0055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550112" w:rsidRPr="00EA3E29" w:rsidRDefault="00221369">
            <w:pPr>
              <w:jc w:val="both"/>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Fecha de clasificación</w:t>
            </w:r>
          </w:p>
        </w:tc>
        <w:tc>
          <w:tcPr>
            <w:tcW w:w="3421"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Fecha de clasificación</w:t>
            </w:r>
          </w:p>
        </w:tc>
        <w:tc>
          <w:tcPr>
            <w:tcW w:w="3446"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50112" w:rsidRPr="00EA3E29" w:rsidTr="00550112">
        <w:tc>
          <w:tcPr>
            <w:cnfStyle w:val="001000000000" w:firstRow="0" w:lastRow="0" w:firstColumn="1" w:lastColumn="0" w:oddVBand="0" w:evenVBand="0" w:oddHBand="0" w:evenHBand="0" w:firstRowFirstColumn="0" w:firstRowLastColumn="0" w:lastRowFirstColumn="0" w:lastRowLastColumn="0"/>
            <w:tcW w:w="993" w:type="dxa"/>
          </w:tcPr>
          <w:p w:rsidR="00550112" w:rsidRPr="00EA3E29" w:rsidRDefault="00221369">
            <w:pPr>
              <w:jc w:val="both"/>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Área</w:t>
            </w:r>
          </w:p>
        </w:tc>
        <w:tc>
          <w:tcPr>
            <w:tcW w:w="3421"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Se señalará el nombre del área del cual es titular quien clasifica.</w:t>
            </w:r>
          </w:p>
        </w:tc>
        <w:tc>
          <w:tcPr>
            <w:tcW w:w="968"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Área</w:t>
            </w:r>
          </w:p>
        </w:tc>
        <w:tc>
          <w:tcPr>
            <w:tcW w:w="3446"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Se señalará el nombre del área de la cual es el titular quien clasifica.</w:t>
            </w:r>
          </w:p>
        </w:tc>
      </w:tr>
      <w:tr w:rsidR="00550112" w:rsidRPr="00EA3E29" w:rsidTr="0055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550112" w:rsidRPr="00EA3E29" w:rsidRDefault="00221369">
            <w:pPr>
              <w:jc w:val="both"/>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Información reservada</w:t>
            </w:r>
          </w:p>
        </w:tc>
        <w:tc>
          <w:tcPr>
            <w:tcW w:w="3421"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EA3E29">
              <w:rPr>
                <w:rFonts w:ascii="Palatino Linotype" w:eastAsia="Palatino Linotype" w:hAnsi="Palatino Linotype" w:cs="Palatino Linotype"/>
                <w:sz w:val="12"/>
                <w:szCs w:val="12"/>
              </w:rPr>
              <w:t>anotarán</w:t>
            </w:r>
            <w:proofErr w:type="gramEnd"/>
            <w:r w:rsidRPr="00EA3E29">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Reservado</w:t>
            </w:r>
          </w:p>
        </w:tc>
        <w:tc>
          <w:tcPr>
            <w:tcW w:w="3446"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Leyenda de información RESERVADA.</w:t>
            </w:r>
          </w:p>
        </w:tc>
      </w:tr>
      <w:tr w:rsidR="00550112" w:rsidRPr="00EA3E29" w:rsidTr="00550112">
        <w:tc>
          <w:tcPr>
            <w:cnfStyle w:val="001000000000" w:firstRow="0" w:lastRow="0" w:firstColumn="1" w:lastColumn="0" w:oddVBand="0" w:evenVBand="0" w:oddHBand="0" w:evenHBand="0" w:firstRowFirstColumn="0" w:firstRowLastColumn="0" w:lastRowFirstColumn="0" w:lastRowLastColumn="0"/>
            <w:tcW w:w="993" w:type="dxa"/>
          </w:tcPr>
          <w:p w:rsidR="00550112" w:rsidRPr="00EA3E29" w:rsidRDefault="00221369">
            <w:pPr>
              <w:jc w:val="both"/>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Fundamento legal</w:t>
            </w:r>
          </w:p>
        </w:tc>
        <w:tc>
          <w:tcPr>
            <w:tcW w:w="3421"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Periodo de reserva</w:t>
            </w:r>
          </w:p>
        </w:tc>
        <w:tc>
          <w:tcPr>
            <w:tcW w:w="3446"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50112" w:rsidRPr="00EA3E29" w:rsidTr="0055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550112" w:rsidRPr="00EA3E29" w:rsidRDefault="00221369">
            <w:pPr>
              <w:jc w:val="both"/>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Ampliación del periodo de reserva</w:t>
            </w:r>
          </w:p>
        </w:tc>
        <w:tc>
          <w:tcPr>
            <w:tcW w:w="3421"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Fundamento legal</w:t>
            </w:r>
          </w:p>
        </w:tc>
        <w:tc>
          <w:tcPr>
            <w:tcW w:w="3446"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50112" w:rsidRPr="00EA3E29" w:rsidTr="00550112">
        <w:tc>
          <w:tcPr>
            <w:cnfStyle w:val="001000000000" w:firstRow="0" w:lastRow="0" w:firstColumn="1" w:lastColumn="0" w:oddVBand="0" w:evenVBand="0" w:oddHBand="0" w:evenHBand="0" w:firstRowFirstColumn="0" w:firstRowLastColumn="0" w:lastRowFirstColumn="0" w:lastRowLastColumn="0"/>
            <w:tcW w:w="993" w:type="dxa"/>
          </w:tcPr>
          <w:p w:rsidR="00550112" w:rsidRPr="00EA3E29" w:rsidRDefault="00221369">
            <w:pPr>
              <w:jc w:val="both"/>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Confidencial</w:t>
            </w:r>
          </w:p>
        </w:tc>
        <w:tc>
          <w:tcPr>
            <w:tcW w:w="3421"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Ampliación del periodo de reserva</w:t>
            </w:r>
          </w:p>
        </w:tc>
        <w:tc>
          <w:tcPr>
            <w:tcW w:w="3446"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50112" w:rsidRPr="00EA3E29" w:rsidTr="0055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550112" w:rsidRPr="00EA3E29" w:rsidRDefault="00221369">
            <w:pPr>
              <w:jc w:val="both"/>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Fundamento legal</w:t>
            </w:r>
          </w:p>
        </w:tc>
        <w:tc>
          <w:tcPr>
            <w:tcW w:w="3421"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Confidencial</w:t>
            </w:r>
          </w:p>
        </w:tc>
        <w:tc>
          <w:tcPr>
            <w:tcW w:w="3446"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Leyenda de información CONFIDENCIAL.</w:t>
            </w:r>
          </w:p>
        </w:tc>
      </w:tr>
      <w:tr w:rsidR="00550112" w:rsidRPr="00EA3E29" w:rsidTr="00550112">
        <w:tc>
          <w:tcPr>
            <w:cnfStyle w:val="001000000000" w:firstRow="0" w:lastRow="0" w:firstColumn="1" w:lastColumn="0" w:oddVBand="0" w:evenVBand="0" w:oddHBand="0" w:evenHBand="0" w:firstRowFirstColumn="0" w:firstRowLastColumn="0" w:lastRowFirstColumn="0" w:lastRowLastColumn="0"/>
            <w:tcW w:w="993" w:type="dxa"/>
          </w:tcPr>
          <w:p w:rsidR="00550112" w:rsidRPr="00EA3E29" w:rsidRDefault="00221369">
            <w:pPr>
              <w:jc w:val="both"/>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Rúbrica del titular del área</w:t>
            </w:r>
          </w:p>
        </w:tc>
        <w:tc>
          <w:tcPr>
            <w:tcW w:w="3421"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Rúbrica autógrafa de quien clasifica.</w:t>
            </w:r>
          </w:p>
        </w:tc>
        <w:tc>
          <w:tcPr>
            <w:tcW w:w="968"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Fundamento legal</w:t>
            </w:r>
          </w:p>
        </w:tc>
        <w:tc>
          <w:tcPr>
            <w:tcW w:w="3446"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50112" w:rsidRPr="00EA3E29" w:rsidTr="0055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550112" w:rsidRPr="00EA3E29" w:rsidRDefault="00221369">
            <w:pPr>
              <w:jc w:val="both"/>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Fecha de desclasificación</w:t>
            </w:r>
          </w:p>
        </w:tc>
        <w:tc>
          <w:tcPr>
            <w:tcW w:w="3421"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Se anotará la fecha en que se desclasifica el documento.</w:t>
            </w:r>
          </w:p>
        </w:tc>
        <w:tc>
          <w:tcPr>
            <w:tcW w:w="968"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Rúbrica del titular del área</w:t>
            </w:r>
          </w:p>
        </w:tc>
        <w:tc>
          <w:tcPr>
            <w:tcW w:w="3446"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Rúbrica autógrafa de quien clasifica.</w:t>
            </w:r>
          </w:p>
        </w:tc>
      </w:tr>
      <w:tr w:rsidR="00550112" w:rsidRPr="00EA3E29" w:rsidTr="00550112">
        <w:tc>
          <w:tcPr>
            <w:cnfStyle w:val="001000000000" w:firstRow="0" w:lastRow="0" w:firstColumn="1" w:lastColumn="0" w:oddVBand="0" w:evenVBand="0" w:oddHBand="0" w:evenHBand="0" w:firstRowFirstColumn="0" w:firstRowLastColumn="0" w:lastRowFirstColumn="0" w:lastRowLastColumn="0"/>
            <w:tcW w:w="993" w:type="dxa"/>
          </w:tcPr>
          <w:p w:rsidR="00550112" w:rsidRPr="00EA3E29" w:rsidRDefault="00221369">
            <w:pPr>
              <w:jc w:val="both"/>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Rúbrica y cargo del servidor público</w:t>
            </w:r>
          </w:p>
        </w:tc>
        <w:tc>
          <w:tcPr>
            <w:tcW w:w="3421"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Rúbrica autógrafa de quien desclasifica.</w:t>
            </w:r>
          </w:p>
        </w:tc>
        <w:tc>
          <w:tcPr>
            <w:tcW w:w="968"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Fecha de desclasificación</w:t>
            </w:r>
          </w:p>
        </w:tc>
        <w:tc>
          <w:tcPr>
            <w:tcW w:w="3446"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Se anotará la fecha en que se desclasifica.</w:t>
            </w:r>
          </w:p>
        </w:tc>
      </w:tr>
      <w:tr w:rsidR="00550112" w:rsidRPr="00EA3E29" w:rsidTr="00550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550112" w:rsidRPr="00EA3E29" w:rsidRDefault="00550112">
            <w:pPr>
              <w:jc w:val="both"/>
              <w:rPr>
                <w:rFonts w:ascii="Palatino Linotype" w:eastAsia="Palatino Linotype" w:hAnsi="Palatino Linotype" w:cs="Palatino Linotype"/>
                <w:sz w:val="12"/>
                <w:szCs w:val="12"/>
              </w:rPr>
            </w:pPr>
          </w:p>
        </w:tc>
        <w:tc>
          <w:tcPr>
            <w:tcW w:w="3421" w:type="dxa"/>
          </w:tcPr>
          <w:p w:rsidR="00550112" w:rsidRPr="00EA3E29" w:rsidRDefault="0055011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Partes o secciones reservadas o confidenciales</w:t>
            </w:r>
          </w:p>
        </w:tc>
        <w:tc>
          <w:tcPr>
            <w:tcW w:w="3446" w:type="dxa"/>
          </w:tcPr>
          <w:p w:rsidR="00550112" w:rsidRPr="00EA3E29" w:rsidRDefault="00221369">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 xml:space="preserve">En caso que una vez desclasificado el expediente, </w:t>
            </w:r>
            <w:proofErr w:type="spellStart"/>
            <w:r w:rsidRPr="00EA3E29">
              <w:rPr>
                <w:rFonts w:ascii="Palatino Linotype" w:eastAsia="Palatino Linotype" w:hAnsi="Palatino Linotype" w:cs="Palatino Linotype"/>
                <w:sz w:val="12"/>
                <w:szCs w:val="12"/>
              </w:rPr>
              <w:t>subsistanpartes</w:t>
            </w:r>
            <w:proofErr w:type="spellEnd"/>
            <w:r w:rsidRPr="00EA3E29">
              <w:rPr>
                <w:rFonts w:ascii="Palatino Linotype" w:eastAsia="Palatino Linotype" w:hAnsi="Palatino Linotype" w:cs="Palatino Linotype"/>
                <w:sz w:val="12"/>
                <w:szCs w:val="12"/>
              </w:rPr>
              <w:t xml:space="preserve"> o secciones del mismo reservadas o confidenciales, se señalará este hecho.</w:t>
            </w:r>
          </w:p>
        </w:tc>
      </w:tr>
      <w:tr w:rsidR="00550112" w:rsidRPr="00EA3E29" w:rsidTr="00550112">
        <w:tc>
          <w:tcPr>
            <w:cnfStyle w:val="001000000000" w:firstRow="0" w:lastRow="0" w:firstColumn="1" w:lastColumn="0" w:oddVBand="0" w:evenVBand="0" w:oddHBand="0" w:evenHBand="0" w:firstRowFirstColumn="0" w:firstRowLastColumn="0" w:lastRowFirstColumn="0" w:lastRowLastColumn="0"/>
            <w:tcW w:w="993" w:type="dxa"/>
          </w:tcPr>
          <w:p w:rsidR="00550112" w:rsidRPr="00EA3E29" w:rsidRDefault="00550112">
            <w:pPr>
              <w:jc w:val="both"/>
              <w:rPr>
                <w:rFonts w:ascii="Palatino Linotype" w:eastAsia="Palatino Linotype" w:hAnsi="Palatino Linotype" w:cs="Palatino Linotype"/>
                <w:sz w:val="12"/>
                <w:szCs w:val="12"/>
              </w:rPr>
            </w:pPr>
          </w:p>
        </w:tc>
        <w:tc>
          <w:tcPr>
            <w:tcW w:w="3421" w:type="dxa"/>
          </w:tcPr>
          <w:p w:rsidR="00550112" w:rsidRPr="00EA3E29" w:rsidRDefault="0055011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A3E29">
              <w:rPr>
                <w:rFonts w:ascii="Palatino Linotype" w:eastAsia="Palatino Linotype" w:hAnsi="Palatino Linotype" w:cs="Palatino Linotype"/>
                <w:b/>
                <w:sz w:val="12"/>
                <w:szCs w:val="12"/>
              </w:rPr>
              <w:t>Rúbrica y cargo del servidor público</w:t>
            </w:r>
          </w:p>
        </w:tc>
        <w:tc>
          <w:tcPr>
            <w:tcW w:w="3446" w:type="dxa"/>
          </w:tcPr>
          <w:p w:rsidR="00550112" w:rsidRPr="00EA3E29" w:rsidRDefault="00221369">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E29">
              <w:rPr>
                <w:rFonts w:ascii="Palatino Linotype" w:eastAsia="Palatino Linotype" w:hAnsi="Palatino Linotype" w:cs="Palatino Linotype"/>
                <w:sz w:val="12"/>
                <w:szCs w:val="12"/>
              </w:rPr>
              <w:t>Rúbrica autógrafa de quien desclasifica.</w:t>
            </w:r>
          </w:p>
        </w:tc>
      </w:tr>
    </w:tbl>
    <w:p w:rsidR="00550112" w:rsidRPr="00EA3E29" w:rsidRDefault="00550112">
      <w:pPr>
        <w:rPr>
          <w:rFonts w:ascii="Palatino Linotype" w:eastAsia="Palatino Linotype" w:hAnsi="Palatino Linotype" w:cs="Palatino Linotype"/>
        </w:rPr>
      </w:pPr>
    </w:p>
    <w:p w:rsidR="00550112" w:rsidRPr="00EA3E29" w:rsidRDefault="00221369">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EA3E29">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550112" w:rsidRPr="00EA3E29" w:rsidRDefault="0022136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A3E29">
        <w:rPr>
          <w:rFonts w:ascii="Palatino Linotype" w:eastAsia="Palatino Linotype" w:hAnsi="Palatino Linotype" w:cs="Palatino Linotype"/>
          <w:b/>
        </w:rPr>
        <w:t>III. R E S U E L V E</w:t>
      </w:r>
    </w:p>
    <w:p w:rsidR="00550112" w:rsidRPr="00EA3E29" w:rsidRDefault="00221369">
      <w:pPr>
        <w:spacing w:before="240" w:after="240" w:line="360" w:lineRule="auto"/>
        <w:jc w:val="both"/>
        <w:rPr>
          <w:rFonts w:ascii="Palatino Linotype" w:eastAsia="Palatino Linotype" w:hAnsi="Palatino Linotype" w:cs="Palatino Linotype"/>
          <w:b/>
        </w:rPr>
      </w:pPr>
      <w:bookmarkStart w:id="10" w:name="_heading=h.1fob9te" w:colFirst="0" w:colLast="0"/>
      <w:bookmarkEnd w:id="10"/>
      <w:r w:rsidRPr="00EA3E29">
        <w:rPr>
          <w:rFonts w:ascii="Palatino Linotype" w:eastAsia="Palatino Linotype" w:hAnsi="Palatino Linotype" w:cs="Palatino Linotype"/>
          <w:b/>
        </w:rPr>
        <w:t xml:space="preserve">Primero. </w:t>
      </w:r>
      <w:r w:rsidRPr="00EA3E29">
        <w:rPr>
          <w:rFonts w:ascii="Palatino Linotype" w:eastAsia="Palatino Linotype" w:hAnsi="Palatino Linotype" w:cs="Palatino Linotype"/>
        </w:rPr>
        <w:t>Resultan</w:t>
      </w:r>
      <w:r w:rsidRPr="00EA3E29">
        <w:rPr>
          <w:rFonts w:ascii="Palatino Linotype" w:eastAsia="Palatino Linotype" w:hAnsi="Palatino Linotype" w:cs="Palatino Linotype"/>
          <w:b/>
        </w:rPr>
        <w:t xml:space="preserve"> fundados</w:t>
      </w:r>
      <w:r w:rsidRPr="00EA3E29">
        <w:rPr>
          <w:rFonts w:ascii="Palatino Linotype" w:eastAsia="Palatino Linotype" w:hAnsi="Palatino Linotype" w:cs="Palatino Linotype"/>
        </w:rPr>
        <w:t xml:space="preserve"> los motivos de inconformidad hechos valer por la parte </w:t>
      </w:r>
      <w:r w:rsidRPr="00EA3E29">
        <w:rPr>
          <w:rFonts w:ascii="Palatino Linotype" w:eastAsia="Palatino Linotype" w:hAnsi="Palatino Linotype" w:cs="Palatino Linotype"/>
          <w:b/>
        </w:rPr>
        <w:t xml:space="preserve">RECURRENTE </w:t>
      </w:r>
      <w:r w:rsidRPr="00EA3E29">
        <w:rPr>
          <w:rFonts w:ascii="Palatino Linotype" w:eastAsia="Palatino Linotype" w:hAnsi="Palatino Linotype" w:cs="Palatino Linotype"/>
        </w:rPr>
        <w:t xml:space="preserve">en el recurso de revisión </w:t>
      </w:r>
      <w:r w:rsidRPr="00EA3E29">
        <w:rPr>
          <w:rFonts w:ascii="Palatino Linotype" w:eastAsia="Palatino Linotype" w:hAnsi="Palatino Linotype" w:cs="Palatino Linotype"/>
          <w:b/>
        </w:rPr>
        <w:t xml:space="preserve">13014/INFOEM/IP/RR/2022, </w:t>
      </w:r>
      <w:r w:rsidRPr="00EA3E29">
        <w:rPr>
          <w:rFonts w:ascii="Palatino Linotype" w:eastAsia="Palatino Linotype" w:hAnsi="Palatino Linotype" w:cs="Palatino Linotype"/>
        </w:rPr>
        <w:t xml:space="preserve">por lo que, en términos del Considerando </w:t>
      </w:r>
      <w:r w:rsidRPr="00EA3E29">
        <w:rPr>
          <w:rFonts w:ascii="Palatino Linotype" w:eastAsia="Palatino Linotype" w:hAnsi="Palatino Linotype" w:cs="Palatino Linotype"/>
          <w:b/>
        </w:rPr>
        <w:t>Cuarto</w:t>
      </w:r>
      <w:r w:rsidRPr="00EA3E29">
        <w:rPr>
          <w:rFonts w:ascii="Palatino Linotype" w:eastAsia="Palatino Linotype" w:hAnsi="Palatino Linotype" w:cs="Palatino Linotype"/>
        </w:rPr>
        <w:t xml:space="preserve"> de la presente resolución, se</w:t>
      </w:r>
      <w:r w:rsidRPr="00EA3E29">
        <w:rPr>
          <w:rFonts w:ascii="Palatino Linotype" w:eastAsia="Palatino Linotype" w:hAnsi="Palatino Linotype" w:cs="Palatino Linotype"/>
          <w:b/>
        </w:rPr>
        <w:t xml:space="preserve"> Modifica </w:t>
      </w:r>
      <w:r w:rsidRPr="00EA3E29">
        <w:rPr>
          <w:rFonts w:ascii="Palatino Linotype" w:eastAsia="Palatino Linotype" w:hAnsi="Palatino Linotype" w:cs="Palatino Linotype"/>
        </w:rPr>
        <w:t>la respuesta</w:t>
      </w:r>
      <w:r w:rsidRPr="00EA3E29">
        <w:rPr>
          <w:rFonts w:ascii="Palatino Linotype" w:eastAsia="Palatino Linotype" w:hAnsi="Palatino Linotype" w:cs="Palatino Linotype"/>
          <w:b/>
        </w:rPr>
        <w:t xml:space="preserve"> </w:t>
      </w:r>
      <w:r w:rsidRPr="00EA3E29">
        <w:rPr>
          <w:rFonts w:ascii="Palatino Linotype" w:eastAsia="Palatino Linotype" w:hAnsi="Palatino Linotype" w:cs="Palatino Linotype"/>
        </w:rPr>
        <w:t xml:space="preserve">del </w:t>
      </w:r>
      <w:r w:rsidRPr="00EA3E29">
        <w:rPr>
          <w:rFonts w:ascii="Palatino Linotype" w:eastAsia="Palatino Linotype" w:hAnsi="Palatino Linotype" w:cs="Palatino Linotype"/>
          <w:b/>
        </w:rPr>
        <w:t>SUJETO OBLIGADO.</w:t>
      </w:r>
    </w:p>
    <w:p w:rsidR="00550112" w:rsidRPr="00EA3E29" w:rsidRDefault="00221369">
      <w:pPr>
        <w:spacing w:before="240" w:after="240" w:line="360" w:lineRule="auto"/>
        <w:jc w:val="both"/>
        <w:rPr>
          <w:rFonts w:ascii="Palatino Linotype" w:eastAsia="Palatino Linotype" w:hAnsi="Palatino Linotype" w:cs="Palatino Linotype"/>
        </w:rPr>
      </w:pPr>
      <w:bookmarkStart w:id="11" w:name="_heading=h.4d34og8" w:colFirst="0" w:colLast="0"/>
      <w:bookmarkEnd w:id="11"/>
      <w:r w:rsidRPr="00EA3E29">
        <w:rPr>
          <w:rFonts w:ascii="Palatino Linotype" w:eastAsia="Palatino Linotype" w:hAnsi="Palatino Linotype" w:cs="Palatino Linotype"/>
          <w:b/>
        </w:rPr>
        <w:t xml:space="preserve">Segundo. </w:t>
      </w:r>
      <w:r w:rsidRPr="00EA3E29">
        <w:rPr>
          <w:rFonts w:ascii="Palatino Linotype" w:eastAsia="Palatino Linotype" w:hAnsi="Palatino Linotype" w:cs="Palatino Linotype"/>
        </w:rPr>
        <w:t xml:space="preserve">Se </w:t>
      </w:r>
      <w:r w:rsidRPr="00EA3E29">
        <w:rPr>
          <w:rFonts w:ascii="Palatino Linotype" w:eastAsia="Palatino Linotype" w:hAnsi="Palatino Linotype" w:cs="Palatino Linotype"/>
          <w:b/>
        </w:rPr>
        <w:t>Ordena</w:t>
      </w:r>
      <w:r w:rsidRPr="00EA3E29">
        <w:rPr>
          <w:rFonts w:ascii="Palatino Linotype" w:eastAsia="Palatino Linotype" w:hAnsi="Palatino Linotype" w:cs="Palatino Linotype"/>
        </w:rPr>
        <w:t xml:space="preserve"> al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en términos de los Considerandos </w:t>
      </w:r>
      <w:r w:rsidRPr="00EA3E29">
        <w:rPr>
          <w:rFonts w:ascii="Palatino Linotype" w:eastAsia="Palatino Linotype" w:hAnsi="Palatino Linotype" w:cs="Palatino Linotype"/>
          <w:b/>
        </w:rPr>
        <w:t xml:space="preserve">Cuarto </w:t>
      </w:r>
      <w:r w:rsidRPr="00EA3E29">
        <w:rPr>
          <w:rFonts w:ascii="Palatino Linotype" w:eastAsia="Palatino Linotype" w:hAnsi="Palatino Linotype" w:cs="Palatino Linotype"/>
        </w:rPr>
        <w:t xml:space="preserve">y </w:t>
      </w:r>
      <w:r w:rsidRPr="00EA3E29">
        <w:rPr>
          <w:rFonts w:ascii="Palatino Linotype" w:eastAsia="Palatino Linotype" w:hAnsi="Palatino Linotype" w:cs="Palatino Linotype"/>
          <w:b/>
        </w:rPr>
        <w:t xml:space="preserve">Quinto </w:t>
      </w:r>
      <w:r w:rsidRPr="00EA3E29">
        <w:rPr>
          <w:rFonts w:ascii="Palatino Linotype" w:eastAsia="Palatino Linotype" w:hAnsi="Palatino Linotype" w:cs="Palatino Linotype"/>
        </w:rPr>
        <w:t>de esta resolución, previa búsqueda exhaustiva y razonable, haga entrega, vía SAIMEX, en versión pública de lo siguiente:</w:t>
      </w:r>
    </w:p>
    <w:p w:rsidR="00550112" w:rsidRPr="00EA3E29" w:rsidRDefault="00221369">
      <w:pPr>
        <w:spacing w:before="240" w:after="240" w:line="360" w:lineRule="auto"/>
        <w:ind w:left="426" w:right="51"/>
        <w:jc w:val="both"/>
        <w:rPr>
          <w:rFonts w:ascii="Palatino Linotype" w:eastAsia="Palatino Linotype" w:hAnsi="Palatino Linotype" w:cs="Palatino Linotype"/>
        </w:rPr>
      </w:pPr>
      <w:r w:rsidRPr="00EA3E29">
        <w:rPr>
          <w:rFonts w:ascii="Palatino Linotype" w:eastAsia="Palatino Linotype" w:hAnsi="Palatino Linotype" w:cs="Palatino Linotype"/>
        </w:rPr>
        <w:t>1. Oficios y/o documentos generados y/o recibidos por la Unidad de Transparencia del uno de enero de dos mil diecinueve al veintiuno de junio de dos mil veintidós, para llevar a cabo lo siguiente:</w:t>
      </w:r>
    </w:p>
    <w:p w:rsidR="00550112" w:rsidRPr="00EA3E29" w:rsidRDefault="00221369">
      <w:pPr>
        <w:numPr>
          <w:ilvl w:val="1"/>
          <w:numId w:val="4"/>
        </w:numPr>
        <w:pBdr>
          <w:top w:val="nil"/>
          <w:left w:val="nil"/>
          <w:bottom w:val="nil"/>
          <w:right w:val="nil"/>
          <w:between w:val="nil"/>
        </w:pBdr>
        <w:tabs>
          <w:tab w:val="left" w:pos="1276"/>
        </w:tabs>
        <w:spacing w:line="360" w:lineRule="auto"/>
        <w:ind w:left="851"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 xml:space="preserve">La designación de los administradores de bases de datos. </w:t>
      </w:r>
    </w:p>
    <w:p w:rsidR="00550112" w:rsidRPr="00EA3E29" w:rsidRDefault="00221369">
      <w:pPr>
        <w:numPr>
          <w:ilvl w:val="1"/>
          <w:numId w:val="4"/>
        </w:numPr>
        <w:pBdr>
          <w:top w:val="nil"/>
          <w:left w:val="nil"/>
          <w:bottom w:val="nil"/>
          <w:right w:val="nil"/>
          <w:between w:val="nil"/>
        </w:pBdr>
        <w:tabs>
          <w:tab w:val="left" w:pos="1276"/>
        </w:tabs>
        <w:spacing w:line="360" w:lineRule="auto"/>
        <w:ind w:left="851"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 xml:space="preserve">La actualización de avisos de privacidad. </w:t>
      </w:r>
    </w:p>
    <w:p w:rsidR="00550112" w:rsidRPr="00EA3E29" w:rsidRDefault="00221369">
      <w:pPr>
        <w:numPr>
          <w:ilvl w:val="1"/>
          <w:numId w:val="4"/>
        </w:numPr>
        <w:pBdr>
          <w:top w:val="nil"/>
          <w:left w:val="nil"/>
          <w:bottom w:val="nil"/>
          <w:right w:val="nil"/>
          <w:between w:val="nil"/>
        </w:pBdr>
        <w:tabs>
          <w:tab w:val="left" w:pos="1276"/>
        </w:tabs>
        <w:spacing w:line="360" w:lineRule="auto"/>
        <w:ind w:left="851"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 xml:space="preserve">La supervisión a las bases de datos documentales o electrónicas para establecer medidas de seguridad. </w:t>
      </w:r>
    </w:p>
    <w:p w:rsidR="00550112" w:rsidRPr="00EA3E29" w:rsidRDefault="00221369">
      <w:pPr>
        <w:numPr>
          <w:ilvl w:val="1"/>
          <w:numId w:val="4"/>
        </w:numPr>
        <w:pBdr>
          <w:top w:val="nil"/>
          <w:left w:val="nil"/>
          <w:bottom w:val="nil"/>
          <w:right w:val="nil"/>
          <w:between w:val="nil"/>
        </w:pBdr>
        <w:tabs>
          <w:tab w:val="left" w:pos="1276"/>
        </w:tabs>
        <w:spacing w:line="360" w:lineRule="auto"/>
        <w:ind w:left="851"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lastRenderedPageBreak/>
        <w:t>Establecer la bitácora de violaciones a la seguridad de las bases de datos documentales o electrónicas.</w:t>
      </w:r>
    </w:p>
    <w:p w:rsidR="00550112" w:rsidRPr="00EA3E29" w:rsidRDefault="00221369">
      <w:pPr>
        <w:numPr>
          <w:ilvl w:val="1"/>
          <w:numId w:val="4"/>
        </w:numPr>
        <w:pBdr>
          <w:top w:val="nil"/>
          <w:left w:val="nil"/>
          <w:bottom w:val="nil"/>
          <w:right w:val="nil"/>
          <w:between w:val="nil"/>
        </w:pBdr>
        <w:tabs>
          <w:tab w:val="left" w:pos="1276"/>
        </w:tabs>
        <w:spacing w:line="360" w:lineRule="auto"/>
        <w:ind w:left="851"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Establecer el plan de contingencia con las unidades administrativas.</w:t>
      </w:r>
    </w:p>
    <w:p w:rsidR="00550112" w:rsidRPr="00EA3E29" w:rsidRDefault="00221369">
      <w:pPr>
        <w:numPr>
          <w:ilvl w:val="1"/>
          <w:numId w:val="4"/>
        </w:numPr>
        <w:pBdr>
          <w:top w:val="nil"/>
          <w:left w:val="nil"/>
          <w:bottom w:val="nil"/>
          <w:right w:val="nil"/>
          <w:between w:val="nil"/>
        </w:pBdr>
        <w:tabs>
          <w:tab w:val="left" w:pos="1276"/>
        </w:tabs>
        <w:spacing w:line="360" w:lineRule="auto"/>
        <w:ind w:left="851"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La actualización de bases de datos.</w:t>
      </w:r>
    </w:p>
    <w:p w:rsidR="00550112" w:rsidRPr="00EA3E29" w:rsidRDefault="00221369">
      <w:pPr>
        <w:numPr>
          <w:ilvl w:val="1"/>
          <w:numId w:val="4"/>
        </w:numPr>
        <w:pBdr>
          <w:top w:val="nil"/>
          <w:left w:val="nil"/>
          <w:bottom w:val="nil"/>
          <w:right w:val="nil"/>
          <w:between w:val="nil"/>
        </w:pBdr>
        <w:tabs>
          <w:tab w:val="left" w:pos="1276"/>
        </w:tabs>
        <w:spacing w:line="360" w:lineRule="auto"/>
        <w:ind w:left="851"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El inventario de las bases de datos.</w:t>
      </w:r>
    </w:p>
    <w:p w:rsidR="00550112" w:rsidRPr="00EA3E29" w:rsidRDefault="00221369">
      <w:pPr>
        <w:numPr>
          <w:ilvl w:val="1"/>
          <w:numId w:val="4"/>
        </w:numPr>
        <w:pBdr>
          <w:top w:val="nil"/>
          <w:left w:val="nil"/>
          <w:bottom w:val="nil"/>
          <w:right w:val="nil"/>
          <w:between w:val="nil"/>
        </w:pBdr>
        <w:tabs>
          <w:tab w:val="left" w:pos="1276"/>
        </w:tabs>
        <w:spacing w:line="360" w:lineRule="auto"/>
        <w:ind w:left="851" w:firstLine="0"/>
        <w:jc w:val="both"/>
        <w:rPr>
          <w:rFonts w:ascii="Palatino Linotype" w:eastAsia="Palatino Linotype" w:hAnsi="Palatino Linotype" w:cs="Palatino Linotype"/>
          <w:color w:val="000000"/>
        </w:rPr>
      </w:pPr>
      <w:r w:rsidRPr="00EA3E29">
        <w:rPr>
          <w:rFonts w:ascii="Palatino Linotype" w:eastAsia="Palatino Linotype" w:hAnsi="Palatino Linotype" w:cs="Palatino Linotype"/>
          <w:color w:val="000000"/>
        </w:rPr>
        <w:t>Los documentos de gestión de seguridad y documentos de seguridad de la dependencia.</w:t>
      </w:r>
    </w:p>
    <w:p w:rsidR="00550112" w:rsidRPr="00EA3E29" w:rsidRDefault="00221369">
      <w:pPr>
        <w:pBdr>
          <w:top w:val="nil"/>
          <w:left w:val="nil"/>
          <w:bottom w:val="nil"/>
          <w:right w:val="nil"/>
          <w:between w:val="nil"/>
        </w:pBdr>
        <w:ind w:left="360" w:right="-28"/>
        <w:jc w:val="both"/>
        <w:rPr>
          <w:rFonts w:ascii="Palatino Linotype" w:eastAsia="Palatino Linotype" w:hAnsi="Palatino Linotype" w:cs="Palatino Linotype"/>
          <w:i/>
          <w:color w:val="000000"/>
          <w:sz w:val="22"/>
          <w:szCs w:val="22"/>
        </w:rPr>
      </w:pPr>
      <w:bookmarkStart w:id="12" w:name="_heading=h.35nkun2" w:colFirst="0" w:colLast="0"/>
      <w:bookmarkEnd w:id="12"/>
      <w:r w:rsidRPr="00EA3E29">
        <w:rPr>
          <w:rFonts w:ascii="Palatino Linotype" w:eastAsia="Palatino Linotype" w:hAnsi="Palatino Linotype" w:cs="Palatino Linotype"/>
          <w:i/>
          <w:color w:val="000000"/>
          <w:sz w:val="22"/>
          <w:szCs w:val="22"/>
        </w:rPr>
        <w:t>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así como de los documentos remitidos en respuesta como informe justificado, mismo que igualmente se hará de su conocimiento de la parte recurrente.</w:t>
      </w:r>
    </w:p>
    <w:p w:rsidR="00550112" w:rsidRPr="00EA3E29" w:rsidRDefault="00550112">
      <w:pPr>
        <w:pBdr>
          <w:top w:val="nil"/>
          <w:left w:val="nil"/>
          <w:bottom w:val="nil"/>
          <w:right w:val="nil"/>
          <w:between w:val="nil"/>
        </w:pBdr>
        <w:ind w:left="360" w:right="-28"/>
        <w:jc w:val="both"/>
        <w:rPr>
          <w:rFonts w:ascii="Palatino Linotype" w:eastAsia="Palatino Linotype" w:hAnsi="Palatino Linotype" w:cs="Palatino Linotype"/>
          <w:i/>
          <w:color w:val="000000"/>
          <w:sz w:val="22"/>
          <w:szCs w:val="22"/>
        </w:rPr>
      </w:pPr>
    </w:p>
    <w:p w:rsidR="00550112" w:rsidRPr="00EA3E29" w:rsidRDefault="00221369">
      <w:pPr>
        <w:pBdr>
          <w:top w:val="nil"/>
          <w:left w:val="nil"/>
          <w:bottom w:val="nil"/>
          <w:right w:val="nil"/>
          <w:between w:val="nil"/>
        </w:pBdr>
        <w:ind w:left="360" w:right="-28"/>
        <w:jc w:val="both"/>
        <w:rPr>
          <w:rFonts w:ascii="Palatino Linotype" w:eastAsia="Palatino Linotype" w:hAnsi="Palatino Linotype" w:cs="Palatino Linotype"/>
          <w:i/>
          <w:sz w:val="22"/>
          <w:szCs w:val="22"/>
        </w:rPr>
      </w:pPr>
      <w:r w:rsidRPr="00EA3E29">
        <w:rPr>
          <w:rFonts w:ascii="Palatino Linotype" w:eastAsia="Palatino Linotype" w:hAnsi="Palatino Linotype" w:cs="Palatino Linotype"/>
          <w:i/>
          <w:sz w:val="22"/>
          <w:szCs w:val="22"/>
        </w:rPr>
        <w:t xml:space="preserve">Para el caso de que en sus archivos no obre información respecto de los oficios que se ordenan en el punto 1, por no haberse generado, deberá hacerlo del conocimiento de la parte </w:t>
      </w:r>
      <w:r w:rsidRPr="00EA3E29">
        <w:rPr>
          <w:rFonts w:ascii="Palatino Linotype" w:eastAsia="Palatino Linotype" w:hAnsi="Palatino Linotype" w:cs="Palatino Linotype"/>
          <w:b/>
          <w:i/>
          <w:sz w:val="22"/>
          <w:szCs w:val="22"/>
        </w:rPr>
        <w:t>RECURRENTE</w:t>
      </w:r>
      <w:r w:rsidRPr="00EA3E29">
        <w:rPr>
          <w:rFonts w:ascii="Palatino Linotype" w:eastAsia="Palatino Linotype" w:hAnsi="Palatino Linotype" w:cs="Palatino Linotype"/>
          <w:i/>
          <w:sz w:val="22"/>
          <w:szCs w:val="22"/>
        </w:rPr>
        <w:t xml:space="preserve"> de manera precisa y clara, en términos de lo dispuesto por el segundo párrafo del artículo 19 de la Ley de Transparencia Local. </w:t>
      </w:r>
    </w:p>
    <w:p w:rsidR="00550112" w:rsidRPr="00EA3E29" w:rsidRDefault="00550112">
      <w:pPr>
        <w:pBdr>
          <w:top w:val="nil"/>
          <w:left w:val="nil"/>
          <w:bottom w:val="nil"/>
          <w:right w:val="nil"/>
          <w:between w:val="nil"/>
        </w:pBdr>
        <w:ind w:left="360" w:right="-28"/>
        <w:jc w:val="both"/>
        <w:rPr>
          <w:rFonts w:ascii="Palatino Linotype" w:eastAsia="Palatino Linotype" w:hAnsi="Palatino Linotype" w:cs="Palatino Linotype"/>
          <w:i/>
          <w:color w:val="000000"/>
          <w:sz w:val="22"/>
          <w:szCs w:val="22"/>
        </w:rPr>
      </w:pPr>
    </w:p>
    <w:p w:rsidR="00550112" w:rsidRPr="00EA3E29" w:rsidRDefault="00221369">
      <w:pPr>
        <w:spacing w:line="360" w:lineRule="auto"/>
        <w:ind w:right="49"/>
        <w:jc w:val="both"/>
        <w:rPr>
          <w:rFonts w:ascii="Palatino Linotype" w:eastAsia="Palatino Linotype" w:hAnsi="Palatino Linotype" w:cs="Palatino Linotype"/>
        </w:rPr>
      </w:pPr>
      <w:r w:rsidRPr="00EA3E29">
        <w:rPr>
          <w:rFonts w:ascii="Palatino Linotype" w:eastAsia="Palatino Linotype" w:hAnsi="Palatino Linotype" w:cs="Palatino Linotype"/>
          <w:b/>
          <w:color w:val="000000"/>
        </w:rPr>
        <w:t xml:space="preserve">Tercero. Notifíquese, </w:t>
      </w:r>
      <w:r w:rsidRPr="00EA3E29">
        <w:rPr>
          <w:rFonts w:ascii="Palatino Linotype" w:eastAsia="Palatino Linotype" w:hAnsi="Palatino Linotype" w:cs="Palatino Linotype"/>
          <w:color w:val="000000"/>
        </w:rPr>
        <w:t xml:space="preserve">vía </w:t>
      </w:r>
      <w:r w:rsidRPr="00EA3E29">
        <w:rPr>
          <w:rFonts w:ascii="Palatino Linotype" w:eastAsia="Palatino Linotype" w:hAnsi="Palatino Linotype" w:cs="Palatino Linotype"/>
          <w:b/>
          <w:color w:val="000000"/>
        </w:rPr>
        <w:t>SAIMEX</w:t>
      </w:r>
      <w:r w:rsidRPr="00EA3E29">
        <w:rPr>
          <w:rFonts w:ascii="Palatino Linotype" w:eastAsia="Palatino Linotype" w:hAnsi="Palatino Linotype" w:cs="Palatino Linotype"/>
          <w:color w:val="000000"/>
        </w:rPr>
        <w:t xml:space="preserve">, al Titular de la Unidad de Transparencia del </w:t>
      </w:r>
      <w:r w:rsidRPr="00EA3E29">
        <w:rPr>
          <w:rFonts w:ascii="Palatino Linotype" w:eastAsia="Palatino Linotype" w:hAnsi="Palatino Linotype" w:cs="Palatino Linotype"/>
          <w:b/>
          <w:color w:val="000000"/>
        </w:rPr>
        <w:t>Sujeto Obligado,</w:t>
      </w:r>
      <w:r w:rsidRPr="00EA3E29">
        <w:rPr>
          <w:rFonts w:ascii="Palatino Linotype" w:eastAsia="Palatino Linotype" w:hAnsi="Palatino Linotype" w:cs="Palatino Linotype"/>
          <w:color w:val="00000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Pr="00EA3E29">
        <w:rPr>
          <w:rFonts w:ascii="Palatino Linotype" w:eastAsia="Palatino Linotype" w:hAnsi="Palatino Linotype" w:cs="Palatino Linotype"/>
          <w:color w:val="000000"/>
        </w:rPr>
        <w:lastRenderedPageBreak/>
        <w:t>Transparencia y Acceso a la Información Pública del Estado de México y Municipios</w:t>
      </w:r>
      <w:r w:rsidRPr="00EA3E29">
        <w:rPr>
          <w:rFonts w:ascii="Palatino Linotype" w:eastAsia="Palatino Linotype" w:hAnsi="Palatino Linotype" w:cs="Palatino Linotype"/>
        </w:rPr>
        <w:t>.</w:t>
      </w:r>
    </w:p>
    <w:p w:rsidR="00550112" w:rsidRPr="00EA3E29" w:rsidRDefault="00221369">
      <w:pPr>
        <w:spacing w:before="240" w:after="240"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A3E29">
        <w:rPr>
          <w:rFonts w:ascii="Palatino Linotype" w:eastAsia="Palatino Linotype" w:hAnsi="Palatino Linotype" w:cs="Palatino Linotype"/>
          <w:b/>
        </w:rPr>
        <w:t>Sujeto Obligado</w:t>
      </w:r>
      <w:r w:rsidRPr="00EA3E29">
        <w:rPr>
          <w:rFonts w:ascii="Palatino Linotype" w:eastAsia="Palatino Linotype" w:hAnsi="Palatino Linotype" w:cs="Palatino Linotype"/>
        </w:rPr>
        <w:t xml:space="preserve"> de manera fundada y motivada, podrá solicitar una ampliación de plazo para el cumplimiento de la presente resolución.</w:t>
      </w:r>
    </w:p>
    <w:p w:rsidR="00550112" w:rsidRPr="00EA3E29" w:rsidRDefault="00221369">
      <w:pPr>
        <w:spacing w:line="360" w:lineRule="auto"/>
        <w:jc w:val="both"/>
        <w:rPr>
          <w:rFonts w:ascii="Palatino Linotype" w:eastAsia="Palatino Linotype" w:hAnsi="Palatino Linotype" w:cs="Palatino Linotype"/>
        </w:rPr>
      </w:pPr>
      <w:r w:rsidRPr="00EA3E29">
        <w:rPr>
          <w:rFonts w:ascii="Palatino Linotype" w:eastAsia="Palatino Linotype" w:hAnsi="Palatino Linotype" w:cs="Palatino Linotype"/>
          <w:b/>
        </w:rPr>
        <w:t xml:space="preserve">Cuarto.  Notifíquese, </w:t>
      </w:r>
      <w:r w:rsidRPr="00EA3E29">
        <w:rPr>
          <w:rFonts w:ascii="Palatino Linotype" w:eastAsia="Palatino Linotype" w:hAnsi="Palatino Linotype" w:cs="Palatino Linotype"/>
        </w:rPr>
        <w:t xml:space="preserve">vía </w:t>
      </w:r>
      <w:r w:rsidRPr="00EA3E29">
        <w:rPr>
          <w:rFonts w:ascii="Palatino Linotype" w:eastAsia="Palatino Linotype" w:hAnsi="Palatino Linotype" w:cs="Palatino Linotype"/>
          <w:b/>
        </w:rPr>
        <w:t>SAIMEX</w:t>
      </w:r>
      <w:r w:rsidRPr="00EA3E29">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o recurso de inconformidad de acuerdo con lo establecido en los artículos 159 y 160, fracción I, de la Ley General de Transparencia y Acceso a la Información Pública.</w:t>
      </w:r>
    </w:p>
    <w:p w:rsidR="00550112" w:rsidRPr="00EA3E29" w:rsidRDefault="00221369">
      <w:pPr>
        <w:pBdr>
          <w:top w:val="nil"/>
          <w:left w:val="nil"/>
          <w:bottom w:val="nil"/>
          <w:right w:val="nil"/>
          <w:between w:val="nil"/>
        </w:pBdr>
        <w:spacing w:before="120" w:line="360" w:lineRule="auto"/>
        <w:ind w:right="49"/>
        <w:jc w:val="both"/>
        <w:rPr>
          <w:color w:val="000000"/>
        </w:rPr>
      </w:pPr>
      <w:r w:rsidRPr="00EA3E29">
        <w:rPr>
          <w:rFonts w:ascii="Palatino Linotype" w:eastAsia="Palatino Linotype" w:hAnsi="Palatino Linotype" w:cs="Palatino Linotype"/>
          <w:b/>
        </w:rPr>
        <w:t>Quinto.</w:t>
      </w:r>
      <w:r w:rsidRPr="00EA3E29">
        <w:rPr>
          <w:rFonts w:ascii="Palatino Linotype" w:eastAsia="Palatino Linotype" w:hAnsi="Palatino Linotype" w:cs="Palatino Linotype"/>
        </w:rPr>
        <w:t xml:space="preserve"> </w:t>
      </w:r>
      <w:r w:rsidRPr="00EA3E29">
        <w:rPr>
          <w:rFonts w:ascii="Palatino Linotype" w:eastAsia="Palatino Linotype" w:hAnsi="Palatino Linotype" w:cs="Palatino Linotype"/>
          <w:b/>
          <w:color w:val="000000"/>
        </w:rPr>
        <w:t>GÍRESE</w:t>
      </w:r>
      <w:r w:rsidRPr="00EA3E29">
        <w:rPr>
          <w:rFonts w:ascii="Palatino Linotype" w:eastAsia="Palatino Linotype" w:hAnsi="Palatino Linotype" w:cs="Palatino Linotype"/>
          <w:color w:val="000000"/>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actúen en razón de su competencia, en términos de lo expuesto en el Considerando Cuarto de la presente resolución.</w:t>
      </w:r>
    </w:p>
    <w:p w:rsidR="00550112" w:rsidRPr="00EA3E29" w:rsidRDefault="00221369">
      <w:pPr>
        <w:spacing w:before="240" w:after="240" w:line="360" w:lineRule="auto"/>
        <w:jc w:val="both"/>
        <w:rPr>
          <w:rFonts w:ascii="Palatino Linotype" w:eastAsia="Palatino Linotype" w:hAnsi="Palatino Linotype" w:cs="Palatino Linotype"/>
        </w:rPr>
      </w:pPr>
      <w:bookmarkStart w:id="13" w:name="_heading=h.1ksv4uv" w:colFirst="0" w:colLast="0"/>
      <w:bookmarkEnd w:id="13"/>
      <w:r w:rsidRPr="00EA3E29">
        <w:rPr>
          <w:rFonts w:ascii="Palatino Linotype" w:eastAsia="Palatino Linotype" w:hAnsi="Palatino Linotype" w:cs="Palatino Linotype"/>
        </w:rPr>
        <w:t xml:space="preserve">ASÍ LO APROBÓ POR UNANIMIDAD DE VOTOS EL PLENO DEL INSTITUTO DE TRANSPARENCIA, ACCESO A LA INFORMACIÓN PÚBLICA Y PROTECCIÓN DE DATOS PERSONALES DEL ESTADO DE MÉXICO Y MUNICIPIOS, CONFORMADO POR LOS COMISIONADOS JOSÉ MARTÍNEZ </w:t>
      </w:r>
      <w:r w:rsidR="00F24C1C" w:rsidRPr="00EA3E29">
        <w:rPr>
          <w:rFonts w:ascii="Palatino Linotype" w:eastAsia="Palatino Linotype" w:hAnsi="Palatino Linotype" w:cs="Palatino Linotype"/>
        </w:rPr>
        <w:lastRenderedPageBreak/>
        <w:t>VILCHIS; MARÍA DEL ROSARIO MEJÍ</w:t>
      </w:r>
      <w:r w:rsidRPr="00EA3E29">
        <w:rPr>
          <w:rFonts w:ascii="Palatino Linotype" w:eastAsia="Palatino Linotype" w:hAnsi="Palatino Linotype" w:cs="Palatino Linotype"/>
        </w:rPr>
        <w:t>A AYA</w:t>
      </w:r>
      <w:r w:rsidR="00F24C1C" w:rsidRPr="00EA3E29">
        <w:rPr>
          <w:rFonts w:ascii="Palatino Linotype" w:eastAsia="Palatino Linotype" w:hAnsi="Palatino Linotype" w:cs="Palatino Linotype"/>
        </w:rPr>
        <w:t>LA</w:t>
      </w:r>
      <w:r w:rsidR="009D7155" w:rsidRPr="00EA3E29">
        <w:rPr>
          <w:rFonts w:ascii="Palatino Linotype" w:eastAsia="Palatino Linotype" w:hAnsi="Palatino Linotype" w:cs="Palatino Linotype"/>
        </w:rPr>
        <w:t>;</w:t>
      </w:r>
      <w:r w:rsidR="00F24C1C" w:rsidRPr="00EA3E29">
        <w:rPr>
          <w:rFonts w:ascii="Palatino Linotype" w:eastAsia="Palatino Linotype" w:hAnsi="Palatino Linotype" w:cs="Palatino Linotype"/>
        </w:rPr>
        <w:t xml:space="preserve"> SHARON CRISTINA MORALES MARTÍ</w:t>
      </w:r>
      <w:r w:rsidRPr="00EA3E29">
        <w:rPr>
          <w:rFonts w:ascii="Palatino Linotype" w:eastAsia="Palatino Linotype" w:hAnsi="Palatino Linotype" w:cs="Palatino Linotype"/>
        </w:rPr>
        <w:t>NEZ: LUIS GUSTAVO PARRA NORIEGA Y GUADALUPE RAMÍREZ PEÑA; EN LA VIGÉSIMA TERCERA SESIÓN ORDINARIA CELEBRADA EL VEINTIUNO DE JUNIO DE DOS MIL VEINTITRÉS, ANTE LA COORDINADORA DE PROYECTOS CATALINA CAMARILLO ROSAS, EN SUPLENCIA DEL SECRETARIO TÉCNICO DEL PLENO ALEXIS TAPIA RAMÍREZ.</w:t>
      </w:r>
    </w:p>
    <w:p w:rsidR="00550112" w:rsidRDefault="009D7155">
      <w:pPr>
        <w:rPr>
          <w:rFonts w:ascii="Palatino Linotype" w:eastAsia="Palatino Linotype" w:hAnsi="Palatino Linotype" w:cs="Palatino Linotype"/>
        </w:rPr>
      </w:pPr>
      <w:r w:rsidRPr="00EA3E29">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simplePos x="0" y="0"/>
                <wp:positionH relativeFrom="column">
                  <wp:posOffset>339090</wp:posOffset>
                </wp:positionH>
                <wp:positionV relativeFrom="paragraph">
                  <wp:posOffset>127635</wp:posOffset>
                </wp:positionV>
                <wp:extent cx="5143500" cy="44386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143500" cy="44386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4A619FB"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7pt,10.05pt" to="431.7pt,3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" strokecolor="#f68c36 [3049]"/>
            </w:pict>
          </mc:Fallback>
        </mc:AlternateContent>
      </w:r>
    </w:p>
    <w:p w:rsidR="00550112" w:rsidRDefault="00550112">
      <w:pPr>
        <w:rPr>
          <w:rFonts w:ascii="Palatino Linotype" w:eastAsia="Palatino Linotype" w:hAnsi="Palatino Linotype" w:cs="Palatino Linotype"/>
        </w:rPr>
      </w:pPr>
    </w:p>
    <w:p w:rsidR="00550112" w:rsidRDefault="00550112">
      <w:pPr>
        <w:rPr>
          <w:rFonts w:ascii="Palatino Linotype" w:eastAsia="Palatino Linotype" w:hAnsi="Palatino Linotype" w:cs="Palatino Linotype"/>
        </w:rPr>
      </w:pPr>
    </w:p>
    <w:p w:rsidR="00550112" w:rsidRDefault="00550112">
      <w:pPr>
        <w:rPr>
          <w:rFonts w:ascii="Palatino Linotype" w:eastAsia="Palatino Linotype" w:hAnsi="Palatino Linotype" w:cs="Palatino Linotype"/>
        </w:rPr>
      </w:pPr>
    </w:p>
    <w:p w:rsidR="00550112" w:rsidRDefault="00550112">
      <w:pPr>
        <w:rPr>
          <w:rFonts w:ascii="Palatino Linotype" w:eastAsia="Palatino Linotype" w:hAnsi="Palatino Linotype" w:cs="Palatino Linotype"/>
        </w:rPr>
      </w:pPr>
    </w:p>
    <w:p w:rsidR="00550112" w:rsidRDefault="00550112">
      <w:pPr>
        <w:rPr>
          <w:rFonts w:ascii="Palatino Linotype" w:eastAsia="Palatino Linotype" w:hAnsi="Palatino Linotype" w:cs="Palatino Linotype"/>
        </w:rPr>
      </w:pPr>
    </w:p>
    <w:p w:rsidR="00550112" w:rsidRDefault="00550112">
      <w:pPr>
        <w:rPr>
          <w:rFonts w:ascii="Palatino Linotype" w:eastAsia="Palatino Linotype" w:hAnsi="Palatino Linotype" w:cs="Palatino Linotype"/>
        </w:rPr>
      </w:pPr>
    </w:p>
    <w:p w:rsidR="00550112" w:rsidRDefault="00550112">
      <w:pPr>
        <w:rPr>
          <w:rFonts w:ascii="Palatino Linotype" w:eastAsia="Palatino Linotype" w:hAnsi="Palatino Linotype" w:cs="Palatino Linotype"/>
        </w:rPr>
      </w:pPr>
    </w:p>
    <w:p w:rsidR="00550112" w:rsidRDefault="00550112">
      <w:pPr>
        <w:rPr>
          <w:rFonts w:ascii="Palatino Linotype" w:eastAsia="Palatino Linotype" w:hAnsi="Palatino Linotype" w:cs="Palatino Linotype"/>
        </w:rPr>
      </w:pPr>
    </w:p>
    <w:p w:rsidR="00550112" w:rsidRDefault="00550112">
      <w:pPr>
        <w:rPr>
          <w:rFonts w:ascii="Palatino Linotype" w:eastAsia="Palatino Linotype" w:hAnsi="Palatino Linotype" w:cs="Palatino Linotype"/>
        </w:rPr>
      </w:pPr>
    </w:p>
    <w:p w:rsidR="00550112" w:rsidRDefault="00550112">
      <w:pPr>
        <w:rPr>
          <w:rFonts w:ascii="Palatino Linotype" w:eastAsia="Palatino Linotype" w:hAnsi="Palatino Linotype" w:cs="Palatino Linotype"/>
        </w:rPr>
      </w:pPr>
    </w:p>
    <w:p w:rsidR="00550112" w:rsidRDefault="00550112">
      <w:pPr>
        <w:spacing w:line="360" w:lineRule="auto"/>
        <w:jc w:val="both"/>
        <w:rPr>
          <w:rFonts w:ascii="Palatino Linotype" w:eastAsia="Palatino Linotype" w:hAnsi="Palatino Linotype" w:cs="Palatino Linotype"/>
        </w:rPr>
      </w:pPr>
      <w:bookmarkStart w:id="14" w:name="_heading=h.3rdcrjn" w:colFirst="0" w:colLast="0"/>
      <w:bookmarkEnd w:id="14"/>
    </w:p>
    <w:p w:rsidR="00550112" w:rsidRDefault="00550112">
      <w:pPr>
        <w:spacing w:line="360" w:lineRule="auto"/>
        <w:jc w:val="both"/>
        <w:rPr>
          <w:rFonts w:ascii="Palatino Linotype" w:eastAsia="Palatino Linotype" w:hAnsi="Palatino Linotype" w:cs="Palatino Linotype"/>
        </w:rPr>
      </w:pPr>
    </w:p>
    <w:p w:rsidR="00550112" w:rsidRDefault="00550112">
      <w:pPr>
        <w:spacing w:line="360" w:lineRule="auto"/>
        <w:jc w:val="both"/>
        <w:rPr>
          <w:rFonts w:ascii="Palatino Linotype" w:eastAsia="Palatino Linotype" w:hAnsi="Palatino Linotype" w:cs="Palatino Linotype"/>
        </w:rPr>
      </w:pPr>
    </w:p>
    <w:p w:rsidR="00550112" w:rsidRDefault="00550112">
      <w:pPr>
        <w:spacing w:line="360" w:lineRule="auto"/>
        <w:jc w:val="both"/>
        <w:rPr>
          <w:rFonts w:ascii="Palatino Linotype" w:eastAsia="Palatino Linotype" w:hAnsi="Palatino Linotype" w:cs="Palatino Linotype"/>
        </w:rPr>
      </w:pPr>
      <w:bookmarkStart w:id="15" w:name="_heading=h.1t3h5sf" w:colFirst="0" w:colLast="0"/>
      <w:bookmarkEnd w:id="15"/>
    </w:p>
    <w:p w:rsidR="00550112" w:rsidRDefault="00550112">
      <w:pPr>
        <w:spacing w:line="360" w:lineRule="auto"/>
        <w:jc w:val="both"/>
        <w:rPr>
          <w:rFonts w:ascii="Palatino Linotype" w:eastAsia="Palatino Linotype" w:hAnsi="Palatino Linotype" w:cs="Palatino Linotype"/>
        </w:rPr>
      </w:pPr>
    </w:p>
    <w:p w:rsidR="00550112" w:rsidRDefault="00550112">
      <w:pPr>
        <w:spacing w:line="360" w:lineRule="auto"/>
        <w:jc w:val="both"/>
        <w:rPr>
          <w:rFonts w:ascii="Palatino Linotype" w:eastAsia="Palatino Linotype" w:hAnsi="Palatino Linotype" w:cs="Palatino Linotype"/>
        </w:rPr>
      </w:pPr>
    </w:p>
    <w:p w:rsidR="00550112" w:rsidRDefault="00550112">
      <w:pPr>
        <w:spacing w:line="360" w:lineRule="auto"/>
        <w:jc w:val="both"/>
        <w:rPr>
          <w:rFonts w:ascii="Palatino Linotype" w:eastAsia="Palatino Linotype" w:hAnsi="Palatino Linotype" w:cs="Palatino Linotype"/>
        </w:rPr>
      </w:pPr>
    </w:p>
    <w:p w:rsidR="00550112" w:rsidRDefault="00550112">
      <w:pPr>
        <w:spacing w:line="360" w:lineRule="auto"/>
        <w:jc w:val="both"/>
        <w:rPr>
          <w:rFonts w:ascii="Palatino Linotype" w:eastAsia="Palatino Linotype" w:hAnsi="Palatino Linotype" w:cs="Palatino Linotype"/>
        </w:rPr>
      </w:pPr>
    </w:p>
    <w:p w:rsidR="00550112" w:rsidRDefault="00550112">
      <w:pPr>
        <w:spacing w:line="360" w:lineRule="auto"/>
        <w:jc w:val="both"/>
        <w:rPr>
          <w:rFonts w:ascii="Palatino Linotype" w:eastAsia="Palatino Linotype" w:hAnsi="Palatino Linotype" w:cs="Palatino Linotype"/>
        </w:rPr>
      </w:pPr>
    </w:p>
    <w:p w:rsidR="00550112" w:rsidRDefault="00550112">
      <w:pPr>
        <w:spacing w:line="360" w:lineRule="auto"/>
        <w:jc w:val="both"/>
        <w:rPr>
          <w:rFonts w:ascii="Palatino Linotype" w:eastAsia="Palatino Linotype" w:hAnsi="Palatino Linotype" w:cs="Palatino Linotype"/>
        </w:rPr>
      </w:pPr>
    </w:p>
    <w:p w:rsidR="00550112" w:rsidRDefault="00550112">
      <w:pPr>
        <w:spacing w:line="360" w:lineRule="auto"/>
        <w:jc w:val="both"/>
        <w:rPr>
          <w:rFonts w:ascii="Palatino Linotype" w:eastAsia="Palatino Linotype" w:hAnsi="Palatino Linotype" w:cs="Palatino Linotype"/>
        </w:rPr>
      </w:pPr>
    </w:p>
    <w:p w:rsidR="00550112" w:rsidRDefault="00550112">
      <w:pPr>
        <w:spacing w:line="360" w:lineRule="auto"/>
        <w:jc w:val="both"/>
        <w:rPr>
          <w:rFonts w:ascii="Palatino Linotype" w:eastAsia="Palatino Linotype" w:hAnsi="Palatino Linotype" w:cs="Palatino Linotype"/>
        </w:rPr>
      </w:pPr>
    </w:p>
    <w:p w:rsidR="00550112" w:rsidRDefault="00550112">
      <w:pPr>
        <w:spacing w:line="360" w:lineRule="auto"/>
        <w:jc w:val="both"/>
        <w:rPr>
          <w:rFonts w:ascii="Palatino Linotype" w:eastAsia="Palatino Linotype" w:hAnsi="Palatino Linotype" w:cs="Palatino Linotype"/>
        </w:rPr>
      </w:pPr>
    </w:p>
    <w:p w:rsidR="00550112" w:rsidRDefault="00550112">
      <w:pPr>
        <w:spacing w:line="360" w:lineRule="auto"/>
        <w:jc w:val="both"/>
        <w:rPr>
          <w:rFonts w:ascii="Palatino Linotype" w:eastAsia="Palatino Linotype" w:hAnsi="Palatino Linotype" w:cs="Palatino Linotype"/>
        </w:rPr>
      </w:pPr>
    </w:p>
    <w:p w:rsidR="00550112" w:rsidRDefault="00550112">
      <w:pPr>
        <w:spacing w:line="360" w:lineRule="auto"/>
        <w:jc w:val="both"/>
        <w:rPr>
          <w:rFonts w:ascii="Palatino Linotype" w:eastAsia="Palatino Linotype" w:hAnsi="Palatino Linotype" w:cs="Palatino Linotype"/>
        </w:rPr>
      </w:pPr>
    </w:p>
    <w:sectPr w:rsidR="00550112">
      <w:headerReference w:type="default" r:id="rId29"/>
      <w:footerReference w:type="default" r:id="rId30"/>
      <w:headerReference w:type="first" r:id="rId31"/>
      <w:foot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C70" w:rsidRDefault="00960C70">
      <w:r>
        <w:separator/>
      </w:r>
    </w:p>
  </w:endnote>
  <w:endnote w:type="continuationSeparator" w:id="0">
    <w:p w:rsidR="00960C70" w:rsidRDefault="00960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12" w:rsidRDefault="0022136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71F7C">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71F7C">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rsidR="00550112" w:rsidRDefault="0055011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12" w:rsidRDefault="0022136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71F7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71F7C">
      <w:rPr>
        <w:rFonts w:ascii="Palatino Linotype" w:eastAsia="Palatino Linotype" w:hAnsi="Palatino Linotype" w:cs="Palatino Linotype"/>
        <w:b/>
        <w:noProof/>
        <w:color w:val="000000"/>
        <w:sz w:val="20"/>
        <w:szCs w:val="20"/>
      </w:rPr>
      <w:t>57</w:t>
    </w:r>
    <w:r>
      <w:rPr>
        <w:rFonts w:ascii="Palatino Linotype" w:eastAsia="Palatino Linotype" w:hAnsi="Palatino Linotype" w:cs="Palatino Linotype"/>
        <w:b/>
        <w:color w:val="000000"/>
        <w:sz w:val="20"/>
        <w:szCs w:val="20"/>
      </w:rPr>
      <w:fldChar w:fldCharType="end"/>
    </w:r>
  </w:p>
  <w:p w:rsidR="00550112" w:rsidRDefault="0055011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C70" w:rsidRDefault="00960C70">
      <w:r>
        <w:separator/>
      </w:r>
    </w:p>
  </w:footnote>
  <w:footnote w:type="continuationSeparator" w:id="0">
    <w:p w:rsidR="00960C70" w:rsidRDefault="00960C70">
      <w:r>
        <w:continuationSeparator/>
      </w:r>
    </w:p>
  </w:footnote>
  <w:footnote w:id="1">
    <w:p w:rsidR="00550112" w:rsidRDefault="00221369">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550112" w:rsidRDefault="0022136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550112" w:rsidRDefault="00221369">
      <w:pPr>
        <w:pBdr>
          <w:top w:val="nil"/>
          <w:left w:val="nil"/>
          <w:bottom w:val="nil"/>
          <w:right w:val="nil"/>
          <w:between w:val="nil"/>
        </w:pBdr>
        <w:ind w:right="49"/>
        <w:jc w:val="both"/>
        <w:rPr>
          <w:rFonts w:ascii="Cambria" w:eastAsia="Cambria" w:hAnsi="Cambria" w:cs="Cambria"/>
          <w:color w:val="000000"/>
          <w:sz w:val="20"/>
          <w:szCs w:val="20"/>
        </w:rPr>
      </w:pPr>
      <w:r>
        <w:rPr>
          <w:vertAlign w:val="superscript"/>
        </w:rPr>
        <w:footnoteRef/>
      </w:r>
      <w:hyperlink r:id="rId1">
        <w:r>
          <w:rPr>
            <w:rFonts w:ascii="Cambria" w:eastAsia="Cambria" w:hAnsi="Cambria" w:cs="Cambria"/>
            <w:color w:val="0000FF"/>
            <w:sz w:val="20"/>
            <w:szCs w:val="20"/>
            <w:u w:val="single"/>
          </w:rPr>
          <w:t>https://home.inai.org.mx/wp-content/documentos/DocumentosSectorPublico/_GuiaPrincipiosDeberes.pdf</w:t>
        </w:r>
      </w:hyperlink>
      <w:r>
        <w:rPr>
          <w:rFonts w:ascii="Cambria" w:eastAsia="Cambria" w:hAnsi="Cambria" w:cs="Cambria"/>
          <w:color w:val="000000"/>
          <w:sz w:val="20"/>
          <w:szCs w:val="20"/>
        </w:rPr>
        <w:t xml:space="preserve"> </w:t>
      </w:r>
    </w:p>
  </w:footnote>
  <w:footnote w:id="4">
    <w:p w:rsidR="00550112" w:rsidRDefault="00221369">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rsidR="00550112" w:rsidRDefault="00221369">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12" w:rsidRDefault="00221369">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-1080120</wp:posOffset>
          </wp:positionH>
          <wp:positionV relativeFrom="paragraph">
            <wp:posOffset>-488298</wp:posOffset>
          </wp:positionV>
          <wp:extent cx="7809865" cy="10165715"/>
          <wp:effectExtent l="0" t="0" r="0" b="0"/>
          <wp:wrapNone/>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5953" w:type="dxa"/>
      <w:tblInd w:w="3261" w:type="dxa"/>
      <w:tblLayout w:type="fixed"/>
      <w:tblLook w:val="0400" w:firstRow="0" w:lastRow="0" w:firstColumn="0" w:lastColumn="0" w:noHBand="0" w:noVBand="1"/>
    </w:tblPr>
    <w:tblGrid>
      <w:gridCol w:w="2489"/>
      <w:gridCol w:w="3464"/>
    </w:tblGrid>
    <w:tr w:rsidR="00550112">
      <w:tc>
        <w:tcPr>
          <w:tcW w:w="2489" w:type="dxa"/>
          <w:shd w:val="clear" w:color="auto" w:fill="auto"/>
        </w:tcPr>
        <w:p w:rsidR="00550112" w:rsidRDefault="002213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550112" w:rsidRDefault="0022136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13014/INFOEM/IP/RR/2022</w:t>
          </w:r>
        </w:p>
      </w:tc>
    </w:tr>
    <w:tr w:rsidR="00550112">
      <w:trPr>
        <w:trHeight w:val="228"/>
      </w:trPr>
      <w:tc>
        <w:tcPr>
          <w:tcW w:w="2489" w:type="dxa"/>
          <w:shd w:val="clear" w:color="auto" w:fill="auto"/>
          <w:vAlign w:val="center"/>
        </w:tcPr>
        <w:p w:rsidR="00550112" w:rsidRDefault="002213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550112" w:rsidRDefault="00221369">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Cultura y Turismo</w:t>
          </w:r>
        </w:p>
      </w:tc>
    </w:tr>
    <w:tr w:rsidR="00550112">
      <w:tc>
        <w:tcPr>
          <w:tcW w:w="2489" w:type="dxa"/>
          <w:shd w:val="clear" w:color="auto" w:fill="auto"/>
          <w:vAlign w:val="center"/>
        </w:tcPr>
        <w:p w:rsidR="00550112" w:rsidRDefault="0022136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550112" w:rsidRDefault="0022136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50112" w:rsidRDefault="0022136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112" w:rsidRDefault="0022136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-1080126</wp:posOffset>
          </wp:positionH>
          <wp:positionV relativeFrom="paragraph">
            <wp:posOffset>-262869</wp:posOffset>
          </wp:positionV>
          <wp:extent cx="7809865" cy="10165715"/>
          <wp:effectExtent l="0" t="0" r="0" b="0"/>
          <wp:wrapNone/>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670" w:type="dxa"/>
      <w:tblInd w:w="3261" w:type="dxa"/>
      <w:tblLayout w:type="fixed"/>
      <w:tblLook w:val="0400" w:firstRow="0" w:lastRow="0" w:firstColumn="0" w:lastColumn="0" w:noHBand="0" w:noVBand="1"/>
    </w:tblPr>
    <w:tblGrid>
      <w:gridCol w:w="2551"/>
      <w:gridCol w:w="3119"/>
    </w:tblGrid>
    <w:tr w:rsidR="00550112">
      <w:tc>
        <w:tcPr>
          <w:tcW w:w="2551" w:type="dxa"/>
          <w:shd w:val="clear" w:color="auto" w:fill="auto"/>
          <w:vAlign w:val="center"/>
        </w:tcPr>
        <w:p w:rsidR="00550112" w:rsidRDefault="002213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550112" w:rsidRDefault="0022136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13014/INFOEM/IP/RR/2022</w:t>
          </w:r>
        </w:p>
      </w:tc>
    </w:tr>
    <w:tr w:rsidR="00550112">
      <w:trPr>
        <w:trHeight w:val="130"/>
      </w:trPr>
      <w:tc>
        <w:tcPr>
          <w:tcW w:w="2551" w:type="dxa"/>
          <w:shd w:val="clear" w:color="auto" w:fill="auto"/>
          <w:vAlign w:val="center"/>
        </w:tcPr>
        <w:p w:rsidR="00550112" w:rsidRDefault="002213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550112" w:rsidRDefault="00E71F7C" w:rsidP="00E71F7C">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 XXX XXXXXXXXXX XXXX XXXXXXXXXX</w:t>
          </w:r>
        </w:p>
      </w:tc>
    </w:tr>
    <w:tr w:rsidR="00550112">
      <w:trPr>
        <w:trHeight w:val="228"/>
      </w:trPr>
      <w:tc>
        <w:tcPr>
          <w:tcW w:w="2551" w:type="dxa"/>
          <w:shd w:val="clear" w:color="auto" w:fill="auto"/>
          <w:vAlign w:val="center"/>
        </w:tcPr>
        <w:p w:rsidR="00550112" w:rsidRDefault="002213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550112" w:rsidRDefault="00221369">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Cultura y Turismo</w:t>
          </w:r>
        </w:p>
      </w:tc>
    </w:tr>
    <w:tr w:rsidR="00550112">
      <w:tc>
        <w:tcPr>
          <w:tcW w:w="2551" w:type="dxa"/>
          <w:shd w:val="clear" w:color="auto" w:fill="auto"/>
          <w:vAlign w:val="center"/>
        </w:tcPr>
        <w:p w:rsidR="00550112" w:rsidRDefault="002213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550112" w:rsidRDefault="0022136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50112" w:rsidRDefault="00550112">
    <w:pPr>
      <w:pBdr>
        <w:top w:val="nil"/>
        <w:left w:val="nil"/>
        <w:bottom w:val="nil"/>
        <w:right w:val="nil"/>
        <w:between w:val="nil"/>
      </w:pBdr>
      <w:tabs>
        <w:tab w:val="center" w:pos="4252"/>
        <w:tab w:val="right" w:pos="8504"/>
      </w:tabs>
      <w:rPr>
        <w:rFonts w:ascii="Cambria" w:eastAsia="Cambria" w:hAnsi="Cambria" w:cs="Cambria"/>
        <w:color w:val="000000"/>
      </w:rPr>
    </w:pPr>
  </w:p>
  <w:p w:rsidR="00550112" w:rsidRDefault="005501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41A05"/>
    <w:multiLevelType w:val="multilevel"/>
    <w:tmpl w:val="E278C9BA"/>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C2153AA"/>
    <w:multiLevelType w:val="multilevel"/>
    <w:tmpl w:val="E33645DC"/>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B076DA1"/>
    <w:multiLevelType w:val="multilevel"/>
    <w:tmpl w:val="FF2C0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04217D4"/>
    <w:multiLevelType w:val="multilevel"/>
    <w:tmpl w:val="9A88BB3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nsid w:val="388D3760"/>
    <w:multiLevelType w:val="multilevel"/>
    <w:tmpl w:val="37668AFA"/>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7E25AAF"/>
    <w:multiLevelType w:val="multilevel"/>
    <w:tmpl w:val="5B6A5C6C"/>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112"/>
    <w:rsid w:val="00221369"/>
    <w:rsid w:val="00474FE3"/>
    <w:rsid w:val="00550112"/>
    <w:rsid w:val="00615E33"/>
    <w:rsid w:val="006B3DA2"/>
    <w:rsid w:val="008D0A13"/>
    <w:rsid w:val="00960C70"/>
    <w:rsid w:val="009A72FC"/>
    <w:rsid w:val="009D7155"/>
    <w:rsid w:val="00E71F7C"/>
    <w:rsid w:val="00EA3E29"/>
    <w:rsid w:val="00F24C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96E338-39A1-4B2E-B2F4-DDF0030D0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0"/>
    <w:tblPr>
      <w:tblStyleRowBandSize w:val="1"/>
      <w:tblStyleColBandSize w:val="1"/>
      <w:tblCellMar>
        <w:top w:w="0" w:type="dxa"/>
        <w:left w:w="115" w:type="dxa"/>
        <w:bottom w:w="0" w:type="dxa"/>
        <w:right w:w="115" w:type="dxa"/>
      </w:tblCellMar>
    </w:tblPr>
  </w:style>
  <w:style w:type="table" w:customStyle="1" w:styleId="19">
    <w:name w:val="19"/>
    <w:basedOn w:val="TableNormal40"/>
    <w:tblPr>
      <w:tblStyleRowBandSize w:val="1"/>
      <w:tblStyleColBandSize w:val="1"/>
      <w:tblCellMar>
        <w:top w:w="0" w:type="dxa"/>
        <w:left w:w="115" w:type="dxa"/>
        <w:bottom w:w="0" w:type="dxa"/>
        <w:right w:w="115" w:type="dxa"/>
      </w:tblCellMar>
    </w:tblPr>
  </w:style>
  <w:style w:type="table" w:customStyle="1" w:styleId="18">
    <w:name w:val="18"/>
    <w:basedOn w:val="TableNormal5"/>
    <w:tblPr>
      <w:tblStyleRowBandSize w:val="1"/>
      <w:tblStyleColBandSize w:val="1"/>
      <w:tblCellMar>
        <w:top w:w="0" w:type="dxa"/>
        <w:left w:w="115" w:type="dxa"/>
        <w:bottom w:w="0" w:type="dxa"/>
        <w:right w:w="115" w:type="dxa"/>
      </w:tblCellMar>
    </w:tblPr>
  </w:style>
  <w:style w:type="table" w:customStyle="1" w:styleId="17">
    <w:name w:val="17"/>
    <w:basedOn w:val="TableNormal5"/>
    <w:tblPr>
      <w:tblStyleRowBandSize w:val="1"/>
      <w:tblStyleColBandSize w:val="1"/>
      <w:tblCellMar>
        <w:top w:w="0" w:type="dxa"/>
        <w:left w:w="115" w:type="dxa"/>
        <w:bottom w:w="0" w:type="dxa"/>
        <w:right w:w="115" w:type="dxa"/>
      </w:tblCellMar>
    </w:tblPr>
  </w:style>
  <w:style w:type="table" w:customStyle="1" w:styleId="16">
    <w:name w:val="16"/>
    <w:basedOn w:val="TableNormal6"/>
    <w:tblPr>
      <w:tblStyleRowBandSize w:val="1"/>
      <w:tblStyleColBandSize w:val="1"/>
      <w:tblCellMar>
        <w:top w:w="0" w:type="dxa"/>
        <w:left w:w="115" w:type="dxa"/>
        <w:bottom w:w="0" w:type="dxa"/>
        <w:right w:w="115" w:type="dxa"/>
      </w:tblCellMar>
    </w:tblPr>
  </w:style>
  <w:style w:type="table" w:customStyle="1" w:styleId="15">
    <w:name w:val="15"/>
    <w:basedOn w:val="TableNormal6"/>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24">
    <w:name w:val="24"/>
    <w:basedOn w:val="TableNormal9"/>
    <w:tblPr>
      <w:tblStyleRowBandSize w:val="1"/>
      <w:tblStyleColBandSize w:val="1"/>
      <w:tblCellMar>
        <w:top w:w="0" w:type="dxa"/>
        <w:left w:w="115" w:type="dxa"/>
        <w:bottom w:w="0" w:type="dxa"/>
        <w:right w:w="115" w:type="dxa"/>
      </w:tblCellMar>
    </w:tblPr>
  </w:style>
  <w:style w:type="table" w:customStyle="1" w:styleId="23">
    <w:name w:val="23"/>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top w:w="0" w:type="dxa"/>
        <w:left w:w="115" w:type="dxa"/>
        <w:bottom w:w="0" w:type="dxa"/>
        <w:right w:w="115" w:type="dxa"/>
      </w:tblCellMar>
    </w:tblPr>
  </w:style>
  <w:style w:type="table" w:customStyle="1" w:styleId="21">
    <w:name w:val="21"/>
    <w:basedOn w:val="TableNormal9"/>
    <w:tblPr>
      <w:tblStyleRowBandSize w:val="1"/>
      <w:tblStyleColBandSize w:val="1"/>
      <w:tblCellMar>
        <w:top w:w="0" w:type="dxa"/>
        <w:left w:w="115" w:type="dxa"/>
        <w:bottom w:w="0" w:type="dxa"/>
        <w:right w:w="115" w:type="dxa"/>
      </w:tblCellMar>
    </w:tblPr>
  </w:style>
  <w:style w:type="table" w:customStyle="1" w:styleId="a">
    <w:basedOn w:val="TableNormal4"/>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4"/>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paragraph" w:styleId="Saludo">
    <w:name w:val="Salutation"/>
    <w:basedOn w:val="Normal"/>
    <w:next w:val="Normal"/>
    <w:link w:val="SaludoCar"/>
    <w:uiPriority w:val="99"/>
    <w:unhideWhenUsed/>
    <w:rsid w:val="008332B2"/>
  </w:style>
  <w:style w:type="character" w:customStyle="1" w:styleId="SaludoCar">
    <w:name w:val="Saludo Car"/>
    <w:basedOn w:val="Fuentedeprrafopredeter"/>
    <w:link w:val="Saludo"/>
    <w:uiPriority w:val="99"/>
    <w:rsid w:val="008332B2"/>
  </w:style>
  <w:style w:type="paragraph" w:styleId="Listaconvietas2">
    <w:name w:val="List Bullet 2"/>
    <w:basedOn w:val="Normal"/>
    <w:uiPriority w:val="99"/>
    <w:unhideWhenUsed/>
    <w:rsid w:val="008332B2"/>
    <w:pPr>
      <w:numPr>
        <w:numId w:val="6"/>
      </w:numPr>
      <w:contextualSpacing/>
    </w:pPr>
  </w:style>
  <w:style w:type="paragraph" w:customStyle="1" w:styleId="Caracteresenmarcados">
    <w:name w:val="Caracteres enmarcados"/>
    <w:basedOn w:val="Normal"/>
    <w:rsid w:val="008332B2"/>
  </w:style>
  <w:style w:type="paragraph" w:customStyle="1" w:styleId="Citas">
    <w:name w:val="Citas"/>
    <w:basedOn w:val="Normal"/>
    <w:qFormat/>
    <w:rsid w:val="00F62237"/>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510542.page" TargetMode="External"/><Relationship Id="rId18" Type="http://schemas.openxmlformats.org/officeDocument/2006/relationships/hyperlink" Target="https://saimex.org.mx/saimex/solicitud/downloadAttach/1537654.page"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saimex.org.mx/saimex/solicitud/downloadAttach/1537656.pag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mex.org.mx/saimex/solicitud/downloadAttach/1510541.page" TargetMode="External"/><Relationship Id="rId17" Type="http://schemas.openxmlformats.org/officeDocument/2006/relationships/hyperlink" Target="https://saimex.org.mx/saimex/solicitud/downloadAttach/1537653.page" TargetMode="External"/><Relationship Id="rId25" Type="http://schemas.openxmlformats.org/officeDocument/2006/relationships/hyperlink" Target="https://saimex.org.mx/saimex/solicitud/downloadAttach/1537652.pag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aimex.org.mx/saimex/solicitud/downloadAttach/1537652.page" TargetMode="External"/><Relationship Id="rId20" Type="http://schemas.openxmlformats.org/officeDocument/2006/relationships/hyperlink" Target="https://saimex.org.mx/saimex/solicitud/downloadAttach/1537655.pag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10540.page" TargetMode="External"/><Relationship Id="rId24" Type="http://schemas.openxmlformats.org/officeDocument/2006/relationships/hyperlink" Target="https://saimex.org.mx/saimex/solicitud/downloadAttach/1537658.page"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aimex.org.mx/saimex/solicitud/downloadAttach/1537651.page" TargetMode="External"/><Relationship Id="rId23" Type="http://schemas.openxmlformats.org/officeDocument/2006/relationships/hyperlink" Target="https://saimex.org.mx/saimex/solicitud/downloadAttach/1537658.page" TargetMode="External"/><Relationship Id="rId28" Type="http://schemas.openxmlformats.org/officeDocument/2006/relationships/image" Target="media/image3.png"/><Relationship Id="rId10" Type="http://schemas.openxmlformats.org/officeDocument/2006/relationships/hyperlink" Target="https://saimex.org.mx/saimex/solicitud/downloadAttach/1510539.page" TargetMode="External"/><Relationship Id="rId19" Type="http://schemas.openxmlformats.org/officeDocument/2006/relationships/image" Target="media/image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510538.page" TargetMode="External"/><Relationship Id="rId14" Type="http://schemas.openxmlformats.org/officeDocument/2006/relationships/hyperlink" Target="https://saimex.org.mx/saimex/solicitud/downloadAttach/1537650.page" TargetMode="External"/><Relationship Id="rId22" Type="http://schemas.openxmlformats.org/officeDocument/2006/relationships/hyperlink" Target="https://saimex.org.mx/saimex/solicitud/downloadAttach/1537657.page" TargetMode="External"/><Relationship Id="rId27" Type="http://schemas.openxmlformats.org/officeDocument/2006/relationships/image" Target="media/image5.png"/><Relationship Id="rId30" Type="http://schemas.openxmlformats.org/officeDocument/2006/relationships/footer" Target="footer1.xml"/><Relationship Id="rId8" Type="http://schemas.openxmlformats.org/officeDocument/2006/relationships/hyperlink" Target="https://saimex.org.mx/saimex/solicitud/downloadAttach/1510537.pag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home.inai.org.mx/wp-content/documentos/DocumentosSectorPublico/_GuiaPrincipiosDeber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MylpY1CMK7NsfFi45foLgouSUw==">CgMxLjAyCGguZ2pkZ3hzMgloLjNkeTZ2a20yCWguMzBqMHpsbDIJaC4yczhleW8xMghoLnR5amN3dDIJaC4zem55c2g3MgloLjJldDkycDAyCWguMjZpbjFyZzIIaC5sbnhiejkyCWguMWZvYjl0ZTIJaC40ZDM0b2c4MgloLjM1bmt1bjIyCWguMWtzdjR1djIJaC4zcmRjcmpuMgloLjF0M2g1c2Y4AHIhMXlCaHhlV3VhWHRVRTlRaFIteVJ2OE5xUy1UQ3ZYY0FL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14254</Words>
  <Characters>78400</Characters>
  <Application>Microsoft Office Word</Application>
  <DocSecurity>0</DocSecurity>
  <Lines>653</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2023-06-23T19:52:00Z</cp:lastPrinted>
  <dcterms:created xsi:type="dcterms:W3CDTF">2023-06-29T16:25:00Z</dcterms:created>
  <dcterms:modified xsi:type="dcterms:W3CDTF">2023-06-29T16:25:00Z</dcterms:modified>
</cp:coreProperties>
</file>