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542" w:rsidRDefault="00F95542" w:rsidP="00876DBC">
      <w:pPr>
        <w:widowControl w:val="0"/>
        <w:pBdr>
          <w:top w:val="nil"/>
          <w:left w:val="nil"/>
          <w:bottom w:val="nil"/>
          <w:right w:val="nil"/>
          <w:between w:val="nil"/>
        </w:pBdr>
        <w:spacing w:line="276" w:lineRule="auto"/>
      </w:pPr>
    </w:p>
    <w:p w:rsidR="00F95542" w:rsidRDefault="00F95542" w:rsidP="00876DBC">
      <w:pPr>
        <w:widowControl w:val="0"/>
        <w:pBdr>
          <w:top w:val="nil"/>
          <w:left w:val="nil"/>
          <w:bottom w:val="nil"/>
          <w:right w:val="nil"/>
          <w:between w:val="nil"/>
        </w:pBdr>
        <w:spacing w:line="276" w:lineRule="auto"/>
      </w:pPr>
    </w:p>
    <w:p w:rsidR="00F95542" w:rsidRPr="00876DBC" w:rsidRDefault="00FB5225" w:rsidP="00876DBC">
      <w:pPr>
        <w:spacing w:line="360" w:lineRule="auto"/>
        <w:jc w:val="both"/>
        <w:rPr>
          <w:rFonts w:ascii="Palatino Linotype" w:eastAsia="Palatino Linotype" w:hAnsi="Palatino Linotype" w:cs="Palatino Linotype"/>
        </w:rPr>
      </w:pPr>
      <w:bookmarkStart w:id="0" w:name="_heading=h.gjdgxs" w:colFirst="0" w:colLast="0"/>
      <w:bookmarkEnd w:id="0"/>
      <w:r w:rsidRPr="00876DB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febrero de dos mil veintitrés.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b/>
          <w:sz w:val="28"/>
          <w:szCs w:val="28"/>
        </w:rPr>
        <w:t>VISTO</w:t>
      </w:r>
      <w:r w:rsidRPr="00876DBC">
        <w:rPr>
          <w:rFonts w:ascii="Palatino Linotype" w:eastAsia="Palatino Linotype" w:hAnsi="Palatino Linotype" w:cs="Palatino Linotype"/>
        </w:rPr>
        <w:t xml:space="preserve"> el expediente formado con motivo del Recurso de Revisión </w:t>
      </w:r>
      <w:r w:rsidRPr="00876DBC">
        <w:rPr>
          <w:rFonts w:ascii="Palatino Linotype" w:eastAsia="Palatino Linotype" w:hAnsi="Palatino Linotype" w:cs="Palatino Linotype"/>
          <w:b/>
        </w:rPr>
        <w:t xml:space="preserve">16352/INFOEM/IP/RR/2022, </w:t>
      </w:r>
      <w:r w:rsidRPr="00876DBC">
        <w:rPr>
          <w:rFonts w:ascii="Palatino Linotype" w:eastAsia="Palatino Linotype" w:hAnsi="Palatino Linotype" w:cs="Palatino Linotype"/>
        </w:rPr>
        <w:t xml:space="preserve">promovido por </w:t>
      </w:r>
      <w:bookmarkStart w:id="1" w:name="_GoBack"/>
      <w:r w:rsidR="006175F6">
        <w:rPr>
          <w:rFonts w:ascii="Palatino Linotype" w:eastAsia="Palatino Linotype" w:hAnsi="Palatino Linotype" w:cs="Palatino Linotype"/>
          <w:b/>
        </w:rPr>
        <w:t>XXXXX XXXXXXX XXXXX</w:t>
      </w:r>
      <w:bookmarkEnd w:id="1"/>
      <w:r w:rsidRPr="00876DBC">
        <w:rPr>
          <w:rFonts w:ascii="Palatino Linotype" w:eastAsia="Palatino Linotype" w:hAnsi="Palatino Linotype" w:cs="Palatino Linotype"/>
        </w:rPr>
        <w:t xml:space="preserve">, a quien en lo sucesivo se le denominara como </w:t>
      </w:r>
      <w:r w:rsidRPr="00876DBC">
        <w:rPr>
          <w:rFonts w:ascii="Palatino Linotype" w:eastAsia="Palatino Linotype" w:hAnsi="Palatino Linotype" w:cs="Palatino Linotype"/>
          <w:b/>
        </w:rPr>
        <w:t>EL RECURRENTE,</w:t>
      </w:r>
      <w:r w:rsidRPr="00876DBC">
        <w:rPr>
          <w:rFonts w:ascii="Palatino Linotype" w:eastAsia="Palatino Linotype" w:hAnsi="Palatino Linotype" w:cs="Palatino Linotype"/>
        </w:rPr>
        <w:t xml:space="preserve"> en contra de la respuesta del </w:t>
      </w:r>
      <w:r w:rsidRPr="00876DBC">
        <w:rPr>
          <w:rFonts w:ascii="Palatino Linotype" w:eastAsia="Palatino Linotype" w:hAnsi="Palatino Linotype" w:cs="Palatino Linotype"/>
          <w:b/>
        </w:rPr>
        <w:t xml:space="preserve">Organismo Público Descentralizado de Agua Potable Alcantarillado y Saneamiento de Chimalhuacán </w:t>
      </w:r>
      <w:r w:rsidRPr="00876DBC">
        <w:rPr>
          <w:rFonts w:ascii="Palatino Linotype" w:eastAsia="Palatino Linotype" w:hAnsi="Palatino Linotype" w:cs="Palatino Linotype"/>
        </w:rPr>
        <w:t xml:space="preserve">en lo subsecuente se le denominará </w:t>
      </w:r>
      <w:r w:rsidRPr="00876DBC">
        <w:rPr>
          <w:rFonts w:ascii="Palatino Linotype" w:eastAsia="Palatino Linotype" w:hAnsi="Palatino Linotype" w:cs="Palatino Linotype"/>
          <w:b/>
        </w:rPr>
        <w:t xml:space="preserve">EL SUJETO OBLIGADO, </w:t>
      </w:r>
      <w:r w:rsidRPr="00876DBC">
        <w:rPr>
          <w:rFonts w:ascii="Palatino Linotype" w:eastAsia="Palatino Linotype" w:hAnsi="Palatino Linotype" w:cs="Palatino Linotype"/>
        </w:rPr>
        <w:t>se procede a dictar la presente resolución con base en lo siguiente:</w:t>
      </w:r>
    </w:p>
    <w:p w:rsidR="00F95542" w:rsidRPr="00876DBC" w:rsidRDefault="00F95542" w:rsidP="00876DBC">
      <w:pPr>
        <w:spacing w:line="360" w:lineRule="auto"/>
        <w:jc w:val="both"/>
        <w:rPr>
          <w:rFonts w:ascii="Palatino Linotype" w:eastAsia="Palatino Linotype" w:hAnsi="Palatino Linotype" w:cs="Palatino Linotype"/>
          <w:b/>
        </w:rPr>
      </w:pPr>
    </w:p>
    <w:p w:rsidR="00F95542" w:rsidRPr="00876DBC" w:rsidRDefault="00FB5225" w:rsidP="00876DBC">
      <w:pPr>
        <w:jc w:val="center"/>
        <w:rPr>
          <w:rFonts w:ascii="Palatino Linotype" w:eastAsia="Palatino Linotype" w:hAnsi="Palatino Linotype" w:cs="Palatino Linotype"/>
          <w:b/>
          <w:sz w:val="28"/>
          <w:szCs w:val="28"/>
        </w:rPr>
      </w:pPr>
      <w:r w:rsidRPr="00876DBC">
        <w:rPr>
          <w:rFonts w:ascii="Palatino Linotype" w:eastAsia="Palatino Linotype" w:hAnsi="Palatino Linotype" w:cs="Palatino Linotype"/>
          <w:b/>
          <w:sz w:val="28"/>
          <w:szCs w:val="28"/>
        </w:rPr>
        <w:t>ANTECEDENTES</w:t>
      </w:r>
    </w:p>
    <w:p w:rsidR="00F95542" w:rsidRPr="00876DBC" w:rsidRDefault="00F95542" w:rsidP="00876DBC">
      <w:pPr>
        <w:rPr>
          <w:rFonts w:ascii="Palatino Linotype" w:eastAsia="Palatino Linotype" w:hAnsi="Palatino Linotype" w:cs="Palatino Linotype"/>
          <w:b/>
        </w:rPr>
      </w:pPr>
    </w:p>
    <w:p w:rsidR="00F95542" w:rsidRPr="00876DBC" w:rsidRDefault="00FB5225" w:rsidP="00876DBC">
      <w:pPr>
        <w:spacing w:line="360" w:lineRule="auto"/>
        <w:jc w:val="both"/>
        <w:rPr>
          <w:rFonts w:ascii="Palatino Linotype" w:eastAsia="Palatino Linotype" w:hAnsi="Palatino Linotype" w:cs="Palatino Linotype"/>
          <w:b/>
          <w:sz w:val="28"/>
          <w:szCs w:val="28"/>
        </w:rPr>
      </w:pPr>
      <w:r w:rsidRPr="00876DBC">
        <w:rPr>
          <w:rFonts w:ascii="Palatino Linotype" w:eastAsia="Palatino Linotype" w:hAnsi="Palatino Linotype" w:cs="Palatino Linotype"/>
          <w:b/>
          <w:sz w:val="28"/>
          <w:szCs w:val="28"/>
        </w:rPr>
        <w:t>I.</w:t>
      </w:r>
      <w:r w:rsidRPr="00876DBC">
        <w:rPr>
          <w:rFonts w:ascii="Palatino Linotype" w:eastAsia="Palatino Linotype" w:hAnsi="Palatino Linotype" w:cs="Palatino Linotype"/>
          <w:b/>
        </w:rPr>
        <w:t xml:space="preserve"> </w:t>
      </w:r>
      <w:r w:rsidRPr="00876DBC">
        <w:rPr>
          <w:rFonts w:ascii="Palatino Linotype" w:eastAsia="Palatino Linotype" w:hAnsi="Palatino Linotype" w:cs="Palatino Linotype"/>
          <w:b/>
          <w:sz w:val="28"/>
          <w:szCs w:val="28"/>
        </w:rPr>
        <w:t>De la Solicitud de Información</w:t>
      </w:r>
    </w:p>
    <w:p w:rsidR="00F95542" w:rsidRPr="00876DBC" w:rsidRDefault="00FB5225" w:rsidP="00876DBC">
      <w:pPr>
        <w:spacing w:line="360" w:lineRule="auto"/>
        <w:jc w:val="both"/>
        <w:rPr>
          <w:rFonts w:ascii="Palatino Linotype" w:eastAsia="Palatino Linotype" w:hAnsi="Palatino Linotype" w:cs="Palatino Linotype"/>
        </w:rPr>
      </w:pPr>
      <w:bookmarkStart w:id="2" w:name="_heading=h.ifuj3wtxm21l" w:colFirst="0" w:colLast="0"/>
      <w:bookmarkEnd w:id="2"/>
      <w:r w:rsidRPr="00876DBC">
        <w:rPr>
          <w:rFonts w:ascii="Palatino Linotype" w:eastAsia="Palatino Linotype" w:hAnsi="Palatino Linotype" w:cs="Palatino Linotype"/>
        </w:rPr>
        <w:t xml:space="preserve">El </w:t>
      </w:r>
      <w:r w:rsidRPr="00876DBC">
        <w:rPr>
          <w:rFonts w:ascii="Palatino Linotype" w:eastAsia="Palatino Linotype" w:hAnsi="Palatino Linotype" w:cs="Palatino Linotype"/>
          <w:b/>
        </w:rPr>
        <w:t>diecisiete de octubre de dos mil veintidós</w:t>
      </w:r>
      <w:r w:rsidRPr="00876DBC">
        <w:rPr>
          <w:rFonts w:ascii="Palatino Linotype" w:eastAsia="Palatino Linotype" w:hAnsi="Palatino Linotype" w:cs="Palatino Linotype"/>
        </w:rPr>
        <w:t xml:space="preserve">, </w:t>
      </w:r>
      <w:r w:rsidRPr="00876DBC">
        <w:rPr>
          <w:rFonts w:ascii="Palatino Linotype" w:eastAsia="Palatino Linotype" w:hAnsi="Palatino Linotype" w:cs="Palatino Linotype"/>
          <w:b/>
        </w:rPr>
        <w:t>EL RECURRENTE</w:t>
      </w:r>
      <w:r w:rsidRPr="00876DBC">
        <w:rPr>
          <w:rFonts w:ascii="Palatino Linotype" w:eastAsia="Palatino Linotype" w:hAnsi="Palatino Linotype" w:cs="Palatino Linotype"/>
        </w:rPr>
        <w:t xml:space="preserve"> presentó a través del Sistema de Acceso a la Información Mexiquense, en lo subsecuente </w:t>
      </w:r>
      <w:r w:rsidRPr="00876DBC">
        <w:rPr>
          <w:rFonts w:ascii="Palatino Linotype" w:eastAsia="Palatino Linotype" w:hAnsi="Palatino Linotype" w:cs="Palatino Linotype"/>
          <w:b/>
        </w:rPr>
        <w:t>EL SAIMEX</w:t>
      </w:r>
      <w:r w:rsidRPr="00876DBC">
        <w:rPr>
          <w:rFonts w:ascii="Palatino Linotype" w:eastAsia="Palatino Linotype" w:hAnsi="Palatino Linotype" w:cs="Palatino Linotype"/>
        </w:rPr>
        <w:t xml:space="preserve"> ante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la solicitud de acceso a la información pública, a la que se le asignó el número de expediente </w:t>
      </w:r>
      <w:r w:rsidRPr="00876DBC">
        <w:rPr>
          <w:rFonts w:ascii="Palatino Linotype" w:eastAsia="Palatino Linotype" w:hAnsi="Palatino Linotype" w:cs="Palatino Linotype"/>
          <w:b/>
        </w:rPr>
        <w:t xml:space="preserve">00090/OASCHIMAL/IP/2022 </w:t>
      </w:r>
      <w:r w:rsidRPr="00876DBC">
        <w:rPr>
          <w:rFonts w:ascii="Palatino Linotype" w:eastAsia="Palatino Linotype" w:hAnsi="Palatino Linotype" w:cs="Palatino Linotype"/>
        </w:rPr>
        <w:t>requirió, lo siguiente:</w:t>
      </w:r>
    </w:p>
    <w:p w:rsidR="00F95542" w:rsidRPr="00876DBC" w:rsidRDefault="00FB5225" w:rsidP="00876DBC">
      <w:pPr>
        <w:ind w:left="850"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lastRenderedPageBreak/>
        <w:t xml:space="preserve">“Que el ciudadano </w:t>
      </w:r>
      <w:proofErr w:type="spellStart"/>
      <w:r w:rsidRPr="00876DBC">
        <w:rPr>
          <w:rFonts w:ascii="Palatino Linotype" w:eastAsia="Palatino Linotype" w:hAnsi="Palatino Linotype" w:cs="Palatino Linotype"/>
          <w:i/>
          <w:sz w:val="22"/>
          <w:szCs w:val="22"/>
        </w:rPr>
        <w:t>misael</w:t>
      </w:r>
      <w:proofErr w:type="spellEnd"/>
      <w:r w:rsidRPr="00876DBC">
        <w:rPr>
          <w:rFonts w:ascii="Palatino Linotype" w:eastAsia="Palatino Linotype" w:hAnsi="Palatino Linotype" w:cs="Palatino Linotype"/>
          <w:i/>
          <w:sz w:val="22"/>
          <w:szCs w:val="22"/>
        </w:rPr>
        <w:t xml:space="preserve"> miguel pedro presente recibo de </w:t>
      </w:r>
      <w:proofErr w:type="spellStart"/>
      <w:r w:rsidRPr="00876DBC">
        <w:rPr>
          <w:rFonts w:ascii="Palatino Linotype" w:eastAsia="Palatino Linotype" w:hAnsi="Palatino Linotype" w:cs="Palatino Linotype"/>
          <w:i/>
          <w:sz w:val="22"/>
          <w:szCs w:val="22"/>
        </w:rPr>
        <w:t>nomina</w:t>
      </w:r>
      <w:proofErr w:type="spellEnd"/>
      <w:r w:rsidRPr="00876DBC">
        <w:rPr>
          <w:rFonts w:ascii="Palatino Linotype" w:eastAsia="Palatino Linotype" w:hAnsi="Palatino Linotype" w:cs="Palatino Linotype"/>
          <w:i/>
          <w:sz w:val="22"/>
          <w:szCs w:val="22"/>
        </w:rPr>
        <w:t xml:space="preserve"> con cargo y sueldo percibido </w:t>
      </w:r>
      <w:proofErr w:type="spellStart"/>
      <w:r w:rsidRPr="00876DBC">
        <w:rPr>
          <w:rFonts w:ascii="Palatino Linotype" w:eastAsia="Palatino Linotype" w:hAnsi="Palatino Linotype" w:cs="Palatino Linotype"/>
          <w:i/>
          <w:sz w:val="22"/>
          <w:szCs w:val="22"/>
        </w:rPr>
        <w:t>asi</w:t>
      </w:r>
      <w:proofErr w:type="spellEnd"/>
      <w:r w:rsidRPr="00876DBC">
        <w:rPr>
          <w:rFonts w:ascii="Palatino Linotype" w:eastAsia="Palatino Linotype" w:hAnsi="Palatino Linotype" w:cs="Palatino Linotype"/>
          <w:i/>
          <w:sz w:val="22"/>
          <w:szCs w:val="22"/>
        </w:rPr>
        <w:t xml:space="preserve"> como actividades asignadas, que presente su nombramiento como director de </w:t>
      </w:r>
      <w:proofErr w:type="spellStart"/>
      <w:r w:rsidRPr="00876DBC">
        <w:rPr>
          <w:rFonts w:ascii="Palatino Linotype" w:eastAsia="Palatino Linotype" w:hAnsi="Palatino Linotype" w:cs="Palatino Linotype"/>
          <w:i/>
          <w:sz w:val="22"/>
          <w:szCs w:val="22"/>
        </w:rPr>
        <w:t>operacion</w:t>
      </w:r>
      <w:proofErr w:type="spellEnd"/>
      <w:r w:rsidRPr="00876DBC">
        <w:rPr>
          <w:rFonts w:ascii="Palatino Linotype" w:eastAsia="Palatino Linotype" w:hAnsi="Palatino Linotype" w:cs="Palatino Linotype"/>
          <w:i/>
          <w:sz w:val="22"/>
          <w:szCs w:val="22"/>
        </w:rPr>
        <w:t xml:space="preserve"> y mantenimiento con el cual desempeña dicho cargo.” (</w:t>
      </w:r>
      <w:proofErr w:type="gramStart"/>
      <w:r w:rsidRPr="00876DBC">
        <w:rPr>
          <w:rFonts w:ascii="Palatino Linotype" w:eastAsia="Palatino Linotype" w:hAnsi="Palatino Linotype" w:cs="Palatino Linotype"/>
          <w:i/>
          <w:sz w:val="22"/>
          <w:szCs w:val="22"/>
        </w:rPr>
        <w:t>sic</w:t>
      </w:r>
      <w:proofErr w:type="gramEnd"/>
      <w:r w:rsidRPr="00876DBC">
        <w:rPr>
          <w:rFonts w:ascii="Palatino Linotype" w:eastAsia="Palatino Linotype" w:hAnsi="Palatino Linotype" w:cs="Palatino Linotype"/>
          <w:i/>
          <w:sz w:val="22"/>
          <w:szCs w:val="22"/>
        </w:rPr>
        <w:t>)</w:t>
      </w:r>
    </w:p>
    <w:p w:rsidR="00F95542" w:rsidRPr="00876DBC" w:rsidRDefault="00F95542" w:rsidP="00876DBC">
      <w:pPr>
        <w:tabs>
          <w:tab w:val="left" w:pos="851"/>
        </w:tabs>
        <w:ind w:right="901"/>
        <w:jc w:val="both"/>
        <w:rPr>
          <w:rFonts w:ascii="Palatino Linotype" w:eastAsia="Palatino Linotype" w:hAnsi="Palatino Linotype" w:cs="Palatino Linotype"/>
          <w:sz w:val="22"/>
          <w:szCs w:val="22"/>
        </w:rPr>
      </w:pPr>
    </w:p>
    <w:p w:rsidR="00F95542" w:rsidRPr="00876DBC" w:rsidRDefault="00FB5225" w:rsidP="00876DBC">
      <w:pPr>
        <w:widowControl w:val="0"/>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b/>
        </w:rPr>
        <w:t xml:space="preserve">MODALIDAD DE ENTREGA: </w:t>
      </w:r>
      <w:r w:rsidRPr="00876DBC">
        <w:rPr>
          <w:rFonts w:ascii="Palatino Linotype" w:eastAsia="Palatino Linotype" w:hAnsi="Palatino Linotype" w:cs="Palatino Linotype"/>
        </w:rPr>
        <w:t xml:space="preserve">vía </w:t>
      </w:r>
      <w:r w:rsidRPr="00876DBC">
        <w:rPr>
          <w:rFonts w:ascii="Palatino Linotype" w:eastAsia="Palatino Linotype" w:hAnsi="Palatino Linotype" w:cs="Palatino Linotype"/>
          <w:b/>
        </w:rPr>
        <w:t xml:space="preserve">SAIMEX </w:t>
      </w:r>
    </w:p>
    <w:p w:rsidR="00F95542" w:rsidRPr="00876DBC" w:rsidRDefault="00F95542" w:rsidP="00876DBC">
      <w:pPr>
        <w:widowControl w:val="0"/>
        <w:spacing w:line="360" w:lineRule="auto"/>
        <w:jc w:val="both"/>
        <w:rPr>
          <w:rFonts w:ascii="Palatino Linotype" w:eastAsia="Palatino Linotype" w:hAnsi="Palatino Linotype" w:cs="Palatino Linotype"/>
          <w:b/>
        </w:rPr>
      </w:pPr>
    </w:p>
    <w:p w:rsidR="00F95542" w:rsidRPr="00876DBC" w:rsidRDefault="00FB5225" w:rsidP="00876DBC">
      <w:pPr>
        <w:widowControl w:val="0"/>
        <w:spacing w:line="360" w:lineRule="auto"/>
        <w:jc w:val="both"/>
        <w:rPr>
          <w:rFonts w:ascii="Palatino Linotype" w:eastAsia="Palatino Linotype" w:hAnsi="Palatino Linotype" w:cs="Palatino Linotype"/>
          <w:b/>
          <w:sz w:val="28"/>
          <w:szCs w:val="28"/>
        </w:rPr>
      </w:pPr>
      <w:r w:rsidRPr="00876DBC">
        <w:rPr>
          <w:rFonts w:ascii="Palatino Linotype" w:eastAsia="Palatino Linotype" w:hAnsi="Palatino Linotype" w:cs="Palatino Linotype"/>
          <w:b/>
          <w:sz w:val="28"/>
          <w:szCs w:val="28"/>
        </w:rPr>
        <w:t>II. Turno de requerimiento del Sujeto Obligado</w:t>
      </w: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De las constancias que obran en los expedientes electrónicos del SAIMEX se </w:t>
      </w:r>
      <w:r w:rsidR="00563248" w:rsidRPr="00876DBC">
        <w:rPr>
          <w:rFonts w:ascii="Palatino Linotype" w:eastAsia="Palatino Linotype" w:hAnsi="Palatino Linotype" w:cs="Palatino Linotype"/>
        </w:rPr>
        <w:t>advierte el</w:t>
      </w:r>
      <w:r w:rsidRPr="00876DBC">
        <w:rPr>
          <w:rFonts w:ascii="Palatino Linotype" w:eastAsia="Palatino Linotype" w:hAnsi="Palatino Linotype" w:cs="Palatino Linotype"/>
        </w:rPr>
        <w:t xml:space="preserve"> diecinueve de octubre de dos mil veintidós el turno de requerimiento realizado por parte del Titular de la Unidad de Transparencia, al servidor público habilitado que estimó competente, en términos de lo establecido por el artículo 162 de la Ley de Transparencia y Acceso a la Información Pública del Estado de México y Municipios.</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b/>
          <w:sz w:val="28"/>
          <w:szCs w:val="28"/>
        </w:rPr>
      </w:pPr>
      <w:r w:rsidRPr="00876DBC">
        <w:rPr>
          <w:rFonts w:ascii="Palatino Linotype" w:eastAsia="Palatino Linotype" w:hAnsi="Palatino Linotype" w:cs="Palatino Linotype"/>
          <w:b/>
          <w:sz w:val="28"/>
          <w:szCs w:val="28"/>
        </w:rPr>
        <w:t>III. Respuesta del Sujeto Obligado</w:t>
      </w: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De las constancias que obran en el expediente electrónico del SAIMEX se observa que el</w:t>
      </w:r>
      <w:r w:rsidRPr="00876DBC">
        <w:rPr>
          <w:rFonts w:ascii="Palatino Linotype" w:eastAsia="Palatino Linotype" w:hAnsi="Palatino Linotype" w:cs="Palatino Linotype"/>
          <w:b/>
        </w:rPr>
        <w:t xml:space="preserve"> ocho de noviembre de dos mil veintidós</w:t>
      </w:r>
      <w:r w:rsidRPr="00876DBC">
        <w:rPr>
          <w:rFonts w:ascii="Palatino Linotype" w:eastAsia="Palatino Linotype" w:hAnsi="Palatino Linotype" w:cs="Palatino Linotype"/>
        </w:rPr>
        <w:t xml:space="preserve">,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dio respuesta en los términos siguientes: </w:t>
      </w:r>
    </w:p>
    <w:p w:rsidR="00F95542" w:rsidRPr="00876DBC" w:rsidRDefault="00FB5225" w:rsidP="00876DBC">
      <w:pPr>
        <w:ind w:left="850"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95542" w:rsidRPr="00876DBC" w:rsidRDefault="00FB5225" w:rsidP="00876DBC">
      <w:pPr>
        <w:ind w:left="850"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Atentamente Unidad de Transparencia” (Sic)</w:t>
      </w:r>
    </w:p>
    <w:p w:rsidR="00F95542" w:rsidRPr="00876DBC" w:rsidRDefault="00F95542" w:rsidP="00876DBC">
      <w:pPr>
        <w:ind w:right="899"/>
        <w:jc w:val="both"/>
        <w:rPr>
          <w:rFonts w:ascii="Palatino Linotype" w:eastAsia="Palatino Linotype" w:hAnsi="Palatino Linotype" w:cs="Palatino Linotype"/>
          <w:i/>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lastRenderedPageBreak/>
        <w:t xml:space="preserve">Adjuntando a su respuesta tres archivos, el primero denominado </w:t>
      </w:r>
      <w:r w:rsidRPr="00876DBC">
        <w:rPr>
          <w:rFonts w:ascii="Palatino Linotype" w:eastAsia="Palatino Linotype" w:hAnsi="Palatino Linotype" w:cs="Palatino Linotype"/>
          <w:b/>
          <w:i/>
        </w:rPr>
        <w:t xml:space="preserve">3.- RESPUESTA A LA SOLICITUD NOTIFICADA 90.pdf </w:t>
      </w:r>
      <w:r w:rsidRPr="00876DBC">
        <w:rPr>
          <w:rFonts w:ascii="Palatino Linotype" w:eastAsia="Palatino Linotype" w:hAnsi="Palatino Linotype" w:cs="Palatino Linotype"/>
        </w:rPr>
        <w:t xml:space="preserve">del cual se observa que del Titular de la Unidad de Transparencia refirió anexar lo solicitado.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El segundo archivo de nombre </w:t>
      </w:r>
      <w:r w:rsidRPr="00876DBC">
        <w:rPr>
          <w:rFonts w:ascii="Palatino Linotype" w:eastAsia="Palatino Linotype" w:hAnsi="Palatino Linotype" w:cs="Palatino Linotype"/>
          <w:b/>
          <w:i/>
        </w:rPr>
        <w:t xml:space="preserve">3.- RECIBO Y FUNCIONES 90.pdf </w:t>
      </w:r>
      <w:r w:rsidRPr="00876DBC">
        <w:rPr>
          <w:rFonts w:ascii="Palatino Linotype" w:eastAsia="Palatino Linotype" w:hAnsi="Palatino Linotype" w:cs="Palatino Linotype"/>
        </w:rPr>
        <w:t xml:space="preserve"> del cual se advierte la respuesta de la Titular del </w:t>
      </w:r>
      <w:r w:rsidR="00563248" w:rsidRPr="00876DBC">
        <w:rPr>
          <w:rFonts w:ascii="Palatino Linotype" w:eastAsia="Palatino Linotype" w:hAnsi="Palatino Linotype" w:cs="Palatino Linotype"/>
        </w:rPr>
        <w:t>Departamento</w:t>
      </w:r>
      <w:r w:rsidRPr="00876DBC">
        <w:rPr>
          <w:rFonts w:ascii="Palatino Linotype" w:eastAsia="Palatino Linotype" w:hAnsi="Palatino Linotype" w:cs="Palatino Linotype"/>
        </w:rPr>
        <w:t xml:space="preserve"> de Recursos Humanos mediante la cual refiere adjuntar la información requerida y señalando con motivo del nombramiento que no cuenta con dicho documento.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563248"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Además,</w:t>
      </w:r>
      <w:r w:rsidR="00FB5225" w:rsidRPr="00876DBC">
        <w:rPr>
          <w:rFonts w:ascii="Palatino Linotype" w:eastAsia="Palatino Linotype" w:hAnsi="Palatino Linotype" w:cs="Palatino Linotype"/>
        </w:rPr>
        <w:t xml:space="preserve"> se observa un recibo de nómina del Director de </w:t>
      </w:r>
      <w:r w:rsidRPr="00876DBC">
        <w:rPr>
          <w:rFonts w:ascii="Palatino Linotype" w:eastAsia="Palatino Linotype" w:hAnsi="Palatino Linotype" w:cs="Palatino Linotype"/>
        </w:rPr>
        <w:t>Construcción</w:t>
      </w:r>
      <w:r w:rsidR="00FB5225" w:rsidRPr="00876DBC">
        <w:rPr>
          <w:rFonts w:ascii="Palatino Linotype" w:eastAsia="Palatino Linotype" w:hAnsi="Palatino Linotype" w:cs="Palatino Linotype"/>
        </w:rPr>
        <w:t xml:space="preserve">, Operación y Mantenimiento y una hoja con el listado de funciones que desempeña la Dirección de Construcción, Operación y Mantenimiento.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El tercer y último archivo, es el denominado</w:t>
      </w:r>
      <w:r w:rsidRPr="00876DBC">
        <w:rPr>
          <w:rFonts w:ascii="Palatino Linotype" w:eastAsia="Palatino Linotype" w:hAnsi="Palatino Linotype" w:cs="Palatino Linotype"/>
          <w:b/>
          <w:i/>
        </w:rPr>
        <w:t xml:space="preserve"> 3.- ACUERDO DE COMITE 90.pdf </w:t>
      </w:r>
      <w:r w:rsidRPr="00876DBC">
        <w:rPr>
          <w:rFonts w:ascii="Palatino Linotype" w:eastAsia="Palatino Linotype" w:hAnsi="Palatino Linotype" w:cs="Palatino Linotype"/>
        </w:rPr>
        <w:t xml:space="preserve">del que se observa un fragmento del Acuerdo del Comité de Transparencia mediante el cual se aprobó la versión pública del Recibo de nómina.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b/>
          <w:sz w:val="28"/>
          <w:szCs w:val="28"/>
        </w:rPr>
        <w:t>IV. Del Recurso de Revisión</w:t>
      </w:r>
      <w:r w:rsidRPr="00876DBC">
        <w:rPr>
          <w:rFonts w:ascii="Palatino Linotype" w:eastAsia="Palatino Linotype" w:hAnsi="Palatino Linotype" w:cs="Palatino Linotype"/>
          <w:b/>
        </w:rPr>
        <w:t>.</w:t>
      </w:r>
    </w:p>
    <w:p w:rsidR="00F95542" w:rsidRPr="00876DBC" w:rsidRDefault="00FB5225" w:rsidP="00876DBC">
      <w:pPr>
        <w:widowControl w:val="0"/>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Inconforme con la respuesta del</w:t>
      </w:r>
      <w:r w:rsidRPr="00876DBC">
        <w:rPr>
          <w:rFonts w:ascii="Palatino Linotype" w:eastAsia="Palatino Linotype" w:hAnsi="Palatino Linotype" w:cs="Palatino Linotype"/>
          <w:b/>
        </w:rPr>
        <w:t xml:space="preserve"> SUJETO OBLIGADO</w:t>
      </w:r>
      <w:r w:rsidRPr="00876DBC">
        <w:rPr>
          <w:rFonts w:ascii="Palatino Linotype" w:eastAsia="Palatino Linotype" w:hAnsi="Palatino Linotype" w:cs="Palatino Linotype"/>
        </w:rPr>
        <w:t xml:space="preserve">, el nueve de noviembre de dos mil veintidós, </w:t>
      </w:r>
      <w:r w:rsidRPr="00876DBC">
        <w:rPr>
          <w:rFonts w:ascii="Palatino Linotype" w:eastAsia="Palatino Linotype" w:hAnsi="Palatino Linotype" w:cs="Palatino Linotype"/>
          <w:b/>
        </w:rPr>
        <w:t>EL RECURRENTE</w:t>
      </w:r>
      <w:r w:rsidRPr="00876DBC">
        <w:rPr>
          <w:rFonts w:ascii="Palatino Linotype" w:eastAsia="Palatino Linotype" w:hAnsi="Palatino Linotype" w:cs="Palatino Linotype"/>
        </w:rPr>
        <w:t xml:space="preserve"> interpuso el Recurso de Revisión, que fue registrado </w:t>
      </w:r>
      <w:r w:rsidRPr="00876DBC">
        <w:rPr>
          <w:rFonts w:ascii="Palatino Linotype" w:eastAsia="Palatino Linotype" w:hAnsi="Palatino Linotype" w:cs="Palatino Linotype"/>
        </w:rPr>
        <w:lastRenderedPageBreak/>
        <w:t xml:space="preserve">en </w:t>
      </w:r>
      <w:r w:rsidRPr="00876DBC">
        <w:rPr>
          <w:rFonts w:ascii="Palatino Linotype" w:eastAsia="Palatino Linotype" w:hAnsi="Palatino Linotype" w:cs="Palatino Linotype"/>
          <w:b/>
        </w:rPr>
        <w:t>EL SAIMEX</w:t>
      </w:r>
      <w:r w:rsidRPr="00876DBC">
        <w:rPr>
          <w:rFonts w:ascii="Palatino Linotype" w:eastAsia="Palatino Linotype" w:hAnsi="Palatino Linotype" w:cs="Palatino Linotype"/>
        </w:rPr>
        <w:t xml:space="preserve"> y se le asignó el número de expediente </w:t>
      </w:r>
      <w:r w:rsidRPr="00876DBC">
        <w:rPr>
          <w:rFonts w:ascii="Palatino Linotype" w:eastAsia="Palatino Linotype" w:hAnsi="Palatino Linotype" w:cs="Palatino Linotype"/>
          <w:b/>
        </w:rPr>
        <w:t xml:space="preserve">16352/INFOEM/IP/RR/2022, </w:t>
      </w:r>
      <w:r w:rsidRPr="00876DBC">
        <w:rPr>
          <w:rFonts w:ascii="Palatino Linotype" w:eastAsia="Palatino Linotype" w:hAnsi="Palatino Linotype" w:cs="Palatino Linotype"/>
        </w:rPr>
        <w:t>donde los motivos de agravio del</w:t>
      </w:r>
      <w:r w:rsidRPr="00876DBC">
        <w:rPr>
          <w:rFonts w:ascii="Palatino Linotype" w:eastAsia="Palatino Linotype" w:hAnsi="Palatino Linotype" w:cs="Palatino Linotype"/>
          <w:b/>
        </w:rPr>
        <w:t xml:space="preserve"> RECURRENTE </w:t>
      </w:r>
      <w:r w:rsidRPr="00876DBC">
        <w:rPr>
          <w:rFonts w:ascii="Palatino Linotype" w:eastAsia="Palatino Linotype" w:hAnsi="Palatino Linotype" w:cs="Palatino Linotype"/>
        </w:rPr>
        <w:t>fueron los siguientes:</w:t>
      </w:r>
    </w:p>
    <w:p w:rsidR="00F95542" w:rsidRPr="00876DBC" w:rsidRDefault="00F95542" w:rsidP="00876DBC">
      <w:pPr>
        <w:widowControl w:val="0"/>
        <w:spacing w:line="360" w:lineRule="auto"/>
        <w:jc w:val="both"/>
        <w:rPr>
          <w:rFonts w:ascii="Palatino Linotype" w:eastAsia="Palatino Linotype" w:hAnsi="Palatino Linotype" w:cs="Palatino Linotype"/>
        </w:rPr>
      </w:pPr>
    </w:p>
    <w:p w:rsidR="00F95542" w:rsidRPr="00876DBC" w:rsidRDefault="00FB5225" w:rsidP="00876DBC">
      <w:pPr>
        <w:spacing w:line="360" w:lineRule="auto"/>
        <w:ind w:left="-57" w:right="-57"/>
        <w:jc w:val="both"/>
        <w:rPr>
          <w:rFonts w:ascii="Palatino Linotype" w:eastAsia="Palatino Linotype" w:hAnsi="Palatino Linotype" w:cs="Palatino Linotype"/>
          <w:b/>
          <w:u w:val="single"/>
        </w:rPr>
      </w:pPr>
      <w:r w:rsidRPr="00876DBC">
        <w:rPr>
          <w:rFonts w:ascii="Palatino Linotype" w:eastAsia="Palatino Linotype" w:hAnsi="Palatino Linotype" w:cs="Palatino Linotype"/>
          <w:b/>
          <w:u w:val="single"/>
        </w:rPr>
        <w:t>Acto Impugnado:</w:t>
      </w:r>
      <w:r w:rsidRPr="00876DBC">
        <w:rPr>
          <w:b/>
          <w:u w:val="single"/>
        </w:rPr>
        <w:t xml:space="preserve"> </w:t>
      </w:r>
    </w:p>
    <w:p w:rsidR="00F95542" w:rsidRPr="00876DBC" w:rsidRDefault="00FB5225" w:rsidP="00876DBC">
      <w:pPr>
        <w:tabs>
          <w:tab w:val="left" w:pos="709"/>
        </w:tabs>
        <w:spacing w:before="66"/>
        <w:ind w:left="850"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 xml:space="preserve">“que no fue entregada la </w:t>
      </w:r>
      <w:proofErr w:type="spellStart"/>
      <w:r w:rsidRPr="00876DBC">
        <w:rPr>
          <w:rFonts w:ascii="Palatino Linotype" w:eastAsia="Palatino Linotype" w:hAnsi="Palatino Linotype" w:cs="Palatino Linotype"/>
          <w:i/>
          <w:sz w:val="22"/>
          <w:szCs w:val="22"/>
        </w:rPr>
        <w:t>informacion</w:t>
      </w:r>
      <w:proofErr w:type="spellEnd"/>
      <w:r w:rsidRPr="00876DBC">
        <w:rPr>
          <w:rFonts w:ascii="Palatino Linotype" w:eastAsia="Palatino Linotype" w:hAnsi="Palatino Linotype" w:cs="Palatino Linotype"/>
          <w:i/>
          <w:sz w:val="22"/>
          <w:szCs w:val="22"/>
        </w:rPr>
        <w:t xml:space="preserve"> completa que se </w:t>
      </w:r>
      <w:proofErr w:type="spellStart"/>
      <w:r w:rsidRPr="00876DBC">
        <w:rPr>
          <w:rFonts w:ascii="Palatino Linotype" w:eastAsia="Palatino Linotype" w:hAnsi="Palatino Linotype" w:cs="Palatino Linotype"/>
          <w:i/>
          <w:sz w:val="22"/>
          <w:szCs w:val="22"/>
        </w:rPr>
        <w:t>solicito</w:t>
      </w:r>
      <w:proofErr w:type="spellEnd"/>
      <w:r w:rsidRPr="00876DBC">
        <w:rPr>
          <w:rFonts w:ascii="Palatino Linotype" w:eastAsia="Palatino Linotype" w:hAnsi="Palatino Linotype" w:cs="Palatino Linotype"/>
          <w:i/>
          <w:sz w:val="22"/>
          <w:szCs w:val="22"/>
        </w:rPr>
        <w:t xml:space="preserve">, que consiste en el nombramiento con el cual el ciudadano </w:t>
      </w:r>
      <w:proofErr w:type="spellStart"/>
      <w:r w:rsidRPr="00876DBC">
        <w:rPr>
          <w:rFonts w:ascii="Palatino Linotype" w:eastAsia="Palatino Linotype" w:hAnsi="Palatino Linotype" w:cs="Palatino Linotype"/>
          <w:i/>
          <w:sz w:val="22"/>
          <w:szCs w:val="22"/>
        </w:rPr>
        <w:t>misael</w:t>
      </w:r>
      <w:proofErr w:type="spellEnd"/>
      <w:r w:rsidRPr="00876DBC">
        <w:rPr>
          <w:rFonts w:ascii="Palatino Linotype" w:eastAsia="Palatino Linotype" w:hAnsi="Palatino Linotype" w:cs="Palatino Linotype"/>
          <w:i/>
          <w:sz w:val="22"/>
          <w:szCs w:val="22"/>
        </w:rPr>
        <w:t xml:space="preserve"> miguel pedro se ostenta como director de </w:t>
      </w:r>
      <w:proofErr w:type="spellStart"/>
      <w:r w:rsidRPr="00876DBC">
        <w:rPr>
          <w:rFonts w:ascii="Palatino Linotype" w:eastAsia="Palatino Linotype" w:hAnsi="Palatino Linotype" w:cs="Palatino Linotype"/>
          <w:i/>
          <w:sz w:val="22"/>
          <w:szCs w:val="22"/>
        </w:rPr>
        <w:t>construccion</w:t>
      </w:r>
      <w:proofErr w:type="spellEnd"/>
      <w:r w:rsidRPr="00876DBC">
        <w:rPr>
          <w:rFonts w:ascii="Palatino Linotype" w:eastAsia="Palatino Linotype" w:hAnsi="Palatino Linotype" w:cs="Palatino Linotype"/>
          <w:i/>
          <w:sz w:val="22"/>
          <w:szCs w:val="22"/>
        </w:rPr>
        <w:t xml:space="preserve"> </w:t>
      </w:r>
      <w:proofErr w:type="spellStart"/>
      <w:r w:rsidRPr="00876DBC">
        <w:rPr>
          <w:rFonts w:ascii="Palatino Linotype" w:eastAsia="Palatino Linotype" w:hAnsi="Palatino Linotype" w:cs="Palatino Linotype"/>
          <w:i/>
          <w:sz w:val="22"/>
          <w:szCs w:val="22"/>
        </w:rPr>
        <w:t>operacion</w:t>
      </w:r>
      <w:proofErr w:type="spellEnd"/>
      <w:r w:rsidRPr="00876DBC">
        <w:rPr>
          <w:rFonts w:ascii="Palatino Linotype" w:eastAsia="Palatino Linotype" w:hAnsi="Palatino Linotype" w:cs="Palatino Linotype"/>
          <w:i/>
          <w:sz w:val="22"/>
          <w:szCs w:val="22"/>
        </w:rPr>
        <w:t xml:space="preserve"> y mantenimiento de </w:t>
      </w:r>
      <w:proofErr w:type="spellStart"/>
      <w:r w:rsidRPr="00876DBC">
        <w:rPr>
          <w:rFonts w:ascii="Palatino Linotype" w:eastAsia="Palatino Linotype" w:hAnsi="Palatino Linotype" w:cs="Palatino Linotype"/>
          <w:i/>
          <w:sz w:val="22"/>
          <w:szCs w:val="22"/>
        </w:rPr>
        <w:t>odapas</w:t>
      </w:r>
      <w:proofErr w:type="spellEnd"/>
      <w:r w:rsidRPr="00876DBC">
        <w:rPr>
          <w:rFonts w:ascii="Palatino Linotype" w:eastAsia="Palatino Linotype" w:hAnsi="Palatino Linotype" w:cs="Palatino Linotype"/>
          <w:i/>
          <w:sz w:val="22"/>
          <w:szCs w:val="22"/>
        </w:rPr>
        <w:t xml:space="preserve"> </w:t>
      </w:r>
      <w:proofErr w:type="spellStart"/>
      <w:r w:rsidRPr="00876DBC">
        <w:rPr>
          <w:rFonts w:ascii="Palatino Linotype" w:eastAsia="Palatino Linotype" w:hAnsi="Palatino Linotype" w:cs="Palatino Linotype"/>
          <w:i/>
          <w:sz w:val="22"/>
          <w:szCs w:val="22"/>
        </w:rPr>
        <w:t>chimalhuacan</w:t>
      </w:r>
      <w:proofErr w:type="spellEnd"/>
      <w:r w:rsidRPr="00876DBC">
        <w:rPr>
          <w:rFonts w:ascii="Palatino Linotype" w:eastAsia="Palatino Linotype" w:hAnsi="Palatino Linotype" w:cs="Palatino Linotype"/>
          <w:i/>
          <w:sz w:val="22"/>
          <w:szCs w:val="22"/>
        </w:rPr>
        <w:t>, toda vez que menciona que no cuenta con dicho documento , entonces que explique bajo que fundamento o base legal desempeña dicho cargo</w:t>
      </w:r>
    </w:p>
    <w:p w:rsidR="00F95542" w:rsidRPr="00876DBC" w:rsidRDefault="00FB5225" w:rsidP="00876DBC">
      <w:pPr>
        <w:tabs>
          <w:tab w:val="left" w:pos="709"/>
        </w:tabs>
        <w:spacing w:before="66"/>
        <w:ind w:left="850"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 (Sic)</w:t>
      </w:r>
    </w:p>
    <w:p w:rsidR="00F95542" w:rsidRPr="00876DBC" w:rsidRDefault="00F95542" w:rsidP="00876DBC">
      <w:pPr>
        <w:ind w:right="899"/>
        <w:jc w:val="both"/>
        <w:rPr>
          <w:rFonts w:ascii="Palatino Linotype" w:eastAsia="Palatino Linotype" w:hAnsi="Palatino Linotype" w:cs="Palatino Linotype"/>
        </w:rPr>
      </w:pPr>
    </w:p>
    <w:p w:rsidR="00F95542" w:rsidRPr="00876DBC" w:rsidRDefault="00FB5225" w:rsidP="00876DBC">
      <w:pPr>
        <w:spacing w:line="360" w:lineRule="auto"/>
        <w:ind w:right="49"/>
        <w:jc w:val="both"/>
        <w:rPr>
          <w:rFonts w:ascii="Palatino Linotype" w:eastAsia="Palatino Linotype" w:hAnsi="Palatino Linotype" w:cs="Palatino Linotype"/>
          <w:b/>
          <w:u w:val="single"/>
        </w:rPr>
      </w:pPr>
      <w:r w:rsidRPr="00876DBC">
        <w:rPr>
          <w:rFonts w:ascii="Palatino Linotype" w:eastAsia="Palatino Linotype" w:hAnsi="Palatino Linotype" w:cs="Palatino Linotype"/>
          <w:b/>
          <w:u w:val="single"/>
        </w:rPr>
        <w:t>Razones o motivos de inconformidad:</w:t>
      </w:r>
    </w:p>
    <w:p w:rsidR="00F95542" w:rsidRPr="00876DBC" w:rsidRDefault="00FB5225" w:rsidP="00876DBC">
      <w:pPr>
        <w:tabs>
          <w:tab w:val="left" w:pos="709"/>
        </w:tabs>
        <w:spacing w:before="66"/>
        <w:ind w:left="850" w:right="899"/>
        <w:jc w:val="both"/>
        <w:rPr>
          <w:rFonts w:ascii="Palatino Linotype" w:eastAsia="Palatino Linotype" w:hAnsi="Palatino Linotype" w:cs="Palatino Linotype"/>
        </w:rPr>
      </w:pPr>
      <w:r w:rsidRPr="00876DBC">
        <w:rPr>
          <w:rFonts w:ascii="Palatino Linotype" w:eastAsia="Palatino Linotype" w:hAnsi="Palatino Linotype" w:cs="Palatino Linotype"/>
          <w:i/>
          <w:sz w:val="22"/>
          <w:szCs w:val="22"/>
        </w:rPr>
        <w:t>“que el organismo tiene titulares en las direcciones sin los nombramientos legales respectivos desempeñando cargos ilegalmente.” (Sic)</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b/>
          <w:sz w:val="28"/>
          <w:szCs w:val="28"/>
        </w:rPr>
      </w:pPr>
      <w:r w:rsidRPr="00876DBC">
        <w:rPr>
          <w:rFonts w:ascii="Palatino Linotype" w:eastAsia="Palatino Linotype" w:hAnsi="Palatino Linotype" w:cs="Palatino Linotype"/>
          <w:b/>
          <w:sz w:val="28"/>
          <w:szCs w:val="28"/>
        </w:rPr>
        <w:t xml:space="preserve">V. Del turno del Recurso de Revisión. </w:t>
      </w: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El </w:t>
      </w:r>
      <w:r w:rsidRPr="00876DBC">
        <w:rPr>
          <w:rFonts w:ascii="Palatino Linotype" w:eastAsia="Palatino Linotype" w:hAnsi="Palatino Linotype" w:cs="Palatino Linotype"/>
          <w:b/>
        </w:rPr>
        <w:t>nueve de noviembre de dos mil veintidós</w:t>
      </w:r>
      <w:r w:rsidRPr="00876DBC">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876DBC">
        <w:rPr>
          <w:rFonts w:ascii="Palatino Linotype" w:eastAsia="Palatino Linotype" w:hAnsi="Palatino Linotype" w:cs="Palatino Linotype"/>
          <w:b/>
        </w:rPr>
        <w:t>Comisionada Sharon Cristina Morales Martínez</w:t>
      </w:r>
      <w:r w:rsidRPr="00876DBC">
        <w:rPr>
          <w:rFonts w:ascii="Palatino Linotype" w:eastAsia="Palatino Linotype" w:hAnsi="Palatino Linotype" w:cs="Palatino Linotype"/>
        </w:rPr>
        <w:t xml:space="preserve">; a efecto de decretar su admisión o </w:t>
      </w:r>
      <w:proofErr w:type="spellStart"/>
      <w:r w:rsidRPr="00876DBC">
        <w:rPr>
          <w:rFonts w:ascii="Palatino Linotype" w:eastAsia="Palatino Linotype" w:hAnsi="Palatino Linotype" w:cs="Palatino Linotype"/>
        </w:rPr>
        <w:t>desechamiento</w:t>
      </w:r>
      <w:proofErr w:type="spellEnd"/>
      <w:r w:rsidRPr="00876DBC">
        <w:rPr>
          <w:rFonts w:ascii="Palatino Linotype" w:eastAsia="Palatino Linotype" w:hAnsi="Palatino Linotype" w:cs="Palatino Linotype"/>
        </w:rPr>
        <w:t>.</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tabs>
          <w:tab w:val="center" w:pos="4252"/>
          <w:tab w:val="right" w:pos="8504"/>
        </w:tabs>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b/>
        </w:rPr>
        <w:t>a) Admisión del Recurso de Revisión</w:t>
      </w:r>
    </w:p>
    <w:p w:rsidR="00F95542" w:rsidRPr="00876DBC" w:rsidRDefault="00FB5225" w:rsidP="00876DBC">
      <w:pPr>
        <w:tabs>
          <w:tab w:val="center" w:pos="4252"/>
          <w:tab w:val="right" w:pos="8504"/>
        </w:tabs>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De las constancias que obran en el expediente electrónico del</w:t>
      </w:r>
      <w:r w:rsidRPr="00876DBC">
        <w:rPr>
          <w:rFonts w:ascii="Palatino Linotype" w:eastAsia="Palatino Linotype" w:hAnsi="Palatino Linotype" w:cs="Palatino Linotype"/>
          <w:b/>
        </w:rPr>
        <w:t xml:space="preserve"> SAIMEX</w:t>
      </w:r>
      <w:r w:rsidRPr="00876DBC">
        <w:rPr>
          <w:rFonts w:ascii="Palatino Linotype" w:eastAsia="Palatino Linotype" w:hAnsi="Palatino Linotype" w:cs="Palatino Linotype"/>
        </w:rPr>
        <w:t xml:space="preserve">, relacionado con el asunto materia del presente estudio, se advierte que el </w:t>
      </w:r>
      <w:r w:rsidRPr="00876DBC">
        <w:rPr>
          <w:rFonts w:ascii="Palatino Linotype" w:eastAsia="Palatino Linotype" w:hAnsi="Palatino Linotype" w:cs="Palatino Linotype"/>
          <w:b/>
        </w:rPr>
        <w:t>diez de noviembre de dos mil veintidós</w:t>
      </w:r>
      <w:r w:rsidRPr="00876DBC">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876DBC">
        <w:rPr>
          <w:rFonts w:ascii="Palatino Linotype" w:eastAsia="Palatino Linotype" w:hAnsi="Palatino Linotype" w:cs="Palatino Linotype"/>
          <w:b/>
        </w:rPr>
        <w:t xml:space="preserve"> </w:t>
      </w:r>
      <w:r w:rsidRPr="00876DBC">
        <w:rPr>
          <w:rFonts w:ascii="Palatino Linotype" w:eastAsia="Palatino Linotype" w:hAnsi="Palatino Linotype" w:cs="Palatino Linotype"/>
        </w:rPr>
        <w:t>al</w:t>
      </w:r>
      <w:r w:rsidRPr="00876DBC">
        <w:rPr>
          <w:rFonts w:ascii="Palatino Linotype" w:eastAsia="Palatino Linotype" w:hAnsi="Palatino Linotype" w:cs="Palatino Linotype"/>
          <w:b/>
        </w:rPr>
        <w:t xml:space="preserve"> RECURRENTE </w:t>
      </w:r>
      <w:r w:rsidRPr="00876DBC">
        <w:rPr>
          <w:rFonts w:ascii="Palatino Linotype" w:eastAsia="Palatino Linotype" w:hAnsi="Palatino Linotype" w:cs="Palatino Linotype"/>
        </w:rPr>
        <w:t xml:space="preserve">manifestara lo que a su derecho conviniera, a efecto de presentar pruebas y alegatos; así como, para que </w:t>
      </w:r>
      <w:r w:rsidRPr="00876DBC">
        <w:rPr>
          <w:rFonts w:ascii="Palatino Linotype" w:eastAsia="Palatino Linotype" w:hAnsi="Palatino Linotype" w:cs="Palatino Linotype"/>
          <w:b/>
        </w:rPr>
        <w:t xml:space="preserve">EL SUJETO OBLIGADO </w:t>
      </w:r>
      <w:r w:rsidRPr="00876DBC">
        <w:rPr>
          <w:rFonts w:ascii="Palatino Linotype" w:eastAsia="Palatino Linotype" w:hAnsi="Palatino Linotype" w:cs="Palatino Linotype"/>
        </w:rPr>
        <w:t>rindiera el correspondiente</w:t>
      </w:r>
      <w:r w:rsidRPr="00876DBC">
        <w:rPr>
          <w:rFonts w:ascii="Palatino Linotype" w:eastAsia="Palatino Linotype" w:hAnsi="Palatino Linotype" w:cs="Palatino Linotype"/>
          <w:b/>
        </w:rPr>
        <w:t xml:space="preserve"> </w:t>
      </w:r>
      <w:r w:rsidRPr="00876DB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F95542" w:rsidRPr="00876DBC" w:rsidRDefault="00F95542" w:rsidP="00876DBC">
      <w:pPr>
        <w:tabs>
          <w:tab w:val="center" w:pos="4252"/>
          <w:tab w:val="right" w:pos="8504"/>
        </w:tabs>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b/>
        </w:rPr>
        <w:t>b) Informe Justificado</w:t>
      </w:r>
    </w:p>
    <w:p w:rsidR="00F95542" w:rsidRPr="00876DBC" w:rsidRDefault="00FB5225" w:rsidP="00876DBC">
      <w:pPr>
        <w:widowControl w:val="0"/>
        <w:tabs>
          <w:tab w:val="left" w:pos="0"/>
        </w:tabs>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Conforme a las constancias que obran en el expediente del </w:t>
      </w:r>
      <w:r w:rsidRPr="00876DBC">
        <w:rPr>
          <w:rFonts w:ascii="Palatino Linotype" w:eastAsia="Palatino Linotype" w:hAnsi="Palatino Linotype" w:cs="Palatino Linotype"/>
          <w:b/>
        </w:rPr>
        <w:t>SAIMEX,</w:t>
      </w:r>
      <w:r w:rsidRPr="00876DB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876DBC">
        <w:rPr>
          <w:rFonts w:ascii="Palatino Linotype" w:eastAsia="Palatino Linotype" w:hAnsi="Palatino Linotype" w:cs="Palatino Linotype"/>
          <w:b/>
        </w:rPr>
        <w:t>RECURRENTE</w:t>
      </w:r>
      <w:r w:rsidRPr="00876DBC">
        <w:rPr>
          <w:rFonts w:ascii="Palatino Linotype" w:eastAsia="Palatino Linotype" w:hAnsi="Palatino Linotype" w:cs="Palatino Linotype"/>
        </w:rPr>
        <w:t xml:space="preserve"> este no presentó alegatos que a su derecho convinieran. Por su parte,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fue omiso en remitir su Informe Justificado. </w:t>
      </w:r>
    </w:p>
    <w:p w:rsidR="00F95542" w:rsidRPr="00876DBC" w:rsidRDefault="00F95542" w:rsidP="00876DBC">
      <w:pPr>
        <w:widowControl w:val="0"/>
        <w:tabs>
          <w:tab w:val="left" w:pos="0"/>
        </w:tabs>
        <w:spacing w:line="360" w:lineRule="auto"/>
        <w:jc w:val="both"/>
        <w:rPr>
          <w:rFonts w:ascii="Palatino Linotype" w:eastAsia="Palatino Linotype" w:hAnsi="Palatino Linotype" w:cs="Palatino Linotype"/>
        </w:rPr>
      </w:pPr>
    </w:p>
    <w:p w:rsidR="00F95542" w:rsidRPr="00876DBC" w:rsidRDefault="00FB5225" w:rsidP="00876DBC">
      <w:pPr>
        <w:widowControl w:val="0"/>
        <w:tabs>
          <w:tab w:val="left" w:pos="0"/>
        </w:tabs>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b/>
        </w:rPr>
        <w:lastRenderedPageBreak/>
        <w:t xml:space="preserve">c) De la ampliación </w:t>
      </w:r>
    </w:p>
    <w:p w:rsidR="00F95542" w:rsidRPr="00876DBC" w:rsidRDefault="00FB5225" w:rsidP="00876DBC">
      <w:pPr>
        <w:spacing w:line="360" w:lineRule="auto"/>
        <w:jc w:val="both"/>
        <w:rPr>
          <w:rFonts w:ascii="Palatino Linotype" w:eastAsia="Palatino Linotype" w:hAnsi="Palatino Linotype" w:cs="Palatino Linotype"/>
        </w:rPr>
      </w:pPr>
      <w:bookmarkStart w:id="3" w:name="_heading=h.1fob9te" w:colFirst="0" w:colLast="0"/>
      <w:bookmarkEnd w:id="3"/>
      <w:r w:rsidRPr="00876DBC">
        <w:rPr>
          <w:rFonts w:ascii="Palatino Linotype" w:eastAsia="Palatino Linotype" w:hAnsi="Palatino Linotype" w:cs="Palatino Linotype"/>
        </w:rPr>
        <w:t>El once de enero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F95542" w:rsidRPr="00876DBC" w:rsidRDefault="00F95542" w:rsidP="00876DBC">
      <w:pPr>
        <w:spacing w:line="360" w:lineRule="auto"/>
        <w:jc w:val="both"/>
        <w:rPr>
          <w:rFonts w:ascii="Palatino Linotype" w:eastAsia="Palatino Linotype" w:hAnsi="Palatino Linotype" w:cs="Palatino Linotype"/>
        </w:rPr>
      </w:pPr>
      <w:bookmarkStart w:id="4" w:name="_heading=h.vk1hlboevp3r" w:colFirst="0" w:colLast="0"/>
      <w:bookmarkEnd w:id="4"/>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ind w:left="720"/>
        <w:jc w:val="both"/>
        <w:rPr>
          <w:rFonts w:ascii="Palatino Linotype" w:eastAsia="Palatino Linotype" w:hAnsi="Palatino Linotype" w:cs="Palatino Linotype"/>
        </w:rPr>
      </w:pPr>
      <w:r w:rsidRPr="00876DBC">
        <w:rPr>
          <w:rFonts w:ascii="Palatino Linotype" w:eastAsia="Palatino Linotype" w:hAnsi="Palatino Linotype" w:cs="Palatino Linotype"/>
          <w:b/>
        </w:rPr>
        <w:t>a)</w:t>
      </w:r>
      <w:r w:rsidRPr="00876DBC">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F95542" w:rsidRPr="00876DBC" w:rsidRDefault="00FB5225" w:rsidP="00876DBC">
      <w:pPr>
        <w:spacing w:line="360" w:lineRule="auto"/>
        <w:ind w:left="720"/>
        <w:jc w:val="both"/>
        <w:rPr>
          <w:rFonts w:ascii="Palatino Linotype" w:eastAsia="Palatino Linotype" w:hAnsi="Palatino Linotype" w:cs="Palatino Linotype"/>
        </w:rPr>
      </w:pPr>
      <w:r w:rsidRPr="00876DBC">
        <w:rPr>
          <w:rFonts w:ascii="Palatino Linotype" w:eastAsia="Palatino Linotype" w:hAnsi="Palatino Linotype" w:cs="Palatino Linotype"/>
          <w:b/>
        </w:rPr>
        <w:t>b)</w:t>
      </w:r>
      <w:r w:rsidRPr="00876DBC">
        <w:rPr>
          <w:rFonts w:ascii="Palatino Linotype" w:eastAsia="Palatino Linotype" w:hAnsi="Palatino Linotype" w:cs="Palatino Linotype"/>
        </w:rPr>
        <w:t xml:space="preserve"> Actividad Procesal del interesado: Acciones u omisiones del interesado.</w:t>
      </w:r>
    </w:p>
    <w:p w:rsidR="00F95542" w:rsidRPr="00876DBC" w:rsidRDefault="00FB5225" w:rsidP="00876DBC">
      <w:pPr>
        <w:spacing w:line="360" w:lineRule="auto"/>
        <w:ind w:left="720"/>
        <w:jc w:val="both"/>
        <w:rPr>
          <w:rFonts w:ascii="Palatino Linotype" w:eastAsia="Palatino Linotype" w:hAnsi="Palatino Linotype" w:cs="Palatino Linotype"/>
        </w:rPr>
      </w:pPr>
      <w:r w:rsidRPr="00876DBC">
        <w:rPr>
          <w:rFonts w:ascii="Palatino Linotype" w:eastAsia="Palatino Linotype" w:hAnsi="Palatino Linotype" w:cs="Palatino Linotype"/>
          <w:b/>
        </w:rPr>
        <w:t>c)</w:t>
      </w:r>
      <w:r w:rsidRPr="00876DBC">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F95542" w:rsidRPr="00876DBC" w:rsidRDefault="00FB5225" w:rsidP="00876DBC">
      <w:pPr>
        <w:spacing w:line="360" w:lineRule="auto"/>
        <w:ind w:left="720"/>
        <w:jc w:val="both"/>
        <w:rPr>
          <w:rFonts w:ascii="Palatino Linotype" w:eastAsia="Palatino Linotype" w:hAnsi="Palatino Linotype" w:cs="Palatino Linotype"/>
        </w:rPr>
      </w:pPr>
      <w:r w:rsidRPr="00876DBC">
        <w:rPr>
          <w:rFonts w:ascii="Palatino Linotype" w:eastAsia="Palatino Linotype" w:hAnsi="Palatino Linotype" w:cs="Palatino Linotype"/>
          <w:b/>
        </w:rPr>
        <w:t>d)</w:t>
      </w:r>
      <w:r w:rsidRPr="00876DBC">
        <w:rPr>
          <w:rFonts w:ascii="Palatino Linotype" w:eastAsia="Palatino Linotype" w:hAnsi="Palatino Linotype" w:cs="Palatino Linotype"/>
        </w:rPr>
        <w:t xml:space="preserve"> La afectación generada en la situación jurídica de la persona involucrada en el proceso: Violación a sus derechos humanos.</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Argumento que encuentra sustento en la jurisprudencia P</w:t>
      </w:r>
      <w:proofErr w:type="gramStart"/>
      <w:r w:rsidRPr="00876DBC">
        <w:rPr>
          <w:rFonts w:ascii="Palatino Linotype" w:eastAsia="Palatino Linotype" w:hAnsi="Palatino Linotype" w:cs="Palatino Linotype"/>
        </w:rPr>
        <w:t>./</w:t>
      </w:r>
      <w:proofErr w:type="gramEnd"/>
      <w:r w:rsidRPr="00876DBC">
        <w:rPr>
          <w:rFonts w:ascii="Palatino Linotype" w:eastAsia="Palatino Linotype" w:hAnsi="Palatino Linotype" w:cs="Palatino Linotype"/>
        </w:rPr>
        <w:t>J. 32/92 emitida por el Pleno de la Suprema Corte de Justicia de la Nación de rubro “</w:t>
      </w:r>
      <w:r w:rsidRPr="00876DB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76DBC">
        <w:rPr>
          <w:rFonts w:ascii="Palatino Linotype" w:eastAsia="Palatino Linotype" w:hAnsi="Palatino Linotype" w:cs="Palatino Linotype"/>
        </w:rPr>
        <w:t>, visible en la Gaceta del Seminario Judicial de la Federación con el registro digital 205635.</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876DBC">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i/>
        </w:rPr>
        <w:t>“PLAZO RAZONABLE PARA RESOLVER. DIMENSIÓN Y EFECTOS DE ESTE CONCEPTO CUANDO SE ADUCE EXCESIVA CARGA DE TRABAJO.”</w:t>
      </w:r>
      <w:r w:rsidRPr="00876DBC">
        <w:rPr>
          <w:rFonts w:ascii="Palatino Linotype" w:eastAsia="Palatino Linotype" w:hAnsi="Palatino Linotype" w:cs="Palatino Linotype"/>
        </w:rPr>
        <w:t xml:space="preserve"> consultable en el Seminario Judicial de la Federación y su gaceta, con el registro digital 2002351.</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i/>
        </w:rPr>
        <w:t>“PLAZO RAZONABLE PARA RESOLVER. CONCEPTO Y ELEMENTOS QUE LO INTEGRAN A LA LUZ DEL DERECHO INTERNACIONAL DE LOS DERECHOS HUMANOS.”</w:t>
      </w:r>
      <w:r w:rsidRPr="00876DBC">
        <w:rPr>
          <w:rFonts w:ascii="Palatino Linotype" w:eastAsia="Palatino Linotype" w:hAnsi="Palatino Linotype" w:cs="Palatino Linotype"/>
        </w:rPr>
        <w:t>, visible en el Seminario Judicial de la Federación y su gaceta, con el registro digital 2002350.</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b/>
        </w:rPr>
        <w:lastRenderedPageBreak/>
        <w:t>d) Cierre de Instrucción</w:t>
      </w: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Por lo que, una vez analizado el estado procesal que guarda el expediente, el </w:t>
      </w:r>
      <w:r w:rsidRPr="00876DBC">
        <w:rPr>
          <w:rFonts w:ascii="Palatino Linotype" w:eastAsia="Palatino Linotype" w:hAnsi="Palatino Linotype" w:cs="Palatino Linotype"/>
          <w:b/>
        </w:rPr>
        <w:t xml:space="preserve">catorce de febrero de dos mil veintitrés </w:t>
      </w:r>
      <w:r w:rsidRPr="00876DBC">
        <w:rPr>
          <w:rFonts w:ascii="Palatino Linotype" w:eastAsia="Palatino Linotype" w:hAnsi="Palatino Linotype" w:cs="Palatino Linotype"/>
        </w:rPr>
        <w:t xml:space="preserve">la </w:t>
      </w:r>
      <w:r w:rsidRPr="00876DBC">
        <w:rPr>
          <w:rFonts w:ascii="Palatino Linotype" w:eastAsia="Palatino Linotype" w:hAnsi="Palatino Linotype" w:cs="Palatino Linotype"/>
          <w:b/>
        </w:rPr>
        <w:t xml:space="preserve">Comisionada Sharon Cristina Morales Martínez </w:t>
      </w:r>
      <w:r w:rsidRPr="00876DBC">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F95542" w:rsidRPr="00876DBC" w:rsidRDefault="00F95542" w:rsidP="00876DBC">
      <w:pPr>
        <w:rPr>
          <w:rFonts w:ascii="Palatino Linotype" w:eastAsia="Palatino Linotype" w:hAnsi="Palatino Linotype" w:cs="Palatino Linotype"/>
          <w:b/>
          <w:sz w:val="28"/>
          <w:szCs w:val="28"/>
        </w:rPr>
      </w:pPr>
    </w:p>
    <w:p w:rsidR="00F95542" w:rsidRPr="00876DBC" w:rsidRDefault="00F95542" w:rsidP="00876DBC">
      <w:pPr>
        <w:jc w:val="center"/>
        <w:rPr>
          <w:rFonts w:ascii="Palatino Linotype" w:eastAsia="Palatino Linotype" w:hAnsi="Palatino Linotype" w:cs="Palatino Linotype"/>
          <w:b/>
          <w:sz w:val="28"/>
          <w:szCs w:val="28"/>
        </w:rPr>
      </w:pPr>
    </w:p>
    <w:p w:rsidR="00F95542" w:rsidRPr="00876DBC" w:rsidRDefault="00FB5225" w:rsidP="00876DBC">
      <w:pPr>
        <w:jc w:val="center"/>
        <w:rPr>
          <w:rFonts w:ascii="Palatino Linotype" w:eastAsia="Palatino Linotype" w:hAnsi="Palatino Linotype" w:cs="Palatino Linotype"/>
          <w:b/>
          <w:sz w:val="28"/>
          <w:szCs w:val="28"/>
        </w:rPr>
      </w:pPr>
      <w:r w:rsidRPr="00876DBC">
        <w:rPr>
          <w:rFonts w:ascii="Palatino Linotype" w:eastAsia="Palatino Linotype" w:hAnsi="Palatino Linotype" w:cs="Palatino Linotype"/>
          <w:b/>
          <w:sz w:val="28"/>
          <w:szCs w:val="28"/>
        </w:rPr>
        <w:t>CONSIDERANDO</w:t>
      </w:r>
    </w:p>
    <w:p w:rsidR="00F95542" w:rsidRPr="00876DBC" w:rsidRDefault="00F95542" w:rsidP="00876DBC">
      <w:pPr>
        <w:jc w:val="center"/>
        <w:rPr>
          <w:rFonts w:ascii="Palatino Linotype" w:eastAsia="Palatino Linotype" w:hAnsi="Palatino Linotype" w:cs="Palatino Linotype"/>
          <w:b/>
          <w:sz w:val="28"/>
          <w:szCs w:val="28"/>
        </w:rPr>
      </w:pPr>
    </w:p>
    <w:p w:rsidR="00F95542" w:rsidRPr="00876DBC" w:rsidRDefault="00FB5225" w:rsidP="00876DBC">
      <w:pPr>
        <w:widowControl w:val="0"/>
        <w:tabs>
          <w:tab w:val="left" w:pos="1701"/>
        </w:tabs>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b/>
          <w:sz w:val="28"/>
          <w:szCs w:val="28"/>
        </w:rPr>
        <w:t>PRIMERO.</w:t>
      </w:r>
      <w:r w:rsidRPr="00876DBC">
        <w:rPr>
          <w:rFonts w:ascii="Palatino Linotype" w:eastAsia="Palatino Linotype" w:hAnsi="Palatino Linotype" w:cs="Palatino Linotype"/>
          <w:b/>
        </w:rPr>
        <w:t xml:space="preserve"> Competencia</w:t>
      </w:r>
      <w:r w:rsidRPr="00876DBC">
        <w:rPr>
          <w:rFonts w:ascii="Palatino Linotype" w:eastAsia="Palatino Linotype" w:hAnsi="Palatino Linotype" w:cs="Palatino Linotype"/>
        </w:rPr>
        <w:t>.</w:t>
      </w:r>
      <w:r w:rsidRPr="00876DBC">
        <w:rPr>
          <w:rFonts w:ascii="Palatino Linotype" w:eastAsia="Palatino Linotype" w:hAnsi="Palatino Linotype" w:cs="Palatino Linotype"/>
          <w:b/>
        </w:rPr>
        <w:t xml:space="preserve"> </w:t>
      </w:r>
    </w:p>
    <w:p w:rsidR="00F95542" w:rsidRPr="00876DBC" w:rsidRDefault="00FB5225" w:rsidP="00876DBC">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876DB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F95542" w:rsidRPr="00876DBC" w:rsidRDefault="00FB5225" w:rsidP="00876DBC">
      <w:pPr>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b/>
          <w:sz w:val="28"/>
          <w:szCs w:val="28"/>
        </w:rPr>
        <w:lastRenderedPageBreak/>
        <w:t>SEGUNDO</w:t>
      </w:r>
      <w:r w:rsidRPr="00876DBC">
        <w:rPr>
          <w:rFonts w:ascii="Palatino Linotype" w:eastAsia="Palatino Linotype" w:hAnsi="Palatino Linotype" w:cs="Palatino Linotype"/>
          <w:b/>
        </w:rPr>
        <w:t xml:space="preserve">. Interés. </w:t>
      </w:r>
    </w:p>
    <w:p w:rsidR="00F95542" w:rsidRPr="00876DBC" w:rsidRDefault="00FB5225" w:rsidP="00876DBC">
      <w:pPr>
        <w:spacing w:line="360" w:lineRule="auto"/>
        <w:jc w:val="both"/>
        <w:rPr>
          <w:rFonts w:ascii="Palatino Linotype" w:eastAsia="Palatino Linotype" w:hAnsi="Palatino Linotype" w:cs="Palatino Linotype"/>
          <w:b/>
          <w:color w:val="000000"/>
        </w:rPr>
      </w:pPr>
      <w:r w:rsidRPr="00876DBC">
        <w:rPr>
          <w:rFonts w:ascii="Palatino Linotype" w:eastAsia="Palatino Linotype" w:hAnsi="Palatino Linotype" w:cs="Palatino Linotype"/>
        </w:rPr>
        <w:t>El</w:t>
      </w:r>
      <w:r w:rsidRPr="00876DBC">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876DBC">
        <w:rPr>
          <w:rFonts w:ascii="Palatino Linotype" w:eastAsia="Palatino Linotype" w:hAnsi="Palatino Linotype" w:cs="Palatino Linotype"/>
          <w:b/>
        </w:rPr>
        <w:t>EL</w:t>
      </w:r>
      <w:r w:rsidRPr="00876DBC">
        <w:rPr>
          <w:rFonts w:ascii="Palatino Linotype" w:eastAsia="Palatino Linotype" w:hAnsi="Palatino Linotype" w:cs="Palatino Linotype"/>
          <w:b/>
          <w:color w:val="000000"/>
        </w:rPr>
        <w:t xml:space="preserve"> RECURRENTE,</w:t>
      </w:r>
      <w:r w:rsidRPr="00876DBC">
        <w:rPr>
          <w:rFonts w:ascii="Palatino Linotype" w:eastAsia="Palatino Linotype" w:hAnsi="Palatino Linotype" w:cs="Palatino Linotype"/>
          <w:color w:val="000000"/>
        </w:rPr>
        <w:t xml:space="preserve"> quien es la misma persona que formuló la solicitud de acceso a la información pública al </w:t>
      </w:r>
      <w:r w:rsidRPr="00876DBC">
        <w:rPr>
          <w:rFonts w:ascii="Palatino Linotype" w:eastAsia="Palatino Linotype" w:hAnsi="Palatino Linotype" w:cs="Palatino Linotype"/>
          <w:b/>
          <w:color w:val="000000"/>
        </w:rPr>
        <w:t xml:space="preserve">SUJETO OBLIGADO, </w:t>
      </w:r>
      <w:r w:rsidRPr="00876DBC">
        <w:rPr>
          <w:rFonts w:ascii="Palatino Linotype" w:eastAsia="Palatino Linotype" w:hAnsi="Palatino Linotype" w:cs="Palatino Linotype"/>
          <w:color w:val="000000"/>
        </w:rPr>
        <w:t xml:space="preserve">pues para ello, es necesario que el particular ingrese al </w:t>
      </w:r>
      <w:r w:rsidRPr="00876DBC">
        <w:rPr>
          <w:rFonts w:ascii="Palatino Linotype" w:eastAsia="Palatino Linotype" w:hAnsi="Palatino Linotype" w:cs="Palatino Linotype"/>
          <w:b/>
          <w:color w:val="000000"/>
        </w:rPr>
        <w:t xml:space="preserve">SAIMEX </w:t>
      </w:r>
      <w:r w:rsidRPr="00876DBC">
        <w:rPr>
          <w:rFonts w:ascii="Palatino Linotype" w:eastAsia="Palatino Linotype" w:hAnsi="Palatino Linotype" w:cs="Palatino Linotype"/>
          <w:color w:val="000000"/>
        </w:rPr>
        <w:t>mediante la utilización de su clave de usuario y contraseña.</w:t>
      </w:r>
    </w:p>
    <w:p w:rsidR="00F95542" w:rsidRPr="00876DBC" w:rsidRDefault="00F95542" w:rsidP="00876DBC">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F95542" w:rsidRPr="00876DBC" w:rsidRDefault="00FB5225" w:rsidP="00876DBC">
      <w:pPr>
        <w:tabs>
          <w:tab w:val="center" w:pos="4252"/>
          <w:tab w:val="right" w:pos="8504"/>
        </w:tabs>
        <w:spacing w:line="360" w:lineRule="auto"/>
        <w:ind w:left="-57"/>
        <w:jc w:val="both"/>
        <w:rPr>
          <w:rFonts w:ascii="Palatino Linotype" w:eastAsia="Palatino Linotype" w:hAnsi="Palatino Linotype" w:cs="Palatino Linotype"/>
          <w:color w:val="000000"/>
        </w:rPr>
      </w:pPr>
      <w:r w:rsidRPr="00876DBC">
        <w:rPr>
          <w:rFonts w:ascii="Palatino Linotype" w:eastAsia="Palatino Linotype" w:hAnsi="Palatino Linotype" w:cs="Palatino Linotype"/>
          <w:b/>
          <w:sz w:val="28"/>
          <w:szCs w:val="28"/>
        </w:rPr>
        <w:t>TERCERO.</w:t>
      </w:r>
      <w:r w:rsidRPr="00876DBC">
        <w:rPr>
          <w:rFonts w:ascii="Palatino Linotype" w:eastAsia="Palatino Linotype" w:hAnsi="Palatino Linotype" w:cs="Palatino Linotype"/>
        </w:rPr>
        <w:t xml:space="preserve"> </w:t>
      </w:r>
      <w:r w:rsidRPr="00876DBC">
        <w:rPr>
          <w:rFonts w:ascii="Palatino Linotype" w:eastAsia="Palatino Linotype" w:hAnsi="Palatino Linotype" w:cs="Palatino Linotype"/>
          <w:b/>
          <w:color w:val="000000"/>
        </w:rPr>
        <w:t>Oportunidad</w:t>
      </w:r>
      <w:r w:rsidRPr="00876DBC">
        <w:rPr>
          <w:rFonts w:ascii="Palatino Linotype" w:eastAsia="Palatino Linotype" w:hAnsi="Palatino Linotype" w:cs="Palatino Linotype"/>
          <w:color w:val="000000"/>
        </w:rPr>
        <w:t xml:space="preserve">. </w:t>
      </w:r>
    </w:p>
    <w:p w:rsidR="00F95542" w:rsidRPr="00876DBC" w:rsidRDefault="00FB5225" w:rsidP="00876DBC">
      <w:pPr>
        <w:widowControl w:val="0"/>
        <w:tabs>
          <w:tab w:val="left" w:pos="1701"/>
        </w:tabs>
        <w:spacing w:line="360" w:lineRule="auto"/>
        <w:ind w:right="49"/>
        <w:jc w:val="both"/>
        <w:rPr>
          <w:rFonts w:ascii="Palatino Linotype" w:eastAsia="Palatino Linotype" w:hAnsi="Palatino Linotype" w:cs="Palatino Linotype"/>
          <w:b/>
        </w:rPr>
      </w:pPr>
      <w:r w:rsidRPr="00876DBC">
        <w:rPr>
          <w:rFonts w:ascii="Palatino Linotype" w:eastAsia="Palatino Linotype" w:hAnsi="Palatino Linotype" w:cs="Palatino Linotype"/>
        </w:rPr>
        <w:t xml:space="preserve">El Recurso de Revisión fue interpuesto dentro del plazo de quince días hábiles, contados a partir del día siguiente al que </w:t>
      </w:r>
      <w:r w:rsidRPr="00876DBC">
        <w:rPr>
          <w:rFonts w:ascii="Palatino Linotype" w:eastAsia="Palatino Linotype" w:hAnsi="Palatino Linotype" w:cs="Palatino Linotype"/>
          <w:b/>
        </w:rPr>
        <w:t xml:space="preserve">EL RECURRENTE </w:t>
      </w:r>
      <w:r w:rsidRPr="00876DB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F95542" w:rsidRPr="00876DBC" w:rsidRDefault="00F95542" w:rsidP="00876DBC">
      <w:pPr>
        <w:ind w:left="720" w:right="709"/>
        <w:jc w:val="both"/>
        <w:rPr>
          <w:rFonts w:ascii="Palatino Linotype" w:eastAsia="Palatino Linotype" w:hAnsi="Palatino Linotype" w:cs="Palatino Linotype"/>
          <w:i/>
          <w:sz w:val="22"/>
          <w:szCs w:val="22"/>
        </w:rPr>
      </w:pPr>
    </w:p>
    <w:p w:rsidR="00F95542" w:rsidRPr="00876DBC" w:rsidRDefault="00FB5225" w:rsidP="00876DBC">
      <w:pPr>
        <w:ind w:left="851"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Artículo 178.</w:t>
      </w:r>
      <w:r w:rsidRPr="00876DB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95542" w:rsidRPr="00876DBC" w:rsidRDefault="00F95542" w:rsidP="00876DBC">
      <w:pPr>
        <w:ind w:left="851" w:right="899"/>
        <w:jc w:val="both"/>
        <w:rPr>
          <w:rFonts w:ascii="Palatino Linotype" w:eastAsia="Palatino Linotype" w:hAnsi="Palatino Linotype" w:cs="Palatino Linotype"/>
          <w:i/>
          <w:sz w:val="22"/>
          <w:szCs w:val="22"/>
        </w:rPr>
      </w:pPr>
    </w:p>
    <w:p w:rsidR="00F95542" w:rsidRPr="00876DBC" w:rsidRDefault="00FB5225" w:rsidP="00876DBC">
      <w:pPr>
        <w:ind w:left="851"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95542" w:rsidRPr="00876DBC" w:rsidRDefault="00F95542" w:rsidP="00876DBC">
      <w:pPr>
        <w:ind w:left="851" w:right="899"/>
        <w:jc w:val="both"/>
        <w:rPr>
          <w:rFonts w:ascii="Palatino Linotype" w:eastAsia="Palatino Linotype" w:hAnsi="Palatino Linotype" w:cs="Palatino Linotype"/>
          <w:i/>
          <w:sz w:val="22"/>
          <w:szCs w:val="22"/>
        </w:rPr>
      </w:pPr>
    </w:p>
    <w:p w:rsidR="00F95542" w:rsidRPr="00876DBC" w:rsidRDefault="00FB5225" w:rsidP="00876DBC">
      <w:pPr>
        <w:ind w:left="851"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rsidR="00F95542" w:rsidRPr="00876DBC" w:rsidRDefault="00F95542" w:rsidP="00876DBC">
      <w:pPr>
        <w:ind w:left="720" w:right="709"/>
        <w:jc w:val="both"/>
        <w:rPr>
          <w:rFonts w:ascii="Palatino Linotype" w:eastAsia="Palatino Linotype" w:hAnsi="Palatino Linotype" w:cs="Palatino Linotype"/>
          <w:i/>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bookmarkStart w:id="6" w:name="_heading=h.2et92p0" w:colFirst="0" w:colLast="0"/>
      <w:bookmarkEnd w:id="6"/>
      <w:r w:rsidRPr="00876DBC">
        <w:rPr>
          <w:rFonts w:ascii="Palatino Linotype" w:eastAsia="Palatino Linotype" w:hAnsi="Palatino Linotype" w:cs="Palatino Linotype"/>
        </w:rPr>
        <w:t xml:space="preserve">En esa tesitura, atendiendo a que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notificó la respuesta a la solicitud de acceso a la información pública el día</w:t>
      </w:r>
      <w:r w:rsidRPr="00876DBC">
        <w:rPr>
          <w:rFonts w:ascii="Palatino Linotype" w:eastAsia="Palatino Linotype" w:hAnsi="Palatino Linotype" w:cs="Palatino Linotype"/>
          <w:b/>
        </w:rPr>
        <w:t xml:space="preserve"> ocho de noviembre de dos mil veintidós</w:t>
      </w:r>
      <w:r w:rsidRPr="00876DBC">
        <w:rPr>
          <w:rFonts w:ascii="Palatino Linotype" w:eastAsia="Palatino Linotype" w:hAnsi="Palatino Linotype" w:cs="Palatino Linotype"/>
        </w:rPr>
        <w:t>, así el plazo de quince días hábiles que el artículo 178 de la Ley de la materia otorga al</w:t>
      </w:r>
      <w:r w:rsidRPr="00876DBC">
        <w:rPr>
          <w:rFonts w:ascii="Palatino Linotype" w:eastAsia="Palatino Linotype" w:hAnsi="Palatino Linotype" w:cs="Palatino Linotype"/>
          <w:b/>
        </w:rPr>
        <w:t xml:space="preserve"> RECURRENTE</w:t>
      </w:r>
      <w:r w:rsidRPr="00876DBC">
        <w:rPr>
          <w:rFonts w:ascii="Palatino Linotype" w:eastAsia="Palatino Linotype" w:hAnsi="Palatino Linotype" w:cs="Palatino Linotype"/>
        </w:rPr>
        <w:t xml:space="preserve"> para presentar el respectivo Recurso de Revisión, transcurrió del</w:t>
      </w:r>
      <w:r w:rsidRPr="00876DBC">
        <w:rPr>
          <w:rFonts w:ascii="Palatino Linotype" w:eastAsia="Palatino Linotype" w:hAnsi="Palatino Linotype" w:cs="Palatino Linotype"/>
          <w:b/>
        </w:rPr>
        <w:t xml:space="preserve"> nueve al treinta de  noviembre de dos mil veintidós, </w:t>
      </w:r>
      <w:r w:rsidRPr="00876DBC">
        <w:rPr>
          <w:rFonts w:ascii="Palatino Linotype" w:eastAsia="Palatino Linotype" w:hAnsi="Palatino Linotype" w:cs="Palatino Linotype"/>
        </w:rPr>
        <w:t xml:space="preserve">sin contemplar en el cómputo los días doce, trece, diecinueve, veinte, veintiséis y veintisiete  de noviembre de dos mil veintidós, </w:t>
      </w:r>
      <w:r w:rsidR="00B152F2" w:rsidRPr="00876DBC">
        <w:rPr>
          <w:rFonts w:ascii="Palatino Linotype" w:eastAsia="Palatino Linotype" w:hAnsi="Palatino Linotype" w:cs="Palatino Linotype"/>
        </w:rPr>
        <w:t>así</w:t>
      </w:r>
      <w:r w:rsidRPr="00876DBC">
        <w:rPr>
          <w:rFonts w:ascii="Palatino Linotype" w:eastAsia="Palatino Linotype" w:hAnsi="Palatino Linotype" w:cs="Palatino Linotype"/>
        </w:rPr>
        <w:t xml:space="preserve"> como tres y cuatro de septiembre de dos mil veintidós  por corresponder a sábados y domingos, considerados como días inhábiles, en términos del artículo 3, fracción X de la Ley de Transparencia y Acceso a la Información Pública del Estado de México y Municipios.</w:t>
      </w:r>
    </w:p>
    <w:p w:rsidR="00F95542" w:rsidRPr="00876DBC" w:rsidRDefault="00F95542" w:rsidP="00876DBC">
      <w:pPr>
        <w:spacing w:line="360" w:lineRule="auto"/>
        <w:jc w:val="both"/>
        <w:rPr>
          <w:rFonts w:ascii="Palatino Linotype" w:eastAsia="Palatino Linotype" w:hAnsi="Palatino Linotype" w:cs="Palatino Linotype"/>
        </w:rPr>
      </w:pPr>
      <w:bookmarkStart w:id="7" w:name="_heading=h.pguh115ot67e" w:colFirst="0" w:colLast="0"/>
      <w:bookmarkEnd w:id="7"/>
    </w:p>
    <w:p w:rsidR="00F95542" w:rsidRPr="00876DBC" w:rsidRDefault="00FB5225" w:rsidP="00876DBC">
      <w:pPr>
        <w:spacing w:line="360" w:lineRule="auto"/>
        <w:jc w:val="both"/>
        <w:rPr>
          <w:rFonts w:ascii="Palatino Linotype" w:eastAsia="Palatino Linotype" w:hAnsi="Palatino Linotype" w:cs="Palatino Linotype"/>
        </w:rPr>
      </w:pPr>
      <w:bookmarkStart w:id="8" w:name="_heading=h.umr0zfczji45" w:colFirst="0" w:colLast="0"/>
      <w:bookmarkEnd w:id="8"/>
      <w:r w:rsidRPr="00876DBC">
        <w:rPr>
          <w:rFonts w:ascii="Palatino Linotype" w:eastAsia="Palatino Linotype" w:hAnsi="Palatino Linotype" w:cs="Palatino Linotype"/>
        </w:rPr>
        <w:t xml:space="preserve">Exceptuando </w:t>
      </w:r>
      <w:r w:rsidR="00B152F2" w:rsidRPr="00876DBC">
        <w:rPr>
          <w:rFonts w:ascii="Palatino Linotype" w:eastAsia="Palatino Linotype" w:hAnsi="Palatino Linotype" w:cs="Palatino Linotype"/>
        </w:rPr>
        <w:t>además el día</w:t>
      </w:r>
      <w:r w:rsidRPr="00876DBC">
        <w:rPr>
          <w:rFonts w:ascii="Palatino Linotype" w:eastAsia="Palatino Linotype" w:hAnsi="Palatino Linotype" w:cs="Palatino Linotype"/>
        </w:rPr>
        <w:t xml:space="preserve"> veintiuno de noviembre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876DBC">
        <w:rPr>
          <w:rFonts w:ascii="Palatino Linotype" w:eastAsia="Palatino Linotype" w:hAnsi="Palatino Linotype" w:cs="Palatino Linotype"/>
          <w:vertAlign w:val="superscript"/>
        </w:rPr>
        <w:footnoteReference w:id="1"/>
      </w:r>
      <w:r w:rsidRPr="00876DBC">
        <w:rPr>
          <w:rFonts w:ascii="Palatino Linotype" w:eastAsia="Palatino Linotype" w:hAnsi="Palatino Linotype" w:cs="Palatino Linotype"/>
        </w:rPr>
        <w:t>.</w:t>
      </w:r>
    </w:p>
    <w:p w:rsidR="00F95542" w:rsidRPr="00876DBC" w:rsidRDefault="00F95542" w:rsidP="00876DBC">
      <w:pPr>
        <w:spacing w:line="360" w:lineRule="auto"/>
        <w:jc w:val="both"/>
        <w:rPr>
          <w:rFonts w:ascii="Palatino Linotype" w:eastAsia="Palatino Linotype" w:hAnsi="Palatino Linotype" w:cs="Palatino Linotype"/>
        </w:rPr>
      </w:pPr>
      <w:bookmarkStart w:id="9" w:name="_heading=h.1j5r03d45pmh" w:colFirst="0" w:colLast="0"/>
      <w:bookmarkEnd w:id="9"/>
    </w:p>
    <w:p w:rsidR="00F95542" w:rsidRPr="00876DBC" w:rsidRDefault="00FB5225" w:rsidP="00876DBC">
      <w:pPr>
        <w:spacing w:line="360" w:lineRule="auto"/>
        <w:jc w:val="both"/>
        <w:rPr>
          <w:rFonts w:ascii="Palatino Linotype" w:eastAsia="Palatino Linotype" w:hAnsi="Palatino Linotype" w:cs="Palatino Linotype"/>
        </w:rPr>
      </w:pPr>
      <w:bookmarkStart w:id="10" w:name="_heading=h.5rr2st44stcm" w:colFirst="0" w:colLast="0"/>
      <w:bookmarkEnd w:id="10"/>
      <w:r w:rsidRPr="00876DBC">
        <w:rPr>
          <w:rFonts w:ascii="Palatino Linotype" w:eastAsia="Palatino Linotype" w:hAnsi="Palatino Linotype" w:cs="Palatino Linotype"/>
        </w:rPr>
        <w:t xml:space="preserve">En ese tenor, se advierte que </w:t>
      </w:r>
      <w:r w:rsidRPr="00876DBC">
        <w:rPr>
          <w:rFonts w:ascii="Palatino Linotype" w:eastAsia="Palatino Linotype" w:hAnsi="Palatino Linotype" w:cs="Palatino Linotype"/>
          <w:b/>
        </w:rPr>
        <w:t>EL RECURRENTE</w:t>
      </w:r>
      <w:r w:rsidRPr="00876DBC">
        <w:rPr>
          <w:rFonts w:ascii="Palatino Linotype" w:eastAsia="Palatino Linotype" w:hAnsi="Palatino Linotype" w:cs="Palatino Linotype"/>
        </w:rPr>
        <w:t xml:space="preserve"> presentó el medio de impugnación al rubro anotado el día nueve de noviembre de dos mil veintidós y por lo tanto su interposición se considera oportuna. </w:t>
      </w:r>
    </w:p>
    <w:p w:rsidR="00F95542" w:rsidRPr="00876DBC" w:rsidRDefault="00F95542" w:rsidP="00876DBC">
      <w:pPr>
        <w:spacing w:line="360" w:lineRule="auto"/>
        <w:ind w:right="49"/>
        <w:jc w:val="both"/>
        <w:rPr>
          <w:rFonts w:ascii="Palatino Linotype" w:eastAsia="Palatino Linotype" w:hAnsi="Palatino Linotype" w:cs="Palatino Linotype"/>
          <w:b/>
          <w:sz w:val="28"/>
          <w:szCs w:val="28"/>
        </w:rPr>
      </w:pPr>
    </w:p>
    <w:p w:rsidR="00F95542" w:rsidRPr="00876DBC" w:rsidRDefault="00FB5225" w:rsidP="00876DBC">
      <w:pPr>
        <w:spacing w:line="360" w:lineRule="auto"/>
        <w:ind w:right="49"/>
        <w:jc w:val="both"/>
        <w:rPr>
          <w:rFonts w:ascii="Palatino Linotype" w:eastAsia="Palatino Linotype" w:hAnsi="Palatino Linotype" w:cs="Palatino Linotype"/>
          <w:b/>
        </w:rPr>
      </w:pPr>
      <w:r w:rsidRPr="00876DBC">
        <w:rPr>
          <w:rFonts w:ascii="Palatino Linotype" w:eastAsia="Palatino Linotype" w:hAnsi="Palatino Linotype" w:cs="Palatino Linotype"/>
          <w:b/>
          <w:sz w:val="28"/>
          <w:szCs w:val="28"/>
        </w:rPr>
        <w:t>CUARTO</w:t>
      </w:r>
      <w:r w:rsidRPr="00876DBC">
        <w:rPr>
          <w:rFonts w:ascii="Palatino Linotype" w:eastAsia="Palatino Linotype" w:hAnsi="Palatino Linotype" w:cs="Palatino Linotype"/>
          <w:b/>
        </w:rPr>
        <w:t xml:space="preserve">. </w:t>
      </w:r>
      <w:proofErr w:type="spellStart"/>
      <w:r w:rsidRPr="00876DBC">
        <w:rPr>
          <w:rFonts w:ascii="Palatino Linotype" w:eastAsia="Palatino Linotype" w:hAnsi="Palatino Linotype" w:cs="Palatino Linotype"/>
          <w:b/>
        </w:rPr>
        <w:t>Procedibilidad</w:t>
      </w:r>
      <w:proofErr w:type="spellEnd"/>
      <w:r w:rsidRPr="00876DBC">
        <w:rPr>
          <w:rFonts w:ascii="Palatino Linotype" w:eastAsia="Palatino Linotype" w:hAnsi="Palatino Linotype" w:cs="Palatino Linotype"/>
          <w:b/>
        </w:rPr>
        <w:t xml:space="preserve">. </w:t>
      </w:r>
    </w:p>
    <w:p w:rsidR="00F95542" w:rsidRPr="00876DBC" w:rsidRDefault="00FB5225" w:rsidP="00876DBC">
      <w:pPr>
        <w:spacing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Esta Ponencia considera importante precisar que conforme al artículo 180 de la Ley de Transparencia y Acceso a la Información Pública del Estado de México y Municipios el presente Recurso de Revisión cuenta con todos los requisitos de </w:t>
      </w:r>
      <w:proofErr w:type="spellStart"/>
      <w:r w:rsidRPr="00876DBC">
        <w:rPr>
          <w:rFonts w:ascii="Palatino Linotype" w:eastAsia="Palatino Linotype" w:hAnsi="Palatino Linotype" w:cs="Palatino Linotype"/>
        </w:rPr>
        <w:t>procedibilidad</w:t>
      </w:r>
      <w:proofErr w:type="spellEnd"/>
      <w:r w:rsidRPr="00876DBC">
        <w:rPr>
          <w:rFonts w:ascii="Palatino Linotype" w:eastAsia="Palatino Linotype" w:hAnsi="Palatino Linotype" w:cs="Palatino Linotype"/>
        </w:rPr>
        <w:t xml:space="preserve"> contemplados en las fracciones de dicho precepto legal.  </w:t>
      </w:r>
    </w:p>
    <w:p w:rsidR="00F95542" w:rsidRPr="00876DBC" w:rsidRDefault="00F95542" w:rsidP="00876DBC">
      <w:pPr>
        <w:spacing w:line="360" w:lineRule="auto"/>
        <w:ind w:right="49"/>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b/>
          <w:sz w:val="28"/>
          <w:szCs w:val="28"/>
        </w:rPr>
        <w:t>QUINTO</w:t>
      </w:r>
      <w:r w:rsidRPr="00876DBC">
        <w:rPr>
          <w:rFonts w:ascii="Palatino Linotype" w:eastAsia="Palatino Linotype" w:hAnsi="Palatino Linotype" w:cs="Palatino Linotype"/>
          <w:b/>
        </w:rPr>
        <w:t xml:space="preserve">. Estudio y resolución del asunto. </w:t>
      </w:r>
    </w:p>
    <w:p w:rsidR="00F95542" w:rsidRPr="00876DBC" w:rsidRDefault="00FB5225" w:rsidP="00876DBC">
      <w:pPr>
        <w:tabs>
          <w:tab w:val="left" w:pos="709"/>
        </w:tabs>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En primera instancia es importante recordar que, </w:t>
      </w:r>
      <w:r w:rsidRPr="00876DBC">
        <w:rPr>
          <w:rFonts w:ascii="Palatino Linotype" w:eastAsia="Palatino Linotype" w:hAnsi="Palatino Linotype" w:cs="Palatino Linotype"/>
          <w:b/>
        </w:rPr>
        <w:t>EL RECURRENTE</w:t>
      </w:r>
      <w:r w:rsidRPr="00876DBC">
        <w:rPr>
          <w:rFonts w:ascii="Palatino Linotype" w:eastAsia="Palatino Linotype" w:hAnsi="Palatino Linotype" w:cs="Palatino Linotype"/>
        </w:rPr>
        <w:t xml:space="preserve"> solicitó al </w:t>
      </w:r>
      <w:r w:rsidRPr="00876DBC">
        <w:rPr>
          <w:rFonts w:ascii="Palatino Linotype" w:eastAsia="Palatino Linotype" w:hAnsi="Palatino Linotype" w:cs="Palatino Linotype"/>
          <w:b/>
        </w:rPr>
        <w:t>SUJETO OBLIGADO</w:t>
      </w:r>
      <w:r w:rsidRPr="00876DBC">
        <w:rPr>
          <w:rFonts w:ascii="Palatino Linotype" w:eastAsia="Palatino Linotype" w:hAnsi="Palatino Linotype" w:cs="Palatino Linotype"/>
        </w:rPr>
        <w:t xml:space="preserve"> lo siguiente: </w:t>
      </w:r>
    </w:p>
    <w:p w:rsidR="00F95542" w:rsidRPr="00876DBC" w:rsidRDefault="00FB5225" w:rsidP="00876DBC">
      <w:pPr>
        <w:ind w:left="850"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 xml:space="preserve">“Que el ciudadano </w:t>
      </w:r>
      <w:proofErr w:type="spellStart"/>
      <w:r w:rsidRPr="00876DBC">
        <w:rPr>
          <w:rFonts w:ascii="Palatino Linotype" w:eastAsia="Palatino Linotype" w:hAnsi="Palatino Linotype" w:cs="Palatino Linotype"/>
          <w:i/>
          <w:sz w:val="22"/>
          <w:szCs w:val="22"/>
        </w:rPr>
        <w:t>misael</w:t>
      </w:r>
      <w:proofErr w:type="spellEnd"/>
      <w:r w:rsidRPr="00876DBC">
        <w:rPr>
          <w:rFonts w:ascii="Palatino Linotype" w:eastAsia="Palatino Linotype" w:hAnsi="Palatino Linotype" w:cs="Palatino Linotype"/>
          <w:i/>
          <w:sz w:val="22"/>
          <w:szCs w:val="22"/>
        </w:rPr>
        <w:t xml:space="preserve"> miguel pedro presente recibo de </w:t>
      </w:r>
      <w:proofErr w:type="spellStart"/>
      <w:r w:rsidRPr="00876DBC">
        <w:rPr>
          <w:rFonts w:ascii="Palatino Linotype" w:eastAsia="Palatino Linotype" w:hAnsi="Palatino Linotype" w:cs="Palatino Linotype"/>
          <w:i/>
          <w:sz w:val="22"/>
          <w:szCs w:val="22"/>
        </w:rPr>
        <w:t>nomina</w:t>
      </w:r>
      <w:proofErr w:type="spellEnd"/>
      <w:r w:rsidRPr="00876DBC">
        <w:rPr>
          <w:rFonts w:ascii="Palatino Linotype" w:eastAsia="Palatino Linotype" w:hAnsi="Palatino Linotype" w:cs="Palatino Linotype"/>
          <w:i/>
          <w:sz w:val="22"/>
          <w:szCs w:val="22"/>
        </w:rPr>
        <w:t xml:space="preserve"> con cargo y sueldo percibido </w:t>
      </w:r>
      <w:proofErr w:type="spellStart"/>
      <w:r w:rsidRPr="00876DBC">
        <w:rPr>
          <w:rFonts w:ascii="Palatino Linotype" w:eastAsia="Palatino Linotype" w:hAnsi="Palatino Linotype" w:cs="Palatino Linotype"/>
          <w:i/>
          <w:sz w:val="22"/>
          <w:szCs w:val="22"/>
        </w:rPr>
        <w:t>asi</w:t>
      </w:r>
      <w:proofErr w:type="spellEnd"/>
      <w:r w:rsidRPr="00876DBC">
        <w:rPr>
          <w:rFonts w:ascii="Palatino Linotype" w:eastAsia="Palatino Linotype" w:hAnsi="Palatino Linotype" w:cs="Palatino Linotype"/>
          <w:i/>
          <w:sz w:val="22"/>
          <w:szCs w:val="22"/>
        </w:rPr>
        <w:t xml:space="preserve"> como actividades asignadas, que presente su nombramiento como director de </w:t>
      </w:r>
      <w:proofErr w:type="spellStart"/>
      <w:r w:rsidRPr="00876DBC">
        <w:rPr>
          <w:rFonts w:ascii="Palatino Linotype" w:eastAsia="Palatino Linotype" w:hAnsi="Palatino Linotype" w:cs="Palatino Linotype"/>
          <w:i/>
          <w:sz w:val="22"/>
          <w:szCs w:val="22"/>
        </w:rPr>
        <w:t>operacion</w:t>
      </w:r>
      <w:proofErr w:type="spellEnd"/>
      <w:r w:rsidRPr="00876DBC">
        <w:rPr>
          <w:rFonts w:ascii="Palatino Linotype" w:eastAsia="Palatino Linotype" w:hAnsi="Palatino Linotype" w:cs="Palatino Linotype"/>
          <w:i/>
          <w:sz w:val="22"/>
          <w:szCs w:val="22"/>
        </w:rPr>
        <w:t xml:space="preserve"> y mantenimiento con el cual desempeña dicho cargo.” (</w:t>
      </w:r>
      <w:proofErr w:type="gramStart"/>
      <w:r w:rsidRPr="00876DBC">
        <w:rPr>
          <w:rFonts w:ascii="Palatino Linotype" w:eastAsia="Palatino Linotype" w:hAnsi="Palatino Linotype" w:cs="Palatino Linotype"/>
          <w:i/>
          <w:sz w:val="22"/>
          <w:szCs w:val="22"/>
        </w:rPr>
        <w:t>sic</w:t>
      </w:r>
      <w:proofErr w:type="gramEnd"/>
      <w:r w:rsidRPr="00876DBC">
        <w:rPr>
          <w:rFonts w:ascii="Palatino Linotype" w:eastAsia="Palatino Linotype" w:hAnsi="Palatino Linotype" w:cs="Palatino Linotype"/>
          <w:i/>
          <w:sz w:val="22"/>
          <w:szCs w:val="22"/>
        </w:rPr>
        <w:t>)</w:t>
      </w:r>
    </w:p>
    <w:p w:rsidR="00F95542" w:rsidRPr="00876DBC" w:rsidRDefault="00FB5225" w:rsidP="00876DBC">
      <w:pPr>
        <w:tabs>
          <w:tab w:val="left" w:pos="2422"/>
        </w:tabs>
        <w:spacing w:before="280" w:after="280"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A lo que,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en respuesta refirió por medio de la Titular del </w:t>
      </w:r>
      <w:r w:rsidR="005F0BF2" w:rsidRPr="00876DBC">
        <w:rPr>
          <w:rFonts w:ascii="Palatino Linotype" w:eastAsia="Palatino Linotype" w:hAnsi="Palatino Linotype" w:cs="Palatino Linotype"/>
        </w:rPr>
        <w:t>Departamento</w:t>
      </w:r>
      <w:r w:rsidRPr="00876DBC">
        <w:rPr>
          <w:rFonts w:ascii="Palatino Linotype" w:eastAsia="Palatino Linotype" w:hAnsi="Palatino Linotype" w:cs="Palatino Linotype"/>
        </w:rPr>
        <w:t xml:space="preserve"> de Recursos Humanos que no cuenta con nombramiento del servidor público solicitado </w:t>
      </w:r>
    </w:p>
    <w:p w:rsidR="00F95542" w:rsidRPr="00876DBC" w:rsidRDefault="00FB5225" w:rsidP="00876DBC">
      <w:pPr>
        <w:tabs>
          <w:tab w:val="left" w:pos="2422"/>
        </w:tabs>
        <w:spacing w:before="280" w:after="280"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lastRenderedPageBreak/>
        <w:t xml:space="preserve">Además de adjuntar un recibo de nómina del Director de </w:t>
      </w:r>
      <w:r w:rsidR="00B152F2" w:rsidRPr="00876DBC">
        <w:rPr>
          <w:rFonts w:ascii="Palatino Linotype" w:eastAsia="Palatino Linotype" w:hAnsi="Palatino Linotype" w:cs="Palatino Linotype"/>
        </w:rPr>
        <w:t>Construcción</w:t>
      </w:r>
      <w:r w:rsidRPr="00876DBC">
        <w:rPr>
          <w:rFonts w:ascii="Palatino Linotype" w:eastAsia="Palatino Linotype" w:hAnsi="Palatino Linotype" w:cs="Palatino Linotype"/>
        </w:rPr>
        <w:t xml:space="preserve">, Operación y Mantenimiento y una hoja con el listado de funciones que desempeña la Dirección de Construcción, Operación y Mantenimiento.  </w:t>
      </w:r>
    </w:p>
    <w:p w:rsidR="00F95542" w:rsidRPr="00876DBC" w:rsidRDefault="00FB5225" w:rsidP="00876DBC">
      <w:pPr>
        <w:tabs>
          <w:tab w:val="left" w:pos="2422"/>
        </w:tabs>
        <w:spacing w:before="280" w:after="280"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Siendo </w:t>
      </w:r>
      <w:r w:rsidR="00B152F2" w:rsidRPr="00876DBC">
        <w:rPr>
          <w:rFonts w:ascii="Palatino Linotype" w:eastAsia="Palatino Linotype" w:hAnsi="Palatino Linotype" w:cs="Palatino Linotype"/>
        </w:rPr>
        <w:t>que,</w:t>
      </w:r>
      <w:r w:rsidRPr="00876DBC">
        <w:rPr>
          <w:rFonts w:ascii="Palatino Linotype" w:eastAsia="Palatino Linotype" w:hAnsi="Palatino Linotype" w:cs="Palatino Linotype"/>
        </w:rPr>
        <w:t xml:space="preserve"> en un acto posterior, el particular se inconformó señalando que la información se encuentra incompleta toda vez que no se le entregó el nombramiento requerido lo que en consecuencia actualiza la causal de procedencia prevista por la Ley de Transparencia y Acceso a la Información Pública del Estado de México y Municipios en su artículo 179 fracción V que establece lo siguiente:  </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 xml:space="preserve">Artículo 179. </w:t>
      </w:r>
      <w:r w:rsidRPr="00876DBC">
        <w:rPr>
          <w:rFonts w:ascii="Palatino Linotype" w:eastAsia="Palatino Linotype" w:hAnsi="Palatino Linotype" w:cs="Palatino Linotype"/>
          <w:i/>
          <w:sz w:val="22"/>
          <w:szCs w:val="22"/>
        </w:rPr>
        <w:t>El recurso de revisión es un medio de protección que la Ley otorga a los particulares,</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proofErr w:type="gramStart"/>
      <w:r w:rsidRPr="00876DBC">
        <w:rPr>
          <w:rFonts w:ascii="Palatino Linotype" w:eastAsia="Palatino Linotype" w:hAnsi="Palatino Linotype" w:cs="Palatino Linotype"/>
          <w:i/>
          <w:sz w:val="22"/>
          <w:szCs w:val="22"/>
        </w:rPr>
        <w:t>para</w:t>
      </w:r>
      <w:proofErr w:type="gramEnd"/>
      <w:r w:rsidRPr="00876DBC">
        <w:rPr>
          <w:rFonts w:ascii="Palatino Linotype" w:eastAsia="Palatino Linotype" w:hAnsi="Palatino Linotype" w:cs="Palatino Linotype"/>
          <w:i/>
          <w:sz w:val="22"/>
          <w:szCs w:val="22"/>
        </w:rPr>
        <w:t xml:space="preserve"> hacer valer su derecho de acceso a la información pública, y procederá en contra de las siguientes</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proofErr w:type="gramStart"/>
      <w:r w:rsidRPr="00876DBC">
        <w:rPr>
          <w:rFonts w:ascii="Palatino Linotype" w:eastAsia="Palatino Linotype" w:hAnsi="Palatino Linotype" w:cs="Palatino Linotype"/>
          <w:i/>
          <w:sz w:val="22"/>
          <w:szCs w:val="22"/>
        </w:rPr>
        <w:t>causas</w:t>
      </w:r>
      <w:proofErr w:type="gramEnd"/>
      <w:r w:rsidRPr="00876DBC">
        <w:rPr>
          <w:rFonts w:ascii="Palatino Linotype" w:eastAsia="Palatino Linotype" w:hAnsi="Palatino Linotype" w:cs="Palatino Linotype"/>
          <w:i/>
          <w:sz w:val="22"/>
          <w:szCs w:val="22"/>
        </w:rPr>
        <w:t>:</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I. La negativa a la información solicitada;</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II. La clasificación de la información;</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III. La declaración de inexistencia de la información;</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IV. La declaración de incompetencia por el sujeto obligado;</w:t>
      </w:r>
    </w:p>
    <w:p w:rsidR="00F95542" w:rsidRPr="00876DBC" w:rsidRDefault="00FB5225" w:rsidP="00876DBC">
      <w:pPr>
        <w:tabs>
          <w:tab w:val="left" w:pos="2422"/>
        </w:tabs>
        <w:ind w:left="855" w:right="899"/>
        <w:jc w:val="both"/>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V. La entrega de información incompleta;</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VI. La entrega de información que no corresponda con lo solicitado;</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VII. La falta de respuesta a una solicitud de acceso a la información;</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IX. La entrega o puesta a disposición de información en un formato incomprensible y/o no accesible para el solicitante;</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X. Los costos o tiempos de entrega de la información;</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XI. La falta de trámite a una solicitud;</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lastRenderedPageBreak/>
        <w:t>XII. La negativa a permitir la consulta directa de la información;</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XIII. La falta, deficiencia o insuficiencia de la fundamentación y/o motivación en la respuesta; y</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XIV. La orientación a un trámite específico.</w:t>
      </w:r>
    </w:p>
    <w:p w:rsidR="00F95542" w:rsidRPr="00876DBC" w:rsidRDefault="00FB5225" w:rsidP="00876DBC">
      <w:pPr>
        <w:tabs>
          <w:tab w:val="left" w:pos="2422"/>
        </w:tabs>
        <w:ind w:left="855"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876DBC">
        <w:rPr>
          <w:rFonts w:ascii="Palatino Linotype" w:eastAsia="Palatino Linotype" w:hAnsi="Palatino Linotype" w:cs="Palatino Linotype"/>
          <w:i/>
          <w:sz w:val="22"/>
          <w:szCs w:val="22"/>
        </w:rPr>
        <w:br/>
        <w:t>(</w:t>
      </w:r>
      <w:proofErr w:type="gramStart"/>
      <w:r w:rsidRPr="00876DBC">
        <w:rPr>
          <w:rFonts w:ascii="Palatino Linotype" w:eastAsia="Palatino Linotype" w:hAnsi="Palatino Linotype" w:cs="Palatino Linotype"/>
          <w:i/>
          <w:sz w:val="22"/>
          <w:szCs w:val="22"/>
        </w:rPr>
        <w:t>énfasis</w:t>
      </w:r>
      <w:proofErr w:type="gramEnd"/>
      <w:r w:rsidRPr="00876DBC">
        <w:rPr>
          <w:rFonts w:ascii="Palatino Linotype" w:eastAsia="Palatino Linotype" w:hAnsi="Palatino Linotype" w:cs="Palatino Linotype"/>
          <w:i/>
          <w:sz w:val="22"/>
          <w:szCs w:val="22"/>
        </w:rPr>
        <w:t xml:space="preserve"> añadido)</w:t>
      </w:r>
    </w:p>
    <w:p w:rsidR="00F95542" w:rsidRPr="00876DBC" w:rsidRDefault="00FB5225" w:rsidP="00876DBC">
      <w:pPr>
        <w:tabs>
          <w:tab w:val="left" w:pos="2422"/>
        </w:tabs>
        <w:spacing w:before="280" w:after="280"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Por lo que, lo procedente es analizar la totalidad de las constancias que obran en el expediente electrónico del SAIMEX del presente asunto, para determinar si con las mismas se puede tener por satisfecho el derecho de acceso a la información del particular. </w:t>
      </w:r>
    </w:p>
    <w:p w:rsidR="00F95542" w:rsidRPr="00876DBC" w:rsidRDefault="00FB5225" w:rsidP="00876DBC">
      <w:pPr>
        <w:tabs>
          <w:tab w:val="left" w:pos="2422"/>
        </w:tabs>
        <w:spacing w:before="280" w:after="280"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En primera instancia se advierte que la inconformidad del particular versa sobre un parte de la solicitud y no de la totalidad; por consiguiente, la parte de la petición y la respuesta otorgada a la misma que no fue impugnada debe declararse consentida por el hoy </w:t>
      </w:r>
      <w:r w:rsidRPr="00876DBC">
        <w:rPr>
          <w:rFonts w:ascii="Palatino Linotype" w:eastAsia="Palatino Linotype" w:hAnsi="Palatino Linotype" w:cs="Palatino Linotype"/>
          <w:b/>
        </w:rPr>
        <w:t>RECURRENTE;</w:t>
      </w:r>
      <w:r w:rsidRPr="00876DBC">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del</w:t>
      </w:r>
      <w:r w:rsidRPr="00876DBC">
        <w:rPr>
          <w:rFonts w:ascii="Palatino Linotype" w:eastAsia="Palatino Linotype" w:hAnsi="Palatino Linotype" w:cs="Palatino Linotype"/>
          <w:b/>
        </w:rPr>
        <w:t xml:space="preserve"> RECURRENTE</w:t>
      </w:r>
      <w:r w:rsidRPr="00876DBC">
        <w:rPr>
          <w:rFonts w:ascii="Palatino Linotype" w:eastAsia="Palatino Linotype" w:hAnsi="Palatino Linotype" w:cs="Palatino Linotype"/>
        </w:rPr>
        <w:t xml:space="preserve"> ante la falta de impugnación eficaz. </w:t>
      </w:r>
    </w:p>
    <w:p w:rsidR="00F95542" w:rsidRPr="00876DBC" w:rsidRDefault="00FB5225" w:rsidP="00876DBC">
      <w:pPr>
        <w:spacing w:before="280" w:after="280"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lastRenderedPageBreak/>
        <w:t>Sirve de sustento a lo anterior, por analogía, la tesis jurisprudencial número VI.3o.C. J/60, publicada en el Semanario Judicial de la Federación y su Gaceta bajo el número de registro 176,608 que a la letra dice:</w:t>
      </w:r>
    </w:p>
    <w:p w:rsidR="00F95542" w:rsidRPr="00876DBC" w:rsidRDefault="00FB5225" w:rsidP="00876DBC">
      <w:pPr>
        <w:spacing w:before="200" w:after="200"/>
        <w:ind w:left="850" w:right="899"/>
        <w:jc w:val="both"/>
        <w:rPr>
          <w:rFonts w:ascii="Palatino Linotype" w:eastAsia="Palatino Linotype" w:hAnsi="Palatino Linotype" w:cs="Palatino Linotype"/>
          <w:i/>
        </w:rPr>
      </w:pPr>
      <w:r w:rsidRPr="00876DBC">
        <w:rPr>
          <w:rFonts w:ascii="Palatino Linotype" w:eastAsia="Palatino Linotype" w:hAnsi="Palatino Linotype" w:cs="Palatino Linotype"/>
          <w:i/>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95542" w:rsidRPr="00876DBC" w:rsidRDefault="00F95542" w:rsidP="00876DBC">
      <w:pPr>
        <w:spacing w:before="200" w:after="200" w:line="360" w:lineRule="auto"/>
        <w:jc w:val="both"/>
        <w:rPr>
          <w:rFonts w:ascii="Palatino Linotype" w:eastAsia="Palatino Linotype" w:hAnsi="Palatino Linotype" w:cs="Palatino Linotype"/>
        </w:rPr>
      </w:pPr>
    </w:p>
    <w:p w:rsidR="00F95542" w:rsidRPr="00876DBC" w:rsidRDefault="00FB5225" w:rsidP="00876DBC">
      <w:pPr>
        <w:spacing w:before="200" w:after="200"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Lo anterior es así, debido a que, cuando </w:t>
      </w:r>
      <w:r w:rsidRPr="00876DBC">
        <w:rPr>
          <w:rFonts w:ascii="Palatino Linotype" w:eastAsia="Palatino Linotype" w:hAnsi="Palatino Linotype" w:cs="Palatino Linotype"/>
          <w:b/>
        </w:rPr>
        <w:t xml:space="preserve">EL RECURRENTE </w:t>
      </w:r>
      <w:r w:rsidRPr="00876DBC">
        <w:rPr>
          <w:rFonts w:ascii="Palatino Linotype" w:eastAsia="Palatino Linotype" w:hAnsi="Palatino Linotype" w:cs="Palatino Linotype"/>
        </w:rPr>
        <w:t xml:space="preserve">impugnó la respuesta del </w:t>
      </w:r>
      <w:r w:rsidRPr="00876DBC">
        <w:rPr>
          <w:rFonts w:ascii="Palatino Linotype" w:eastAsia="Palatino Linotype" w:hAnsi="Palatino Linotype" w:cs="Palatino Linotype"/>
          <w:b/>
        </w:rPr>
        <w:t>SUJETO OBLIGADO</w:t>
      </w:r>
      <w:r w:rsidRPr="00876DBC">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876DBC">
        <w:rPr>
          <w:rFonts w:ascii="Palatino Linotype" w:eastAsia="Palatino Linotype" w:hAnsi="Palatino Linotype" w:cs="Palatino Linotype"/>
          <w:b/>
        </w:rPr>
        <w:t xml:space="preserve">EL RECURRENTE </w:t>
      </w:r>
      <w:r w:rsidRPr="00876DBC">
        <w:rPr>
          <w:rFonts w:ascii="Palatino Linotype" w:eastAsia="Palatino Linotype" w:hAnsi="Palatino Linotype" w:cs="Palatino Linotype"/>
        </w:rPr>
        <w:t>está conforme con la información al no contravenir la misma.</w:t>
      </w: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rsidR="00F95542" w:rsidRPr="00876DBC" w:rsidRDefault="00FB5225" w:rsidP="00876DBC">
      <w:pPr>
        <w:spacing w:before="200" w:after="200"/>
        <w:ind w:left="850" w:right="899"/>
        <w:jc w:val="both"/>
        <w:rPr>
          <w:rFonts w:ascii="Palatino Linotype" w:eastAsia="Palatino Linotype" w:hAnsi="Palatino Linotype" w:cs="Palatino Linotype"/>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REVISIÓN EN AMPARO. LOS RESOLUTIVOS NO COMBATIDOS DEBEN DECLARARSE FIRMES.</w:t>
      </w:r>
      <w:r w:rsidRPr="00876DBC">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de base, dicho resolutivo debe declararse firme. Esto es, </w:t>
      </w:r>
      <w:r w:rsidRPr="00876DBC">
        <w:rPr>
          <w:rFonts w:ascii="Palatino Linotype" w:eastAsia="Palatino Linotype" w:hAnsi="Palatino Linotype" w:cs="Palatino Linotype"/>
          <w:i/>
          <w:sz w:val="22"/>
          <w:szCs w:val="22"/>
        </w:rPr>
        <w:lastRenderedPageBreak/>
        <w:t>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95542" w:rsidRPr="00876DBC" w:rsidRDefault="00F95542" w:rsidP="00876DBC">
      <w:pPr>
        <w:spacing w:before="200" w:line="360" w:lineRule="auto"/>
        <w:jc w:val="both"/>
        <w:rPr>
          <w:rFonts w:ascii="Palatino Linotype" w:eastAsia="Palatino Linotype" w:hAnsi="Palatino Linotype" w:cs="Palatino Linotype"/>
        </w:rPr>
      </w:pPr>
    </w:p>
    <w:p w:rsidR="00F95542" w:rsidRPr="00876DBC" w:rsidRDefault="00FB5225" w:rsidP="00876DBC">
      <w:pPr>
        <w:spacing w:before="200"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Atendiendo a lo anterior, toda vez que la inconformidad de la particular versa específicamente sobre la falta del nombramiento del servidor público resfriado en la solicitu</w:t>
      </w:r>
      <w:r w:rsidR="00B152F2" w:rsidRPr="00876DBC">
        <w:rPr>
          <w:rFonts w:ascii="Palatino Linotype" w:eastAsia="Palatino Linotype" w:hAnsi="Palatino Linotype" w:cs="Palatino Linotype"/>
        </w:rPr>
        <w:t>d</w:t>
      </w:r>
      <w:r w:rsidRPr="00876DBC">
        <w:rPr>
          <w:rFonts w:ascii="Palatino Linotype" w:eastAsia="Palatino Linotype" w:hAnsi="Palatino Linotype" w:cs="Palatino Linotype"/>
        </w:rPr>
        <w:t xml:space="preserve"> de acceso a la información pública este será la materia del presente estudio. </w:t>
      </w:r>
    </w:p>
    <w:p w:rsidR="00F95542" w:rsidRPr="00876DBC" w:rsidRDefault="00F95542" w:rsidP="00876DBC">
      <w:pPr>
        <w:tabs>
          <w:tab w:val="left" w:pos="709"/>
        </w:tabs>
        <w:spacing w:line="360" w:lineRule="auto"/>
        <w:ind w:right="49"/>
        <w:jc w:val="both"/>
        <w:rPr>
          <w:rFonts w:ascii="Palatino Linotype" w:eastAsia="Palatino Linotype" w:hAnsi="Palatino Linotype" w:cs="Palatino Linotype"/>
        </w:rPr>
      </w:pPr>
    </w:p>
    <w:p w:rsidR="00F95542" w:rsidRPr="00876DBC" w:rsidRDefault="00FB5225" w:rsidP="00876DBC">
      <w:pPr>
        <w:tabs>
          <w:tab w:val="left" w:pos="709"/>
        </w:tabs>
        <w:spacing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Una vez señalado lo anterior es conveniente mencionar que, la Ley de Transparencia y Acceso a la Información Pública del Estado de México y Municipios que en su artículo 4, refiere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F95542" w:rsidRPr="00876DBC" w:rsidRDefault="00FB5225" w:rsidP="00876DBC">
      <w:pPr>
        <w:spacing w:before="240"/>
        <w:ind w:left="709" w:right="760"/>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Artículo 4</w:t>
      </w:r>
      <w:r w:rsidRPr="00876DB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95542" w:rsidRPr="00876DBC" w:rsidRDefault="00FB5225" w:rsidP="00876DBC">
      <w:pPr>
        <w:ind w:left="709" w:right="760"/>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76DBC">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w:t>
      </w:r>
      <w:r w:rsidRPr="00876DBC">
        <w:rPr>
          <w:rFonts w:ascii="Palatino Linotype" w:eastAsia="Palatino Linotype" w:hAnsi="Palatino Linotype" w:cs="Palatino Linotype"/>
          <w:i/>
          <w:sz w:val="22"/>
          <w:szCs w:val="22"/>
        </w:rPr>
        <w:lastRenderedPageBreak/>
        <w:t>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F95542" w:rsidRPr="00876DBC" w:rsidRDefault="00FB5225" w:rsidP="00876DBC">
      <w:pPr>
        <w:ind w:left="709" w:right="760"/>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76DBC">
        <w:rPr>
          <w:rFonts w:ascii="Palatino Linotype" w:eastAsia="Palatino Linotype" w:hAnsi="Palatino Linotype" w:cs="Palatino Linotype"/>
          <w:i/>
          <w:sz w:val="22"/>
          <w:szCs w:val="22"/>
        </w:rPr>
        <w:t>.”</w:t>
      </w:r>
      <w:r w:rsidR="00B152F2"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i/>
          <w:sz w:val="22"/>
          <w:szCs w:val="22"/>
        </w:rPr>
        <w:t>(Sic)</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F95542" w:rsidRPr="00876DBC" w:rsidRDefault="00FB5225" w:rsidP="00876DBC">
      <w:pPr>
        <w:ind w:left="567" w:right="758"/>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“Artículo 12.-</w:t>
      </w:r>
      <w:r w:rsidRPr="00876DB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F95542" w:rsidRPr="00876DBC" w:rsidRDefault="00F95542" w:rsidP="00876DBC">
      <w:pPr>
        <w:ind w:left="567" w:right="758"/>
        <w:jc w:val="both"/>
        <w:rPr>
          <w:rFonts w:ascii="Palatino Linotype" w:eastAsia="Palatino Linotype" w:hAnsi="Palatino Linotype" w:cs="Palatino Linotype"/>
          <w:i/>
          <w:sz w:val="22"/>
          <w:szCs w:val="22"/>
        </w:rPr>
      </w:pPr>
    </w:p>
    <w:p w:rsidR="00F95542" w:rsidRPr="00876DBC" w:rsidRDefault="00FB5225" w:rsidP="00876DBC">
      <w:pPr>
        <w:ind w:left="567" w:right="758"/>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F95542" w:rsidRPr="00876DBC" w:rsidRDefault="00F95542" w:rsidP="00876DBC">
      <w:pPr>
        <w:spacing w:line="360" w:lineRule="auto"/>
        <w:ind w:right="-93"/>
        <w:jc w:val="both"/>
        <w:rPr>
          <w:rFonts w:ascii="Palatino Linotype" w:eastAsia="Palatino Linotype" w:hAnsi="Palatino Linotype" w:cs="Palatino Linotype"/>
        </w:rPr>
      </w:pPr>
    </w:p>
    <w:p w:rsidR="00F95542" w:rsidRPr="00876DBC" w:rsidRDefault="00FB5225" w:rsidP="00876DBC">
      <w:pPr>
        <w:spacing w:line="360" w:lineRule="auto"/>
        <w:ind w:right="-93"/>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w:t>
      </w:r>
      <w:r w:rsidRPr="00876DBC">
        <w:rPr>
          <w:rFonts w:ascii="Palatino Linotype" w:eastAsia="Palatino Linotype" w:hAnsi="Palatino Linotype" w:cs="Palatino Linotype"/>
        </w:rPr>
        <w:lastRenderedPageBreak/>
        <w:t>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F95542" w:rsidRPr="00876DBC" w:rsidRDefault="00F95542" w:rsidP="00876DBC">
      <w:pPr>
        <w:spacing w:line="360" w:lineRule="auto"/>
        <w:ind w:right="-93"/>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F95542" w:rsidRPr="00876DBC" w:rsidRDefault="00F95542" w:rsidP="00876DBC">
      <w:pPr>
        <w:spacing w:line="360" w:lineRule="auto"/>
        <w:ind w:right="49"/>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F95542" w:rsidRPr="00876DBC" w:rsidRDefault="00F95542" w:rsidP="00876DBC">
      <w:pPr>
        <w:ind w:left="851" w:right="899"/>
        <w:jc w:val="both"/>
        <w:rPr>
          <w:rFonts w:ascii="Palatino Linotype" w:eastAsia="Palatino Linotype" w:hAnsi="Palatino Linotype" w:cs="Palatino Linotype"/>
          <w:i/>
          <w:sz w:val="22"/>
          <w:szCs w:val="22"/>
        </w:rPr>
      </w:pPr>
    </w:p>
    <w:p w:rsidR="00F95542" w:rsidRPr="00876DBC" w:rsidRDefault="00FB5225" w:rsidP="00876DBC">
      <w:pPr>
        <w:ind w:left="851"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 xml:space="preserve">Artículo 3. </w:t>
      </w:r>
      <w:r w:rsidRPr="00876DBC">
        <w:rPr>
          <w:rFonts w:ascii="Palatino Linotype" w:eastAsia="Palatino Linotype" w:hAnsi="Palatino Linotype" w:cs="Palatino Linotype"/>
          <w:i/>
          <w:sz w:val="22"/>
          <w:szCs w:val="22"/>
        </w:rPr>
        <w:t>Para los efectos de la presente Ley se entenderá por:</w:t>
      </w:r>
    </w:p>
    <w:p w:rsidR="00F95542" w:rsidRPr="00876DBC" w:rsidRDefault="00FB5225" w:rsidP="00876DBC">
      <w:pPr>
        <w:ind w:left="851"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p>
    <w:p w:rsidR="00F95542" w:rsidRPr="00876DBC" w:rsidRDefault="00FB5225" w:rsidP="00876DBC">
      <w:pPr>
        <w:ind w:left="851"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XI. Documento:</w:t>
      </w:r>
      <w:r w:rsidRPr="00876DBC">
        <w:rPr>
          <w:rFonts w:ascii="Palatino Linotype" w:eastAsia="Palatino Linotype" w:hAnsi="Palatino Linotype" w:cs="Palatino Linotype"/>
          <w:i/>
          <w:sz w:val="22"/>
          <w:szCs w:val="22"/>
        </w:rPr>
        <w:t xml:space="preserve"> Los expedientes, reportes, estudios, actas</w:t>
      </w:r>
      <w:r w:rsidRPr="00876DBC">
        <w:rPr>
          <w:rFonts w:ascii="Palatino Linotype" w:eastAsia="Palatino Linotype" w:hAnsi="Palatino Linotype" w:cs="Palatino Linotype"/>
          <w:b/>
          <w:i/>
          <w:sz w:val="22"/>
          <w:szCs w:val="22"/>
        </w:rPr>
        <w:t>,</w:t>
      </w:r>
      <w:r w:rsidRPr="00876DB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F95542" w:rsidRPr="00876DBC" w:rsidRDefault="00F95542" w:rsidP="00876DBC">
      <w:pPr>
        <w:ind w:left="851" w:right="899"/>
        <w:jc w:val="both"/>
        <w:rPr>
          <w:rFonts w:ascii="Palatino Linotype" w:eastAsia="Palatino Linotype" w:hAnsi="Palatino Linotype" w:cs="Palatino Linotype"/>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F95542" w:rsidRPr="00876DBC" w:rsidRDefault="00F95542" w:rsidP="00876DBC">
      <w:pPr>
        <w:ind w:left="851" w:right="899"/>
        <w:jc w:val="both"/>
        <w:rPr>
          <w:rFonts w:ascii="Palatino Linotype" w:eastAsia="Palatino Linotype" w:hAnsi="Palatino Linotype" w:cs="Palatino Linotype"/>
        </w:rPr>
      </w:pPr>
    </w:p>
    <w:p w:rsidR="00F95542" w:rsidRPr="00876DBC" w:rsidRDefault="00FB5225" w:rsidP="00876DBC">
      <w:pPr>
        <w:ind w:left="851" w:right="899"/>
        <w:jc w:val="both"/>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sz w:val="22"/>
          <w:szCs w:val="22"/>
        </w:rPr>
        <w:t>“</w:t>
      </w:r>
      <w:r w:rsidRPr="00876DBC">
        <w:rPr>
          <w:rFonts w:ascii="Palatino Linotype" w:eastAsia="Palatino Linotype" w:hAnsi="Palatino Linotype" w:cs="Palatino Linotype"/>
          <w:b/>
          <w:i/>
          <w:sz w:val="22"/>
          <w:szCs w:val="22"/>
        </w:rPr>
        <w:t>CRITERIO 0002-11</w:t>
      </w:r>
    </w:p>
    <w:p w:rsidR="00F95542" w:rsidRPr="00876DBC" w:rsidRDefault="00FB5225" w:rsidP="00876DBC">
      <w:pPr>
        <w:ind w:left="851"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76DB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95542" w:rsidRPr="00876DBC" w:rsidRDefault="00FB5225" w:rsidP="00876DBC">
      <w:pPr>
        <w:ind w:left="851"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En consecuencia el acceso a la información se refiere a que se cumplan cualquiera de los siguientes tres supuestos:</w:t>
      </w:r>
    </w:p>
    <w:p w:rsidR="00F95542" w:rsidRPr="00876DBC" w:rsidRDefault="00FB5225" w:rsidP="00876DBC">
      <w:pPr>
        <w:ind w:left="851"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F95542" w:rsidRPr="00876DBC" w:rsidRDefault="00FB5225" w:rsidP="00876DBC">
      <w:pPr>
        <w:ind w:left="851" w:right="899"/>
        <w:jc w:val="both"/>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F95542" w:rsidRPr="00876DBC" w:rsidRDefault="00FB5225" w:rsidP="00876DBC">
      <w:pPr>
        <w:ind w:left="851" w:right="899"/>
        <w:jc w:val="both"/>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F95542" w:rsidRPr="00876DBC" w:rsidRDefault="00F95542" w:rsidP="00876DBC">
      <w:pPr>
        <w:spacing w:line="360" w:lineRule="auto"/>
        <w:ind w:right="-93"/>
        <w:jc w:val="both"/>
        <w:rPr>
          <w:rFonts w:ascii="Palatino Linotype" w:eastAsia="Palatino Linotype" w:hAnsi="Palatino Linotype" w:cs="Palatino Linotype"/>
        </w:rPr>
      </w:pPr>
    </w:p>
    <w:p w:rsidR="00F95542" w:rsidRPr="00876DBC" w:rsidRDefault="00FB5225" w:rsidP="00876DBC">
      <w:pPr>
        <w:spacing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Así la Ley del Trabajo de los Servidores Públicos del Estado de México</w:t>
      </w:r>
      <w:r w:rsidRPr="00876DBC">
        <w:rPr>
          <w:rFonts w:ascii="Palatino Linotype" w:eastAsia="Palatino Linotype" w:hAnsi="Palatino Linotype" w:cs="Palatino Linotype"/>
          <w:i/>
        </w:rPr>
        <w:t xml:space="preserve">, </w:t>
      </w:r>
      <w:r w:rsidRPr="00876DBC">
        <w:rPr>
          <w:rFonts w:ascii="Palatino Linotype" w:eastAsia="Palatino Linotype" w:hAnsi="Palatino Linotype" w:cs="Palatino Linotype"/>
        </w:rPr>
        <w:t>que tiene por objeto regular las relaciones de trabajo comprendidas entre los poderes públicos del Estado y los Municipios, y sus respectivos servidores públicos</w:t>
      </w:r>
      <w:r w:rsidRPr="00876DBC">
        <w:rPr>
          <w:rFonts w:ascii="Palatino Linotype" w:eastAsia="Palatino Linotype" w:hAnsi="Palatino Linotype" w:cs="Palatino Linotype"/>
          <w:vertAlign w:val="superscript"/>
        </w:rPr>
        <w:footnoteReference w:id="2"/>
      </w:r>
      <w:r w:rsidRPr="00876DBC">
        <w:rPr>
          <w:rFonts w:ascii="Palatino Linotype" w:eastAsia="Palatino Linotype" w:hAnsi="Palatino Linotype" w:cs="Palatino Linotype"/>
        </w:rPr>
        <w:t xml:space="preserve">, dispone que la mismas e se entienden establecidas mediante nombramiento, formato único de movimiento de personal, contrato o por cualquier otro acto que tenga como consecuencia la prestación </w:t>
      </w:r>
      <w:r w:rsidRPr="00876DBC">
        <w:rPr>
          <w:rFonts w:ascii="Palatino Linotype" w:eastAsia="Palatino Linotype" w:hAnsi="Palatino Linotype" w:cs="Palatino Linotype"/>
        </w:rPr>
        <w:lastRenderedPageBreak/>
        <w:t>personal subordinada del servicio y la percepción de un sueldo, como así lo determina en su artículo 5 que señala:</w:t>
      </w:r>
    </w:p>
    <w:p w:rsidR="00F95542" w:rsidRPr="00876DBC" w:rsidRDefault="00FB5225" w:rsidP="00876DBC">
      <w:pPr>
        <w:spacing w:after="120"/>
        <w:ind w:left="851" w:right="902"/>
        <w:jc w:val="both"/>
        <w:rPr>
          <w:rFonts w:ascii="Palatino Linotype" w:eastAsia="Palatino Linotype" w:hAnsi="Palatino Linotype" w:cs="Palatino Linotype"/>
          <w:i/>
          <w:sz w:val="22"/>
          <w:szCs w:val="22"/>
          <w:u w:val="single"/>
        </w:rPr>
      </w:pPr>
      <w:r w:rsidRPr="00876DBC">
        <w:rPr>
          <w:rFonts w:ascii="Palatino Linotype" w:eastAsia="Palatino Linotype" w:hAnsi="Palatino Linotype" w:cs="Palatino Linotype"/>
          <w:i/>
          <w:sz w:val="22"/>
          <w:szCs w:val="22"/>
        </w:rPr>
        <w:t xml:space="preserve">“ARTÍCULO 5.- La relación de trabajo entre las instituciones públicas y sus servidores públicos se entiende establecida </w:t>
      </w:r>
      <w:r w:rsidRPr="00876DBC">
        <w:rPr>
          <w:rFonts w:ascii="Palatino Linotype" w:eastAsia="Palatino Linotype" w:hAnsi="Palatino Linotype" w:cs="Palatino Linotype"/>
          <w:i/>
          <w:sz w:val="22"/>
          <w:szCs w:val="22"/>
          <w:u w:val="single"/>
        </w:rPr>
        <w:t xml:space="preserve">mediante nombramiento, formato único de movimiento de personal, contrato o por cualquier otro acto que tenga como consecuencia la prestación personal subordinada del servicio y la percepción de un sueldo. </w:t>
      </w:r>
    </w:p>
    <w:p w:rsidR="00F95542" w:rsidRPr="00876DBC" w:rsidRDefault="00FB5225" w:rsidP="00876DBC">
      <w:pPr>
        <w:spacing w:before="120" w:after="120"/>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Para los efectos de esta ley, las instituciones públicas estarán representadas por sus titulares.” (Sic)</w:t>
      </w:r>
    </w:p>
    <w:p w:rsidR="00F95542" w:rsidRPr="00876DBC" w:rsidRDefault="00F95542" w:rsidP="00876DBC">
      <w:pPr>
        <w:spacing w:before="240" w:after="240" w:line="360" w:lineRule="auto"/>
        <w:jc w:val="both"/>
        <w:rPr>
          <w:rFonts w:ascii="Palatino Linotype" w:eastAsia="Palatino Linotype" w:hAnsi="Palatino Linotype" w:cs="Palatino Linotype"/>
        </w:rPr>
      </w:pPr>
    </w:p>
    <w:p w:rsidR="00F95542" w:rsidRPr="00876DBC" w:rsidRDefault="00FB5225" w:rsidP="00876DBC">
      <w:pPr>
        <w:spacing w:before="240" w:after="240"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Por su parte el artículo 45 de la misma ley refiere que los servidores públicos prestarán sus servicios mediante nombramiento, contrato o formato único de Movimientos de Personal y este será </w:t>
      </w:r>
      <w:r w:rsidR="00B152F2" w:rsidRPr="00876DBC">
        <w:rPr>
          <w:rFonts w:ascii="Palatino Linotype" w:eastAsia="Palatino Linotype" w:hAnsi="Palatino Linotype" w:cs="Palatino Linotype"/>
        </w:rPr>
        <w:t>requisitos indispensables</w:t>
      </w:r>
      <w:r w:rsidRPr="00876DBC">
        <w:rPr>
          <w:rFonts w:ascii="Palatino Linotype" w:eastAsia="Palatino Linotype" w:hAnsi="Palatino Linotype" w:cs="Palatino Linotype"/>
        </w:rPr>
        <w:t xml:space="preserve"> para poder iniciar la prestación de servicios como lo señala la fracción I del </w:t>
      </w:r>
      <w:r w:rsidR="00B152F2" w:rsidRPr="00876DBC">
        <w:rPr>
          <w:rFonts w:ascii="Palatino Linotype" w:eastAsia="Palatino Linotype" w:hAnsi="Palatino Linotype" w:cs="Palatino Linotype"/>
        </w:rPr>
        <w:t>artículo</w:t>
      </w:r>
      <w:r w:rsidRPr="00876DBC">
        <w:rPr>
          <w:rFonts w:ascii="Palatino Linotype" w:eastAsia="Palatino Linotype" w:hAnsi="Palatino Linotype" w:cs="Palatino Linotype"/>
        </w:rPr>
        <w:t xml:space="preserve"> 48 del mismo ordenamiento, ambos que se citan a continuación:</w:t>
      </w:r>
    </w:p>
    <w:p w:rsidR="00F95542" w:rsidRPr="00876DBC" w:rsidRDefault="00FB5225" w:rsidP="00876DBC">
      <w:pPr>
        <w:ind w:left="851" w:right="901"/>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“ARTÍCULO 45.-</w:t>
      </w:r>
      <w:r w:rsidRPr="00876DBC">
        <w:rPr>
          <w:rFonts w:ascii="Palatino Linotype" w:eastAsia="Palatino Linotype" w:hAnsi="Palatino Linotype" w:cs="Palatino Linotype"/>
          <w:i/>
          <w:sz w:val="22"/>
          <w:szCs w:val="22"/>
        </w:rPr>
        <w:t xml:space="preserve"> Los servidores públicos prestarán sus servicios mediante nombramiento, contrato o formato único de Movimientos de Personal expedidos por quien estuviere facultado legalmente para extenderlo. </w:t>
      </w:r>
    </w:p>
    <w:p w:rsidR="00F95542" w:rsidRPr="00876DBC" w:rsidRDefault="00F95542" w:rsidP="00876DBC">
      <w:pPr>
        <w:ind w:left="851" w:right="901"/>
        <w:jc w:val="both"/>
        <w:rPr>
          <w:rFonts w:ascii="Palatino Linotype" w:eastAsia="Palatino Linotype" w:hAnsi="Palatino Linotype" w:cs="Palatino Linotype"/>
          <w:b/>
          <w:i/>
          <w:sz w:val="22"/>
          <w:szCs w:val="22"/>
        </w:rPr>
      </w:pPr>
    </w:p>
    <w:p w:rsidR="00F95542" w:rsidRPr="00876DBC" w:rsidRDefault="00FB5225" w:rsidP="00876DBC">
      <w:pPr>
        <w:ind w:left="851" w:right="901"/>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ARTÍCULO 48</w:t>
      </w:r>
      <w:r w:rsidRPr="00876DBC">
        <w:rPr>
          <w:rFonts w:ascii="Palatino Linotype" w:eastAsia="Palatino Linotype" w:hAnsi="Palatino Linotype" w:cs="Palatino Linotype"/>
          <w:i/>
          <w:sz w:val="22"/>
          <w:szCs w:val="22"/>
        </w:rPr>
        <w:t xml:space="preserve">. Para iniciar la prestación de los servicios se requiere: </w:t>
      </w:r>
    </w:p>
    <w:p w:rsidR="00F95542" w:rsidRPr="00876DBC" w:rsidRDefault="00FB5225" w:rsidP="00876DBC">
      <w:pPr>
        <w:ind w:left="851" w:right="901"/>
        <w:jc w:val="both"/>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 xml:space="preserve">I. Tener conferido el nombramiento, contrato respectivo o formato único de Movimientos de Personal; </w:t>
      </w:r>
    </w:p>
    <w:p w:rsidR="00F95542" w:rsidRPr="00876DBC" w:rsidRDefault="00FB5225" w:rsidP="00876DBC">
      <w:pPr>
        <w:ind w:left="851" w:right="901"/>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 xml:space="preserve">II. Rendir la protesta de ley en caso de nombramiento; y </w:t>
      </w:r>
    </w:p>
    <w:p w:rsidR="00F95542" w:rsidRPr="00876DBC" w:rsidRDefault="00FB5225" w:rsidP="00876DBC">
      <w:pPr>
        <w:ind w:left="851" w:right="901"/>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III. Tomar posesión del cargo.”</w:t>
      </w:r>
    </w:p>
    <w:p w:rsidR="00F95542" w:rsidRPr="00876DBC" w:rsidRDefault="00FB5225" w:rsidP="00876DBC">
      <w:pPr>
        <w:ind w:left="851" w:right="901"/>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 xml:space="preserve">(Énfasis añadido) </w:t>
      </w:r>
    </w:p>
    <w:p w:rsidR="00F95542" w:rsidRPr="00876DBC" w:rsidRDefault="00F95542" w:rsidP="00876DBC">
      <w:pPr>
        <w:spacing w:before="240" w:after="240" w:line="360" w:lineRule="auto"/>
        <w:jc w:val="both"/>
        <w:rPr>
          <w:rFonts w:ascii="Palatino Linotype" w:eastAsia="Palatino Linotype" w:hAnsi="Palatino Linotype" w:cs="Palatino Linotype"/>
        </w:rPr>
      </w:pPr>
    </w:p>
    <w:p w:rsidR="00F95542" w:rsidRPr="00876DBC" w:rsidRDefault="00FB5225" w:rsidP="00876DBC">
      <w:pPr>
        <w:spacing w:before="240" w:after="240"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En tal sentido, si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refiere que no cuenta con </w:t>
      </w:r>
      <w:r w:rsidR="00B152F2" w:rsidRPr="00876DBC">
        <w:rPr>
          <w:rFonts w:ascii="Palatino Linotype" w:eastAsia="Palatino Linotype" w:hAnsi="Palatino Linotype" w:cs="Palatino Linotype"/>
        </w:rPr>
        <w:t>un nombramiento</w:t>
      </w:r>
      <w:r w:rsidRPr="00876DBC">
        <w:rPr>
          <w:rFonts w:ascii="Palatino Linotype" w:eastAsia="Palatino Linotype" w:hAnsi="Palatino Linotype" w:cs="Palatino Linotype"/>
        </w:rPr>
        <w:t xml:space="preserve">, este si puede contar con contrato o formato </w:t>
      </w:r>
      <w:r w:rsidR="00B152F2" w:rsidRPr="00876DBC">
        <w:rPr>
          <w:rFonts w:ascii="Palatino Linotype" w:eastAsia="Palatino Linotype" w:hAnsi="Palatino Linotype" w:cs="Palatino Linotype"/>
        </w:rPr>
        <w:t>único</w:t>
      </w:r>
      <w:r w:rsidRPr="00876DBC">
        <w:rPr>
          <w:rFonts w:ascii="Palatino Linotype" w:eastAsia="Palatino Linotype" w:hAnsi="Palatino Linotype" w:cs="Palatino Linotype"/>
        </w:rPr>
        <w:t xml:space="preserve"> de movimientos que son los otros dos documentos que la Ley del Trabajo de los Servidores Públicos del Estado de México</w:t>
      </w:r>
      <w:r w:rsidRPr="00876DBC">
        <w:rPr>
          <w:rFonts w:ascii="Palatino Linotype" w:eastAsia="Palatino Linotype" w:hAnsi="Palatino Linotype" w:cs="Palatino Linotype"/>
          <w:i/>
        </w:rPr>
        <w:t xml:space="preserve"> </w:t>
      </w:r>
      <w:r w:rsidR="00B152F2" w:rsidRPr="00876DBC">
        <w:rPr>
          <w:rFonts w:ascii="Palatino Linotype" w:eastAsia="Palatino Linotype" w:hAnsi="Palatino Linotype" w:cs="Palatino Linotype"/>
        </w:rPr>
        <w:t>prevé</w:t>
      </w:r>
      <w:r w:rsidRPr="00876DBC">
        <w:rPr>
          <w:rFonts w:ascii="Palatino Linotype" w:eastAsia="Palatino Linotype" w:hAnsi="Palatino Linotype" w:cs="Palatino Linotype"/>
        </w:rPr>
        <w:t xml:space="preserve"> además del </w:t>
      </w:r>
      <w:r w:rsidR="00B152F2" w:rsidRPr="00876DBC">
        <w:rPr>
          <w:rFonts w:ascii="Palatino Linotype" w:eastAsia="Palatino Linotype" w:hAnsi="Palatino Linotype" w:cs="Palatino Linotype"/>
        </w:rPr>
        <w:t>nombramiento</w:t>
      </w:r>
      <w:r w:rsidRPr="00876DBC">
        <w:rPr>
          <w:rFonts w:ascii="Palatino Linotype" w:eastAsia="Palatino Linotype" w:hAnsi="Palatino Linotype" w:cs="Palatino Linotype"/>
        </w:rPr>
        <w:t xml:space="preserve"> para acreditar la relación laboral del ente público y el servidor público que en el labora.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Así a efecto de privilegiar el derecho de Acceso a la Información Pública del particular, lo p</w:t>
      </w:r>
      <w:r w:rsidR="00B152F2" w:rsidRPr="00876DBC">
        <w:rPr>
          <w:rFonts w:ascii="Palatino Linotype" w:eastAsia="Palatino Linotype" w:hAnsi="Palatino Linotype" w:cs="Palatino Linotype"/>
        </w:rPr>
        <w:t>rocedente</w:t>
      </w:r>
      <w:r w:rsidRPr="00876DBC">
        <w:rPr>
          <w:rFonts w:ascii="Palatino Linotype" w:eastAsia="Palatino Linotype" w:hAnsi="Palatino Linotype" w:cs="Palatino Linotype"/>
        </w:rPr>
        <w:t xml:space="preserve"> es ordenarle al </w:t>
      </w:r>
      <w:r w:rsidRPr="00876DBC">
        <w:rPr>
          <w:rFonts w:ascii="Palatino Linotype" w:eastAsia="Palatino Linotype" w:hAnsi="Palatino Linotype" w:cs="Palatino Linotype"/>
          <w:b/>
        </w:rPr>
        <w:t>SUEJTO OBLIGADO</w:t>
      </w:r>
      <w:r w:rsidRPr="00876DBC">
        <w:rPr>
          <w:rFonts w:ascii="Palatino Linotype" w:eastAsia="Palatino Linotype" w:hAnsi="Palatino Linotype" w:cs="Palatino Linotype"/>
        </w:rPr>
        <w:t xml:space="preserve"> haga entrega del soporte documental de ser necesario en versión pública, donde conste el nombramiento, contrato o formato único de movimiento de personal del Director de Construcción Operación y Mantenimiento vigente al diecisiete de octubre de dos mil veintidós.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Por lo que hace la parte del acto impugnado en donde el particular refiere </w:t>
      </w:r>
      <w:r w:rsidRPr="00876DBC">
        <w:rPr>
          <w:rFonts w:ascii="Palatino Linotype" w:eastAsia="Palatino Linotype" w:hAnsi="Palatino Linotype" w:cs="Palatino Linotype"/>
          <w:i/>
        </w:rPr>
        <w:t>“entonces que explique bajo que fundamento o base legal desempeña dicho cargo”</w:t>
      </w:r>
      <w:r w:rsidRPr="00876DBC">
        <w:rPr>
          <w:rFonts w:ascii="Palatino Linotype" w:eastAsia="Palatino Linotype" w:hAnsi="Palatino Linotype" w:cs="Palatino Linotype"/>
        </w:rPr>
        <w:t xml:space="preserve"> es dable señalar que dicha petición no se advierte dentro de la solicitud de información primigenia, por lo que debe considerarse una petición adicional. </w:t>
      </w:r>
    </w:p>
    <w:p w:rsidR="00F95542" w:rsidRPr="00876DBC" w:rsidRDefault="00F95542" w:rsidP="00876DBC">
      <w:pPr>
        <w:widowControl w:val="0"/>
        <w:tabs>
          <w:tab w:val="left" w:pos="1701"/>
          <w:tab w:val="left" w:pos="1843"/>
        </w:tabs>
        <w:spacing w:line="360" w:lineRule="auto"/>
        <w:ind w:right="-92"/>
        <w:jc w:val="both"/>
        <w:rPr>
          <w:rFonts w:ascii="Palatino Linotype" w:eastAsia="Palatino Linotype" w:hAnsi="Palatino Linotype" w:cs="Palatino Linotype"/>
        </w:rPr>
      </w:pPr>
    </w:p>
    <w:p w:rsidR="00F95542" w:rsidRPr="00876DBC" w:rsidRDefault="00FB5225" w:rsidP="00876DBC">
      <w:pPr>
        <w:widowControl w:val="0"/>
        <w:tabs>
          <w:tab w:val="left" w:pos="1701"/>
          <w:tab w:val="left" w:pos="1843"/>
        </w:tabs>
        <w:spacing w:line="360" w:lineRule="auto"/>
        <w:ind w:right="-92"/>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De manera que, si bien es cierto que este Órgano Garante tiene como objetivo el promover el acceso a la información, que se verifica mediante el trámite de las </w:t>
      </w:r>
      <w:r w:rsidRPr="00876DBC">
        <w:rPr>
          <w:rFonts w:ascii="Palatino Linotype" w:eastAsia="Palatino Linotype" w:hAnsi="Palatino Linotype" w:cs="Palatino Linotype"/>
        </w:rPr>
        <w:lastRenderedPageBreak/>
        <w:t xml:space="preserve">solicitudes de información hechas por los ciudadanos, también es cierto que dentro de todo procedimiento existen reglas que deben respetarse para así resguardar el derecho al debido proceso que consagra la Constitución Política de los Estados Unidos Mexicanos, en su artículo 14; por lo que cada normatividad contiene las disposiciones referentes a las formalidades que deberán observarse y dentro de estas, se encuentran lo momentos procesales oportunos para cada actuación. </w:t>
      </w:r>
    </w:p>
    <w:p w:rsidR="00F95542" w:rsidRPr="00876DBC" w:rsidRDefault="00F95542" w:rsidP="00876DBC">
      <w:pPr>
        <w:widowControl w:val="0"/>
        <w:tabs>
          <w:tab w:val="left" w:pos="1701"/>
          <w:tab w:val="left" w:pos="1843"/>
        </w:tabs>
        <w:spacing w:after="200" w:line="360" w:lineRule="auto"/>
        <w:ind w:right="-92"/>
        <w:jc w:val="both"/>
        <w:rPr>
          <w:rFonts w:ascii="Palatino Linotype" w:eastAsia="Palatino Linotype" w:hAnsi="Palatino Linotype" w:cs="Palatino Linotype"/>
        </w:rPr>
      </w:pPr>
    </w:p>
    <w:p w:rsidR="00F95542" w:rsidRPr="00876DBC" w:rsidRDefault="00FB5225" w:rsidP="00876DBC">
      <w:pPr>
        <w:widowControl w:val="0"/>
        <w:tabs>
          <w:tab w:val="left" w:pos="1701"/>
          <w:tab w:val="left" w:pos="1843"/>
        </w:tabs>
        <w:spacing w:line="360" w:lineRule="auto"/>
        <w:ind w:right="-92"/>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Es por ello, </w:t>
      </w:r>
      <w:r w:rsidR="00B152F2" w:rsidRPr="00876DBC">
        <w:rPr>
          <w:rFonts w:ascii="Palatino Linotype" w:eastAsia="Palatino Linotype" w:hAnsi="Palatino Linotype" w:cs="Palatino Linotype"/>
        </w:rPr>
        <w:t>que las</w:t>
      </w:r>
      <w:r w:rsidRPr="00876DBC">
        <w:rPr>
          <w:rFonts w:ascii="Palatino Linotype" w:eastAsia="Palatino Linotype" w:hAnsi="Palatino Linotype" w:cs="Palatino Linotype"/>
        </w:rPr>
        <w:t xml:space="preserve"> solicitudes novedosas deben considerarse como </w:t>
      </w:r>
      <w:r w:rsidRPr="00876DBC">
        <w:rPr>
          <w:rFonts w:ascii="Palatino Linotype" w:eastAsia="Palatino Linotype" w:hAnsi="Palatino Linotype" w:cs="Palatino Linotype"/>
          <w:b/>
        </w:rPr>
        <w:t>inoperantes,</w:t>
      </w:r>
      <w:r w:rsidRPr="00876DBC">
        <w:rPr>
          <w:rFonts w:ascii="Palatino Linotype" w:eastAsia="Palatino Linotype" w:hAnsi="Palatino Linotype" w:cs="Palatino Linotype"/>
        </w:rPr>
        <w:t xml:space="preserve"> al tratarse de una petición adicional o </w:t>
      </w:r>
      <w:r w:rsidRPr="00876DBC">
        <w:rPr>
          <w:rFonts w:ascii="Palatino Linotype" w:eastAsia="Palatino Linotype" w:hAnsi="Palatino Linotype" w:cs="Palatino Linotype"/>
          <w:i/>
        </w:rPr>
        <w:t xml:space="preserve">plus </w:t>
      </w:r>
      <w:proofErr w:type="spellStart"/>
      <w:r w:rsidRPr="00876DBC">
        <w:rPr>
          <w:rFonts w:ascii="Palatino Linotype" w:eastAsia="Palatino Linotype" w:hAnsi="Palatino Linotype" w:cs="Palatino Linotype"/>
          <w:i/>
        </w:rPr>
        <w:t>petitio</w:t>
      </w:r>
      <w:proofErr w:type="spellEnd"/>
      <w:r w:rsidRPr="00876DBC">
        <w:rPr>
          <w:rFonts w:ascii="Palatino Linotype" w:eastAsia="Palatino Linotype" w:hAnsi="Palatino Linotype" w:cs="Palatino Linotype"/>
        </w:rPr>
        <w:t xml:space="preserve">; pues el Recurso de Revisión es una garantía para ejercer los derechos y opera en contra de las respuestas emitidas por los Sujetos Obligados, o en su caso, de la falta de ellas, las cuales deben derivarse de una solicitud original. </w:t>
      </w:r>
    </w:p>
    <w:p w:rsidR="00F95542" w:rsidRPr="00876DBC" w:rsidRDefault="00F95542" w:rsidP="00876DBC">
      <w:pPr>
        <w:widowControl w:val="0"/>
        <w:spacing w:before="120" w:line="360" w:lineRule="auto"/>
        <w:jc w:val="both"/>
        <w:rPr>
          <w:rFonts w:ascii="Palatino Linotype" w:eastAsia="Palatino Linotype" w:hAnsi="Palatino Linotype" w:cs="Palatino Linotype"/>
        </w:rPr>
      </w:pPr>
    </w:p>
    <w:p w:rsidR="00F95542" w:rsidRPr="00876DBC" w:rsidRDefault="00FB5225" w:rsidP="00876DBC">
      <w:pPr>
        <w:widowControl w:val="0"/>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Por lo que, al existir una nueva petición dentro del Recurso de Revisión, este Instituto no puede pronunciarse sobre ella, pues el momento procesal oportuno para ello es al interponer la solicitud, para que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pertinente pueda emitir una respuesta o no y con ello, este Órgano Garante pueda analizarla y emitir una resolución con respecto de la misma.</w:t>
      </w:r>
    </w:p>
    <w:p w:rsidR="00F95542" w:rsidRPr="00876DBC" w:rsidRDefault="00F95542" w:rsidP="00876DBC">
      <w:pPr>
        <w:widowControl w:val="0"/>
        <w:spacing w:after="200" w:line="360" w:lineRule="auto"/>
        <w:jc w:val="both"/>
        <w:rPr>
          <w:rFonts w:ascii="Palatino Linotype" w:eastAsia="Palatino Linotype" w:hAnsi="Palatino Linotype" w:cs="Palatino Linotype"/>
        </w:rPr>
      </w:pPr>
    </w:p>
    <w:p w:rsidR="00F95542" w:rsidRPr="00876DBC" w:rsidRDefault="00FB5225" w:rsidP="00876DBC">
      <w:pPr>
        <w:widowControl w:val="0"/>
        <w:spacing w:after="200"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Sobre lo anterior versa el criterio 27/2010 del entonces Instituto Federal de Acceso a la </w:t>
      </w:r>
      <w:r w:rsidRPr="00876DBC">
        <w:rPr>
          <w:rFonts w:ascii="Palatino Linotype" w:eastAsia="Palatino Linotype" w:hAnsi="Palatino Linotype" w:cs="Palatino Linotype"/>
        </w:rPr>
        <w:lastRenderedPageBreak/>
        <w:t xml:space="preserve">Información y Protección de Datos Personales ahora Instituto Nacional de Transparencia, Acceso a la Información y Protección de Datos Personales en donde establece lo siguiente: </w:t>
      </w:r>
    </w:p>
    <w:p w:rsidR="00F95542" w:rsidRPr="00876DBC" w:rsidRDefault="00FB5225" w:rsidP="00876DBC">
      <w:pPr>
        <w:widowControl w:val="0"/>
        <w:spacing w:before="120" w:after="120"/>
        <w:ind w:left="850"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“Es improcedente ampliar las solicitudes de acceso a información pública o datos personales, a través de la interposición del recurso de revisión.</w:t>
      </w:r>
      <w:r w:rsidRPr="00876DBC">
        <w:rPr>
          <w:rFonts w:ascii="Palatino Linotype" w:eastAsia="Palatino Linotype" w:hAnsi="Palatino Linotype" w:cs="Palatino Linotype"/>
          <w:i/>
          <w:sz w:val="22"/>
          <w:szCs w:val="22"/>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F95542" w:rsidRPr="00876DBC" w:rsidRDefault="00F95542" w:rsidP="00876DBC">
      <w:pPr>
        <w:widowControl w:val="0"/>
        <w:spacing w:before="120" w:after="120" w:line="360" w:lineRule="auto"/>
        <w:jc w:val="both"/>
        <w:rPr>
          <w:rFonts w:ascii="Palatino Linotype" w:eastAsia="Palatino Linotype" w:hAnsi="Palatino Linotype" w:cs="Palatino Linotype"/>
        </w:rPr>
      </w:pPr>
    </w:p>
    <w:p w:rsidR="00F95542" w:rsidRPr="00876DBC" w:rsidRDefault="00FB5225" w:rsidP="00876DBC">
      <w:pPr>
        <w:widowControl w:val="0"/>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Del precepto anterior se desprende que aquellos requerimientos que no se encuentren establecidos desde el origen de la solicitud de acceso a la información, o en su caso busquen ampliar la misma no podrán ser materia del recurso que se resuelva; no obstante, los recurrentes podrán ejercer su derecho a realizar una nueva solicitud, en los términos establecidos por la ley de la materia. </w:t>
      </w:r>
    </w:p>
    <w:p w:rsidR="00F95542" w:rsidRPr="00876DBC" w:rsidRDefault="00F95542" w:rsidP="00876DBC">
      <w:pPr>
        <w:widowControl w:val="0"/>
        <w:spacing w:line="360" w:lineRule="auto"/>
        <w:jc w:val="both"/>
        <w:rPr>
          <w:rFonts w:ascii="Palatino Linotype" w:eastAsia="Palatino Linotype" w:hAnsi="Palatino Linotype" w:cs="Palatino Linotype"/>
        </w:rPr>
      </w:pPr>
    </w:p>
    <w:p w:rsidR="00F95542" w:rsidRPr="00876DBC" w:rsidRDefault="00FB5225" w:rsidP="00876DBC">
      <w:pPr>
        <w:widowControl w:val="0"/>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Así también, sirve de apoyo la siguiente tesis jurisprudencial, con número VI. 2º. A. J/7, publicada en el Semanario Judicial de la Federación y su gaceta, bajo el número de registro 178,788:</w:t>
      </w:r>
    </w:p>
    <w:p w:rsidR="00F95542" w:rsidRPr="00876DBC" w:rsidRDefault="00FB5225" w:rsidP="00876DBC">
      <w:pPr>
        <w:spacing w:before="120" w:after="120" w:line="276" w:lineRule="auto"/>
        <w:ind w:left="709" w:right="70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sz w:val="22"/>
          <w:szCs w:val="22"/>
        </w:rPr>
        <w:t>“</w:t>
      </w:r>
      <w:r w:rsidRPr="00876DBC">
        <w:rPr>
          <w:rFonts w:ascii="Palatino Linotype" w:eastAsia="Palatino Linotype" w:hAnsi="Palatino Linotype" w:cs="Palatino Linotype"/>
          <w:i/>
          <w:sz w:val="22"/>
          <w:szCs w:val="22"/>
        </w:rPr>
        <w:t xml:space="preserve">CONCEPTOS DE VIOLACIÓN EN EL AMPARO DIRECTO. </w:t>
      </w:r>
      <w:r w:rsidRPr="00876DBC">
        <w:rPr>
          <w:rFonts w:ascii="Palatino Linotype" w:eastAsia="Palatino Linotype" w:hAnsi="Palatino Linotype" w:cs="Palatino Linotype"/>
          <w:b/>
          <w:i/>
          <w:sz w:val="22"/>
          <w:szCs w:val="22"/>
        </w:rPr>
        <w:t xml:space="preserve">INOPERANCIA DE LOS QUE INTRODUCEN CUESTIONAMIENTOS NOVEDOSOS QUE NO </w:t>
      </w:r>
      <w:r w:rsidRPr="00876DBC">
        <w:rPr>
          <w:rFonts w:ascii="Palatino Linotype" w:eastAsia="Palatino Linotype" w:hAnsi="Palatino Linotype" w:cs="Palatino Linotype"/>
          <w:b/>
          <w:i/>
          <w:sz w:val="22"/>
          <w:szCs w:val="22"/>
        </w:rPr>
        <w:lastRenderedPageBreak/>
        <w:t>FUERON PLANTEADOS EN EL JUICIO NATURAL</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Si en los conceptos de violación se formulan argumentos que no se plantearon</w:t>
      </w:r>
      <w:r w:rsidRPr="00876DBC">
        <w:rPr>
          <w:rFonts w:ascii="Palatino Linotype" w:eastAsia="Palatino Linotype" w:hAnsi="Palatino Linotype" w:cs="Palatino Linotype"/>
          <w:i/>
          <w:sz w:val="22"/>
          <w:szCs w:val="22"/>
        </w:rPr>
        <w:t xml:space="preserve"> ante la Sala Fiscal que dictó la sentencia que constituye el acto reclamado, </w:t>
      </w:r>
      <w:r w:rsidRPr="00876DBC">
        <w:rPr>
          <w:rFonts w:ascii="Palatino Linotype" w:eastAsia="Palatino Linotype" w:hAnsi="Palatino Linotype" w:cs="Palatino Linotype"/>
          <w:b/>
          <w:i/>
          <w:sz w:val="22"/>
          <w:szCs w:val="22"/>
        </w:rPr>
        <w:t xml:space="preserve">los mismos son </w:t>
      </w:r>
      <w:r w:rsidRPr="00876DBC">
        <w:rPr>
          <w:rFonts w:ascii="Palatino Linotype" w:eastAsia="Palatino Linotype" w:hAnsi="Palatino Linotype" w:cs="Palatino Linotype"/>
          <w:i/>
          <w:sz w:val="22"/>
          <w:szCs w:val="22"/>
        </w:rPr>
        <w:t xml:space="preserve">inoperantes, toda vez que resultaría injustificado examinar la constitucionalidad de la sentencia combatida </w:t>
      </w:r>
      <w:r w:rsidRPr="00876DBC">
        <w:rPr>
          <w:rFonts w:ascii="Palatino Linotype" w:eastAsia="Palatino Linotype" w:hAnsi="Palatino Linotype" w:cs="Palatino Linotype"/>
          <w:b/>
          <w:i/>
          <w:sz w:val="22"/>
          <w:szCs w:val="22"/>
        </w:rPr>
        <w:t>a la luz de razonamientos que no conoció la autoridad responsable</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 xml:space="preserve">pues como tales manifestaciones no formaron parte de la </w:t>
      </w:r>
      <w:proofErr w:type="spellStart"/>
      <w:r w:rsidRPr="00876DBC">
        <w:rPr>
          <w:rFonts w:ascii="Palatino Linotype" w:eastAsia="Palatino Linotype" w:hAnsi="Palatino Linotype" w:cs="Palatino Linotype"/>
          <w:b/>
          <w:i/>
          <w:sz w:val="22"/>
          <w:szCs w:val="22"/>
        </w:rPr>
        <w:t>litis</w:t>
      </w:r>
      <w:proofErr w:type="spellEnd"/>
      <w:r w:rsidRPr="00876DBC">
        <w:rPr>
          <w:rFonts w:ascii="Palatino Linotype" w:eastAsia="Palatino Linotype" w:hAnsi="Palatino Linotype" w:cs="Palatino Linotype"/>
          <w:b/>
          <w:i/>
          <w:sz w:val="22"/>
          <w:szCs w:val="22"/>
        </w:rPr>
        <w:t xml:space="preserve"> natural</w:t>
      </w:r>
      <w:r w:rsidRPr="00876DBC">
        <w:rPr>
          <w:rFonts w:ascii="Palatino Linotype" w:eastAsia="Palatino Linotype" w:hAnsi="Palatino Linotype" w:cs="Palatino Linotype"/>
          <w:i/>
          <w:sz w:val="22"/>
          <w:szCs w:val="22"/>
        </w:rPr>
        <w:t xml:space="preserve">, la Sala </w:t>
      </w:r>
      <w:r w:rsidRPr="00876DBC">
        <w:rPr>
          <w:rFonts w:ascii="Palatino Linotype" w:eastAsia="Palatino Linotype" w:hAnsi="Palatino Linotype" w:cs="Palatino Linotype"/>
          <w:b/>
          <w:i/>
          <w:sz w:val="22"/>
          <w:szCs w:val="22"/>
        </w:rPr>
        <w:t>no tuvo la oportunidad legal de analizarlas ni de pronunciarse sobre ellas</w:t>
      </w:r>
      <w:r w:rsidRPr="00876DBC">
        <w:rPr>
          <w:rFonts w:ascii="Palatino Linotype" w:eastAsia="Palatino Linotype" w:hAnsi="Palatino Linotype" w:cs="Palatino Linotype"/>
          <w:i/>
          <w:sz w:val="22"/>
          <w:szCs w:val="22"/>
        </w:rPr>
        <w:t>.</w:t>
      </w:r>
    </w:p>
    <w:p w:rsidR="00F95542" w:rsidRPr="00876DBC" w:rsidRDefault="00FB5225" w:rsidP="00876DBC">
      <w:pPr>
        <w:spacing w:before="120" w:after="120" w:line="276" w:lineRule="auto"/>
        <w:ind w:left="709" w:right="49"/>
        <w:jc w:val="both"/>
        <w:rPr>
          <w:rFonts w:ascii="Palatino Linotype" w:eastAsia="Palatino Linotype" w:hAnsi="Palatino Linotype" w:cs="Palatino Linotype"/>
          <w:sz w:val="22"/>
          <w:szCs w:val="22"/>
        </w:rPr>
      </w:pPr>
      <w:r w:rsidRPr="00876DBC">
        <w:rPr>
          <w:rFonts w:ascii="Palatino Linotype" w:eastAsia="Palatino Linotype" w:hAnsi="Palatino Linotype" w:cs="Palatino Linotype"/>
          <w:sz w:val="22"/>
          <w:szCs w:val="22"/>
        </w:rPr>
        <w:t xml:space="preserve"> (Énfasis añadido)</w:t>
      </w:r>
    </w:p>
    <w:p w:rsidR="00F95542" w:rsidRPr="00876DBC" w:rsidRDefault="00FB5225" w:rsidP="00876DBC">
      <w:pPr>
        <w:spacing w:before="280" w:after="280"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Los criterios antes citados aplican al caso en concreto ya que de las manifestaciones vertidas por </w:t>
      </w:r>
      <w:r w:rsidRPr="00876DBC">
        <w:rPr>
          <w:rFonts w:ascii="Palatino Linotype" w:eastAsia="Palatino Linotype" w:hAnsi="Palatino Linotype" w:cs="Palatino Linotype"/>
          <w:b/>
        </w:rPr>
        <w:t>EL</w:t>
      </w:r>
      <w:r w:rsidRPr="00876DBC">
        <w:rPr>
          <w:rFonts w:ascii="Palatino Linotype" w:eastAsia="Palatino Linotype" w:hAnsi="Palatino Linotype" w:cs="Palatino Linotype"/>
        </w:rPr>
        <w:t xml:space="preserve"> </w:t>
      </w:r>
      <w:r w:rsidRPr="00876DBC">
        <w:rPr>
          <w:rFonts w:ascii="Palatino Linotype" w:eastAsia="Palatino Linotype" w:hAnsi="Palatino Linotype" w:cs="Palatino Linotype"/>
          <w:b/>
        </w:rPr>
        <w:t>RECURRENTE</w:t>
      </w:r>
      <w:r w:rsidRPr="00876DBC">
        <w:rPr>
          <w:rFonts w:ascii="Palatino Linotype" w:eastAsia="Palatino Linotype" w:hAnsi="Palatino Linotype" w:cs="Palatino Linotype"/>
        </w:rPr>
        <w:t xml:space="preserve"> en su impugnación de la respuesta que dio el </w:t>
      </w:r>
      <w:r w:rsidRPr="00876DBC">
        <w:rPr>
          <w:rFonts w:ascii="Palatino Linotype" w:eastAsia="Palatino Linotype" w:hAnsi="Palatino Linotype" w:cs="Palatino Linotype"/>
          <w:b/>
        </w:rPr>
        <w:t>SUJETO OBLIGADO</w:t>
      </w:r>
      <w:r w:rsidRPr="00876DBC">
        <w:rPr>
          <w:rFonts w:ascii="Palatino Linotype" w:eastAsia="Palatino Linotype" w:hAnsi="Palatino Linotype" w:cs="Palatino Linotype"/>
        </w:rPr>
        <w:t xml:space="preserve"> se aprecia información que al ser novedosa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no puede pronunciarse sobre ellos y este Órgano Garante no puede calificar dicha respuesta, únicamente puede pronunciarse sobre la respuesta emitida con motivo de las peticiones hechas en la solicitud primigenia.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tabs>
          <w:tab w:val="left" w:pos="709"/>
        </w:tabs>
        <w:spacing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Por </w:t>
      </w:r>
      <w:r w:rsidR="00B152F2" w:rsidRPr="00876DBC">
        <w:rPr>
          <w:rFonts w:ascii="Palatino Linotype" w:eastAsia="Palatino Linotype" w:hAnsi="Palatino Linotype" w:cs="Palatino Linotype"/>
        </w:rPr>
        <w:t>último</w:t>
      </w:r>
      <w:r w:rsidRPr="00876DBC">
        <w:rPr>
          <w:rFonts w:ascii="Palatino Linotype" w:eastAsia="Palatino Linotype" w:hAnsi="Palatino Linotype" w:cs="Palatino Linotype"/>
        </w:rPr>
        <w:t xml:space="preserve">, en caso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sidRPr="00876DBC">
        <w:rPr>
          <w:rFonts w:ascii="Palatino Linotype" w:eastAsia="Palatino Linotype" w:hAnsi="Palatino Linotype" w:cs="Palatino Linotype"/>
          <w:b/>
        </w:rPr>
        <w:t>SUJETO OBLIGADO</w:t>
      </w:r>
      <w:r w:rsidRPr="00876DBC">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w:t>
      </w:r>
      <w:r w:rsidRPr="00876DBC">
        <w:rPr>
          <w:rFonts w:ascii="Palatino Linotype" w:eastAsia="Palatino Linotype" w:hAnsi="Palatino Linotype" w:cs="Palatino Linotype"/>
        </w:rPr>
        <w:lastRenderedPageBreak/>
        <w:t>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Por ende,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95542" w:rsidRPr="00876DBC" w:rsidRDefault="00FB5225" w:rsidP="00876DBC">
      <w:pPr>
        <w:ind w:left="851" w:right="902"/>
        <w:jc w:val="center"/>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Ley de Transparencia y Acceso a la Información Pública del Estado de México y Municipios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 xml:space="preserve">Artículo 49. </w:t>
      </w:r>
      <w:r w:rsidRPr="00876DBC">
        <w:rPr>
          <w:rFonts w:ascii="Palatino Linotype" w:eastAsia="Palatino Linotype" w:hAnsi="Palatino Linotype" w:cs="Palatino Linotype"/>
          <w:i/>
          <w:sz w:val="22"/>
          <w:szCs w:val="22"/>
        </w:rPr>
        <w:t>Los Comités de Transparencia tendrán las siguientes atribuciones: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VIII.</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Aprobar</w:t>
      </w:r>
      <w:r w:rsidRPr="00876DBC">
        <w:rPr>
          <w:rFonts w:ascii="Palatino Linotype" w:eastAsia="Palatino Linotype" w:hAnsi="Palatino Linotype" w:cs="Palatino Linotype"/>
          <w:i/>
          <w:sz w:val="22"/>
          <w:szCs w:val="22"/>
        </w:rPr>
        <w:t>, modificar o revocar la clasificación de la información;</w:t>
      </w:r>
    </w:p>
    <w:p w:rsidR="00F95542" w:rsidRPr="00876DBC" w:rsidRDefault="00FB5225" w:rsidP="00876DBC">
      <w:pPr>
        <w:ind w:left="851" w:right="902"/>
        <w:jc w:val="both"/>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Artículo 132.</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La clasificación de la información se llevará a cabo en el momento en que:</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II.</w:t>
      </w:r>
      <w:r w:rsidRPr="00876DBC">
        <w:rPr>
          <w:rFonts w:ascii="Palatino Linotype" w:eastAsia="Palatino Linotype" w:hAnsi="Palatino Linotype" w:cs="Palatino Linotype"/>
          <w:i/>
          <w:sz w:val="22"/>
          <w:szCs w:val="22"/>
        </w:rPr>
        <w:t xml:space="preserve"> Se determine mediante resolución de autoridad competente; o</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lastRenderedPageBreak/>
        <w:t>III</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Se generen versiones públicas para dar cumplimiento a las obligaciones de transparencia previstas en esta Ley</w:t>
      </w:r>
      <w:r w:rsidRPr="00876DBC">
        <w:rPr>
          <w:rFonts w:ascii="Palatino Linotype" w:eastAsia="Palatino Linotype" w:hAnsi="Palatino Linotype" w:cs="Palatino Linotype"/>
          <w:i/>
          <w:sz w:val="22"/>
          <w:szCs w:val="22"/>
        </w:rPr>
        <w:t>.”</w:t>
      </w:r>
    </w:p>
    <w:p w:rsidR="00F95542" w:rsidRPr="00876DBC" w:rsidRDefault="00FB5225" w:rsidP="00876DBC">
      <w:pPr>
        <w:ind w:left="851" w:right="902"/>
        <w:jc w:val="center"/>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Lineamientos Generales en materia de Clasificación y Desclasificación de la Información</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Segundo.-</w:t>
      </w:r>
      <w:r w:rsidRPr="00876DBC">
        <w:rPr>
          <w:rFonts w:ascii="Palatino Linotype" w:eastAsia="Palatino Linotype" w:hAnsi="Palatino Linotype" w:cs="Palatino Linotype"/>
          <w:i/>
          <w:sz w:val="22"/>
          <w:szCs w:val="22"/>
        </w:rPr>
        <w:t xml:space="preserve"> Para efectos de los presentes Lineamientos Generales, se entenderá por:</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XVIII.</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Versión pública:</w:t>
      </w:r>
      <w:r w:rsidRPr="00876DB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76DBC">
        <w:rPr>
          <w:rFonts w:ascii="Palatino Linotype" w:eastAsia="Palatino Linotype" w:hAnsi="Palatino Linotype" w:cs="Palatino Linotype"/>
          <w:b/>
          <w:i/>
          <w:sz w:val="22"/>
          <w:szCs w:val="22"/>
        </w:rPr>
        <w:t>fundando y motivando la</w:t>
      </w:r>
      <w:r w:rsidRPr="00876DBC">
        <w:rPr>
          <w:rFonts w:ascii="Palatino Linotype" w:eastAsia="Palatino Linotype" w:hAnsi="Palatino Linotype" w:cs="Palatino Linotype"/>
          <w:i/>
          <w:sz w:val="22"/>
          <w:szCs w:val="22"/>
        </w:rPr>
        <w:t xml:space="preserve"> reserva o </w:t>
      </w:r>
      <w:r w:rsidRPr="00876DBC">
        <w:rPr>
          <w:rFonts w:ascii="Palatino Linotype" w:eastAsia="Palatino Linotype" w:hAnsi="Palatino Linotype" w:cs="Palatino Linotype"/>
          <w:b/>
          <w:i/>
          <w:sz w:val="22"/>
          <w:szCs w:val="22"/>
        </w:rPr>
        <w:t>confidencialidad</w:t>
      </w:r>
      <w:r w:rsidRPr="00876DBC">
        <w:rPr>
          <w:rFonts w:ascii="Palatino Linotype" w:eastAsia="Palatino Linotype" w:hAnsi="Palatino Linotype" w:cs="Palatino Linotype"/>
          <w:i/>
          <w:sz w:val="22"/>
          <w:szCs w:val="22"/>
        </w:rPr>
        <w:t>, a través de la resolución que para tal efecto emita el Comité de Transparencia.</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Cuarto.</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Para clasificar la información como</w:t>
      </w:r>
      <w:r w:rsidRPr="00876DBC">
        <w:rPr>
          <w:rFonts w:ascii="Palatino Linotype" w:eastAsia="Palatino Linotype" w:hAnsi="Palatino Linotype" w:cs="Palatino Linotype"/>
          <w:i/>
          <w:sz w:val="22"/>
          <w:szCs w:val="22"/>
        </w:rPr>
        <w:t xml:space="preserve"> reservada o </w:t>
      </w:r>
      <w:r w:rsidRPr="00876DB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76DB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Quinto.</w:t>
      </w:r>
      <w:r w:rsidRPr="00876DB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Sexto.</w:t>
      </w:r>
      <w:r w:rsidRPr="00876DB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Séptimo.</w:t>
      </w:r>
      <w:r w:rsidRPr="00876DBC">
        <w:rPr>
          <w:rFonts w:ascii="Palatino Linotype" w:eastAsia="Palatino Linotype" w:hAnsi="Palatino Linotype" w:cs="Palatino Linotype"/>
          <w:i/>
          <w:sz w:val="22"/>
          <w:szCs w:val="22"/>
        </w:rPr>
        <w:t xml:space="preserve"> La clasificación de la información se llevará a cabo en el momento en que:</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I.</w:t>
      </w:r>
      <w:r w:rsidRPr="00876DBC">
        <w:rPr>
          <w:rFonts w:ascii="Palatino Linotype" w:eastAsia="Palatino Linotype" w:hAnsi="Palatino Linotype" w:cs="Palatino Linotype"/>
          <w:i/>
          <w:sz w:val="22"/>
          <w:szCs w:val="22"/>
        </w:rPr>
        <w:t xml:space="preserve"> Se reciba una solicitud de acceso a la información;</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lastRenderedPageBreak/>
        <w:t>II.</w:t>
      </w:r>
      <w:r w:rsidRPr="00876DBC">
        <w:rPr>
          <w:rFonts w:ascii="Palatino Linotype" w:eastAsia="Palatino Linotype" w:hAnsi="Palatino Linotype" w:cs="Palatino Linotype"/>
          <w:i/>
          <w:sz w:val="22"/>
          <w:szCs w:val="22"/>
        </w:rPr>
        <w:t xml:space="preserve"> Se determine mediante resolución de autoridad competente, o</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III.</w:t>
      </w:r>
      <w:r w:rsidRPr="00876DB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Octavo.</w:t>
      </w:r>
      <w:r w:rsidRPr="00876DB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Noveno.</w:t>
      </w:r>
      <w:r w:rsidRPr="00876DB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Décimo.</w:t>
      </w:r>
      <w:r w:rsidRPr="00876DB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Décimo primero.</w:t>
      </w:r>
      <w:r w:rsidRPr="00876DB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F95542" w:rsidRPr="00876DBC" w:rsidRDefault="00F95542" w:rsidP="00876DBC">
      <w:pPr>
        <w:ind w:left="851" w:right="902"/>
        <w:jc w:val="both"/>
        <w:rPr>
          <w:rFonts w:ascii="Palatino Linotype" w:eastAsia="Palatino Linotype" w:hAnsi="Palatino Linotype" w:cs="Palatino Linotype"/>
          <w:i/>
          <w:sz w:val="22"/>
          <w:szCs w:val="22"/>
        </w:rPr>
      </w:pPr>
    </w:p>
    <w:p w:rsidR="00F95542" w:rsidRPr="00876DBC" w:rsidRDefault="00FB5225" w:rsidP="00876DBC">
      <w:pPr>
        <w:ind w:left="850" w:right="901"/>
        <w:jc w:val="center"/>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CAPÍTULO VIII</w:t>
      </w:r>
    </w:p>
    <w:p w:rsidR="00F95542" w:rsidRPr="00876DBC" w:rsidRDefault="00FB5225" w:rsidP="00876DBC">
      <w:pPr>
        <w:ind w:left="850" w:right="901"/>
        <w:jc w:val="center"/>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DE LA LEYENDA DE CLASIFICACIÓN</w:t>
      </w:r>
    </w:p>
    <w:p w:rsidR="00F95542" w:rsidRPr="00876DBC" w:rsidRDefault="00FB5225" w:rsidP="00876DBC">
      <w:pPr>
        <w:ind w:left="850" w:right="901"/>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 xml:space="preserve">Quincuagésimo. </w:t>
      </w:r>
      <w:r w:rsidRPr="00876DBC">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876DBC">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F95542" w:rsidRPr="00876DBC" w:rsidRDefault="00FB5225" w:rsidP="00876DBC">
      <w:pPr>
        <w:ind w:left="850" w:right="901"/>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p>
    <w:p w:rsidR="00F95542" w:rsidRPr="00876DBC" w:rsidRDefault="00FB5225" w:rsidP="00876DBC">
      <w:pPr>
        <w:ind w:left="850" w:right="901"/>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 xml:space="preserve">Quincuagésimo tercero. </w:t>
      </w:r>
      <w:r w:rsidRPr="00876DBC">
        <w:rPr>
          <w:rFonts w:ascii="Palatino Linotype" w:eastAsia="Palatino Linotype" w:hAnsi="Palatino Linotype" w:cs="Palatino Linotype"/>
          <w:b/>
          <w:i/>
          <w:sz w:val="22"/>
          <w:szCs w:val="22"/>
          <w:u w:val="single"/>
        </w:rPr>
        <w:t>El formato para señalar la clasificación parcial de un documento</w:t>
      </w:r>
      <w:r w:rsidRPr="00876DBC">
        <w:rPr>
          <w:rFonts w:ascii="Palatino Linotype" w:eastAsia="Palatino Linotype" w:hAnsi="Palatino Linotype" w:cs="Palatino Linotype"/>
          <w:i/>
          <w:sz w:val="22"/>
          <w:szCs w:val="22"/>
        </w:rPr>
        <w:t>, es el siguiente:</w:t>
      </w:r>
    </w:p>
    <w:p w:rsidR="00F95542" w:rsidRPr="00876DBC" w:rsidRDefault="00F95542" w:rsidP="00876DBC">
      <w:pPr>
        <w:ind w:left="850" w:right="901"/>
        <w:jc w:val="both"/>
        <w:rPr>
          <w:rFonts w:ascii="Palatino Linotype" w:eastAsia="Palatino Linotype" w:hAnsi="Palatino Linotype" w:cs="Palatino Linotype"/>
          <w:i/>
          <w:sz w:val="22"/>
          <w:szCs w:val="22"/>
        </w:rPr>
      </w:pPr>
    </w:p>
    <w:tbl>
      <w:tblPr>
        <w:tblStyle w:val="affffffffff5"/>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F95542" w:rsidRPr="00876DBC">
        <w:trPr>
          <w:jc w:val="center"/>
        </w:trPr>
        <w:tc>
          <w:tcPr>
            <w:tcW w:w="1129" w:type="dxa"/>
            <w:tcBorders>
              <w:top w:val="single" w:sz="4" w:space="0" w:color="000000"/>
              <w:left w:val="single" w:sz="4" w:space="0" w:color="000000"/>
              <w:bottom w:val="single" w:sz="4" w:space="0" w:color="000000"/>
              <w:right w:val="single" w:sz="4" w:space="0" w:color="000000"/>
            </w:tcBorders>
          </w:tcPr>
          <w:p w:rsidR="00F95542" w:rsidRPr="00876DBC" w:rsidRDefault="00F95542" w:rsidP="00876DBC">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b/>
                <w:i/>
              </w:rPr>
            </w:pPr>
            <w:r w:rsidRPr="00876DBC">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b/>
                <w:i/>
              </w:rPr>
            </w:pPr>
            <w:r w:rsidRPr="00876DBC">
              <w:rPr>
                <w:rFonts w:ascii="Palatino Linotype" w:eastAsia="Palatino Linotype" w:hAnsi="Palatino Linotype" w:cs="Palatino Linotype"/>
                <w:b/>
                <w:i/>
              </w:rPr>
              <w:t>Dónde:</w:t>
            </w:r>
          </w:p>
        </w:tc>
      </w:tr>
      <w:tr w:rsidR="00F95542" w:rsidRPr="00876DBC">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F95542" w:rsidRPr="00876DBC" w:rsidRDefault="00FB5225" w:rsidP="00876DBC">
            <w:pPr>
              <w:jc w:val="center"/>
              <w:rPr>
                <w:rFonts w:ascii="Palatino Linotype" w:eastAsia="Palatino Linotype" w:hAnsi="Palatino Linotype" w:cs="Palatino Linotype"/>
                <w:b/>
                <w:i/>
              </w:rPr>
            </w:pPr>
            <w:r w:rsidRPr="00876DBC">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Se anotará la fecha en la que el Comité de Transparencia confirmó la clasificación del documento, en su caso.</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Se señalará el nombre del área del cual es titular quien clasifica.</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876DBC">
              <w:rPr>
                <w:rFonts w:ascii="Palatino Linotype" w:eastAsia="Palatino Linotype" w:hAnsi="Palatino Linotype" w:cs="Palatino Linotype"/>
                <w:i/>
              </w:rPr>
              <w:t>anotarán</w:t>
            </w:r>
            <w:proofErr w:type="gramEnd"/>
            <w:r w:rsidRPr="00876DBC">
              <w:rPr>
                <w:rFonts w:ascii="Palatino Linotype" w:eastAsia="Palatino Linotype" w:hAnsi="Palatino Linotype" w:cs="Palatino Linotype"/>
                <w:i/>
              </w:rPr>
              <w:t xml:space="preserve"> todas las páginas que lo conforman. Si el documento no contiene información reservada, se tachará este apartado.</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Se anotará el número de años o meses por los que se mantendrá el documento o las partes del mismo como reservado.</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Se señalará el nombre del ordenamiento, el o los artículos, fracción(es), párrafo(s) con base en los cuales se sustente la reserva.</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b/>
                <w:i/>
                <w:u w:val="single"/>
              </w:rPr>
            </w:pPr>
            <w:r w:rsidRPr="00876DBC">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 xml:space="preserve">Se indicarán, en su caso, </w:t>
            </w:r>
            <w:r w:rsidRPr="00876DBC">
              <w:rPr>
                <w:rFonts w:ascii="Palatino Linotype" w:eastAsia="Palatino Linotype" w:hAnsi="Palatino Linotype" w:cs="Palatino Linotype"/>
                <w:b/>
                <w:i/>
                <w:u w:val="single"/>
              </w:rPr>
              <w:t>las partes o páginas del documento que se clasifica como confidencial</w:t>
            </w:r>
            <w:r w:rsidRPr="00876DBC">
              <w:rPr>
                <w:rFonts w:ascii="Palatino Linotype" w:eastAsia="Palatino Linotype" w:hAnsi="Palatino Linotype" w:cs="Palatino Linotype"/>
                <w:i/>
              </w:rPr>
              <w:t xml:space="preserve">. </w:t>
            </w:r>
            <w:r w:rsidRPr="00876DBC">
              <w:rPr>
                <w:rFonts w:ascii="Palatino Linotype" w:eastAsia="Palatino Linotype" w:hAnsi="Palatino Linotype" w:cs="Palatino Linotype"/>
                <w:b/>
                <w:i/>
                <w:u w:val="single"/>
              </w:rPr>
              <w:t>Si el documento fuera confidencial en su totalidad, se anotarán todas las páginas que lo conforman</w:t>
            </w:r>
            <w:r w:rsidRPr="00876DBC">
              <w:rPr>
                <w:rFonts w:ascii="Palatino Linotype" w:eastAsia="Palatino Linotype" w:hAnsi="Palatino Linotype" w:cs="Palatino Linotype"/>
                <w:i/>
              </w:rPr>
              <w:t>. Si el documento no contiene información confidencial, se tachará este apartado.</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Rúbrica autógrafa de quien clasifica.</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both"/>
              <w:rPr>
                <w:rFonts w:ascii="Palatino Linotype" w:eastAsia="Palatino Linotype" w:hAnsi="Palatino Linotype" w:cs="Palatino Linotype"/>
                <w:i/>
              </w:rPr>
            </w:pPr>
            <w:r w:rsidRPr="00876DBC">
              <w:rPr>
                <w:rFonts w:ascii="Palatino Linotype" w:eastAsia="Palatino Linotype" w:hAnsi="Palatino Linotype" w:cs="Palatino Linotype"/>
                <w:i/>
              </w:rPr>
              <w:t>Se anotará la fecha en que se desclasifica el documento.</w:t>
            </w:r>
          </w:p>
        </w:tc>
      </w:tr>
      <w:tr w:rsidR="00F95542" w:rsidRPr="00876DBC">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F95542" w:rsidRPr="00876DBC" w:rsidRDefault="00F95542" w:rsidP="00876DBC">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F95542" w:rsidRPr="00876DBC" w:rsidRDefault="00FB5225" w:rsidP="00876DBC">
            <w:pPr>
              <w:jc w:val="center"/>
              <w:rPr>
                <w:rFonts w:ascii="Palatino Linotype" w:eastAsia="Palatino Linotype" w:hAnsi="Palatino Linotype" w:cs="Palatino Linotype"/>
                <w:i/>
              </w:rPr>
            </w:pPr>
            <w:r w:rsidRPr="00876DBC">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F95542" w:rsidRPr="00876DBC" w:rsidRDefault="00FB5225" w:rsidP="00876DBC">
            <w:pPr>
              <w:rPr>
                <w:rFonts w:ascii="Palatino Linotype" w:eastAsia="Palatino Linotype" w:hAnsi="Palatino Linotype" w:cs="Palatino Linotype"/>
                <w:i/>
              </w:rPr>
            </w:pPr>
            <w:r w:rsidRPr="00876DBC">
              <w:rPr>
                <w:rFonts w:ascii="Palatino Linotype" w:eastAsia="Palatino Linotype" w:hAnsi="Palatino Linotype" w:cs="Palatino Linotype"/>
                <w:i/>
              </w:rPr>
              <w:t>Rúbrica autógrafa de quien desclasifica.</w:t>
            </w:r>
          </w:p>
        </w:tc>
      </w:tr>
    </w:tbl>
    <w:p w:rsidR="00F95542" w:rsidRPr="00876DBC" w:rsidRDefault="00FB5225" w:rsidP="00876DBC">
      <w:pPr>
        <w:ind w:left="709" w:right="709"/>
        <w:jc w:val="both"/>
        <w:rPr>
          <w:rFonts w:ascii="Palatino Linotype" w:eastAsia="Palatino Linotype" w:hAnsi="Palatino Linotype" w:cs="Palatino Linotype"/>
          <w:sz w:val="22"/>
          <w:szCs w:val="22"/>
        </w:rPr>
      </w:pPr>
      <w:r w:rsidRPr="00876DBC">
        <w:rPr>
          <w:rFonts w:ascii="Palatino Linotype" w:eastAsia="Palatino Linotype" w:hAnsi="Palatino Linotype" w:cs="Palatino Linotype"/>
          <w:sz w:val="22"/>
          <w:szCs w:val="22"/>
        </w:rPr>
        <w:t>(Énfasis Añadido)</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lastRenderedPageBreak/>
        <w:t xml:space="preserve">Es importante referir que,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876DBC">
        <w:rPr>
          <w:rFonts w:ascii="Palatino Linotype" w:eastAsia="Palatino Linotype" w:hAnsi="Palatino Linotype" w:cs="Palatino Linotype"/>
          <w:b/>
        </w:rPr>
        <w:t xml:space="preserve"> </w:t>
      </w:r>
      <w:r w:rsidRPr="00876DBC">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Siendo relevante seña</w:t>
      </w:r>
      <w:r w:rsidR="00B152F2" w:rsidRPr="00876DBC">
        <w:rPr>
          <w:rFonts w:ascii="Palatino Linotype" w:eastAsia="Palatino Linotype" w:hAnsi="Palatino Linotype" w:cs="Palatino Linotype"/>
        </w:rPr>
        <w:t xml:space="preserve">lar </w:t>
      </w:r>
      <w:r w:rsidRPr="00876DBC">
        <w:rPr>
          <w:rFonts w:ascii="Palatino Linotype" w:eastAsia="Palatino Linotype" w:hAnsi="Palatino Linotype" w:cs="Palatino Linotype"/>
        </w:rPr>
        <w:t xml:space="preserve">que </w:t>
      </w:r>
      <w:r w:rsidRPr="00876DBC">
        <w:rPr>
          <w:rFonts w:ascii="Palatino Linotype" w:eastAsia="Palatino Linotype" w:hAnsi="Palatino Linotype" w:cs="Palatino Linotype"/>
          <w:b/>
        </w:rPr>
        <w:t xml:space="preserve">EL SUJETO OBLIGADO </w:t>
      </w:r>
      <w:r w:rsidRPr="00876DBC">
        <w:rPr>
          <w:rFonts w:ascii="Palatino Linotype" w:eastAsia="Palatino Linotype" w:hAnsi="Palatino Linotype" w:cs="Palatino Linotype"/>
        </w:rPr>
        <w:t>deberá omitir, eliminar o suprimir la información personal de los servidores públicos, como lo es (de manera enunciativa más no limitativa), el Registro Federal de Contribuyentes (RFC), Clave única de Registro de Población (CURP), clave del Instituto de Seguridad Social del Estado de México y Municipios (</w:t>
      </w:r>
      <w:proofErr w:type="spellStart"/>
      <w:r w:rsidRPr="00876DBC">
        <w:rPr>
          <w:rFonts w:ascii="Palatino Linotype" w:eastAsia="Palatino Linotype" w:hAnsi="Palatino Linotype" w:cs="Palatino Linotype"/>
        </w:rPr>
        <w:t>ISSEMyM</w:t>
      </w:r>
      <w:proofErr w:type="spellEnd"/>
      <w:r w:rsidRPr="00876DBC">
        <w:rPr>
          <w:rFonts w:ascii="Palatino Linotype" w:eastAsia="Palatino Linotype" w:hAnsi="Palatino Linotype" w:cs="Palatino Linotype"/>
        </w:rPr>
        <w:t xml:space="preserve">), los descuentos que se realicen por pensión alimenticia o deducciones estrictamente personales o de cualquier índole siempre que, no se encuentren relacionados con los impuestos o las cuotas por seguridad social, </w:t>
      </w:r>
      <w:r w:rsidRPr="00876DBC">
        <w:rPr>
          <w:rFonts w:ascii="Palatino Linotype" w:eastAsia="Palatino Linotype" w:hAnsi="Palatino Linotype" w:cs="Palatino Linotype"/>
        </w:rPr>
        <w:lastRenderedPageBreak/>
        <w:t>número de cuenta o cualquier otro dato que ponga en riesgo la vida, seguridad y salud de dichas personas.</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876DBC">
        <w:rPr>
          <w:rFonts w:ascii="Palatino Linotype" w:eastAsia="Palatino Linotype" w:hAnsi="Palatino Linotype" w:cs="Palatino Linotype"/>
        </w:rPr>
        <w:t>homoclave</w:t>
      </w:r>
      <w:proofErr w:type="spellEnd"/>
      <w:r w:rsidRPr="00876DBC">
        <w:rPr>
          <w:rFonts w:ascii="Palatino Linotype" w:eastAsia="Palatino Linotype" w:hAnsi="Palatino Linotype" w:cs="Palatino Linotype"/>
        </w:rPr>
        <w:t>, la cual para su obtención es necesario acreditar personalidad con documentos oficiales.</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rPr>
        <w:t>Al respecto, es aplicable el Criterio 19/17 de la Segunda Época, emitido por el INAI, que dice:</w:t>
      </w:r>
      <w:r w:rsidRPr="00876DBC">
        <w:rPr>
          <w:rFonts w:ascii="Palatino Linotype" w:eastAsia="Palatino Linotype" w:hAnsi="Palatino Linotype" w:cs="Palatino Linotype"/>
          <w:b/>
        </w:rPr>
        <w:t xml:space="preserve"> </w:t>
      </w:r>
    </w:p>
    <w:p w:rsidR="00F95542" w:rsidRPr="00876DBC" w:rsidRDefault="00F95542" w:rsidP="00876DBC">
      <w:pPr>
        <w:tabs>
          <w:tab w:val="left" w:pos="7655"/>
        </w:tabs>
        <w:ind w:left="851" w:right="902"/>
        <w:jc w:val="both"/>
        <w:rPr>
          <w:rFonts w:ascii="Palatino Linotype" w:eastAsia="Palatino Linotype" w:hAnsi="Palatino Linotype" w:cs="Palatino Linotype"/>
          <w:i/>
          <w:sz w:val="22"/>
          <w:szCs w:val="22"/>
        </w:rPr>
      </w:pPr>
    </w:p>
    <w:p w:rsidR="00F95542" w:rsidRPr="00876DBC" w:rsidRDefault="00FB5225" w:rsidP="00876DBC">
      <w:pPr>
        <w:tabs>
          <w:tab w:val="left" w:pos="7655"/>
        </w:tabs>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Registro Federal de Contribuyentes (RFC) de personas físicas. El RFC es una clave</w:t>
      </w:r>
      <w:r w:rsidRPr="00876DBC">
        <w:rPr>
          <w:rFonts w:ascii="Palatino Linotype" w:eastAsia="Palatino Linotype" w:hAnsi="Palatino Linotype" w:cs="Palatino Linotype"/>
          <w:i/>
          <w:sz w:val="22"/>
          <w:szCs w:val="22"/>
        </w:rPr>
        <w:t xml:space="preserve"> de carácter fiscal, única e irrepetible, </w:t>
      </w:r>
      <w:r w:rsidRPr="00876DBC">
        <w:rPr>
          <w:rFonts w:ascii="Palatino Linotype" w:eastAsia="Palatino Linotype" w:hAnsi="Palatino Linotype" w:cs="Palatino Linotype"/>
          <w:b/>
          <w:i/>
          <w:sz w:val="22"/>
          <w:szCs w:val="22"/>
        </w:rPr>
        <w:t>que permite identificar al titular, su edad y fecha de nacimiento</w:t>
      </w:r>
      <w:r w:rsidRPr="00876DBC">
        <w:rPr>
          <w:rFonts w:ascii="Palatino Linotype" w:eastAsia="Palatino Linotype" w:hAnsi="Palatino Linotype" w:cs="Palatino Linotype"/>
          <w:i/>
          <w:sz w:val="22"/>
          <w:szCs w:val="22"/>
        </w:rPr>
        <w:t xml:space="preserve">, por lo que </w:t>
      </w:r>
      <w:r w:rsidRPr="00876DBC">
        <w:rPr>
          <w:rFonts w:ascii="Palatino Linotype" w:eastAsia="Palatino Linotype" w:hAnsi="Palatino Linotype" w:cs="Palatino Linotype"/>
          <w:b/>
          <w:i/>
          <w:sz w:val="22"/>
          <w:szCs w:val="22"/>
        </w:rPr>
        <w:t>es un dato personal de carácter confidencial</w:t>
      </w:r>
      <w:r w:rsidRPr="00876DBC">
        <w:rPr>
          <w:rFonts w:ascii="Palatino Linotype" w:eastAsia="Palatino Linotype" w:hAnsi="Palatino Linotype" w:cs="Palatino Linotype"/>
          <w:i/>
          <w:sz w:val="22"/>
          <w:szCs w:val="22"/>
        </w:rPr>
        <w:t>.” (Sic)</w:t>
      </w:r>
    </w:p>
    <w:p w:rsidR="00F95542" w:rsidRPr="00876DBC" w:rsidRDefault="00F95542" w:rsidP="00876DBC">
      <w:pPr>
        <w:tabs>
          <w:tab w:val="left" w:pos="7655"/>
        </w:tabs>
        <w:ind w:left="851" w:right="902"/>
        <w:jc w:val="both"/>
        <w:rPr>
          <w:rFonts w:ascii="Palatino Linotype" w:eastAsia="Palatino Linotype" w:hAnsi="Palatino Linotype" w:cs="Palatino Linotype"/>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w:t>
      </w:r>
      <w:r w:rsidRPr="00876DBC">
        <w:rPr>
          <w:rFonts w:ascii="Palatino Linotype" w:eastAsia="Palatino Linotype" w:hAnsi="Palatino Linotype" w:cs="Palatino Linotype"/>
        </w:rPr>
        <w:lastRenderedPageBreak/>
        <w:t>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Por cuanto hace a la CURP</w:t>
      </w:r>
      <w:r w:rsidRPr="00876DBC">
        <w:rPr>
          <w:rFonts w:ascii="Palatino Linotype" w:eastAsia="Palatino Linotype" w:hAnsi="Palatino Linotype" w:cs="Palatino Linotype"/>
          <w:b/>
        </w:rPr>
        <w:t xml:space="preserve">, </w:t>
      </w:r>
      <w:r w:rsidRPr="00876DBC">
        <w:rPr>
          <w:rFonts w:ascii="Palatino Linotype" w:eastAsia="Palatino Linotype" w:hAnsi="Palatino Linotype" w:cs="Palatino Linotype"/>
        </w:rPr>
        <w:t>constituye un dato personal, que tiene como fin llevar registro de cada a cada una de las personas que integran la población del país, se tiene como sustento los artículos 86 y 91 de la Ley General de Población, la cual señala lo siguiente:</w:t>
      </w:r>
    </w:p>
    <w:p w:rsidR="00F95542" w:rsidRPr="00876DBC" w:rsidRDefault="00F95542" w:rsidP="00876DBC">
      <w:pPr>
        <w:jc w:val="both"/>
        <w:rPr>
          <w:rFonts w:ascii="Palatino Linotype" w:eastAsia="Palatino Linotype" w:hAnsi="Palatino Linotype" w:cs="Palatino Linotype"/>
        </w:rPr>
      </w:pP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 xml:space="preserve">Artículo 86. </w:t>
      </w:r>
      <w:r w:rsidRPr="00876DBC">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F95542" w:rsidRPr="00876DBC" w:rsidRDefault="00F95542" w:rsidP="00876DBC">
      <w:pPr>
        <w:ind w:left="851" w:right="902"/>
        <w:jc w:val="both"/>
        <w:rPr>
          <w:rFonts w:ascii="Palatino Linotype" w:eastAsia="Palatino Linotype" w:hAnsi="Palatino Linotype" w:cs="Palatino Linotype"/>
          <w:i/>
          <w:sz w:val="22"/>
          <w:szCs w:val="22"/>
        </w:rPr>
      </w:pP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Artículo 91. Al incorporar a una persona en el Registro Nacional de Población</w:t>
      </w:r>
      <w:r w:rsidRPr="00876DBC">
        <w:rPr>
          <w:rFonts w:ascii="Palatino Linotype" w:eastAsia="Palatino Linotype" w:hAnsi="Palatino Linotype" w:cs="Palatino Linotype"/>
          <w:i/>
          <w:sz w:val="22"/>
          <w:szCs w:val="22"/>
        </w:rPr>
        <w:t xml:space="preserve">, se le asignará una clave </w:t>
      </w:r>
      <w:r w:rsidRPr="00876DBC">
        <w:rPr>
          <w:rFonts w:ascii="Palatino Linotype" w:eastAsia="Palatino Linotype" w:hAnsi="Palatino Linotype" w:cs="Palatino Linotype"/>
          <w:b/>
          <w:i/>
          <w:sz w:val="22"/>
          <w:szCs w:val="22"/>
        </w:rPr>
        <w:t>que se denominará Clave Única de Registro de Población</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Esta servirá para</w:t>
      </w:r>
      <w:r w:rsidRPr="00876DBC">
        <w:rPr>
          <w:rFonts w:ascii="Palatino Linotype" w:eastAsia="Palatino Linotype" w:hAnsi="Palatino Linotype" w:cs="Palatino Linotype"/>
          <w:i/>
          <w:sz w:val="22"/>
          <w:szCs w:val="22"/>
        </w:rPr>
        <w:t xml:space="preserve"> registrarla e </w:t>
      </w:r>
      <w:r w:rsidRPr="00876DBC">
        <w:rPr>
          <w:rFonts w:ascii="Palatino Linotype" w:eastAsia="Palatino Linotype" w:hAnsi="Palatino Linotype" w:cs="Palatino Linotype"/>
          <w:b/>
          <w:i/>
          <w:sz w:val="22"/>
          <w:szCs w:val="22"/>
        </w:rPr>
        <w:t>identificarla en forma individual</w:t>
      </w:r>
      <w:r w:rsidRPr="00876DBC">
        <w:rPr>
          <w:rFonts w:ascii="Palatino Linotype" w:eastAsia="Palatino Linotype" w:hAnsi="Palatino Linotype" w:cs="Palatino Linotype"/>
          <w:i/>
          <w:sz w:val="22"/>
          <w:szCs w:val="22"/>
        </w:rPr>
        <w:t xml:space="preserve">.” </w:t>
      </w:r>
    </w:p>
    <w:p w:rsidR="00F95542" w:rsidRPr="00876DBC" w:rsidRDefault="00FB5225" w:rsidP="00876DBC">
      <w:pPr>
        <w:ind w:left="851" w:right="902"/>
        <w:jc w:val="both"/>
        <w:rPr>
          <w:rFonts w:ascii="Palatino Linotype" w:eastAsia="Palatino Linotype" w:hAnsi="Palatino Linotype" w:cs="Palatino Linotype"/>
          <w:sz w:val="22"/>
          <w:szCs w:val="22"/>
        </w:rPr>
      </w:pPr>
      <w:r w:rsidRPr="00876DBC">
        <w:rPr>
          <w:rFonts w:ascii="Palatino Linotype" w:eastAsia="Palatino Linotype" w:hAnsi="Palatino Linotype" w:cs="Palatino Linotype"/>
          <w:sz w:val="22"/>
          <w:szCs w:val="22"/>
        </w:rPr>
        <w:t>(Énfasis añadido)</w:t>
      </w:r>
    </w:p>
    <w:p w:rsidR="00F95542" w:rsidRPr="00876DBC" w:rsidRDefault="00F95542" w:rsidP="00876DBC">
      <w:pPr>
        <w:ind w:left="851" w:right="902"/>
        <w:jc w:val="both"/>
        <w:rPr>
          <w:rFonts w:ascii="Palatino Linotype" w:eastAsia="Palatino Linotype" w:hAnsi="Palatino Linotype" w:cs="Palatino Linotype"/>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w:t>
      </w:r>
      <w:r w:rsidRPr="00876DBC">
        <w:rPr>
          <w:rFonts w:ascii="Palatino Linotype" w:eastAsia="Palatino Linotype" w:hAnsi="Palatino Linotype" w:cs="Palatino Linotype"/>
        </w:rPr>
        <w:lastRenderedPageBreak/>
        <w:t xml:space="preserve">último la primera letra del nombre; fecha de nacimiento año/mes/día; sexo; Entidad Federativa de nacimiento; consonantes internas del nombre y apellidos; un diferenciador de homonimia y siglo; y un digito verificador, que garantizan la correcta integración. </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Al respecto, el INAI, a través del Criterio 18/17 de la Segunda Época, señala lo siguiente:</w:t>
      </w:r>
    </w:p>
    <w:p w:rsidR="00F95542" w:rsidRPr="00876DBC" w:rsidRDefault="00F95542" w:rsidP="00876DBC">
      <w:pPr>
        <w:ind w:left="851" w:right="902"/>
        <w:jc w:val="both"/>
        <w:rPr>
          <w:rFonts w:ascii="Palatino Linotype" w:eastAsia="Palatino Linotype" w:hAnsi="Palatino Linotype" w:cs="Palatino Linotype"/>
          <w:i/>
          <w:sz w:val="22"/>
          <w:szCs w:val="22"/>
        </w:rPr>
      </w:pP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w:t>
      </w:r>
      <w:r w:rsidRPr="00876DBC">
        <w:rPr>
          <w:rFonts w:ascii="Palatino Linotype" w:eastAsia="Palatino Linotype" w:hAnsi="Palatino Linotype" w:cs="Palatino Linotype"/>
          <w:b/>
          <w:i/>
          <w:sz w:val="22"/>
          <w:szCs w:val="22"/>
        </w:rPr>
        <w:t>Clave Única de Registro de Población (CURP).</w:t>
      </w:r>
      <w:r w:rsidRPr="00876DBC">
        <w:rPr>
          <w:rFonts w:ascii="Palatino Linotype" w:eastAsia="Palatino Linotype" w:hAnsi="Palatino Linotype" w:cs="Palatino Linotype"/>
          <w:i/>
          <w:sz w:val="22"/>
          <w:szCs w:val="22"/>
        </w:rPr>
        <w:t xml:space="preserve"> </w:t>
      </w:r>
      <w:r w:rsidRPr="00876DBC">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876DBC">
        <w:rPr>
          <w:rFonts w:ascii="Palatino Linotype" w:eastAsia="Palatino Linotype" w:hAnsi="Palatino Linotype" w:cs="Palatino Linotype"/>
          <w:i/>
          <w:sz w:val="22"/>
          <w:szCs w:val="22"/>
        </w:rPr>
        <w:t xml:space="preserve"> de la misma, </w:t>
      </w:r>
      <w:r w:rsidRPr="00876DBC">
        <w:rPr>
          <w:rFonts w:ascii="Palatino Linotype" w:eastAsia="Palatino Linotype" w:hAnsi="Palatino Linotype" w:cs="Palatino Linotype"/>
          <w:b/>
          <w:i/>
          <w:sz w:val="22"/>
          <w:szCs w:val="22"/>
        </w:rPr>
        <w:t>como lo son su nombre, apellidos, fecha de nacimiento, lugar de nacimiento y sexo</w:t>
      </w:r>
      <w:r w:rsidRPr="00876DBC">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876DBC">
        <w:rPr>
          <w:rFonts w:ascii="Palatino Linotype" w:eastAsia="Palatino Linotype" w:hAnsi="Palatino Linotype" w:cs="Palatino Linotype"/>
          <w:b/>
          <w:i/>
          <w:sz w:val="22"/>
          <w:szCs w:val="22"/>
        </w:rPr>
        <w:t>por lo que la CURP está considerada como información confidencial</w:t>
      </w:r>
      <w:r w:rsidRPr="00876DBC">
        <w:rPr>
          <w:rFonts w:ascii="Palatino Linotype" w:eastAsia="Palatino Linotype" w:hAnsi="Palatino Linotype" w:cs="Palatino Linotype"/>
          <w:i/>
          <w:sz w:val="22"/>
          <w:szCs w:val="22"/>
        </w:rPr>
        <w:t>.” (Sic)</w:t>
      </w:r>
    </w:p>
    <w:p w:rsidR="00F95542" w:rsidRPr="00876DBC" w:rsidRDefault="00FB5225" w:rsidP="00876DBC">
      <w:pPr>
        <w:ind w:left="851" w:right="902"/>
        <w:jc w:val="both"/>
        <w:rPr>
          <w:rFonts w:ascii="Palatino Linotype" w:eastAsia="Palatino Linotype" w:hAnsi="Palatino Linotype" w:cs="Palatino Linotype"/>
          <w:sz w:val="22"/>
          <w:szCs w:val="22"/>
        </w:rPr>
      </w:pPr>
      <w:r w:rsidRPr="00876DBC">
        <w:rPr>
          <w:rFonts w:ascii="Palatino Linotype" w:eastAsia="Palatino Linotype" w:hAnsi="Palatino Linotype" w:cs="Palatino Linotype"/>
          <w:sz w:val="22"/>
          <w:szCs w:val="22"/>
        </w:rPr>
        <w:t>(Énfasis añadido)</w:t>
      </w:r>
    </w:p>
    <w:p w:rsidR="00F95542" w:rsidRPr="00876DBC" w:rsidRDefault="00F95542" w:rsidP="00876DBC">
      <w:pPr>
        <w:ind w:left="851" w:right="902"/>
        <w:jc w:val="both"/>
        <w:rPr>
          <w:rFonts w:ascii="Palatino Linotype" w:eastAsia="Palatino Linotype" w:hAnsi="Palatino Linotype" w:cs="Palatino Linotype"/>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lastRenderedPageBreak/>
        <w:t>Por cuanto hace a la Clave de cualquier tipo de seguridad social,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Por su parte, el artículo 84 de la Ley del Trabajo de los Servidores Públicos del Estado y Municipios, señala:</w:t>
      </w:r>
    </w:p>
    <w:p w:rsidR="00F95542" w:rsidRPr="00876DBC" w:rsidRDefault="00F95542" w:rsidP="00876DBC">
      <w:pPr>
        <w:jc w:val="both"/>
        <w:rPr>
          <w:rFonts w:ascii="Palatino Linotype" w:eastAsia="Palatino Linotype" w:hAnsi="Palatino Linotype" w:cs="Palatino Linotype"/>
        </w:rPr>
      </w:pPr>
    </w:p>
    <w:p w:rsidR="00F95542" w:rsidRPr="00876DBC" w:rsidRDefault="00FB5225" w:rsidP="00876DBC">
      <w:pPr>
        <w:ind w:left="851" w:right="902"/>
        <w:jc w:val="both"/>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i/>
          <w:sz w:val="22"/>
          <w:szCs w:val="22"/>
        </w:rPr>
        <w:lastRenderedPageBreak/>
        <w:t>“</w:t>
      </w:r>
      <w:r w:rsidRPr="00876DBC">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I. Gravámenes fiscales relacionados con el sueldo;</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II. Deudas contraídas con las instituciones públicas o dependencias</w:t>
      </w:r>
      <w:r w:rsidRPr="00876DBC">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III. Cuotas sindicales</w:t>
      </w:r>
      <w:r w:rsidRPr="00876DBC">
        <w:rPr>
          <w:rFonts w:ascii="Palatino Linotype" w:eastAsia="Palatino Linotype" w:hAnsi="Palatino Linotype" w:cs="Palatino Linotype"/>
          <w:i/>
          <w:sz w:val="22"/>
          <w:szCs w:val="22"/>
        </w:rPr>
        <w:t>;</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F95542" w:rsidRPr="00876DBC" w:rsidRDefault="00FB5225" w:rsidP="00876DBC">
      <w:pPr>
        <w:ind w:left="851" w:right="902"/>
        <w:jc w:val="both"/>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VI. Obligaciones a cargo del servidor público con las que haya consentido</w:t>
      </w:r>
      <w:r w:rsidRPr="00876DBC">
        <w:rPr>
          <w:rFonts w:ascii="Palatino Linotype" w:eastAsia="Palatino Linotype" w:hAnsi="Palatino Linotype" w:cs="Palatino Linotype"/>
          <w:i/>
          <w:sz w:val="22"/>
          <w:szCs w:val="22"/>
        </w:rPr>
        <w:t>, derivadas de la adquisición o del uso de habitaciones consideradas como de interés social;</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VII. Faltas de puntualidad o de asistencia injustificadas;</w:t>
      </w:r>
    </w:p>
    <w:p w:rsidR="00F95542" w:rsidRPr="00876DBC" w:rsidRDefault="00FB5225" w:rsidP="00876DBC">
      <w:pPr>
        <w:ind w:left="851" w:right="902"/>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b/>
          <w:i/>
          <w:sz w:val="22"/>
          <w:szCs w:val="22"/>
        </w:rPr>
        <w:t>VIII. Pensiones alimenticias ordenadas por la autoridad judicial;</w:t>
      </w:r>
      <w:r w:rsidRPr="00876DBC">
        <w:rPr>
          <w:rFonts w:ascii="Palatino Linotype" w:eastAsia="Palatino Linotype" w:hAnsi="Palatino Linotype" w:cs="Palatino Linotype"/>
          <w:i/>
          <w:sz w:val="22"/>
          <w:szCs w:val="22"/>
        </w:rPr>
        <w:t xml:space="preserve"> o</w:t>
      </w:r>
    </w:p>
    <w:p w:rsidR="00F95542" w:rsidRPr="00876DBC" w:rsidRDefault="00FB5225" w:rsidP="00876DBC">
      <w:pPr>
        <w:ind w:left="851" w:right="902"/>
        <w:jc w:val="both"/>
        <w:rPr>
          <w:rFonts w:ascii="Palatino Linotype" w:eastAsia="Palatino Linotype" w:hAnsi="Palatino Linotype" w:cs="Palatino Linotype"/>
          <w:b/>
          <w:i/>
          <w:sz w:val="22"/>
          <w:szCs w:val="22"/>
        </w:rPr>
      </w:pPr>
      <w:r w:rsidRPr="00876DBC">
        <w:rPr>
          <w:rFonts w:ascii="Palatino Linotype" w:eastAsia="Palatino Linotype" w:hAnsi="Palatino Linotype" w:cs="Palatino Linotype"/>
          <w:b/>
          <w:i/>
          <w:sz w:val="22"/>
          <w:szCs w:val="22"/>
        </w:rPr>
        <w:t>IX. Cualquier otro convenido con instituciones de servicios y aceptado por el servidor público.</w:t>
      </w:r>
    </w:p>
    <w:p w:rsidR="00F95542" w:rsidRPr="00876DBC" w:rsidRDefault="00FB5225" w:rsidP="00876DBC">
      <w:pPr>
        <w:ind w:left="851" w:right="902"/>
        <w:jc w:val="both"/>
        <w:rPr>
          <w:rFonts w:ascii="Palatino Linotype" w:eastAsia="Palatino Linotype" w:hAnsi="Palatino Linotype" w:cs="Palatino Linotype"/>
          <w:sz w:val="22"/>
          <w:szCs w:val="22"/>
        </w:rPr>
      </w:pPr>
      <w:r w:rsidRPr="00876DBC">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F95542" w:rsidRPr="00876DBC" w:rsidRDefault="00F95542" w:rsidP="00876DBC">
      <w:pPr>
        <w:ind w:left="851" w:right="902"/>
        <w:jc w:val="both"/>
        <w:rPr>
          <w:rFonts w:ascii="Palatino Linotype" w:eastAsia="Palatino Linotype" w:hAnsi="Palatino Linotype" w:cs="Palatino Linotype"/>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En atención a lo anterior, la ley establece claramente cuáles son esos descuentos o gravámenes que directamente se relacionan con las obligaciones adquiridas como servidores públicos y aquéllos que </w:t>
      </w:r>
      <w:r w:rsidRPr="00876DBC">
        <w:rPr>
          <w:rFonts w:ascii="Palatino Linotype" w:eastAsia="Palatino Linotype" w:hAnsi="Palatino Linotype" w:cs="Palatino Linotype"/>
          <w:b/>
        </w:rPr>
        <w:t>únicamente inciden en su vida privada</w:t>
      </w:r>
      <w:r w:rsidRPr="00876DBC">
        <w:rPr>
          <w:rFonts w:ascii="Palatino Linotype" w:eastAsia="Palatino Linotype" w:hAnsi="Palatino Linotype" w:cs="Palatino Linotype"/>
        </w:rPr>
        <w:t xml:space="preserve">. De este </w:t>
      </w:r>
      <w:r w:rsidRPr="00876DBC">
        <w:rPr>
          <w:rFonts w:ascii="Palatino Linotype" w:eastAsia="Palatino Linotype" w:hAnsi="Palatino Linotype" w:cs="Palatino Linotype"/>
        </w:rPr>
        <w:lastRenderedPageBreak/>
        <w:t>modo, descuentos por pensiones alimenticias o créditos adquiridos con instituciones privadas o públicas pero que fueron contraídas en forma individual, son información que debe clasificarse como confidencial.</w:t>
      </w:r>
    </w:p>
    <w:p w:rsidR="00F95542" w:rsidRPr="00876DBC" w:rsidRDefault="00F95542" w:rsidP="00876DBC">
      <w:pPr>
        <w:spacing w:line="360" w:lineRule="auto"/>
        <w:jc w:val="both"/>
        <w:rPr>
          <w:rFonts w:ascii="Palatino Linotype" w:eastAsia="Palatino Linotype" w:hAnsi="Palatino Linotype" w:cs="Palatino Linotype"/>
        </w:rPr>
      </w:pPr>
    </w:p>
    <w:p w:rsidR="00F95542" w:rsidRPr="00876DBC" w:rsidRDefault="00FB5225" w:rsidP="00876DBC">
      <w:pPr>
        <w:spacing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 xml:space="preserve">No obstante, esta Autoridad reitera que </w:t>
      </w:r>
      <w:r w:rsidRPr="00876DBC">
        <w:rPr>
          <w:rFonts w:ascii="Palatino Linotype" w:eastAsia="Palatino Linotype" w:hAnsi="Palatino Linotype" w:cs="Palatino Linotype"/>
          <w:b/>
        </w:rPr>
        <w:t>EL SUJETO OBLIGADO</w:t>
      </w:r>
      <w:r w:rsidRPr="00876DBC">
        <w:rPr>
          <w:rFonts w:ascii="Palatino Linotype" w:eastAsia="Palatino Linotype" w:hAnsi="Palatino Linotype" w:cs="Palatino Linotype"/>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rsidR="00F95542" w:rsidRPr="00876DBC" w:rsidRDefault="00F95542" w:rsidP="00876DBC">
      <w:pPr>
        <w:spacing w:line="360" w:lineRule="auto"/>
        <w:ind w:right="-93"/>
        <w:jc w:val="both"/>
        <w:rPr>
          <w:rFonts w:ascii="Palatino Linotype" w:eastAsia="Palatino Linotype" w:hAnsi="Palatino Linotype" w:cs="Palatino Linotype"/>
        </w:rPr>
      </w:pPr>
    </w:p>
    <w:p w:rsidR="00F95542" w:rsidRPr="00876DBC" w:rsidRDefault="00FB5225" w:rsidP="00876DBC">
      <w:pPr>
        <w:tabs>
          <w:tab w:val="left" w:pos="709"/>
        </w:tabs>
        <w:spacing w:line="360" w:lineRule="auto"/>
        <w:ind w:right="49"/>
        <w:jc w:val="both"/>
        <w:rPr>
          <w:rFonts w:ascii="Palatino Linotype" w:eastAsia="Palatino Linotype" w:hAnsi="Palatino Linotype" w:cs="Palatino Linotype"/>
        </w:rPr>
      </w:pPr>
      <w:r w:rsidRPr="00876DBC">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F95542" w:rsidRPr="00876DBC" w:rsidRDefault="00F95542" w:rsidP="00876DBC">
      <w:pPr>
        <w:spacing w:line="360" w:lineRule="auto"/>
        <w:jc w:val="center"/>
        <w:rPr>
          <w:rFonts w:ascii="Palatino Linotype" w:eastAsia="Palatino Linotype" w:hAnsi="Palatino Linotype" w:cs="Palatino Linotype"/>
          <w:b/>
          <w:sz w:val="26"/>
          <w:szCs w:val="26"/>
        </w:rPr>
      </w:pPr>
    </w:p>
    <w:p w:rsidR="00B152F2" w:rsidRPr="00876DBC" w:rsidRDefault="00B152F2" w:rsidP="00876DBC">
      <w:pPr>
        <w:spacing w:line="360" w:lineRule="auto"/>
        <w:jc w:val="center"/>
        <w:rPr>
          <w:rFonts w:ascii="Palatino Linotype" w:eastAsia="Palatino Linotype" w:hAnsi="Palatino Linotype" w:cs="Palatino Linotype"/>
          <w:b/>
          <w:sz w:val="26"/>
          <w:szCs w:val="26"/>
        </w:rPr>
      </w:pPr>
    </w:p>
    <w:p w:rsidR="00B152F2" w:rsidRPr="00876DBC" w:rsidRDefault="00B152F2" w:rsidP="00876DBC">
      <w:pPr>
        <w:spacing w:line="360" w:lineRule="auto"/>
        <w:jc w:val="center"/>
        <w:rPr>
          <w:rFonts w:ascii="Palatino Linotype" w:eastAsia="Palatino Linotype" w:hAnsi="Palatino Linotype" w:cs="Palatino Linotype"/>
          <w:b/>
          <w:sz w:val="26"/>
          <w:szCs w:val="26"/>
        </w:rPr>
      </w:pPr>
    </w:p>
    <w:p w:rsidR="00B152F2" w:rsidRPr="00876DBC" w:rsidRDefault="00B152F2" w:rsidP="00876DBC">
      <w:pPr>
        <w:spacing w:line="360" w:lineRule="auto"/>
        <w:jc w:val="center"/>
        <w:rPr>
          <w:rFonts w:ascii="Palatino Linotype" w:eastAsia="Palatino Linotype" w:hAnsi="Palatino Linotype" w:cs="Palatino Linotype"/>
          <w:b/>
          <w:sz w:val="26"/>
          <w:szCs w:val="26"/>
        </w:rPr>
      </w:pPr>
    </w:p>
    <w:p w:rsidR="00B152F2" w:rsidRPr="00876DBC" w:rsidRDefault="00B152F2" w:rsidP="00876DBC">
      <w:pPr>
        <w:spacing w:line="360" w:lineRule="auto"/>
        <w:jc w:val="center"/>
        <w:rPr>
          <w:rFonts w:ascii="Palatino Linotype" w:eastAsia="Palatino Linotype" w:hAnsi="Palatino Linotype" w:cs="Palatino Linotype"/>
          <w:b/>
          <w:sz w:val="26"/>
          <w:szCs w:val="26"/>
        </w:rPr>
      </w:pPr>
    </w:p>
    <w:p w:rsidR="00F95542" w:rsidRPr="00876DBC" w:rsidRDefault="00FB5225" w:rsidP="00876DBC">
      <w:pPr>
        <w:spacing w:line="360" w:lineRule="auto"/>
        <w:jc w:val="center"/>
        <w:rPr>
          <w:rFonts w:ascii="Palatino Linotype" w:eastAsia="Palatino Linotype" w:hAnsi="Palatino Linotype" w:cs="Palatino Linotype"/>
          <w:b/>
          <w:sz w:val="26"/>
          <w:szCs w:val="26"/>
        </w:rPr>
      </w:pPr>
      <w:r w:rsidRPr="00876DBC">
        <w:rPr>
          <w:rFonts w:ascii="Palatino Linotype" w:eastAsia="Palatino Linotype" w:hAnsi="Palatino Linotype" w:cs="Palatino Linotype"/>
          <w:b/>
          <w:sz w:val="26"/>
          <w:szCs w:val="26"/>
        </w:rPr>
        <w:lastRenderedPageBreak/>
        <w:t>RESUELVE</w:t>
      </w:r>
    </w:p>
    <w:p w:rsidR="00F95542" w:rsidRPr="00876DBC" w:rsidRDefault="00F95542" w:rsidP="00876DBC">
      <w:pPr>
        <w:spacing w:line="360" w:lineRule="auto"/>
        <w:jc w:val="both"/>
        <w:rPr>
          <w:rFonts w:ascii="Palatino Linotype" w:eastAsia="Palatino Linotype" w:hAnsi="Palatino Linotype" w:cs="Palatino Linotype"/>
          <w:b/>
          <w:sz w:val="28"/>
          <w:szCs w:val="28"/>
        </w:rPr>
      </w:pPr>
      <w:bookmarkStart w:id="11" w:name="_heading=h.43dn2k9wnyql" w:colFirst="0" w:colLast="0"/>
      <w:bookmarkEnd w:id="11"/>
    </w:p>
    <w:p w:rsidR="00F95542" w:rsidRPr="00876DBC" w:rsidRDefault="00FB5225" w:rsidP="00876DBC">
      <w:pPr>
        <w:spacing w:line="360" w:lineRule="auto"/>
        <w:jc w:val="both"/>
        <w:rPr>
          <w:rFonts w:ascii="Palatino Linotype" w:eastAsia="Palatino Linotype" w:hAnsi="Palatino Linotype" w:cs="Palatino Linotype"/>
        </w:rPr>
      </w:pPr>
      <w:bookmarkStart w:id="12" w:name="_heading=h.1ksv4uv" w:colFirst="0" w:colLast="0"/>
      <w:bookmarkEnd w:id="12"/>
      <w:r w:rsidRPr="00876DBC">
        <w:rPr>
          <w:rFonts w:ascii="Palatino Linotype" w:eastAsia="Palatino Linotype" w:hAnsi="Palatino Linotype" w:cs="Palatino Linotype"/>
          <w:b/>
          <w:sz w:val="28"/>
          <w:szCs w:val="28"/>
        </w:rPr>
        <w:t>PRIMERO</w:t>
      </w:r>
      <w:r w:rsidRPr="00876DBC">
        <w:rPr>
          <w:rFonts w:ascii="Palatino Linotype" w:eastAsia="Palatino Linotype" w:hAnsi="Palatino Linotype" w:cs="Palatino Linotype"/>
          <w:sz w:val="28"/>
          <w:szCs w:val="28"/>
        </w:rPr>
        <w:t>.</w:t>
      </w:r>
      <w:r w:rsidRPr="00876DBC">
        <w:rPr>
          <w:rFonts w:ascii="Palatino Linotype" w:eastAsia="Palatino Linotype" w:hAnsi="Palatino Linotype" w:cs="Palatino Linotype"/>
        </w:rPr>
        <w:t xml:space="preserve"> Resultan </w:t>
      </w:r>
      <w:r w:rsidRPr="00876DBC">
        <w:rPr>
          <w:rFonts w:ascii="Palatino Linotype" w:eastAsia="Palatino Linotype" w:hAnsi="Palatino Linotype" w:cs="Palatino Linotype"/>
          <w:b/>
        </w:rPr>
        <w:t>parcialmente fundadas</w:t>
      </w:r>
      <w:r w:rsidRPr="00876DBC">
        <w:rPr>
          <w:rFonts w:ascii="Palatino Linotype" w:eastAsia="Palatino Linotype" w:hAnsi="Palatino Linotype" w:cs="Palatino Linotype"/>
        </w:rPr>
        <w:t xml:space="preserve"> las</w:t>
      </w:r>
      <w:r w:rsidRPr="00876DBC">
        <w:rPr>
          <w:rFonts w:ascii="Palatino Linotype" w:eastAsia="Palatino Linotype" w:hAnsi="Palatino Linotype" w:cs="Palatino Linotype"/>
          <w:b/>
        </w:rPr>
        <w:t xml:space="preserve"> </w:t>
      </w:r>
      <w:r w:rsidRPr="00876DBC">
        <w:rPr>
          <w:rFonts w:ascii="Palatino Linotype" w:eastAsia="Palatino Linotype" w:hAnsi="Palatino Linotype" w:cs="Palatino Linotype"/>
        </w:rPr>
        <w:t xml:space="preserve">razones o motivos de inconformidad hechos valer en el Recurso de Revisión </w:t>
      </w:r>
      <w:r w:rsidRPr="00876DBC">
        <w:rPr>
          <w:rFonts w:ascii="Palatino Linotype" w:eastAsia="Palatino Linotype" w:hAnsi="Palatino Linotype" w:cs="Palatino Linotype"/>
          <w:b/>
        </w:rPr>
        <w:t xml:space="preserve">16352/INFOEM/IP/RR/2022, </w:t>
      </w:r>
      <w:r w:rsidRPr="00876DBC">
        <w:rPr>
          <w:rFonts w:ascii="Palatino Linotype" w:eastAsia="Palatino Linotype" w:hAnsi="Palatino Linotype" w:cs="Palatino Linotype"/>
        </w:rPr>
        <w:t xml:space="preserve">en términos del Considerando </w:t>
      </w:r>
      <w:r w:rsidRPr="00876DBC">
        <w:rPr>
          <w:rFonts w:ascii="Palatino Linotype" w:eastAsia="Palatino Linotype" w:hAnsi="Palatino Linotype" w:cs="Palatino Linotype"/>
          <w:b/>
        </w:rPr>
        <w:t xml:space="preserve">QUINTO </w:t>
      </w:r>
      <w:r w:rsidRPr="00876DBC">
        <w:rPr>
          <w:rFonts w:ascii="Palatino Linotype" w:eastAsia="Palatino Linotype" w:hAnsi="Palatino Linotype" w:cs="Palatino Linotype"/>
        </w:rPr>
        <w:t>de la presente resolución.</w:t>
      </w:r>
    </w:p>
    <w:p w:rsidR="00F95542" w:rsidRPr="00876DBC" w:rsidRDefault="00F95542" w:rsidP="00876DBC">
      <w:pPr>
        <w:spacing w:before="240" w:line="360" w:lineRule="auto"/>
        <w:jc w:val="both"/>
        <w:rPr>
          <w:rFonts w:ascii="Palatino Linotype" w:eastAsia="Palatino Linotype" w:hAnsi="Palatino Linotype" w:cs="Palatino Linotype"/>
          <w:sz w:val="6"/>
          <w:szCs w:val="6"/>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b/>
          <w:sz w:val="28"/>
          <w:szCs w:val="28"/>
        </w:rPr>
        <w:t>SEGUNDO</w:t>
      </w:r>
      <w:r w:rsidRPr="00876DBC">
        <w:rPr>
          <w:rFonts w:ascii="Palatino Linotype" w:eastAsia="Palatino Linotype" w:hAnsi="Palatino Linotype" w:cs="Palatino Linotype"/>
        </w:rPr>
        <w:t xml:space="preserve">. Se </w:t>
      </w:r>
      <w:r w:rsidRPr="00876DBC">
        <w:rPr>
          <w:rFonts w:ascii="Palatino Linotype" w:eastAsia="Palatino Linotype" w:hAnsi="Palatino Linotype" w:cs="Palatino Linotype"/>
          <w:b/>
        </w:rPr>
        <w:t xml:space="preserve">MODIFICA </w:t>
      </w:r>
      <w:r w:rsidRPr="00876DBC">
        <w:rPr>
          <w:rFonts w:ascii="Palatino Linotype" w:eastAsia="Palatino Linotype" w:hAnsi="Palatino Linotype" w:cs="Palatino Linotype"/>
        </w:rPr>
        <w:t>la respuesta otorgada por</w:t>
      </w:r>
      <w:r w:rsidRPr="00876DBC">
        <w:rPr>
          <w:rFonts w:ascii="Palatino Linotype" w:eastAsia="Palatino Linotype" w:hAnsi="Palatino Linotype" w:cs="Palatino Linotype"/>
          <w:b/>
        </w:rPr>
        <w:t xml:space="preserve"> EL SUJETO OBLIGADO</w:t>
      </w:r>
      <w:r w:rsidRPr="00876DBC">
        <w:rPr>
          <w:rFonts w:ascii="Palatino Linotype" w:eastAsia="Palatino Linotype" w:hAnsi="Palatino Linotype" w:cs="Palatino Linotype"/>
        </w:rPr>
        <w:t xml:space="preserve">, y se le ordena entregue al </w:t>
      </w:r>
      <w:r w:rsidRPr="00876DBC">
        <w:rPr>
          <w:rFonts w:ascii="Palatino Linotype" w:eastAsia="Palatino Linotype" w:hAnsi="Palatino Linotype" w:cs="Palatino Linotype"/>
          <w:b/>
        </w:rPr>
        <w:t>RECURRENTE</w:t>
      </w:r>
      <w:r w:rsidRPr="00876DBC">
        <w:rPr>
          <w:rFonts w:ascii="Palatino Linotype" w:eastAsia="Palatino Linotype" w:hAnsi="Palatino Linotype" w:cs="Palatino Linotype"/>
        </w:rPr>
        <w:t xml:space="preserve"> en términos del Considerando </w:t>
      </w:r>
      <w:r w:rsidRPr="00876DBC">
        <w:rPr>
          <w:rFonts w:ascii="Palatino Linotype" w:eastAsia="Palatino Linotype" w:hAnsi="Palatino Linotype" w:cs="Palatino Linotype"/>
          <w:b/>
        </w:rPr>
        <w:t xml:space="preserve">QUINTO </w:t>
      </w:r>
      <w:r w:rsidRPr="00876DBC">
        <w:rPr>
          <w:rFonts w:ascii="Palatino Linotype" w:eastAsia="Palatino Linotype" w:hAnsi="Palatino Linotype" w:cs="Palatino Linotype"/>
        </w:rPr>
        <w:t>de la presente resolución, vía Sistema de Acceso a la Información Mexiquense (</w:t>
      </w:r>
      <w:r w:rsidRPr="00876DBC">
        <w:rPr>
          <w:rFonts w:ascii="Palatino Linotype" w:eastAsia="Palatino Linotype" w:hAnsi="Palatino Linotype" w:cs="Palatino Linotype"/>
          <w:b/>
        </w:rPr>
        <w:t>SAIMEX)</w:t>
      </w:r>
      <w:r w:rsidR="00B152F2" w:rsidRPr="00876DBC">
        <w:rPr>
          <w:rFonts w:ascii="Palatino Linotype" w:eastAsia="Palatino Linotype" w:hAnsi="Palatino Linotype" w:cs="Palatino Linotype"/>
          <w:b/>
        </w:rPr>
        <w:t xml:space="preserve"> </w:t>
      </w:r>
      <w:r w:rsidR="00B152F2" w:rsidRPr="00876DBC">
        <w:rPr>
          <w:rFonts w:ascii="Palatino Linotype" w:eastAsia="Palatino Linotype" w:hAnsi="Palatino Linotype" w:cs="Palatino Linotype"/>
        </w:rPr>
        <w:t>en versión pública de lo siguiente</w:t>
      </w:r>
      <w:r w:rsidRPr="00876DBC">
        <w:rPr>
          <w:rFonts w:ascii="Palatino Linotype" w:eastAsia="Palatino Linotype" w:hAnsi="Palatino Linotype" w:cs="Palatino Linotype"/>
        </w:rPr>
        <w:t xml:space="preserve">: </w:t>
      </w:r>
    </w:p>
    <w:p w:rsidR="00FB5225" w:rsidRPr="00876DBC" w:rsidRDefault="00FB5225" w:rsidP="00876DBC">
      <w:pPr>
        <w:spacing w:line="360" w:lineRule="auto"/>
        <w:jc w:val="both"/>
        <w:rPr>
          <w:rFonts w:ascii="Palatino Linotype" w:eastAsia="Palatino Linotype" w:hAnsi="Palatino Linotype" w:cs="Palatino Linotype"/>
        </w:rPr>
      </w:pPr>
    </w:p>
    <w:p w:rsidR="00F95542" w:rsidRPr="00876DBC" w:rsidRDefault="00FB5225" w:rsidP="00876DBC">
      <w:pPr>
        <w:ind w:left="850"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El soporte documental donde conste el nombramiento, contrato o formato único de movimiento de personal del Director de Construcción Operación y Mantenimiento vigente al diecisiete de octubre de dos mil veintidós.</w:t>
      </w:r>
    </w:p>
    <w:p w:rsidR="00F95542" w:rsidRPr="00876DBC" w:rsidRDefault="00F95542" w:rsidP="00876DBC">
      <w:pPr>
        <w:ind w:left="850" w:right="899"/>
        <w:jc w:val="both"/>
        <w:rPr>
          <w:rFonts w:ascii="Palatino Linotype" w:eastAsia="Palatino Linotype" w:hAnsi="Palatino Linotype" w:cs="Palatino Linotype"/>
          <w:i/>
          <w:sz w:val="22"/>
          <w:szCs w:val="22"/>
        </w:rPr>
      </w:pPr>
    </w:p>
    <w:p w:rsidR="00F95542" w:rsidRPr="00876DBC" w:rsidRDefault="00FB5225" w:rsidP="00876DBC">
      <w:pPr>
        <w:ind w:left="850" w:right="899"/>
        <w:jc w:val="both"/>
        <w:rPr>
          <w:rFonts w:ascii="Palatino Linotype" w:eastAsia="Palatino Linotype" w:hAnsi="Palatino Linotype" w:cs="Palatino Linotype"/>
          <w:i/>
          <w:sz w:val="22"/>
          <w:szCs w:val="22"/>
        </w:rPr>
      </w:pPr>
      <w:r w:rsidRPr="00876DBC">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rsidR="00F95542" w:rsidRPr="00876DBC" w:rsidRDefault="00F95542" w:rsidP="00876DBC">
      <w:pPr>
        <w:ind w:right="899"/>
        <w:jc w:val="both"/>
        <w:rPr>
          <w:rFonts w:ascii="Palatino Linotype" w:eastAsia="Palatino Linotype" w:hAnsi="Palatino Linotype" w:cs="Palatino Linotype"/>
          <w:i/>
          <w:sz w:val="22"/>
          <w:szCs w:val="22"/>
        </w:rPr>
      </w:pPr>
    </w:p>
    <w:p w:rsidR="00F95542" w:rsidRPr="00876DBC" w:rsidRDefault="00F95542" w:rsidP="00876DBC">
      <w:pPr>
        <w:ind w:right="899"/>
        <w:jc w:val="both"/>
        <w:rPr>
          <w:rFonts w:ascii="Palatino Linotype" w:eastAsia="Palatino Linotype" w:hAnsi="Palatino Linotype" w:cs="Palatino Linotype"/>
          <w:i/>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b/>
        </w:rPr>
        <w:t>TERCERO.</w:t>
      </w:r>
      <w:r w:rsidRPr="00876DBC">
        <w:rPr>
          <w:rFonts w:ascii="Palatino Linotype" w:eastAsia="Palatino Linotype" w:hAnsi="Palatino Linotype" w:cs="Palatino Linotype"/>
        </w:rPr>
        <w:t xml:space="preserve"> </w:t>
      </w:r>
      <w:r w:rsidRPr="00876DBC">
        <w:rPr>
          <w:rFonts w:ascii="Palatino Linotype" w:eastAsia="Palatino Linotype" w:hAnsi="Palatino Linotype" w:cs="Palatino Linotype"/>
          <w:b/>
        </w:rPr>
        <w:t xml:space="preserve">NOTIFÍQUESE </w:t>
      </w:r>
      <w:r w:rsidRPr="00876DBC">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876DBC">
        <w:rPr>
          <w:rFonts w:ascii="Palatino Linotype" w:eastAsia="Palatino Linotype" w:hAnsi="Palatino Linotype" w:cs="Palatino Linotype"/>
        </w:rPr>
        <w:lastRenderedPageBreak/>
        <w:t>plazo de diez días hábiles, e informe a este Instituto en un plazo de tres días hábiles siguientes sobre el cumplimiento dado a la presente.</w:t>
      </w:r>
    </w:p>
    <w:p w:rsidR="00F95542" w:rsidRPr="00876DBC" w:rsidRDefault="00F95542" w:rsidP="00876DBC">
      <w:pPr>
        <w:spacing w:line="360" w:lineRule="auto"/>
        <w:jc w:val="both"/>
        <w:rPr>
          <w:rFonts w:ascii="Palatino Linotype" w:eastAsia="Palatino Linotype" w:hAnsi="Palatino Linotype" w:cs="Palatino Linotype"/>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b/>
        </w:rPr>
        <w:t xml:space="preserve">CUARTO. </w:t>
      </w:r>
      <w:r w:rsidRPr="00876DB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95542" w:rsidRPr="00876DBC" w:rsidRDefault="00F95542" w:rsidP="00876DBC">
      <w:pPr>
        <w:spacing w:line="360" w:lineRule="auto"/>
        <w:jc w:val="both"/>
        <w:rPr>
          <w:rFonts w:ascii="Palatino Linotype" w:eastAsia="Palatino Linotype" w:hAnsi="Palatino Linotype" w:cs="Palatino Linotype"/>
          <w:sz w:val="22"/>
          <w:szCs w:val="22"/>
        </w:rPr>
      </w:pPr>
    </w:p>
    <w:p w:rsidR="00F95542" w:rsidRPr="00876DBC" w:rsidRDefault="00FB5225" w:rsidP="00876DBC">
      <w:pPr>
        <w:spacing w:line="360" w:lineRule="auto"/>
        <w:jc w:val="both"/>
        <w:rPr>
          <w:rFonts w:ascii="Palatino Linotype" w:eastAsia="Palatino Linotype" w:hAnsi="Palatino Linotype" w:cs="Palatino Linotype"/>
          <w:b/>
        </w:rPr>
      </w:pPr>
      <w:r w:rsidRPr="00876DBC">
        <w:rPr>
          <w:rFonts w:ascii="Palatino Linotype" w:eastAsia="Palatino Linotype" w:hAnsi="Palatino Linotype" w:cs="Palatino Linotype"/>
          <w:b/>
        </w:rPr>
        <w:t>QUINTO.</w:t>
      </w:r>
      <w:r w:rsidRPr="00876DBC">
        <w:rPr>
          <w:rFonts w:ascii="Palatino Linotype" w:eastAsia="Palatino Linotype" w:hAnsi="Palatino Linotype" w:cs="Palatino Linotype"/>
        </w:rPr>
        <w:t xml:space="preserve"> </w:t>
      </w:r>
      <w:r w:rsidRPr="00876DBC">
        <w:rPr>
          <w:rFonts w:ascii="Palatino Linotype" w:eastAsia="Palatino Linotype" w:hAnsi="Palatino Linotype" w:cs="Palatino Linotype"/>
          <w:b/>
        </w:rPr>
        <w:t>NOTIFÍQUESE</w:t>
      </w:r>
      <w:r w:rsidRPr="00876DBC">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F95542" w:rsidRDefault="00F95542" w:rsidP="00876DBC">
      <w:pPr>
        <w:spacing w:line="360" w:lineRule="auto"/>
        <w:jc w:val="both"/>
        <w:rPr>
          <w:rFonts w:ascii="Palatino Linotype" w:eastAsia="Palatino Linotype" w:hAnsi="Palatino Linotype" w:cs="Palatino Linotype"/>
          <w:sz w:val="22"/>
          <w:szCs w:val="22"/>
        </w:rPr>
      </w:pPr>
    </w:p>
    <w:p w:rsidR="00876DBC" w:rsidRDefault="00876DBC" w:rsidP="00876DBC">
      <w:pPr>
        <w:spacing w:line="360" w:lineRule="auto"/>
        <w:jc w:val="both"/>
        <w:rPr>
          <w:rFonts w:ascii="Palatino Linotype" w:eastAsia="Palatino Linotype" w:hAnsi="Palatino Linotype" w:cs="Palatino Linotype"/>
          <w:sz w:val="22"/>
          <w:szCs w:val="22"/>
        </w:rPr>
      </w:pPr>
    </w:p>
    <w:p w:rsidR="00876DBC" w:rsidRDefault="00876DBC" w:rsidP="00876DBC">
      <w:pPr>
        <w:spacing w:line="360" w:lineRule="auto"/>
        <w:jc w:val="both"/>
        <w:rPr>
          <w:rFonts w:ascii="Palatino Linotype" w:eastAsia="Palatino Linotype" w:hAnsi="Palatino Linotype" w:cs="Palatino Linotype"/>
          <w:sz w:val="22"/>
          <w:szCs w:val="22"/>
        </w:rPr>
      </w:pPr>
    </w:p>
    <w:p w:rsidR="00876DBC" w:rsidRDefault="00876DBC" w:rsidP="00876DBC">
      <w:pPr>
        <w:spacing w:line="360" w:lineRule="auto"/>
        <w:jc w:val="both"/>
        <w:rPr>
          <w:rFonts w:ascii="Palatino Linotype" w:eastAsia="Palatino Linotype" w:hAnsi="Palatino Linotype" w:cs="Palatino Linotype"/>
          <w:sz w:val="22"/>
          <w:szCs w:val="22"/>
        </w:rPr>
      </w:pPr>
    </w:p>
    <w:p w:rsidR="00876DBC" w:rsidRDefault="00876DBC" w:rsidP="00876DBC">
      <w:pPr>
        <w:spacing w:line="360" w:lineRule="auto"/>
        <w:jc w:val="both"/>
        <w:rPr>
          <w:rFonts w:ascii="Palatino Linotype" w:eastAsia="Palatino Linotype" w:hAnsi="Palatino Linotype" w:cs="Palatino Linotype"/>
          <w:sz w:val="22"/>
          <w:szCs w:val="22"/>
        </w:rPr>
      </w:pPr>
    </w:p>
    <w:p w:rsidR="00876DBC" w:rsidRDefault="00876DBC" w:rsidP="00876DBC">
      <w:pPr>
        <w:spacing w:line="360" w:lineRule="auto"/>
        <w:jc w:val="both"/>
        <w:rPr>
          <w:rFonts w:ascii="Palatino Linotype" w:eastAsia="Palatino Linotype" w:hAnsi="Palatino Linotype" w:cs="Palatino Linotype"/>
          <w:sz w:val="22"/>
          <w:szCs w:val="22"/>
        </w:rPr>
      </w:pPr>
    </w:p>
    <w:p w:rsidR="00876DBC" w:rsidRPr="00876DBC" w:rsidRDefault="00876DBC" w:rsidP="00876DBC">
      <w:pPr>
        <w:spacing w:line="360" w:lineRule="auto"/>
        <w:jc w:val="both"/>
        <w:rPr>
          <w:rFonts w:ascii="Palatino Linotype" w:eastAsia="Palatino Linotype" w:hAnsi="Palatino Linotype" w:cs="Palatino Linotype"/>
          <w:sz w:val="22"/>
          <w:szCs w:val="22"/>
        </w:rPr>
      </w:pPr>
    </w:p>
    <w:p w:rsidR="00F95542" w:rsidRPr="00876DBC" w:rsidRDefault="00FB5225" w:rsidP="00876DBC">
      <w:pPr>
        <w:spacing w:line="360" w:lineRule="auto"/>
        <w:jc w:val="both"/>
        <w:rPr>
          <w:rFonts w:ascii="Palatino Linotype" w:eastAsia="Palatino Linotype" w:hAnsi="Palatino Linotype" w:cs="Palatino Linotype"/>
        </w:rPr>
      </w:pPr>
      <w:r w:rsidRPr="00876DB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DE FEBRERO DE DOS MIL VEINTITRÉS ANTE EL SECRETARIO TÉCNICO DEL PLENO, ALEXIS TAPIA RAMÍREZ.</w:t>
      </w:r>
    </w:p>
    <w:p w:rsidR="00F95542" w:rsidRDefault="00FB5225" w:rsidP="00876DBC">
      <w:pPr>
        <w:spacing w:line="360" w:lineRule="auto"/>
        <w:jc w:val="both"/>
        <w:rPr>
          <w:rFonts w:ascii="Palatino Linotype" w:eastAsia="Palatino Linotype" w:hAnsi="Palatino Linotype" w:cs="Palatino Linotype"/>
          <w:sz w:val="14"/>
          <w:szCs w:val="14"/>
        </w:rPr>
      </w:pPr>
      <w:r w:rsidRPr="00876DBC">
        <w:rPr>
          <w:rFonts w:ascii="Palatino Linotype" w:eastAsia="Palatino Linotype" w:hAnsi="Palatino Linotype" w:cs="Palatino Linotype"/>
          <w:sz w:val="14"/>
          <w:szCs w:val="14"/>
        </w:rPr>
        <w:t>SCMM/BLA/DEMF/PMRE</w:t>
      </w:r>
    </w:p>
    <w:p w:rsidR="00F95542" w:rsidRDefault="00FB5225" w:rsidP="00876DBC">
      <w:pPr>
        <w:rPr>
          <w:rFonts w:ascii="Palatino Linotype" w:eastAsia="Palatino Linotype" w:hAnsi="Palatino Linotype" w:cs="Palatino Linotype"/>
        </w:rPr>
      </w:pPr>
      <w:r>
        <w:br w:type="page"/>
      </w: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p w:rsidR="00F95542" w:rsidRDefault="00F95542" w:rsidP="00876DBC">
      <w:pPr>
        <w:spacing w:line="360" w:lineRule="auto"/>
        <w:jc w:val="both"/>
        <w:rPr>
          <w:rFonts w:ascii="Palatino Linotype" w:eastAsia="Palatino Linotype" w:hAnsi="Palatino Linotype" w:cs="Palatino Linotype"/>
        </w:rPr>
      </w:pPr>
    </w:p>
    <w:sectPr w:rsidR="00F95542">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DF8" w:rsidRDefault="00DE2DF8">
      <w:r>
        <w:separator/>
      </w:r>
    </w:p>
  </w:endnote>
  <w:endnote w:type="continuationSeparator" w:id="0">
    <w:p w:rsidR="00DE2DF8" w:rsidRDefault="00DE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42" w:rsidRDefault="00FB522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175F6">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175F6">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42" w:rsidRDefault="00FB522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175F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175F6">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DF8" w:rsidRDefault="00DE2DF8">
      <w:r>
        <w:separator/>
      </w:r>
    </w:p>
  </w:footnote>
  <w:footnote w:type="continuationSeparator" w:id="0">
    <w:p w:rsidR="00DE2DF8" w:rsidRDefault="00DE2DF8">
      <w:r>
        <w:continuationSeparator/>
      </w:r>
    </w:p>
  </w:footnote>
  <w:footnote w:id="1">
    <w:p w:rsidR="00F95542" w:rsidRDefault="00FB5225">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rsidR="00F95542" w:rsidRDefault="00FB5225">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Ley del Trabajo de los Servidores Públicos del Estado de México, 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42" w:rsidRDefault="00DE2DF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42" w:rsidRDefault="00DE2DF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f7"/>
      <w:tblW w:w="9534" w:type="dxa"/>
      <w:tblInd w:w="-142" w:type="dxa"/>
      <w:tblLayout w:type="fixed"/>
      <w:tblLook w:val="0400" w:firstRow="0" w:lastRow="0" w:firstColumn="0" w:lastColumn="0" w:noHBand="0" w:noVBand="1"/>
    </w:tblPr>
    <w:tblGrid>
      <w:gridCol w:w="3261"/>
      <w:gridCol w:w="2551"/>
      <w:gridCol w:w="3722"/>
    </w:tblGrid>
    <w:tr w:rsidR="00F95542">
      <w:tc>
        <w:tcPr>
          <w:tcW w:w="3261" w:type="dxa"/>
          <w:vMerge w:val="restart"/>
        </w:tcPr>
        <w:p w:rsidR="00F95542" w:rsidRDefault="00FB5225">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F95542" w:rsidRDefault="00FB522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F95542" w:rsidRDefault="00FB5225">
          <w:pPr>
            <w:jc w:val="both"/>
            <w:rPr>
              <w:rFonts w:ascii="Palatino Linotype" w:eastAsia="Palatino Linotype" w:hAnsi="Palatino Linotype" w:cs="Palatino Linotype"/>
              <w:b/>
            </w:rPr>
          </w:pPr>
          <w:r>
            <w:rPr>
              <w:rFonts w:ascii="Palatino Linotype" w:eastAsia="Palatino Linotype" w:hAnsi="Palatino Linotype" w:cs="Palatino Linotype"/>
              <w:b/>
            </w:rPr>
            <w:t>16352/INFOEM/IP/RR/2022</w:t>
          </w:r>
        </w:p>
      </w:tc>
    </w:tr>
    <w:tr w:rsidR="00F95542">
      <w:tc>
        <w:tcPr>
          <w:tcW w:w="3261" w:type="dxa"/>
          <w:vMerge/>
        </w:tcPr>
        <w:p w:rsidR="00F95542" w:rsidRDefault="00F955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F95542" w:rsidRDefault="00FB522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F95542" w:rsidRDefault="00FB5225">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de Agua Potable Alcantarillado y Saneamiento de Chimalhuacán</w:t>
          </w:r>
        </w:p>
      </w:tc>
    </w:tr>
    <w:tr w:rsidR="00F95542">
      <w:trPr>
        <w:trHeight w:val="790"/>
      </w:trPr>
      <w:tc>
        <w:tcPr>
          <w:tcW w:w="3261" w:type="dxa"/>
          <w:vMerge/>
        </w:tcPr>
        <w:p w:rsidR="00F95542" w:rsidRDefault="00F955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F95542" w:rsidRDefault="00FB522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F95542" w:rsidRDefault="00FB5225">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F95542" w:rsidRDefault="00F9554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42" w:rsidRDefault="00DE2DF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f6"/>
      <w:tblW w:w="9900" w:type="dxa"/>
      <w:tblInd w:w="-833" w:type="dxa"/>
      <w:tblLayout w:type="fixed"/>
      <w:tblLook w:val="0400" w:firstRow="0" w:lastRow="0" w:firstColumn="0" w:lastColumn="0" w:noHBand="0" w:noVBand="1"/>
    </w:tblPr>
    <w:tblGrid>
      <w:gridCol w:w="3805"/>
      <w:gridCol w:w="3000"/>
      <w:gridCol w:w="3095"/>
    </w:tblGrid>
    <w:tr w:rsidR="00F95542">
      <w:tc>
        <w:tcPr>
          <w:tcW w:w="3805" w:type="dxa"/>
          <w:vMerge w:val="restart"/>
          <w:shd w:val="clear" w:color="auto" w:fill="auto"/>
        </w:tcPr>
        <w:p w:rsidR="00F95542" w:rsidRDefault="00FB5225">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4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F95542" w:rsidRDefault="00FB522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F95542" w:rsidRDefault="00FB522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16352/INFOEM/IP/RR/2022 </w:t>
          </w:r>
        </w:p>
      </w:tc>
    </w:tr>
    <w:tr w:rsidR="00F95542">
      <w:tc>
        <w:tcPr>
          <w:tcW w:w="3805" w:type="dxa"/>
          <w:vMerge/>
          <w:shd w:val="clear" w:color="auto" w:fill="auto"/>
        </w:tcPr>
        <w:p w:rsidR="00F95542" w:rsidRDefault="00F955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F95542" w:rsidRDefault="00FB522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F95542" w:rsidRDefault="006175F6">
          <w:pPr>
            <w:jc w:val="both"/>
            <w:rPr>
              <w:rFonts w:ascii="Palatino Linotype" w:eastAsia="Palatino Linotype" w:hAnsi="Palatino Linotype" w:cs="Palatino Linotype"/>
              <w:b/>
            </w:rPr>
          </w:pPr>
          <w:r>
            <w:rPr>
              <w:rFonts w:ascii="Palatino Linotype" w:eastAsia="Palatino Linotype" w:hAnsi="Palatino Linotype" w:cs="Palatino Linotype"/>
              <w:b/>
            </w:rPr>
            <w:t>XXXXX XXXXXXX XXXXX</w:t>
          </w:r>
        </w:p>
      </w:tc>
    </w:tr>
    <w:tr w:rsidR="00F95542">
      <w:trPr>
        <w:trHeight w:val="228"/>
      </w:trPr>
      <w:tc>
        <w:tcPr>
          <w:tcW w:w="3805" w:type="dxa"/>
          <w:vMerge/>
          <w:shd w:val="clear" w:color="auto" w:fill="auto"/>
        </w:tcPr>
        <w:p w:rsidR="00F95542" w:rsidRDefault="00F955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F95542" w:rsidRDefault="00FB522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F95542" w:rsidRDefault="00FB5225">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de Agua Potable Alcantarillado y Saneamiento de Chimalhuacán</w:t>
          </w:r>
        </w:p>
      </w:tc>
    </w:tr>
    <w:tr w:rsidR="00F95542">
      <w:tc>
        <w:tcPr>
          <w:tcW w:w="3805" w:type="dxa"/>
          <w:vMerge/>
          <w:shd w:val="clear" w:color="auto" w:fill="auto"/>
        </w:tcPr>
        <w:p w:rsidR="00F95542" w:rsidRDefault="00F955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F95542" w:rsidRDefault="00FB522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F95542" w:rsidRDefault="00FB522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F95542" w:rsidRDefault="00F95542">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42"/>
    <w:rsid w:val="00340268"/>
    <w:rsid w:val="004A5DB7"/>
    <w:rsid w:val="00563248"/>
    <w:rsid w:val="005F0BF2"/>
    <w:rsid w:val="006175F6"/>
    <w:rsid w:val="00876DBC"/>
    <w:rsid w:val="008D606D"/>
    <w:rsid w:val="00B152F2"/>
    <w:rsid w:val="00B70CA3"/>
    <w:rsid w:val="00DC0D8D"/>
    <w:rsid w:val="00DE2DF8"/>
    <w:rsid w:val="00F95542"/>
    <w:rsid w:val="00FB52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20C519-8E59-4617-8CC1-366F0E0C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d"/>
    <w:tblPr>
      <w:tblStyleRowBandSize w:val="1"/>
      <w:tblStyleColBandSize w:val="1"/>
      <w:tblCellMar>
        <w:top w:w="100" w:type="dxa"/>
        <w:left w:w="100" w:type="dxa"/>
        <w:bottom w:w="100" w:type="dxa"/>
        <w:right w:w="100" w:type="dxa"/>
      </w:tblCellMar>
    </w:tblPr>
  </w:style>
  <w:style w:type="table" w:customStyle="1" w:styleId="a0">
    <w:basedOn w:val="TableNormalfffd"/>
    <w:tblPr>
      <w:tblStyleRowBandSize w:val="1"/>
      <w:tblStyleColBandSize w:val="1"/>
      <w:tblCellMar>
        <w:left w:w="115" w:type="dxa"/>
        <w:right w:w="115" w:type="dxa"/>
      </w:tblCellMar>
    </w:tblPr>
  </w:style>
  <w:style w:type="table" w:customStyle="1" w:styleId="a1">
    <w:basedOn w:val="TableNormalfffd"/>
    <w:tblPr>
      <w:tblStyleRowBandSize w:val="1"/>
      <w:tblStyleColBandSize w:val="1"/>
      <w:tblCellMar>
        <w:left w:w="115" w:type="dxa"/>
        <w:right w:w="115" w:type="dxa"/>
      </w:tblCellMar>
    </w:tblPr>
  </w:style>
  <w:style w:type="table" w:customStyle="1" w:styleId="a2">
    <w:basedOn w:val="TableNormalfffd"/>
    <w:tblPr>
      <w:tblStyleRowBandSize w:val="1"/>
      <w:tblStyleColBandSize w:val="1"/>
      <w:tblCellMar>
        <w:left w:w="115" w:type="dxa"/>
        <w:right w:w="115" w:type="dxa"/>
      </w:tblCellMar>
    </w:tblPr>
  </w:style>
  <w:style w:type="table" w:customStyle="1" w:styleId="a3">
    <w:basedOn w:val="TableNormalfffd"/>
    <w:tblPr>
      <w:tblStyleRowBandSize w:val="1"/>
      <w:tblStyleColBandSize w:val="1"/>
      <w:tblCellMar>
        <w:left w:w="115" w:type="dxa"/>
        <w:right w:w="115" w:type="dxa"/>
      </w:tblCellMar>
    </w:tblPr>
  </w:style>
  <w:style w:type="table" w:customStyle="1" w:styleId="a4">
    <w:basedOn w:val="TableNormalfffd"/>
    <w:tblPr>
      <w:tblStyleRowBandSize w:val="1"/>
      <w:tblStyleColBandSize w:val="1"/>
      <w:tblCellMar>
        <w:left w:w="115" w:type="dxa"/>
        <w:right w:w="115" w:type="dxa"/>
      </w:tblCellMar>
    </w:tblPr>
  </w:style>
  <w:style w:type="table" w:customStyle="1" w:styleId="a5">
    <w:basedOn w:val="TableNormalfffd"/>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d"/>
    <w:tblPr>
      <w:tblStyleRowBandSize w:val="1"/>
      <w:tblStyleColBandSize w:val="1"/>
      <w:tblCellMar>
        <w:left w:w="115" w:type="dxa"/>
        <w:right w:w="115" w:type="dxa"/>
      </w:tblCellMar>
    </w:tblPr>
  </w:style>
  <w:style w:type="table" w:customStyle="1" w:styleId="a7">
    <w:basedOn w:val="TableNormalfffd"/>
    <w:tblPr>
      <w:tblStyleRowBandSize w:val="1"/>
      <w:tblStyleColBandSize w:val="1"/>
      <w:tblCellMar>
        <w:left w:w="115" w:type="dxa"/>
        <w:right w:w="115" w:type="dxa"/>
      </w:tblCellMar>
    </w:tblPr>
  </w:style>
  <w:style w:type="table" w:customStyle="1" w:styleId="a8">
    <w:basedOn w:val="TableNormalfffd"/>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d"/>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top w:w="100" w:type="dxa"/>
        <w:left w:w="100" w:type="dxa"/>
        <w:bottom w:w="100" w:type="dxa"/>
        <w:right w:w="100" w:type="dxa"/>
      </w:tblCellMar>
    </w:tblPr>
  </w:style>
  <w:style w:type="table" w:customStyle="1" w:styleId="aff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c"/>
    <w:tblPr>
      <w:tblStyleRowBandSize w:val="1"/>
      <w:tblStyleColBandSize w:val="1"/>
      <w:tblCellMar>
        <w:top w:w="100" w:type="dxa"/>
        <w:left w:w="100" w:type="dxa"/>
        <w:bottom w:w="100" w:type="dxa"/>
        <w:right w:w="100" w:type="dxa"/>
      </w:tblCellMar>
    </w:tblPr>
  </w:style>
  <w:style w:type="table" w:customStyle="1" w:styleId="aff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c"/>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D5b8/S3TxHkJE8l5sX9lbcUbCw==">AMUW2mXFAKXPxEVKiMVPnaOl1fggPFBm8BcfHQB6kDFzFpcMEvGR+lrmdNcp0L8xDtBMOQSnI7kcRhEjT/hCUTrcXRdinReW1oe4PFL1S5iWOZKYslpVSti4YbBm2MmugxTSA3hfWMbxLL7iE+kkeCWAiXklT/c2MSZGfY9wkr3FZbvP2NO6Xyl62gHieXtU+gmbMU7UUXI1rXVKrpc5lHij4rW5hyTn3qKUTYy5WeTBq5LTMPKx4J7ovYTqP7EFlSoUDlKVFoy08oZyIrnGu66nNBvMAUy8FnAIbhLBnXdg9/kREssLzy0mRcpvFqXeFDZ6aht90eH0jXZcPEujNWJbEKVJb88V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8787</Words>
  <Characters>48330</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2023-02-17T18:23:00Z</cp:lastPrinted>
  <dcterms:created xsi:type="dcterms:W3CDTF">2023-02-09T21:15:00Z</dcterms:created>
  <dcterms:modified xsi:type="dcterms:W3CDTF">2023-03-07T00:21:00Z</dcterms:modified>
</cp:coreProperties>
</file>