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3BC7E2F3"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4E4003">
        <w:rPr>
          <w:rFonts w:ascii="Palatino Linotype" w:eastAsia="Times New Roman" w:hAnsi="Palatino Linotype" w:cs="Arial"/>
          <w:color w:val="000000"/>
          <w:sz w:val="24"/>
          <w:szCs w:val="24"/>
          <w:lang w:eastAsia="es-MX"/>
        </w:rPr>
        <w:t>veintinueve</w:t>
      </w:r>
      <w:r w:rsidR="0090326D">
        <w:rPr>
          <w:rFonts w:ascii="Palatino Linotype" w:eastAsia="Times New Roman" w:hAnsi="Palatino Linotype" w:cs="Arial"/>
          <w:color w:val="000000"/>
          <w:sz w:val="24"/>
          <w:szCs w:val="24"/>
          <w:lang w:eastAsia="es-MX"/>
        </w:rPr>
        <w:t xml:space="preserve"> de marzo de dos mil veintitrés.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66943B6" w14:textId="2B0B8E44" w:rsidR="0090326D" w:rsidRPr="0090326D"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90326D">
        <w:rPr>
          <w:rFonts w:ascii="Palatino Linotype" w:hAnsi="Palatino Linotype" w:cs="Arial"/>
          <w:b/>
          <w:bCs/>
          <w:sz w:val="24"/>
        </w:rPr>
        <w:t>16350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A0422">
        <w:rPr>
          <w:rFonts w:ascii="Palatino Linotype" w:hAnsi="Palatino Linotype" w:cs="Arial"/>
          <w:sz w:val="24"/>
        </w:rPr>
        <w:t xml:space="preserve">el </w:t>
      </w:r>
      <w:r w:rsidR="006A0422">
        <w:rPr>
          <w:rFonts w:ascii="Palatino Linotype" w:hAnsi="Palatino Linotype" w:cs="Arial"/>
          <w:b/>
          <w:bCs/>
          <w:sz w:val="24"/>
        </w:rPr>
        <w:t xml:space="preserve">C. </w:t>
      </w:r>
      <w:r w:rsidR="00AE2817">
        <w:rPr>
          <w:rFonts w:ascii="Palatino Linotype" w:hAnsi="Palatino Linotype" w:cs="Arial"/>
          <w:b/>
          <w:bCs/>
          <w:sz w:val="24"/>
        </w:rPr>
        <w:t>XXXXXXXXXXXXXXXXXXXXXXX</w:t>
      </w:r>
      <w:r w:rsidR="0090326D">
        <w:rPr>
          <w:rFonts w:ascii="Palatino Linotype" w:hAnsi="Palatino Linotype" w:cs="Arial"/>
          <w:b/>
          <w:bCs/>
          <w:sz w:val="24"/>
        </w:rPr>
        <w:t xml:space="preserve">, </w:t>
      </w:r>
      <w:r w:rsidR="0090326D">
        <w:rPr>
          <w:rFonts w:ascii="Palatino Linotype" w:hAnsi="Palatino Linotype" w:cs="Arial"/>
          <w:sz w:val="24"/>
        </w:rPr>
        <w:t xml:space="preserve">en lo sucesivo </w:t>
      </w:r>
      <w:r w:rsidR="0090326D">
        <w:rPr>
          <w:rFonts w:ascii="Palatino Linotype" w:hAnsi="Palatino Linotype" w:cs="Arial"/>
          <w:b/>
          <w:bCs/>
          <w:sz w:val="24"/>
        </w:rPr>
        <w:t xml:space="preserve">El Recurrente, </w:t>
      </w:r>
      <w:r w:rsidR="0090326D">
        <w:rPr>
          <w:rFonts w:ascii="Palatino Linotype" w:hAnsi="Palatino Linotype" w:cs="Arial"/>
          <w:sz w:val="24"/>
        </w:rPr>
        <w:t xml:space="preserve">en contra de la respuesta de la </w:t>
      </w:r>
      <w:r w:rsidR="0090326D">
        <w:rPr>
          <w:rFonts w:ascii="Palatino Linotype" w:hAnsi="Palatino Linotype" w:cs="Arial"/>
          <w:b/>
          <w:bCs/>
          <w:sz w:val="24"/>
        </w:rPr>
        <w:t xml:space="preserve">Comisión de Agua del Estado de México, </w:t>
      </w:r>
      <w:r w:rsidR="0090326D">
        <w:rPr>
          <w:rFonts w:ascii="Palatino Linotype" w:hAnsi="Palatino Linotype" w:cs="Arial"/>
          <w:sz w:val="24"/>
        </w:rPr>
        <w:t xml:space="preserve">en lo sucesivo </w:t>
      </w:r>
      <w:r w:rsidR="0090326D">
        <w:rPr>
          <w:rFonts w:ascii="Palatino Linotype" w:hAnsi="Palatino Linotype" w:cs="Arial"/>
          <w:b/>
          <w:bCs/>
          <w:sz w:val="24"/>
        </w:rPr>
        <w:t xml:space="preserve">El Sujeto Obligado, </w:t>
      </w:r>
      <w:r w:rsidR="0090326D">
        <w:rPr>
          <w:rFonts w:ascii="Palatino Linotype" w:hAnsi="Palatino Linotype" w:cs="Arial"/>
          <w:sz w:val="24"/>
        </w:rPr>
        <w:t xml:space="preserve">se procede a dictar la presente resolución. </w:t>
      </w:r>
    </w:p>
    <w:p w14:paraId="28852903" w14:textId="77777777" w:rsidR="0090326D" w:rsidRDefault="0090326D" w:rsidP="006D5803">
      <w:pPr>
        <w:pStyle w:val="infoemcitas"/>
        <w:jc w:val="center"/>
        <w:rPr>
          <w:b/>
          <w:bCs/>
          <w:i w:val="0"/>
          <w:iCs/>
          <w:sz w:val="28"/>
          <w:szCs w:val="28"/>
        </w:rPr>
      </w:pPr>
    </w:p>
    <w:p w14:paraId="22CF085C" w14:textId="0A9C480F"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EC06D67" w14:textId="031E86AA" w:rsidR="0090326D"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90326D">
        <w:rPr>
          <w:rFonts w:ascii="Palatino Linotype" w:hAnsi="Palatino Linotype" w:cs="Arial"/>
          <w:sz w:val="24"/>
        </w:rPr>
        <w:t xml:space="preserve">once de octubre de dos mil veintidós, </w:t>
      </w:r>
      <w:r w:rsidR="0090326D">
        <w:rPr>
          <w:rFonts w:ascii="Palatino Linotype" w:hAnsi="Palatino Linotype" w:cs="Arial"/>
          <w:b/>
          <w:bCs/>
          <w:sz w:val="24"/>
        </w:rPr>
        <w:t xml:space="preserve">El Recurrente, </w:t>
      </w:r>
      <w:r w:rsidR="0090326D">
        <w:rPr>
          <w:rFonts w:ascii="Palatino Linotype" w:hAnsi="Palatino Linotype" w:cs="Arial"/>
          <w:sz w:val="24"/>
        </w:rPr>
        <w:t>presentó a través del Sistema de Acceso a la Información Mexiquense (</w:t>
      </w:r>
      <w:r w:rsidR="0090326D">
        <w:rPr>
          <w:rFonts w:ascii="Palatino Linotype" w:hAnsi="Palatino Linotype" w:cs="Arial"/>
          <w:b/>
          <w:sz w:val="24"/>
        </w:rPr>
        <w:t>SAIMEX)</w:t>
      </w:r>
      <w:r w:rsidR="0090326D">
        <w:rPr>
          <w:rFonts w:ascii="Palatino Linotype" w:hAnsi="Palatino Linotype" w:cs="Arial"/>
          <w:sz w:val="24"/>
        </w:rPr>
        <w:t xml:space="preserve"> ante </w:t>
      </w:r>
      <w:r w:rsidR="0090326D">
        <w:rPr>
          <w:rFonts w:ascii="Palatino Linotype" w:hAnsi="Palatino Linotype" w:cs="Arial"/>
          <w:b/>
          <w:sz w:val="24"/>
        </w:rPr>
        <w:t>El Sujeto Obligado</w:t>
      </w:r>
      <w:r w:rsidR="0090326D">
        <w:rPr>
          <w:rFonts w:ascii="Palatino Linotype" w:hAnsi="Palatino Linotype" w:cs="Arial"/>
          <w:sz w:val="24"/>
        </w:rPr>
        <w:t xml:space="preserve">, solicitud de acceso a la información pública, registrada bajo el número de expediente </w:t>
      </w:r>
      <w:r w:rsidR="0090326D">
        <w:rPr>
          <w:rFonts w:ascii="Palatino Linotype" w:hAnsi="Palatino Linotype" w:cs="Arial"/>
          <w:b/>
          <w:bCs/>
          <w:sz w:val="24"/>
        </w:rPr>
        <w:t xml:space="preserve">00265/CAEM/IP/2022, </w:t>
      </w:r>
      <w:r w:rsidR="0090326D">
        <w:rPr>
          <w:rFonts w:ascii="Palatino Linotype" w:hAnsi="Palatino Linotype" w:cs="Arial"/>
          <w:sz w:val="24"/>
        </w:rPr>
        <w:t>mediante la cual solicitó información en el tenor siguiente:</w:t>
      </w:r>
    </w:p>
    <w:p w14:paraId="4520D191" w14:textId="4C245046" w:rsidR="0090326D" w:rsidRPr="0090326D" w:rsidRDefault="0090326D" w:rsidP="0090326D">
      <w:pPr>
        <w:pStyle w:val="Citas"/>
        <w:rPr>
          <w:b/>
          <w:bCs/>
          <w:sz w:val="24"/>
        </w:rPr>
      </w:pPr>
      <w:r>
        <w:t xml:space="preserve">“Solicito me puedan entregar las obras de infraestructura y saneamiento, realizadas en los años 2020, 2021 y 2022 en el Municipio de Tlalnepantla de Baz, acompañadas del proyecto ejecutivo, así como, el presupuesto ejercido, o por ejercer, en cada una de ellas”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324AC583" w14:textId="3B2DFFB3" w:rsidR="0090326D"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90326D">
        <w:rPr>
          <w:rFonts w:ascii="Palatino Linotype" w:hAnsi="Palatino Linotype" w:cs="Arial"/>
          <w:sz w:val="24"/>
          <w:szCs w:val="24"/>
        </w:rPr>
        <w:t xml:space="preserve">veintiocho de octubre de dos mil veintidós, </w:t>
      </w:r>
      <w:r w:rsidR="0090326D">
        <w:rPr>
          <w:rFonts w:ascii="Palatino Linotype" w:hAnsi="Palatino Linotype" w:cs="Arial"/>
          <w:b/>
          <w:bCs/>
          <w:sz w:val="24"/>
          <w:szCs w:val="24"/>
        </w:rPr>
        <w:t xml:space="preserve">El Sujeto Obligado </w:t>
      </w:r>
      <w:r w:rsidR="0090326D">
        <w:rPr>
          <w:rFonts w:ascii="Palatino Linotype" w:hAnsi="Palatino Linotype" w:cs="Arial"/>
          <w:sz w:val="24"/>
          <w:szCs w:val="24"/>
        </w:rPr>
        <w:t>dio respuesta a la solicitud de información en los siguientes términos:</w:t>
      </w:r>
    </w:p>
    <w:p w14:paraId="6EB75C87" w14:textId="4EDDEDE0" w:rsidR="0090326D" w:rsidRPr="0090326D" w:rsidRDefault="0090326D" w:rsidP="0090326D">
      <w:pPr>
        <w:pStyle w:val="Citas"/>
      </w:pPr>
      <w:r w:rsidRPr="0090326D">
        <w:t>“En respuesta a la solicitud recibida, nos permitimos hacer de su conocimiento que con fundamento en el artículo 53, Fracciones: II, V y VI de la Ley de Transparencia y Acceso a la Información Pública del Estado de México y Municipios, le contestamos que:</w:t>
      </w:r>
    </w:p>
    <w:p w14:paraId="32FB814B" w14:textId="5ED9A677" w:rsidR="0090326D" w:rsidRPr="0090326D" w:rsidRDefault="0090326D" w:rsidP="0090326D">
      <w:pPr>
        <w:pStyle w:val="Citas"/>
        <w:rPr>
          <w:b/>
          <w:bCs/>
        </w:rPr>
      </w:pPr>
      <w:r w:rsidRPr="0090326D">
        <w:t>SE ANEXAN OFICIOS”</w:t>
      </w:r>
      <w:r>
        <w:t xml:space="preserve"> </w:t>
      </w:r>
      <w:r>
        <w:rPr>
          <w:b/>
          <w:bCs/>
        </w:rPr>
        <w:t>(Sic)</w:t>
      </w:r>
    </w:p>
    <w:p w14:paraId="01EC17E3" w14:textId="29169D69" w:rsidR="006A0422" w:rsidRPr="006A0422" w:rsidRDefault="0090326D" w:rsidP="00617776">
      <w:pPr>
        <w:spacing w:before="240" w:line="360" w:lineRule="auto"/>
        <w:jc w:val="both"/>
        <w:rPr>
          <w:i/>
          <w:iCs/>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w:t>
      </w:r>
      <w:r w:rsidR="00617776">
        <w:rPr>
          <w:rFonts w:ascii="Palatino Linotype" w:hAnsi="Palatino Linotype" w:cs="Arial"/>
          <w:b/>
          <w:bCs/>
          <w:sz w:val="24"/>
          <w:szCs w:val="24"/>
        </w:rPr>
        <w:t xml:space="preserve">Oficio respuesta 1360-265-CAEM-IP-2022.docx”, “FOLIO 265.pdf” </w:t>
      </w:r>
      <w:r w:rsidR="00617776">
        <w:rPr>
          <w:rFonts w:ascii="Palatino Linotype" w:hAnsi="Palatino Linotype" w:cs="Arial"/>
          <w:sz w:val="24"/>
          <w:szCs w:val="24"/>
        </w:rPr>
        <w:t xml:space="preserve">y </w:t>
      </w:r>
      <w:r w:rsidR="00617776">
        <w:rPr>
          <w:rFonts w:ascii="Palatino Linotype" w:hAnsi="Palatino Linotype" w:cs="Arial"/>
          <w:b/>
          <w:bCs/>
          <w:sz w:val="24"/>
          <w:szCs w:val="24"/>
        </w:rPr>
        <w:t xml:space="preserve">“Of 3490 Folio 3490.pdf”, </w:t>
      </w:r>
      <w:r w:rsidR="006A0422" w:rsidRPr="00617776">
        <w:rPr>
          <w:rFonts w:ascii="Palatino Linotype" w:hAnsi="Palatino Linotype"/>
          <w:iCs/>
          <w:sz w:val="24"/>
          <w:szCs w:val="24"/>
        </w:rPr>
        <w:t>cuyo contenido será materia de estudio en el considerando respectivo.</w:t>
      </w:r>
      <w:r w:rsidR="006A0422">
        <w:rPr>
          <w:iCs/>
          <w:sz w:val="24"/>
          <w:szCs w:val="24"/>
        </w:rPr>
        <w:t xml:space="preserve"> </w:t>
      </w:r>
    </w:p>
    <w:p w14:paraId="637B6FE9" w14:textId="77777777" w:rsidR="006A0422" w:rsidRDefault="006A0422" w:rsidP="000143E2">
      <w:pPr>
        <w:pStyle w:val="Citas"/>
        <w:ind w:left="0" w:right="-18"/>
        <w:rPr>
          <w:i w:val="0"/>
          <w:iCs/>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E275A2B" w14:textId="2136E3A1" w:rsidR="00617776" w:rsidRPr="00617776"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617776">
        <w:rPr>
          <w:rFonts w:ascii="Palatino Linotype" w:hAnsi="Palatino Linotype" w:cs="Arial"/>
          <w:sz w:val="24"/>
          <w:szCs w:val="24"/>
        </w:rPr>
        <w:t xml:space="preserve">nueve de noviembre de dos mil veintidós, el cual fue registrado </w:t>
      </w:r>
      <w:r w:rsidR="00617776">
        <w:rPr>
          <w:rFonts w:ascii="Palatino Linotype" w:hAnsi="Palatino Linotype" w:cs="Arial"/>
          <w:sz w:val="24"/>
          <w:szCs w:val="24"/>
        </w:rPr>
        <w:lastRenderedPageBreak/>
        <w:t xml:space="preserve">en el sistema electrónico con el expediente </w:t>
      </w:r>
      <w:r w:rsidR="00617776">
        <w:rPr>
          <w:rFonts w:ascii="Palatino Linotype" w:hAnsi="Palatino Linotype" w:cs="Arial"/>
          <w:b/>
          <w:bCs/>
          <w:sz w:val="24"/>
          <w:szCs w:val="24"/>
        </w:rPr>
        <w:t xml:space="preserve">16350/INFOEM/IP/RR/2022, </w:t>
      </w:r>
      <w:r w:rsidR="00617776">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71C530D2" w:rsidR="0034605F" w:rsidRDefault="0034605F" w:rsidP="0034605F">
      <w:pPr>
        <w:pStyle w:val="Citas"/>
        <w:rPr>
          <w:b/>
        </w:rPr>
      </w:pPr>
      <w:r w:rsidRPr="00617776">
        <w:t>“</w:t>
      </w:r>
      <w:r w:rsidR="00617776" w:rsidRPr="00617776">
        <w:t>No se entregaron los proyectos ejecutivos de las obras que se encuentran en proceso en el Municipio de Tlalnepantla de Baz, México, durante el ejercicio 2022.</w:t>
      </w:r>
      <w:r w:rsidRPr="00617776">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22405B0A" w:rsidR="0034605F" w:rsidRDefault="0034605F" w:rsidP="0034605F">
      <w:pPr>
        <w:pStyle w:val="Citas"/>
        <w:rPr>
          <w:b/>
        </w:rPr>
      </w:pPr>
      <w:r w:rsidRPr="00617776">
        <w:t>“</w:t>
      </w:r>
      <w:r w:rsidR="00617776" w:rsidRPr="00617776">
        <w:t xml:space="preserve">El motivo de mi inconformidad, es que no se entregaron los proyectos ejecutivos de las dos obras que se encuentran en proceso en el Municipio de Tlalnepantla de Baz, México, durante el ejercicio 2022. Cabe señalar que mediante oficios de respuesta No. 219C0113000000L/3351/2022, de fecha 19 de octubre del 2022, turnado por la Dirección General de Infraestructura Hidráulica y oficio de respuesta No. 219C0116000000L/1360/2022, de fecha 28 de octubre del 2022, turnado por la Dirección General de Asuntos Jurídicos e Igualdad de Género, señalan que las obras se encuentran en proceso y que la información se elaborara una vez concluidas la obras. </w:t>
      </w:r>
      <w:r w:rsidR="00617776" w:rsidRPr="00617776">
        <w:rPr>
          <w:b/>
          <w:bCs/>
          <w:u w:val="single"/>
        </w:rPr>
        <w:t>Si es el caso de que las obras ya se encuentren en proceso, se debe contar con un proyecto ejecutivo,</w:t>
      </w:r>
      <w:r w:rsidR="00617776" w:rsidRPr="00617776">
        <w:t xml:space="preserve"> toda vez que en el proyecto ejecutivo, se establece la estructuración preliminar de un proyecto que se presenta para la revisión y autorización, una vez que fue aprobado, adopta el carácter de proyecto. De la misma forma, la Dirección General de Infraestructura Hidráulica, en su respuesta, señala que los proyectos ejecutivos, son competencia de la Dirección General del Programa Hidráulico. </w:t>
      </w:r>
      <w:r w:rsidR="00617776" w:rsidRPr="00617776">
        <w:rPr>
          <w:b/>
          <w:bCs/>
          <w:u w:val="single"/>
        </w:rPr>
        <w:t>Al respecto, no se remitió respuesta por parte de la Dirección General del Programa Hidráulico</w:t>
      </w:r>
      <w:r w:rsidR="00617776" w:rsidRPr="00617776">
        <w:t xml:space="preserve"> o, en su caso, no se señaló a que Sujeto Obligado pertenece dicha Dirección</w:t>
      </w:r>
      <w:r w:rsidRPr="00617776">
        <w:t>”</w:t>
      </w:r>
      <w:r w:rsidRPr="007E24F0">
        <w:t xml:space="preserve"> </w:t>
      </w:r>
      <w:r>
        <w:rPr>
          <w:b/>
        </w:rPr>
        <w:t>[Sic]</w:t>
      </w: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6CEF37F1"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617776">
        <w:rPr>
          <w:rFonts w:ascii="Palatino Linotype" w:hAnsi="Palatino Linotype" w:cs="Arial"/>
          <w:sz w:val="24"/>
          <w:szCs w:val="24"/>
        </w:rPr>
        <w:t xml:space="preserve"> </w:t>
      </w:r>
      <w:r w:rsidR="00617776">
        <w:rPr>
          <w:rFonts w:ascii="Palatino Linotype" w:hAnsi="Palatino Linotype" w:cs="Arial"/>
          <w:b/>
          <w:bCs/>
          <w:sz w:val="24"/>
          <w:szCs w:val="24"/>
        </w:rPr>
        <w:t xml:space="preserve">catorce de noviembre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EDCC28D" w14:textId="2BB60421" w:rsidR="00617776" w:rsidRPr="00E22AD6" w:rsidRDefault="00EE5878" w:rsidP="00EE5878">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617776">
        <w:rPr>
          <w:rFonts w:ascii="Palatino Linotype" w:hAnsi="Palatino Linotype" w:cs="Arial"/>
          <w:b/>
          <w:bCs/>
          <w:sz w:val="24"/>
          <w:szCs w:val="24"/>
        </w:rPr>
        <w:t xml:space="preserve">dieciocho de noviembre de dos mil veintidós, </w:t>
      </w:r>
      <w:r w:rsidR="00E22AD6">
        <w:rPr>
          <w:rFonts w:ascii="Palatino Linotype" w:hAnsi="Palatino Linotype" w:cs="Arial"/>
          <w:sz w:val="24"/>
          <w:szCs w:val="24"/>
        </w:rPr>
        <w:t xml:space="preserve">mismo que fue puesto a la vista parcial del </w:t>
      </w:r>
      <w:r w:rsidR="00E22AD6">
        <w:rPr>
          <w:rFonts w:ascii="Palatino Linotype" w:hAnsi="Palatino Linotype" w:cs="Arial"/>
          <w:b/>
          <w:bCs/>
          <w:sz w:val="24"/>
          <w:szCs w:val="24"/>
        </w:rPr>
        <w:t xml:space="preserve">Recurrente, </w:t>
      </w:r>
      <w:r w:rsidR="00E22AD6">
        <w:rPr>
          <w:rFonts w:ascii="Palatino Linotype" w:hAnsi="Palatino Linotype" w:cs="Arial"/>
          <w:sz w:val="24"/>
          <w:szCs w:val="24"/>
        </w:rPr>
        <w:t xml:space="preserve">en fecha </w:t>
      </w:r>
      <w:r w:rsidR="00E22AD6">
        <w:rPr>
          <w:rFonts w:ascii="Palatino Linotype" w:hAnsi="Palatino Linotype" w:cs="Arial"/>
          <w:b/>
          <w:bCs/>
          <w:sz w:val="24"/>
          <w:szCs w:val="24"/>
        </w:rPr>
        <w:t xml:space="preserve">cinco de diciembre de dos mil veintidós. </w:t>
      </w:r>
    </w:p>
    <w:p w14:paraId="72EAD1EB" w14:textId="25AAF040"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E22AD6">
        <w:rPr>
          <w:rFonts w:ascii="Palatino Linotype" w:hAnsi="Palatino Linotype" w:cs="Arial"/>
          <w:b/>
          <w:bCs/>
          <w:sz w:val="24"/>
          <w:szCs w:val="24"/>
        </w:rPr>
        <w:t xml:space="preserve">nueve de enero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4456A9C" w14:textId="62E52E01" w:rsidR="00101FCB" w:rsidRDefault="00271BC1" w:rsidP="00101FC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01FCB" w:rsidRPr="0036654D">
        <w:rPr>
          <w:rFonts w:ascii="Palatino Linotype" w:hAnsi="Palatino Linotype" w:cs="Arial"/>
          <w:sz w:val="24"/>
          <w:szCs w:val="24"/>
        </w:rPr>
        <w:t xml:space="preserve"> fecha</w:t>
      </w:r>
      <w:r w:rsidR="00101FCB">
        <w:rPr>
          <w:rFonts w:ascii="Palatino Linotype" w:hAnsi="Palatino Linotype" w:cs="Arial"/>
          <w:sz w:val="24"/>
          <w:szCs w:val="24"/>
        </w:rPr>
        <w:t xml:space="preserve"> </w:t>
      </w:r>
      <w:r w:rsidR="00E22AD6">
        <w:rPr>
          <w:rFonts w:ascii="Palatino Linotype" w:hAnsi="Palatino Linotype" w:cs="Arial"/>
          <w:b/>
          <w:bCs/>
          <w:sz w:val="24"/>
          <w:szCs w:val="24"/>
        </w:rPr>
        <w:t xml:space="preserve">doce de enero de dos mil veintitrés, </w:t>
      </w:r>
      <w:r w:rsidR="00101FCB" w:rsidRPr="005C7C26">
        <w:rPr>
          <w:rFonts w:ascii="Palatino Linotype" w:hAnsi="Palatino Linotype" w:cs="Arial"/>
          <w:sz w:val="24"/>
          <w:szCs w:val="24"/>
        </w:rPr>
        <w:t>e</w:t>
      </w:r>
      <w:r w:rsidR="00101FCB">
        <w:rPr>
          <w:rFonts w:ascii="Palatino Linotype" w:hAnsi="Palatino Linotype" w:cs="Arial"/>
          <w:sz w:val="24"/>
          <w:szCs w:val="24"/>
        </w:rPr>
        <w:t xml:space="preserve">n el expediente electrónico del recurso de revisión </w:t>
      </w:r>
      <w:r w:rsidR="00101FCB">
        <w:rPr>
          <w:rFonts w:ascii="Palatino Linotype" w:hAnsi="Palatino Linotype" w:cs="Arial"/>
          <w:sz w:val="24"/>
        </w:rPr>
        <w:t xml:space="preserve">se amplió plazo para dictar resolución, en términos del </w:t>
      </w:r>
      <w:r w:rsidR="00101FCB" w:rsidRPr="0053191B">
        <w:rPr>
          <w:rFonts w:ascii="Palatino Linotype" w:hAnsi="Palatino Linotype" w:cs="Arial"/>
          <w:sz w:val="24"/>
          <w:szCs w:val="24"/>
        </w:rPr>
        <w:t xml:space="preserve">artículo 181 </w:t>
      </w:r>
      <w:r w:rsidR="00101FCB" w:rsidRPr="0053191B">
        <w:rPr>
          <w:rFonts w:ascii="Palatino Linotype" w:hAnsi="Palatino Linotype" w:cs="Arial"/>
          <w:sz w:val="24"/>
          <w:szCs w:val="24"/>
        </w:rPr>
        <w:lastRenderedPageBreak/>
        <w:t>de la Ley de Transparencia y Acceso a la Información del Estado de México y Municipios.</w:t>
      </w:r>
      <w:r w:rsidR="00101FCB">
        <w:rPr>
          <w:rFonts w:ascii="Palatino Linotype" w:hAnsi="Palatino Linotype" w:cs="Arial"/>
          <w:sz w:val="24"/>
          <w:szCs w:val="24"/>
        </w:rPr>
        <w:t xml:space="preserve"> </w:t>
      </w:r>
    </w:p>
    <w:p w14:paraId="2617DDE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A9C5A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810A1D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6FF1716B"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EAE8E9"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9F5F4E2"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BC04B74"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B1B9AAD" w14:textId="77777777" w:rsidR="00101FCB" w:rsidRPr="001F3B43" w:rsidRDefault="00101FCB" w:rsidP="00101FCB">
      <w:pPr>
        <w:spacing w:line="360" w:lineRule="auto"/>
        <w:jc w:val="both"/>
        <w:rPr>
          <w:rFonts w:ascii="Palatino Linotype" w:hAnsi="Palatino Linotype" w:cstheme="majorHAnsi"/>
          <w:sz w:val="24"/>
          <w:szCs w:val="24"/>
        </w:rPr>
      </w:pPr>
    </w:p>
    <w:p w14:paraId="0D09AA4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w:t>
      </w:r>
      <w:r w:rsidRPr="001F3B43">
        <w:rPr>
          <w:rFonts w:ascii="Palatino Linotype" w:hAnsi="Palatino Linotype" w:cstheme="majorHAnsi"/>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4651140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3F15F8A"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3BB4F3C7" w14:textId="77777777" w:rsidR="00101FCB" w:rsidRPr="00B01D73" w:rsidRDefault="00101FCB" w:rsidP="00101FC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8D7943D" w14:textId="77777777" w:rsidR="00EE5878" w:rsidRDefault="00EE5878" w:rsidP="00EE58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15EB736" w14:textId="77777777" w:rsidR="00EE5878" w:rsidRPr="00514E66" w:rsidRDefault="00EE5878" w:rsidP="00EE58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A75E4B" w14:textId="77777777" w:rsidR="00EE5878" w:rsidRDefault="00EE5878" w:rsidP="00EE58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0869D26B" w14:textId="75423261" w:rsidR="00E22AD6"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E22AD6">
        <w:rPr>
          <w:rFonts w:ascii="Palatino Linotype" w:hAnsi="Palatino Linotype"/>
          <w:b/>
          <w:bCs/>
          <w:sz w:val="24"/>
          <w:szCs w:val="24"/>
        </w:rPr>
        <w:t xml:space="preserve">00265/CAEM/IP/2022 </w:t>
      </w:r>
      <w:r w:rsidR="00E22AD6">
        <w:rPr>
          <w:rFonts w:ascii="Palatino Linotype" w:hAnsi="Palatino Linotype"/>
          <w:sz w:val="24"/>
          <w:szCs w:val="24"/>
        </w:rPr>
        <w:t xml:space="preserve">se advierte que fueron formulados </w:t>
      </w:r>
      <w:r w:rsidR="00E22AD6">
        <w:rPr>
          <w:rFonts w:ascii="Palatino Linotype" w:hAnsi="Palatino Linotype"/>
          <w:b/>
          <w:bCs/>
          <w:sz w:val="24"/>
          <w:szCs w:val="24"/>
        </w:rPr>
        <w:t xml:space="preserve">3 -tres- </w:t>
      </w:r>
      <w:r w:rsidR="00E22AD6">
        <w:rPr>
          <w:rFonts w:ascii="Palatino Linotype" w:hAnsi="Palatino Linotype"/>
          <w:sz w:val="24"/>
          <w:szCs w:val="24"/>
        </w:rPr>
        <w:t xml:space="preserve">requerimientos, respecto de los cuales fue señalado como elemento temporal </w:t>
      </w:r>
      <w:r w:rsidR="00E22AD6">
        <w:rPr>
          <w:rFonts w:ascii="Palatino Linotype" w:hAnsi="Palatino Linotype"/>
          <w:i/>
          <w:iCs/>
          <w:sz w:val="24"/>
          <w:szCs w:val="24"/>
        </w:rPr>
        <w:t xml:space="preserve">“en los años 2020, 2021 y 2022”, </w:t>
      </w:r>
      <w:r w:rsidR="00E22AD6">
        <w:rPr>
          <w:rFonts w:ascii="Palatino Linotype" w:hAnsi="Palatino Linotype"/>
          <w:sz w:val="24"/>
          <w:szCs w:val="24"/>
        </w:rPr>
        <w:t xml:space="preserve">luego entonces el elemento temporal debe de ser fijado del uno de enero de dos mil veinte al once de octubre de dos mil veintidós, este último al corresponder a la fecha en que se ejerció el derecho de acceso a la información pública. </w:t>
      </w:r>
    </w:p>
    <w:p w14:paraId="49254E97" w14:textId="47C70DFA" w:rsidR="00E22AD6" w:rsidRPr="0051062B" w:rsidRDefault="00E22AD6" w:rsidP="00E22AD6">
      <w:pPr>
        <w:spacing w:before="240" w:line="360" w:lineRule="auto"/>
        <w:jc w:val="both"/>
        <w:rPr>
          <w:rFonts w:ascii="Palatino Linotype" w:hAnsi="Palatino Linotype"/>
          <w:sz w:val="24"/>
          <w:szCs w:val="24"/>
        </w:rPr>
      </w:pPr>
      <w:r>
        <w:rPr>
          <w:rFonts w:ascii="Palatino Linotype" w:hAnsi="Palatino Linotype"/>
          <w:sz w:val="24"/>
          <w:szCs w:val="24"/>
        </w:rPr>
        <w:lastRenderedPageBreak/>
        <w:t>Dicha precisión</w:t>
      </w:r>
      <w:r w:rsidRPr="00A44FBE">
        <w:rPr>
          <w:rFonts w:ascii="Palatino Linotype" w:hAnsi="Palatino Linotype"/>
          <w:sz w:val="24"/>
          <w:szCs w:val="24"/>
        </w:rPr>
        <w:t xml:space="preserve">, con fundamento </w:t>
      </w:r>
      <w:r w:rsidRPr="0051062B">
        <w:rPr>
          <w:rFonts w:ascii="Palatino Linotype" w:hAnsi="Palatino Linotype"/>
          <w:sz w:val="24"/>
          <w:szCs w:val="24"/>
        </w:rPr>
        <w:t xml:space="preserve">en los artículos 13 y 181 cuarto párrafo de la Ley en materia, los cuales a la letra rezan: </w:t>
      </w:r>
    </w:p>
    <w:p w14:paraId="3744C096" w14:textId="77777777" w:rsidR="00E22AD6" w:rsidRPr="0051062B" w:rsidRDefault="00E22AD6" w:rsidP="00E22AD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39D0A24" w14:textId="77777777" w:rsidR="00E22AD6" w:rsidRPr="0051062B" w:rsidRDefault="00E22AD6" w:rsidP="00E22AD6">
      <w:pPr>
        <w:pStyle w:val="Citas"/>
        <w:rPr>
          <w:b/>
        </w:rPr>
      </w:pPr>
      <w:r w:rsidRPr="0051062B">
        <w:rPr>
          <w:b/>
        </w:rPr>
        <w:t xml:space="preserve">Artículo 181. … </w:t>
      </w:r>
    </w:p>
    <w:p w14:paraId="1A9AE424" w14:textId="77777777" w:rsidR="00E22AD6" w:rsidRDefault="00E22AD6" w:rsidP="00E22AD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32F037B" w14:textId="77777777" w:rsidR="00E22AD6" w:rsidRDefault="00E22AD6" w:rsidP="00E22AD6">
      <w:pPr>
        <w:spacing w:before="240" w:line="360" w:lineRule="auto"/>
        <w:jc w:val="both"/>
        <w:rPr>
          <w:rFonts w:ascii="Palatino Linotype" w:hAnsi="Palatino Linotype"/>
          <w:sz w:val="24"/>
          <w:szCs w:val="24"/>
        </w:rPr>
      </w:pPr>
    </w:p>
    <w:p w14:paraId="7DA56DAE" w14:textId="77777777" w:rsidR="00E22AD6" w:rsidRPr="0064392E" w:rsidRDefault="00E22AD6" w:rsidP="00E22AD6">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2D72764" w14:textId="1B976783" w:rsidR="00E22AD6" w:rsidRDefault="00E22AD6" w:rsidP="00E22AD6">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El o los documentos donde consten las obras de infraestructura y saneamiento, realizadas </w:t>
      </w:r>
      <w:r w:rsidR="00672810">
        <w:rPr>
          <w:rFonts w:ascii="Palatino Linotype" w:hAnsi="Palatino Linotype"/>
        </w:rPr>
        <w:t xml:space="preserve">en el municipio de Tlalnepantla de Baz, </w:t>
      </w:r>
      <w:r>
        <w:rPr>
          <w:rFonts w:ascii="Palatino Linotype" w:hAnsi="Palatino Linotype"/>
        </w:rPr>
        <w:t xml:space="preserve">durante el periodo comprendido del uno de enero de dos mil veinte al once de octubre de dos mil veintidós. </w:t>
      </w:r>
    </w:p>
    <w:p w14:paraId="663C3FAC" w14:textId="3DC5C095" w:rsidR="00E22AD6" w:rsidRDefault="00E22AD6" w:rsidP="00E22AD6">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Proyecto ejecutivo de las obras de infraestructura y saneamiento, realizadas </w:t>
      </w:r>
      <w:r w:rsidR="00672810">
        <w:rPr>
          <w:rFonts w:ascii="Palatino Linotype" w:hAnsi="Palatino Linotype"/>
        </w:rPr>
        <w:t xml:space="preserve">en el municipio de Tlalnepantla de Baz, </w:t>
      </w:r>
      <w:r>
        <w:rPr>
          <w:rFonts w:ascii="Palatino Linotype" w:hAnsi="Palatino Linotype"/>
        </w:rPr>
        <w:t xml:space="preserve">durante el periodo comprendido del uno de enero de dos mil veinte al once de octubre de dos mil veintidós. </w:t>
      </w:r>
    </w:p>
    <w:p w14:paraId="3D99C060" w14:textId="60061360" w:rsidR="00E22AD6" w:rsidRPr="00E22AD6" w:rsidRDefault="00E22AD6" w:rsidP="00E22AD6">
      <w:pPr>
        <w:pStyle w:val="Prrafodelista"/>
        <w:numPr>
          <w:ilvl w:val="0"/>
          <w:numId w:val="37"/>
        </w:numPr>
        <w:spacing w:before="240" w:line="360" w:lineRule="auto"/>
        <w:jc w:val="both"/>
        <w:rPr>
          <w:rFonts w:ascii="Palatino Linotype" w:hAnsi="Palatino Linotype"/>
        </w:rPr>
      </w:pPr>
      <w:r>
        <w:rPr>
          <w:rFonts w:ascii="Palatino Linotype" w:hAnsi="Palatino Linotype"/>
        </w:rPr>
        <w:lastRenderedPageBreak/>
        <w:t xml:space="preserve">El o los documentos donde conste el presupuesto ejercido o por ejercer respecto de las obras de infraestructura y saneamiento realizadas </w:t>
      </w:r>
      <w:r w:rsidR="00672810">
        <w:rPr>
          <w:rFonts w:ascii="Palatino Linotype" w:hAnsi="Palatino Linotype"/>
        </w:rPr>
        <w:t xml:space="preserve">en el municipio de Tlalnepantla de Baz, </w:t>
      </w:r>
      <w:r>
        <w:rPr>
          <w:rFonts w:ascii="Palatino Linotype" w:hAnsi="Palatino Linotype"/>
        </w:rPr>
        <w:t xml:space="preserve">durante el periodo comprendido del uno de enero de dos mil veinte al once de octubre de dos mil veintidós. </w:t>
      </w:r>
    </w:p>
    <w:p w14:paraId="2D55CB9B" w14:textId="4F70BF97" w:rsidR="00E22AD6" w:rsidRDefault="00E22AD6" w:rsidP="00871F78">
      <w:pPr>
        <w:spacing w:before="240" w:line="360" w:lineRule="auto"/>
        <w:jc w:val="both"/>
        <w:rPr>
          <w:rFonts w:ascii="Palatino Linotype" w:hAnsi="Palatino Linotype"/>
          <w:sz w:val="24"/>
          <w:szCs w:val="24"/>
        </w:rPr>
      </w:pPr>
    </w:p>
    <w:p w14:paraId="327DF0E7" w14:textId="77777777" w:rsidR="002F5FD9" w:rsidRDefault="002F5FD9" w:rsidP="002F5FD9">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48FAAC2" w14:textId="77777777" w:rsidR="002F5FD9" w:rsidRPr="009535E0" w:rsidRDefault="002F5FD9" w:rsidP="002F5FD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69689FA" w14:textId="77777777" w:rsidR="002F5FD9" w:rsidRPr="009535E0" w:rsidRDefault="002F5FD9" w:rsidP="002F5FD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8DD9A80" w14:textId="77777777" w:rsidR="002F5FD9" w:rsidRPr="009535E0" w:rsidRDefault="002F5FD9" w:rsidP="002F5FD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7CF8D7" w14:textId="77777777" w:rsidR="002F5FD9" w:rsidRDefault="002F5FD9" w:rsidP="002F5FD9">
      <w:pPr>
        <w:pStyle w:val="INFOEM"/>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4D632FDD" w14:textId="77777777" w:rsidR="002F5FD9" w:rsidRDefault="002F5FD9" w:rsidP="002F5FD9">
      <w:pPr>
        <w:pStyle w:val="INFOEM"/>
        <w:rPr>
          <w:b/>
        </w:rPr>
      </w:pPr>
      <w:r>
        <w:t xml:space="preserve"> (…)” </w:t>
      </w:r>
      <w:r>
        <w:rPr>
          <w:b/>
        </w:rPr>
        <w:t>[Sic]</w:t>
      </w:r>
    </w:p>
    <w:p w14:paraId="7130105E" w14:textId="77777777" w:rsidR="002F5FD9" w:rsidRDefault="002F5FD9" w:rsidP="002F5FD9">
      <w:pPr>
        <w:pStyle w:val="INFOEM"/>
        <w:ind w:left="0"/>
      </w:pPr>
    </w:p>
    <w:p w14:paraId="5BF0D33E" w14:textId="55089368" w:rsidR="002F5FD9" w:rsidRPr="008C2064" w:rsidRDefault="00672810" w:rsidP="002F5FD9">
      <w:pPr>
        <w:pStyle w:val="INFOEM"/>
        <w:ind w:left="0"/>
        <w:rPr>
          <w:i w:val="0"/>
          <w:iCs/>
          <w:sz w:val="24"/>
          <w:szCs w:val="24"/>
        </w:rPr>
      </w:pPr>
      <w:r>
        <w:rPr>
          <w:noProof/>
          <w:sz w:val="24"/>
          <w:szCs w:val="24"/>
          <w:lang w:eastAsia="es-MX"/>
        </w:rPr>
        <w:drawing>
          <wp:anchor distT="0" distB="0" distL="114300" distR="114300" simplePos="0" relativeHeight="251704318" behindDoc="0" locked="0" layoutInCell="1" allowOverlap="1" wp14:anchorId="458CC076" wp14:editId="1A4E80B2">
            <wp:simplePos x="0" y="0"/>
            <wp:positionH relativeFrom="column">
              <wp:posOffset>74930</wp:posOffset>
            </wp:positionH>
            <wp:positionV relativeFrom="paragraph">
              <wp:posOffset>637944</wp:posOffset>
            </wp:positionV>
            <wp:extent cx="5756275" cy="3518535"/>
            <wp:effectExtent l="19050" t="19050" r="15875" b="24765"/>
            <wp:wrapThrough wrapText="bothSides">
              <wp:wrapPolygon edited="0">
                <wp:start x="-71" y="-117"/>
                <wp:lineTo x="-71" y="21635"/>
                <wp:lineTo x="21588" y="21635"/>
                <wp:lineTo x="21588" y="-117"/>
                <wp:lineTo x="-71" y="-1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5185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F5FD9">
        <w:rPr>
          <w:i w:val="0"/>
          <w:iCs/>
          <w:sz w:val="24"/>
          <w:szCs w:val="24"/>
        </w:rPr>
        <w:t xml:space="preserve">Sirven de sustento las siguientes imágenes ilustrativas: </w:t>
      </w:r>
    </w:p>
    <w:p w14:paraId="580943C5" w14:textId="0C46FC6C" w:rsidR="002F5FD9" w:rsidRDefault="00DC20EE" w:rsidP="00A44FBE">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707390" behindDoc="0" locked="0" layoutInCell="1" allowOverlap="1" wp14:anchorId="1050BA16" wp14:editId="0D28FD04">
            <wp:simplePos x="0" y="0"/>
            <wp:positionH relativeFrom="column">
              <wp:posOffset>441325</wp:posOffset>
            </wp:positionH>
            <wp:positionV relativeFrom="paragraph">
              <wp:posOffset>4016375</wp:posOffset>
            </wp:positionV>
            <wp:extent cx="1579245" cy="905510"/>
            <wp:effectExtent l="19050" t="19050" r="20955" b="27940"/>
            <wp:wrapThrough wrapText="bothSides">
              <wp:wrapPolygon edited="0">
                <wp:start x="-261" y="-454"/>
                <wp:lineTo x="-261" y="21812"/>
                <wp:lineTo x="21626" y="21812"/>
                <wp:lineTo x="21626" y="-454"/>
                <wp:lineTo x="-261" y="-45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90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05342" behindDoc="0" locked="0" layoutInCell="1" allowOverlap="1" wp14:anchorId="61F6C973" wp14:editId="0871B492">
            <wp:simplePos x="0" y="0"/>
            <wp:positionH relativeFrom="column">
              <wp:posOffset>4027805</wp:posOffset>
            </wp:positionH>
            <wp:positionV relativeFrom="paragraph">
              <wp:posOffset>4016375</wp:posOffset>
            </wp:positionV>
            <wp:extent cx="1572260" cy="907415"/>
            <wp:effectExtent l="19050" t="19050" r="27940" b="26035"/>
            <wp:wrapThrough wrapText="bothSides">
              <wp:wrapPolygon edited="0">
                <wp:start x="-262" y="-453"/>
                <wp:lineTo x="-262" y="21766"/>
                <wp:lineTo x="21722" y="21766"/>
                <wp:lineTo x="21722" y="-453"/>
                <wp:lineTo x="-262" y="-453"/>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260" cy="9074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06366" behindDoc="0" locked="0" layoutInCell="1" allowOverlap="1" wp14:anchorId="6E21F90A" wp14:editId="6774BCF5">
            <wp:simplePos x="0" y="0"/>
            <wp:positionH relativeFrom="column">
              <wp:posOffset>2242127</wp:posOffset>
            </wp:positionH>
            <wp:positionV relativeFrom="paragraph">
              <wp:posOffset>4016433</wp:posOffset>
            </wp:positionV>
            <wp:extent cx="1579245" cy="907415"/>
            <wp:effectExtent l="19050" t="19050" r="20955" b="26035"/>
            <wp:wrapThrough wrapText="bothSides">
              <wp:wrapPolygon edited="0">
                <wp:start x="-261" y="-453"/>
                <wp:lineTo x="-261" y="21766"/>
                <wp:lineTo x="21626" y="21766"/>
                <wp:lineTo x="21626" y="-453"/>
                <wp:lineTo x="-261" y="-453"/>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9074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54C317B" w14:textId="04BE01C0" w:rsidR="002F5FD9" w:rsidRDefault="002F5FD9" w:rsidP="00A44FBE">
      <w:pPr>
        <w:spacing w:before="240" w:line="360" w:lineRule="auto"/>
        <w:jc w:val="both"/>
        <w:rPr>
          <w:rFonts w:ascii="Palatino Linotype" w:hAnsi="Palatino Linotype"/>
          <w:sz w:val="24"/>
          <w:szCs w:val="24"/>
        </w:rPr>
      </w:pPr>
    </w:p>
    <w:p w14:paraId="4210C8A5" w14:textId="76EA614B" w:rsidR="002F5FD9" w:rsidRDefault="002F5FD9" w:rsidP="00A44FBE">
      <w:pPr>
        <w:spacing w:before="240" w:line="360" w:lineRule="auto"/>
        <w:jc w:val="both"/>
        <w:rPr>
          <w:rFonts w:ascii="Palatino Linotype" w:hAnsi="Palatino Linotype"/>
          <w:sz w:val="24"/>
          <w:szCs w:val="24"/>
        </w:rPr>
      </w:pPr>
    </w:p>
    <w:p w14:paraId="64D0026B" w14:textId="0A3C1303" w:rsidR="00DC20EE" w:rsidRPr="00B86B44" w:rsidRDefault="00DC20EE" w:rsidP="00DC20EE">
      <w:pPr>
        <w:spacing w:before="240" w:line="360" w:lineRule="auto"/>
        <w:jc w:val="both"/>
        <w:rPr>
          <w:rFonts w:ascii="Palatino Linotype" w:hAnsi="Palatino Linotype"/>
          <w:b/>
          <w:sz w:val="24"/>
          <w:szCs w:val="24"/>
        </w:rPr>
      </w:pPr>
      <w:r w:rsidRPr="00B86B44">
        <w:rPr>
          <w:rFonts w:ascii="Palatino Linotype" w:hAnsi="Palatino Linotype"/>
          <w:sz w:val="24"/>
          <w:szCs w:val="24"/>
        </w:rPr>
        <w:lastRenderedPageBreak/>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Dirección general de programa hidráulico y su Subdirección de proyectos; la Dirección general de inversión y gestión; así como la Dirección general de administración, finanzas y de gestión documental. </w:t>
      </w:r>
    </w:p>
    <w:p w14:paraId="09C9464D" w14:textId="31B5889B" w:rsidR="002F5FD9" w:rsidRPr="00676987" w:rsidRDefault="00DC20EE" w:rsidP="00A44FBE">
      <w:pPr>
        <w:spacing w:before="240" w:line="360" w:lineRule="auto"/>
        <w:jc w:val="both"/>
        <w:rPr>
          <w:rFonts w:ascii="Palatino Linotype" w:hAnsi="Palatino Linotype"/>
          <w:sz w:val="24"/>
          <w:szCs w:val="24"/>
        </w:rPr>
      </w:pPr>
      <w:r>
        <w:rPr>
          <w:rFonts w:ascii="Palatino Linotype" w:hAnsi="Palatino Linotype"/>
          <w:sz w:val="24"/>
          <w:szCs w:val="24"/>
        </w:rPr>
        <w:t xml:space="preserve">De manera complementaria, a efecto de ilustrar la esfera competencial de las unidades administrativas en cita, resulta oportuno traer a colación los apartados </w:t>
      </w:r>
      <w:r w:rsidR="00676987" w:rsidRPr="00676987">
        <w:rPr>
          <w:rFonts w:ascii="Palatino Linotype" w:hAnsi="Palatino Linotype"/>
          <w:b/>
          <w:bCs/>
          <w:sz w:val="24"/>
          <w:szCs w:val="24"/>
        </w:rPr>
        <w:t>229B20000</w:t>
      </w:r>
      <w:r w:rsidR="00676987">
        <w:rPr>
          <w:rFonts w:ascii="Palatino Linotype" w:hAnsi="Palatino Linotype"/>
          <w:b/>
          <w:bCs/>
          <w:sz w:val="24"/>
          <w:szCs w:val="24"/>
        </w:rPr>
        <w:t xml:space="preserve"> </w:t>
      </w:r>
      <w:r w:rsidR="00676987">
        <w:rPr>
          <w:rFonts w:ascii="Palatino Linotype" w:hAnsi="Palatino Linotype"/>
          <w:sz w:val="24"/>
          <w:szCs w:val="24"/>
        </w:rPr>
        <w:t xml:space="preserve">“Dirección general del programa hidráulico”, </w:t>
      </w:r>
      <w:r w:rsidR="00676987" w:rsidRPr="00676987">
        <w:rPr>
          <w:rFonts w:ascii="Palatino Linotype" w:hAnsi="Palatino Linotype"/>
          <w:b/>
          <w:bCs/>
          <w:sz w:val="24"/>
          <w:szCs w:val="24"/>
        </w:rPr>
        <w:t>229B23200</w:t>
      </w:r>
      <w:r w:rsidR="00676987">
        <w:rPr>
          <w:rFonts w:ascii="Palatino Linotype" w:hAnsi="Palatino Linotype"/>
          <w:b/>
          <w:bCs/>
          <w:sz w:val="24"/>
          <w:szCs w:val="24"/>
        </w:rPr>
        <w:t xml:space="preserve"> </w:t>
      </w:r>
      <w:r w:rsidR="00676987">
        <w:rPr>
          <w:rFonts w:ascii="Palatino Linotype" w:hAnsi="Palatino Linotype"/>
          <w:sz w:val="24"/>
          <w:szCs w:val="24"/>
        </w:rPr>
        <w:t xml:space="preserve">“Subdirección de proyectos”, </w:t>
      </w:r>
      <w:r w:rsidR="00676987" w:rsidRPr="00676987">
        <w:rPr>
          <w:rFonts w:ascii="Palatino Linotype" w:hAnsi="Palatino Linotype"/>
          <w:b/>
          <w:bCs/>
          <w:sz w:val="24"/>
          <w:szCs w:val="24"/>
        </w:rPr>
        <w:t>229B30000</w:t>
      </w:r>
      <w:r w:rsidR="00676987">
        <w:rPr>
          <w:rFonts w:ascii="Palatino Linotype" w:hAnsi="Palatino Linotype"/>
          <w:b/>
          <w:bCs/>
          <w:sz w:val="24"/>
          <w:szCs w:val="24"/>
        </w:rPr>
        <w:t xml:space="preserve"> </w:t>
      </w:r>
      <w:r w:rsidR="00676987">
        <w:rPr>
          <w:rFonts w:ascii="Palatino Linotype" w:hAnsi="Palatino Linotype"/>
          <w:sz w:val="24"/>
          <w:szCs w:val="24"/>
        </w:rPr>
        <w:t xml:space="preserve">“Dirección general de inversión y gestión” y </w:t>
      </w:r>
      <w:r w:rsidR="00676987" w:rsidRPr="00676987">
        <w:rPr>
          <w:rFonts w:ascii="Palatino Linotype" w:hAnsi="Palatino Linotype"/>
          <w:b/>
          <w:bCs/>
          <w:sz w:val="24"/>
          <w:szCs w:val="24"/>
        </w:rPr>
        <w:t>229B60000</w:t>
      </w:r>
      <w:r w:rsidR="00676987">
        <w:rPr>
          <w:rFonts w:ascii="Palatino Linotype" w:hAnsi="Palatino Linotype"/>
          <w:b/>
          <w:bCs/>
          <w:sz w:val="24"/>
          <w:szCs w:val="24"/>
        </w:rPr>
        <w:t xml:space="preserve"> </w:t>
      </w:r>
      <w:r w:rsidR="00676987">
        <w:rPr>
          <w:rFonts w:ascii="Palatino Linotype" w:hAnsi="Palatino Linotype"/>
          <w:sz w:val="24"/>
          <w:szCs w:val="24"/>
        </w:rPr>
        <w:t>“Dirección general de administración y Finanzas” del Manual General de Organización de la Comisión de Agua del Estado de México, porciones normativas que disponen a la literalidad lo siguiente:</w:t>
      </w:r>
    </w:p>
    <w:p w14:paraId="353957F4" w14:textId="7C13771F" w:rsidR="00FC775F" w:rsidRDefault="00676987" w:rsidP="0036288B">
      <w:pPr>
        <w:pStyle w:val="Citas"/>
        <w:rPr>
          <w:b/>
          <w:bCs/>
          <w:sz w:val="24"/>
          <w:szCs w:val="24"/>
        </w:rPr>
      </w:pPr>
      <w:r>
        <w:rPr>
          <w:b/>
          <w:bCs/>
          <w:sz w:val="24"/>
          <w:szCs w:val="24"/>
        </w:rPr>
        <w:t>“</w:t>
      </w:r>
      <w:r w:rsidR="0036288B" w:rsidRPr="00FC775F">
        <w:rPr>
          <w:b/>
          <w:bCs/>
          <w:sz w:val="24"/>
          <w:szCs w:val="24"/>
        </w:rPr>
        <w:t xml:space="preserve">229B20000 DIRECCIÓN GENERAL DEL PROGRAMA HIDRÁULICO </w:t>
      </w:r>
    </w:p>
    <w:p w14:paraId="15587130" w14:textId="7900F80F" w:rsidR="0036288B" w:rsidRDefault="0036288B" w:rsidP="0036288B">
      <w:pPr>
        <w:pStyle w:val="Citas"/>
      </w:pPr>
      <w:r>
        <w:t xml:space="preserve">OBJETIVO: </w:t>
      </w:r>
    </w:p>
    <w:p w14:paraId="40E05E09" w14:textId="77777777" w:rsidR="0036288B" w:rsidRDefault="0036288B" w:rsidP="0036288B">
      <w:pPr>
        <w:pStyle w:val="Citas"/>
      </w:pPr>
      <w:r>
        <w:t xml:space="preserve">Planear, programar y evaluar las obras y acciones para alcanzar las metas establecidas en el Plan de Desarrollo y el Programa Hídrico Estatal, así como coordinar la elaboración de estudios y proyectos para la ejecución de obras de agua, drenaje y tratamiento de aguas e integrar el diagnóstico de la infraestructura hidráulica en el Estado, estableciendo las políticas y estrategias orientadas a mejorar los servicios que se proporcionan a la ciudadanía en la materia y para el uso eficiente </w:t>
      </w:r>
      <w:r>
        <w:lastRenderedPageBreak/>
        <w:t xml:space="preserve">y sustentable del recurso hídrico disponible que coadyuve a disminuir las afectaciones a la población por fenómenos hidrometeorológicos. </w:t>
      </w:r>
    </w:p>
    <w:p w14:paraId="485F1154" w14:textId="7A8455CF" w:rsidR="002F5FD9" w:rsidRDefault="0036288B" w:rsidP="0036288B">
      <w:pPr>
        <w:pStyle w:val="Citas"/>
      </w:pPr>
      <w:r>
        <w:t>FUNCIONES:</w:t>
      </w:r>
    </w:p>
    <w:p w14:paraId="41DCDE89" w14:textId="602DF70F" w:rsidR="0036288B" w:rsidRDefault="0036288B" w:rsidP="0036288B">
      <w:pPr>
        <w:pStyle w:val="Citas"/>
        <w:rPr>
          <w:b/>
          <w:bCs/>
          <w:u w:val="single"/>
        </w:rPr>
      </w:pPr>
      <w:r w:rsidRPr="0036288B">
        <w:rPr>
          <w:b/>
          <w:bCs/>
          <w:u w:val="single"/>
        </w:rPr>
        <w:t>Planear y determinar, en coordinación con las autoridades gubernamentales federales, estatales y municipales, las obras de agua potable, desinfección, drenaje, alcantarillado, saneamiento, tratamiento y reúso de aguas tratadas, así como el control y la disposición final de lodos producto del tratamiento de aguas residuales.</w:t>
      </w:r>
    </w:p>
    <w:p w14:paraId="5E6BE6F2" w14:textId="51DBC070" w:rsidR="0036288B" w:rsidRDefault="0036288B" w:rsidP="0036288B">
      <w:pPr>
        <w:pStyle w:val="Citas"/>
        <w:rPr>
          <w:b/>
          <w:bCs/>
        </w:rPr>
      </w:pPr>
      <w:r>
        <w:rPr>
          <w:b/>
          <w:bCs/>
        </w:rPr>
        <w:t>(…)</w:t>
      </w:r>
    </w:p>
    <w:p w14:paraId="76725B08" w14:textId="6257E9D0" w:rsidR="0036288B" w:rsidRDefault="0036288B" w:rsidP="0036288B">
      <w:pPr>
        <w:pStyle w:val="Citas"/>
      </w:pPr>
      <w:r>
        <w:t>Coordinar la elaboración e instrumentación del Programa Hidráulico Integral Estatal, con la participación de las autoridades municipales y los usuarios, a efecto de procurarla administración y aprovechamiento eficiente de los recursos hidráulicos de la Entidad.</w:t>
      </w:r>
    </w:p>
    <w:p w14:paraId="61B1CA8B" w14:textId="61D6745B" w:rsidR="0036288B" w:rsidRDefault="0036288B" w:rsidP="0036288B">
      <w:pPr>
        <w:pStyle w:val="Citas"/>
      </w:pPr>
      <w:r>
        <w:t>(…)</w:t>
      </w:r>
    </w:p>
    <w:p w14:paraId="7B3AB919" w14:textId="49337E61" w:rsidR="0036288B" w:rsidRDefault="0036288B" w:rsidP="0036288B">
      <w:pPr>
        <w:pStyle w:val="Citas"/>
        <w:rPr>
          <w:b/>
          <w:bCs/>
          <w:u w:val="single"/>
        </w:rPr>
      </w:pPr>
      <w:r w:rsidRPr="0036288B">
        <w:rPr>
          <w:b/>
          <w:bCs/>
          <w:u w:val="single"/>
        </w:rPr>
        <w:t>Aprobar y coordinar, la supervisión de los estudios y proyectos que se ejecuten por administración directa o en la modalidad de contrato, hasta su conclusión a entera satisfacción de la Comisión.</w:t>
      </w:r>
    </w:p>
    <w:p w14:paraId="532B3546" w14:textId="77777777" w:rsidR="0036288B" w:rsidRDefault="0036288B" w:rsidP="0036288B">
      <w:pPr>
        <w:pStyle w:val="Citas"/>
      </w:pPr>
      <w:r>
        <w:t xml:space="preserve">Dirigir el diseño, implantación, operación del Sistema Estatal de Información del Agua así como su actualización. </w:t>
      </w:r>
    </w:p>
    <w:p w14:paraId="57842B2D" w14:textId="30A9A44E" w:rsidR="0036288B" w:rsidRDefault="0036288B" w:rsidP="0036288B">
      <w:pPr>
        <w:pStyle w:val="Citas"/>
        <w:rPr>
          <w:b/>
          <w:bCs/>
          <w:u w:val="single"/>
        </w:rPr>
      </w:pPr>
      <w:r w:rsidRPr="0036288B">
        <w:rPr>
          <w:b/>
          <w:bCs/>
          <w:u w:val="single"/>
        </w:rPr>
        <w:t xml:space="preserve">Coordinar la programación, elaboración y supervisión de los estudios y proyectos para ampliar y mejorar los servicios de los sistemas e </w:t>
      </w:r>
      <w:r w:rsidRPr="0036288B">
        <w:rPr>
          <w:b/>
          <w:bCs/>
          <w:u w:val="single"/>
        </w:rPr>
        <w:lastRenderedPageBreak/>
        <w:t>instalaciones de agua potable, desinfección, drenaje, alcantarillado, saneamiento, tratamiento y reúso de aguas tratadas, así como para el control y disposición final de lodos producto del tratamiento de aguas residuales.</w:t>
      </w:r>
    </w:p>
    <w:p w14:paraId="77110DD6" w14:textId="00129569" w:rsidR="0036288B" w:rsidRDefault="0036288B" w:rsidP="0036288B">
      <w:pPr>
        <w:pStyle w:val="Citas"/>
        <w:rPr>
          <w:b/>
          <w:bCs/>
          <w:u w:val="single"/>
        </w:rPr>
      </w:pPr>
      <w:r>
        <w:rPr>
          <w:b/>
          <w:bCs/>
          <w:u w:val="single"/>
        </w:rPr>
        <w:t>(…)</w:t>
      </w:r>
    </w:p>
    <w:p w14:paraId="3F68B31A" w14:textId="77777777" w:rsidR="00FC775F" w:rsidRPr="00FC775F" w:rsidRDefault="0036288B" w:rsidP="0036288B">
      <w:pPr>
        <w:pStyle w:val="Citas"/>
        <w:rPr>
          <w:b/>
          <w:bCs/>
          <w:sz w:val="24"/>
          <w:szCs w:val="24"/>
        </w:rPr>
      </w:pPr>
      <w:r w:rsidRPr="00FC775F">
        <w:rPr>
          <w:b/>
          <w:bCs/>
          <w:sz w:val="24"/>
          <w:szCs w:val="24"/>
        </w:rPr>
        <w:t xml:space="preserve">229B23200 SUBDIRECCIÓN DE PROYECTOS </w:t>
      </w:r>
    </w:p>
    <w:p w14:paraId="0BE8F277" w14:textId="77777777" w:rsidR="00FC775F" w:rsidRDefault="0036288B" w:rsidP="0036288B">
      <w:pPr>
        <w:pStyle w:val="Citas"/>
      </w:pPr>
      <w:r>
        <w:t>OBJETIVO:</w:t>
      </w:r>
    </w:p>
    <w:p w14:paraId="629D1D4B" w14:textId="77777777" w:rsidR="00FC775F" w:rsidRDefault="0036288B" w:rsidP="0036288B">
      <w:pPr>
        <w:pStyle w:val="Citas"/>
      </w:pPr>
      <w:r>
        <w:t xml:space="preserve"> Proponer, coordinar, supervisar y aprobar los proyectos de los sistemas de agua potable, drenaje y tratamiento de aguas residuales, así como los de carácter eléctrico y mecánico de pozos y de estructuras de obra necesarios para la construcción, rehabilitación, modernización o ampliación de las obras hidráulicas en el Estado a cargo de la Comisión, ayuntamientos u organismos operadores. </w:t>
      </w:r>
    </w:p>
    <w:p w14:paraId="63FA98B6" w14:textId="02AA842B" w:rsidR="0036288B" w:rsidRDefault="0036288B" w:rsidP="0036288B">
      <w:pPr>
        <w:pStyle w:val="Citas"/>
      </w:pPr>
      <w:r>
        <w:t>FUNCIONES:</w:t>
      </w:r>
    </w:p>
    <w:p w14:paraId="7FA24182" w14:textId="212093D0" w:rsidR="0036288B" w:rsidRDefault="0036288B" w:rsidP="0036288B">
      <w:pPr>
        <w:pStyle w:val="Citas"/>
      </w:pPr>
      <w:r>
        <w:t>(…)</w:t>
      </w:r>
    </w:p>
    <w:p w14:paraId="79D35D30" w14:textId="571901D4" w:rsidR="0036288B" w:rsidRDefault="0036288B" w:rsidP="0036288B">
      <w:pPr>
        <w:pStyle w:val="Citas"/>
      </w:pPr>
      <w:r>
        <w:t>Supervisar y aprobar técnicamente los proyectos por contrato, para diseñar sistemas de agua potable, desinfección, drenaje, alcantarillado, saneamiento, tratamiento y reúso de aguas residuales</w:t>
      </w:r>
    </w:p>
    <w:p w14:paraId="75681900" w14:textId="1551E0AB" w:rsidR="0036288B" w:rsidRDefault="0036288B" w:rsidP="0036288B">
      <w:pPr>
        <w:pStyle w:val="Citas"/>
      </w:pPr>
      <w:r>
        <w:t>(…)</w:t>
      </w:r>
    </w:p>
    <w:p w14:paraId="0124B879" w14:textId="0FDCF240" w:rsidR="0036288B" w:rsidRPr="00FC775F" w:rsidRDefault="0036288B" w:rsidP="0036288B">
      <w:pPr>
        <w:pStyle w:val="Citas"/>
        <w:rPr>
          <w:b/>
          <w:bCs/>
          <w:u w:val="single"/>
        </w:rPr>
      </w:pPr>
      <w:r w:rsidRPr="00FC775F">
        <w:rPr>
          <w:b/>
          <w:bCs/>
          <w:u w:val="single"/>
        </w:rPr>
        <w:t>Coordinar y vigilar la integración de los expedientes únicos de obra, correspondientes a los proyectos realizados en la Dirección</w:t>
      </w:r>
    </w:p>
    <w:p w14:paraId="2A464D01" w14:textId="70EBB3E5" w:rsidR="0036288B" w:rsidRDefault="0036288B" w:rsidP="0036288B">
      <w:pPr>
        <w:pStyle w:val="Citas"/>
      </w:pPr>
      <w:r>
        <w:lastRenderedPageBreak/>
        <w:t>(…)</w:t>
      </w:r>
    </w:p>
    <w:p w14:paraId="1D614D88" w14:textId="503C74BF" w:rsidR="0036288B" w:rsidRDefault="0036288B" w:rsidP="0036288B">
      <w:pPr>
        <w:pStyle w:val="Citas"/>
      </w:pPr>
      <w:r>
        <w:t>Verificar y evaluar el avance físico-financiero de los proyectos que se realicen por medio de contrato.</w:t>
      </w:r>
    </w:p>
    <w:p w14:paraId="2172AA2D" w14:textId="77777777" w:rsidR="00676987" w:rsidRPr="00676987" w:rsidRDefault="00FC775F" w:rsidP="00676987">
      <w:pPr>
        <w:pStyle w:val="Citas"/>
        <w:rPr>
          <w:b/>
          <w:bCs/>
          <w:sz w:val="24"/>
          <w:szCs w:val="24"/>
        </w:rPr>
      </w:pPr>
      <w:r w:rsidRPr="00676987">
        <w:rPr>
          <w:b/>
          <w:bCs/>
          <w:sz w:val="24"/>
          <w:szCs w:val="24"/>
        </w:rPr>
        <w:t xml:space="preserve">229B30000 DIRECCIÓN GENERAL DE INVERSIÓN Y GESTIÓN </w:t>
      </w:r>
    </w:p>
    <w:p w14:paraId="1660823F" w14:textId="77777777" w:rsidR="00676987" w:rsidRDefault="00FC775F" w:rsidP="00676987">
      <w:pPr>
        <w:pStyle w:val="Citas"/>
      </w:pPr>
      <w:r>
        <w:t xml:space="preserve">OBJETIVO: </w:t>
      </w:r>
    </w:p>
    <w:p w14:paraId="0DFE27C7" w14:textId="77777777" w:rsidR="00676987" w:rsidRDefault="00FC775F" w:rsidP="00676987">
      <w:pPr>
        <w:pStyle w:val="Citas"/>
      </w:pPr>
      <w:r>
        <w:t xml:space="preserve">Establecer las políticas, estrategias, lineamientos, procedimientos y formatos relacionados con la licitación, contratación, formulación, revisión y gestión de pago de estimaciones, convenios de ampliación en monto y plazo, control financiero de los programas de inversión, recepción y finiquito de la obra hidráulica y servicios relacionados con la misma y del seguimiento de las fianzas que tiene a cargo la Comisión, así como aprobar el tabulador de precios unitarios y proporcionar asesoría sobre inversión hidráulica a las dependencias y organismos estatales y municipales que lo soliciten. </w:t>
      </w:r>
    </w:p>
    <w:p w14:paraId="6C6B7AB5" w14:textId="0F7170B9" w:rsidR="002F5FD9" w:rsidRDefault="00FC775F" w:rsidP="00676987">
      <w:pPr>
        <w:pStyle w:val="Citas"/>
      </w:pPr>
      <w:r>
        <w:t>FUNCIONES:</w:t>
      </w:r>
    </w:p>
    <w:p w14:paraId="13936045" w14:textId="4CD6E11E" w:rsidR="00FC775F" w:rsidRDefault="00FC775F" w:rsidP="00676987">
      <w:pPr>
        <w:pStyle w:val="Citas"/>
      </w:pPr>
      <w:r>
        <w:t>(…)</w:t>
      </w:r>
    </w:p>
    <w:p w14:paraId="6A871968" w14:textId="1E4C538B" w:rsidR="00FC775F" w:rsidRPr="00FC775F" w:rsidRDefault="00FC775F" w:rsidP="00676987">
      <w:pPr>
        <w:pStyle w:val="Citas"/>
        <w:rPr>
          <w:b/>
          <w:bCs/>
          <w:u w:val="single"/>
        </w:rPr>
      </w:pPr>
      <w:r w:rsidRPr="00FC775F">
        <w:rPr>
          <w:b/>
          <w:bCs/>
          <w:u w:val="single"/>
        </w:rPr>
        <w:t>Gestionar, en coordinación con las instancias correspondientes, el trámite y pago de las estimaciones a los contratistas</w:t>
      </w:r>
    </w:p>
    <w:p w14:paraId="712DAC92" w14:textId="343115B2" w:rsidR="00FC775F" w:rsidRDefault="00FC775F" w:rsidP="00676987">
      <w:pPr>
        <w:pStyle w:val="Citas"/>
      </w:pPr>
      <w:r>
        <w:t>(…)</w:t>
      </w:r>
    </w:p>
    <w:p w14:paraId="73915E9C" w14:textId="77777777" w:rsidR="00676987" w:rsidRDefault="00676987" w:rsidP="00676987">
      <w:pPr>
        <w:pStyle w:val="Citas"/>
      </w:pPr>
      <w:r>
        <w:t xml:space="preserve">Coordinar, con de la Dirección de Inversión, la revisión de los presupuestos y de las solicitudes de ajuste de precios unitarios y </w:t>
      </w:r>
      <w:proofErr w:type="spellStart"/>
      <w:r>
        <w:t>escalatorias</w:t>
      </w:r>
      <w:proofErr w:type="spellEnd"/>
      <w:r>
        <w:t xml:space="preserve"> de las unidades administrativas de la Comisión. </w:t>
      </w:r>
    </w:p>
    <w:p w14:paraId="5A1A0B1B" w14:textId="2AE76A07" w:rsidR="00FC775F" w:rsidRDefault="00676987" w:rsidP="00676987">
      <w:pPr>
        <w:pStyle w:val="Citas"/>
      </w:pPr>
      <w:r>
        <w:lastRenderedPageBreak/>
        <w:t>Coordinar el trámite de los finiquitos y recepción de las obras y servicios relacionados con la misma, ante las unidades administrativas encargadas de su ejecución.</w:t>
      </w:r>
    </w:p>
    <w:p w14:paraId="0ADB62FE" w14:textId="300B8F9E" w:rsidR="00676987" w:rsidRDefault="00676987" w:rsidP="00676987">
      <w:pPr>
        <w:pStyle w:val="Citas"/>
      </w:pPr>
      <w:r>
        <w:t>(…)</w:t>
      </w:r>
    </w:p>
    <w:p w14:paraId="760C9FFF" w14:textId="77777777" w:rsidR="00676987" w:rsidRDefault="00676987" w:rsidP="00676987">
      <w:pPr>
        <w:pStyle w:val="Citas"/>
      </w:pPr>
      <w:r w:rsidRPr="00676987">
        <w:rPr>
          <w:b/>
          <w:bCs/>
          <w:sz w:val="24"/>
          <w:szCs w:val="24"/>
        </w:rPr>
        <w:t>229B60000 DIRECCIÓN GENERAL DE ADMINISTRACIÓN Y FINANZAS</w:t>
      </w:r>
      <w:r>
        <w:t xml:space="preserve"> </w:t>
      </w:r>
    </w:p>
    <w:p w14:paraId="7FCC7D17" w14:textId="2CAFF9BD" w:rsidR="00676987" w:rsidRDefault="00676987" w:rsidP="00676987">
      <w:pPr>
        <w:pStyle w:val="Citas"/>
      </w:pPr>
      <w:r>
        <w:t xml:space="preserve">OBJETIVO: </w:t>
      </w:r>
    </w:p>
    <w:p w14:paraId="74B0A52D" w14:textId="77777777" w:rsidR="00676987" w:rsidRDefault="00676987" w:rsidP="00676987">
      <w:pPr>
        <w:pStyle w:val="Citas"/>
      </w:pPr>
      <w:r>
        <w:t xml:space="preserve">Establecer los planes y programas para la adecuada administración de los recursos financieros, humanos, materiales, técnicos y de servicios generales que requiere la Comisión para el desarrollo integral de sus funciones y realizar las actividades encomendadas por atribución fiscal. </w:t>
      </w:r>
    </w:p>
    <w:p w14:paraId="46917298" w14:textId="62E7E107" w:rsidR="00676987" w:rsidRDefault="00676987" w:rsidP="00676987">
      <w:pPr>
        <w:pStyle w:val="Citas"/>
      </w:pPr>
      <w:r>
        <w:t>FUNCIONES:</w:t>
      </w:r>
    </w:p>
    <w:p w14:paraId="72332DD7" w14:textId="5E210AAD" w:rsidR="00676987" w:rsidRDefault="00676987" w:rsidP="00676987">
      <w:pPr>
        <w:pStyle w:val="Citas"/>
      </w:pPr>
      <w:r>
        <w:t>Planear el adecuado aprovechamiento de los recursos financieros, materiales, técnicos y humanos de acuerdo con los planes y programas autorizados por el Consejo Directivo</w:t>
      </w:r>
    </w:p>
    <w:p w14:paraId="34A37C2B" w14:textId="288639C1" w:rsidR="00676987" w:rsidRDefault="00676987" w:rsidP="00676987">
      <w:pPr>
        <w:pStyle w:val="Citas"/>
      </w:pPr>
      <w:r>
        <w:t>(…)</w:t>
      </w:r>
    </w:p>
    <w:p w14:paraId="40625ACF" w14:textId="03EE6DCF" w:rsidR="00676987" w:rsidRDefault="00676987" w:rsidP="00676987">
      <w:pPr>
        <w:pStyle w:val="Citas"/>
      </w:pPr>
      <w:r>
        <w:t>Vigilar la formulación de los estados financieros, el avance y el comportamiento del ejercicio del presupuesto autorizado, así como presentar los informes correspondientes.</w:t>
      </w:r>
    </w:p>
    <w:p w14:paraId="6CF74682" w14:textId="069AE976" w:rsidR="00676987" w:rsidRPr="00676987" w:rsidRDefault="00676987" w:rsidP="00676987">
      <w:pPr>
        <w:pStyle w:val="Citas"/>
        <w:rPr>
          <w:b/>
          <w:bCs/>
        </w:rPr>
      </w:pPr>
      <w:r>
        <w:t xml:space="preserve">(…)” </w:t>
      </w:r>
      <w:r>
        <w:rPr>
          <w:b/>
          <w:bCs/>
        </w:rPr>
        <w:t>(Sic)</w:t>
      </w:r>
    </w:p>
    <w:p w14:paraId="774EF861" w14:textId="77777777" w:rsidR="00676987" w:rsidRDefault="00676987" w:rsidP="00A44FBE">
      <w:pPr>
        <w:spacing w:before="240" w:line="360" w:lineRule="auto"/>
        <w:jc w:val="both"/>
      </w:pPr>
    </w:p>
    <w:p w14:paraId="40F072E0" w14:textId="7FE48B73" w:rsidR="00676987" w:rsidRDefault="00E365E6" w:rsidP="00E365E6">
      <w:pPr>
        <w:spacing w:before="240" w:after="240" w:line="360" w:lineRule="auto"/>
        <w:jc w:val="both"/>
        <w:rPr>
          <w:rFonts w:ascii="Palatino Linotype" w:hAnsi="Palatino Linotype"/>
          <w:sz w:val="24"/>
          <w:szCs w:val="24"/>
        </w:rPr>
      </w:pPr>
      <w:r>
        <w:rPr>
          <w:rFonts w:ascii="Palatino Linotype" w:hAnsi="Palatino Linotype" w:cs="Arial"/>
          <w:sz w:val="24"/>
          <w:szCs w:val="24"/>
        </w:rPr>
        <w:lastRenderedPageBreak/>
        <w:t xml:space="preserve">De ahí que deba arribarse a la premisa de que </w:t>
      </w:r>
      <w:r w:rsidR="00616102" w:rsidRPr="00B86B44">
        <w:rPr>
          <w:rFonts w:ascii="Palatino Linotype" w:hAnsi="Palatino Linotype"/>
          <w:sz w:val="24"/>
          <w:szCs w:val="24"/>
        </w:rPr>
        <w:t xml:space="preserve">la </w:t>
      </w:r>
      <w:r w:rsidR="00616102">
        <w:rPr>
          <w:rFonts w:ascii="Palatino Linotype" w:hAnsi="Palatino Linotype"/>
          <w:sz w:val="24"/>
          <w:szCs w:val="24"/>
        </w:rPr>
        <w:t xml:space="preserve">Dirección general de programa hidráulico y su Subdirección de proyectos, genera, posee y administra soportes documentales vinculados con la programación, elaboración y supervisión de estudios y proyectos en materia de obra. En contraste, una de las funciones sustantivas de la Dirección general de inversión y gestión estriba en gestionar y tramitar pagos por diversos conceptos. Finalmente, la Dirección general de administración y finanzas cuenta con atribuciones para formular estados financieros y supervisar el avance y comportamiento del ejercicio del presupuesto autorizado. </w:t>
      </w:r>
    </w:p>
    <w:p w14:paraId="060987FA" w14:textId="77777777" w:rsidR="00E365E6" w:rsidRDefault="00E365E6" w:rsidP="00E365E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61A49EDB" w14:textId="77777777" w:rsidR="00E365E6" w:rsidRDefault="00E365E6" w:rsidP="00E365E6">
      <w:pPr>
        <w:spacing w:before="240" w:after="240" w:line="360" w:lineRule="auto"/>
        <w:jc w:val="both"/>
        <w:rPr>
          <w:rFonts w:ascii="Palatino Linotype" w:hAnsi="Palatino Linotype" w:cs="Arial"/>
          <w:sz w:val="24"/>
          <w:szCs w:val="24"/>
        </w:rPr>
      </w:pPr>
    </w:p>
    <w:p w14:paraId="48B00702" w14:textId="4F7DA3CC" w:rsidR="00616102"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616102">
        <w:rPr>
          <w:rFonts w:ascii="Palatino Linotype" w:hAnsi="Palatino Linotype" w:cs="Arial"/>
          <w:color w:val="000000"/>
          <w:sz w:val="24"/>
          <w:lang w:val="es-ES_tradnl"/>
        </w:rPr>
        <w:t>veintiocho de octubre de dos mil veintidós, rindió su respuesta a la solicitud de información formulada por el particular, adjuntando para tal efecto lo siguiente:</w:t>
      </w:r>
    </w:p>
    <w:p w14:paraId="49A2CA48" w14:textId="7037C2EA" w:rsidR="00616102" w:rsidRPr="00743D2E" w:rsidRDefault="00616102" w:rsidP="00616102">
      <w:pPr>
        <w:pStyle w:val="Prrafodelista"/>
        <w:numPr>
          <w:ilvl w:val="0"/>
          <w:numId w:val="38"/>
        </w:numPr>
        <w:spacing w:line="360" w:lineRule="auto"/>
        <w:jc w:val="both"/>
        <w:rPr>
          <w:rFonts w:ascii="Palatino Linotype" w:hAnsi="Palatino Linotype" w:cs="Arial"/>
          <w:color w:val="000000"/>
          <w:lang w:val="es-ES_tradnl"/>
        </w:rPr>
      </w:pPr>
      <w:r>
        <w:rPr>
          <w:rFonts w:ascii="Palatino Linotype" w:hAnsi="Palatino Linotype" w:cs="Arial"/>
          <w:b/>
          <w:bCs/>
        </w:rPr>
        <w:t xml:space="preserve">“Oficio respuesta 1360-265-CAEM-IP-2022.docx”: </w:t>
      </w:r>
      <w:r>
        <w:rPr>
          <w:rFonts w:ascii="Palatino Linotype" w:hAnsi="Palatino Linotype" w:cs="Arial"/>
        </w:rPr>
        <w:t xml:space="preserve">Oficio número </w:t>
      </w:r>
      <w:r w:rsidRPr="00616102">
        <w:rPr>
          <w:rFonts w:ascii="Palatino Linotype" w:hAnsi="Palatino Linotype" w:cs="Helvetica"/>
          <w:b/>
          <w:bCs/>
          <w:color w:val="000000"/>
        </w:rPr>
        <w:t>219C0116000000L/1360/2022</w:t>
      </w:r>
      <w:r>
        <w:rPr>
          <w:rFonts w:ascii="Palatino Linotype" w:hAnsi="Palatino Linotype" w:cs="Helvetica"/>
          <w:b/>
          <w:bCs/>
          <w:color w:val="000000"/>
        </w:rPr>
        <w:t xml:space="preserve"> </w:t>
      </w:r>
      <w:r>
        <w:rPr>
          <w:rFonts w:ascii="Palatino Linotype" w:hAnsi="Palatino Linotype" w:cs="Helvetica"/>
          <w:color w:val="000000"/>
        </w:rPr>
        <w:t xml:space="preserve">emitido por el </w:t>
      </w:r>
      <w:r w:rsidR="00FE2E9B">
        <w:rPr>
          <w:rFonts w:ascii="Palatino Linotype" w:hAnsi="Palatino Linotype" w:cs="Helvetica"/>
          <w:color w:val="000000"/>
        </w:rPr>
        <w:t>director general</w:t>
      </w:r>
      <w:r>
        <w:rPr>
          <w:rFonts w:ascii="Palatino Linotype" w:hAnsi="Palatino Linotype" w:cs="Helvetica"/>
          <w:color w:val="000000"/>
        </w:rPr>
        <w:t xml:space="preserve"> de Asuntos Jurídicos e Igualdad de Género y Titular de la Unidad de Transparencia y dirigido al particular, de fecha veintiocho de octubre de dos mil veintidós, </w:t>
      </w:r>
      <w:r w:rsidR="00743D2E">
        <w:rPr>
          <w:rFonts w:ascii="Palatino Linotype" w:hAnsi="Palatino Linotype" w:cs="Helvetica"/>
          <w:color w:val="000000"/>
        </w:rPr>
        <w:t>resulta de nuestro interés el siguiente extracto:</w:t>
      </w:r>
    </w:p>
    <w:p w14:paraId="1D38D7F9" w14:textId="3AA1F975" w:rsidR="00743D2E" w:rsidRPr="00743D2E" w:rsidRDefault="00743D2E" w:rsidP="00743D2E">
      <w:pPr>
        <w:pStyle w:val="Citas"/>
        <w:ind w:right="-18"/>
        <w:rPr>
          <w:b/>
          <w:bCs/>
        </w:rPr>
      </w:pPr>
      <w:r>
        <w:t>“</w:t>
      </w:r>
      <w:r w:rsidRPr="00743D2E">
        <w:t xml:space="preserve">Al respecto, hago de su conocimiento que después de haber realizado una búsqueda exhaustiva en los expedientes de la CAEM, las Direcciones Generales de Infraestructura Hidráulica e Inversión y Gestión, por medio de los oficios </w:t>
      </w:r>
      <w:r w:rsidRPr="00743D2E">
        <w:rPr>
          <w:b/>
          <w:bCs/>
        </w:rPr>
        <w:t>219C0113000000L/3351/2022 y 219C0112000000L/3709/2022</w:t>
      </w:r>
      <w:r w:rsidRPr="00743D2E">
        <w:t xml:space="preserve"> dieron respuesta a su petición, por lo que, se adjunta la información; </w:t>
      </w:r>
      <w:r w:rsidRPr="00743D2E">
        <w:rPr>
          <w:b/>
          <w:bCs/>
        </w:rPr>
        <w:t xml:space="preserve">en cuanto a los proyectos ejecutivos, </w:t>
      </w:r>
      <w:r w:rsidRPr="00743D2E">
        <w:rPr>
          <w:b/>
          <w:bCs/>
          <w:u w:val="single"/>
        </w:rPr>
        <w:t>le informo que no se han elaborado, debido a que la perforación de los pozos Tepeolulco y Caracoles se encuentran en proceso, por lo que hasta que se concluya la perforación y se conozcan las características de cada uno se procederá a su elaboración</w:t>
      </w:r>
      <w:r w:rsidRPr="00743D2E">
        <w:rPr>
          <w:u w:val="single"/>
        </w:rPr>
        <w:t>.</w:t>
      </w:r>
      <w:r>
        <w:rPr>
          <w:u w:val="single"/>
        </w:rPr>
        <w:t xml:space="preserve">” </w:t>
      </w:r>
      <w:r>
        <w:rPr>
          <w:b/>
          <w:bCs/>
        </w:rPr>
        <w:t>(Sic)</w:t>
      </w:r>
    </w:p>
    <w:p w14:paraId="658793AA" w14:textId="77777777" w:rsidR="00743D2E" w:rsidRPr="00743D2E" w:rsidRDefault="00743D2E" w:rsidP="00743D2E">
      <w:pPr>
        <w:pStyle w:val="Prrafodelista"/>
        <w:spacing w:line="360" w:lineRule="auto"/>
        <w:ind w:left="720"/>
        <w:jc w:val="both"/>
        <w:rPr>
          <w:rFonts w:ascii="Palatino Linotype" w:hAnsi="Palatino Linotype" w:cs="Arial"/>
          <w:color w:val="000000"/>
        </w:rPr>
      </w:pPr>
    </w:p>
    <w:p w14:paraId="32B827F8" w14:textId="6BB9D7FE" w:rsidR="00616102" w:rsidRPr="00743D2E" w:rsidRDefault="00616102" w:rsidP="00616102">
      <w:pPr>
        <w:pStyle w:val="Prrafodelista"/>
        <w:numPr>
          <w:ilvl w:val="0"/>
          <w:numId w:val="38"/>
        </w:numPr>
        <w:spacing w:line="360" w:lineRule="auto"/>
        <w:jc w:val="both"/>
        <w:rPr>
          <w:rFonts w:ascii="Palatino Linotype" w:hAnsi="Palatino Linotype" w:cs="Arial"/>
          <w:color w:val="000000"/>
          <w:lang w:val="es-ES_tradnl"/>
        </w:rPr>
      </w:pPr>
      <w:r>
        <w:rPr>
          <w:rFonts w:ascii="Palatino Linotype" w:hAnsi="Palatino Linotype" w:cs="Arial"/>
          <w:b/>
          <w:bCs/>
        </w:rPr>
        <w:t xml:space="preserve"> “FOLIO 265.pdf”</w:t>
      </w:r>
      <w:r w:rsidR="00743D2E">
        <w:rPr>
          <w:rFonts w:ascii="Palatino Linotype" w:hAnsi="Palatino Linotype" w:cs="Arial"/>
          <w:b/>
          <w:bCs/>
        </w:rPr>
        <w:t xml:space="preserve">: </w:t>
      </w:r>
      <w:r w:rsidR="00743D2E">
        <w:rPr>
          <w:rFonts w:ascii="Palatino Linotype" w:hAnsi="Palatino Linotype" w:cs="Arial"/>
        </w:rPr>
        <w:t xml:space="preserve">Oficio número </w:t>
      </w:r>
      <w:r w:rsidR="00743D2E">
        <w:rPr>
          <w:rFonts w:ascii="Palatino Linotype" w:hAnsi="Palatino Linotype" w:cs="Arial"/>
          <w:b/>
          <w:bCs/>
        </w:rPr>
        <w:t xml:space="preserve">219C0113000000L/3351/2022 </w:t>
      </w:r>
      <w:r w:rsidR="00743D2E">
        <w:rPr>
          <w:rFonts w:ascii="Palatino Linotype" w:hAnsi="Palatino Linotype" w:cs="Arial"/>
        </w:rPr>
        <w:t xml:space="preserve">signado por el </w:t>
      </w:r>
      <w:r w:rsidR="00FE2E9B">
        <w:rPr>
          <w:rFonts w:ascii="Palatino Linotype" w:hAnsi="Palatino Linotype" w:cs="Arial"/>
        </w:rPr>
        <w:t>director general</w:t>
      </w:r>
      <w:r w:rsidR="00743D2E">
        <w:rPr>
          <w:rFonts w:ascii="Palatino Linotype" w:hAnsi="Palatino Linotype" w:cs="Arial"/>
        </w:rPr>
        <w:t xml:space="preserve"> de Infraestructura Hidráulica y Servidor Público Habilitado y </w:t>
      </w:r>
      <w:r w:rsidR="00743D2E">
        <w:rPr>
          <w:rFonts w:ascii="Palatino Linotype" w:hAnsi="Palatino Linotype" w:cs="Arial"/>
        </w:rPr>
        <w:lastRenderedPageBreak/>
        <w:t xml:space="preserve">dirigido al </w:t>
      </w:r>
      <w:r w:rsidR="004E4003">
        <w:rPr>
          <w:rFonts w:ascii="Palatino Linotype" w:hAnsi="Palatino Linotype" w:cs="Arial"/>
        </w:rPr>
        <w:t>director general</w:t>
      </w:r>
      <w:r w:rsidR="00743D2E">
        <w:rPr>
          <w:rFonts w:ascii="Palatino Linotype" w:hAnsi="Palatino Linotype" w:cs="Arial"/>
        </w:rPr>
        <w:t xml:space="preserve"> de Asuntos Jurídicos e Igualdad de Género y Titular de la Unidad de Transparencia, de fecha diecinueve de octubre de dos mil veintidós, en lo medular expone las siguientes premisas argumentativas:</w:t>
      </w:r>
    </w:p>
    <w:p w14:paraId="1E4B9E52" w14:textId="377D110A" w:rsidR="00743D2E" w:rsidRDefault="00743D2E" w:rsidP="00743D2E">
      <w:pPr>
        <w:pStyle w:val="Prrafodelista"/>
        <w:numPr>
          <w:ilvl w:val="0"/>
          <w:numId w:val="39"/>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durante los ejercicios 2020 y 2021 no se ejecutaron obras en el Municipio de Tlalnepantla de Baz. </w:t>
      </w:r>
    </w:p>
    <w:p w14:paraId="54036D85" w14:textId="24CDD236" w:rsidR="00743D2E" w:rsidRDefault="00743D2E" w:rsidP="00743D2E">
      <w:pPr>
        <w:pStyle w:val="Prrafodelista"/>
        <w:numPr>
          <w:ilvl w:val="0"/>
          <w:numId w:val="39"/>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en referencia al ejercicio 2022, se encuentra en proceso de ejecución dos obras: Perforación de pozo profundo Caracoles II en la Colonia Jorge Jiménez Cantú; Perforación, equipamiento electromecánico y línea de conducción de Pozo Tepeolulco en la Colonia Lomas de Tepeolulco Zona Oriente. </w:t>
      </w:r>
    </w:p>
    <w:p w14:paraId="070615C5" w14:textId="665556F5" w:rsidR="00743D2E" w:rsidRDefault="00743D2E" w:rsidP="00743D2E">
      <w:pPr>
        <w:pStyle w:val="Prrafodelista"/>
        <w:numPr>
          <w:ilvl w:val="0"/>
          <w:numId w:val="39"/>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el presupuesto ejercido o por ejercer resulta competencia de la Dirección General de Inversión, </w:t>
      </w:r>
      <w:r w:rsidRPr="00064437">
        <w:rPr>
          <w:rFonts w:ascii="Palatino Linotype" w:hAnsi="Palatino Linotype" w:cs="Arial"/>
          <w:b/>
          <w:bCs/>
          <w:color w:val="000000"/>
          <w:u w:val="single"/>
          <w:lang w:val="es-ES_tradnl"/>
        </w:rPr>
        <w:t>mientras que el proyecto ejecutivo es competencia de la Dirección General de Programa Hidráulico.</w:t>
      </w:r>
      <w:r>
        <w:rPr>
          <w:rFonts w:ascii="Palatino Linotype" w:hAnsi="Palatino Linotype" w:cs="Arial"/>
          <w:color w:val="000000"/>
          <w:lang w:val="es-ES_tradnl"/>
        </w:rPr>
        <w:t xml:space="preserve"> </w:t>
      </w:r>
    </w:p>
    <w:p w14:paraId="72F5DE93" w14:textId="77777777" w:rsidR="00FE2E9B" w:rsidRPr="00616102" w:rsidRDefault="00FE2E9B" w:rsidP="00FE2E9B">
      <w:pPr>
        <w:pStyle w:val="Prrafodelista"/>
        <w:spacing w:line="360" w:lineRule="auto"/>
        <w:ind w:left="1440"/>
        <w:jc w:val="both"/>
        <w:rPr>
          <w:rFonts w:ascii="Palatino Linotype" w:hAnsi="Palatino Linotype" w:cs="Arial"/>
          <w:color w:val="000000"/>
          <w:lang w:val="es-ES_tradnl"/>
        </w:rPr>
      </w:pPr>
    </w:p>
    <w:p w14:paraId="2201A533" w14:textId="711FDD7B" w:rsidR="00616102" w:rsidRPr="00064437" w:rsidRDefault="00616102" w:rsidP="00616102">
      <w:pPr>
        <w:pStyle w:val="Prrafodelista"/>
        <w:numPr>
          <w:ilvl w:val="0"/>
          <w:numId w:val="38"/>
        </w:numPr>
        <w:spacing w:line="360" w:lineRule="auto"/>
        <w:jc w:val="both"/>
        <w:rPr>
          <w:rFonts w:ascii="Palatino Linotype" w:hAnsi="Palatino Linotype" w:cs="Arial"/>
          <w:color w:val="000000"/>
          <w:lang w:val="es-ES_tradnl"/>
        </w:rPr>
      </w:pPr>
      <w:r>
        <w:rPr>
          <w:rFonts w:ascii="Palatino Linotype" w:hAnsi="Palatino Linotype" w:cs="Arial"/>
        </w:rPr>
        <w:t xml:space="preserve"> </w:t>
      </w:r>
      <w:r>
        <w:rPr>
          <w:rFonts w:ascii="Palatino Linotype" w:hAnsi="Palatino Linotype" w:cs="Arial"/>
          <w:b/>
          <w:bCs/>
        </w:rPr>
        <w:t>“Of 3490 Folio 3490.pdf”</w:t>
      </w:r>
      <w:r w:rsidR="00743D2E">
        <w:rPr>
          <w:rFonts w:ascii="Palatino Linotype" w:hAnsi="Palatino Linotype" w:cs="Arial"/>
          <w:b/>
          <w:bCs/>
        </w:rPr>
        <w:t xml:space="preserve">: </w:t>
      </w:r>
      <w:r w:rsidR="00743D2E">
        <w:rPr>
          <w:rFonts w:ascii="Palatino Linotype" w:hAnsi="Palatino Linotype" w:cs="Arial"/>
        </w:rPr>
        <w:t xml:space="preserve">Oficio número </w:t>
      </w:r>
      <w:r w:rsidR="00743D2E">
        <w:rPr>
          <w:rFonts w:ascii="Palatino Linotype" w:hAnsi="Palatino Linotype" w:cs="Arial"/>
          <w:b/>
          <w:bCs/>
        </w:rPr>
        <w:t xml:space="preserve">219C0112000000L/3709/2022 </w:t>
      </w:r>
      <w:r w:rsidR="00743D2E">
        <w:rPr>
          <w:rFonts w:ascii="Palatino Linotype" w:hAnsi="Palatino Linotype" w:cs="Arial"/>
        </w:rPr>
        <w:t>signado por el Director General de Inversión y Gestión y Servidor Público Habilitado y dirigido a</w:t>
      </w:r>
      <w:r w:rsidR="00064437">
        <w:rPr>
          <w:rFonts w:ascii="Palatino Linotype" w:hAnsi="Palatino Linotype" w:cs="Arial"/>
        </w:rPr>
        <w:t>l Director General de Asuntos Jurídicos e Igualdad de Género y Titular de la Unidad de Transparencia, de fecha veinticinco de octubre de dos mil veintidós, en síntesis informa la descripción de la obra, el presupuesto ejercido (0) y el presupuesto por ejercer, respecto de las obras programadas para ejecución durante el ejercicio dos mil veintidós, en el municipio de Tlalnepantla de Baz. Sirve de sustento la siguiente imagen ilustrativa:</w:t>
      </w:r>
    </w:p>
    <w:p w14:paraId="6E80A693" w14:textId="6FA3E11A" w:rsidR="00064437" w:rsidRDefault="00064437" w:rsidP="00064437">
      <w:pPr>
        <w:spacing w:line="360" w:lineRule="auto"/>
        <w:jc w:val="both"/>
        <w:rPr>
          <w:rFonts w:ascii="Palatino Linotype" w:hAnsi="Palatino Linotype" w:cs="Arial"/>
          <w:color w:val="000000"/>
          <w:lang w:val="es-ES_tradnl"/>
        </w:rPr>
      </w:pPr>
    </w:p>
    <w:p w14:paraId="7CFF89C5" w14:textId="430FAF06" w:rsidR="00064437" w:rsidRDefault="00FE2E9B" w:rsidP="00064437">
      <w:pPr>
        <w:spacing w:line="360" w:lineRule="auto"/>
        <w:jc w:val="both"/>
        <w:rPr>
          <w:rFonts w:ascii="Palatino Linotype" w:hAnsi="Palatino Linotype" w:cs="Arial"/>
          <w:color w:val="000000"/>
          <w:lang w:val="es-ES_tradnl"/>
        </w:rPr>
      </w:pPr>
      <w:r>
        <w:rPr>
          <w:rFonts w:ascii="Palatino Linotype" w:hAnsi="Palatino Linotype" w:cs="Arial"/>
          <w:noProof/>
          <w:color w:val="000000"/>
          <w:lang w:eastAsia="es-MX"/>
        </w:rPr>
        <w:lastRenderedPageBreak/>
        <w:drawing>
          <wp:anchor distT="0" distB="0" distL="114300" distR="114300" simplePos="0" relativeHeight="251708414" behindDoc="0" locked="0" layoutInCell="1" allowOverlap="1" wp14:anchorId="109EAA0E" wp14:editId="42E2E935">
            <wp:simplePos x="0" y="0"/>
            <wp:positionH relativeFrom="column">
              <wp:posOffset>19050</wp:posOffset>
            </wp:positionH>
            <wp:positionV relativeFrom="paragraph">
              <wp:posOffset>112280</wp:posOffset>
            </wp:positionV>
            <wp:extent cx="5756275" cy="2438400"/>
            <wp:effectExtent l="19050" t="19050" r="15875" b="19050"/>
            <wp:wrapThrough wrapText="bothSides">
              <wp:wrapPolygon edited="0">
                <wp:start x="-71" y="-169"/>
                <wp:lineTo x="-71" y="21600"/>
                <wp:lineTo x="21588" y="21600"/>
                <wp:lineTo x="21588" y="-169"/>
                <wp:lineTo x="-71" y="-169"/>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2438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F2FBEA" w14:textId="77777777" w:rsidR="00064437" w:rsidRPr="006D465A" w:rsidRDefault="00064437" w:rsidP="00064437">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t xml:space="preserve">De ahí que deba arribarse a la premisa de que </w:t>
      </w:r>
      <w:r>
        <w:rPr>
          <w:rFonts w:ascii="Palatino Linotype" w:hAnsi="Palatino Linotype"/>
          <w:b/>
          <w:bCs/>
          <w:sz w:val="24"/>
          <w:szCs w:val="24"/>
        </w:rPr>
        <w:t xml:space="preserve">El Sujeto Obligado </w:t>
      </w:r>
      <w:r>
        <w:rPr>
          <w:rFonts w:ascii="Palatino Linotype" w:hAnsi="Palatino Linotype"/>
          <w:sz w:val="24"/>
          <w:szCs w:val="24"/>
        </w:rPr>
        <w:t xml:space="preserve">clarificó que durante los ejercicios fiscales dos mil veinte y dos mil veintiuno no ejecutó obras de infraestructura y saneamiento en el Municipio de Tlalnepantla de Baz, </w:t>
      </w:r>
      <w:r w:rsidRPr="006D465A">
        <w:rPr>
          <w:rFonts w:ascii="Palatino Linotype" w:hAnsi="Palatino Linotype"/>
          <w:sz w:val="24"/>
          <w:szCs w:val="24"/>
        </w:rPr>
        <w:t xml:space="preserve">al respecto el Pleno del Órgano Garante local ha sostenido que, </w:t>
      </w:r>
      <w:r w:rsidRPr="006D465A">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D465A">
        <w:rPr>
          <w:rFonts w:ascii="Palatino Linotype" w:hAnsi="Palatino Linotype" w:cs="Arial"/>
          <w:color w:val="222222"/>
          <w:sz w:val="24"/>
          <w:szCs w:val="24"/>
        </w:rPr>
        <w:t>:</w:t>
      </w:r>
    </w:p>
    <w:p w14:paraId="03B6FB48" w14:textId="77777777" w:rsidR="00064437" w:rsidRPr="004C117E" w:rsidRDefault="00064437" w:rsidP="00064437">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1DD2A045" w14:textId="77777777" w:rsidR="00064437" w:rsidRPr="004C117E" w:rsidRDefault="00064437" w:rsidP="00064437">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75B364A5" w14:textId="4C40C933" w:rsidR="00064437" w:rsidRDefault="00064437" w:rsidP="0006443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De manera complementaria, con relación a los requerimientos </w:t>
      </w:r>
      <w:r>
        <w:rPr>
          <w:rFonts w:ascii="Palatino Linotype" w:hAnsi="Palatino Linotype"/>
          <w:b/>
          <w:bCs/>
          <w:sz w:val="24"/>
          <w:szCs w:val="24"/>
        </w:rPr>
        <w:t xml:space="preserve">1 -uno- </w:t>
      </w:r>
      <w:r>
        <w:rPr>
          <w:rFonts w:ascii="Palatino Linotype" w:hAnsi="Palatino Linotype"/>
          <w:sz w:val="24"/>
          <w:szCs w:val="24"/>
        </w:rPr>
        <w:t xml:space="preserve">y </w:t>
      </w:r>
      <w:r>
        <w:rPr>
          <w:rFonts w:ascii="Palatino Linotype" w:hAnsi="Palatino Linotype"/>
          <w:b/>
          <w:bCs/>
          <w:sz w:val="24"/>
          <w:szCs w:val="24"/>
        </w:rPr>
        <w:t>3 -tres-</w:t>
      </w:r>
      <w:r w:rsidR="004B11B3">
        <w:rPr>
          <w:rFonts w:ascii="Palatino Linotype" w:hAnsi="Palatino Linotype"/>
          <w:b/>
          <w:bCs/>
          <w:sz w:val="24"/>
          <w:szCs w:val="24"/>
        </w:rPr>
        <w:t xml:space="preserve">, El Sujeto Obligado </w:t>
      </w:r>
      <w:r w:rsidR="004B11B3">
        <w:rPr>
          <w:rFonts w:ascii="Palatino Linotype" w:hAnsi="Palatino Linotype"/>
          <w:sz w:val="24"/>
          <w:szCs w:val="24"/>
        </w:rPr>
        <w:t xml:space="preserve">precisó el número de obras de infraestructura y saneamiento programadas para el ejercicio fiscal dos mil veintidós, así como una descripción general, presupuesto ejercicio y presupuesto por ejercer. </w:t>
      </w:r>
    </w:p>
    <w:p w14:paraId="37FDCD32" w14:textId="77777777" w:rsidR="004B11B3" w:rsidRPr="00545F49" w:rsidRDefault="004B11B3" w:rsidP="004B11B3">
      <w:pPr>
        <w:pStyle w:val="Citas"/>
        <w:tabs>
          <w:tab w:val="left" w:pos="7470"/>
        </w:tabs>
        <w:ind w:left="0" w:right="72"/>
        <w:rPr>
          <w:i w:val="0"/>
          <w:iCs/>
          <w:sz w:val="24"/>
          <w:szCs w:val="24"/>
        </w:rPr>
      </w:pPr>
      <w:r w:rsidRPr="00FE2E9B">
        <w:rPr>
          <w:i w:val="0"/>
          <w:iCs/>
          <w:sz w:val="24"/>
          <w:szCs w:val="24"/>
        </w:rPr>
        <w:t>En este sentido</w:t>
      </w:r>
      <w:r>
        <w:rPr>
          <w:sz w:val="24"/>
          <w:szCs w:val="24"/>
        </w:rPr>
        <w:t xml:space="preserve">, </w:t>
      </w:r>
      <w:r w:rsidRPr="00545F49">
        <w:rPr>
          <w:i w:val="0"/>
          <w:iCs/>
          <w:color w:val="000000"/>
          <w:sz w:val="24"/>
          <w:szCs w:val="24"/>
        </w:rPr>
        <w:t xml:space="preserve">no se omite comentar que, </w:t>
      </w:r>
      <w:r w:rsidRPr="00545F49">
        <w:rPr>
          <w:i w:val="0"/>
          <w:iCs/>
          <w:sz w:val="24"/>
          <w:szCs w:val="24"/>
        </w:rPr>
        <w:t xml:space="preserve">al haber existido un pronunciamiento por parte del </w:t>
      </w:r>
      <w:r w:rsidRPr="00545F49">
        <w:rPr>
          <w:b/>
          <w:i w:val="0"/>
          <w:iCs/>
          <w:sz w:val="24"/>
          <w:szCs w:val="24"/>
        </w:rPr>
        <w:t>Sujeto Obligado</w:t>
      </w:r>
      <w:r w:rsidRPr="00545F49">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EB5CB29" w14:textId="77777777" w:rsidR="004B11B3" w:rsidRPr="00D12F4B" w:rsidRDefault="004B11B3" w:rsidP="004B11B3">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F3FAF1F" w14:textId="77777777" w:rsidR="004B11B3" w:rsidRPr="003A41AE" w:rsidRDefault="004B11B3" w:rsidP="004B11B3">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092E2031" w14:textId="77777777" w:rsidR="004B11B3" w:rsidRDefault="004B11B3" w:rsidP="004B11B3">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D02076">
        <w:lastRenderedPageBreak/>
        <w:t xml:space="preserve">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995A8CE" w14:textId="77777777" w:rsidR="004B11B3" w:rsidRDefault="004B11B3" w:rsidP="004B11B3">
      <w:pPr>
        <w:pStyle w:val="Citas"/>
      </w:pPr>
      <w:r w:rsidRPr="00D02076">
        <w:t xml:space="preserve">Expedientes: </w:t>
      </w:r>
    </w:p>
    <w:p w14:paraId="0D79B8BC" w14:textId="77777777" w:rsidR="004B11B3" w:rsidRDefault="004B11B3" w:rsidP="004B11B3">
      <w:pPr>
        <w:pStyle w:val="Citas"/>
        <w:numPr>
          <w:ilvl w:val="0"/>
          <w:numId w:val="10"/>
        </w:numPr>
      </w:pPr>
      <w:r w:rsidRPr="00D02076">
        <w:t xml:space="preserve">2440/07 Comisión Federal de Electricidad - Alonso Lujambio Irazábal </w:t>
      </w:r>
    </w:p>
    <w:p w14:paraId="11B0CC3B" w14:textId="77777777" w:rsidR="004B11B3" w:rsidRDefault="004B11B3" w:rsidP="004B11B3">
      <w:pPr>
        <w:pStyle w:val="Citas"/>
        <w:numPr>
          <w:ilvl w:val="0"/>
          <w:numId w:val="10"/>
        </w:numPr>
      </w:pPr>
      <w:r w:rsidRPr="00D02076">
        <w:t xml:space="preserve">0113/09 Instituto de Seguridad y Servicios Sociales de los Trabajadores del Estado – Alonso Lujambio Irazábal </w:t>
      </w:r>
    </w:p>
    <w:p w14:paraId="4697B54C" w14:textId="77777777" w:rsidR="004B11B3" w:rsidRDefault="004B11B3" w:rsidP="004B11B3">
      <w:pPr>
        <w:pStyle w:val="Citas"/>
        <w:numPr>
          <w:ilvl w:val="0"/>
          <w:numId w:val="1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4512F17C" w14:textId="77777777" w:rsidR="004B11B3" w:rsidRDefault="004B11B3" w:rsidP="004B11B3">
      <w:pPr>
        <w:pStyle w:val="Citas"/>
        <w:numPr>
          <w:ilvl w:val="0"/>
          <w:numId w:val="10"/>
        </w:numPr>
      </w:pPr>
      <w:r w:rsidRPr="00D02076">
        <w:t xml:space="preserve">2395/09 Secretaría de Economía - María </w:t>
      </w:r>
      <w:proofErr w:type="spellStart"/>
      <w:r w:rsidRPr="00D02076">
        <w:t>Marván</w:t>
      </w:r>
      <w:proofErr w:type="spellEnd"/>
      <w:r w:rsidRPr="00D02076">
        <w:t xml:space="preserve"> Laborde </w:t>
      </w:r>
    </w:p>
    <w:p w14:paraId="02C709D4" w14:textId="77777777" w:rsidR="004B11B3" w:rsidRPr="00D02076" w:rsidRDefault="004B11B3" w:rsidP="004B11B3">
      <w:pPr>
        <w:pStyle w:val="Citas"/>
        <w:numPr>
          <w:ilvl w:val="0"/>
          <w:numId w:val="1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08EF844C" w14:textId="165B058B" w:rsidR="004B11B3" w:rsidRDefault="004B11B3" w:rsidP="00064437">
      <w:pPr>
        <w:spacing w:before="240" w:line="360" w:lineRule="auto"/>
        <w:jc w:val="both"/>
        <w:rPr>
          <w:rFonts w:ascii="Palatino Linotype" w:hAnsi="Palatino Linotype"/>
          <w:sz w:val="24"/>
          <w:szCs w:val="24"/>
        </w:rPr>
      </w:pPr>
    </w:p>
    <w:p w14:paraId="3CF0638A" w14:textId="106F4804" w:rsidR="004B11B3" w:rsidRPr="000D6660" w:rsidRDefault="004B11B3" w:rsidP="00064437">
      <w:pPr>
        <w:spacing w:before="240" w:line="360" w:lineRule="auto"/>
        <w:jc w:val="both"/>
        <w:rPr>
          <w:rFonts w:ascii="Palatino Linotype" w:hAnsi="Palatino Linotype"/>
          <w:sz w:val="24"/>
          <w:szCs w:val="24"/>
        </w:rPr>
      </w:pPr>
      <w:r>
        <w:rPr>
          <w:rFonts w:ascii="Palatino Linotype" w:hAnsi="Palatino Linotype"/>
          <w:sz w:val="24"/>
          <w:szCs w:val="24"/>
        </w:rPr>
        <w:t xml:space="preserve">Finalmente, con relación al requerimiento </w:t>
      </w:r>
      <w:r>
        <w:rPr>
          <w:rFonts w:ascii="Palatino Linotype" w:hAnsi="Palatino Linotype"/>
          <w:b/>
          <w:bCs/>
          <w:sz w:val="24"/>
          <w:szCs w:val="24"/>
        </w:rPr>
        <w:t xml:space="preserve">2 -dos- (proyecto ejecutivo) </w:t>
      </w:r>
      <w:r w:rsidR="000D6660">
        <w:rPr>
          <w:rFonts w:ascii="Palatino Linotype" w:hAnsi="Palatino Linotype"/>
          <w:sz w:val="24"/>
          <w:szCs w:val="24"/>
        </w:rPr>
        <w:t xml:space="preserve">si bien es cierto que el Titular de la Dirección General de Asuntos Jurídicos e Igualdad de Género y Titular de la Unidad de Transparencia señaló que no se han generado los proyectos ejecutivos de las multicitadas obras. Lo cierto también es que el titular de la Dirección </w:t>
      </w:r>
      <w:r w:rsidR="00571DE9">
        <w:rPr>
          <w:rFonts w:ascii="Palatino Linotype" w:hAnsi="Palatino Linotype"/>
          <w:sz w:val="24"/>
          <w:szCs w:val="24"/>
        </w:rPr>
        <w:lastRenderedPageBreak/>
        <w:t xml:space="preserve">General de Infraestructura hidráulica y Servidor Público Habilitado precisó que la elaboración de proyectos ejecutivos de obras resulta competencia de la Dirección General de Programa Hidráulico. </w:t>
      </w:r>
    </w:p>
    <w:p w14:paraId="178A1262" w14:textId="77777777" w:rsidR="00571DE9" w:rsidRDefault="00571DE9" w:rsidP="00571DE9">
      <w:pPr>
        <w:tabs>
          <w:tab w:val="left" w:pos="709"/>
        </w:tabs>
        <w:spacing w:before="240" w:line="360" w:lineRule="auto"/>
        <w:ind w:right="51"/>
        <w:jc w:val="both"/>
        <w:rPr>
          <w:rFonts w:ascii="Palatino Linotype" w:hAnsi="Palatino Linotype" w:cs="Arial"/>
          <w:sz w:val="24"/>
          <w:szCs w:val="24"/>
        </w:rPr>
      </w:pPr>
      <w:r w:rsidRPr="00571DE9">
        <w:rPr>
          <w:rFonts w:ascii="Palatino Linotype" w:hAnsi="Palatino Linotype"/>
          <w:sz w:val="24"/>
          <w:szCs w:val="24"/>
        </w:rPr>
        <w:t>De ahí que deba arribarse a la premisa de que</w:t>
      </w:r>
      <w:r>
        <w:rPr>
          <w:rFonts w:ascii="Palatino Linotype" w:hAnsi="Palatino Linotype"/>
          <w:sz w:val="24"/>
          <w:szCs w:val="24"/>
        </w:rPr>
        <w:t xml:space="preserve"> con relación al requerimiento </w:t>
      </w:r>
      <w:r>
        <w:rPr>
          <w:rFonts w:ascii="Palatino Linotype" w:hAnsi="Palatino Linotype"/>
          <w:b/>
          <w:bCs/>
          <w:sz w:val="24"/>
          <w:szCs w:val="24"/>
        </w:rPr>
        <w:t xml:space="preserve">2 -dos-, </w:t>
      </w:r>
      <w:r>
        <w:rPr>
          <w:rFonts w:ascii="Palatino Linotype" w:hAnsi="Palatino Linotype"/>
          <w:sz w:val="24"/>
          <w:szCs w:val="24"/>
        </w:rPr>
        <w:t xml:space="preserve">la figura de hechos negativos </w:t>
      </w:r>
      <w:r>
        <w:rPr>
          <w:rFonts w:ascii="Palatino Linotype" w:hAnsi="Palatino Linotype" w:cs="Arial"/>
          <w:sz w:val="24"/>
          <w:szCs w:val="24"/>
        </w:rPr>
        <w:t>no colma el derecho de acceso a la información pública, al inobservar el numeral 162 de la Ley de Transparencia local, porción normativa que dispone a la literalidad lo siguiente:</w:t>
      </w:r>
    </w:p>
    <w:p w14:paraId="26EFFD6A" w14:textId="77777777" w:rsidR="00571DE9" w:rsidRPr="00D14967" w:rsidRDefault="00571DE9" w:rsidP="00571DE9">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55C0990B" w14:textId="5FD98DBE" w:rsidR="00064437" w:rsidRPr="00571DE9" w:rsidRDefault="00064437" w:rsidP="00064437">
      <w:pPr>
        <w:spacing w:before="240" w:line="360" w:lineRule="auto"/>
        <w:jc w:val="both"/>
        <w:rPr>
          <w:rFonts w:ascii="Palatino Linotype" w:hAnsi="Palatino Linotype"/>
          <w:sz w:val="24"/>
          <w:szCs w:val="24"/>
        </w:rPr>
      </w:pPr>
    </w:p>
    <w:p w14:paraId="319D301D" w14:textId="6EE32EBA" w:rsidR="00571DE9" w:rsidRDefault="00B20D8A" w:rsidP="00B20D8A">
      <w:pPr>
        <w:pStyle w:val="infoemcitas"/>
        <w:tabs>
          <w:tab w:val="left" w:pos="7655"/>
        </w:tabs>
        <w:ind w:left="0" w:right="0"/>
        <w:rPr>
          <w:i w:val="0"/>
          <w:sz w:val="24"/>
          <w:szCs w:val="24"/>
        </w:rPr>
      </w:pPr>
      <w:r w:rsidRPr="003758B2">
        <w:rPr>
          <w:i w:val="0"/>
          <w:sz w:val="24"/>
          <w:szCs w:val="24"/>
        </w:rPr>
        <w:t>Inconforme con la respuesta del</w:t>
      </w:r>
      <w:r>
        <w:rPr>
          <w:i w:val="0"/>
          <w:sz w:val="24"/>
          <w:szCs w:val="24"/>
        </w:rPr>
        <w:t xml:space="preserve"> </w:t>
      </w:r>
      <w:r>
        <w:rPr>
          <w:b/>
          <w:bCs/>
          <w:i w:val="0"/>
          <w:sz w:val="24"/>
          <w:szCs w:val="24"/>
        </w:rPr>
        <w:t xml:space="preserve">Sujeto Obligado, El Recurrente </w:t>
      </w:r>
      <w:r>
        <w:rPr>
          <w:i w:val="0"/>
          <w:sz w:val="24"/>
          <w:szCs w:val="24"/>
        </w:rPr>
        <w:t xml:space="preserve">interpuso recurso de revisión en fecha </w:t>
      </w:r>
      <w:r w:rsidR="00571DE9">
        <w:rPr>
          <w:i w:val="0"/>
          <w:sz w:val="24"/>
          <w:szCs w:val="24"/>
        </w:rPr>
        <w:t>nueve de noviembre, admitiéndose el catorce de noviembre, ambos de dos mil veintidós. Señalando como razones o motivos de inconformidad:</w:t>
      </w:r>
    </w:p>
    <w:p w14:paraId="1C847D6C" w14:textId="0000F35D" w:rsidR="00571DE9" w:rsidRPr="00571DE9" w:rsidRDefault="00571DE9" w:rsidP="00571DE9">
      <w:pPr>
        <w:pStyle w:val="Citas"/>
        <w:rPr>
          <w:b/>
          <w:bCs/>
          <w:sz w:val="24"/>
          <w:szCs w:val="24"/>
        </w:rPr>
      </w:pPr>
      <w:r>
        <w:rPr>
          <w:b/>
          <w:bCs/>
          <w:u w:val="single"/>
        </w:rPr>
        <w:t>“</w:t>
      </w:r>
      <w:r w:rsidRPr="00571DE9">
        <w:rPr>
          <w:b/>
          <w:bCs/>
          <w:u w:val="single"/>
        </w:rPr>
        <w:t>El motivo de mi inconformidad, es que no se entregaron los proyectos ejecutivos de las dos obras que se encuentran en proceso en el Municipio de Tlalnepantla de Baz,</w:t>
      </w:r>
      <w:r>
        <w:t xml:space="preserve"> México, durante el ejercicio 2022. Cabe señalar que mediante oficios de respuesta No. 219C0113000000L/3351/2022, de fecha 19 de octubre del 2022, turnado por la Dirección General de Infraestructura Hidráulica y oficio de respuesta No. 219C0116000000L/1360/2022, de fecha 28 de octubre del 2022, turnado por la Dirección General de Asuntos Jurídicos e Igualdad de Género, </w:t>
      </w:r>
      <w:r>
        <w:lastRenderedPageBreak/>
        <w:t xml:space="preserve">señalan que las obras se encuentran en proceso y que la información se elaborara una vez concluidas la obras. Si es el caso de que las obras ya se encuentren en proceso, se debe contar con un proyecto ejecutivo, toda vez que en el proyecto ejecutivo, se establece la estructuración preliminar de un proyecto que se presenta para la revisión y autorización, una vez que fue aprobado, adopta el carácter de proyecto. De la misma forma, la Dirección General de Infraestructura Hidráulica, en su respuesta, señala que los proyectos ejecutivos, son competencia de la Dirección General del Programa Hidráulico. Al respecto, no se remitió respuesta por parte de la Dirección General del Programa Hidráulico o, en su caso, no se señaló a que Sujeto Obligado pertenece dicha Dirección.” </w:t>
      </w:r>
      <w:r>
        <w:rPr>
          <w:b/>
          <w:bCs/>
        </w:rPr>
        <w:t>(Sic)</w:t>
      </w:r>
    </w:p>
    <w:p w14:paraId="4BAFF06E" w14:textId="77777777" w:rsidR="00571DE9" w:rsidRDefault="00571DE9" w:rsidP="00B20D8A">
      <w:pPr>
        <w:pStyle w:val="infoemcitas"/>
        <w:tabs>
          <w:tab w:val="left" w:pos="7655"/>
        </w:tabs>
        <w:ind w:left="0" w:right="0"/>
        <w:rPr>
          <w:i w:val="0"/>
          <w:sz w:val="24"/>
          <w:szCs w:val="24"/>
        </w:rPr>
      </w:pPr>
    </w:p>
    <w:p w14:paraId="044A9957" w14:textId="5033D7B5" w:rsidR="003A4076" w:rsidRPr="00604859" w:rsidRDefault="003A4076" w:rsidP="003A4076">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t xml:space="preserve">Bajo estas líneas argumentativas, la parte de la solicitud sobre la </w:t>
      </w:r>
      <w:r w:rsidRPr="00604859">
        <w:rPr>
          <w:rFonts w:ascii="Palatino Linotype" w:hAnsi="Palatino Linotype"/>
          <w:sz w:val="24"/>
          <w:szCs w:val="24"/>
          <w:lang w:eastAsia="es-MX"/>
        </w:rPr>
        <w:t xml:space="preserve">que no se expresó inconformidad </w:t>
      </w:r>
      <w:r>
        <w:rPr>
          <w:rFonts w:ascii="Palatino Linotype" w:hAnsi="Palatino Linotype"/>
          <w:b/>
          <w:bCs/>
          <w:sz w:val="24"/>
          <w:szCs w:val="24"/>
          <w:lang w:eastAsia="es-MX"/>
        </w:rPr>
        <w:t>(Puntos 1</w:t>
      </w:r>
      <w:r w:rsidR="00571DE9">
        <w:rPr>
          <w:rFonts w:ascii="Palatino Linotype" w:hAnsi="Palatino Linotype"/>
          <w:b/>
          <w:bCs/>
          <w:sz w:val="24"/>
          <w:szCs w:val="24"/>
          <w:lang w:eastAsia="es-MX"/>
        </w:rPr>
        <w:t xml:space="preserve"> y 3</w:t>
      </w:r>
      <w:r>
        <w:rPr>
          <w:rFonts w:ascii="Palatino Linotype" w:hAnsi="Palatino Linotype"/>
          <w:b/>
          <w:bCs/>
          <w:sz w:val="24"/>
          <w:szCs w:val="24"/>
          <w:lang w:eastAsia="es-MX"/>
        </w:rPr>
        <w:t xml:space="preserve">)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CE943B2"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BD6DA21"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5C7B155A"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8EF1713"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7553E00"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Diciembre de 2005, Tomo XXII</w:t>
      </w:r>
    </w:p>
    <w:p w14:paraId="6C38307B"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42A8DE83"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36D1CEE" w14:textId="77777777" w:rsidR="003A4076" w:rsidRPr="001300D8" w:rsidRDefault="003A4076" w:rsidP="003A407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BFBD264" w14:textId="77777777" w:rsidR="003A4076" w:rsidRPr="001300D8" w:rsidRDefault="003A4076" w:rsidP="003A407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36C330CD" w14:textId="77777777" w:rsidR="003A4076" w:rsidRPr="001300D8" w:rsidRDefault="003A4076" w:rsidP="003A407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3406A8"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BF0413B"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B036B59"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3D39F2EC"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73292D69" w14:textId="77777777" w:rsidR="003A4076" w:rsidRPr="001300D8" w:rsidRDefault="003A4076" w:rsidP="003A407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0DC001A5" w14:textId="77777777" w:rsidR="003A4076" w:rsidRDefault="003A4076" w:rsidP="003A4076">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1A0BCB05" w14:textId="77777777" w:rsidR="003A4076" w:rsidRDefault="003A4076" w:rsidP="003A4076">
      <w:pPr>
        <w:spacing w:after="0" w:line="360" w:lineRule="auto"/>
        <w:jc w:val="both"/>
        <w:rPr>
          <w:rFonts w:ascii="Palatino Linotype" w:hAnsi="Palatino Linotype" w:cs="Arial"/>
          <w:noProof/>
          <w:color w:val="000000"/>
          <w:sz w:val="24"/>
          <w:lang w:eastAsia="es-MX"/>
        </w:rPr>
      </w:pPr>
    </w:p>
    <w:p w14:paraId="51783B82" w14:textId="77777777" w:rsidR="003A4076" w:rsidRDefault="003A4076" w:rsidP="003A407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C8FC904" w14:textId="77777777" w:rsidR="003A4076" w:rsidRDefault="003A4076" w:rsidP="003A4076">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031F4951" w14:textId="77777777" w:rsidR="003A4076" w:rsidRPr="0071419E" w:rsidRDefault="003A4076" w:rsidP="003A4076">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24C5801" w14:textId="77777777" w:rsidR="003A4076" w:rsidRPr="00D83913" w:rsidRDefault="003A4076" w:rsidP="003A4076">
      <w:pPr>
        <w:pStyle w:val="Citas"/>
        <w:rPr>
          <w:b/>
          <w:bCs/>
        </w:rPr>
      </w:pPr>
      <w:r w:rsidRPr="00D83913">
        <w:rPr>
          <w:b/>
          <w:bCs/>
        </w:rPr>
        <w:t>Resoluciones</w:t>
      </w:r>
      <w:r>
        <w:rPr>
          <w:b/>
          <w:bCs/>
        </w:rPr>
        <w:t>:</w:t>
      </w:r>
    </w:p>
    <w:p w14:paraId="25D90552" w14:textId="77777777" w:rsidR="003A4076" w:rsidRPr="00D83913" w:rsidRDefault="003A4076" w:rsidP="003A4076">
      <w:pPr>
        <w:pStyle w:val="Citas"/>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11ADD4F0" w14:textId="77777777" w:rsidR="003A4076" w:rsidRPr="009754D6" w:rsidRDefault="00AE2817" w:rsidP="003A4076">
      <w:pPr>
        <w:pStyle w:val="Citas"/>
        <w:rPr>
          <w:sz w:val="20"/>
        </w:rPr>
      </w:pPr>
      <w:hyperlink r:id="rId13" w:history="1">
        <w:r w:rsidR="003A4076" w:rsidRPr="009754D6">
          <w:rPr>
            <w:rStyle w:val="Hipervnculo"/>
          </w:rPr>
          <w:t>http://consultas.ifai.org.mx/descargar.php?r=./pdf/resoluciones/2018/&amp;a=RRA%204548.pdf</w:t>
        </w:r>
      </w:hyperlink>
    </w:p>
    <w:p w14:paraId="54CEACDD" w14:textId="77777777" w:rsidR="003A4076" w:rsidRPr="009754D6" w:rsidRDefault="003A4076" w:rsidP="003A4076">
      <w:pPr>
        <w:pStyle w:val="Citas"/>
        <w:rPr>
          <w:b/>
        </w:rPr>
      </w:pPr>
      <w:r w:rsidRPr="009754D6">
        <w:rPr>
          <w:b/>
        </w:rPr>
        <w:t xml:space="preserve">RRA 5097/18. </w:t>
      </w:r>
      <w:r w:rsidRPr="009754D6">
        <w:t>Secretaría de Hacienda y Crédito Público. 05 de septiembre de 2018. Por unanimidad. Comisionado Ponente Joel Salas Suárez.</w:t>
      </w:r>
    </w:p>
    <w:p w14:paraId="17CA8489" w14:textId="77777777" w:rsidR="003A4076" w:rsidRPr="009754D6" w:rsidRDefault="00AE2817" w:rsidP="003A4076">
      <w:pPr>
        <w:pStyle w:val="Citas"/>
        <w:rPr>
          <w:sz w:val="20"/>
        </w:rPr>
      </w:pPr>
      <w:hyperlink r:id="rId14" w:history="1">
        <w:r w:rsidR="003A4076" w:rsidRPr="009754D6">
          <w:rPr>
            <w:rStyle w:val="Hipervnculo"/>
          </w:rPr>
          <w:t>http://consultas.ifai.org.mx/descargar.php?r=./pdf/resoluciones/2018/&amp;a=RRA%205097.pdf</w:t>
        </w:r>
      </w:hyperlink>
    </w:p>
    <w:p w14:paraId="4F4B44F9" w14:textId="77777777" w:rsidR="003A4076" w:rsidRPr="009754D6" w:rsidRDefault="003A4076" w:rsidP="003A4076">
      <w:pPr>
        <w:pStyle w:val="Citas"/>
        <w:rPr>
          <w:b/>
        </w:rPr>
      </w:pPr>
      <w:r w:rsidRPr="009754D6">
        <w:rPr>
          <w:b/>
        </w:rPr>
        <w:t xml:space="preserve">RRA 14270/19. </w:t>
      </w:r>
      <w:r w:rsidRPr="009754D6">
        <w:t>Registro Agrario Nacional. 22 de enero de 2020. Por unanimidad. Comisionado Ponente Francisco Javier Acuña Llamas.</w:t>
      </w:r>
    </w:p>
    <w:p w14:paraId="15A1F00F" w14:textId="77777777" w:rsidR="003A4076" w:rsidRPr="009754D6" w:rsidRDefault="00AE2817" w:rsidP="003A4076">
      <w:pPr>
        <w:pStyle w:val="Citas"/>
        <w:rPr>
          <w:rStyle w:val="Hipervnculo"/>
          <w:b/>
          <w:bCs/>
          <w:color w:val="auto"/>
          <w:sz w:val="24"/>
          <w:szCs w:val="24"/>
          <w:u w:val="none"/>
          <w:lang w:val="en-US"/>
        </w:rPr>
      </w:pPr>
      <w:hyperlink r:id="rId15" w:history="1">
        <w:r w:rsidR="003A4076" w:rsidRPr="009754D6">
          <w:rPr>
            <w:rStyle w:val="Hipervnculo"/>
            <w:lang w:val="en-US"/>
          </w:rPr>
          <w:t>http://consultas.ifai.org.mx/descargar.php?r=./pdf/resoluciones/2019/&amp;a=RRA%2014270.pdf</w:t>
        </w:r>
      </w:hyperlink>
      <w:r w:rsidR="003A4076" w:rsidRPr="009754D6">
        <w:rPr>
          <w:rStyle w:val="Hipervnculo"/>
          <w:sz w:val="20"/>
          <w:lang w:val="en-US"/>
        </w:rPr>
        <w:t xml:space="preserve">” </w:t>
      </w:r>
      <w:r w:rsidR="003A4076" w:rsidRPr="009754D6">
        <w:rPr>
          <w:rStyle w:val="Hipervnculo"/>
          <w:i w:val="0"/>
          <w:iCs/>
          <w:sz w:val="24"/>
          <w:szCs w:val="24"/>
          <w:u w:val="none"/>
          <w:lang w:val="en-US"/>
        </w:rPr>
        <w:t xml:space="preserve"> </w:t>
      </w:r>
      <w:r w:rsidR="003A4076" w:rsidRPr="009754D6">
        <w:rPr>
          <w:rStyle w:val="Hipervnculo"/>
          <w:b/>
          <w:bCs/>
          <w:color w:val="auto"/>
          <w:sz w:val="24"/>
          <w:szCs w:val="24"/>
          <w:u w:val="none"/>
          <w:lang w:val="en-US"/>
        </w:rPr>
        <w:t xml:space="preserve">[Sic] </w:t>
      </w:r>
    </w:p>
    <w:p w14:paraId="00831CA3" w14:textId="77777777" w:rsidR="003A4076" w:rsidRPr="00A623E7" w:rsidRDefault="003A4076" w:rsidP="003A4076">
      <w:pPr>
        <w:pStyle w:val="infoemcitas"/>
        <w:tabs>
          <w:tab w:val="left" w:pos="7655"/>
        </w:tabs>
        <w:ind w:left="0" w:right="0"/>
        <w:rPr>
          <w:i w:val="0"/>
          <w:sz w:val="24"/>
          <w:szCs w:val="24"/>
          <w:lang w:val="en-US"/>
        </w:rPr>
      </w:pPr>
    </w:p>
    <w:p w14:paraId="0EE2BED5" w14:textId="75AD0F8B" w:rsidR="00571DE9" w:rsidRDefault="003A4076" w:rsidP="003A4076">
      <w:pPr>
        <w:pStyle w:val="infoemcitas"/>
        <w:tabs>
          <w:tab w:val="left" w:pos="7655"/>
        </w:tabs>
        <w:ind w:left="0" w:right="0"/>
        <w:rPr>
          <w:i w:val="0"/>
          <w:sz w:val="24"/>
          <w:szCs w:val="24"/>
        </w:rPr>
      </w:pPr>
      <w:r>
        <w:rPr>
          <w:i w:val="0"/>
          <w:sz w:val="24"/>
          <w:szCs w:val="24"/>
        </w:rPr>
        <w:t xml:space="preserve">Así las cosas, hasta aquí lo expuesto, resulta inconcuso que </w:t>
      </w:r>
      <w:r w:rsidR="00856A87">
        <w:rPr>
          <w:i w:val="0"/>
          <w:sz w:val="24"/>
          <w:szCs w:val="24"/>
        </w:rPr>
        <w:t>los motivos de inconformidad expuestos por el particular actualizan las causales de procedencia inmersas en el numeral 179, fracciones I, V y XI de la Ley de Transparencia y Acceso a la Información Pública del Estado de México y Municipios, normatividad que dispone a la literalidad lo siguiente:</w:t>
      </w:r>
    </w:p>
    <w:p w14:paraId="75998F65" w14:textId="77777777" w:rsidR="00571DE9" w:rsidRDefault="00571DE9" w:rsidP="003A4076">
      <w:pPr>
        <w:pStyle w:val="infoemcitas"/>
        <w:tabs>
          <w:tab w:val="left" w:pos="7655"/>
        </w:tabs>
        <w:ind w:left="0" w:right="0"/>
        <w:rPr>
          <w:i w:val="0"/>
          <w:sz w:val="24"/>
          <w:szCs w:val="24"/>
        </w:rPr>
      </w:pPr>
    </w:p>
    <w:p w14:paraId="0E4C3325" w14:textId="0B3A3BB7" w:rsidR="003A4076" w:rsidRDefault="003A4076" w:rsidP="003A4076">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1C52CCAA" w14:textId="77777777" w:rsidR="003A4076" w:rsidRDefault="003A4076" w:rsidP="003A4076">
      <w:pPr>
        <w:pStyle w:val="Citas"/>
      </w:pPr>
      <w:r>
        <w:t>I. La negativa a la información solicitada;</w:t>
      </w:r>
    </w:p>
    <w:p w14:paraId="2F824E68" w14:textId="77777777" w:rsidR="003A4076" w:rsidRDefault="003A4076" w:rsidP="003A4076">
      <w:pPr>
        <w:pStyle w:val="Citas"/>
      </w:pPr>
      <w:r>
        <w:t>(…)</w:t>
      </w:r>
    </w:p>
    <w:p w14:paraId="3506AB8C" w14:textId="77777777" w:rsidR="003A4076" w:rsidRDefault="003A4076" w:rsidP="003A4076">
      <w:pPr>
        <w:pStyle w:val="Citas"/>
      </w:pPr>
      <w:r>
        <w:t xml:space="preserve">V. La entrega de información incompleta; </w:t>
      </w:r>
    </w:p>
    <w:p w14:paraId="3F13B0C8" w14:textId="77777777" w:rsidR="00856A87" w:rsidRDefault="003A4076" w:rsidP="003A4076">
      <w:pPr>
        <w:pStyle w:val="Citas"/>
        <w:rPr>
          <w:noProof/>
          <w:color w:val="000000"/>
          <w:sz w:val="24"/>
          <w:lang w:eastAsia="es-MX"/>
        </w:rPr>
      </w:pPr>
      <w:r>
        <w:rPr>
          <w:noProof/>
          <w:color w:val="000000"/>
          <w:sz w:val="24"/>
          <w:lang w:eastAsia="es-MX"/>
        </w:rPr>
        <w:t>(…)</w:t>
      </w:r>
    </w:p>
    <w:p w14:paraId="34679200" w14:textId="16ECCF78" w:rsidR="00856A87" w:rsidRDefault="00856A87" w:rsidP="003A4076">
      <w:pPr>
        <w:pStyle w:val="Citas"/>
        <w:rPr>
          <w:noProof/>
          <w:color w:val="000000"/>
          <w:sz w:val="24"/>
          <w:lang w:eastAsia="es-MX"/>
        </w:rPr>
      </w:pPr>
      <w:r>
        <w:t>XI. La falta de trámite a una solicitud</w:t>
      </w:r>
    </w:p>
    <w:p w14:paraId="5BEFE370" w14:textId="1CEF82A0" w:rsidR="003A4076" w:rsidRPr="005A12AE" w:rsidRDefault="00856A87" w:rsidP="003A4076">
      <w:pPr>
        <w:pStyle w:val="Citas"/>
        <w:rPr>
          <w:b/>
          <w:bCs/>
          <w:noProof/>
          <w:color w:val="000000"/>
          <w:sz w:val="24"/>
          <w:lang w:eastAsia="es-MX"/>
        </w:rPr>
      </w:pPr>
      <w:r>
        <w:rPr>
          <w:noProof/>
          <w:color w:val="000000"/>
          <w:sz w:val="24"/>
          <w:lang w:eastAsia="es-MX"/>
        </w:rPr>
        <w:t>(…)</w:t>
      </w:r>
      <w:r w:rsidR="003A4076">
        <w:rPr>
          <w:noProof/>
          <w:color w:val="000000"/>
          <w:sz w:val="24"/>
          <w:lang w:eastAsia="es-MX"/>
        </w:rPr>
        <w:t xml:space="preserve">” </w:t>
      </w:r>
      <w:r w:rsidR="003A4076">
        <w:rPr>
          <w:b/>
          <w:bCs/>
          <w:noProof/>
          <w:color w:val="000000"/>
          <w:sz w:val="24"/>
          <w:lang w:eastAsia="es-MX"/>
        </w:rPr>
        <w:t>[Sic]</w:t>
      </w:r>
    </w:p>
    <w:p w14:paraId="218092C0" w14:textId="5C8A96EE" w:rsidR="00E46639" w:rsidRDefault="00E46639" w:rsidP="00BB1C32">
      <w:pPr>
        <w:spacing w:after="0" w:line="360" w:lineRule="auto"/>
        <w:jc w:val="both"/>
        <w:rPr>
          <w:rFonts w:ascii="Palatino Linotype" w:hAnsi="Palatino Linotype" w:cs="Arial"/>
          <w:color w:val="000000"/>
          <w:sz w:val="24"/>
          <w:lang w:val="es-ES_tradnl"/>
        </w:rPr>
      </w:pPr>
    </w:p>
    <w:p w14:paraId="7442788F" w14:textId="327B9822" w:rsidR="00856A87" w:rsidRDefault="003A4076" w:rsidP="003A4076">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Pr>
          <w:i w:val="0"/>
          <w:sz w:val="24"/>
          <w:szCs w:val="24"/>
        </w:rPr>
        <w:t xml:space="preserve">rindió su informe justificado en fecha </w:t>
      </w:r>
      <w:r w:rsidR="00856A87">
        <w:rPr>
          <w:i w:val="0"/>
          <w:sz w:val="24"/>
          <w:szCs w:val="24"/>
        </w:rPr>
        <w:t>dieciocho de noviembre de dos mil veintidós, mismo que fue puesto a la vista parcialmente, en los siguientes términos:</w:t>
      </w:r>
    </w:p>
    <w:p w14:paraId="69B4D53F" w14:textId="60A2435D" w:rsidR="00F56D5E" w:rsidRPr="00F56D5E" w:rsidRDefault="00856A87" w:rsidP="00F56D5E">
      <w:pPr>
        <w:pStyle w:val="Citas"/>
        <w:numPr>
          <w:ilvl w:val="0"/>
          <w:numId w:val="41"/>
        </w:numPr>
        <w:ind w:right="0"/>
        <w:rPr>
          <w:iCs/>
          <w:sz w:val="24"/>
          <w:szCs w:val="24"/>
        </w:rPr>
      </w:pPr>
      <w:r w:rsidRPr="00856A87">
        <w:rPr>
          <w:b/>
          <w:bCs/>
          <w:i w:val="0"/>
          <w:sz w:val="24"/>
          <w:szCs w:val="24"/>
        </w:rPr>
        <w:t xml:space="preserve">“RR 16350 sol 265.pdf”: </w:t>
      </w:r>
      <w:r w:rsidRPr="00856A87">
        <w:rPr>
          <w:i w:val="0"/>
          <w:sz w:val="24"/>
          <w:szCs w:val="24"/>
        </w:rPr>
        <w:t>Informe justifica</w:t>
      </w:r>
      <w:r>
        <w:rPr>
          <w:i w:val="0"/>
          <w:sz w:val="24"/>
          <w:szCs w:val="24"/>
        </w:rPr>
        <w:t xml:space="preserve">do signado por el Titular de la Unidad de Transparencia y dirigido al Comisionado Ponente, </w:t>
      </w:r>
      <w:r w:rsidR="005F0BE5">
        <w:rPr>
          <w:i w:val="0"/>
          <w:sz w:val="24"/>
          <w:szCs w:val="24"/>
        </w:rPr>
        <w:t xml:space="preserve">inicialmente </w:t>
      </w:r>
      <w:r w:rsidR="00F56D5E">
        <w:rPr>
          <w:i w:val="0"/>
          <w:sz w:val="24"/>
          <w:szCs w:val="24"/>
        </w:rPr>
        <w:t>se destaca que los proyectos ejecutivos de las multicitadas obras no obran en la Dirección General del Programa Hidráulico o en la Dirección General de Infraestructura hidráulica.</w:t>
      </w:r>
      <w:r w:rsidR="00F56D5E">
        <w:rPr>
          <w:iCs/>
          <w:sz w:val="24"/>
          <w:szCs w:val="24"/>
        </w:rPr>
        <w:t xml:space="preserve"> </w:t>
      </w:r>
      <w:r w:rsidR="00F56D5E">
        <w:rPr>
          <w:i w:val="0"/>
          <w:sz w:val="24"/>
          <w:szCs w:val="24"/>
        </w:rPr>
        <w:t>Por otra parte, resulta de nuestro interés el siguiente extracto:</w:t>
      </w:r>
    </w:p>
    <w:p w14:paraId="2E7668D5" w14:textId="52C17EC0" w:rsidR="005F0BE5" w:rsidRDefault="00F56D5E" w:rsidP="005F0BE5">
      <w:pPr>
        <w:pStyle w:val="Citas"/>
        <w:ind w:left="720" w:right="0"/>
        <w:rPr>
          <w:iCs/>
          <w:sz w:val="24"/>
          <w:szCs w:val="24"/>
        </w:rPr>
      </w:pPr>
      <w:r>
        <w:rPr>
          <w:iCs/>
          <w:sz w:val="24"/>
          <w:szCs w:val="24"/>
        </w:rPr>
        <w:t>“</w:t>
      </w:r>
      <w:r w:rsidR="005F0BE5">
        <w:rPr>
          <w:iCs/>
          <w:sz w:val="24"/>
          <w:szCs w:val="24"/>
        </w:rPr>
        <w:t>(…)</w:t>
      </w:r>
    </w:p>
    <w:p w14:paraId="5AFB4A8A" w14:textId="06D51565" w:rsidR="005F0BE5" w:rsidRDefault="00F56D5E" w:rsidP="005F0BE5">
      <w:pPr>
        <w:pStyle w:val="Citas"/>
        <w:ind w:left="720" w:right="0"/>
        <w:rPr>
          <w:iCs/>
          <w:sz w:val="24"/>
          <w:szCs w:val="24"/>
        </w:rPr>
      </w:pPr>
      <w:r>
        <w:rPr>
          <w:iCs/>
          <w:sz w:val="24"/>
          <w:szCs w:val="24"/>
        </w:rPr>
        <w:lastRenderedPageBreak/>
        <w:t>ALEGATOS</w:t>
      </w:r>
    </w:p>
    <w:p w14:paraId="37A27A04" w14:textId="08E75DB2" w:rsidR="00F56D5E" w:rsidRDefault="00F56D5E" w:rsidP="005F0BE5">
      <w:pPr>
        <w:pStyle w:val="Citas"/>
        <w:ind w:left="720" w:right="0"/>
        <w:rPr>
          <w:iCs/>
          <w:sz w:val="24"/>
          <w:szCs w:val="24"/>
        </w:rPr>
      </w:pPr>
      <w:r>
        <w:rPr>
          <w:iCs/>
          <w:sz w:val="24"/>
          <w:szCs w:val="24"/>
        </w:rPr>
        <w:t>(…)</w:t>
      </w:r>
    </w:p>
    <w:p w14:paraId="2F0226E5" w14:textId="3AF4CB63" w:rsidR="00F56D5E" w:rsidRPr="00F56D5E" w:rsidRDefault="00F56D5E" w:rsidP="005F0BE5">
      <w:pPr>
        <w:pStyle w:val="Citas"/>
        <w:ind w:left="720" w:right="0"/>
        <w:rPr>
          <w:iCs/>
          <w:sz w:val="24"/>
          <w:szCs w:val="24"/>
        </w:rPr>
      </w:pPr>
      <w:r>
        <w:rPr>
          <w:iCs/>
          <w:sz w:val="24"/>
          <w:szCs w:val="24"/>
        </w:rPr>
        <w:t xml:space="preserve">Respecto a la aseveración </w:t>
      </w:r>
      <w:r w:rsidRPr="00F56D5E">
        <w:rPr>
          <w:b/>
          <w:bCs/>
          <w:iCs/>
          <w:sz w:val="24"/>
          <w:szCs w:val="24"/>
        </w:rPr>
        <w:t>“no se entregaron los proyectos ejecutivos de las dos obras que se encuentran en proceso en el Municipio de Tlalnepantla de Baz, México, durante el ejercicio 2022”</w:t>
      </w:r>
      <w:r>
        <w:rPr>
          <w:iCs/>
          <w:sz w:val="24"/>
          <w:szCs w:val="24"/>
        </w:rPr>
        <w:t xml:space="preserve"> (SIC), la Dirección General de Infraestructura Hidráulica, a quien en un principio se le turnó la solicitud 00265/CAEM/IP/2022, confirma que se atendió al peticionario de conformidad con lo que señala la Ley de Transparencia y Acceso a la Información Pública del Estado de México y Municipios; asimismo, reafirma que </w:t>
      </w:r>
      <w:r>
        <w:rPr>
          <w:b/>
          <w:bCs/>
          <w:iCs/>
          <w:sz w:val="24"/>
          <w:szCs w:val="24"/>
        </w:rPr>
        <w:t>“</w:t>
      </w:r>
      <w:r w:rsidRPr="00F56D5E">
        <w:rPr>
          <w:b/>
          <w:bCs/>
          <w:iCs/>
          <w:sz w:val="24"/>
          <w:szCs w:val="24"/>
          <w:u w:val="single"/>
        </w:rPr>
        <w:t>el proyecto ejecutivo final se obtiene una vez concluidos los trabajos de perforación;” sin embargo, atendiendo al principio de máxima publicidad, envía el diseño de proyecto inicial basado en estudios geofísicos elaborados previamente a la perforación”</w:t>
      </w:r>
    </w:p>
    <w:p w14:paraId="03A439C0" w14:textId="6CA374F2" w:rsidR="00856A87" w:rsidRPr="000A041A" w:rsidRDefault="00856A87" w:rsidP="00856A87">
      <w:pPr>
        <w:pStyle w:val="Citas"/>
        <w:numPr>
          <w:ilvl w:val="0"/>
          <w:numId w:val="41"/>
        </w:numPr>
        <w:ind w:right="0"/>
        <w:rPr>
          <w:b/>
          <w:bCs/>
          <w:i w:val="0"/>
          <w:sz w:val="24"/>
          <w:szCs w:val="24"/>
        </w:rPr>
      </w:pPr>
      <w:r w:rsidRPr="000A041A">
        <w:rPr>
          <w:b/>
          <w:bCs/>
          <w:i w:val="0"/>
          <w:sz w:val="24"/>
          <w:szCs w:val="24"/>
        </w:rPr>
        <w:t>“Anexo I RR 16350 sol 265.pdf”:</w:t>
      </w:r>
      <w:r w:rsidR="00F56D5E" w:rsidRPr="000A041A">
        <w:rPr>
          <w:b/>
          <w:bCs/>
          <w:i w:val="0"/>
          <w:sz w:val="24"/>
          <w:szCs w:val="24"/>
        </w:rPr>
        <w:t xml:space="preserve"> </w:t>
      </w:r>
      <w:r w:rsidR="000A041A" w:rsidRPr="000A041A">
        <w:rPr>
          <w:i w:val="0"/>
          <w:sz w:val="24"/>
          <w:szCs w:val="24"/>
        </w:rPr>
        <w:t>Oficio</w:t>
      </w:r>
      <w:r w:rsidR="000A041A">
        <w:rPr>
          <w:i w:val="0"/>
          <w:sz w:val="24"/>
          <w:szCs w:val="24"/>
        </w:rPr>
        <w:t xml:space="preserve"> número </w:t>
      </w:r>
      <w:r w:rsidR="000A041A">
        <w:rPr>
          <w:b/>
          <w:bCs/>
          <w:i w:val="0"/>
          <w:sz w:val="24"/>
          <w:szCs w:val="24"/>
        </w:rPr>
        <w:t xml:space="preserve">219C0111010000L/361/2022 </w:t>
      </w:r>
      <w:r w:rsidR="000A041A">
        <w:rPr>
          <w:i w:val="0"/>
          <w:sz w:val="24"/>
          <w:szCs w:val="24"/>
        </w:rPr>
        <w:t xml:space="preserve">signado por la </w:t>
      </w:r>
      <w:r w:rsidR="00FE2E9B">
        <w:rPr>
          <w:i w:val="0"/>
          <w:sz w:val="24"/>
          <w:szCs w:val="24"/>
        </w:rPr>
        <w:t>directora</w:t>
      </w:r>
      <w:r w:rsidR="000A041A">
        <w:rPr>
          <w:i w:val="0"/>
          <w:sz w:val="24"/>
          <w:szCs w:val="24"/>
        </w:rPr>
        <w:t xml:space="preserve"> del Sistema Estatal de Información del Agua y Suplente de Servidor Público Habilitado y dirigido al </w:t>
      </w:r>
      <w:r w:rsidR="00FE2E9B">
        <w:rPr>
          <w:i w:val="0"/>
          <w:sz w:val="24"/>
          <w:szCs w:val="24"/>
        </w:rPr>
        <w:t>director general</w:t>
      </w:r>
      <w:r w:rsidR="000A041A">
        <w:rPr>
          <w:i w:val="0"/>
          <w:sz w:val="24"/>
          <w:szCs w:val="24"/>
        </w:rPr>
        <w:t xml:space="preserve"> de Asuntos Jurídicos e Igualdad de Género y Titular de la Unidad de Transparencia, de fecha catorce de noviembre de dos mil veintidós, en </w:t>
      </w:r>
      <w:r w:rsidR="00CE1D64">
        <w:rPr>
          <w:i w:val="0"/>
          <w:sz w:val="24"/>
          <w:szCs w:val="24"/>
        </w:rPr>
        <w:t>síntesis,</w:t>
      </w:r>
      <w:r w:rsidR="000A041A">
        <w:rPr>
          <w:i w:val="0"/>
          <w:sz w:val="24"/>
          <w:szCs w:val="24"/>
        </w:rPr>
        <w:t xml:space="preserve"> se refiere que los servidores </w:t>
      </w:r>
      <w:r w:rsidR="00F049DE">
        <w:rPr>
          <w:i w:val="0"/>
          <w:sz w:val="24"/>
          <w:szCs w:val="24"/>
        </w:rPr>
        <w:t xml:space="preserve">públicos habilitados ratifican la respuesta primigenia. </w:t>
      </w:r>
    </w:p>
    <w:p w14:paraId="1F506705" w14:textId="258BCDAC" w:rsidR="00856A87" w:rsidRPr="00726116" w:rsidRDefault="00856A87" w:rsidP="00856A87">
      <w:pPr>
        <w:pStyle w:val="Citas"/>
        <w:numPr>
          <w:ilvl w:val="0"/>
          <w:numId w:val="41"/>
        </w:numPr>
        <w:ind w:right="0"/>
        <w:rPr>
          <w:b/>
          <w:bCs/>
          <w:i w:val="0"/>
          <w:sz w:val="24"/>
          <w:szCs w:val="24"/>
        </w:rPr>
      </w:pPr>
      <w:r w:rsidRPr="00726116">
        <w:rPr>
          <w:b/>
          <w:bCs/>
          <w:i w:val="0"/>
          <w:sz w:val="24"/>
          <w:szCs w:val="24"/>
        </w:rPr>
        <w:t xml:space="preserve">“Anexo II RR 16350 sol 265.pdf”: </w:t>
      </w:r>
      <w:r w:rsidR="00726116" w:rsidRPr="00726116">
        <w:rPr>
          <w:i w:val="0"/>
          <w:sz w:val="24"/>
          <w:szCs w:val="24"/>
        </w:rPr>
        <w:t>Compila</w:t>
      </w:r>
      <w:r w:rsidR="00726116">
        <w:rPr>
          <w:i w:val="0"/>
          <w:sz w:val="24"/>
          <w:szCs w:val="24"/>
        </w:rPr>
        <w:t xml:space="preserve"> lo siguiente:</w:t>
      </w:r>
    </w:p>
    <w:p w14:paraId="7F5DF401" w14:textId="50654017" w:rsidR="00726116" w:rsidRPr="004A3E37" w:rsidRDefault="00726116" w:rsidP="00726116">
      <w:pPr>
        <w:pStyle w:val="Citas"/>
        <w:numPr>
          <w:ilvl w:val="0"/>
          <w:numId w:val="42"/>
        </w:numPr>
        <w:ind w:right="0"/>
        <w:rPr>
          <w:b/>
          <w:bCs/>
          <w:i w:val="0"/>
          <w:sz w:val="24"/>
          <w:szCs w:val="24"/>
        </w:rPr>
      </w:pPr>
      <w:r>
        <w:rPr>
          <w:i w:val="0"/>
          <w:sz w:val="24"/>
          <w:szCs w:val="24"/>
        </w:rPr>
        <w:t xml:space="preserve">Oficio número </w:t>
      </w:r>
      <w:r>
        <w:rPr>
          <w:b/>
          <w:bCs/>
          <w:i w:val="0"/>
          <w:sz w:val="24"/>
          <w:szCs w:val="24"/>
        </w:rPr>
        <w:t xml:space="preserve">219C0113000000L/3647/2022 </w:t>
      </w:r>
      <w:r>
        <w:rPr>
          <w:i w:val="0"/>
          <w:sz w:val="24"/>
          <w:szCs w:val="24"/>
        </w:rPr>
        <w:t xml:space="preserve">signado por el </w:t>
      </w:r>
      <w:r w:rsidR="00FE2E9B">
        <w:rPr>
          <w:i w:val="0"/>
          <w:sz w:val="24"/>
          <w:szCs w:val="24"/>
        </w:rPr>
        <w:t>director general</w:t>
      </w:r>
      <w:r>
        <w:rPr>
          <w:i w:val="0"/>
          <w:sz w:val="24"/>
          <w:szCs w:val="24"/>
        </w:rPr>
        <w:t xml:space="preserve"> de Infraestructura hidráulica y Servidor Público Habilitado y dirigido al </w:t>
      </w:r>
      <w:r w:rsidR="00CE1D64">
        <w:rPr>
          <w:i w:val="0"/>
          <w:sz w:val="24"/>
          <w:szCs w:val="24"/>
        </w:rPr>
        <w:lastRenderedPageBreak/>
        <w:t>director general</w:t>
      </w:r>
      <w:r>
        <w:rPr>
          <w:i w:val="0"/>
          <w:sz w:val="24"/>
          <w:szCs w:val="24"/>
        </w:rPr>
        <w:t xml:space="preserve"> de Asuntos Jurídicos e Igualdad de Género y Titular de la Unidad de Transparencia, de fecha catorce de noviembre de dos mil veintidós, </w:t>
      </w:r>
      <w:r w:rsidR="004A3E37">
        <w:rPr>
          <w:i w:val="0"/>
          <w:sz w:val="24"/>
          <w:szCs w:val="24"/>
        </w:rPr>
        <w:t xml:space="preserve">en síntesis refiere adjuntar copia simple de diseños de proyecto de dos pozos. </w:t>
      </w:r>
    </w:p>
    <w:p w14:paraId="074B17E6" w14:textId="29756718" w:rsidR="004A3E37" w:rsidRPr="000A041A" w:rsidRDefault="004A3E37" w:rsidP="00726116">
      <w:pPr>
        <w:pStyle w:val="Citas"/>
        <w:numPr>
          <w:ilvl w:val="0"/>
          <w:numId w:val="42"/>
        </w:numPr>
        <w:ind w:right="0"/>
        <w:rPr>
          <w:b/>
          <w:bCs/>
          <w:i w:val="0"/>
          <w:sz w:val="24"/>
          <w:szCs w:val="24"/>
        </w:rPr>
      </w:pPr>
      <w:r>
        <w:rPr>
          <w:i w:val="0"/>
          <w:sz w:val="24"/>
          <w:szCs w:val="24"/>
        </w:rPr>
        <w:t xml:space="preserve">Diseño de proyecto “Perforación, </w:t>
      </w:r>
      <w:r w:rsidR="000A041A">
        <w:rPr>
          <w:i w:val="0"/>
          <w:sz w:val="24"/>
          <w:szCs w:val="24"/>
        </w:rPr>
        <w:t xml:space="preserve">equipamiento, electromecánico, y línea de conducción de pozo Tepeolulco en la colonia lomas de </w:t>
      </w:r>
      <w:proofErr w:type="spellStart"/>
      <w:r w:rsidR="000A041A">
        <w:rPr>
          <w:i w:val="0"/>
          <w:sz w:val="24"/>
          <w:szCs w:val="24"/>
        </w:rPr>
        <w:t>tepeolulco</w:t>
      </w:r>
      <w:proofErr w:type="spellEnd"/>
      <w:r w:rsidR="000A041A">
        <w:rPr>
          <w:i w:val="0"/>
          <w:sz w:val="24"/>
          <w:szCs w:val="24"/>
        </w:rPr>
        <w:t xml:space="preserve"> zona oriente, municipio de Tlalnepantla de Baz”</w:t>
      </w:r>
    </w:p>
    <w:p w14:paraId="1CB34AC3" w14:textId="1DB163A0" w:rsidR="000A041A" w:rsidRPr="00726116" w:rsidRDefault="000A041A" w:rsidP="00726116">
      <w:pPr>
        <w:pStyle w:val="Citas"/>
        <w:numPr>
          <w:ilvl w:val="0"/>
          <w:numId w:val="42"/>
        </w:numPr>
        <w:ind w:right="0"/>
        <w:rPr>
          <w:b/>
          <w:bCs/>
          <w:i w:val="0"/>
          <w:sz w:val="24"/>
          <w:szCs w:val="24"/>
        </w:rPr>
      </w:pPr>
      <w:r>
        <w:rPr>
          <w:i w:val="0"/>
          <w:sz w:val="24"/>
          <w:szCs w:val="24"/>
        </w:rPr>
        <w:t xml:space="preserve">Diseño de proyecto “Perforación, equipamiento, electromecánico y línea de conducción de pozo Tepeolulco en la colonia lomas de </w:t>
      </w:r>
      <w:proofErr w:type="spellStart"/>
      <w:r>
        <w:rPr>
          <w:i w:val="0"/>
          <w:sz w:val="24"/>
          <w:szCs w:val="24"/>
        </w:rPr>
        <w:t>tepeolulco</w:t>
      </w:r>
      <w:proofErr w:type="spellEnd"/>
      <w:r>
        <w:rPr>
          <w:i w:val="0"/>
          <w:sz w:val="24"/>
          <w:szCs w:val="24"/>
        </w:rPr>
        <w:t xml:space="preserve"> zona oriente, municipio de Tlalnepantla de Baz”</w:t>
      </w:r>
    </w:p>
    <w:p w14:paraId="5EE5AFC7" w14:textId="43CBF770" w:rsidR="003A4076" w:rsidRDefault="003A4076" w:rsidP="003A4076">
      <w:pPr>
        <w:pStyle w:val="Citas"/>
        <w:ind w:left="0" w:right="0"/>
        <w:rPr>
          <w:i w:val="0"/>
          <w:sz w:val="24"/>
          <w:szCs w:val="24"/>
        </w:rPr>
      </w:pPr>
    </w:p>
    <w:p w14:paraId="02E050A5" w14:textId="4EEC4803" w:rsidR="00F049DE" w:rsidRDefault="00114B7C" w:rsidP="003A4076">
      <w:pPr>
        <w:pStyle w:val="Citas"/>
        <w:ind w:left="0" w:right="0"/>
        <w:rPr>
          <w:i w:val="0"/>
          <w:sz w:val="24"/>
          <w:szCs w:val="24"/>
        </w:rPr>
      </w:pPr>
      <w:r>
        <w:rPr>
          <w:i w:val="0"/>
          <w:sz w:val="24"/>
          <w:szCs w:val="24"/>
        </w:rPr>
        <w:t xml:space="preserve">Bajo este contexto, con relación a los diseños de proyectos remitidos mediante informe justificado se destaca que reflejan numerosas especificaciones técnicas, entendidas como el conjunto de disposiciones, requisitos, condiciones e instrucciones estipuladas para la ejecución de la obra. </w:t>
      </w:r>
    </w:p>
    <w:p w14:paraId="00B07F8C" w14:textId="2CD6555E" w:rsidR="000E4A8B" w:rsidRPr="00215455" w:rsidRDefault="00114B7C" w:rsidP="000E4A8B">
      <w:pPr>
        <w:spacing w:after="0" w:line="360" w:lineRule="auto"/>
        <w:jc w:val="both"/>
        <w:rPr>
          <w:rFonts w:ascii="Palatino Linotype" w:eastAsia="MS Mincho" w:hAnsi="Palatino Linotype" w:cs="Arial"/>
          <w:bCs/>
          <w:sz w:val="24"/>
          <w:szCs w:val="24"/>
        </w:rPr>
      </w:pPr>
      <w:r w:rsidRPr="00215455">
        <w:rPr>
          <w:rFonts w:ascii="Palatino Linotype" w:hAnsi="Palatino Linotype"/>
          <w:iCs/>
          <w:sz w:val="24"/>
          <w:szCs w:val="24"/>
        </w:rPr>
        <w:t>Por ello, la ejecución de obra invariablemente deberá de sujetarse a planos, especificaciones generales del proyecto, especificaciones especiales y otros parámetros técnicos, por ello, dicha información no se encuentre inmersa en el espectro del interés general y el alcance público</w:t>
      </w:r>
      <w:r w:rsidR="000747CA" w:rsidRPr="00215455">
        <w:rPr>
          <w:rFonts w:ascii="Palatino Linotype" w:hAnsi="Palatino Linotype"/>
          <w:iCs/>
          <w:sz w:val="24"/>
          <w:szCs w:val="24"/>
        </w:rPr>
        <w:t xml:space="preserve">, sino que por el contrario es susceptible de clasificación, </w:t>
      </w:r>
      <w:r w:rsidR="00403DCB" w:rsidRPr="00215455">
        <w:rPr>
          <w:rFonts w:ascii="Palatino Linotype" w:hAnsi="Palatino Linotype"/>
          <w:iCs/>
          <w:sz w:val="24"/>
          <w:szCs w:val="24"/>
        </w:rPr>
        <w:t>lo anterior al tomar en consideración que su divulgación es susceptible de</w:t>
      </w:r>
      <w:r w:rsidR="000E4A8B" w:rsidRPr="00215455">
        <w:rPr>
          <w:rFonts w:ascii="Palatino Linotype" w:hAnsi="Palatino Linotype"/>
          <w:iCs/>
          <w:sz w:val="24"/>
          <w:szCs w:val="24"/>
        </w:rPr>
        <w:t xml:space="preserve"> representar un riesgo real, particularmente, por </w:t>
      </w:r>
      <w:r w:rsidR="000E4A8B" w:rsidRPr="00215455">
        <w:rPr>
          <w:rFonts w:ascii="Palatino Linotype" w:eastAsia="MS Mincho" w:hAnsi="Palatino Linotype" w:cs="Arial"/>
          <w:bCs/>
          <w:sz w:val="24"/>
          <w:szCs w:val="24"/>
        </w:rPr>
        <w:t xml:space="preserve">tratarse de aquella información que puede ser </w:t>
      </w:r>
      <w:r w:rsidR="000E4A8B" w:rsidRPr="00215455">
        <w:rPr>
          <w:rFonts w:ascii="Palatino Linotype" w:eastAsia="MS Mincho" w:hAnsi="Palatino Linotype" w:cs="Arial"/>
          <w:bCs/>
          <w:sz w:val="24"/>
          <w:szCs w:val="24"/>
        </w:rPr>
        <w:lastRenderedPageBreak/>
        <w:t>utilizada para la realización de actos tendientes a la contaminación del agua, con la finalidad de alterar su calidad, esto es generar  agentes infecciosos, utilizar productos químicos tóxicos y la contaminación radiológica son factores de riesgo a la salud de la población.</w:t>
      </w:r>
    </w:p>
    <w:p w14:paraId="3595B351" w14:textId="77777777" w:rsidR="00BF6017" w:rsidRPr="00215455" w:rsidRDefault="00BF6017" w:rsidP="000E4A8B">
      <w:pPr>
        <w:spacing w:after="0" w:line="360" w:lineRule="auto"/>
        <w:jc w:val="both"/>
        <w:rPr>
          <w:rFonts w:ascii="Palatino Linotype" w:hAnsi="Palatino Linotype"/>
          <w:bCs/>
          <w:sz w:val="24"/>
          <w:szCs w:val="24"/>
          <w:lang w:eastAsia="es-MX"/>
        </w:rPr>
      </w:pPr>
    </w:p>
    <w:p w14:paraId="194E3149"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r w:rsidRPr="00215455">
        <w:rPr>
          <w:rFonts w:ascii="Palatino Linotype" w:eastAsia="MS Mincho" w:hAnsi="Palatino Linotype" w:cs="Arial"/>
          <w:bCs/>
          <w:sz w:val="24"/>
        </w:rPr>
        <w:t>En este sentido debe mencionarse que la Organización Mundial de la Salud en Ginebra, Suiza, el 27 de noviembre de 2002</w:t>
      </w:r>
      <w:r w:rsidRPr="00215455">
        <w:rPr>
          <w:rFonts w:ascii="Palatino Linotype" w:hAnsi="Palatino Linotype" w:cs="Arial"/>
          <w:sz w:val="24"/>
          <w:vertAlign w:val="superscript"/>
        </w:rPr>
        <w:footnoteReference w:id="2"/>
      </w:r>
      <w:r w:rsidRPr="00215455">
        <w:rPr>
          <w:rFonts w:ascii="Palatino Linotype" w:eastAsia="MS Mincho" w:hAnsi="Palatino Linotype" w:cs="Arial"/>
          <w:bCs/>
          <w:sz w:val="24"/>
        </w:rPr>
        <w:t xml:space="preserve"> </w:t>
      </w:r>
      <w:r w:rsidRPr="00215455">
        <w:rPr>
          <w:rFonts w:ascii="Palatino Linotype" w:hAnsi="Palatino Linotype" w:cs="Helvetica"/>
          <w:color w:val="333333"/>
          <w:sz w:val="24"/>
          <w:bdr w:val="none" w:sz="0" w:space="0" w:color="auto" w:frame="1"/>
        </w:rPr>
        <w:t>el Comité de Derechos Económicos, Culturales y Sociales, de las Naciones Unidas</w:t>
      </w:r>
      <w:r w:rsidRPr="00215455">
        <w:rPr>
          <w:rFonts w:ascii="Palatino Linotype" w:eastAsia="MS Mincho" w:hAnsi="Palatino Linotype" w:cs="Arial"/>
          <w:bCs/>
          <w:sz w:val="24"/>
        </w:rPr>
        <w:t xml:space="preserve"> determinó que el </w:t>
      </w:r>
      <w:r w:rsidRPr="00215455">
        <w:rPr>
          <w:rFonts w:ascii="Palatino Linotype" w:hAnsi="Palatino Linotype" w:cs="Helvetica"/>
          <w:color w:val="333333"/>
          <w:sz w:val="24"/>
          <w:bdr w:val="none" w:sz="0" w:space="0" w:color="auto" w:frame="1"/>
        </w:rPr>
        <w:t>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Pr="00215455">
        <w:rPr>
          <w:rFonts w:ascii="Palatino Linotype" w:hAnsi="Palatino Linotype" w:cs="Helvetica"/>
          <w:i/>
          <w:iCs/>
          <w:color w:val="333333"/>
          <w:sz w:val="24"/>
          <w:bdr w:val="none" w:sz="0" w:space="0" w:color="auto" w:frame="1"/>
        </w:rPr>
        <w:t>es una interpretación de las disposiciones del Pacto Internacional de Derechos Económicos, Sociales y Culturales</w:t>
      </w:r>
      <w:r w:rsidRPr="00215455">
        <w:rPr>
          <w:rFonts w:ascii="Palatino Linotype" w:hAnsi="Palatino Linotype" w:cs="Helvetica"/>
          <w:color w:val="333333"/>
          <w:sz w:val="24"/>
          <w:bdr w:val="none" w:sz="0" w:space="0" w:color="auto" w:frame="1"/>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67C57B09"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p>
    <w:p w14:paraId="1E0DE6FB"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r w:rsidRPr="00215455">
        <w:rPr>
          <w:rFonts w:ascii="Palatino Linotype" w:hAnsi="Palatino Linotype" w:cs="Helvetica"/>
          <w:color w:val="333333"/>
          <w:sz w:val="24"/>
          <w:bdr w:val="none" w:sz="0" w:space="0" w:color="auto" w:frame="1"/>
        </w:rPr>
        <w:t xml:space="preserve">En la observación general se declara que, en virtud del derecho humano a disponer de agua, todas las personas deben tener agua suficiente, asequible, accesible, segura y aceptable para usos personales y domésticos. Se exige que los países adopten estrategias y planes de acción nacionales que les permitan aproximarse de forma </w:t>
      </w:r>
      <w:r w:rsidRPr="00215455">
        <w:rPr>
          <w:rFonts w:ascii="Palatino Linotype" w:hAnsi="Palatino Linotype" w:cs="Helvetica"/>
          <w:color w:val="333333"/>
          <w:sz w:val="24"/>
          <w:bdr w:val="none" w:sz="0" w:space="0" w:color="auto" w:frame="1"/>
        </w:rPr>
        <w:lastRenderedPageBreak/>
        <w:t>rápida y eficaz a la realización total del derecho a tener agua, en donde la importancia de la observación general radica en:</w:t>
      </w:r>
    </w:p>
    <w:p w14:paraId="1662F571"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p>
    <w:p w14:paraId="6D6EA3C0" w14:textId="77777777" w:rsidR="000E4A8B" w:rsidRPr="00215455" w:rsidRDefault="000E4A8B" w:rsidP="000E4A8B">
      <w:pPr>
        <w:pStyle w:val="Prrafodelista"/>
        <w:numPr>
          <w:ilvl w:val="0"/>
          <w:numId w:val="47"/>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 xml:space="preserve">Proporcionar a la sociedad civil un instrumento que responsabiliza a los gobiernos de la garantía del acceso equitativo al agua. </w:t>
      </w:r>
    </w:p>
    <w:p w14:paraId="488CE354" w14:textId="77777777" w:rsidR="000E4A8B" w:rsidRPr="00215455" w:rsidRDefault="000E4A8B" w:rsidP="000E4A8B">
      <w:pPr>
        <w:pStyle w:val="Prrafodelista"/>
        <w:numPr>
          <w:ilvl w:val="0"/>
          <w:numId w:val="47"/>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Proporcionar un marco para prestar ayuda a los gobiernos en la formulación de políticas y estrategias eficaces que produzcan beneficios reales para la salud y la sociedad.</w:t>
      </w:r>
    </w:p>
    <w:p w14:paraId="5FF9DA9D" w14:textId="77777777" w:rsidR="000E4A8B" w:rsidRPr="00215455" w:rsidRDefault="000E4A8B" w:rsidP="000E4A8B">
      <w:pPr>
        <w:pStyle w:val="Prrafodelista"/>
        <w:numPr>
          <w:ilvl w:val="0"/>
          <w:numId w:val="47"/>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Sitúa en primer plano a las personas más perjudicadas, en particular los pobres y los vulnerables.</w:t>
      </w:r>
    </w:p>
    <w:p w14:paraId="0F44B5B8" w14:textId="77777777" w:rsidR="000E4A8B" w:rsidRPr="00215455" w:rsidRDefault="000E4A8B" w:rsidP="000E4A8B">
      <w:pPr>
        <w:spacing w:after="0" w:line="360" w:lineRule="auto"/>
        <w:jc w:val="both"/>
        <w:rPr>
          <w:rFonts w:ascii="Palatino Linotype" w:hAnsi="Palatino Linotype" w:cs="Helvetica"/>
          <w:color w:val="333333"/>
          <w:bdr w:val="none" w:sz="0" w:space="0" w:color="auto" w:frame="1"/>
        </w:rPr>
      </w:pPr>
    </w:p>
    <w:p w14:paraId="59FC10E9"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r w:rsidRPr="00215455">
        <w:rPr>
          <w:rFonts w:ascii="Palatino Linotype" w:hAnsi="Palatino Linotype" w:cs="Helvetica"/>
          <w:color w:val="333333"/>
          <w:sz w:val="24"/>
          <w:bdr w:val="none" w:sz="0" w:space="0" w:color="auto" w:frame="1"/>
        </w:rPr>
        <w:t xml:space="preserve">En donde el agua y el saneamiento inadecuados son causas principales de enfermedades tales como el paludismo, el cólera, la disentería, la esquistosomiasis, la hepatitis infecciosa y la diarrea, que están asociadas a 3400 millones de defunciones cada año. </w:t>
      </w:r>
    </w:p>
    <w:p w14:paraId="362195E8" w14:textId="77777777" w:rsidR="000E4A8B" w:rsidRPr="00215455" w:rsidRDefault="000E4A8B" w:rsidP="000E4A8B">
      <w:pPr>
        <w:spacing w:after="0" w:line="360" w:lineRule="auto"/>
        <w:jc w:val="both"/>
        <w:rPr>
          <w:rFonts w:ascii="Palatino Linotype" w:hAnsi="Palatino Linotype" w:cs="Helvetica"/>
          <w:color w:val="333333"/>
          <w:sz w:val="24"/>
          <w:bdr w:val="none" w:sz="0" w:space="0" w:color="auto" w:frame="1"/>
        </w:rPr>
      </w:pPr>
    </w:p>
    <w:p w14:paraId="4180C843" w14:textId="77777777" w:rsidR="000E4A8B" w:rsidRPr="00215455" w:rsidRDefault="000E4A8B" w:rsidP="000E4A8B">
      <w:pPr>
        <w:spacing w:after="0" w:line="360" w:lineRule="auto"/>
        <w:jc w:val="both"/>
        <w:rPr>
          <w:rFonts w:ascii="Palatino Linotype" w:hAnsi="Palatino Linotype" w:cs="Helvetica"/>
          <w:color w:val="333333"/>
          <w:sz w:val="24"/>
          <w:szCs w:val="24"/>
          <w:bdr w:val="none" w:sz="0" w:space="0" w:color="auto" w:frame="1"/>
        </w:rPr>
      </w:pPr>
      <w:r w:rsidRPr="00215455">
        <w:rPr>
          <w:rFonts w:ascii="Palatino Linotype" w:hAnsi="Palatino Linotype" w:cs="Helvetica"/>
          <w:color w:val="333333"/>
          <w:sz w:val="24"/>
          <w:szCs w:val="24"/>
          <w:bdr w:val="none" w:sz="0" w:space="0" w:color="auto" w:frame="1"/>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048F8A29" w14:textId="77777777" w:rsidR="000E4A8B" w:rsidRPr="00215455" w:rsidRDefault="000E4A8B" w:rsidP="000E4A8B">
      <w:pPr>
        <w:spacing w:after="0" w:line="360" w:lineRule="auto"/>
        <w:jc w:val="both"/>
        <w:rPr>
          <w:rFonts w:ascii="Palatino Linotype" w:hAnsi="Palatino Linotype" w:cs="Helvetica"/>
          <w:color w:val="333333"/>
          <w:sz w:val="24"/>
          <w:szCs w:val="24"/>
          <w:bdr w:val="none" w:sz="0" w:space="0" w:color="auto" w:frame="1"/>
        </w:rPr>
      </w:pPr>
    </w:p>
    <w:p w14:paraId="36945164" w14:textId="0461A9DF" w:rsidR="00403DCB" w:rsidRDefault="000E4A8B" w:rsidP="000E4A8B">
      <w:pPr>
        <w:spacing w:after="0" w:line="360" w:lineRule="auto"/>
        <w:jc w:val="both"/>
        <w:rPr>
          <w:rFonts w:ascii="Palatino Linotype" w:hAnsi="Palatino Linotype"/>
          <w:iCs/>
          <w:sz w:val="24"/>
          <w:szCs w:val="24"/>
        </w:rPr>
      </w:pPr>
      <w:r w:rsidRPr="00215455">
        <w:rPr>
          <w:rFonts w:ascii="Palatino Linotype" w:hAnsi="Palatino Linotype" w:cs="Helvetica"/>
          <w:color w:val="333333"/>
          <w:sz w:val="24"/>
          <w:szCs w:val="24"/>
          <w:bdr w:val="none" w:sz="0" w:space="0" w:color="auto" w:frame="1"/>
        </w:rPr>
        <w:t xml:space="preserve">Del mismo modo debe mencionarse que al hacer del conocimiento la información en comento, </w:t>
      </w:r>
      <w:r w:rsidR="00CF5726" w:rsidRPr="00215455">
        <w:rPr>
          <w:rFonts w:ascii="Palatino Linotype" w:hAnsi="Palatino Linotype" w:cs="Helvetica"/>
          <w:color w:val="333333"/>
          <w:sz w:val="24"/>
          <w:szCs w:val="24"/>
          <w:bdr w:val="none" w:sz="0" w:space="0" w:color="auto" w:frame="1"/>
        </w:rPr>
        <w:t>pudiera permitir</w:t>
      </w:r>
      <w:r w:rsidRPr="00215455">
        <w:rPr>
          <w:rFonts w:ascii="Palatino Linotype" w:hAnsi="Palatino Linotype" w:cs="Helvetica"/>
          <w:color w:val="333333"/>
          <w:sz w:val="24"/>
          <w:szCs w:val="24"/>
          <w:bdr w:val="none" w:sz="0" w:space="0" w:color="auto" w:frame="1"/>
        </w:rPr>
        <w:t xml:space="preserve"> </w:t>
      </w:r>
      <w:r w:rsidRPr="00215455">
        <w:rPr>
          <w:rFonts w:ascii="Palatino Linotype" w:eastAsia="MS Mincho" w:hAnsi="Palatino Linotype" w:cs="Arial"/>
          <w:bCs/>
          <w:sz w:val="24"/>
          <w:szCs w:val="24"/>
        </w:rPr>
        <w:t xml:space="preserve">conectarse de manera arbitraria al sistema de </w:t>
      </w:r>
      <w:r w:rsidRPr="00215455">
        <w:rPr>
          <w:rFonts w:ascii="Palatino Linotype" w:hAnsi="Palatino Linotype"/>
          <w:iCs/>
          <w:sz w:val="24"/>
          <w:szCs w:val="24"/>
        </w:rPr>
        <w:t>agua potable (</w:t>
      </w:r>
      <w:r w:rsidRPr="00215455">
        <w:rPr>
          <w:rFonts w:ascii="Palatino Linotype" w:hAnsi="Palatino Linotype"/>
          <w:i/>
          <w:sz w:val="24"/>
          <w:szCs w:val="24"/>
        </w:rPr>
        <w:t>sin que de manera previa medie la autorización y pago de derechos correspondientes</w:t>
      </w:r>
      <w:r w:rsidRPr="00215455">
        <w:rPr>
          <w:rFonts w:ascii="Palatino Linotype" w:hAnsi="Palatino Linotype"/>
          <w:iCs/>
          <w:sz w:val="24"/>
          <w:szCs w:val="24"/>
        </w:rPr>
        <w:t xml:space="preserve">), causar </w:t>
      </w:r>
      <w:r w:rsidRPr="00215455">
        <w:rPr>
          <w:rFonts w:ascii="Palatino Linotype" w:hAnsi="Palatino Linotype"/>
          <w:iCs/>
          <w:sz w:val="24"/>
          <w:szCs w:val="24"/>
        </w:rPr>
        <w:lastRenderedPageBreak/>
        <w:t xml:space="preserve">daños a la infraestructura, o ser utilizado para la comisión de conductas delictivas, es decir, la difusión de dicha </w:t>
      </w:r>
      <w:r w:rsidRPr="00215455">
        <w:rPr>
          <w:rFonts w:ascii="Palatino Linotype" w:eastAsia="MS Mincho" w:hAnsi="Palatino Linotype" w:cs="Arial"/>
          <w:bCs/>
          <w:sz w:val="24"/>
          <w:szCs w:val="24"/>
        </w:rPr>
        <w:t>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w:t>
      </w:r>
      <w:r>
        <w:rPr>
          <w:rFonts w:ascii="Palatino Linotype" w:eastAsia="MS Mincho" w:hAnsi="Palatino Linotype" w:cs="Arial"/>
          <w:bCs/>
          <w:sz w:val="24"/>
          <w:szCs w:val="24"/>
        </w:rPr>
        <w:t xml:space="preserve"> </w:t>
      </w:r>
    </w:p>
    <w:p w14:paraId="12A43878" w14:textId="40D606BE" w:rsidR="000747CA" w:rsidRPr="000E4A8B" w:rsidRDefault="000E4A8B" w:rsidP="000747CA">
      <w:pPr>
        <w:spacing w:before="240" w:line="360" w:lineRule="auto"/>
        <w:jc w:val="both"/>
        <w:rPr>
          <w:rFonts w:ascii="Palatino Linotype" w:hAnsi="Palatino Linotype"/>
          <w:sz w:val="24"/>
          <w:szCs w:val="24"/>
        </w:rPr>
      </w:pPr>
      <w:r w:rsidRPr="000E4A8B">
        <w:rPr>
          <w:rFonts w:ascii="Palatino Linotype" w:hAnsi="Palatino Linotype"/>
          <w:iCs/>
          <w:sz w:val="24"/>
          <w:szCs w:val="24"/>
        </w:rPr>
        <w:t xml:space="preserve">Bajo este contexto, la clasificación se concibe como el </w:t>
      </w:r>
      <w:r w:rsidR="000747CA" w:rsidRPr="000E4A8B">
        <w:rPr>
          <w:rFonts w:ascii="Palatino Linotype" w:hAnsi="Palatino Linotype"/>
          <w:iCs/>
          <w:sz w:val="24"/>
          <w:szCs w:val="24"/>
        </w:rPr>
        <w:t xml:space="preserve">acto administrativo mediante el cual los </w:t>
      </w:r>
      <w:r w:rsidR="000747CA" w:rsidRPr="000E4A8B">
        <w:rPr>
          <w:rFonts w:ascii="Palatino Linotype" w:hAnsi="Palatino Linotype"/>
          <w:b/>
          <w:iCs/>
          <w:sz w:val="24"/>
          <w:szCs w:val="24"/>
        </w:rPr>
        <w:t xml:space="preserve">Sujetos Obligados </w:t>
      </w:r>
      <w:r w:rsidR="000747CA" w:rsidRPr="000E4A8B">
        <w:rPr>
          <w:rFonts w:ascii="Palatino Linotype" w:hAnsi="Palatino Linotype"/>
          <w:iCs/>
          <w:sz w:val="24"/>
          <w:szCs w:val="24"/>
        </w:rPr>
        <w:t xml:space="preserve">determinan que la información </w:t>
      </w:r>
      <w:r w:rsidR="000747CA" w:rsidRPr="000E4A8B">
        <w:rPr>
          <w:rFonts w:ascii="Palatino Linotype" w:hAnsi="Palatino Linotype"/>
          <w:sz w:val="24"/>
          <w:szCs w:val="24"/>
        </w:rPr>
        <w:t xml:space="preserve">requerida actualiza alguno de los supuestos de confidencialidad </w:t>
      </w:r>
      <w:r w:rsidR="000747CA" w:rsidRPr="000E4A8B">
        <w:rPr>
          <w:rFonts w:ascii="Palatino Linotype" w:hAnsi="Palatino Linotype"/>
          <w:b/>
          <w:sz w:val="24"/>
          <w:szCs w:val="24"/>
        </w:rPr>
        <w:t xml:space="preserve">o </w:t>
      </w:r>
      <w:r w:rsidR="000747CA" w:rsidRPr="000E4A8B">
        <w:rPr>
          <w:rFonts w:ascii="Palatino Linotype" w:hAnsi="Palatino Linotype"/>
          <w:b/>
          <w:sz w:val="24"/>
          <w:szCs w:val="24"/>
          <w:u w:val="single"/>
        </w:rPr>
        <w:t>reserva,</w:t>
      </w:r>
      <w:r w:rsidR="000747CA" w:rsidRPr="000E4A8B">
        <w:rPr>
          <w:rFonts w:ascii="Palatino Linotype" w:hAnsi="Palatino Linotype"/>
          <w:b/>
          <w:sz w:val="24"/>
          <w:szCs w:val="24"/>
        </w:rPr>
        <w:t xml:space="preserve"> </w:t>
      </w:r>
      <w:r w:rsidR="000747CA" w:rsidRPr="000E4A8B">
        <w:rPr>
          <w:rFonts w:ascii="Palatino Linotype" w:hAnsi="Palatino Linotype"/>
          <w:sz w:val="24"/>
          <w:szCs w:val="24"/>
        </w:rPr>
        <w:t xml:space="preserve">de acuerdo con las bases y los principios inmersos en la normatividad aplicable. </w:t>
      </w:r>
    </w:p>
    <w:p w14:paraId="4116FE01" w14:textId="77777777" w:rsidR="000747CA" w:rsidRPr="00680FA4" w:rsidRDefault="000747CA" w:rsidP="000747CA">
      <w:pPr>
        <w:autoSpaceDE w:val="0"/>
        <w:autoSpaceDN w:val="0"/>
        <w:adjustRightInd w:val="0"/>
        <w:spacing w:line="360" w:lineRule="auto"/>
        <w:jc w:val="both"/>
        <w:rPr>
          <w:rFonts w:ascii="Palatino Linotype" w:hAnsi="Palatino Linotype"/>
          <w:b/>
          <w:sz w:val="24"/>
          <w:szCs w:val="24"/>
        </w:rPr>
      </w:pPr>
      <w:r w:rsidRPr="00680FA4">
        <w:rPr>
          <w:rFonts w:ascii="Palatino Linotype" w:hAnsi="Palatino Linotype" w:cs="Arial"/>
          <w:sz w:val="24"/>
          <w:szCs w:val="24"/>
        </w:rPr>
        <w:t xml:space="preserve">Luego entonces, </w:t>
      </w:r>
      <w:r w:rsidRPr="00680FA4">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680FA4">
        <w:rPr>
          <w:rFonts w:ascii="Palatino Linotype" w:hAnsi="Palatino Linotype"/>
          <w:b/>
          <w:i/>
          <w:sz w:val="24"/>
          <w:szCs w:val="24"/>
        </w:rPr>
        <w:t xml:space="preserve">“prueba de daño”, </w:t>
      </w:r>
      <w:r w:rsidRPr="00680FA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680FA4">
        <w:rPr>
          <w:sz w:val="24"/>
          <w:szCs w:val="24"/>
          <w:vertAlign w:val="superscript"/>
        </w:rPr>
        <w:footnoteReference w:id="3"/>
      </w:r>
      <w:r w:rsidRPr="00680FA4">
        <w:rPr>
          <w:rFonts w:ascii="Palatino Linotype" w:hAnsi="Palatino Linotype"/>
          <w:sz w:val="24"/>
          <w:szCs w:val="24"/>
        </w:rPr>
        <w:t>. Asimismo, ésta no debe basarse en meras especulaciones o suposiciones, sino en elementos objetivos que deban evaluar que existe un riego actual e inminente</w:t>
      </w:r>
      <w:r w:rsidRPr="00680FA4">
        <w:rPr>
          <w:sz w:val="24"/>
          <w:szCs w:val="24"/>
          <w:vertAlign w:val="superscript"/>
        </w:rPr>
        <w:footnoteReference w:id="4"/>
      </w:r>
      <w:r w:rsidRPr="00680FA4">
        <w:rPr>
          <w:rFonts w:ascii="Palatino Linotype" w:hAnsi="Palatino Linotype"/>
          <w:sz w:val="24"/>
          <w:szCs w:val="24"/>
        </w:rPr>
        <w:t>.</w:t>
      </w:r>
    </w:p>
    <w:p w14:paraId="2A1B3EDC" w14:textId="77777777" w:rsidR="000747CA" w:rsidRPr="00680FA4" w:rsidRDefault="000747CA" w:rsidP="000747CA">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w:t>
      </w:r>
      <w:r w:rsidRPr="00680FA4">
        <w:rPr>
          <w:rFonts w:ascii="Palatino Linotype" w:hAnsi="Palatino Linotype"/>
          <w:color w:val="000000" w:themeColor="text1"/>
          <w:sz w:val="24"/>
          <w:szCs w:val="24"/>
        </w:rPr>
        <w:lastRenderedPageBreak/>
        <w:t xml:space="preserve">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680FA4">
        <w:rPr>
          <w:rFonts w:ascii="Palatino Linotype" w:hAnsi="Palatino Linotype"/>
          <w:b/>
          <w:color w:val="000000" w:themeColor="text1"/>
          <w:sz w:val="24"/>
          <w:szCs w:val="24"/>
          <w:u w:val="single"/>
        </w:rPr>
        <w:t>sino de cada uno de los documentos que lo integran</w:t>
      </w:r>
      <w:r w:rsidRPr="00680FA4">
        <w:rPr>
          <w:rFonts w:ascii="Palatino Linotype" w:hAnsi="Palatino Linotype"/>
          <w:color w:val="000000" w:themeColor="text1"/>
          <w:sz w:val="24"/>
          <w:szCs w:val="24"/>
        </w:rPr>
        <w:t>.</w:t>
      </w:r>
    </w:p>
    <w:p w14:paraId="7247573C" w14:textId="77777777" w:rsidR="000747CA" w:rsidRPr="00680FA4" w:rsidRDefault="000747CA" w:rsidP="000747CA">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35EA866B" w14:textId="77777777" w:rsidR="000747CA" w:rsidRPr="00680FA4" w:rsidRDefault="000747CA" w:rsidP="00074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 </w:t>
      </w:r>
      <w:r w:rsidRPr="00680FA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013386D3" w14:textId="77777777" w:rsidR="000747CA" w:rsidRPr="00680FA4" w:rsidRDefault="000747CA" w:rsidP="00074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 </w:t>
      </w:r>
      <w:r w:rsidRPr="00680FA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30C7F8DC" w14:textId="77777777" w:rsidR="000747CA" w:rsidRPr="00680FA4" w:rsidRDefault="000747CA" w:rsidP="00074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III. </w:t>
      </w:r>
      <w:r w:rsidRPr="00680FA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02A2F036" w14:textId="77777777" w:rsidR="000747CA" w:rsidRPr="00680FA4" w:rsidRDefault="000747CA" w:rsidP="000747CA">
      <w:pPr>
        <w:spacing w:line="360" w:lineRule="auto"/>
        <w:jc w:val="both"/>
        <w:rPr>
          <w:rFonts w:ascii="Palatino Linotype" w:hAnsi="Palatino Linotype"/>
          <w:color w:val="000000" w:themeColor="text1"/>
          <w:sz w:val="24"/>
          <w:szCs w:val="24"/>
        </w:rPr>
      </w:pPr>
    </w:p>
    <w:p w14:paraId="3FE5EFE4" w14:textId="77777777" w:rsidR="000747CA" w:rsidRPr="00680FA4" w:rsidRDefault="000747CA" w:rsidP="000747CA">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680FA4">
        <w:rPr>
          <w:rFonts w:ascii="Palatino Linotype" w:hAnsi="Palatino Linotype"/>
          <w:color w:val="000000" w:themeColor="text1"/>
          <w:sz w:val="24"/>
          <w:szCs w:val="24"/>
        </w:rPr>
        <w:lastRenderedPageBreak/>
        <w:t>partir de proporcionar datos necesarios para reconocer el daño, perjuicio o lesión que provocaría a un interés público o a la seguridad pública.</w:t>
      </w:r>
    </w:p>
    <w:p w14:paraId="7330DCB9" w14:textId="77777777" w:rsidR="000747CA" w:rsidRPr="00680FA4" w:rsidRDefault="000747CA" w:rsidP="000747CA">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3490AB08" w14:textId="77777777" w:rsidR="000747CA" w:rsidRPr="00680FA4" w:rsidRDefault="000747CA" w:rsidP="000747CA">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680FA4">
        <w:rPr>
          <w:rStyle w:val="Refdenotaalpie"/>
          <w:rFonts w:ascii="Palatino Linotype" w:hAnsi="Palatino Linotype"/>
          <w:color w:val="000000" w:themeColor="text1"/>
        </w:rPr>
        <w:footnoteReference w:id="5"/>
      </w:r>
      <w:r w:rsidRPr="00680FA4">
        <w:rPr>
          <w:rFonts w:ascii="Palatino Linotype" w:hAnsi="Palatino Linotype"/>
          <w:color w:val="000000" w:themeColor="text1"/>
          <w:sz w:val="24"/>
          <w:szCs w:val="24"/>
        </w:rPr>
        <w:t>, siguiendo el principio de ponderación propuesto por el Tribunal Constitucional Alemán,</w:t>
      </w:r>
      <w:r w:rsidRPr="00680FA4">
        <w:rPr>
          <w:rStyle w:val="Refdenotaalpie"/>
          <w:rFonts w:ascii="Palatino Linotype" w:hAnsi="Palatino Linotype"/>
          <w:color w:val="000000" w:themeColor="text1"/>
        </w:rPr>
        <w:footnoteReference w:id="6"/>
      </w:r>
      <w:r w:rsidRPr="00680FA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CFE1545" w14:textId="77777777" w:rsidR="000747CA" w:rsidRPr="00680FA4" w:rsidRDefault="000747CA" w:rsidP="000747CA">
      <w:pPr>
        <w:spacing w:line="360" w:lineRule="auto"/>
        <w:jc w:val="both"/>
        <w:rPr>
          <w:rFonts w:ascii="Palatino Linotype" w:hAnsi="Palatino Linotype"/>
          <w:sz w:val="24"/>
          <w:szCs w:val="24"/>
          <w:lang w:val="es-ES"/>
        </w:rPr>
      </w:pPr>
      <w:r w:rsidRPr="00680FA4">
        <w:rPr>
          <w:rFonts w:ascii="Palatino Linotype" w:hAnsi="Palatino Linotype"/>
          <w:color w:val="000000" w:themeColor="text1"/>
          <w:sz w:val="24"/>
          <w:szCs w:val="24"/>
        </w:rPr>
        <w:lastRenderedPageBreak/>
        <w:t xml:space="preserve">Es así, que al configurarse tales requisitos, se otorga certidumbre jurídica y se protege la esfera más íntima del derecho humano constitucional y convencionalmente reconocido. </w:t>
      </w:r>
    </w:p>
    <w:p w14:paraId="2A82B6DC" w14:textId="77777777" w:rsidR="000747CA" w:rsidRPr="00680FA4" w:rsidRDefault="000747CA" w:rsidP="000747CA">
      <w:pPr>
        <w:spacing w:before="240" w:line="360" w:lineRule="auto"/>
        <w:jc w:val="both"/>
        <w:rPr>
          <w:rFonts w:ascii="Palatino Linotype" w:hAnsi="Palatino Linotype"/>
          <w:sz w:val="24"/>
          <w:szCs w:val="24"/>
        </w:rPr>
      </w:pPr>
      <w:r w:rsidRPr="00680FA4">
        <w:rPr>
          <w:rFonts w:ascii="Palatino Linotype" w:hAnsi="Palatino Linotype"/>
          <w:sz w:val="24"/>
          <w:szCs w:val="24"/>
        </w:rPr>
        <w:t>En virtud de lo anterior, se desprende que los Acuerdos de Reserva deberán de cumplir los siguientes parámetros de forma y fondo:</w:t>
      </w:r>
    </w:p>
    <w:p w14:paraId="73ADD1A3" w14:textId="77777777" w:rsidR="000747CA" w:rsidRPr="00680FA4" w:rsidRDefault="000747CA" w:rsidP="000747CA">
      <w:pPr>
        <w:pStyle w:val="Prrafodelista"/>
        <w:numPr>
          <w:ilvl w:val="0"/>
          <w:numId w:val="43"/>
        </w:numPr>
        <w:spacing w:before="240" w:line="360" w:lineRule="auto"/>
        <w:jc w:val="both"/>
        <w:rPr>
          <w:rFonts w:ascii="Palatino Linotype" w:hAnsi="Palatino Linotype"/>
        </w:rPr>
      </w:pPr>
      <w:r w:rsidRPr="00680FA4">
        <w:rPr>
          <w:rFonts w:ascii="Palatino Linotype" w:hAnsi="Palatino Linotype"/>
        </w:rPr>
        <w:t>Número de folio de la solicitud</w:t>
      </w:r>
    </w:p>
    <w:p w14:paraId="6E505180" w14:textId="77777777" w:rsidR="000747CA" w:rsidRPr="00680FA4" w:rsidRDefault="000747CA" w:rsidP="000747CA">
      <w:pPr>
        <w:pStyle w:val="Prrafodelista"/>
        <w:numPr>
          <w:ilvl w:val="0"/>
          <w:numId w:val="43"/>
        </w:numPr>
        <w:spacing w:before="240" w:line="360" w:lineRule="auto"/>
        <w:jc w:val="both"/>
        <w:rPr>
          <w:rFonts w:ascii="Palatino Linotype" w:hAnsi="Palatino Linotype"/>
        </w:rPr>
      </w:pPr>
      <w:r w:rsidRPr="00680FA4">
        <w:rPr>
          <w:rFonts w:ascii="Palatino Linotype" w:hAnsi="Palatino Linotype"/>
        </w:rPr>
        <w:t>Referencia a la información solicitada</w:t>
      </w:r>
    </w:p>
    <w:p w14:paraId="1A537BEF"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0FC650FA"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Fundamento y motivación legal</w:t>
      </w:r>
    </w:p>
    <w:p w14:paraId="461D2F6E"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Conexión entre los fundamentos y motivos que dieron origen a la reserva de la información</w:t>
      </w:r>
    </w:p>
    <w:p w14:paraId="68B17A08" w14:textId="77777777" w:rsidR="000747CA" w:rsidRPr="00680FA4" w:rsidRDefault="000747CA" w:rsidP="000747CA">
      <w:pPr>
        <w:spacing w:before="240" w:line="360" w:lineRule="auto"/>
        <w:jc w:val="both"/>
        <w:rPr>
          <w:rFonts w:ascii="Palatino Linotype" w:hAnsi="Palatino Linotype"/>
          <w:b/>
          <w:sz w:val="24"/>
          <w:szCs w:val="24"/>
        </w:rPr>
      </w:pPr>
      <w:r w:rsidRPr="00680FA4">
        <w:rPr>
          <w:rFonts w:ascii="Palatino Linotype" w:hAnsi="Palatino Linotype"/>
          <w:b/>
          <w:sz w:val="24"/>
          <w:szCs w:val="24"/>
        </w:rPr>
        <w:t xml:space="preserve">Prueba de daño </w:t>
      </w:r>
    </w:p>
    <w:p w14:paraId="7BA37465"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Riesgo real, demostrable e identificable (modo, tiempo y lugar)</w:t>
      </w:r>
    </w:p>
    <w:p w14:paraId="48B551AF"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Temporalidad de la reserva de la información</w:t>
      </w:r>
    </w:p>
    <w:p w14:paraId="6F0B7E50" w14:textId="77777777" w:rsidR="000747CA" w:rsidRPr="00680FA4" w:rsidRDefault="000747CA" w:rsidP="000747CA">
      <w:pPr>
        <w:pStyle w:val="Prrafodelista"/>
        <w:numPr>
          <w:ilvl w:val="0"/>
          <w:numId w:val="43"/>
        </w:numPr>
        <w:spacing w:before="240" w:line="360" w:lineRule="auto"/>
        <w:jc w:val="both"/>
        <w:rPr>
          <w:rFonts w:ascii="Palatino Linotype" w:hAnsi="Palatino Linotype"/>
          <w:bCs/>
        </w:rPr>
      </w:pPr>
      <w:r w:rsidRPr="00680FA4">
        <w:rPr>
          <w:rFonts w:ascii="Palatino Linotype" w:hAnsi="Palatino Linotype"/>
          <w:bCs/>
        </w:rPr>
        <w:t xml:space="preserve">Autoridades competentes </w:t>
      </w:r>
    </w:p>
    <w:p w14:paraId="550D0D50" w14:textId="77777777" w:rsidR="000747CA" w:rsidRPr="00680FA4" w:rsidRDefault="000747CA" w:rsidP="000747CA">
      <w:pPr>
        <w:spacing w:before="240" w:line="360" w:lineRule="auto"/>
        <w:jc w:val="both"/>
        <w:rPr>
          <w:rFonts w:ascii="Palatino Linotype" w:hAnsi="Palatino Linotype"/>
          <w:sz w:val="24"/>
          <w:szCs w:val="24"/>
        </w:rPr>
      </w:pPr>
      <w:r w:rsidRPr="00680FA4">
        <w:rPr>
          <w:rFonts w:ascii="Palatino Linotype" w:hAnsi="Palatino Linotype"/>
          <w:sz w:val="24"/>
          <w:szCs w:val="24"/>
        </w:rPr>
        <w:lastRenderedPageBreak/>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70C487BB" w14:textId="77777777" w:rsidR="000747CA" w:rsidRPr="00680FA4" w:rsidRDefault="000747CA" w:rsidP="000747CA">
      <w:pPr>
        <w:pStyle w:val="Citas"/>
        <w:jc w:val="center"/>
        <w:rPr>
          <w:b/>
        </w:rPr>
      </w:pPr>
      <w:r w:rsidRPr="00680FA4">
        <w:rPr>
          <w:b/>
        </w:rPr>
        <w:t xml:space="preserve">Ley de Transparencia y Acceso a la Información Pública del Estado de México y Municipios </w:t>
      </w:r>
    </w:p>
    <w:p w14:paraId="3E9810B0" w14:textId="77777777" w:rsidR="000747CA" w:rsidRPr="00680FA4" w:rsidRDefault="000747CA" w:rsidP="000747CA">
      <w:pPr>
        <w:pStyle w:val="Citas"/>
      </w:pPr>
      <w:r w:rsidRPr="00680FA4">
        <w:t xml:space="preserve">“Artículo 140. El acceso a la información pública será restringido excepcionalmente, cuando por razones de interés público, ésta sea clasificada como reservada, conforme a los criterios siguientes: </w:t>
      </w:r>
    </w:p>
    <w:p w14:paraId="6AC4FE3C" w14:textId="77777777" w:rsidR="000747CA" w:rsidRPr="00CF5726" w:rsidRDefault="000747CA" w:rsidP="000747CA">
      <w:pPr>
        <w:pStyle w:val="Citas"/>
        <w:rPr>
          <w:b/>
          <w:u w:val="single"/>
        </w:rPr>
      </w:pPr>
      <w:r w:rsidRPr="00CF5726">
        <w:rPr>
          <w:b/>
          <w:u w:val="single"/>
        </w:rPr>
        <w:t xml:space="preserve">I. Comprometa la seguridad pública y cuente con un propósito genuino y un efecto demostrable; </w:t>
      </w:r>
    </w:p>
    <w:p w14:paraId="225A3CE2" w14:textId="77777777" w:rsidR="000747CA" w:rsidRPr="00CF5726" w:rsidRDefault="000747CA" w:rsidP="000747CA">
      <w:pPr>
        <w:pStyle w:val="Citas"/>
      </w:pPr>
      <w:r w:rsidRPr="00CF5726">
        <w:t xml:space="preserve">II. Pueda menoscabar la conducción de las negociaciones y relaciones internacionales; </w:t>
      </w:r>
    </w:p>
    <w:p w14:paraId="7ADE71F4" w14:textId="77777777" w:rsidR="000747CA" w:rsidRPr="00CF5726" w:rsidRDefault="000747CA" w:rsidP="000747CA">
      <w:pPr>
        <w:pStyle w:val="Citas"/>
      </w:pPr>
      <w:r w:rsidRPr="00CF5726">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2C6A543" w14:textId="77777777" w:rsidR="000747CA" w:rsidRPr="00CF5726" w:rsidRDefault="000747CA" w:rsidP="000747CA">
      <w:pPr>
        <w:pStyle w:val="Citas"/>
        <w:rPr>
          <w:b/>
          <w:u w:val="single"/>
        </w:rPr>
      </w:pPr>
      <w:r w:rsidRPr="00CF5726">
        <w:rPr>
          <w:b/>
          <w:u w:val="single"/>
        </w:rPr>
        <w:t xml:space="preserve">IV. Ponga en riesgo la vida, la seguridad o la salud de una persona física; </w:t>
      </w:r>
    </w:p>
    <w:p w14:paraId="59BECC7C" w14:textId="77777777" w:rsidR="000747CA" w:rsidRPr="00CF5726" w:rsidRDefault="000747CA" w:rsidP="000747CA">
      <w:pPr>
        <w:pStyle w:val="Citas"/>
        <w:rPr>
          <w:b/>
          <w:bCs/>
          <w:u w:val="single"/>
        </w:rPr>
      </w:pPr>
      <w:r w:rsidRPr="00CF5726">
        <w:rPr>
          <w:b/>
          <w:bCs/>
          <w:u w:val="single"/>
        </w:rPr>
        <w:t xml:space="preserve">V. Aquella cuya divulgación obstruya o pueda causar un serio perjuicio a: </w:t>
      </w:r>
    </w:p>
    <w:p w14:paraId="07B7A663" w14:textId="77777777" w:rsidR="000747CA" w:rsidRPr="00CF5726" w:rsidRDefault="000747CA" w:rsidP="000747CA">
      <w:pPr>
        <w:pStyle w:val="Citas"/>
      </w:pPr>
      <w:r w:rsidRPr="00CF5726">
        <w:lastRenderedPageBreak/>
        <w:t xml:space="preserve">1. Las actividades de fiscalización, verificación, inspección, comprobación y auditoría sobre el cumplimiento de las Leyes; o </w:t>
      </w:r>
    </w:p>
    <w:p w14:paraId="2B76E8AD" w14:textId="77777777" w:rsidR="000747CA" w:rsidRPr="000E4A8B" w:rsidRDefault="000747CA" w:rsidP="000747CA">
      <w:pPr>
        <w:pStyle w:val="Citas"/>
        <w:rPr>
          <w:b/>
          <w:bCs/>
          <w:u w:val="single"/>
        </w:rPr>
      </w:pPr>
      <w:r w:rsidRPr="00CF5726">
        <w:rPr>
          <w:b/>
          <w:bCs/>
          <w:u w:val="single"/>
        </w:rPr>
        <w:t>2. La recaudación de las contribuciones.</w:t>
      </w:r>
      <w:r w:rsidRPr="000E4A8B">
        <w:rPr>
          <w:b/>
          <w:bCs/>
          <w:u w:val="single"/>
        </w:rPr>
        <w:t xml:space="preserve"> </w:t>
      </w:r>
    </w:p>
    <w:p w14:paraId="0BC8FDFB" w14:textId="77777777" w:rsidR="000747CA" w:rsidRPr="00680FA4" w:rsidRDefault="000747CA" w:rsidP="000747CA">
      <w:pPr>
        <w:pStyle w:val="Citas"/>
      </w:pPr>
      <w:r w:rsidRPr="00680FA4">
        <w:rPr>
          <w:bCs/>
        </w:rPr>
        <w:t>VI. Pueda causar daño u obstruya la prevención o persecución de los delitos,</w:t>
      </w:r>
      <w:r w:rsidRPr="00680FA4">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8C44473" w14:textId="77777777" w:rsidR="000747CA" w:rsidRPr="00680FA4" w:rsidRDefault="000747CA" w:rsidP="000747CA">
      <w:pPr>
        <w:pStyle w:val="Citas"/>
      </w:pPr>
      <w:r w:rsidRPr="00680FA4">
        <w:t xml:space="preserve">VII. La que contengan las opiniones, recomendaciones o puntos de vista que formen parte del proceso deliberativo de los servidores públicos, hasta en tanto sea adoptada la decisión definitiva, la cual deberá estar documentada; </w:t>
      </w:r>
    </w:p>
    <w:p w14:paraId="5C82C771" w14:textId="77777777" w:rsidR="000747CA" w:rsidRPr="00680FA4" w:rsidRDefault="000747CA" w:rsidP="000747CA">
      <w:pPr>
        <w:pStyle w:val="Citas"/>
      </w:pPr>
      <w:r w:rsidRPr="00680FA4">
        <w:t xml:space="preserve">VIII. Vulnere la conducción de los expedientes judiciales o de los procedimientos administrativos seguidos en forma de juicio, en tanto no hayan quedado firmes; </w:t>
      </w:r>
    </w:p>
    <w:p w14:paraId="202A27D3" w14:textId="77777777" w:rsidR="000747CA" w:rsidRPr="00680FA4" w:rsidRDefault="000747CA" w:rsidP="000747CA">
      <w:pPr>
        <w:pStyle w:val="Citas"/>
      </w:pPr>
      <w:r w:rsidRPr="00680FA4">
        <w:t xml:space="preserve">IX. Se encuentre contenida dentro de las investigaciones de hechos que la Ley señale como delitos y se tramiten ante el Ministerio Público; </w:t>
      </w:r>
    </w:p>
    <w:p w14:paraId="0C46811A" w14:textId="77777777" w:rsidR="000747CA" w:rsidRPr="00680FA4" w:rsidRDefault="000747CA" w:rsidP="000747CA">
      <w:pPr>
        <w:pStyle w:val="Citas"/>
      </w:pPr>
      <w:r w:rsidRPr="00680FA4">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7D385CF" w14:textId="77777777" w:rsidR="000747CA" w:rsidRPr="00680FA4" w:rsidRDefault="000747CA" w:rsidP="000747CA">
      <w:pPr>
        <w:pStyle w:val="Citas"/>
      </w:pPr>
      <w:r w:rsidRPr="00680FA4">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8C114FD" w14:textId="77777777" w:rsidR="000747CA" w:rsidRPr="00680FA4" w:rsidRDefault="000747CA" w:rsidP="000747CA">
      <w:pPr>
        <w:pStyle w:val="Citas"/>
        <w:rPr>
          <w:bCs/>
          <w:sz w:val="24"/>
          <w:szCs w:val="24"/>
        </w:rPr>
      </w:pPr>
      <w:r w:rsidRPr="00680FA4">
        <w:rPr>
          <w:bCs/>
        </w:rPr>
        <w:t xml:space="preserve">XI. Las que por disposición expresa de una ley tengan tal carácter, siempre que sean acordes con las bases, principios y disposiciones establecidos en esta Ley y no la contravengan; así como las previstas en tratados internacionales.” </w:t>
      </w:r>
      <w:r w:rsidRPr="00FE2E9B">
        <w:rPr>
          <w:b/>
        </w:rPr>
        <w:t>(Sic)</w:t>
      </w:r>
    </w:p>
    <w:p w14:paraId="59937946" w14:textId="024F0FFF" w:rsidR="00114B7C" w:rsidRDefault="00114B7C" w:rsidP="003A4076">
      <w:pPr>
        <w:pStyle w:val="Citas"/>
        <w:ind w:left="0" w:right="0"/>
        <w:rPr>
          <w:i w:val="0"/>
          <w:sz w:val="24"/>
          <w:szCs w:val="24"/>
        </w:rPr>
      </w:pPr>
    </w:p>
    <w:p w14:paraId="5DEDACA1" w14:textId="017753EF" w:rsidR="00114B7C" w:rsidRDefault="000747CA" w:rsidP="003A4076">
      <w:pPr>
        <w:pStyle w:val="Citas"/>
        <w:ind w:left="0" w:right="0"/>
        <w:rPr>
          <w:i w:val="0"/>
          <w:iCs/>
          <w:sz w:val="24"/>
          <w:szCs w:val="24"/>
        </w:rPr>
      </w:pPr>
      <w:r w:rsidRPr="000747CA">
        <w:rPr>
          <w:i w:val="0"/>
          <w:iCs/>
          <w:sz w:val="24"/>
          <w:szCs w:val="24"/>
        </w:rPr>
        <w:t>En virtud de lo anterior,</w:t>
      </w:r>
      <w:r>
        <w:rPr>
          <w:i w:val="0"/>
          <w:iCs/>
          <w:sz w:val="24"/>
          <w:szCs w:val="24"/>
        </w:rPr>
        <w:t xml:space="preserve"> al tomar en consideración la naturaleza de la información requerida mediante el numeral </w:t>
      </w:r>
      <w:r>
        <w:rPr>
          <w:b/>
          <w:bCs/>
          <w:i w:val="0"/>
          <w:iCs/>
          <w:sz w:val="24"/>
          <w:szCs w:val="24"/>
        </w:rPr>
        <w:t xml:space="preserve">2 -dos-, </w:t>
      </w:r>
      <w:r>
        <w:rPr>
          <w:i w:val="0"/>
          <w:iCs/>
          <w:sz w:val="24"/>
          <w:szCs w:val="24"/>
        </w:rPr>
        <w:t>se advierte que es susceptible de actualizar la</w:t>
      </w:r>
      <w:r w:rsidR="00CF5726">
        <w:rPr>
          <w:i w:val="0"/>
          <w:iCs/>
          <w:sz w:val="24"/>
          <w:szCs w:val="24"/>
        </w:rPr>
        <w:t>s</w:t>
      </w:r>
      <w:r>
        <w:rPr>
          <w:i w:val="0"/>
          <w:iCs/>
          <w:sz w:val="24"/>
          <w:szCs w:val="24"/>
        </w:rPr>
        <w:t xml:space="preserve"> causal</w:t>
      </w:r>
      <w:r w:rsidR="00CF5726">
        <w:rPr>
          <w:i w:val="0"/>
          <w:iCs/>
          <w:sz w:val="24"/>
          <w:szCs w:val="24"/>
        </w:rPr>
        <w:t>es</w:t>
      </w:r>
      <w:r>
        <w:rPr>
          <w:i w:val="0"/>
          <w:iCs/>
          <w:sz w:val="24"/>
          <w:szCs w:val="24"/>
        </w:rPr>
        <w:t xml:space="preserve"> de reserva inmersa</w:t>
      </w:r>
      <w:r w:rsidR="00CF5726">
        <w:rPr>
          <w:i w:val="0"/>
          <w:iCs/>
          <w:sz w:val="24"/>
          <w:szCs w:val="24"/>
        </w:rPr>
        <w:t>s</w:t>
      </w:r>
      <w:r>
        <w:rPr>
          <w:i w:val="0"/>
          <w:iCs/>
          <w:sz w:val="24"/>
          <w:szCs w:val="24"/>
        </w:rPr>
        <w:t xml:space="preserve"> en el artículo 140, </w:t>
      </w:r>
      <w:r w:rsidR="000E4A8B" w:rsidRPr="00215455">
        <w:rPr>
          <w:i w:val="0"/>
          <w:iCs/>
          <w:sz w:val="24"/>
          <w:szCs w:val="24"/>
        </w:rPr>
        <w:t>fracciones I, IV y V</w:t>
      </w:r>
      <w:r w:rsidRPr="00215455">
        <w:rPr>
          <w:i w:val="0"/>
          <w:iCs/>
          <w:sz w:val="24"/>
          <w:szCs w:val="24"/>
        </w:rPr>
        <w:t xml:space="preserve"> de la Ley</w:t>
      </w:r>
      <w:r>
        <w:rPr>
          <w:i w:val="0"/>
          <w:iCs/>
          <w:sz w:val="24"/>
          <w:szCs w:val="24"/>
        </w:rPr>
        <w:t xml:space="preserve"> de Transparencia local, resultando procedente ordenar la entrega de lo siguiente:</w:t>
      </w:r>
    </w:p>
    <w:p w14:paraId="0A774788" w14:textId="341F52C6" w:rsidR="000747CA" w:rsidRPr="000747CA" w:rsidRDefault="000747CA" w:rsidP="000747CA">
      <w:pPr>
        <w:pStyle w:val="Citas"/>
        <w:numPr>
          <w:ilvl w:val="0"/>
          <w:numId w:val="44"/>
        </w:numPr>
        <w:ind w:right="0"/>
        <w:rPr>
          <w:i w:val="0"/>
          <w:iCs/>
          <w:sz w:val="24"/>
          <w:szCs w:val="24"/>
        </w:rPr>
      </w:pPr>
      <w:r>
        <w:rPr>
          <w:i w:val="0"/>
          <w:iCs/>
          <w:sz w:val="24"/>
          <w:szCs w:val="24"/>
        </w:rPr>
        <w:t xml:space="preserve">Acuerdo que emita el Comité de Transparencia por el cual se clasifiquen como reservados los diseños de proyectos </w:t>
      </w:r>
      <w:r w:rsidR="00106014">
        <w:rPr>
          <w:i w:val="0"/>
          <w:iCs/>
          <w:sz w:val="24"/>
          <w:szCs w:val="24"/>
        </w:rPr>
        <w:t>iniciales referidos</w:t>
      </w:r>
      <w:r>
        <w:rPr>
          <w:i w:val="0"/>
          <w:iCs/>
          <w:sz w:val="24"/>
          <w:szCs w:val="24"/>
        </w:rPr>
        <w:t xml:space="preserve"> mediante informe justificado. </w:t>
      </w:r>
    </w:p>
    <w:p w14:paraId="7DC1AC68" w14:textId="77777777" w:rsidR="00CE1D64" w:rsidRDefault="00CE1D64" w:rsidP="000747CA">
      <w:pPr>
        <w:tabs>
          <w:tab w:val="left" w:pos="709"/>
        </w:tabs>
        <w:spacing w:before="240" w:line="360" w:lineRule="auto"/>
        <w:ind w:right="51"/>
        <w:jc w:val="both"/>
        <w:rPr>
          <w:rFonts w:ascii="Palatino Linotype" w:hAnsi="Palatino Linotype"/>
          <w:iCs/>
          <w:sz w:val="24"/>
          <w:szCs w:val="24"/>
        </w:rPr>
      </w:pPr>
    </w:p>
    <w:p w14:paraId="246A022B" w14:textId="57589E67" w:rsidR="000747CA" w:rsidRPr="00D5257A" w:rsidRDefault="000747CA" w:rsidP="000747C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00265/CAEM/IP/2022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1E1F5BA" w14:textId="30B73BC4" w:rsidR="000747CA" w:rsidRDefault="000747CA" w:rsidP="000747CA">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14:paraId="0760ACF3" w14:textId="0A000D91" w:rsidR="000747CA" w:rsidRDefault="000747CA" w:rsidP="000747CA">
      <w:pPr>
        <w:spacing w:after="0" w:line="360" w:lineRule="auto"/>
        <w:jc w:val="both"/>
        <w:rPr>
          <w:rFonts w:ascii="Palatino Linotype" w:hAnsi="Palatino Linotype" w:cs="Arial"/>
          <w:noProof/>
          <w:color w:val="000000"/>
          <w:sz w:val="24"/>
          <w:lang w:eastAsia="es-MX"/>
        </w:rPr>
      </w:pPr>
    </w:p>
    <w:p w14:paraId="299A177C" w14:textId="77777777" w:rsidR="000747CA" w:rsidRPr="00D05C83" w:rsidRDefault="000747CA" w:rsidP="000747C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783BC54" w14:textId="5AC456C2" w:rsidR="000747CA" w:rsidRDefault="000747CA" w:rsidP="000747CA">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00265/CAEM/IP/2022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3DC928C" w14:textId="77777777" w:rsidR="000747CA" w:rsidRDefault="000747CA" w:rsidP="000747CA">
      <w:pPr>
        <w:spacing w:before="240" w:line="360" w:lineRule="auto"/>
        <w:jc w:val="both"/>
        <w:rPr>
          <w:rFonts w:ascii="Palatino Linotype" w:hAnsi="Palatino Linotype" w:cs="Arial"/>
          <w:sz w:val="24"/>
        </w:rPr>
      </w:pPr>
    </w:p>
    <w:p w14:paraId="2FEEC8E5" w14:textId="77777777" w:rsidR="000747CA" w:rsidRDefault="000747CA" w:rsidP="000747CA">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769DD054" w14:textId="6BE76EA3" w:rsidR="000747CA" w:rsidRDefault="000747CA" w:rsidP="000747CA">
      <w:pPr>
        <w:pStyle w:val="Sinespaciado"/>
        <w:numPr>
          <w:ilvl w:val="0"/>
          <w:numId w:val="45"/>
        </w:numPr>
        <w:spacing w:line="360" w:lineRule="auto"/>
        <w:jc w:val="both"/>
        <w:rPr>
          <w:rFonts w:ascii="Palatino Linotype" w:hAnsi="Palatino Linotype"/>
          <w:i/>
          <w:iCs/>
        </w:rPr>
      </w:pPr>
      <w:r>
        <w:rPr>
          <w:rFonts w:ascii="Palatino Linotype" w:hAnsi="Palatino Linotype"/>
          <w:i/>
          <w:iCs/>
        </w:rPr>
        <w:t xml:space="preserve">Acuerdo que emita el Comité de Transparencia por el cual se clasifiquen como reservados los </w:t>
      </w:r>
      <w:bookmarkStart w:id="0" w:name="_GoBack"/>
      <w:r>
        <w:rPr>
          <w:rFonts w:ascii="Palatino Linotype" w:hAnsi="Palatino Linotype"/>
          <w:i/>
          <w:iCs/>
        </w:rPr>
        <w:t xml:space="preserve">diseños de proyectos </w:t>
      </w:r>
      <w:r w:rsidR="00106014">
        <w:rPr>
          <w:rFonts w:ascii="Palatino Linotype" w:hAnsi="Palatino Linotype"/>
          <w:i/>
          <w:iCs/>
        </w:rPr>
        <w:t>iniciales referidos</w:t>
      </w:r>
      <w:r>
        <w:rPr>
          <w:rFonts w:ascii="Palatino Linotype" w:hAnsi="Palatino Linotype"/>
          <w:i/>
          <w:iCs/>
        </w:rPr>
        <w:t xml:space="preserve"> mediante informe justificado</w:t>
      </w:r>
      <w:bookmarkEnd w:id="0"/>
      <w:r>
        <w:rPr>
          <w:rFonts w:ascii="Palatino Linotype" w:hAnsi="Palatino Linotype"/>
          <w:i/>
          <w:iCs/>
        </w:rPr>
        <w:t xml:space="preserve">. </w:t>
      </w:r>
    </w:p>
    <w:p w14:paraId="1F4E303C" w14:textId="77777777" w:rsidR="000747CA" w:rsidRPr="00000006" w:rsidRDefault="000747CA" w:rsidP="000747CA">
      <w:pPr>
        <w:pStyle w:val="Prrafodelista"/>
        <w:spacing w:before="240" w:line="360" w:lineRule="auto"/>
        <w:ind w:left="782"/>
        <w:jc w:val="both"/>
        <w:rPr>
          <w:rFonts w:ascii="Palatino Linotype" w:hAnsi="Palatino Linotype" w:cs="Arial"/>
          <w:i/>
          <w:lang w:val="es-MX"/>
        </w:rPr>
      </w:pPr>
    </w:p>
    <w:p w14:paraId="159D423E" w14:textId="77777777" w:rsidR="000747CA" w:rsidRDefault="000747CA" w:rsidP="000747C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A045ABB" w14:textId="35E637C7" w:rsidR="000747CA" w:rsidRDefault="000747CA" w:rsidP="00074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F6AE2D" w14:textId="77777777" w:rsidR="00CE1D64" w:rsidRDefault="00CE1D64" w:rsidP="00074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31CD34" w14:textId="77777777" w:rsidR="000747CA" w:rsidRDefault="000747CA" w:rsidP="000747CA">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b/>
          <w:sz w:val="28"/>
          <w:szCs w:val="28"/>
        </w:rPr>
        <w:t>QUINTO</w:t>
      </w:r>
      <w:r w:rsidRPr="00593F5D">
        <w:rPr>
          <w:rFonts w:ascii="Palatino Linotype" w:hAnsi="Palatino Linotype"/>
          <w:b/>
          <w:sz w:val="24"/>
          <w:szCs w:val="24"/>
        </w:rPr>
        <w:t xml:space="preserve">.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al </w:t>
      </w:r>
      <w:r w:rsidRPr="00593F5D">
        <w:rPr>
          <w:rFonts w:ascii="Palatino Linotype" w:hAnsi="Palatino Linotype" w:cs="Arial"/>
          <w:b/>
          <w:sz w:val="24"/>
          <w:szCs w:val="24"/>
        </w:rPr>
        <w:t>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DEDEFE7" w14:textId="5ECB9C22" w:rsidR="004E4003" w:rsidRPr="00106014" w:rsidRDefault="000747CA" w:rsidP="000747CA">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106014">
        <w:rPr>
          <w:rFonts w:ascii="Palatino Linotype" w:hAnsi="Palatino Linotype" w:cs="Arial"/>
          <w:sz w:val="22"/>
          <w:szCs w:val="22"/>
        </w:rPr>
        <w:t>ASÍ LO ACORDÓ, POR UNANIMIDAD DE VOTOS, EL PLENO DEL</w:t>
      </w:r>
      <w:r w:rsidRPr="00106014">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106014">
        <w:rPr>
          <w:rFonts w:ascii="Palatino Linotype" w:hAnsi="Palatino Linotype" w:cs="Arial"/>
          <w:sz w:val="22"/>
          <w:szCs w:val="22"/>
        </w:rPr>
        <w:t>, CONFORMADO POR LOS COMISIONADOS JOSÉ MARTÍNEZ VILCHIS, MARÍA DEL ROSARIO MEJÍA AYALA, SHARON CRISTINA MORALES MARTÍNEZ, LUIS GUSTAVO PARRA NORIEGA</w:t>
      </w:r>
      <w:r w:rsidR="008A0F04">
        <w:rPr>
          <w:rFonts w:ascii="Palatino Linotype" w:hAnsi="Palatino Linotype" w:cs="Arial"/>
          <w:sz w:val="22"/>
          <w:szCs w:val="22"/>
        </w:rPr>
        <w:t xml:space="preserve"> (</w:t>
      </w:r>
      <w:r w:rsidR="00DB1192">
        <w:rPr>
          <w:rFonts w:ascii="Palatino Linotype" w:hAnsi="Palatino Linotype" w:cs="Arial"/>
          <w:sz w:val="22"/>
          <w:szCs w:val="22"/>
        </w:rPr>
        <w:t xml:space="preserve">EMITIENDO </w:t>
      </w:r>
      <w:r w:rsidR="008A0F04">
        <w:rPr>
          <w:rFonts w:ascii="Palatino Linotype" w:hAnsi="Palatino Linotype" w:cs="Arial"/>
          <w:sz w:val="22"/>
          <w:szCs w:val="22"/>
        </w:rPr>
        <w:t>VOTO PARTICULAR)</w:t>
      </w:r>
      <w:r w:rsidRPr="00106014">
        <w:rPr>
          <w:rFonts w:ascii="Palatino Linotype" w:hAnsi="Palatino Linotype" w:cs="Arial"/>
          <w:sz w:val="22"/>
          <w:szCs w:val="22"/>
        </w:rPr>
        <w:t xml:space="preserve"> Y GUADALUPE RAMÍREZ PEÑA; EN LA </w:t>
      </w:r>
      <w:r w:rsidR="009616D9" w:rsidRPr="00106014">
        <w:rPr>
          <w:rFonts w:ascii="Palatino Linotype" w:hAnsi="Palatino Linotype" w:cs="Arial"/>
          <w:sz w:val="22"/>
          <w:szCs w:val="22"/>
        </w:rPr>
        <w:t xml:space="preserve">DÉCIMA SEGUNDA SESIÓN ORDINARIA CELEBRADA EL VEINTINUEVE DE MARZO DE DOS MIL VEINTITRÉS, ANTE EL SECRETARIO TÉCNICO DEL PLENO, ALEXIS TAPIA RAMÍREZ. </w:t>
      </w:r>
    </w:p>
    <w:p w14:paraId="397ED7E7" w14:textId="090056C0" w:rsidR="000747CA" w:rsidRPr="00106014" w:rsidRDefault="000747CA" w:rsidP="000747CA">
      <w:pPr>
        <w:pStyle w:val="Citas"/>
        <w:ind w:left="0" w:right="0"/>
        <w:rPr>
          <w:bCs/>
          <w:i w:val="0"/>
          <w:iCs/>
          <w:sz w:val="20"/>
          <w:szCs w:val="20"/>
        </w:rPr>
      </w:pPr>
      <w:r w:rsidRPr="00106014">
        <w:rPr>
          <w:bCs/>
          <w:i w:val="0"/>
          <w:iCs/>
          <w:sz w:val="20"/>
          <w:szCs w:val="20"/>
        </w:rPr>
        <w:t>CCR/JCMA</w:t>
      </w:r>
    </w:p>
    <w:p w14:paraId="6D0CBD25" w14:textId="1CC11387" w:rsidR="001C3F8F" w:rsidRDefault="001C3F8F" w:rsidP="000747CA">
      <w:pPr>
        <w:pStyle w:val="Citas"/>
        <w:ind w:left="0" w:right="0"/>
        <w:rPr>
          <w:bCs/>
          <w:i w:val="0"/>
          <w:iCs/>
          <w:sz w:val="23"/>
          <w:szCs w:val="23"/>
        </w:rPr>
      </w:pPr>
    </w:p>
    <w:p w14:paraId="3616E8DA" w14:textId="27EFBFA0" w:rsidR="001C3F8F" w:rsidRDefault="001C3F8F" w:rsidP="000747CA">
      <w:pPr>
        <w:pStyle w:val="Citas"/>
        <w:ind w:left="0" w:right="0"/>
        <w:rPr>
          <w:bCs/>
          <w:i w:val="0"/>
          <w:iCs/>
          <w:sz w:val="23"/>
          <w:szCs w:val="23"/>
        </w:rPr>
      </w:pPr>
    </w:p>
    <w:p w14:paraId="33971B17" w14:textId="46F72383" w:rsidR="001C3F8F" w:rsidRDefault="001C3F8F" w:rsidP="000747CA">
      <w:pPr>
        <w:pStyle w:val="Citas"/>
        <w:ind w:left="0" w:right="0"/>
        <w:rPr>
          <w:bCs/>
          <w:i w:val="0"/>
          <w:iCs/>
          <w:sz w:val="23"/>
          <w:szCs w:val="23"/>
        </w:rPr>
      </w:pPr>
    </w:p>
    <w:p w14:paraId="121A307C" w14:textId="11C2BB00" w:rsidR="001C3F8F" w:rsidRDefault="001C3F8F" w:rsidP="000747CA">
      <w:pPr>
        <w:pStyle w:val="Citas"/>
        <w:ind w:left="0" w:right="0"/>
        <w:rPr>
          <w:bCs/>
          <w:i w:val="0"/>
          <w:iCs/>
          <w:sz w:val="23"/>
          <w:szCs w:val="23"/>
        </w:rPr>
      </w:pPr>
    </w:p>
    <w:p w14:paraId="768C9A15" w14:textId="0B00027B" w:rsidR="001C3F8F" w:rsidRDefault="001C3F8F" w:rsidP="000747CA">
      <w:pPr>
        <w:pStyle w:val="Citas"/>
        <w:ind w:left="0" w:right="0"/>
        <w:rPr>
          <w:bCs/>
          <w:i w:val="0"/>
          <w:iCs/>
          <w:sz w:val="23"/>
          <w:szCs w:val="23"/>
        </w:rPr>
      </w:pPr>
    </w:p>
    <w:p w14:paraId="1A6BDD10" w14:textId="77777777" w:rsidR="001C3F8F" w:rsidRDefault="001C3F8F" w:rsidP="000747CA">
      <w:pPr>
        <w:pStyle w:val="Citas"/>
        <w:ind w:left="0" w:right="0"/>
        <w:rPr>
          <w:bCs/>
          <w:i w:val="0"/>
          <w:iCs/>
          <w:sz w:val="23"/>
          <w:szCs w:val="23"/>
        </w:rPr>
      </w:pPr>
    </w:p>
    <w:p w14:paraId="3E27F014" w14:textId="1D3203F0" w:rsidR="000747CA" w:rsidRDefault="000747CA" w:rsidP="000747CA">
      <w:pPr>
        <w:pStyle w:val="Citas"/>
        <w:ind w:left="0" w:right="0"/>
        <w:rPr>
          <w:bCs/>
          <w:i w:val="0"/>
          <w:iCs/>
          <w:sz w:val="23"/>
          <w:szCs w:val="23"/>
        </w:rPr>
      </w:pPr>
    </w:p>
    <w:p w14:paraId="22CDCB68" w14:textId="77777777" w:rsidR="000747CA" w:rsidRPr="000747CA" w:rsidRDefault="000747CA" w:rsidP="000747CA">
      <w:pPr>
        <w:pStyle w:val="Citas"/>
        <w:ind w:left="0" w:right="0"/>
        <w:rPr>
          <w:i w:val="0"/>
          <w:iCs/>
          <w:sz w:val="23"/>
          <w:szCs w:val="23"/>
        </w:rPr>
      </w:pPr>
    </w:p>
    <w:sectPr w:rsidR="000747CA" w:rsidRPr="000747CA"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B0991" w14:textId="77777777" w:rsidR="00F4353E" w:rsidRDefault="00F4353E" w:rsidP="006168E4">
      <w:pPr>
        <w:spacing w:after="0" w:line="240" w:lineRule="auto"/>
      </w:pPr>
      <w:r>
        <w:separator/>
      </w:r>
    </w:p>
  </w:endnote>
  <w:endnote w:type="continuationSeparator" w:id="0">
    <w:p w14:paraId="77F75E11" w14:textId="77777777" w:rsidR="00F4353E" w:rsidRDefault="00F4353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2817">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2817">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28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2817">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D9128" w14:textId="77777777" w:rsidR="00F4353E" w:rsidRDefault="00F4353E" w:rsidP="006168E4">
      <w:pPr>
        <w:spacing w:after="0" w:line="240" w:lineRule="auto"/>
      </w:pPr>
      <w:r>
        <w:separator/>
      </w:r>
    </w:p>
  </w:footnote>
  <w:footnote w:type="continuationSeparator" w:id="0">
    <w:p w14:paraId="094B7D5F" w14:textId="77777777" w:rsidR="00F4353E" w:rsidRDefault="00F4353E" w:rsidP="006168E4">
      <w:pPr>
        <w:spacing w:after="0" w:line="240" w:lineRule="auto"/>
      </w:pPr>
      <w:r>
        <w:continuationSeparator/>
      </w:r>
    </w:p>
  </w:footnote>
  <w:footnote w:id="1">
    <w:p w14:paraId="34D94E9F" w14:textId="77777777" w:rsidR="00EE5878" w:rsidRPr="005552A8" w:rsidRDefault="00EE5878" w:rsidP="00EE58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9E868" w14:textId="77777777" w:rsidR="00EE5878" w:rsidRPr="005552A8" w:rsidRDefault="00EE5878" w:rsidP="00EE58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8D111E" w14:textId="77777777" w:rsidR="000E4A8B" w:rsidRPr="00937B36" w:rsidRDefault="000E4A8B" w:rsidP="000E4A8B">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3" w:history="1">
        <w:r w:rsidRPr="00937B36">
          <w:rPr>
            <w:rStyle w:val="Hipervnculo"/>
            <w:rFonts w:ascii="Palatino Linotype" w:hAnsi="Palatino Linotype"/>
            <w:i/>
            <w:iCs/>
            <w:sz w:val="16"/>
            <w:szCs w:val="16"/>
          </w:rPr>
          <w:t>https://www.who.int/mediacentre/news/releases/pr91/es/</w:t>
        </w:r>
      </w:hyperlink>
    </w:p>
  </w:footnote>
  <w:footnote w:id="3">
    <w:p w14:paraId="2E255433" w14:textId="77777777" w:rsidR="000747CA" w:rsidRDefault="000747CA" w:rsidP="000747CA">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14:paraId="691BE299" w14:textId="77777777" w:rsidR="000747CA" w:rsidRDefault="000747CA" w:rsidP="000747CA">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5">
    <w:p w14:paraId="6DD0EFA8" w14:textId="77777777" w:rsidR="000747CA" w:rsidRPr="00D75A73" w:rsidRDefault="000747CA" w:rsidP="000747CA">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val="es-ES_tradnl" w:eastAsia="es-ES_tradnl"/>
        </w:rPr>
        <w:t>tests</w:t>
      </w:r>
      <w:proofErr w:type="spellEnd"/>
      <w:r w:rsidRPr="00D75A73">
        <w:rPr>
          <w:rFonts w:ascii="Palatino Linotype" w:eastAsia="Times New Roman" w:hAnsi="Palatino Linotype" w:cs="Arial"/>
          <w:color w:val="000000" w:themeColor="text1"/>
          <w:sz w:val="16"/>
          <w:szCs w:val="16"/>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val="es-ES_tradnl" w:eastAsia="es-ES_tradnl"/>
        </w:rPr>
        <w:t>Lluy</w:t>
      </w:r>
      <w:proofErr w:type="spellEnd"/>
      <w:r w:rsidRPr="00D75A73">
        <w:rPr>
          <w:rFonts w:ascii="Palatino Linotype" w:eastAsia="Times New Roman" w:hAnsi="Palatino Linotype" w:cs="Arial"/>
          <w:color w:val="000000" w:themeColor="text1"/>
          <w:sz w:val="16"/>
          <w:szCs w:val="16"/>
          <w:lang w:val="es-ES_tradnl" w:eastAsia="es-ES_tradnl"/>
        </w:rPr>
        <w:t xml:space="preserve"> y otros contra Ecuador. Excepciones preliminares, fondo, reparaciones y costas. Sentencia del 01 de septiembre de 2015. Párr. 256.  </w:t>
      </w:r>
    </w:p>
  </w:footnote>
  <w:footnote w:id="6">
    <w:p w14:paraId="0386E557" w14:textId="77777777" w:rsidR="000747CA" w:rsidRPr="00D75A73" w:rsidRDefault="000747CA" w:rsidP="000747CA">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8F08628" w:rsidR="00E761C2" w:rsidRPr="00B4142F" w:rsidRDefault="0090326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16350</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B95AD47" w:rsidR="00E761C2" w:rsidRPr="00F06FED" w:rsidRDefault="0090326D" w:rsidP="0034605F">
          <w:pPr>
            <w:spacing w:after="120" w:line="256" w:lineRule="auto"/>
            <w:ind w:left="639" w:right="214"/>
            <w:jc w:val="both"/>
            <w:rPr>
              <w:rFonts w:ascii="Palatino Linotype" w:hAnsi="Palatino Linotype" w:cs="Arial"/>
            </w:rPr>
          </w:pPr>
          <w:r>
            <w:rPr>
              <w:rFonts w:ascii="Palatino Linotype" w:hAnsi="Palatino Linotype" w:cs="Arial"/>
            </w:rPr>
            <w:t xml:space="preserve">Comisión del Agua del Estado de México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8C4CA48" w:rsidR="00E761C2" w:rsidRPr="00B4142F" w:rsidRDefault="0090326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16350</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58C9614" w:rsidR="00E761C2" w:rsidRPr="00F06FED" w:rsidRDefault="00AE2817" w:rsidP="007A3BB5">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E107295" w:rsidR="00E761C2" w:rsidRDefault="0090326D"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Comisión del Agua del Estado de México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50"/>
    <w:multiLevelType w:val="hybridMultilevel"/>
    <w:tmpl w:val="034A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3DA"/>
    <w:multiLevelType w:val="hybridMultilevel"/>
    <w:tmpl w:val="86DE8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75A47"/>
    <w:multiLevelType w:val="hybridMultilevel"/>
    <w:tmpl w:val="22881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971321"/>
    <w:multiLevelType w:val="hybridMultilevel"/>
    <w:tmpl w:val="40542A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D5CDA"/>
    <w:multiLevelType w:val="hybridMultilevel"/>
    <w:tmpl w:val="BF78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97A65"/>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51479"/>
    <w:multiLevelType w:val="hybridMultilevel"/>
    <w:tmpl w:val="8BE8E816"/>
    <w:lvl w:ilvl="0" w:tplc="CA662144">
      <w:start w:val="4"/>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513FC"/>
    <w:multiLevelType w:val="hybridMultilevel"/>
    <w:tmpl w:val="A59A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47102C"/>
    <w:multiLevelType w:val="hybridMultilevel"/>
    <w:tmpl w:val="8BDAC3E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23DD1"/>
    <w:multiLevelType w:val="hybridMultilevel"/>
    <w:tmpl w:val="A45CF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20D20"/>
    <w:multiLevelType w:val="hybridMultilevel"/>
    <w:tmpl w:val="BF781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CE1FCA"/>
    <w:multiLevelType w:val="hybridMultilevel"/>
    <w:tmpl w:val="809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A03F0"/>
    <w:multiLevelType w:val="hybridMultilevel"/>
    <w:tmpl w:val="5DBC7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425EB3"/>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CF0063B"/>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C33DF"/>
    <w:multiLevelType w:val="hybridMultilevel"/>
    <w:tmpl w:val="7512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348635B"/>
    <w:multiLevelType w:val="hybridMultilevel"/>
    <w:tmpl w:val="33A6E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D6C46"/>
    <w:multiLevelType w:val="hybridMultilevel"/>
    <w:tmpl w:val="0FBE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B587E"/>
    <w:multiLevelType w:val="hybridMultilevel"/>
    <w:tmpl w:val="4D90E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9"/>
  </w:num>
  <w:num w:numId="3">
    <w:abstractNumId w:val="9"/>
  </w:num>
  <w:num w:numId="4">
    <w:abstractNumId w:val="22"/>
  </w:num>
  <w:num w:numId="5">
    <w:abstractNumId w:val="10"/>
  </w:num>
  <w:num w:numId="6">
    <w:abstractNumId w:val="27"/>
  </w:num>
  <w:num w:numId="7">
    <w:abstractNumId w:val="31"/>
  </w:num>
  <w:num w:numId="8">
    <w:abstractNumId w:val="12"/>
  </w:num>
  <w:num w:numId="9">
    <w:abstractNumId w:val="25"/>
  </w:num>
  <w:num w:numId="10">
    <w:abstractNumId w:val="36"/>
  </w:num>
  <w:num w:numId="11">
    <w:abstractNumId w:val="38"/>
  </w:num>
  <w:num w:numId="12">
    <w:abstractNumId w:val="14"/>
  </w:num>
  <w:num w:numId="13">
    <w:abstractNumId w:val="41"/>
  </w:num>
  <w:num w:numId="14">
    <w:abstractNumId w:val="24"/>
  </w:num>
  <w:num w:numId="15">
    <w:abstractNumId w:val="1"/>
  </w:num>
  <w:num w:numId="16">
    <w:abstractNumId w:val="46"/>
  </w:num>
  <w:num w:numId="17">
    <w:abstractNumId w:val="15"/>
  </w:num>
  <w:num w:numId="18">
    <w:abstractNumId w:val="33"/>
  </w:num>
  <w:num w:numId="19">
    <w:abstractNumId w:val="37"/>
  </w:num>
  <w:num w:numId="20">
    <w:abstractNumId w:val="28"/>
  </w:num>
  <w:num w:numId="21">
    <w:abstractNumId w:val="43"/>
  </w:num>
  <w:num w:numId="22">
    <w:abstractNumId w:val="0"/>
  </w:num>
  <w:num w:numId="23">
    <w:abstractNumId w:val="8"/>
  </w:num>
  <w:num w:numId="24">
    <w:abstractNumId w:val="34"/>
  </w:num>
  <w:num w:numId="25">
    <w:abstractNumId w:val="16"/>
  </w:num>
  <w:num w:numId="26">
    <w:abstractNumId w:val="4"/>
  </w:num>
  <w:num w:numId="27">
    <w:abstractNumId w:val="29"/>
  </w:num>
  <w:num w:numId="28">
    <w:abstractNumId w:val="23"/>
  </w:num>
  <w:num w:numId="29">
    <w:abstractNumId w:val="32"/>
  </w:num>
  <w:num w:numId="30">
    <w:abstractNumId w:val="3"/>
  </w:num>
  <w:num w:numId="31">
    <w:abstractNumId w:val="30"/>
  </w:num>
  <w:num w:numId="32">
    <w:abstractNumId w:val="19"/>
  </w:num>
  <w:num w:numId="33">
    <w:abstractNumId w:val="44"/>
  </w:num>
  <w:num w:numId="34">
    <w:abstractNumId w:val="6"/>
  </w:num>
  <w:num w:numId="35">
    <w:abstractNumId w:val="5"/>
  </w:num>
  <w:num w:numId="36">
    <w:abstractNumId w:val="42"/>
  </w:num>
  <w:num w:numId="37">
    <w:abstractNumId w:val="7"/>
  </w:num>
  <w:num w:numId="38">
    <w:abstractNumId w:val="26"/>
  </w:num>
  <w:num w:numId="39">
    <w:abstractNumId w:val="2"/>
  </w:num>
  <w:num w:numId="40">
    <w:abstractNumId w:val="18"/>
  </w:num>
  <w:num w:numId="41">
    <w:abstractNumId w:val="17"/>
  </w:num>
  <w:num w:numId="42">
    <w:abstractNumId w:val="11"/>
  </w:num>
  <w:num w:numId="43">
    <w:abstractNumId w:val="45"/>
  </w:num>
  <w:num w:numId="44">
    <w:abstractNumId w:val="21"/>
  </w:num>
  <w:num w:numId="45">
    <w:abstractNumId w:val="35"/>
  </w:num>
  <w:num w:numId="46">
    <w:abstractNumId w:val="40"/>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437"/>
    <w:rsid w:val="00064EA6"/>
    <w:rsid w:val="000662F8"/>
    <w:rsid w:val="00066CAB"/>
    <w:rsid w:val="00070E99"/>
    <w:rsid w:val="00073E78"/>
    <w:rsid w:val="00073E92"/>
    <w:rsid w:val="00073FC2"/>
    <w:rsid w:val="00074125"/>
    <w:rsid w:val="000747CA"/>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041A"/>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660"/>
    <w:rsid w:val="000D67B8"/>
    <w:rsid w:val="000D69D7"/>
    <w:rsid w:val="000D7523"/>
    <w:rsid w:val="000E0C4D"/>
    <w:rsid w:val="000E30C2"/>
    <w:rsid w:val="000E3ADA"/>
    <w:rsid w:val="000E3AEA"/>
    <w:rsid w:val="000E4A8B"/>
    <w:rsid w:val="000E6545"/>
    <w:rsid w:val="000E686B"/>
    <w:rsid w:val="000F2A5E"/>
    <w:rsid w:val="000F2E5A"/>
    <w:rsid w:val="000F3EC2"/>
    <w:rsid w:val="000F3F8D"/>
    <w:rsid w:val="00100C19"/>
    <w:rsid w:val="00101FCB"/>
    <w:rsid w:val="00104391"/>
    <w:rsid w:val="00106014"/>
    <w:rsid w:val="00106372"/>
    <w:rsid w:val="00111DCD"/>
    <w:rsid w:val="00112791"/>
    <w:rsid w:val="00112C29"/>
    <w:rsid w:val="00114B7C"/>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38B9"/>
    <w:rsid w:val="001C3F8F"/>
    <w:rsid w:val="001C50EE"/>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455"/>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692A"/>
    <w:rsid w:val="00267074"/>
    <w:rsid w:val="00267244"/>
    <w:rsid w:val="002717B7"/>
    <w:rsid w:val="00271BC1"/>
    <w:rsid w:val="0027268C"/>
    <w:rsid w:val="00273D0E"/>
    <w:rsid w:val="00274159"/>
    <w:rsid w:val="00274300"/>
    <w:rsid w:val="00274BE8"/>
    <w:rsid w:val="002765A6"/>
    <w:rsid w:val="0028097F"/>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5FD9"/>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B9C"/>
    <w:rsid w:val="0036288B"/>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3DCB"/>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3E37"/>
    <w:rsid w:val="004A5FFD"/>
    <w:rsid w:val="004A6011"/>
    <w:rsid w:val="004A7195"/>
    <w:rsid w:val="004A7CE2"/>
    <w:rsid w:val="004B0DB0"/>
    <w:rsid w:val="004B11B3"/>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4003"/>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1DE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0BE5"/>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102"/>
    <w:rsid w:val="006168E4"/>
    <w:rsid w:val="00616943"/>
    <w:rsid w:val="00617776"/>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810"/>
    <w:rsid w:val="00672C35"/>
    <w:rsid w:val="00676987"/>
    <w:rsid w:val="00676A50"/>
    <w:rsid w:val="00676C2E"/>
    <w:rsid w:val="006806AC"/>
    <w:rsid w:val="00681802"/>
    <w:rsid w:val="00682225"/>
    <w:rsid w:val="006822F4"/>
    <w:rsid w:val="00682B6F"/>
    <w:rsid w:val="00683417"/>
    <w:rsid w:val="00684893"/>
    <w:rsid w:val="006848B7"/>
    <w:rsid w:val="00684CBE"/>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5616"/>
    <w:rsid w:val="00716BFE"/>
    <w:rsid w:val="00720774"/>
    <w:rsid w:val="00721D87"/>
    <w:rsid w:val="007234D1"/>
    <w:rsid w:val="0072378A"/>
    <w:rsid w:val="007247F5"/>
    <w:rsid w:val="00726116"/>
    <w:rsid w:val="00731428"/>
    <w:rsid w:val="0073157A"/>
    <w:rsid w:val="00732722"/>
    <w:rsid w:val="00735209"/>
    <w:rsid w:val="0073547B"/>
    <w:rsid w:val="00737D40"/>
    <w:rsid w:val="0074023C"/>
    <w:rsid w:val="00743818"/>
    <w:rsid w:val="00743D2E"/>
    <w:rsid w:val="00744E29"/>
    <w:rsid w:val="00744EEF"/>
    <w:rsid w:val="0074726D"/>
    <w:rsid w:val="007475B8"/>
    <w:rsid w:val="00751095"/>
    <w:rsid w:val="007517D1"/>
    <w:rsid w:val="007524C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A87"/>
    <w:rsid w:val="00856D15"/>
    <w:rsid w:val="0086020D"/>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0F04"/>
    <w:rsid w:val="008A1129"/>
    <w:rsid w:val="008A322D"/>
    <w:rsid w:val="008A4A78"/>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26D"/>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16D9"/>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5943"/>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2817"/>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017"/>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80C"/>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1D64"/>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5726"/>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789"/>
    <w:rsid w:val="00D21565"/>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72D8"/>
    <w:rsid w:val="00D91F4E"/>
    <w:rsid w:val="00D93A67"/>
    <w:rsid w:val="00D93F28"/>
    <w:rsid w:val="00D9557E"/>
    <w:rsid w:val="00D962A7"/>
    <w:rsid w:val="00D96FC1"/>
    <w:rsid w:val="00D97AC9"/>
    <w:rsid w:val="00DA2E2B"/>
    <w:rsid w:val="00DA354D"/>
    <w:rsid w:val="00DA3DE4"/>
    <w:rsid w:val="00DA69DE"/>
    <w:rsid w:val="00DB1192"/>
    <w:rsid w:val="00DB1698"/>
    <w:rsid w:val="00DB5C0A"/>
    <w:rsid w:val="00DB6DAF"/>
    <w:rsid w:val="00DC0AF1"/>
    <w:rsid w:val="00DC20EE"/>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AD6"/>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A41"/>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49DE"/>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353E"/>
    <w:rsid w:val="00F44DC5"/>
    <w:rsid w:val="00F44ECF"/>
    <w:rsid w:val="00F453CB"/>
    <w:rsid w:val="00F46CE7"/>
    <w:rsid w:val="00F46D41"/>
    <w:rsid w:val="00F471AE"/>
    <w:rsid w:val="00F510DB"/>
    <w:rsid w:val="00F548C1"/>
    <w:rsid w:val="00F551DE"/>
    <w:rsid w:val="00F56D5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C775F"/>
    <w:rsid w:val="00FD302E"/>
    <w:rsid w:val="00FD4599"/>
    <w:rsid w:val="00FD4784"/>
    <w:rsid w:val="00FD51C8"/>
    <w:rsid w:val="00FD5753"/>
    <w:rsid w:val="00FD65FE"/>
    <w:rsid w:val="00FD6B57"/>
    <w:rsid w:val="00FE00DA"/>
    <w:rsid w:val="00FE0FAF"/>
    <w:rsid w:val="00FE2E9B"/>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561658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454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9/&amp;a=RRA%2014270.pdf"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8/&amp;a=RRA%20509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CF40-B765-4F13-BF25-2FDA444C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47</Pages>
  <Words>9184</Words>
  <Characters>50513</Characters>
  <Application>Microsoft Office Word</Application>
  <DocSecurity>0</DocSecurity>
  <Lines>420</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cp:lastPrinted>2018-12-04T20:35:00Z</cp:lastPrinted>
  <dcterms:created xsi:type="dcterms:W3CDTF">2022-08-23T15:35:00Z</dcterms:created>
  <dcterms:modified xsi:type="dcterms:W3CDTF">2023-04-19T21:53:00Z</dcterms:modified>
</cp:coreProperties>
</file>