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870" w:rsidRPr="00550FB3" w:rsidRDefault="00043B42">
      <w:pPr>
        <w:spacing w:line="360" w:lineRule="auto"/>
        <w:jc w:val="both"/>
        <w:rPr>
          <w:rFonts w:ascii="Palatino Linotype" w:eastAsia="Palatino Linotype" w:hAnsi="Palatino Linotype" w:cs="Palatino Linotype"/>
          <w:color w:val="000000"/>
        </w:rPr>
      </w:pPr>
      <w:bookmarkStart w:id="0" w:name="_heading=h.tyjcwt" w:colFirst="0" w:colLast="0"/>
      <w:bookmarkEnd w:id="0"/>
      <w:r w:rsidRPr="00550FB3">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00271D2C" w:rsidRPr="00550FB3">
        <w:rPr>
          <w:rFonts w:ascii="Palatino Linotype" w:eastAsia="Palatino Linotype" w:hAnsi="Palatino Linotype" w:cs="Palatino Linotype"/>
        </w:rPr>
        <w:t>veintinueve</w:t>
      </w:r>
      <w:r w:rsidR="00710731" w:rsidRPr="00550FB3">
        <w:rPr>
          <w:rFonts w:ascii="Palatino Linotype" w:eastAsia="Palatino Linotype" w:hAnsi="Palatino Linotype" w:cs="Palatino Linotype"/>
          <w:color w:val="000000"/>
        </w:rPr>
        <w:t xml:space="preserve"> de</w:t>
      </w:r>
      <w:r w:rsidRPr="00550FB3">
        <w:rPr>
          <w:rFonts w:ascii="Palatino Linotype" w:eastAsia="Palatino Linotype" w:hAnsi="Palatino Linotype" w:cs="Palatino Linotype"/>
          <w:color w:val="000000"/>
        </w:rPr>
        <w:t xml:space="preserve"> noviembre de dos mil veintitrés. </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spacing w:line="360" w:lineRule="auto"/>
        <w:jc w:val="both"/>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VISTO</w:t>
      </w:r>
      <w:r w:rsidRPr="00550FB3">
        <w:rPr>
          <w:rFonts w:ascii="Palatino Linotype" w:eastAsia="Palatino Linotype" w:hAnsi="Palatino Linotype" w:cs="Palatino Linotype"/>
          <w:color w:val="000000"/>
        </w:rPr>
        <w:t xml:space="preserve"> el expediente formado con motivo del recurso de revisión </w:t>
      </w:r>
      <w:r w:rsidR="00271D2C" w:rsidRPr="00550FB3">
        <w:rPr>
          <w:rFonts w:ascii="Palatino Linotype" w:eastAsia="Palatino Linotype" w:hAnsi="Palatino Linotype" w:cs="Palatino Linotype"/>
          <w:b/>
          <w:color w:val="000000"/>
        </w:rPr>
        <w:t>04104</w:t>
      </w:r>
      <w:r w:rsidRPr="00550FB3">
        <w:rPr>
          <w:rFonts w:ascii="Palatino Linotype" w:eastAsia="Palatino Linotype" w:hAnsi="Palatino Linotype" w:cs="Palatino Linotype"/>
          <w:b/>
          <w:color w:val="000000"/>
        </w:rPr>
        <w:t>/INFOEM/IP/RR/2023</w:t>
      </w:r>
      <w:r w:rsidRPr="00550FB3">
        <w:rPr>
          <w:rFonts w:ascii="Palatino Linotype" w:eastAsia="Palatino Linotype" w:hAnsi="Palatino Linotype" w:cs="Palatino Linotype"/>
          <w:color w:val="000000"/>
        </w:rPr>
        <w:t xml:space="preserve">, interpuesto por </w:t>
      </w:r>
      <w:r w:rsidRPr="00550FB3">
        <w:rPr>
          <w:rFonts w:ascii="Palatino Linotype" w:eastAsia="Palatino Linotype" w:hAnsi="Palatino Linotype" w:cs="Palatino Linotype"/>
          <w:b/>
          <w:color w:val="000000"/>
        </w:rPr>
        <w:t xml:space="preserve">una persona que no señaló nombre o seudónimo, </w:t>
      </w:r>
      <w:r w:rsidRPr="00550FB3">
        <w:rPr>
          <w:rFonts w:ascii="Palatino Linotype" w:eastAsia="Palatino Linotype" w:hAnsi="Palatino Linotype" w:cs="Palatino Linotype"/>
          <w:color w:val="000000"/>
        </w:rPr>
        <w:t>a quien en lo subsecuente nos referiremos como</w:t>
      </w:r>
      <w:r w:rsidRPr="00550FB3">
        <w:rPr>
          <w:rFonts w:ascii="Palatino Linotype" w:eastAsia="Palatino Linotype" w:hAnsi="Palatino Linotype" w:cs="Palatino Linotype"/>
          <w:b/>
          <w:color w:val="000000"/>
        </w:rPr>
        <w:t xml:space="preserve"> LA PARTE RECURRENTE,</w:t>
      </w:r>
      <w:r w:rsidRPr="00550FB3">
        <w:rPr>
          <w:rFonts w:ascii="Palatino Linotype" w:eastAsia="Palatino Linotype" w:hAnsi="Palatino Linotype" w:cs="Palatino Linotype"/>
          <w:color w:val="000000"/>
        </w:rPr>
        <w:t xml:space="preserve"> en contra de la respuesta a la solicitud </w:t>
      </w:r>
      <w:r w:rsidRPr="00550FB3">
        <w:rPr>
          <w:rFonts w:ascii="Palatino Linotype" w:eastAsia="Palatino Linotype" w:hAnsi="Palatino Linotype" w:cs="Palatino Linotype"/>
          <w:b/>
        </w:rPr>
        <w:t>00</w:t>
      </w:r>
      <w:r w:rsidR="00271D2C" w:rsidRPr="00550FB3">
        <w:rPr>
          <w:rFonts w:ascii="Palatino Linotype" w:eastAsia="Palatino Linotype" w:hAnsi="Palatino Linotype" w:cs="Palatino Linotype"/>
          <w:b/>
        </w:rPr>
        <w:t>091/OASECATEPE</w:t>
      </w:r>
      <w:r w:rsidRPr="00550FB3">
        <w:rPr>
          <w:rFonts w:ascii="Palatino Linotype" w:eastAsia="Palatino Linotype" w:hAnsi="Palatino Linotype" w:cs="Palatino Linotype"/>
          <w:b/>
        </w:rPr>
        <w:t>/IP/2023</w:t>
      </w:r>
      <w:r w:rsidRPr="00550FB3">
        <w:rPr>
          <w:rFonts w:ascii="Palatino Linotype" w:eastAsia="Palatino Linotype" w:hAnsi="Palatino Linotype" w:cs="Palatino Linotype"/>
          <w:color w:val="000000"/>
        </w:rPr>
        <w:t xml:space="preserve"> por parte del</w:t>
      </w:r>
      <w:r w:rsidR="00271D2C" w:rsidRPr="00550FB3">
        <w:rPr>
          <w:rFonts w:ascii="Palatino Linotype" w:eastAsia="Palatino Linotype" w:hAnsi="Palatino Linotype" w:cs="Palatino Linotype"/>
          <w:b/>
          <w:color w:val="000000"/>
        </w:rPr>
        <w:t xml:space="preserve"> Sistema de A</w:t>
      </w:r>
      <w:r w:rsidR="007A7FD4" w:rsidRPr="00550FB3">
        <w:rPr>
          <w:rFonts w:ascii="Palatino Linotype" w:eastAsia="Palatino Linotype" w:hAnsi="Palatino Linotype" w:cs="Palatino Linotype"/>
          <w:b/>
          <w:color w:val="000000"/>
        </w:rPr>
        <w:t>gua Potable, Alcantarillado y Saneamiento de Ecatepec de Morelos</w:t>
      </w:r>
      <w:r w:rsidRPr="00550FB3">
        <w:rPr>
          <w:rFonts w:ascii="Palatino Linotype" w:eastAsia="Palatino Linotype" w:hAnsi="Palatino Linotype" w:cs="Palatino Linotype"/>
          <w:b/>
          <w:color w:val="000000"/>
        </w:rPr>
        <w:t xml:space="preserve">, </w:t>
      </w:r>
      <w:r w:rsidRPr="00550FB3">
        <w:rPr>
          <w:rFonts w:ascii="Palatino Linotype" w:eastAsia="Palatino Linotype" w:hAnsi="Palatino Linotype" w:cs="Palatino Linotype"/>
          <w:color w:val="000000"/>
        </w:rPr>
        <w:t xml:space="preserve">a quien en lo sucesivo se le denominará como </w:t>
      </w:r>
      <w:r w:rsidRPr="00550FB3">
        <w:rPr>
          <w:rFonts w:ascii="Palatino Linotype" w:eastAsia="Palatino Linotype" w:hAnsi="Palatino Linotype" w:cs="Palatino Linotype"/>
          <w:b/>
          <w:color w:val="000000"/>
        </w:rPr>
        <w:t xml:space="preserve">EL SUJETO OBLIGADO, </w:t>
      </w:r>
      <w:r w:rsidRPr="00550FB3">
        <w:rPr>
          <w:rFonts w:ascii="Palatino Linotype" w:eastAsia="Palatino Linotype" w:hAnsi="Palatino Linotype" w:cs="Palatino Linotype"/>
          <w:color w:val="000000"/>
        </w:rPr>
        <w:t>se procede a dictar la presente resolución con base en los siguientes</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A N T E C E D E N T E S:</w:t>
      </w:r>
    </w:p>
    <w:p w:rsidR="00751870" w:rsidRPr="00550FB3" w:rsidRDefault="00751870">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751870" w:rsidRPr="00550FB3" w:rsidRDefault="00043B42">
      <w:pPr>
        <w:spacing w:line="360" w:lineRule="auto"/>
        <w:jc w:val="both"/>
        <w:rPr>
          <w:rFonts w:ascii="Palatino Linotype" w:eastAsia="Palatino Linotype" w:hAnsi="Palatino Linotype" w:cs="Palatino Linotype"/>
        </w:rPr>
      </w:pPr>
      <w:bookmarkStart w:id="1" w:name="_heading=h.gjdgxs" w:colFirst="0" w:colLast="0"/>
      <w:bookmarkEnd w:id="1"/>
      <w:r w:rsidRPr="00550FB3">
        <w:rPr>
          <w:rFonts w:ascii="Palatino Linotype" w:eastAsia="Palatino Linotype" w:hAnsi="Palatino Linotype" w:cs="Palatino Linotype"/>
          <w:b/>
        </w:rPr>
        <w:t>1. Solicitud de acceso a la información.</w:t>
      </w:r>
      <w:r w:rsidRPr="00550FB3">
        <w:rPr>
          <w:rFonts w:ascii="Palatino Linotype" w:eastAsia="Palatino Linotype" w:hAnsi="Palatino Linotype" w:cs="Palatino Linotype"/>
        </w:rPr>
        <w:t xml:space="preserve"> El</w:t>
      </w:r>
      <w:r w:rsidRPr="00550FB3">
        <w:rPr>
          <w:rFonts w:ascii="Palatino Linotype" w:eastAsia="Palatino Linotype" w:hAnsi="Palatino Linotype" w:cs="Palatino Linotype"/>
          <w:b/>
        </w:rPr>
        <w:t xml:space="preserve"> </w:t>
      </w:r>
      <w:r w:rsidR="007A7FD4" w:rsidRPr="00550FB3">
        <w:rPr>
          <w:rFonts w:ascii="Palatino Linotype" w:eastAsia="Palatino Linotype" w:hAnsi="Palatino Linotype" w:cs="Palatino Linotype"/>
          <w:b/>
        </w:rPr>
        <w:t xml:space="preserve">nueve de junio </w:t>
      </w:r>
      <w:r w:rsidR="00710731" w:rsidRPr="00550FB3">
        <w:rPr>
          <w:rFonts w:ascii="Palatino Linotype" w:eastAsia="Palatino Linotype" w:hAnsi="Palatino Linotype" w:cs="Palatino Linotype"/>
          <w:b/>
        </w:rPr>
        <w:t xml:space="preserve">de </w:t>
      </w:r>
      <w:r w:rsidRPr="00550FB3">
        <w:rPr>
          <w:rFonts w:ascii="Palatino Linotype" w:eastAsia="Palatino Linotype" w:hAnsi="Palatino Linotype" w:cs="Palatino Linotype"/>
          <w:b/>
        </w:rPr>
        <w:t>dos mil veintitrés,</w:t>
      </w:r>
      <w:r w:rsidRPr="00550FB3">
        <w:rPr>
          <w:rFonts w:ascii="Palatino Linotype" w:eastAsia="Palatino Linotype" w:hAnsi="Palatino Linotype" w:cs="Palatino Linotype"/>
        </w:rPr>
        <w:t xml:space="preserve"> </w:t>
      </w:r>
      <w:r w:rsidRPr="00550FB3">
        <w:rPr>
          <w:rFonts w:ascii="Palatino Linotype" w:eastAsia="Palatino Linotype" w:hAnsi="Palatino Linotype" w:cs="Palatino Linotype"/>
          <w:b/>
        </w:rPr>
        <w:t>LA PARTE</w:t>
      </w:r>
      <w:r w:rsidRPr="00550FB3">
        <w:rPr>
          <w:rFonts w:ascii="Palatino Linotype" w:eastAsia="Palatino Linotype" w:hAnsi="Palatino Linotype" w:cs="Palatino Linotype"/>
        </w:rPr>
        <w:t xml:space="preserve"> </w:t>
      </w:r>
      <w:r w:rsidRPr="00550FB3">
        <w:rPr>
          <w:rFonts w:ascii="Palatino Linotype" w:eastAsia="Palatino Linotype" w:hAnsi="Palatino Linotype" w:cs="Palatino Linotype"/>
          <w:b/>
        </w:rPr>
        <w:t xml:space="preserve">RECURRENTE </w:t>
      </w:r>
      <w:r w:rsidRPr="00550FB3">
        <w:rPr>
          <w:rFonts w:ascii="Palatino Linotype" w:eastAsia="Palatino Linotype" w:hAnsi="Palatino Linotype" w:cs="Palatino Linotype"/>
        </w:rPr>
        <w:t>a través del Sistema de Acceso a la Información Mexiquense o SAIMEX</w:t>
      </w:r>
      <w:r w:rsidRPr="00550FB3">
        <w:rPr>
          <w:rFonts w:ascii="Palatino Linotype" w:eastAsia="Palatino Linotype" w:hAnsi="Palatino Linotype" w:cs="Palatino Linotype"/>
          <w:b/>
        </w:rPr>
        <w:t>,</w:t>
      </w:r>
      <w:r w:rsidRPr="00550FB3">
        <w:rPr>
          <w:rFonts w:ascii="Palatino Linotype" w:eastAsia="Palatino Linotype" w:hAnsi="Palatino Linotype" w:cs="Palatino Linotype"/>
        </w:rPr>
        <w:t xml:space="preserve"> realizó la solicitud de acceso a la información pública</w:t>
      </w:r>
      <w:r w:rsidR="007A7FD4" w:rsidRPr="00550FB3">
        <w:rPr>
          <w:rFonts w:ascii="Palatino Linotype" w:eastAsia="Palatino Linotype" w:hAnsi="Palatino Linotype" w:cs="Palatino Linotype"/>
          <w:b/>
        </w:rPr>
        <w:t xml:space="preserve"> 00091/OASECATEPE</w:t>
      </w:r>
      <w:r w:rsidRPr="00550FB3">
        <w:rPr>
          <w:rFonts w:ascii="Palatino Linotype" w:eastAsia="Palatino Linotype" w:hAnsi="Palatino Linotype" w:cs="Palatino Linotype"/>
          <w:b/>
        </w:rPr>
        <w:t>/IP/2023</w:t>
      </w:r>
      <w:r w:rsidRPr="00550FB3">
        <w:rPr>
          <w:rFonts w:ascii="Palatino Linotype" w:eastAsia="Palatino Linotype" w:hAnsi="Palatino Linotype" w:cs="Palatino Linotype"/>
        </w:rPr>
        <w:t>, en la cual requirió de:</w:t>
      </w:r>
    </w:p>
    <w:p w:rsidR="00751870" w:rsidRPr="00550FB3" w:rsidRDefault="00751870" w:rsidP="00710731">
      <w:pPr>
        <w:pStyle w:val="Citas"/>
        <w:spacing w:before="0" w:after="0" w:line="240" w:lineRule="auto"/>
      </w:pPr>
    </w:p>
    <w:p w:rsidR="00751870" w:rsidRPr="00550FB3" w:rsidRDefault="00043B42" w:rsidP="00710731">
      <w:pPr>
        <w:pStyle w:val="Citas"/>
        <w:spacing w:before="0" w:after="0" w:line="240" w:lineRule="auto"/>
      </w:pPr>
      <w:r w:rsidRPr="00550FB3">
        <w:t>“</w:t>
      </w:r>
      <w:r w:rsidR="007A7FD4" w:rsidRPr="00550FB3">
        <w:rPr>
          <w:color w:val="000000"/>
        </w:rPr>
        <w:t xml:space="preserve">Solicito en versión pública copia de los convenios laborales entre el O.P.D.S.A.P.A.S.E y el </w:t>
      </w:r>
      <w:proofErr w:type="spellStart"/>
      <w:r w:rsidR="007A7FD4" w:rsidRPr="00550FB3">
        <w:rPr>
          <w:color w:val="000000"/>
        </w:rPr>
        <w:t>Suteym</w:t>
      </w:r>
      <w:proofErr w:type="spellEnd"/>
      <w:r w:rsidR="007A7FD4" w:rsidRPr="00550FB3">
        <w:rPr>
          <w:color w:val="000000"/>
        </w:rPr>
        <w:t xml:space="preserve"> Ecatepec de los años 2019, 2020, 2021, 2022 y 2023”</w:t>
      </w:r>
      <w:r w:rsidRPr="00550FB3">
        <w:t xml:space="preserve"> (Sic) </w:t>
      </w:r>
    </w:p>
    <w:p w:rsidR="00751870" w:rsidRPr="00550FB3" w:rsidRDefault="00751870" w:rsidP="00710731">
      <w:pPr>
        <w:pStyle w:val="Citas"/>
        <w:spacing w:before="0" w:after="0" w:line="240" w:lineRule="auto"/>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lastRenderedPageBreak/>
        <w:t>Modalidad de Entrega:</w:t>
      </w:r>
      <w:r w:rsidRPr="00550FB3">
        <w:rPr>
          <w:rFonts w:ascii="Palatino Linotype" w:eastAsia="Palatino Linotype" w:hAnsi="Palatino Linotype" w:cs="Palatino Linotype"/>
          <w:color w:val="000000"/>
        </w:rPr>
        <w:t xml:space="preserve"> A través del SAIMEX.</w:t>
      </w:r>
    </w:p>
    <w:p w:rsidR="00751870" w:rsidRPr="00550FB3" w:rsidRDefault="00751870">
      <w:pPr>
        <w:spacing w:line="360" w:lineRule="auto"/>
        <w:jc w:val="both"/>
        <w:rPr>
          <w:rFonts w:ascii="Palatino Linotype" w:eastAsia="Palatino Linotype" w:hAnsi="Palatino Linotype" w:cs="Palatino Linotype"/>
          <w:color w:val="000000"/>
        </w:rPr>
      </w:pPr>
    </w:p>
    <w:p w:rsidR="00710731" w:rsidRPr="00550FB3" w:rsidRDefault="00710731" w:rsidP="007A7FD4">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2</w:t>
      </w:r>
      <w:r w:rsidR="00043B42" w:rsidRPr="00550FB3">
        <w:rPr>
          <w:rFonts w:ascii="Palatino Linotype" w:eastAsia="Palatino Linotype" w:hAnsi="Palatino Linotype" w:cs="Palatino Linotype"/>
          <w:b/>
          <w:color w:val="000000"/>
        </w:rPr>
        <w:t xml:space="preserve">. Respuesta. </w:t>
      </w:r>
      <w:r w:rsidR="00043B42" w:rsidRPr="00550FB3">
        <w:rPr>
          <w:rFonts w:ascii="Palatino Linotype" w:eastAsia="Palatino Linotype" w:hAnsi="Palatino Linotype" w:cs="Palatino Linotype"/>
          <w:color w:val="000000"/>
        </w:rPr>
        <w:t>El</w:t>
      </w:r>
      <w:r w:rsidR="00B06643" w:rsidRPr="00550FB3">
        <w:rPr>
          <w:rFonts w:ascii="Palatino Linotype" w:eastAsia="Palatino Linotype" w:hAnsi="Palatino Linotype" w:cs="Palatino Linotype"/>
          <w:b/>
          <w:color w:val="000000"/>
        </w:rPr>
        <w:t xml:space="preserve"> treinta de junio </w:t>
      </w:r>
      <w:r w:rsidR="00043B42" w:rsidRPr="00550FB3">
        <w:rPr>
          <w:rFonts w:ascii="Palatino Linotype" w:eastAsia="Palatino Linotype" w:hAnsi="Palatino Linotype" w:cs="Palatino Linotype"/>
          <w:b/>
          <w:color w:val="000000"/>
        </w:rPr>
        <w:t xml:space="preserve">de dos mil veintitrés, EL SUJETO OBLIGADO </w:t>
      </w:r>
      <w:r w:rsidR="00043B42" w:rsidRPr="00550FB3">
        <w:rPr>
          <w:rFonts w:ascii="Palatino Linotype" w:eastAsia="Palatino Linotype" w:hAnsi="Palatino Linotype" w:cs="Palatino Linotype"/>
          <w:color w:val="000000"/>
        </w:rPr>
        <w:t xml:space="preserve">remitió a la persona solicitante la respuesta a su solicitud de acceso a la información, al tenor siguiente: </w:t>
      </w:r>
    </w:p>
    <w:p w:rsidR="007A7FD4" w:rsidRPr="00550FB3" w:rsidRDefault="007A7FD4" w:rsidP="007A7FD4">
      <w:pPr>
        <w:pStyle w:val="Citas"/>
        <w:spacing w:before="0" w:after="0" w:line="240" w:lineRule="auto"/>
      </w:pPr>
    </w:p>
    <w:p w:rsidR="007A7FD4" w:rsidRPr="00550FB3" w:rsidRDefault="007A7FD4" w:rsidP="007A7FD4">
      <w:pPr>
        <w:pStyle w:val="Citas"/>
        <w:spacing w:before="0" w:after="0" w:line="240" w:lineRule="auto"/>
      </w:pPr>
      <w:r w:rsidRPr="00550FB3">
        <w:t>“Potable Alcantarillado y Saneamiento de Ecatepec de Morelos, México a 30 de Junio de 2023</w:t>
      </w:r>
    </w:p>
    <w:p w:rsidR="007A7FD4" w:rsidRPr="00550FB3" w:rsidRDefault="007A7FD4" w:rsidP="007A7FD4">
      <w:pPr>
        <w:pStyle w:val="Citas"/>
        <w:spacing w:before="0" w:after="0" w:line="240" w:lineRule="auto"/>
      </w:pPr>
      <w:r w:rsidRPr="00550FB3">
        <w:t>Nombre del solicitante: C. Solicitante</w:t>
      </w:r>
    </w:p>
    <w:p w:rsidR="007A7FD4" w:rsidRPr="00550FB3" w:rsidRDefault="007A7FD4" w:rsidP="007A7FD4">
      <w:pPr>
        <w:pStyle w:val="Citas"/>
        <w:spacing w:before="0" w:after="0" w:line="240" w:lineRule="auto"/>
      </w:pPr>
      <w:r w:rsidRPr="00550FB3">
        <w:t>Folio de la solicitud: 00091/OASECATEPE/IP/2023</w:t>
      </w:r>
    </w:p>
    <w:p w:rsidR="007A7FD4" w:rsidRPr="00550FB3" w:rsidRDefault="007A7FD4" w:rsidP="007A7FD4">
      <w:pPr>
        <w:pStyle w:val="Citas"/>
        <w:spacing w:before="0" w:after="0" w:line="240" w:lineRule="auto"/>
      </w:pPr>
      <w:r w:rsidRPr="00550FB3">
        <w:t>En respuesta a la solicitud recibida, nos permitimos hacer de su conocimiento que con fundamento en el artículo 53, Fracciones: II, V y VI de la Ley de Transparencia y Acceso a la Información Pública del Estado de México y Municipios, le contestamos que:</w:t>
      </w:r>
    </w:p>
    <w:p w:rsidR="007A7FD4" w:rsidRPr="00550FB3" w:rsidRDefault="007A7FD4" w:rsidP="007A7FD4">
      <w:pPr>
        <w:pStyle w:val="Citas"/>
        <w:spacing w:before="0" w:after="0" w:line="240" w:lineRule="auto"/>
      </w:pPr>
      <w:r w:rsidRPr="00550FB3">
        <w:t xml:space="preserve">Folio de la Solicitud: 00091/OASECATEPE/IP/2023 En respuesta a la solicitud recibida, nos permitimos hacer de su conocimiento que con fundamento en el artículo 53, Fracciones: II, V y VI de la Ley de Transparencia y Acceso a la Información Pública del Estado de México y Municipios, le contestamos que: De conformidad con el artículo 6º fracción II, 8º y 16º párrafo primero de la constitución política de los Estados Unidos Mexicanos; el artículos 4º y 5º de la constitución del Estado Libre y soberano de México; artículo 5, 31 fracción IV de la Ley Orgánica Municipal, articulo 37, 38 de la Ley del Agua para el Estado de México y Municipios, artículo 1.41 del Código Administrativo del Estado de México, artículos 3 fracción XLIV, 12, segundo párrafo, 15, 16, 23, fracción IV, 24 fracción VIII, 50, 51, 52, 53 fracciones II, III, IV, V de la Ley de Transparencia y Acceso a la Información Pública del Estado de México y Municipios, referente a su solicitud de información con número 00091/OASECATEPE/IP/2023; relativo a su petición de información en la que a la letra dice: Solicito en versión pública copia de los convenios laborales entre el O.P.D.S.A.P.A.S.E y el </w:t>
      </w:r>
      <w:proofErr w:type="spellStart"/>
      <w:r w:rsidRPr="00550FB3">
        <w:t>Suteym</w:t>
      </w:r>
      <w:proofErr w:type="spellEnd"/>
      <w:r w:rsidRPr="00550FB3">
        <w:t xml:space="preserve"> Ecatepec de los años 2019, 2020, 2021, 2022 y 2023Sic Por lo anterior me permito remitir a usted un archivo PDF en el cual encontrara lo referente a su solicitud, respuesta otorgada por La Dirección de Finanzas y Administración del O.P.D. S.A.P.A.S.E, Sin más por el momento, quedo de usted esperando que le sea de utilidad dicha información</w:t>
      </w:r>
    </w:p>
    <w:p w:rsidR="007A7FD4" w:rsidRPr="00550FB3" w:rsidRDefault="007A7FD4" w:rsidP="007A7FD4">
      <w:pPr>
        <w:pStyle w:val="Citas"/>
        <w:spacing w:before="0" w:after="0" w:line="240" w:lineRule="auto"/>
      </w:pPr>
      <w:r w:rsidRPr="00550FB3">
        <w:lastRenderedPageBreak/>
        <w:t>ATENTAMENTE</w:t>
      </w:r>
    </w:p>
    <w:p w:rsidR="007A7FD4" w:rsidRPr="00550FB3" w:rsidRDefault="007A7FD4" w:rsidP="007A7FD4">
      <w:pPr>
        <w:pStyle w:val="Citas"/>
        <w:spacing w:before="0" w:after="0" w:line="240" w:lineRule="auto"/>
      </w:pPr>
      <w:r w:rsidRPr="00550FB3">
        <w:t xml:space="preserve">C. MARIA FERNANDA CARBAJAL SANTANA” (Sic) </w:t>
      </w:r>
    </w:p>
    <w:p w:rsidR="00710731" w:rsidRPr="00550FB3" w:rsidRDefault="00710731" w:rsidP="007A7FD4">
      <w:pPr>
        <w:pStyle w:val="Citas"/>
        <w:spacing w:before="0" w:after="0" w:line="240" w:lineRule="auto"/>
      </w:pPr>
    </w:p>
    <w:p w:rsidR="00710731" w:rsidRPr="00550FB3" w:rsidRDefault="00043B42" w:rsidP="00710731">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Y adjuntó </w:t>
      </w:r>
      <w:r w:rsidR="00710731" w:rsidRPr="00550FB3">
        <w:rPr>
          <w:rFonts w:ascii="Palatino Linotype" w:eastAsia="Palatino Linotype" w:hAnsi="Palatino Linotype" w:cs="Palatino Linotype"/>
          <w:color w:val="000000"/>
        </w:rPr>
        <w:t xml:space="preserve">el archivo que se describe: </w:t>
      </w:r>
    </w:p>
    <w:p w:rsidR="00710731" w:rsidRPr="00550FB3" w:rsidRDefault="00710731" w:rsidP="00710731">
      <w:pPr>
        <w:spacing w:line="360" w:lineRule="auto"/>
        <w:jc w:val="both"/>
        <w:rPr>
          <w:rFonts w:ascii="Palatino Linotype" w:eastAsia="Palatino Linotype" w:hAnsi="Palatino Linotype" w:cs="Palatino Linotype"/>
        </w:rPr>
      </w:pPr>
    </w:p>
    <w:p w:rsidR="007A7FD4" w:rsidRPr="00550FB3" w:rsidRDefault="001E0E87" w:rsidP="007A7FD4">
      <w:pPr>
        <w:pStyle w:val="Prrafodelista"/>
        <w:numPr>
          <w:ilvl w:val="0"/>
          <w:numId w:val="11"/>
        </w:numPr>
        <w:spacing w:line="360" w:lineRule="auto"/>
        <w:jc w:val="both"/>
        <w:rPr>
          <w:rFonts w:ascii="Palatino Linotype" w:eastAsia="Palatino Linotype" w:hAnsi="Palatino Linotype" w:cs="Palatino Linotype"/>
        </w:rPr>
      </w:pPr>
      <w:hyperlink r:id="rId8" w:tgtFrame="_blank" w:history="1">
        <w:r w:rsidR="007A7FD4" w:rsidRPr="00550FB3">
          <w:rPr>
            <w:rStyle w:val="Hipervnculo"/>
            <w:rFonts w:ascii="Palatino Linotype" w:eastAsia="Palatino Linotype" w:hAnsi="Palatino Linotype" w:cs="Palatino Linotype"/>
            <w:b/>
            <w:bCs/>
            <w:color w:val="auto"/>
            <w:u w:val="none"/>
          </w:rPr>
          <w:t>RESPUESTA 00091-23.pdf</w:t>
        </w:r>
      </w:hyperlink>
    </w:p>
    <w:p w:rsidR="007A7FD4" w:rsidRPr="00550FB3" w:rsidRDefault="007A7FD4" w:rsidP="00710731">
      <w:pPr>
        <w:spacing w:line="360" w:lineRule="auto"/>
        <w:jc w:val="both"/>
        <w:rPr>
          <w:rFonts w:ascii="Palatino Linotype" w:eastAsia="Palatino Linotype" w:hAnsi="Palatino Linotype" w:cs="Palatino Linotype"/>
          <w:i/>
        </w:rPr>
      </w:pPr>
      <w:r w:rsidRPr="00550FB3">
        <w:rPr>
          <w:rFonts w:ascii="Palatino Linotype" w:eastAsia="Palatino Linotype" w:hAnsi="Palatino Linotype" w:cs="Palatino Linotype"/>
        </w:rPr>
        <w:t xml:space="preserve">Oficio </w:t>
      </w:r>
      <w:r w:rsidRPr="00550FB3">
        <w:rPr>
          <w:rFonts w:ascii="Palatino Linotype" w:eastAsia="Palatino Linotype" w:hAnsi="Palatino Linotype" w:cs="Palatino Linotype"/>
          <w:i/>
        </w:rPr>
        <w:t xml:space="preserve">DFYA/632/2023 </w:t>
      </w:r>
      <w:r w:rsidRPr="00550FB3">
        <w:rPr>
          <w:rFonts w:ascii="Palatino Linotype" w:eastAsia="Palatino Linotype" w:hAnsi="Palatino Linotype" w:cs="Palatino Linotype"/>
        </w:rPr>
        <w:t xml:space="preserve">de fecha veintinueve de junio de dos mil veintitrés y mediante el cual la Dirección de Finanzas y Administración señaló que </w:t>
      </w:r>
      <w:r w:rsidRPr="00550FB3">
        <w:rPr>
          <w:rFonts w:ascii="Palatino Linotype" w:eastAsia="Palatino Linotype" w:hAnsi="Palatino Linotype" w:cs="Palatino Linotype"/>
          <w:i/>
        </w:rPr>
        <w:t xml:space="preserve">“… no es posible proporcionarlo ya que pueden vulnerar la integridad y seguridad de los servidores públicos sindicalizados.” (Sic) </w:t>
      </w:r>
    </w:p>
    <w:p w:rsidR="007A7FD4" w:rsidRPr="00550FB3" w:rsidRDefault="007A7FD4" w:rsidP="00710731">
      <w:pPr>
        <w:spacing w:line="360" w:lineRule="auto"/>
        <w:jc w:val="both"/>
        <w:rPr>
          <w:rFonts w:ascii="Palatino Linotype" w:eastAsia="Palatino Linotype" w:hAnsi="Palatino Linotype" w:cs="Palatino Linotype"/>
          <w:color w:val="000000"/>
        </w:rPr>
      </w:pPr>
    </w:p>
    <w:p w:rsidR="00751870" w:rsidRPr="00550FB3" w:rsidRDefault="00710731">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3</w:t>
      </w:r>
      <w:r w:rsidR="00043B42" w:rsidRPr="00550FB3">
        <w:rPr>
          <w:rFonts w:ascii="Palatino Linotype" w:eastAsia="Palatino Linotype" w:hAnsi="Palatino Linotype" w:cs="Palatino Linotype"/>
          <w:b/>
          <w:color w:val="000000"/>
        </w:rPr>
        <w:t xml:space="preserve">. Interposición del recurso de revisión. </w:t>
      </w:r>
      <w:r w:rsidR="00043B42" w:rsidRPr="00550FB3">
        <w:rPr>
          <w:rFonts w:ascii="Palatino Linotype" w:eastAsia="Palatino Linotype" w:hAnsi="Palatino Linotype" w:cs="Palatino Linotype"/>
          <w:color w:val="000000"/>
        </w:rPr>
        <w:t xml:space="preserve">Inconforme la entonces persona solicitante con la respuesta del </w:t>
      </w:r>
      <w:r w:rsidR="00043B42" w:rsidRPr="00550FB3">
        <w:rPr>
          <w:rFonts w:ascii="Palatino Linotype" w:eastAsia="Palatino Linotype" w:hAnsi="Palatino Linotype" w:cs="Palatino Linotype"/>
          <w:b/>
          <w:color w:val="000000"/>
        </w:rPr>
        <w:t>SUJETO OBLIGADO</w:t>
      </w:r>
      <w:r w:rsidR="00043B42" w:rsidRPr="00550FB3">
        <w:rPr>
          <w:rFonts w:ascii="Palatino Linotype" w:eastAsia="Palatino Linotype" w:hAnsi="Palatino Linotype" w:cs="Palatino Linotype"/>
          <w:color w:val="000000"/>
        </w:rPr>
        <w:t>, el día</w:t>
      </w:r>
      <w:r w:rsidR="00043B42" w:rsidRPr="00550FB3">
        <w:rPr>
          <w:rFonts w:ascii="Palatino Linotype" w:eastAsia="Palatino Linotype" w:hAnsi="Palatino Linotype" w:cs="Palatino Linotype"/>
          <w:b/>
          <w:color w:val="000000"/>
        </w:rPr>
        <w:t xml:space="preserve"> </w:t>
      </w:r>
      <w:r w:rsidR="007A7FD4" w:rsidRPr="00550FB3">
        <w:rPr>
          <w:rFonts w:ascii="Palatino Linotype" w:eastAsia="Palatino Linotype" w:hAnsi="Palatino Linotype" w:cs="Palatino Linotype"/>
          <w:b/>
          <w:color w:val="000000"/>
        </w:rPr>
        <w:t xml:space="preserve">catorce de julio </w:t>
      </w:r>
      <w:r w:rsidR="00043B42" w:rsidRPr="00550FB3">
        <w:rPr>
          <w:rFonts w:ascii="Palatino Linotype" w:eastAsia="Palatino Linotype" w:hAnsi="Palatino Linotype" w:cs="Palatino Linotype"/>
          <w:b/>
          <w:color w:val="000000"/>
        </w:rPr>
        <w:t>de dos mil veintitrés,</w:t>
      </w:r>
      <w:r w:rsidR="00043B42" w:rsidRPr="00550FB3">
        <w:rPr>
          <w:rFonts w:ascii="Palatino Linotype" w:eastAsia="Palatino Linotype" w:hAnsi="Palatino Linotype" w:cs="Palatino Linotype"/>
          <w:color w:val="000000"/>
        </w:rPr>
        <w:t xml:space="preserve"> interpuso el recurso de revisión a través del SAIMEX y se manifestó de la siguiente manera:</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tabs>
          <w:tab w:val="left" w:pos="2745"/>
        </w:tabs>
        <w:spacing w:line="360" w:lineRule="auto"/>
        <w:jc w:val="both"/>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 xml:space="preserve">Acto impugnado: </w:t>
      </w:r>
    </w:p>
    <w:p w:rsidR="00751870" w:rsidRPr="00550FB3" w:rsidRDefault="00751870" w:rsidP="006E255D">
      <w:pPr>
        <w:pStyle w:val="Citas"/>
        <w:spacing w:before="0" w:after="0" w:line="240" w:lineRule="auto"/>
      </w:pPr>
    </w:p>
    <w:p w:rsidR="00751870" w:rsidRPr="00550FB3" w:rsidRDefault="00043B42" w:rsidP="006E255D">
      <w:pPr>
        <w:pStyle w:val="Citas"/>
        <w:spacing w:before="0" w:after="0" w:line="240" w:lineRule="auto"/>
      </w:pPr>
      <w:r w:rsidRPr="00550FB3">
        <w:t>“</w:t>
      </w:r>
      <w:r w:rsidR="007A7FD4" w:rsidRPr="00550FB3">
        <w:t xml:space="preserve">Solicito en versión pública copia de los convenios laborales entre el O.P.D.S.A.P.A.S.E y el </w:t>
      </w:r>
      <w:proofErr w:type="spellStart"/>
      <w:r w:rsidR="007A7FD4" w:rsidRPr="00550FB3">
        <w:t>Suteym</w:t>
      </w:r>
      <w:proofErr w:type="spellEnd"/>
      <w:r w:rsidR="007A7FD4" w:rsidRPr="00550FB3">
        <w:t xml:space="preserve"> Ecatepec de los años 2019, 2020, 2021, 2022 y 2023</w:t>
      </w:r>
      <w:r w:rsidRPr="00550FB3">
        <w:t xml:space="preserve">” (Sic) </w:t>
      </w:r>
    </w:p>
    <w:p w:rsidR="00751870" w:rsidRPr="00550FB3" w:rsidRDefault="00751870" w:rsidP="006E255D">
      <w:pPr>
        <w:pStyle w:val="Citas"/>
        <w:spacing w:before="0" w:after="0" w:line="240" w:lineRule="auto"/>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b/>
        </w:rPr>
        <w:t>Razones o motivos de inconformidad</w:t>
      </w:r>
      <w:r w:rsidRPr="00550FB3">
        <w:rPr>
          <w:rFonts w:ascii="Palatino Linotype" w:eastAsia="Palatino Linotype" w:hAnsi="Palatino Linotype" w:cs="Palatino Linotype"/>
        </w:rPr>
        <w:t>:</w:t>
      </w:r>
    </w:p>
    <w:p w:rsidR="00751870" w:rsidRPr="00550FB3" w:rsidRDefault="00751870" w:rsidP="007A7FD4">
      <w:pPr>
        <w:pStyle w:val="Citas"/>
        <w:spacing w:before="0" w:after="0" w:line="240" w:lineRule="auto"/>
      </w:pPr>
    </w:p>
    <w:p w:rsidR="00751870" w:rsidRPr="00550FB3" w:rsidRDefault="00043B42" w:rsidP="007A7FD4">
      <w:pPr>
        <w:pStyle w:val="Citas"/>
        <w:spacing w:before="0" w:after="0" w:line="240" w:lineRule="auto"/>
        <w:rPr>
          <w:b/>
          <w:u w:val="single"/>
        </w:rPr>
      </w:pPr>
      <w:r w:rsidRPr="00550FB3">
        <w:t>“</w:t>
      </w:r>
      <w:r w:rsidR="007A7FD4" w:rsidRPr="00550FB3">
        <w:rPr>
          <w:color w:val="000000"/>
        </w:rPr>
        <w:t>pongo recurso de revisión ya que me responden que se puede vulnerar al personal sindicalizado, pedí versión pública de los convenios firmados 2019, 2020, 2021 y 2023 y eso no vulnera al sindicalizado</w:t>
      </w:r>
      <w:r w:rsidRPr="00550FB3">
        <w:t xml:space="preserve">” (Sic) </w:t>
      </w:r>
      <w:r w:rsidRPr="00550FB3">
        <w:rPr>
          <w:b/>
          <w:u w:val="single"/>
        </w:rPr>
        <w:t xml:space="preserve"> </w:t>
      </w:r>
    </w:p>
    <w:p w:rsidR="00751870" w:rsidRPr="00550FB3" w:rsidRDefault="00751870" w:rsidP="007A7FD4">
      <w:pPr>
        <w:pStyle w:val="Citas"/>
        <w:spacing w:before="0" w:after="0" w:line="240" w:lineRule="auto"/>
      </w:pPr>
    </w:p>
    <w:p w:rsidR="00751870" w:rsidRPr="00550FB3" w:rsidRDefault="006E255D">
      <w:pPr>
        <w:spacing w:line="360" w:lineRule="auto"/>
        <w:ind w:right="51"/>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lastRenderedPageBreak/>
        <w:t>4</w:t>
      </w:r>
      <w:r w:rsidR="00043B42" w:rsidRPr="00550FB3">
        <w:rPr>
          <w:rFonts w:ascii="Palatino Linotype" w:eastAsia="Palatino Linotype" w:hAnsi="Palatino Linotype" w:cs="Palatino Linotype"/>
          <w:b/>
          <w:color w:val="000000"/>
        </w:rPr>
        <w:t xml:space="preserve">. Turno. </w:t>
      </w:r>
      <w:r w:rsidR="00043B42" w:rsidRPr="00550FB3">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sidR="00043B42" w:rsidRPr="00550FB3">
        <w:rPr>
          <w:rFonts w:ascii="Palatino Linotype" w:eastAsia="Palatino Linotype" w:hAnsi="Palatino Linotype" w:cs="Palatino Linotype"/>
          <w:b/>
          <w:color w:val="000000"/>
        </w:rPr>
        <w:t xml:space="preserve">Comisionada Guadalupe Ramírez Peña, </w:t>
      </w:r>
      <w:r w:rsidR="00043B42" w:rsidRPr="00550FB3">
        <w:rPr>
          <w:rFonts w:ascii="Palatino Linotype" w:eastAsia="Palatino Linotype" w:hAnsi="Palatino Linotype" w:cs="Palatino Linotype"/>
          <w:color w:val="000000"/>
        </w:rPr>
        <w:t xml:space="preserve">a efecto de que analizara sobre su admisión o su </w:t>
      </w:r>
      <w:proofErr w:type="spellStart"/>
      <w:r w:rsidR="00043B42" w:rsidRPr="00550FB3">
        <w:rPr>
          <w:rFonts w:ascii="Palatino Linotype" w:eastAsia="Palatino Linotype" w:hAnsi="Palatino Linotype" w:cs="Palatino Linotype"/>
          <w:color w:val="000000"/>
        </w:rPr>
        <w:t>desechamiento</w:t>
      </w:r>
      <w:proofErr w:type="spellEnd"/>
      <w:r w:rsidR="00043B42" w:rsidRPr="00550FB3">
        <w:rPr>
          <w:rFonts w:ascii="Palatino Linotype" w:eastAsia="Palatino Linotype" w:hAnsi="Palatino Linotype" w:cs="Palatino Linotype"/>
          <w:color w:val="000000"/>
        </w:rPr>
        <w:t>.</w:t>
      </w:r>
    </w:p>
    <w:p w:rsidR="00751870" w:rsidRPr="00550FB3" w:rsidRDefault="00751870">
      <w:pPr>
        <w:spacing w:line="360" w:lineRule="auto"/>
        <w:ind w:right="51"/>
        <w:jc w:val="both"/>
        <w:rPr>
          <w:rFonts w:ascii="Palatino Linotype" w:eastAsia="Palatino Linotype" w:hAnsi="Palatino Linotype" w:cs="Palatino Linotype"/>
          <w:color w:val="000000"/>
        </w:rPr>
      </w:pPr>
    </w:p>
    <w:p w:rsidR="00751870" w:rsidRPr="00550FB3" w:rsidRDefault="006E255D">
      <w:pPr>
        <w:spacing w:line="360" w:lineRule="auto"/>
        <w:jc w:val="both"/>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5</w:t>
      </w:r>
      <w:r w:rsidR="00043B42" w:rsidRPr="00550FB3">
        <w:rPr>
          <w:rFonts w:ascii="Palatino Linotype" w:eastAsia="Palatino Linotype" w:hAnsi="Palatino Linotype" w:cs="Palatino Linotype"/>
          <w:b/>
          <w:color w:val="000000"/>
        </w:rPr>
        <w:t>. Admisión del Recurso de revisión.</w:t>
      </w:r>
      <w:r w:rsidR="00043B42" w:rsidRPr="00550FB3">
        <w:rPr>
          <w:rFonts w:ascii="Palatino Linotype" w:eastAsia="Palatino Linotype" w:hAnsi="Palatino Linotype" w:cs="Palatino Linotype"/>
          <w:color w:val="000000"/>
        </w:rPr>
        <w:t xml:space="preserve"> El</w:t>
      </w:r>
      <w:r w:rsidR="00043B42" w:rsidRPr="00550FB3">
        <w:rPr>
          <w:rFonts w:ascii="Palatino Linotype" w:eastAsia="Palatino Linotype" w:hAnsi="Palatino Linotype" w:cs="Palatino Linotype"/>
          <w:b/>
          <w:color w:val="000000"/>
        </w:rPr>
        <w:t xml:space="preserve"> </w:t>
      </w:r>
      <w:r w:rsidR="00BE672E" w:rsidRPr="00550FB3">
        <w:rPr>
          <w:rFonts w:ascii="Palatino Linotype" w:eastAsia="Palatino Linotype" w:hAnsi="Palatino Linotype" w:cs="Palatino Linotype"/>
          <w:b/>
          <w:color w:val="000000"/>
        </w:rPr>
        <w:t xml:space="preserve">dos de agosto de </w:t>
      </w:r>
      <w:r w:rsidR="00043B42" w:rsidRPr="00550FB3">
        <w:rPr>
          <w:rFonts w:ascii="Palatino Linotype" w:eastAsia="Palatino Linotype" w:hAnsi="Palatino Linotype" w:cs="Palatino Linotype"/>
          <w:b/>
          <w:color w:val="000000"/>
        </w:rPr>
        <w:t xml:space="preserve">dos mil veintitrés, </w:t>
      </w:r>
      <w:r w:rsidR="00043B42" w:rsidRPr="00550FB3">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sidR="00043B42" w:rsidRPr="00550FB3">
        <w:rPr>
          <w:rFonts w:ascii="Palatino Linotype" w:eastAsia="Palatino Linotype" w:hAnsi="Palatino Linotype" w:cs="Palatino Linotype"/>
          <w:b/>
          <w:color w:val="000000"/>
        </w:rPr>
        <w:t xml:space="preserve">EL SUJETO OBLIGADO </w:t>
      </w:r>
      <w:r w:rsidR="00043B42" w:rsidRPr="00550FB3">
        <w:rPr>
          <w:rFonts w:ascii="Palatino Linotype" w:eastAsia="Palatino Linotype" w:hAnsi="Palatino Linotype" w:cs="Palatino Linotype"/>
          <w:color w:val="000000"/>
        </w:rPr>
        <w:t>presentara su Informe Justificado.</w:t>
      </w:r>
    </w:p>
    <w:p w:rsidR="00751870" w:rsidRPr="00550FB3" w:rsidRDefault="00751870">
      <w:pPr>
        <w:spacing w:line="360" w:lineRule="auto"/>
        <w:jc w:val="both"/>
        <w:rPr>
          <w:rFonts w:ascii="Palatino Linotype" w:eastAsia="Palatino Linotype" w:hAnsi="Palatino Linotype" w:cs="Palatino Linotype"/>
          <w:b/>
          <w:color w:val="000000"/>
        </w:rPr>
      </w:pPr>
    </w:p>
    <w:p w:rsidR="00BE672E" w:rsidRPr="00550FB3" w:rsidRDefault="006E255D" w:rsidP="006E255D">
      <w:pPr>
        <w:spacing w:line="360" w:lineRule="auto"/>
        <w:ind w:right="49"/>
        <w:jc w:val="both"/>
        <w:rPr>
          <w:rFonts w:ascii="Palatino Linotype" w:eastAsia="Palatino Linotype" w:hAnsi="Palatino Linotype" w:cs="Palatino Linotype"/>
          <w:color w:val="000000"/>
        </w:rPr>
      </w:pPr>
      <w:bookmarkStart w:id="2" w:name="_heading=h.2s8eyo1" w:colFirst="0" w:colLast="0"/>
      <w:bookmarkEnd w:id="2"/>
      <w:r w:rsidRPr="00550FB3">
        <w:rPr>
          <w:rFonts w:ascii="Palatino Linotype" w:eastAsia="Palatino Linotype" w:hAnsi="Palatino Linotype" w:cs="Palatino Linotype"/>
          <w:b/>
          <w:color w:val="000000"/>
        </w:rPr>
        <w:t>6</w:t>
      </w:r>
      <w:r w:rsidR="00043B42" w:rsidRPr="00550FB3">
        <w:rPr>
          <w:rFonts w:ascii="Palatino Linotype" w:eastAsia="Palatino Linotype" w:hAnsi="Palatino Linotype" w:cs="Palatino Linotype"/>
          <w:b/>
          <w:color w:val="000000"/>
        </w:rPr>
        <w:t>. Manifestaciones</w:t>
      </w:r>
      <w:r w:rsidR="00043B42" w:rsidRPr="00550FB3">
        <w:rPr>
          <w:rFonts w:ascii="Palatino Linotype" w:eastAsia="Palatino Linotype" w:hAnsi="Palatino Linotype" w:cs="Palatino Linotype"/>
          <w:color w:val="000000"/>
        </w:rPr>
        <w:t xml:space="preserve">. De las constancias que integran el expediente electrónico en que se actúa se advierte </w:t>
      </w:r>
      <w:r w:rsidRPr="00550FB3">
        <w:rPr>
          <w:rFonts w:ascii="Palatino Linotype" w:eastAsia="Palatino Linotype" w:hAnsi="Palatino Linotype" w:cs="Palatino Linotype"/>
          <w:color w:val="000000"/>
        </w:rPr>
        <w:t xml:space="preserve">que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w:t>
      </w:r>
      <w:r w:rsidR="00BE672E" w:rsidRPr="00550FB3">
        <w:rPr>
          <w:rFonts w:ascii="Palatino Linotype" w:eastAsia="Palatino Linotype" w:hAnsi="Palatino Linotype" w:cs="Palatino Linotype"/>
          <w:color w:val="000000"/>
        </w:rPr>
        <w:t xml:space="preserve">como </w:t>
      </w:r>
      <w:r w:rsidRPr="00550FB3">
        <w:rPr>
          <w:rFonts w:ascii="Palatino Linotype" w:eastAsia="Palatino Linotype" w:hAnsi="Palatino Linotype" w:cs="Palatino Linotype"/>
          <w:b/>
          <w:color w:val="000000"/>
        </w:rPr>
        <w:t>LA PARTE RECURRENTE</w:t>
      </w:r>
      <w:r w:rsidR="00BE672E" w:rsidRPr="00550FB3">
        <w:rPr>
          <w:rFonts w:ascii="Palatino Linotype" w:eastAsia="Palatino Linotype" w:hAnsi="Palatino Linotype" w:cs="Palatino Linotype"/>
          <w:color w:val="000000"/>
        </w:rPr>
        <w:t xml:space="preserve"> dejaron de remitir su Informe Justificado como las manifestaciones respectivas, tal y como se hace constar: </w:t>
      </w:r>
    </w:p>
    <w:p w:rsidR="00BE672E" w:rsidRPr="00550FB3" w:rsidRDefault="00BE672E" w:rsidP="006E255D">
      <w:pPr>
        <w:spacing w:line="360" w:lineRule="auto"/>
        <w:ind w:right="49"/>
        <w:jc w:val="both"/>
        <w:rPr>
          <w:rFonts w:ascii="Palatino Linotype" w:eastAsia="Palatino Linotype" w:hAnsi="Palatino Linotype" w:cs="Palatino Linotype"/>
          <w:color w:val="000000"/>
        </w:rPr>
      </w:pPr>
    </w:p>
    <w:p w:rsidR="00BE672E" w:rsidRPr="00550FB3" w:rsidRDefault="00BE672E" w:rsidP="00BE672E">
      <w:pPr>
        <w:spacing w:line="360" w:lineRule="auto"/>
        <w:ind w:right="49"/>
        <w:jc w:val="center"/>
        <w:rPr>
          <w:rFonts w:ascii="Palatino Linotype" w:eastAsia="Palatino Linotype" w:hAnsi="Palatino Linotype" w:cs="Palatino Linotype"/>
          <w:color w:val="000000"/>
        </w:rPr>
      </w:pPr>
      <w:r w:rsidRPr="00550FB3">
        <w:rPr>
          <w:noProof/>
        </w:rPr>
        <w:drawing>
          <wp:inline distT="0" distB="0" distL="0" distR="0" wp14:anchorId="775BA8EB" wp14:editId="50A70EAE">
            <wp:extent cx="5200650" cy="128339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03701" cy="1284145"/>
                    </a:xfrm>
                    <a:prstGeom prst="rect">
                      <a:avLst/>
                    </a:prstGeom>
                  </pic:spPr>
                </pic:pic>
              </a:graphicData>
            </a:graphic>
          </wp:inline>
        </w:drawing>
      </w:r>
    </w:p>
    <w:p w:rsidR="00BE672E" w:rsidRPr="00550FB3" w:rsidRDefault="00BE672E">
      <w:pPr>
        <w:widowControl w:val="0"/>
        <w:spacing w:line="360" w:lineRule="auto"/>
        <w:jc w:val="both"/>
        <w:rPr>
          <w:rStyle w:val="Hipervnculo"/>
          <w:rFonts w:ascii="Palatino Linotype" w:hAnsi="Palatino Linotype" w:cs="Arial"/>
          <w:b/>
          <w:bCs/>
          <w:color w:val="auto"/>
          <w:u w:val="none"/>
        </w:rPr>
      </w:pPr>
    </w:p>
    <w:p w:rsidR="00751870" w:rsidRPr="00550FB3" w:rsidRDefault="00C70236">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7</w:t>
      </w:r>
      <w:r w:rsidR="00043B42" w:rsidRPr="00550FB3">
        <w:rPr>
          <w:rFonts w:ascii="Palatino Linotype" w:eastAsia="Palatino Linotype" w:hAnsi="Palatino Linotype" w:cs="Palatino Linotype"/>
          <w:b/>
          <w:color w:val="000000"/>
        </w:rPr>
        <w:t>. Ampliación del plazo para emitir resolución.</w:t>
      </w:r>
      <w:r w:rsidR="00043B42" w:rsidRPr="00550FB3">
        <w:rPr>
          <w:rFonts w:ascii="Palatino Linotype" w:eastAsia="Palatino Linotype" w:hAnsi="Palatino Linotype" w:cs="Palatino Linotype"/>
          <w:color w:val="000000"/>
        </w:rPr>
        <w:t xml:space="preserve"> El </w:t>
      </w:r>
      <w:r w:rsidR="00BE672E" w:rsidRPr="00550FB3">
        <w:rPr>
          <w:rFonts w:ascii="Palatino Linotype" w:eastAsia="Palatino Linotype" w:hAnsi="Palatino Linotype" w:cs="Palatino Linotype"/>
          <w:b/>
          <w:color w:val="000000"/>
        </w:rPr>
        <w:t xml:space="preserve">veintidós </w:t>
      </w:r>
      <w:r w:rsidRPr="00550FB3">
        <w:rPr>
          <w:rFonts w:ascii="Palatino Linotype" w:eastAsia="Palatino Linotype" w:hAnsi="Palatino Linotype" w:cs="Palatino Linotype"/>
          <w:b/>
          <w:color w:val="000000"/>
        </w:rPr>
        <w:t xml:space="preserve">de noviembre </w:t>
      </w:r>
      <w:r w:rsidR="00043B42" w:rsidRPr="00550FB3">
        <w:rPr>
          <w:rFonts w:ascii="Palatino Linotype" w:eastAsia="Palatino Linotype" w:hAnsi="Palatino Linotype" w:cs="Palatino Linotype"/>
          <w:b/>
          <w:color w:val="000000"/>
        </w:rPr>
        <w:t>de dos mil veintitrés,</w:t>
      </w:r>
      <w:r w:rsidR="00043B42" w:rsidRPr="00550FB3">
        <w:rPr>
          <w:rFonts w:ascii="Palatino Linotype" w:eastAsia="Palatino Linotype" w:hAnsi="Palatino Linotype" w:cs="Palatino Linotype"/>
          <w:color w:val="000000"/>
        </w:rPr>
        <w:t xml:space="preserve"> fue cuando este Instituto de Transparencia, Acceso a la Información </w:t>
      </w:r>
      <w:r w:rsidR="00043B42" w:rsidRPr="00550FB3">
        <w:rPr>
          <w:rFonts w:ascii="Palatino Linotype" w:eastAsia="Palatino Linotype" w:hAnsi="Palatino Linotype" w:cs="Palatino Linotype"/>
          <w:color w:val="000000"/>
        </w:rPr>
        <w:lastRenderedPageBreak/>
        <w:t>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Así, en términos de lo que establecen los artículos 8.1 y 25 de la Convención Americana sobre Derechos Humanos, los recursos deben ser sencillos y resolverse en el menor tiempo posible, tomando en consideración la dilación total del </w:t>
      </w:r>
      <w:r w:rsidRPr="00550FB3">
        <w:rPr>
          <w:rFonts w:ascii="Palatino Linotype" w:eastAsia="Palatino Linotype" w:hAnsi="Palatino Linotype" w:cs="Palatino Linotype"/>
          <w:color w:val="000000"/>
        </w:rPr>
        <w:lastRenderedPageBreak/>
        <w:t>procedimiento; esto es, en un plazo razonable.</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 xml:space="preserve">Complejidad del Asunto: </w:t>
      </w:r>
      <w:r w:rsidRPr="00550FB3">
        <w:rPr>
          <w:rFonts w:ascii="Palatino Linotype" w:eastAsia="Palatino Linotype" w:hAnsi="Palatino Linotype" w:cs="Palatino Linotype"/>
          <w:color w:val="000000"/>
        </w:rPr>
        <w:t xml:space="preserve">La complejidad de la prueba, la pluralidad de sujetos procesales, el tiempo transcurrido, las características y contexto del recurso. </w:t>
      </w:r>
    </w:p>
    <w:p w:rsidR="00751870" w:rsidRPr="00550FB3"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Actividad Procesal del interesado:</w:t>
      </w:r>
      <w:r w:rsidRPr="00550FB3">
        <w:rPr>
          <w:rFonts w:ascii="Palatino Linotype" w:eastAsia="Palatino Linotype" w:hAnsi="Palatino Linotype" w:cs="Palatino Linotype"/>
          <w:color w:val="000000"/>
        </w:rPr>
        <w:t xml:space="preserve"> Acciones u omisiones del interesado.</w:t>
      </w:r>
    </w:p>
    <w:p w:rsidR="00751870" w:rsidRPr="00550FB3"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Conducta de la Autoridad:</w:t>
      </w:r>
      <w:r w:rsidRPr="00550FB3">
        <w:rPr>
          <w:rFonts w:ascii="Palatino Linotype" w:eastAsia="Palatino Linotype" w:hAnsi="Palatino Linotype" w:cs="Palatino Linotype"/>
          <w:color w:val="000000"/>
        </w:rPr>
        <w:t xml:space="preserve"> Las Acciones u omisiones realizadas en el procedimiento. Así como si la autoridad actuó con la debida diligencia.</w:t>
      </w:r>
    </w:p>
    <w:p w:rsidR="00751870" w:rsidRPr="00550FB3" w:rsidRDefault="00043B42">
      <w:pPr>
        <w:widowControl w:val="0"/>
        <w:numPr>
          <w:ilvl w:val="0"/>
          <w:numId w:val="5"/>
        </w:num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La afectación generada en la situación jurídica de la persona involucrada en el proceso:</w:t>
      </w:r>
      <w:r w:rsidRPr="00550FB3">
        <w:rPr>
          <w:rFonts w:ascii="Palatino Linotype" w:eastAsia="Palatino Linotype" w:hAnsi="Palatino Linotype" w:cs="Palatino Linotype"/>
          <w:color w:val="000000"/>
        </w:rPr>
        <w:t xml:space="preserve"> Violación a sus derechos humanos.</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550FB3">
        <w:rPr>
          <w:rFonts w:ascii="Palatino Linotype" w:eastAsia="Palatino Linotype" w:hAnsi="Palatino Linotype" w:cs="Palatino Linotype"/>
          <w:color w:val="000000"/>
        </w:rPr>
        <w:lastRenderedPageBreak/>
        <w:t>considerarse normal, debe concluirse que es una excluyente de responsabilidad en relación con la actuación del funcionario, como ha acontecido en el caso que nos ocupa.</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Argumento que encuentra sustento en la jurisprudencia P</w:t>
      </w:r>
      <w:proofErr w:type="gramStart"/>
      <w:r w:rsidRPr="00550FB3">
        <w:rPr>
          <w:rFonts w:ascii="Palatino Linotype" w:eastAsia="Palatino Linotype" w:hAnsi="Palatino Linotype" w:cs="Palatino Linotype"/>
          <w:color w:val="000000"/>
        </w:rPr>
        <w:t>./</w:t>
      </w:r>
      <w:proofErr w:type="gramEnd"/>
      <w:r w:rsidRPr="00550FB3">
        <w:rPr>
          <w:rFonts w:ascii="Palatino Linotype" w:eastAsia="Palatino Linotype" w:hAnsi="Palatino Linotype" w:cs="Palatino Linotype"/>
          <w:color w:val="000000"/>
        </w:rPr>
        <w:t xml:space="preserve">J. 32/92 emitida por el Pleno de la Suprema Corte de Justicia de la Nación de rubro </w:t>
      </w:r>
      <w:r w:rsidRPr="00550FB3">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sidRPr="00550FB3">
        <w:rPr>
          <w:rFonts w:ascii="Palatino Linotype" w:eastAsia="Palatino Linotype" w:hAnsi="Palatino Linotype" w:cs="Palatino Linotype"/>
          <w:b/>
          <w:color w:val="000000"/>
        </w:rPr>
        <w:t>,</w:t>
      </w:r>
      <w:r w:rsidRPr="00550FB3">
        <w:rPr>
          <w:rFonts w:ascii="Palatino Linotype" w:eastAsia="Palatino Linotype" w:hAnsi="Palatino Linotype" w:cs="Palatino Linotype"/>
          <w:color w:val="000000"/>
        </w:rPr>
        <w:t xml:space="preserve"> visible en la Gaceta del Seminario Judicial de la Federación con el registro digital 205635.</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lastRenderedPageBreak/>
        <w:t>Al respecto, también son de considerar los criterios sostenidos por el Cuarto Tribunal Colegiado en Materia Administrativa del Primer Circuito, cuyos rubros y datos de identificación son los siguientes:</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i/>
          <w:color w:val="000000"/>
        </w:rPr>
        <w:t>“PLAZO RAZONABLE PARA RESOLVER. DIMENSIÓN Y EFECTOS DE ESTE CONCEPTO CUANDO SE ADUCE EXCESIVA CARGA DE TRABAJO.”</w:t>
      </w:r>
      <w:r w:rsidRPr="00550FB3">
        <w:rPr>
          <w:rFonts w:ascii="Palatino Linotype" w:eastAsia="Palatino Linotype" w:hAnsi="Palatino Linotype" w:cs="Palatino Linotype"/>
          <w:color w:val="000000"/>
        </w:rPr>
        <w:t xml:space="preserve"> consultable en el Seminario Judicial de la Federación y su gaceta, con el registro digital 2002351.</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i/>
          <w:color w:val="000000"/>
        </w:rPr>
        <w:t>“PLAZO RAZONABLE PARA RESOLVER. CONCEPTO Y ELEMENTOS QUE LO INTEGRAN A LA LUZ DEL DERECHO INTERNACIONAL DE LOS DERECHOS HUMANOS.”</w:t>
      </w:r>
      <w:r w:rsidRPr="00550FB3">
        <w:rPr>
          <w:rFonts w:ascii="Palatino Linotype" w:eastAsia="Palatino Linotype" w:hAnsi="Palatino Linotype" w:cs="Palatino Linotype"/>
          <w:b/>
          <w:color w:val="000000"/>
        </w:rPr>
        <w:t>,</w:t>
      </w:r>
      <w:r w:rsidRPr="00550FB3">
        <w:rPr>
          <w:rFonts w:ascii="Palatino Linotype" w:eastAsia="Palatino Linotype" w:hAnsi="Palatino Linotype" w:cs="Palatino Linotype"/>
          <w:color w:val="000000"/>
        </w:rPr>
        <w:t xml:space="preserve"> visible en el Seminario Judicial de la Federación y su gaceta, con el registro digital 2002350.</w:t>
      </w:r>
    </w:p>
    <w:p w:rsidR="00751870" w:rsidRPr="00550FB3" w:rsidRDefault="00751870">
      <w:pPr>
        <w:widowControl w:val="0"/>
        <w:spacing w:line="360" w:lineRule="auto"/>
        <w:jc w:val="both"/>
        <w:rPr>
          <w:rFonts w:ascii="Palatino Linotype" w:eastAsia="Palatino Linotype" w:hAnsi="Palatino Linotype" w:cs="Palatino Linotype"/>
          <w:color w:val="000000"/>
        </w:rPr>
      </w:pPr>
    </w:p>
    <w:p w:rsidR="00751870" w:rsidRPr="00550FB3" w:rsidRDefault="00043B42">
      <w:pPr>
        <w:widowControl w:val="0"/>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751870" w:rsidRPr="00550FB3" w:rsidRDefault="00751870">
      <w:pPr>
        <w:spacing w:line="360" w:lineRule="auto"/>
        <w:jc w:val="both"/>
        <w:rPr>
          <w:rFonts w:ascii="Palatino Linotype" w:eastAsia="Palatino Linotype" w:hAnsi="Palatino Linotype" w:cs="Palatino Linotype"/>
          <w:b/>
          <w:color w:val="000000"/>
        </w:rPr>
      </w:pPr>
    </w:p>
    <w:p w:rsidR="00C70236" w:rsidRPr="00550FB3" w:rsidRDefault="00C70236" w:rsidP="00C70236">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 xml:space="preserve">8. Cierre de instrucción. </w:t>
      </w:r>
      <w:r w:rsidRPr="00550FB3">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550FB3">
        <w:rPr>
          <w:rFonts w:ascii="Palatino Linotype" w:eastAsia="Palatino Linotype" w:hAnsi="Palatino Linotype" w:cs="Palatino Linotype"/>
        </w:rPr>
        <w:t>fecha</w:t>
      </w:r>
      <w:r w:rsidR="00695B0E" w:rsidRPr="00550FB3">
        <w:rPr>
          <w:rFonts w:ascii="Palatino Linotype" w:eastAsia="Palatino Linotype" w:hAnsi="Palatino Linotype" w:cs="Palatino Linotype"/>
          <w:b/>
        </w:rPr>
        <w:t xml:space="preserve"> </w:t>
      </w:r>
      <w:r w:rsidR="00BE672E" w:rsidRPr="00550FB3">
        <w:rPr>
          <w:rFonts w:ascii="Palatino Linotype" w:eastAsia="Palatino Linotype" w:hAnsi="Palatino Linotype" w:cs="Palatino Linotype"/>
          <w:b/>
        </w:rPr>
        <w:t xml:space="preserve">veintidós </w:t>
      </w:r>
      <w:r w:rsidR="00695B0E" w:rsidRPr="00550FB3">
        <w:rPr>
          <w:rFonts w:ascii="Palatino Linotype" w:eastAsia="Palatino Linotype" w:hAnsi="Palatino Linotype" w:cs="Palatino Linotype"/>
          <w:b/>
        </w:rPr>
        <w:t xml:space="preserve">de noviembre </w:t>
      </w:r>
      <w:r w:rsidRPr="00550FB3">
        <w:rPr>
          <w:rFonts w:ascii="Palatino Linotype" w:eastAsia="Palatino Linotype" w:hAnsi="Palatino Linotype" w:cs="Palatino Linotype"/>
          <w:b/>
        </w:rPr>
        <w:t>de dos mil veintitrés</w:t>
      </w:r>
      <w:r w:rsidRPr="00550FB3">
        <w:rPr>
          <w:rFonts w:ascii="Palatino Linotype" w:eastAsia="Palatino Linotype" w:hAnsi="Palatino Linotype" w:cs="Palatino Linotype"/>
        </w:rPr>
        <w:t xml:space="preserve">, la </w:t>
      </w:r>
      <w:r w:rsidRPr="00550FB3">
        <w:rPr>
          <w:rFonts w:ascii="Palatino Linotype" w:eastAsia="Palatino Linotype" w:hAnsi="Palatino Linotype" w:cs="Palatino Linotype"/>
          <w:b/>
        </w:rPr>
        <w:t xml:space="preserve">Comisionada </w:t>
      </w:r>
      <w:r w:rsidRPr="00550FB3">
        <w:rPr>
          <w:rFonts w:ascii="Palatino Linotype" w:eastAsia="Palatino Linotype" w:hAnsi="Palatino Linotype" w:cs="Palatino Linotype"/>
          <w:b/>
          <w:color w:val="000000"/>
        </w:rPr>
        <w:t>Ponente</w:t>
      </w:r>
      <w:r w:rsidRPr="00550FB3">
        <w:rPr>
          <w:rFonts w:ascii="Palatino Linotype" w:eastAsia="Palatino Linotype" w:hAnsi="Palatino Linotype" w:cs="Palatino Linotype"/>
          <w:color w:val="000000"/>
        </w:rPr>
        <w:t xml:space="preserve"> determinó el cierre de instrucción en términos de la fracción VI del artículo 185 de </w:t>
      </w:r>
      <w:r w:rsidRPr="00550FB3">
        <w:rPr>
          <w:rFonts w:ascii="Palatino Linotype" w:eastAsia="Palatino Linotype" w:hAnsi="Palatino Linotype" w:cs="Palatino Linotype"/>
          <w:color w:val="000000"/>
        </w:rPr>
        <w:lastRenderedPageBreak/>
        <w:t>la Ley de Transparencia y Acceso a la Información Pública del Estado de México y Municipios.</w:t>
      </w:r>
    </w:p>
    <w:p w:rsidR="00C70236" w:rsidRPr="00550FB3" w:rsidRDefault="00C70236">
      <w:pPr>
        <w:spacing w:line="360" w:lineRule="auto"/>
        <w:jc w:val="both"/>
        <w:rPr>
          <w:rFonts w:ascii="Palatino Linotype" w:eastAsia="Palatino Linotype" w:hAnsi="Palatino Linotype" w:cs="Palatino Linotype"/>
          <w:b/>
          <w:color w:val="000000"/>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rsidR="00751870" w:rsidRPr="00550FB3" w:rsidRDefault="00751870">
      <w:pPr>
        <w:spacing w:line="360" w:lineRule="auto"/>
        <w:jc w:val="both"/>
        <w:rPr>
          <w:rFonts w:ascii="Palatino Linotype" w:eastAsia="Palatino Linotype" w:hAnsi="Palatino Linotype" w:cs="Palatino Linotype"/>
          <w:color w:val="000000"/>
          <w:sz w:val="22"/>
          <w:szCs w:val="22"/>
        </w:rPr>
      </w:pPr>
    </w:p>
    <w:p w:rsidR="00751870" w:rsidRPr="00550FB3" w:rsidRDefault="00043B42">
      <w:pPr>
        <w:widowControl w:val="0"/>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C O N S I D E R A N D O:</w:t>
      </w:r>
    </w:p>
    <w:p w:rsidR="00751870" w:rsidRPr="00550FB3" w:rsidRDefault="00751870">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PRIMERO. COMPETENCIA.</w:t>
      </w:r>
      <w:r w:rsidRPr="00550FB3">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lastRenderedPageBreak/>
        <w:t>SEGUNDO. OPORTUNIDAD Y PROCEDIBILIDAD DEL RECURSO DE REVISIÓN</w:t>
      </w:r>
      <w:r w:rsidRPr="00550FB3">
        <w:rPr>
          <w:rFonts w:ascii="Palatino Linotype" w:eastAsia="Palatino Linotype" w:hAnsi="Palatino Linotype" w:cs="Palatino Linotype"/>
          <w:color w:val="000000"/>
        </w:rPr>
        <w:t xml:space="preserve">. Previo al estudio del fondo del asunto, se procede a analizar los requisitos de oportunidad y </w:t>
      </w:r>
      <w:proofErr w:type="spellStart"/>
      <w:r w:rsidRPr="00550FB3">
        <w:rPr>
          <w:rFonts w:ascii="Palatino Linotype" w:eastAsia="Palatino Linotype" w:hAnsi="Palatino Linotype" w:cs="Palatino Linotype"/>
          <w:color w:val="000000"/>
        </w:rPr>
        <w:t>procedibilidad</w:t>
      </w:r>
      <w:proofErr w:type="spellEnd"/>
      <w:r w:rsidRPr="00550FB3">
        <w:rPr>
          <w:rFonts w:ascii="Palatino Linotype" w:eastAsia="Palatino Linotype" w:hAnsi="Palatino Linotype" w:cs="Palatino Linotype"/>
          <w:color w:val="000000"/>
        </w:rPr>
        <w:t xml:space="preserve"> que debe reunir el recurso de revisión interpuesto, previstos en los artículos 178 y 180 de la Ley de Transparencia y Acceso a la Información Pública del Estado de México y Municipios.</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respondió a la solicitud de información el </w:t>
      </w:r>
      <w:r w:rsidR="00BE672E" w:rsidRPr="00550FB3">
        <w:rPr>
          <w:rFonts w:ascii="Palatino Linotype" w:eastAsia="Palatino Linotype" w:hAnsi="Palatino Linotype" w:cs="Palatino Linotype"/>
          <w:b/>
          <w:color w:val="000000"/>
        </w:rPr>
        <w:t xml:space="preserve">treinta de junio </w:t>
      </w:r>
      <w:r w:rsidRPr="00550FB3">
        <w:rPr>
          <w:rFonts w:ascii="Palatino Linotype" w:eastAsia="Palatino Linotype" w:hAnsi="Palatino Linotype" w:cs="Palatino Linotype"/>
          <w:b/>
          <w:color w:val="000000"/>
        </w:rPr>
        <w:t xml:space="preserve">de dos mil veintitrés, </w:t>
      </w:r>
      <w:r w:rsidRPr="00550FB3">
        <w:rPr>
          <w:rFonts w:ascii="Palatino Linotype" w:eastAsia="Palatino Linotype" w:hAnsi="Palatino Linotype" w:cs="Palatino Linotype"/>
          <w:color w:val="000000"/>
        </w:rPr>
        <w:t xml:space="preserve">mientras que el recurso de revisión se </w:t>
      </w:r>
      <w:r w:rsidRPr="00550FB3">
        <w:rPr>
          <w:rFonts w:ascii="Palatino Linotype" w:eastAsia="Palatino Linotype" w:hAnsi="Palatino Linotype" w:cs="Palatino Linotype"/>
        </w:rPr>
        <w:t xml:space="preserve">interpuso el </w:t>
      </w:r>
      <w:r w:rsidR="00BE672E" w:rsidRPr="00550FB3">
        <w:rPr>
          <w:rFonts w:ascii="Palatino Linotype" w:eastAsia="Palatino Linotype" w:hAnsi="Palatino Linotype" w:cs="Palatino Linotype"/>
          <w:b/>
        </w:rPr>
        <w:t xml:space="preserve">catorce de julio de dos </w:t>
      </w:r>
      <w:r w:rsidRPr="00550FB3">
        <w:rPr>
          <w:rFonts w:ascii="Palatino Linotype" w:eastAsia="Palatino Linotype" w:hAnsi="Palatino Linotype" w:cs="Palatino Linotype"/>
          <w:b/>
        </w:rPr>
        <w:t xml:space="preserve">mil </w:t>
      </w:r>
      <w:r w:rsidRPr="00550FB3">
        <w:rPr>
          <w:rFonts w:ascii="Palatino Linotype" w:eastAsia="Palatino Linotype" w:hAnsi="Palatino Linotype" w:cs="Palatino Linotype"/>
          <w:b/>
          <w:color w:val="000000"/>
        </w:rPr>
        <w:t>veintitrés</w:t>
      </w:r>
      <w:r w:rsidRPr="00550FB3">
        <w:rPr>
          <w:rFonts w:ascii="Palatino Linotype" w:eastAsia="Palatino Linotype" w:hAnsi="Palatino Linotype" w:cs="Palatino Linotype"/>
          <w:color w:val="000000"/>
        </w:rPr>
        <w:t xml:space="preserve">, esto es, al </w:t>
      </w:r>
      <w:r w:rsidR="00BE672E" w:rsidRPr="00550FB3">
        <w:rPr>
          <w:rFonts w:ascii="Palatino Linotype" w:eastAsia="Palatino Linotype" w:hAnsi="Palatino Linotype" w:cs="Palatino Linotype"/>
          <w:b/>
          <w:color w:val="000000"/>
        </w:rPr>
        <w:t>décimo</w:t>
      </w:r>
      <w:r w:rsidR="002700FB" w:rsidRPr="00550FB3">
        <w:rPr>
          <w:rFonts w:ascii="Palatino Linotype" w:eastAsia="Palatino Linotype" w:hAnsi="Palatino Linotype" w:cs="Palatino Linotype"/>
          <w:b/>
          <w:color w:val="000000"/>
        </w:rPr>
        <w:t xml:space="preserve"> </w:t>
      </w:r>
      <w:r w:rsidRPr="00550FB3">
        <w:rPr>
          <w:rFonts w:ascii="Palatino Linotype" w:eastAsia="Palatino Linotype" w:hAnsi="Palatino Linotype" w:cs="Palatino Linotype"/>
          <w:b/>
          <w:color w:val="000000"/>
        </w:rPr>
        <w:t>día hábil</w:t>
      </w:r>
      <w:r w:rsidRPr="00550FB3">
        <w:rPr>
          <w:rFonts w:ascii="Palatino Linotype" w:eastAsia="Palatino Linotype" w:hAnsi="Palatino Linotype" w:cs="Palatino Linotype"/>
          <w:color w:val="000000"/>
        </w:rPr>
        <w:t xml:space="preserve"> posterior en que tuvo conocimiento de la respuesta impugnada.</w:t>
      </w:r>
    </w:p>
    <w:p w:rsidR="00751870" w:rsidRPr="00550FB3" w:rsidRDefault="00751870">
      <w:pPr>
        <w:spacing w:line="360" w:lineRule="auto"/>
        <w:jc w:val="both"/>
        <w:rPr>
          <w:rFonts w:ascii="Palatino Linotype" w:eastAsia="Palatino Linotype" w:hAnsi="Palatino Linotype" w:cs="Palatino Linotype"/>
        </w:rPr>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Al mismo tiempo, por cuanto hace a la </w:t>
      </w:r>
      <w:proofErr w:type="spellStart"/>
      <w:r w:rsidRPr="00550FB3">
        <w:rPr>
          <w:rFonts w:ascii="Palatino Linotype" w:eastAsia="Palatino Linotype" w:hAnsi="Palatino Linotype" w:cs="Palatino Linotype"/>
        </w:rPr>
        <w:t>procedibilidad</w:t>
      </w:r>
      <w:proofErr w:type="spellEnd"/>
      <w:r w:rsidRPr="00550FB3">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51870" w:rsidRPr="00550FB3" w:rsidRDefault="00751870">
      <w:pPr>
        <w:spacing w:line="360" w:lineRule="auto"/>
        <w:jc w:val="both"/>
        <w:rPr>
          <w:rFonts w:ascii="Palatino Linotype" w:eastAsia="Palatino Linotype" w:hAnsi="Palatino Linotype" w:cs="Palatino Linotype"/>
        </w:rPr>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A efecto de sustentar lo anterior, es de suma importancia mencionar que si bien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w:t>
      </w:r>
      <w:r w:rsidRPr="00550FB3">
        <w:rPr>
          <w:rFonts w:ascii="Palatino Linotype" w:eastAsia="Palatino Linotype" w:hAnsi="Palatino Linotype" w:cs="Palatino Linotype"/>
          <w:b/>
        </w:rPr>
        <w:t xml:space="preserve">no proporcionó nombre o seudónimo para ser identificada </w:t>
      </w:r>
      <w:r w:rsidRPr="00550FB3">
        <w:rPr>
          <w:rFonts w:ascii="Palatino Linotype" w:eastAsia="Palatino Linotype" w:hAnsi="Palatino Linotype" w:cs="Palatino Linotype"/>
        </w:rPr>
        <w:t xml:space="preserve">como se advierte en el detalle de seguimiento del SAIMEX, sin </w:t>
      </w:r>
      <w:r w:rsidRPr="00550FB3">
        <w:rPr>
          <w:rFonts w:ascii="Palatino Linotype" w:eastAsia="Palatino Linotype" w:hAnsi="Palatino Linotype" w:cs="Palatino Linotype"/>
        </w:rPr>
        <w:lastRenderedPageBreak/>
        <w:t>embargo, el no proporcionarlo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b/>
          <w:i/>
          <w:color w:val="404040"/>
          <w:sz w:val="22"/>
          <w:szCs w:val="22"/>
        </w:rPr>
        <w:t>Las solicitudes anónimas</w:t>
      </w:r>
      <w:r w:rsidRPr="00550FB3">
        <w:rPr>
          <w:rFonts w:ascii="Palatino Linotype" w:eastAsia="Palatino Linotype" w:hAnsi="Palatino Linotype" w:cs="Palatino Linotype"/>
          <w:i/>
          <w:color w:val="404040"/>
          <w:sz w:val="22"/>
          <w:szCs w:val="22"/>
        </w:rPr>
        <w:t xml:space="preserve">, con nombre incompleto o seudónimo </w:t>
      </w:r>
      <w:r w:rsidRPr="00550FB3">
        <w:rPr>
          <w:rFonts w:ascii="Palatino Linotype" w:eastAsia="Palatino Linotype" w:hAnsi="Palatino Linotype" w:cs="Palatino Linotype"/>
          <w:b/>
          <w:i/>
          <w:color w:val="404040"/>
          <w:sz w:val="22"/>
          <w:szCs w:val="22"/>
        </w:rPr>
        <w:t>serán procedentes para su trámite por parte del sujeto obligado ante quien se presente</w:t>
      </w:r>
      <w:r w:rsidRPr="00550FB3">
        <w:rPr>
          <w:rFonts w:ascii="Palatino Linotype" w:eastAsia="Palatino Linotype" w:hAnsi="Palatino Linotype" w:cs="Palatino Linotype"/>
          <w:i/>
          <w:color w:val="404040"/>
          <w:sz w:val="22"/>
          <w:szCs w:val="22"/>
        </w:rPr>
        <w:t>. No podrá requerirse información adicional con motivo del nombre proporcionado por el solicitante.</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404040"/>
        </w:rPr>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o seudónimo de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por lo que, en el presente caso, al haber sido presentado el recurso de revisión vía SAIMEX, dicho requisito resulta innecesario.</w:t>
      </w:r>
    </w:p>
    <w:p w:rsidR="00751870" w:rsidRPr="00550FB3" w:rsidRDefault="00751870">
      <w:pPr>
        <w:spacing w:line="360" w:lineRule="auto"/>
        <w:jc w:val="both"/>
        <w:rPr>
          <w:rFonts w:ascii="Palatino Linotype" w:eastAsia="Palatino Linotype" w:hAnsi="Palatino Linotype" w:cs="Palatino Linotype"/>
        </w:rPr>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color w:val="000000"/>
        </w:rPr>
        <w:t xml:space="preserve">Asimismo, por cuanto hace a la </w:t>
      </w:r>
      <w:proofErr w:type="spellStart"/>
      <w:r w:rsidRPr="00550FB3">
        <w:rPr>
          <w:rFonts w:ascii="Palatino Linotype" w:eastAsia="Palatino Linotype" w:hAnsi="Palatino Linotype" w:cs="Palatino Linotype"/>
          <w:color w:val="000000"/>
        </w:rPr>
        <w:t>procedibilidad</w:t>
      </w:r>
      <w:proofErr w:type="spellEnd"/>
      <w:r w:rsidRPr="00550FB3">
        <w:rPr>
          <w:rFonts w:ascii="Palatino Linotype" w:eastAsia="Palatino Linotype" w:hAnsi="Palatino Linotype" w:cs="Palatino Linotype"/>
          <w:color w:val="000000"/>
        </w:rPr>
        <w:t xml:space="preserve"> del recurso de revisión, es de suma importancia señalar que </w:t>
      </w:r>
      <w:r w:rsidRPr="00550FB3">
        <w:rPr>
          <w:rFonts w:ascii="Palatino Linotype" w:eastAsia="Palatino Linotype" w:hAnsi="Palatino Linotype" w:cs="Palatino Linotype"/>
        </w:rPr>
        <w:t>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lastRenderedPageBreak/>
        <w:t>Finalmente, se advierte que resulta procedente la interposición del recurso, según lo manifestado por el recurrente en sus motivos de inconformid</w:t>
      </w:r>
      <w:r w:rsidR="002700FB" w:rsidRPr="00550FB3">
        <w:rPr>
          <w:rFonts w:ascii="Palatino Linotype" w:eastAsia="Palatino Linotype" w:hAnsi="Palatino Linotype" w:cs="Palatino Linotype"/>
          <w:color w:val="000000"/>
        </w:rPr>
        <w:t xml:space="preserve">ad, de acuerdo a la fracción </w:t>
      </w:r>
      <w:r w:rsidR="00BE672E" w:rsidRPr="00550FB3">
        <w:rPr>
          <w:rFonts w:ascii="Palatino Linotype" w:eastAsia="Palatino Linotype" w:hAnsi="Palatino Linotype" w:cs="Palatino Linotype"/>
          <w:color w:val="000000"/>
        </w:rPr>
        <w:t>I</w:t>
      </w:r>
      <w:r w:rsidRPr="00550FB3">
        <w:rPr>
          <w:rFonts w:ascii="Palatino Linotype" w:eastAsia="Palatino Linotype" w:hAnsi="Palatino Linotype" w:cs="Palatino Linotype"/>
          <w:color w:val="000000"/>
        </w:rPr>
        <w:t xml:space="preserve"> del artículo 179 del ordenamiento le</w:t>
      </w:r>
      <w:r w:rsidR="002700FB" w:rsidRPr="00550FB3">
        <w:rPr>
          <w:rFonts w:ascii="Palatino Linotype" w:eastAsia="Palatino Linotype" w:hAnsi="Palatino Linotype" w:cs="Palatino Linotype"/>
          <w:color w:val="000000"/>
        </w:rPr>
        <w:t>gal citado, que a la letra dice</w:t>
      </w:r>
      <w:r w:rsidRPr="00550FB3">
        <w:rPr>
          <w:rFonts w:ascii="Palatino Linotype" w:eastAsia="Palatino Linotype" w:hAnsi="Palatino Linotype" w:cs="Palatino Linotype"/>
          <w:color w:val="000000"/>
        </w:rPr>
        <w:t>: </w:t>
      </w:r>
    </w:p>
    <w:p w:rsidR="00751870" w:rsidRPr="00550FB3" w:rsidRDefault="00751870">
      <w:pPr>
        <w:jc w:val="both"/>
        <w:rPr>
          <w:rFonts w:ascii="Palatino Linotype" w:eastAsia="Palatino Linotype" w:hAnsi="Palatino Linotype" w:cs="Palatino Linotype"/>
          <w:color w:val="000000"/>
        </w:rPr>
      </w:pPr>
    </w:p>
    <w:p w:rsidR="00751870" w:rsidRPr="00550FB3" w:rsidRDefault="00043B42" w:rsidP="00BE672E">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Artículo 179.</w:t>
      </w:r>
      <w:r w:rsidRPr="00550FB3">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rsidR="00751870" w:rsidRPr="00550FB3" w:rsidRDefault="00BE672E">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550FB3">
        <w:rPr>
          <w:rFonts w:ascii="Palatino Linotype" w:eastAsia="Palatino Linotype" w:hAnsi="Palatino Linotype" w:cs="Palatino Linotype"/>
          <w:b/>
          <w:i/>
          <w:color w:val="000000"/>
          <w:sz w:val="22"/>
          <w:szCs w:val="22"/>
        </w:rPr>
        <w:t>I</w:t>
      </w:r>
      <w:r w:rsidR="00043B42" w:rsidRPr="00550FB3">
        <w:rPr>
          <w:rFonts w:ascii="Palatino Linotype" w:eastAsia="Palatino Linotype" w:hAnsi="Palatino Linotype" w:cs="Palatino Linotype"/>
          <w:b/>
          <w:i/>
          <w:color w:val="000000"/>
          <w:sz w:val="22"/>
          <w:szCs w:val="22"/>
        </w:rPr>
        <w:t xml:space="preserve">. La </w:t>
      </w:r>
      <w:r w:rsidRPr="00550FB3">
        <w:rPr>
          <w:rFonts w:ascii="Palatino Linotype" w:eastAsia="Palatino Linotype" w:hAnsi="Palatino Linotype" w:cs="Palatino Linotype"/>
          <w:b/>
          <w:i/>
          <w:color w:val="000000"/>
          <w:sz w:val="22"/>
          <w:szCs w:val="22"/>
        </w:rPr>
        <w:t xml:space="preserve">negativa a la información solicitada; </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550FB3">
        <w:rPr>
          <w:rFonts w:ascii="Palatino Linotype" w:eastAsia="Palatino Linotype" w:hAnsi="Palatino Linotype" w:cs="Palatino Linotype"/>
          <w:b/>
          <w:i/>
          <w:color w:val="000000"/>
          <w:sz w:val="22"/>
          <w:szCs w:val="22"/>
        </w:rPr>
        <w:t>(…)</w:t>
      </w:r>
    </w:p>
    <w:p w:rsidR="00751870" w:rsidRPr="00550FB3" w:rsidRDefault="00751870">
      <w:pPr>
        <w:pBdr>
          <w:top w:val="nil"/>
          <w:left w:val="nil"/>
          <w:bottom w:val="nil"/>
          <w:right w:val="nil"/>
          <w:between w:val="nil"/>
        </w:pBdr>
        <w:ind w:right="864"/>
        <w:jc w:val="both"/>
        <w:rPr>
          <w:rFonts w:ascii="Palatino Linotype" w:eastAsia="Palatino Linotype" w:hAnsi="Palatino Linotype" w:cs="Palatino Linotype"/>
          <w:i/>
          <w:color w:val="000000"/>
          <w:sz w:val="22"/>
          <w:szCs w:val="22"/>
        </w:rPr>
      </w:pPr>
    </w:p>
    <w:p w:rsidR="00751870" w:rsidRPr="00550FB3" w:rsidRDefault="00043B42">
      <w:pP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 xml:space="preserve">TERCERO. MATERIA DE LA REVISIÓN. </w:t>
      </w:r>
      <w:r w:rsidRPr="00550FB3">
        <w:rPr>
          <w:rFonts w:ascii="Palatino Linotype" w:eastAsia="Palatino Linotype" w:hAnsi="Palatino Linotype" w:cs="Palatino Linotype"/>
          <w:color w:val="000000"/>
        </w:rPr>
        <w:t>De la revisión a las constancias y documentos que obran en el expediente electrónico se advierte, que el tema sobre el que este Órgano Garante se pronunciará será: verificar si la respuesta otorgada por</w:t>
      </w:r>
      <w:r w:rsidRPr="00550FB3">
        <w:rPr>
          <w:rFonts w:ascii="Palatino Linotype" w:eastAsia="Palatino Linotype" w:hAnsi="Palatino Linotype" w:cs="Palatino Linotype"/>
          <w:b/>
          <w:color w:val="000000"/>
        </w:rPr>
        <w:t xml:space="preserve"> EL SUJETO OBLIGADO </w:t>
      </w:r>
      <w:r w:rsidRPr="00550FB3">
        <w:rPr>
          <w:rFonts w:ascii="Palatino Linotype" w:eastAsia="Palatino Linotype" w:hAnsi="Palatino Linotype" w:cs="Palatino Linotype"/>
          <w:color w:val="000000"/>
        </w:rPr>
        <w:t>es adecuada y suficiente para satisfacer el Derecho de Acceso a la Información Pública</w:t>
      </w:r>
      <w:r w:rsidRPr="00550FB3">
        <w:rPr>
          <w:rFonts w:ascii="Palatino Linotype" w:eastAsia="Palatino Linotype" w:hAnsi="Palatino Linotype" w:cs="Palatino Linotype"/>
          <w:b/>
          <w:color w:val="000000"/>
        </w:rPr>
        <w:t xml:space="preserve"> </w:t>
      </w:r>
      <w:r w:rsidRPr="00550FB3">
        <w:rPr>
          <w:rFonts w:ascii="Palatino Linotype" w:eastAsia="Palatino Linotype" w:hAnsi="Palatino Linotype" w:cs="Palatino Linotype"/>
          <w:color w:val="000000"/>
        </w:rPr>
        <w:t xml:space="preserve">de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xml:space="preserve"> o en su defecto, en caso de ser procedente, ordenar la entrega de información oportuna.</w:t>
      </w:r>
    </w:p>
    <w:p w:rsidR="00751870" w:rsidRPr="00550FB3" w:rsidRDefault="00751870">
      <w:pPr>
        <w:spacing w:line="360" w:lineRule="auto"/>
        <w:jc w:val="both"/>
        <w:rPr>
          <w:rFonts w:ascii="Palatino Linotype" w:eastAsia="Palatino Linotype" w:hAnsi="Palatino Linotype" w:cs="Palatino Linotype"/>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 xml:space="preserve">CUARTO. ESTUDIO DEL ASUNTO. </w:t>
      </w:r>
      <w:r w:rsidRPr="00550FB3">
        <w:rPr>
          <w:rFonts w:ascii="Palatino Linotype" w:eastAsia="Palatino Linotype" w:hAnsi="Palatino Linotype" w:cs="Palatino Linotype"/>
          <w:color w:val="000000"/>
        </w:rPr>
        <w:t xml:space="preserve">Antes de entrar al análisis de los pronunciamientos del </w:t>
      </w:r>
      <w:r w:rsidRPr="00550FB3">
        <w:rPr>
          <w:rFonts w:ascii="Palatino Linotype" w:eastAsia="Palatino Linotype" w:hAnsi="Palatino Linotype" w:cs="Palatino Linotype"/>
          <w:b/>
          <w:color w:val="000000"/>
        </w:rPr>
        <w:t>SUJETO OBLIGADO</w:t>
      </w:r>
      <w:r w:rsidRPr="00550FB3">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550FB3">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550FB3">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550FB3">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0FB3">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550FB3">
        <w:rPr>
          <w:rFonts w:ascii="Palatino Linotype" w:eastAsia="Palatino Linotype" w:hAnsi="Palatino Linotype" w:cs="Palatino Linotype"/>
          <w:b/>
          <w:i/>
          <w:color w:val="000000"/>
          <w:sz w:val="22"/>
          <w:szCs w:val="22"/>
        </w:rPr>
        <w:t>Artículo 6o.</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rPr>
      </w:pPr>
      <w:r w:rsidRPr="00550FB3">
        <w:rPr>
          <w:rFonts w:ascii="Palatino Linotype" w:eastAsia="Palatino Linotype" w:hAnsi="Palatino Linotype" w:cs="Palatino Linotype"/>
          <w:i/>
          <w:color w:val="000000"/>
          <w:sz w:val="22"/>
          <w:szCs w:val="22"/>
        </w:rPr>
        <w:t>[...]</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 xml:space="preserve">A. Para el ejercicio del derecho de acceso a la información, la Federación y </w:t>
      </w:r>
      <w:r w:rsidRPr="00550FB3">
        <w:rPr>
          <w:rFonts w:ascii="Palatino Linotype" w:eastAsia="Palatino Linotype" w:hAnsi="Palatino Linotype" w:cs="Palatino Linotype"/>
          <w:b/>
          <w:i/>
          <w:color w:val="000000"/>
          <w:sz w:val="22"/>
          <w:szCs w:val="22"/>
          <w:u w:val="single"/>
        </w:rPr>
        <w:t>las entidades federativas</w:t>
      </w:r>
      <w:r w:rsidRPr="00550FB3">
        <w:rPr>
          <w:rFonts w:ascii="Palatino Linotype" w:eastAsia="Palatino Linotype" w:hAnsi="Palatino Linotype" w:cs="Palatino Linotype"/>
          <w:b/>
          <w:i/>
          <w:color w:val="000000"/>
          <w:sz w:val="22"/>
          <w:szCs w:val="22"/>
        </w:rPr>
        <w:t>,</w:t>
      </w:r>
      <w:r w:rsidRPr="00550FB3">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 </w:t>
      </w:r>
      <w:r w:rsidRPr="00550FB3">
        <w:rPr>
          <w:rFonts w:ascii="Palatino Linotype" w:eastAsia="Palatino Linotype" w:hAnsi="Palatino Linotype" w:cs="Palatino Linotype"/>
          <w:b/>
          <w:i/>
          <w:color w:val="000000"/>
          <w:sz w:val="22"/>
          <w:szCs w:val="22"/>
        </w:rPr>
        <w:t xml:space="preserve">I. </w:t>
      </w:r>
      <w:r w:rsidRPr="00550FB3">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sidRPr="00550FB3">
        <w:rPr>
          <w:rFonts w:ascii="Palatino Linotype" w:eastAsia="Palatino Linotype" w:hAnsi="Palatino Linotype" w:cs="Palatino Linotype"/>
          <w:i/>
          <w:color w:val="000000"/>
          <w:sz w:val="22"/>
          <w:szCs w:val="22"/>
        </w:rPr>
        <w:t xml:space="preserve"> Ejecutivo, Legislativo </w:t>
      </w:r>
      <w:r w:rsidRPr="00550FB3">
        <w:rPr>
          <w:rFonts w:ascii="Palatino Linotype" w:eastAsia="Palatino Linotype" w:hAnsi="Palatino Linotype" w:cs="Palatino Linotype"/>
          <w:b/>
          <w:i/>
          <w:color w:val="000000"/>
          <w:sz w:val="22"/>
          <w:szCs w:val="22"/>
          <w:u w:val="single"/>
        </w:rPr>
        <w:t>y Judicial</w:t>
      </w:r>
      <w:r w:rsidRPr="00550FB3">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50FB3">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sidRPr="00550FB3">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550FB3">
        <w:rPr>
          <w:rFonts w:ascii="Palatino Linotype" w:eastAsia="Palatino Linotype" w:hAnsi="Palatino Linotype" w:cs="Palatino Linotype"/>
          <w:i/>
          <w:color w:val="000000"/>
          <w:sz w:val="22"/>
          <w:szCs w:val="22"/>
        </w:rPr>
        <w:lastRenderedPageBreak/>
        <w:t> </w:t>
      </w:r>
      <w:r w:rsidRPr="00550FB3">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 </w:t>
      </w:r>
      <w:r w:rsidRPr="00550FB3">
        <w:rPr>
          <w:rFonts w:ascii="Palatino Linotype" w:eastAsia="Palatino Linotype" w:hAnsi="Palatino Linotype" w:cs="Palatino Linotype"/>
          <w:b/>
          <w:i/>
          <w:color w:val="000000"/>
          <w:sz w:val="22"/>
          <w:szCs w:val="22"/>
        </w:rPr>
        <w:t xml:space="preserve">III. </w:t>
      </w:r>
      <w:r w:rsidRPr="00550FB3">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sidRPr="00550FB3">
        <w:rPr>
          <w:rFonts w:ascii="Palatino Linotype" w:eastAsia="Palatino Linotype" w:hAnsi="Palatino Linotype" w:cs="Palatino Linotype"/>
          <w:i/>
          <w:color w:val="000000"/>
          <w:sz w:val="22"/>
          <w:szCs w:val="22"/>
        </w:rPr>
        <w:t xml:space="preserve"> a sus datos personales o a la rectificación de éstos.</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 </w:t>
      </w:r>
      <w:r w:rsidRPr="00550FB3">
        <w:rPr>
          <w:rFonts w:ascii="Palatino Linotype" w:eastAsia="Palatino Linotype" w:hAnsi="Palatino Linotype" w:cs="Palatino Linotype"/>
          <w:b/>
          <w:i/>
          <w:color w:val="000000"/>
          <w:sz w:val="22"/>
          <w:szCs w:val="22"/>
        </w:rPr>
        <w:t xml:space="preserve">IV. </w:t>
      </w:r>
      <w:r w:rsidRPr="00550FB3">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 xml:space="preserve">V. </w:t>
      </w:r>
      <w:r w:rsidRPr="00550FB3">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 </w:t>
      </w:r>
      <w:r w:rsidRPr="00550FB3">
        <w:rPr>
          <w:rFonts w:ascii="Palatino Linotype" w:eastAsia="Palatino Linotype" w:hAnsi="Palatino Linotype" w:cs="Palatino Linotype"/>
          <w:b/>
          <w:i/>
          <w:color w:val="000000"/>
          <w:sz w:val="22"/>
          <w:szCs w:val="22"/>
        </w:rPr>
        <w:t xml:space="preserve">VI. </w:t>
      </w:r>
      <w:r w:rsidRPr="00550FB3">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 </w:t>
      </w:r>
      <w:r w:rsidRPr="00550FB3">
        <w:rPr>
          <w:rFonts w:ascii="Palatino Linotype" w:eastAsia="Palatino Linotype" w:hAnsi="Palatino Linotype" w:cs="Palatino Linotype"/>
          <w:b/>
          <w:i/>
          <w:color w:val="000000"/>
          <w:sz w:val="22"/>
          <w:szCs w:val="22"/>
        </w:rPr>
        <w:t xml:space="preserve">VII. </w:t>
      </w:r>
      <w:r w:rsidRPr="00550FB3">
        <w:rPr>
          <w:rFonts w:ascii="Palatino Linotype" w:eastAsia="Palatino Linotype" w:hAnsi="Palatino Linotype" w:cs="Palatino Linotype"/>
          <w:i/>
          <w:color w:val="000000"/>
          <w:sz w:val="22"/>
          <w:szCs w:val="22"/>
        </w:rPr>
        <w:t xml:space="preserve">La inobservancia a las disposiciones en materia de acceso a la información pública será sancionada en los términos que dispongan las leyes. </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w:t>
      </w:r>
    </w:p>
    <w:p w:rsidR="00751870" w:rsidRPr="00550FB3" w:rsidRDefault="00751870">
      <w:pPr>
        <w:rPr>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w:t>
      </w:r>
      <w:r w:rsidRPr="00550FB3">
        <w:rPr>
          <w:rFonts w:ascii="Palatino Linotype" w:eastAsia="Palatino Linotype" w:hAnsi="Palatino Linotype" w:cs="Palatino Linotype"/>
          <w:color w:val="000000"/>
        </w:rPr>
        <w:lastRenderedPageBreak/>
        <w:t>privilegiando el principio de máxima publicidad, como así lo establece dicha determinación, que a continuación se transcribe para un mejor entendimiento:</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Artículo 4</w:t>
      </w:r>
      <w:r w:rsidRPr="00550FB3">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b/>
          <w:i/>
          <w:color w:val="000000"/>
          <w:sz w:val="22"/>
          <w:szCs w:val="22"/>
        </w:rPr>
      </w:pPr>
      <w:r w:rsidRPr="00550FB3">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751870" w:rsidRPr="00550FB3" w:rsidRDefault="00751870">
      <w:pPr>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rsidR="00751870" w:rsidRPr="00550FB3"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751870" w:rsidRPr="00550FB3" w:rsidRDefault="00751870">
      <w:pPr>
        <w:pBdr>
          <w:top w:val="nil"/>
          <w:left w:val="nil"/>
          <w:bottom w:val="nil"/>
          <w:right w:val="nil"/>
          <w:between w:val="nil"/>
        </w:pBdr>
        <w:ind w:left="864" w:right="864"/>
        <w:jc w:val="both"/>
        <w:rPr>
          <w:i/>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Artículo 12</w:t>
      </w:r>
      <w:r w:rsidRPr="00550FB3">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rsidR="00751870" w:rsidRPr="00550FB3" w:rsidRDefault="00751870">
      <w:pPr>
        <w:pBdr>
          <w:top w:val="nil"/>
          <w:left w:val="nil"/>
          <w:bottom w:val="nil"/>
          <w:right w:val="nil"/>
          <w:between w:val="nil"/>
        </w:pBdr>
        <w:ind w:left="864" w:right="864"/>
        <w:jc w:val="both"/>
        <w:rPr>
          <w:i/>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51870" w:rsidRPr="00550FB3" w:rsidRDefault="00751870">
      <w:pPr>
        <w:pBdr>
          <w:top w:val="nil"/>
          <w:left w:val="nil"/>
          <w:bottom w:val="nil"/>
          <w:right w:val="nil"/>
          <w:between w:val="nil"/>
        </w:pBdr>
        <w:ind w:left="864" w:right="864"/>
        <w:jc w:val="both"/>
        <w:rPr>
          <w:i/>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sidRPr="00550FB3">
        <w:rPr>
          <w:rFonts w:ascii="Palatino Linotype" w:eastAsia="Palatino Linotype" w:hAnsi="Palatino Linotype" w:cs="Palatino Linotype"/>
          <w:b/>
          <w:color w:val="000000"/>
        </w:rPr>
        <w:t xml:space="preserve"> </w:t>
      </w:r>
      <w:r w:rsidRPr="00550FB3">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sidRPr="00550FB3">
        <w:rPr>
          <w:rFonts w:ascii="Palatino Linotype" w:eastAsia="Palatino Linotype" w:hAnsi="Palatino Linotype" w:cs="Palatino Linotype"/>
          <w:i/>
          <w:color w:val="000000"/>
        </w:rPr>
        <w:t>ad hoc</w:t>
      </w:r>
      <w:r w:rsidRPr="00550FB3">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751870" w:rsidRPr="00550FB3" w:rsidRDefault="00751870">
      <w:pPr>
        <w:pBdr>
          <w:top w:val="nil"/>
          <w:left w:val="nil"/>
          <w:bottom w:val="nil"/>
          <w:right w:val="nil"/>
          <w:between w:val="nil"/>
        </w:pBdr>
        <w:spacing w:line="360" w:lineRule="auto"/>
        <w:jc w:val="both"/>
        <w:rPr>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03/17</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NO EXISTE OBLIGACIÓN DE ELABORAR DOCUMENTOS AD HOC PARA ATENDER LAS SOLICITUDES DE ACCESO A LA INFORMACIÓN.</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lastRenderedPageBreak/>
        <w:t>Por otra parte, y aunado a lo antepuesto, el último párrafo del artículo 24 de la Ley de la materia, dispone que los Sujetos Obligados solo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751870" w:rsidRPr="00550FB3" w:rsidRDefault="00751870">
      <w:pPr>
        <w:pBdr>
          <w:top w:val="nil"/>
          <w:left w:val="nil"/>
          <w:bottom w:val="nil"/>
          <w:right w:val="nil"/>
          <w:between w:val="nil"/>
        </w:pBdr>
        <w:spacing w:line="360" w:lineRule="auto"/>
        <w:jc w:val="both"/>
        <w:rPr>
          <w:color w:val="000000"/>
        </w:rPr>
      </w:pPr>
    </w:p>
    <w:p w:rsidR="00751870" w:rsidRPr="00550FB3" w:rsidRDefault="00043B4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751870" w:rsidRPr="00550FB3" w:rsidRDefault="00751870">
      <w:pPr>
        <w:pBdr>
          <w:top w:val="nil"/>
          <w:left w:val="nil"/>
          <w:bottom w:val="nil"/>
          <w:right w:val="nil"/>
          <w:between w:val="nil"/>
        </w:pBdr>
        <w:spacing w:line="360" w:lineRule="auto"/>
        <w:ind w:right="49"/>
        <w:jc w:val="both"/>
        <w:rPr>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50FB3">
        <w:rPr>
          <w:rFonts w:ascii="Palatino Linotype" w:eastAsia="Palatino Linotype" w:hAnsi="Palatino Linotype" w:cs="Palatino Linotype"/>
          <w:color w:val="000000"/>
        </w:rPr>
        <w:lastRenderedPageBreak/>
        <w:t>informático u holográfico de conformidad con el artículo 3, fracción XI de la Ley de la materia, el cual señala lo siguiente: </w:t>
      </w:r>
    </w:p>
    <w:p w:rsidR="00751870" w:rsidRPr="00550FB3"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 xml:space="preserve">Artículo 3. </w:t>
      </w:r>
      <w:r w:rsidRPr="00550FB3">
        <w:rPr>
          <w:rFonts w:ascii="Palatino Linotype" w:eastAsia="Palatino Linotype" w:hAnsi="Palatino Linotype" w:cs="Palatino Linotype"/>
          <w:i/>
          <w:color w:val="000000"/>
          <w:sz w:val="22"/>
          <w:szCs w:val="22"/>
        </w:rPr>
        <w:t>Para los efectos de la presente Ley se entenderá por:</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XI. Documento:</w:t>
      </w:r>
      <w:r w:rsidRPr="00550FB3">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b/>
          <w:i/>
          <w:color w:val="000000"/>
          <w:sz w:val="22"/>
          <w:szCs w:val="22"/>
        </w:rPr>
        <w:t>(…</w:t>
      </w:r>
      <w:r w:rsidRPr="00550FB3">
        <w:rPr>
          <w:rFonts w:ascii="Palatino Linotype" w:eastAsia="Palatino Linotype" w:hAnsi="Palatino Linotype" w:cs="Palatino Linotype"/>
          <w:i/>
          <w:color w:val="000000"/>
          <w:sz w:val="22"/>
          <w:szCs w:val="22"/>
        </w:rPr>
        <w:t>)</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550FB3" w:rsidRDefault="00043B42">
      <w:pPr>
        <w:pBdr>
          <w:top w:val="nil"/>
          <w:left w:val="nil"/>
          <w:bottom w:val="nil"/>
          <w:right w:val="nil"/>
          <w:between w:val="nil"/>
        </w:pBdr>
        <w:spacing w:line="360" w:lineRule="auto"/>
        <w:jc w:val="both"/>
        <w:rPr>
          <w:color w:val="000000"/>
        </w:rPr>
      </w:pPr>
      <w:r w:rsidRPr="00550FB3">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751870" w:rsidRPr="00550FB3" w:rsidRDefault="00751870">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CRITERIO 0002-11</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lastRenderedPageBreak/>
        <w:t>1. Que se trate de información registrada en cualquier soporte documental, que en ejercicio de las atribuciones conferidas, sea generada por los Sujetos Obligados;</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2. Que se trate de información registrada en cualquier soporte documental, que en ejercicio de las atribuciones conferidas, sea administrada por los Sujetos Obligados, y</w:t>
      </w:r>
    </w:p>
    <w:p w:rsidR="00751870" w:rsidRPr="00550FB3" w:rsidRDefault="00043B42">
      <w:pPr>
        <w:pBdr>
          <w:top w:val="nil"/>
          <w:left w:val="nil"/>
          <w:bottom w:val="nil"/>
          <w:right w:val="nil"/>
          <w:between w:val="nil"/>
        </w:pBdr>
        <w:ind w:left="864" w:right="864"/>
        <w:jc w:val="both"/>
        <w:rPr>
          <w:rFonts w:ascii="Palatino Linotype" w:eastAsia="Palatino Linotype" w:hAnsi="Palatino Linotype" w:cs="Palatino Linotype"/>
          <w:i/>
          <w:color w:val="000000"/>
          <w:sz w:val="22"/>
          <w:szCs w:val="22"/>
        </w:rPr>
      </w:pPr>
      <w:r w:rsidRPr="00550FB3">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w:t>
      </w:r>
    </w:p>
    <w:p w:rsidR="00751870" w:rsidRPr="00550FB3" w:rsidRDefault="00751870">
      <w:pPr>
        <w:pBdr>
          <w:top w:val="nil"/>
          <w:left w:val="nil"/>
          <w:bottom w:val="nil"/>
          <w:right w:val="nil"/>
          <w:between w:val="nil"/>
        </w:pBdr>
        <w:spacing w:line="360" w:lineRule="auto"/>
        <w:jc w:val="both"/>
        <w:rPr>
          <w:rFonts w:ascii="Palatino Linotype" w:eastAsia="Palatino Linotype" w:hAnsi="Palatino Linotype" w:cs="Palatino Linotype"/>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De ahí que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751870" w:rsidRPr="00550FB3" w:rsidRDefault="0075187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Apuntado lo anterior y del análisis de la solicitud</w:t>
      </w:r>
      <w:r w:rsidRPr="00550FB3">
        <w:rPr>
          <w:rFonts w:ascii="Palatino Linotype" w:eastAsia="Palatino Linotype" w:hAnsi="Palatino Linotype" w:cs="Palatino Linotype"/>
          <w:b/>
          <w:color w:val="333333"/>
        </w:rPr>
        <w:t>,</w:t>
      </w:r>
      <w:r w:rsidRPr="00550FB3">
        <w:rPr>
          <w:rFonts w:ascii="Palatino Linotype" w:eastAsia="Palatino Linotype" w:hAnsi="Palatino Linotype" w:cs="Palatino Linotype"/>
          <w:color w:val="000000"/>
        </w:rPr>
        <w:t xml:space="preserve"> motivo del recurso de revisión que ahora se resuelve, se advierte que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xml:space="preserve"> requirió al </w:t>
      </w:r>
      <w:r w:rsidRPr="00550FB3">
        <w:rPr>
          <w:rFonts w:ascii="Palatino Linotype" w:eastAsia="Palatino Linotype" w:hAnsi="Palatino Linotype" w:cs="Palatino Linotype"/>
          <w:b/>
          <w:color w:val="000000"/>
        </w:rPr>
        <w:t>SUJETO OBLIGADO</w:t>
      </w:r>
      <w:r w:rsidRPr="00550FB3">
        <w:rPr>
          <w:rFonts w:ascii="Palatino Linotype" w:eastAsia="Palatino Linotype" w:hAnsi="Palatino Linotype" w:cs="Palatino Linotype"/>
          <w:color w:val="000000"/>
        </w:rPr>
        <w:t xml:space="preserve"> le proporcionara</w:t>
      </w:r>
      <w:r w:rsidRPr="00550FB3">
        <w:rPr>
          <w:rFonts w:ascii="Palatino Linotype" w:eastAsia="Palatino Linotype" w:hAnsi="Palatino Linotype" w:cs="Palatino Linotype"/>
        </w:rPr>
        <w:t xml:space="preserve"> </w:t>
      </w:r>
      <w:r w:rsidR="0053434B" w:rsidRPr="00550FB3">
        <w:rPr>
          <w:rFonts w:ascii="Palatino Linotype" w:eastAsia="Palatino Linotype" w:hAnsi="Palatino Linotype" w:cs="Palatino Linotype"/>
          <w:color w:val="000000"/>
        </w:rPr>
        <w:t xml:space="preserve">de los años dos mil </w:t>
      </w:r>
      <w:r w:rsidR="00BE672E" w:rsidRPr="00550FB3">
        <w:rPr>
          <w:rFonts w:ascii="Palatino Linotype" w:eastAsia="Palatino Linotype" w:hAnsi="Palatino Linotype" w:cs="Palatino Linotype"/>
          <w:color w:val="000000"/>
        </w:rPr>
        <w:t xml:space="preserve">diecinueve al dos mil veintitrés, </w:t>
      </w:r>
      <w:r w:rsidR="0053434B" w:rsidRPr="00550FB3">
        <w:rPr>
          <w:rFonts w:ascii="Palatino Linotype" w:eastAsia="Palatino Linotype" w:hAnsi="Palatino Linotype" w:cs="Palatino Linotype"/>
          <w:color w:val="000000"/>
        </w:rPr>
        <w:t xml:space="preserve">lo siguiente: </w:t>
      </w: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53434B" w:rsidRPr="00550FB3" w:rsidRDefault="00BE672E" w:rsidP="00BE672E">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hAnsi="Palatino Linotype"/>
          <w:color w:val="000000"/>
        </w:rPr>
        <w:t xml:space="preserve">Versión pública de la copia de los convenios laborales entre </w:t>
      </w:r>
      <w:r w:rsidRPr="00550FB3">
        <w:rPr>
          <w:rFonts w:ascii="Palatino Linotype" w:hAnsi="Palatino Linotype"/>
          <w:b/>
          <w:color w:val="000000"/>
        </w:rPr>
        <w:t>EL SUJETO OBLIGADO</w:t>
      </w:r>
      <w:r w:rsidRPr="00550FB3">
        <w:rPr>
          <w:rFonts w:ascii="Palatino Linotype" w:hAnsi="Palatino Linotype"/>
          <w:color w:val="000000"/>
        </w:rPr>
        <w:t xml:space="preserve"> y el SUTEYM Ecatepec. </w:t>
      </w:r>
    </w:p>
    <w:p w:rsidR="0053434B" w:rsidRPr="00550FB3" w:rsidRDefault="0053434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lastRenderedPageBreak/>
        <w:t xml:space="preserve">Atento a dicho requerimiento, el Sistema de Agua Potable, Alcantarillado y Saneamiento de Ecatepec de Morelos señaló una imposibilidad para entregar la información solicitada, pues argumentó que la misma puede vulnerar la integridad y seguridad de las personas servidoras públicas sindicalizadas. </w:t>
      </w: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550FB3">
        <w:rPr>
          <w:rFonts w:ascii="Palatino Linotype" w:eastAsia="Palatino Linotype" w:hAnsi="Palatino Linotype" w:cs="Palatino Linotype"/>
          <w:color w:val="000000"/>
        </w:rPr>
        <w:t xml:space="preserve">Así pues es que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xml:space="preserve"> decide accionar este medio de defensa, arguyendo que </w:t>
      </w:r>
      <w:r w:rsidRPr="00550FB3">
        <w:rPr>
          <w:rFonts w:ascii="Palatino Linotype" w:eastAsia="Palatino Linotype" w:hAnsi="Palatino Linotype" w:cs="Palatino Linotype"/>
          <w:i/>
          <w:color w:val="000000"/>
        </w:rPr>
        <w:t>“…</w:t>
      </w:r>
      <w:r w:rsidRPr="00550FB3">
        <w:rPr>
          <w:rFonts w:ascii="Palatino Linotype" w:hAnsi="Palatino Linotype"/>
          <w:i/>
          <w:color w:val="000000"/>
        </w:rPr>
        <w:t> me responden que se puede vulnerar al personal sindicalizado, pedí versión pública de los convenios firmados 2019, 2020, 2021 y 2023 y eso no vulnera al sindicalizado” (Sic)</w:t>
      </w:r>
      <w:r w:rsidRPr="00550FB3">
        <w:rPr>
          <w:rFonts w:ascii="Palatino Linotype" w:eastAsia="Palatino Linotype" w:hAnsi="Palatino Linotype" w:cs="Palatino Linotype"/>
          <w:i/>
          <w:color w:val="000000"/>
        </w:rPr>
        <w:t xml:space="preserve"> </w:t>
      </w: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En ese sentido y de las constancias que integran a este expediente resulta que tanto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como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xml:space="preserve"> dejaron de emitir tanto su Informe Justificado como las manifestaciones que a Derecho resultaran convenientes. </w:t>
      </w: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E672E" w:rsidRPr="00550FB3" w:rsidRDefault="00BE67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En ese caso es procedente analizar el Marco Normativo que faculta o no al </w:t>
      </w:r>
      <w:r w:rsidRPr="00550FB3">
        <w:rPr>
          <w:rFonts w:ascii="Palatino Linotype" w:eastAsia="Palatino Linotype" w:hAnsi="Palatino Linotype" w:cs="Palatino Linotype"/>
          <w:b/>
          <w:color w:val="000000"/>
        </w:rPr>
        <w:t xml:space="preserve">SUJETO OBLIGADO </w:t>
      </w:r>
      <w:r w:rsidRPr="00550FB3">
        <w:rPr>
          <w:rFonts w:ascii="Palatino Linotype" w:eastAsia="Palatino Linotype" w:hAnsi="Palatino Linotype" w:cs="Palatino Linotype"/>
          <w:color w:val="000000"/>
        </w:rPr>
        <w:t xml:space="preserve">para dotar de la información requerida: </w:t>
      </w:r>
    </w:p>
    <w:p w:rsidR="00BE672E" w:rsidRPr="00550FB3" w:rsidRDefault="00BE672E" w:rsidP="00FB4B50">
      <w:pPr>
        <w:pStyle w:val="Citas"/>
        <w:spacing w:before="0" w:after="0" w:line="240" w:lineRule="auto"/>
      </w:pPr>
    </w:p>
    <w:p w:rsidR="00FC1B07" w:rsidRPr="00550FB3" w:rsidRDefault="00FC1B07" w:rsidP="00FB4B50">
      <w:pPr>
        <w:pStyle w:val="Citas"/>
        <w:spacing w:before="0" w:after="0" w:line="240" w:lineRule="auto"/>
        <w:rPr>
          <w:b/>
        </w:rPr>
      </w:pPr>
      <w:r w:rsidRPr="00550FB3">
        <w:rPr>
          <w:b/>
        </w:rPr>
        <w:t>LEY ORGÁNICA MUNICIPAL DEL ESTADO DE MÉXICO</w:t>
      </w:r>
    </w:p>
    <w:p w:rsidR="00FC1B07" w:rsidRPr="00550FB3" w:rsidRDefault="00FC1B07" w:rsidP="00FB4B50">
      <w:pPr>
        <w:pStyle w:val="Citas"/>
        <w:spacing w:before="0" w:after="0" w:line="240" w:lineRule="auto"/>
      </w:pPr>
      <w:r w:rsidRPr="00550FB3">
        <w:t xml:space="preserve">CAPITULO SEPTIMO De los Servicios Públicos </w:t>
      </w:r>
    </w:p>
    <w:p w:rsidR="00FC1B07" w:rsidRPr="00550FB3" w:rsidRDefault="00FC1B07" w:rsidP="00FB4B50">
      <w:pPr>
        <w:pStyle w:val="Citas"/>
        <w:spacing w:before="0" w:after="0" w:line="240" w:lineRule="auto"/>
      </w:pPr>
      <w:r w:rsidRPr="00550FB3">
        <w:t xml:space="preserve">Artículo 125.- Los municipios tendrán a su cargo la prestación, explotación, administración y conservación de los servicios públicos municipales, considerándose enunciativa y no limitativamente, los siguientes: </w:t>
      </w:r>
    </w:p>
    <w:p w:rsidR="00FC1B07" w:rsidRPr="00550FB3" w:rsidRDefault="00FC1B07" w:rsidP="00FB4B50">
      <w:pPr>
        <w:pStyle w:val="Citas"/>
        <w:spacing w:before="0" w:after="0" w:line="240" w:lineRule="auto"/>
        <w:rPr>
          <w:b/>
        </w:rPr>
      </w:pPr>
      <w:r w:rsidRPr="00550FB3">
        <w:rPr>
          <w:b/>
        </w:rPr>
        <w:t>I. Agua potable, alcantarillado, saneamiento y aguas residuales;</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p>
    <w:p w:rsidR="00FC1B07" w:rsidRPr="00550FB3" w:rsidRDefault="00FC1B07" w:rsidP="00FB4B50">
      <w:pPr>
        <w:pStyle w:val="Citas"/>
        <w:spacing w:before="0" w:after="0" w:line="240" w:lineRule="auto"/>
        <w:rPr>
          <w:b/>
        </w:rPr>
      </w:pPr>
      <w:r w:rsidRPr="00550FB3">
        <w:rPr>
          <w:b/>
        </w:rPr>
        <w:t xml:space="preserve">LEY DEL AGUA PARA EL ESTADO DE MÉXICO Y MUNICIPIOS </w:t>
      </w:r>
    </w:p>
    <w:p w:rsidR="00FC1B07" w:rsidRPr="00550FB3" w:rsidRDefault="00FC1B07" w:rsidP="00FB4B50">
      <w:pPr>
        <w:pStyle w:val="Citas"/>
        <w:spacing w:before="0" w:after="0" w:line="240" w:lineRule="auto"/>
      </w:pPr>
      <w:r w:rsidRPr="00550FB3">
        <w:lastRenderedPageBreak/>
        <w:t>Artículo 6.- Para efectos de esta Ley se entenderá por:</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r w:rsidRPr="00550FB3">
        <w:t>L. Organismo operador: Organismo operador de agua, que puede ser una dependencia estatal o municipal, u organismo descentralizado municipal o intermunicipal que en los términos de la presente Ley tiene la responsabilidad de administrar y operar los servicios, conservar, dar mantenimiento, rehabilitar y ampliar los sistemas de suministro, de drenaje y de alcantarillado, y en su caso, el tratamiento de aguas y su reúso, así como la disposición final de sus productos resultantes, dentro del ámbito territorial que le corresponda;</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p>
    <w:p w:rsidR="00FC1B07" w:rsidRPr="00550FB3" w:rsidRDefault="00FC1B07" w:rsidP="00FB4B50">
      <w:pPr>
        <w:pStyle w:val="Citas"/>
        <w:spacing w:before="0" w:after="0" w:line="240" w:lineRule="auto"/>
      </w:pPr>
      <w:r w:rsidRPr="00550FB3">
        <w:t xml:space="preserve">SECCIÓN SEXTA DE LOS ORGANISMOS OPERADORES DE AGUA </w:t>
      </w:r>
    </w:p>
    <w:p w:rsidR="00FC1B07" w:rsidRPr="00550FB3" w:rsidRDefault="00FC1B07" w:rsidP="00FB4B50">
      <w:pPr>
        <w:pStyle w:val="Citas"/>
        <w:spacing w:before="0" w:after="0" w:line="240" w:lineRule="auto"/>
      </w:pPr>
      <w:r w:rsidRPr="00550FB3">
        <w:t xml:space="preserve">Artículo 37.- Los organismos operadores podrán ser municipales o intermunicipales. Tendrán personalidad jurídica y </w:t>
      </w:r>
      <w:proofErr w:type="gramStart"/>
      <w:r w:rsidRPr="00550FB3">
        <w:t>patrimonio propios</w:t>
      </w:r>
      <w:proofErr w:type="gramEnd"/>
      <w:r w:rsidRPr="00550FB3">
        <w:t>, así como autonomía técnica y administrativa en el manejo de sus recursos. Serán autoridad fiscal conforme a lo dispuesto en el Código Financiero y ejercerán los actos de autoridad que les señale la presente Ley, su Reglamento y demás disposiciones aplicables.</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p>
    <w:p w:rsidR="00FC1B07" w:rsidRPr="00550FB3" w:rsidRDefault="00FC1B07" w:rsidP="00FB4B50">
      <w:pPr>
        <w:pStyle w:val="Citas"/>
        <w:spacing w:before="0" w:after="0" w:line="240" w:lineRule="auto"/>
        <w:rPr>
          <w:b/>
        </w:rPr>
      </w:pPr>
      <w:r w:rsidRPr="00550FB3">
        <w:rPr>
          <w:b/>
        </w:rPr>
        <w:t>BANDO MUNICIPAL ECATEPEC DE MORELOS 2023</w:t>
      </w:r>
    </w:p>
    <w:p w:rsidR="00FC1B07" w:rsidRPr="00550FB3" w:rsidRDefault="00FC1B07" w:rsidP="00FB4B50">
      <w:pPr>
        <w:pStyle w:val="Citas"/>
        <w:spacing w:before="0" w:after="0" w:line="240" w:lineRule="auto"/>
        <w:rPr>
          <w:b/>
        </w:rPr>
      </w:pPr>
      <w:r w:rsidRPr="00550FB3">
        <w:rPr>
          <w:b/>
        </w:rPr>
        <w:t>TÍTULO DÉCIMO De las Dependencias de la Administración Pública Municipal</w:t>
      </w:r>
    </w:p>
    <w:p w:rsidR="00FC1B07" w:rsidRPr="00550FB3" w:rsidRDefault="00FC1B07" w:rsidP="00FB4B50">
      <w:pPr>
        <w:pStyle w:val="Citas"/>
        <w:spacing w:before="0" w:after="0" w:line="240" w:lineRule="auto"/>
        <w:rPr>
          <w:b/>
        </w:rPr>
      </w:pPr>
      <w:r w:rsidRPr="00550FB3">
        <w:rPr>
          <w:b/>
        </w:rPr>
        <w:t>CAPÍTULO I Disposiciones Generales</w:t>
      </w:r>
    </w:p>
    <w:p w:rsidR="00FC1B07" w:rsidRPr="00550FB3" w:rsidRDefault="00FC1B07" w:rsidP="00FB4B50">
      <w:pPr>
        <w:pStyle w:val="Citas"/>
        <w:spacing w:before="0" w:after="0" w:line="240" w:lineRule="auto"/>
        <w:rPr>
          <w:b/>
        </w:rPr>
      </w:pPr>
      <w:r w:rsidRPr="00550FB3">
        <w:rPr>
          <w:b/>
        </w:rPr>
        <w:t>Artículo 44. Para el ejercicio de sus atribuciones, tanto el H. Ayuntamiento como el Presidente Municipal se auxiliarán de las siguientes dependencias que estarán subordinadas a este último:</w:t>
      </w:r>
    </w:p>
    <w:p w:rsidR="00FC1B07" w:rsidRPr="00550FB3" w:rsidRDefault="00FC1B07" w:rsidP="00FB4B50">
      <w:pPr>
        <w:pStyle w:val="Citas"/>
        <w:spacing w:before="0" w:after="0" w:line="240" w:lineRule="auto"/>
        <w:rPr>
          <w:b/>
        </w:rPr>
      </w:pPr>
      <w:r w:rsidRPr="00550FB3">
        <w:rPr>
          <w:b/>
        </w:rPr>
        <w:t>(…)</w:t>
      </w:r>
    </w:p>
    <w:p w:rsidR="00FC1B07" w:rsidRPr="00550FB3" w:rsidRDefault="00FC1B07" w:rsidP="00FB4B50">
      <w:pPr>
        <w:pStyle w:val="Citas"/>
        <w:spacing w:before="0" w:after="0" w:line="240" w:lineRule="auto"/>
      </w:pPr>
      <w:r w:rsidRPr="00550FB3">
        <w:t xml:space="preserve">VIII.- Organismos Públicos Descentralizados: </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r w:rsidRPr="00550FB3">
        <w:t>b. Para la Prestación de los Servicios de Agua Potable, Alcantarillado y Saneamiento de Ecatepec de Morelos; (S.A.P.A.S.E), y</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p>
    <w:p w:rsidR="00FC1B07" w:rsidRPr="00550FB3" w:rsidRDefault="00FC1B07" w:rsidP="00FB4B50">
      <w:pPr>
        <w:pStyle w:val="Citas"/>
        <w:spacing w:before="0" w:after="0" w:line="240" w:lineRule="auto"/>
      </w:pPr>
      <w:r w:rsidRPr="00550FB3">
        <w:t xml:space="preserve">TÍTULO DÉCIMO QUINTO De los Organismos Públicos Descentralizados </w:t>
      </w:r>
    </w:p>
    <w:p w:rsidR="00FC1B07" w:rsidRPr="00550FB3" w:rsidRDefault="00FC1B07" w:rsidP="00FB4B50">
      <w:pPr>
        <w:pStyle w:val="Citas"/>
        <w:spacing w:before="0" w:after="0" w:line="240" w:lineRule="auto"/>
      </w:pPr>
      <w:r w:rsidRPr="00550FB3">
        <w:t xml:space="preserve">CAPÍTULO I Generalidades </w:t>
      </w:r>
    </w:p>
    <w:p w:rsidR="00FC1B07" w:rsidRPr="00550FB3" w:rsidRDefault="00FC1B07" w:rsidP="00FB4B50">
      <w:pPr>
        <w:pStyle w:val="Citas"/>
        <w:spacing w:before="0" w:after="0" w:line="240" w:lineRule="auto"/>
      </w:pPr>
      <w:r w:rsidRPr="00550FB3">
        <w:t>Artículo 97. Los Organismos Públicos Descentralizados denominados:</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r w:rsidRPr="00550FB3">
        <w:lastRenderedPageBreak/>
        <w:t>b. Para la Prestación de los Servicios de Agua Potable, Alcantarillado y Saneamiento de Ecatepec de Morelos (SAPASE); y</w:t>
      </w:r>
    </w:p>
    <w:p w:rsidR="00FC1B07" w:rsidRPr="00550FB3" w:rsidRDefault="00FC1B07" w:rsidP="00FB4B50">
      <w:pPr>
        <w:pStyle w:val="Citas"/>
        <w:spacing w:before="0" w:after="0" w:line="240" w:lineRule="auto"/>
      </w:pPr>
      <w:r w:rsidRPr="00550FB3">
        <w:t>(…)</w:t>
      </w:r>
    </w:p>
    <w:p w:rsidR="00FC1B07" w:rsidRPr="00550FB3" w:rsidRDefault="00FC1B07" w:rsidP="00FB4B50">
      <w:pPr>
        <w:pStyle w:val="Citas"/>
        <w:spacing w:before="0" w:after="0" w:line="240" w:lineRule="auto"/>
      </w:pPr>
      <w:r w:rsidRPr="00550FB3">
        <w:t>Tienen personalidad jurídica y patrimonio propios, y coadyuvarán con el H. Ayuntamiento en el ejercicio de las funciones, desarrollo de actividades y prestación de servicios públicos municipales, en los términos de las leyes que los rigen el presente Bando Municipal y los demás ordenamientos vigentes.</w:t>
      </w:r>
    </w:p>
    <w:p w:rsidR="00FC1B07" w:rsidRPr="00550FB3" w:rsidRDefault="00FC1B07" w:rsidP="00FB4B50">
      <w:pPr>
        <w:pStyle w:val="Citas"/>
        <w:spacing w:before="0" w:after="0" w:line="240" w:lineRule="auto"/>
      </w:pPr>
    </w:p>
    <w:p w:rsidR="00FC1B07" w:rsidRPr="00550FB3" w:rsidRDefault="00FC1B07" w:rsidP="00FB4B50">
      <w:pPr>
        <w:pStyle w:val="Citas"/>
        <w:spacing w:before="0" w:after="0" w:line="240" w:lineRule="auto"/>
      </w:pPr>
      <w:r w:rsidRPr="00550FB3">
        <w:t xml:space="preserve">CAPÍTULO III Del Organismo Público Descentralizado para la Prestación de los Servicios de Agua Potable, Alcantarillado y Saneamiento </w:t>
      </w:r>
    </w:p>
    <w:p w:rsidR="00FC1B07" w:rsidRPr="00550FB3" w:rsidRDefault="00FC1B07" w:rsidP="00FB4B50">
      <w:pPr>
        <w:pStyle w:val="Citas"/>
        <w:spacing w:before="0" w:after="0" w:line="240" w:lineRule="auto"/>
        <w:rPr>
          <w:b/>
        </w:rPr>
      </w:pPr>
      <w:r w:rsidRPr="00550FB3">
        <w:t>Artículo 99. El Organismo Público Descentralizado para la Prestación de los Servicios de Agua Potable, Alcantarillado y Saneamiento del Municipio de Ecatepec de Morelos (S.A.P.A.S.E.) tiene autonomía en el manejo de sus recursos y el carácter de autoridad fiscal en relación con la recaudación y administración de las contribuciones derivadas de los servicios que presta, por lo que podrá realizar los actos de notificación, verificación, inspección, vigilancia y ejecución y, en su caso, iniciar, tramitar y resolver los procedimientos administrativos por infracciones cometidas al Código Financiero del Estado de México y Municipios, Ley del Agua para el Estado de México y Municipios, a su reglamento, y demás normatividad aplicable; pudiendo incluso restringir el servicio hasta en un 75% por incumplimiento en el pago, en términos de la citada Ley.</w:t>
      </w:r>
    </w:p>
    <w:p w:rsidR="00FC1B07" w:rsidRPr="00550FB3" w:rsidRDefault="00FC1B07" w:rsidP="00FB4B50">
      <w:pPr>
        <w:pStyle w:val="Citas"/>
        <w:spacing w:before="0" w:after="0" w:line="240" w:lineRule="auto"/>
      </w:pPr>
    </w:p>
    <w:p w:rsidR="00BE672E" w:rsidRPr="00550FB3" w:rsidRDefault="00FB4B50" w:rsidP="00FB4B50">
      <w:pPr>
        <w:pStyle w:val="Citas"/>
        <w:spacing w:before="0" w:after="0" w:line="240" w:lineRule="auto"/>
        <w:rPr>
          <w:b/>
        </w:rPr>
      </w:pPr>
      <w:r w:rsidRPr="00550FB3">
        <w:rPr>
          <w:b/>
        </w:rPr>
        <w:t>REGLAMENTO INTERIOR ORGÁNICO DEL ORGANISMO PÚBLICO DESCENTRALIZADO PARA LA PRESTACIÓN DE LOS SERVICIOS DE AGUA POTABLE, ALCANTARILLADO Y SANEAMIENTO DEL MUNICIPIO DE ECATEPEC DE MORELOS, ESTADO DE MÉXICO.</w:t>
      </w:r>
    </w:p>
    <w:p w:rsidR="00FB4B50" w:rsidRPr="00550FB3" w:rsidRDefault="00FB4B50" w:rsidP="00FB4B50">
      <w:pPr>
        <w:pStyle w:val="Citas"/>
        <w:spacing w:before="0" w:after="0" w:line="240" w:lineRule="auto"/>
      </w:pPr>
    </w:p>
    <w:p w:rsidR="00FB4B50" w:rsidRPr="00550FB3" w:rsidRDefault="00FB4B50" w:rsidP="00FB4B50">
      <w:pPr>
        <w:pStyle w:val="Citas"/>
        <w:spacing w:before="0" w:after="0" w:line="240" w:lineRule="auto"/>
        <w:rPr>
          <w:b/>
        </w:rPr>
      </w:pPr>
      <w:r w:rsidRPr="00550FB3">
        <w:t xml:space="preserve">Artículo 6. Los servidores públicos del Organismo en su relación laboral se regirán conforme a las disposiciones de la Ley Federal del Trabajo, la Ley de Trabajo de los Servidores Públicos del Estado y Municipios; la Ley de Responsabilidades de los Servidores Públicos del Estado y Municipios; el Reglamento Interno Orgánico; </w:t>
      </w:r>
      <w:r w:rsidRPr="00550FB3">
        <w:rPr>
          <w:b/>
        </w:rPr>
        <w:t>y convenios sindicales, en su caso.</w:t>
      </w:r>
    </w:p>
    <w:p w:rsidR="00FB4B50" w:rsidRPr="00550FB3" w:rsidRDefault="00FB4B50" w:rsidP="00FB4B50">
      <w:pPr>
        <w:pStyle w:val="Citas"/>
        <w:spacing w:before="0" w:after="0" w:line="240" w:lineRule="auto"/>
      </w:pPr>
    </w:p>
    <w:p w:rsidR="00FB4B50" w:rsidRPr="00550FB3" w:rsidRDefault="00FB4B50" w:rsidP="00FB4B50">
      <w:pPr>
        <w:pStyle w:val="Citas"/>
        <w:spacing w:before="0" w:after="0" w:line="240" w:lineRule="auto"/>
      </w:pPr>
      <w:r w:rsidRPr="00550FB3">
        <w:t xml:space="preserve">CAPÍTULO SÉPTIMO DIRECCIÓN DE FINANZAS Y ADMINISTRACIÓN </w:t>
      </w:r>
    </w:p>
    <w:p w:rsidR="00FB4B50" w:rsidRPr="00550FB3" w:rsidRDefault="00FB4B50" w:rsidP="00FB4B50">
      <w:pPr>
        <w:pStyle w:val="Citas"/>
        <w:spacing w:before="0" w:after="0" w:line="240" w:lineRule="auto"/>
      </w:pPr>
      <w:r w:rsidRPr="00550FB3">
        <w:t xml:space="preserve">SECCIÓN PRIMERA DE LA DIRECCIÓN DE FINANZAS Y ADMINISTRACIÓN Artículo 44. La Dirección de Finanzas y Administración es la encargada y responsable de planear, organizar, dirigir, controlar y administrar oportuna, eficiente y eficazmente, los recursos financieros, materiales, </w:t>
      </w:r>
      <w:r w:rsidRPr="00550FB3">
        <w:lastRenderedPageBreak/>
        <w:t>humanos e informáticos, asignados a las unidades administrativas del Organismo, buscando como consecuencia que el resultado del esfuerzo de la gestión administrativa y financiera en conjunto, sea la mejor en la gestión pública.</w:t>
      </w:r>
    </w:p>
    <w:p w:rsidR="00FB4B50" w:rsidRPr="00550FB3" w:rsidRDefault="00FB4B50" w:rsidP="00FB4B50">
      <w:pPr>
        <w:pStyle w:val="Citas"/>
        <w:spacing w:before="0" w:after="0" w:line="240" w:lineRule="auto"/>
      </w:pPr>
      <w:r w:rsidRPr="00550FB3">
        <w:t xml:space="preserve">Para el estudio, despacho y planeación de los asuntos establecidos en el presente artículo, la Dirección de Finanzas y Administración, se conformará por las siguientes Unidades Administrativas: </w:t>
      </w:r>
    </w:p>
    <w:p w:rsidR="00BE672E" w:rsidRPr="00550FB3" w:rsidRDefault="00FB4B50" w:rsidP="00FB4B50">
      <w:pPr>
        <w:pStyle w:val="Citas"/>
        <w:spacing w:before="0" w:after="0" w:line="240" w:lineRule="auto"/>
        <w:rPr>
          <w:b/>
        </w:rPr>
      </w:pPr>
      <w:r w:rsidRPr="00550FB3">
        <w:rPr>
          <w:b/>
        </w:rPr>
        <w:t>I. Coordinación de Recursos Humanos;</w:t>
      </w:r>
    </w:p>
    <w:p w:rsidR="00FB4B50" w:rsidRPr="00550FB3" w:rsidRDefault="00FB4B50" w:rsidP="00FB4B50">
      <w:pPr>
        <w:pStyle w:val="Citas"/>
        <w:spacing w:before="0" w:after="0" w:line="240" w:lineRule="auto"/>
      </w:pPr>
      <w:r w:rsidRPr="00550FB3">
        <w:t>(…)</w:t>
      </w:r>
    </w:p>
    <w:p w:rsidR="00FB4B50" w:rsidRPr="00550FB3" w:rsidRDefault="00FB4B50" w:rsidP="00FB4B50">
      <w:pPr>
        <w:pStyle w:val="Citas"/>
        <w:spacing w:before="0" w:after="0" w:line="240" w:lineRule="auto"/>
      </w:pPr>
    </w:p>
    <w:p w:rsidR="00FB4B50" w:rsidRPr="00550FB3" w:rsidRDefault="00FB4B50" w:rsidP="00FB4B50">
      <w:pPr>
        <w:pStyle w:val="Citas"/>
        <w:spacing w:before="0" w:after="0" w:line="240" w:lineRule="auto"/>
      </w:pPr>
      <w:r w:rsidRPr="00550FB3">
        <w:t xml:space="preserve">SECCIÓN SEGUNDA DE LAS ATRIBUCIONES Y FUNCIONES DE LA DIRECCIÓN DE FINANZAS Y ADMINISTRACIÓN </w:t>
      </w:r>
    </w:p>
    <w:p w:rsidR="00FB4B50" w:rsidRPr="00550FB3" w:rsidRDefault="00FB4B50" w:rsidP="00FB4B50">
      <w:pPr>
        <w:pStyle w:val="Citas"/>
        <w:spacing w:before="0" w:after="0" w:line="240" w:lineRule="auto"/>
      </w:pPr>
      <w:r w:rsidRPr="00550FB3">
        <w:t>Artículo 45. Estará a cargo de un titular, cuyo puesto se denominará “Director de Finanzas y Administración” quien responderá directamente del desempeño de sus funciones ante el Director General y/o Consejo Directivo y tendrá de manera enunciativa más no limitativa las siguientes atribuciones y funciones:</w:t>
      </w:r>
    </w:p>
    <w:p w:rsidR="00FB4B50" w:rsidRPr="00550FB3" w:rsidRDefault="00FB4B50" w:rsidP="00FB4B50">
      <w:pPr>
        <w:pStyle w:val="Citas"/>
        <w:spacing w:before="0" w:after="0" w:line="240" w:lineRule="auto"/>
      </w:pPr>
      <w:r w:rsidRPr="00550FB3">
        <w:t>(…)</w:t>
      </w:r>
    </w:p>
    <w:p w:rsidR="00FB4B50" w:rsidRPr="00550FB3" w:rsidRDefault="00FB4B50" w:rsidP="00FB4B50">
      <w:pPr>
        <w:pStyle w:val="Citas"/>
        <w:spacing w:before="0" w:after="0" w:line="240" w:lineRule="auto"/>
        <w:rPr>
          <w:b/>
        </w:rPr>
      </w:pPr>
      <w:r w:rsidRPr="00550FB3">
        <w:rPr>
          <w:b/>
        </w:rPr>
        <w:t>XXI. Participar en la celebración de convenios y acuerdos en materia sindical, conjuntamente con la Coordinación de Contabilidad y Presupuesto y Coordinación de Recursos Humanos;</w:t>
      </w:r>
    </w:p>
    <w:p w:rsidR="00FB4B50" w:rsidRPr="00550FB3" w:rsidRDefault="00FB4B50" w:rsidP="00FB4B50">
      <w:pPr>
        <w:pStyle w:val="Citas"/>
        <w:spacing w:before="0" w:after="0" w:line="240" w:lineRule="auto"/>
        <w:rPr>
          <w:rFonts w:eastAsia="Times New Roman" w:cs="Times New Roman"/>
        </w:rPr>
      </w:pPr>
      <w:r w:rsidRPr="00550FB3">
        <w:t>(…)</w:t>
      </w:r>
    </w:p>
    <w:p w:rsidR="00FB4B50" w:rsidRPr="00550FB3" w:rsidRDefault="00FB4B50" w:rsidP="00FB4B50">
      <w:pPr>
        <w:pStyle w:val="Citas"/>
        <w:spacing w:before="0" w:after="0" w:line="240" w:lineRule="auto"/>
      </w:pPr>
    </w:p>
    <w:p w:rsidR="00FB4B50" w:rsidRPr="00550FB3" w:rsidRDefault="00FB4B50" w:rsidP="00FB4B50">
      <w:pPr>
        <w:pStyle w:val="Citas"/>
        <w:spacing w:before="0" w:after="0" w:line="240" w:lineRule="auto"/>
      </w:pPr>
      <w:r w:rsidRPr="00550FB3">
        <w:t xml:space="preserve">SECCIÓN CUARTA DE LAS ATRIBUCIONES Y FUNCIONES DE LA COORDINACIÓN DE RECURSOS HUMANOS </w:t>
      </w:r>
    </w:p>
    <w:p w:rsidR="00FB4B50" w:rsidRPr="00550FB3" w:rsidRDefault="00FB4B50" w:rsidP="00FB4B50">
      <w:pPr>
        <w:pStyle w:val="Citas"/>
        <w:spacing w:before="0" w:after="0" w:line="240" w:lineRule="auto"/>
      </w:pPr>
      <w:r w:rsidRPr="00550FB3">
        <w:t>Artículo 47. Estará a cargo de un titular, cuyo puesto se denominará “Coordinador de Recursos Humanos” quien responderá directamente del desempeño de sus funciones ante el Director General y Director de Finanzas y Administración y contará con las siguientes atribuciones y funciones:</w:t>
      </w:r>
    </w:p>
    <w:p w:rsidR="00FB4B50" w:rsidRPr="00550FB3" w:rsidRDefault="00FB4B50" w:rsidP="00FB4B50">
      <w:pPr>
        <w:pStyle w:val="Citas"/>
        <w:spacing w:before="0" w:after="0" w:line="240" w:lineRule="auto"/>
      </w:pPr>
      <w:r w:rsidRPr="00550FB3">
        <w:t>(…)</w:t>
      </w:r>
    </w:p>
    <w:p w:rsidR="00FB4B50" w:rsidRPr="00550FB3" w:rsidRDefault="00FB4B50" w:rsidP="00FB4B50">
      <w:pPr>
        <w:pStyle w:val="Citas"/>
        <w:spacing w:before="0" w:after="0" w:line="240" w:lineRule="auto"/>
        <w:rPr>
          <w:b/>
        </w:rPr>
      </w:pPr>
      <w:r w:rsidRPr="00550FB3">
        <w:rPr>
          <w:b/>
        </w:rPr>
        <w:t>V. La coordinación jurídica del organismo, deberá de tramitar y vigilar que se dé cumplimiento a las cláusulas contenidas en el Convenio Sindical vigente para cada año e informará a la coordinación de recursos humanos, de forma trimestral, sobre las observaciones, adecuaciones, modificación estaciones que se den en el año;</w:t>
      </w:r>
    </w:p>
    <w:p w:rsidR="00FB4B50" w:rsidRPr="00550FB3" w:rsidRDefault="00FB4B50" w:rsidP="00FB4B50">
      <w:pPr>
        <w:pStyle w:val="Citas"/>
        <w:spacing w:before="0" w:after="0" w:line="240" w:lineRule="auto"/>
      </w:pPr>
      <w:r w:rsidRPr="00550FB3">
        <w:t>(…)</w:t>
      </w:r>
    </w:p>
    <w:p w:rsidR="00FB4B50" w:rsidRPr="00550FB3" w:rsidRDefault="00FB4B50" w:rsidP="00FB4B50">
      <w:pPr>
        <w:pStyle w:val="Citas"/>
        <w:spacing w:before="0" w:after="0" w:line="240" w:lineRule="auto"/>
      </w:pPr>
    </w:p>
    <w:p w:rsidR="00FB4B50" w:rsidRPr="00550FB3" w:rsidRDefault="00FB4B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color w:val="000000"/>
        </w:rPr>
        <w:t xml:space="preserve">Con la normativa inserta se puede resolver que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es competente para dotar de la información solicitada por </w:t>
      </w:r>
      <w:r w:rsidRPr="00550FB3">
        <w:rPr>
          <w:rFonts w:ascii="Palatino Linotype" w:eastAsia="Palatino Linotype" w:hAnsi="Palatino Linotype" w:cs="Palatino Linotype"/>
          <w:b/>
          <w:color w:val="000000"/>
        </w:rPr>
        <w:t>LA PARTE RECURRENTE</w:t>
      </w:r>
      <w:r w:rsidRPr="00550FB3">
        <w:rPr>
          <w:rFonts w:ascii="Palatino Linotype" w:eastAsia="Palatino Linotype" w:hAnsi="Palatino Linotype" w:cs="Palatino Linotype"/>
          <w:color w:val="000000"/>
        </w:rPr>
        <w:t xml:space="preserve"> </w:t>
      </w:r>
      <w:r w:rsidRPr="00550FB3">
        <w:rPr>
          <w:rFonts w:ascii="Palatino Linotype" w:eastAsia="Palatino Linotype" w:hAnsi="Palatino Linotype" w:cs="Palatino Linotype"/>
          <w:color w:val="000000"/>
        </w:rPr>
        <w:lastRenderedPageBreak/>
        <w:t xml:space="preserve">en virtud que el mismo cuenta con la Coordinación de Recursos Humanos dependiente de la Dirección de Finanzas y Administración, que tienen entre sus atribuciones el participar en la celebración de Convenios Sindicales y vigilar el cumplimiento a las clausulas contenidas en los Convenios Sindicales vigentes en cada año. </w:t>
      </w:r>
    </w:p>
    <w:p w:rsidR="00FB4B50" w:rsidRPr="00550FB3" w:rsidRDefault="00FB4B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B4B50" w:rsidRPr="00550FB3" w:rsidRDefault="00FB4B50" w:rsidP="00FB4B50">
      <w:pPr>
        <w:spacing w:line="360" w:lineRule="auto"/>
        <w:ind w:right="51"/>
        <w:jc w:val="both"/>
        <w:rPr>
          <w:rFonts w:ascii="Palatino Linotype" w:eastAsia="Palatino Linotype" w:hAnsi="Palatino Linotype" w:cs="Palatino Linotype"/>
        </w:rPr>
      </w:pPr>
      <w:r w:rsidRPr="00550FB3">
        <w:rPr>
          <w:rFonts w:ascii="Palatino Linotype" w:eastAsia="Palatino Linotype" w:hAnsi="Palatino Linotype" w:cs="Palatino Linotype"/>
          <w:color w:val="000000"/>
        </w:rPr>
        <w:t>Entonces, podemos definir que el pronunciamiento respecto de la información solicitada fue por parte de la Persona Servidora Pública Habilitada, a la luz d</w:t>
      </w:r>
      <w:r w:rsidRPr="00550FB3">
        <w:rPr>
          <w:rFonts w:ascii="Palatino Linotype" w:eastAsia="Palatino Linotype" w:hAnsi="Palatino Linotype" w:cs="Palatino Linotype"/>
        </w:rPr>
        <w:t xml:space="preserve">el procedimiento establecido por el artículo 162 de la Ley de Transparencia y Acceso a la Información Pública del Estado de México y Municipios, ya que </w:t>
      </w:r>
      <w:r w:rsidRPr="00550FB3">
        <w:rPr>
          <w:rFonts w:ascii="Palatino Linotype" w:eastAsia="Palatino Linotype" w:hAnsi="Palatino Linotype" w:cs="Palatino Linotype"/>
          <w:b/>
        </w:rPr>
        <w:t xml:space="preserve">EL SUJETO OBLIGADO </w:t>
      </w:r>
      <w:r w:rsidRPr="00550FB3">
        <w:rPr>
          <w:rFonts w:ascii="Palatino Linotype" w:eastAsia="Palatino Linotype" w:hAnsi="Palatino Linotype" w:cs="Palatino Linotype"/>
        </w:rPr>
        <w:t xml:space="preserve">turnó la solicitud a las áreas en las que podría obrar la información de conformidad con la fracción XXXIX del artículo tercero de la legislación local vigente en materia de transparencia: </w:t>
      </w:r>
    </w:p>
    <w:p w:rsidR="00FB4B50" w:rsidRPr="00550FB3" w:rsidRDefault="00FB4B50" w:rsidP="00FB4B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FB4B50" w:rsidRPr="00550FB3" w:rsidRDefault="00FB4B50" w:rsidP="00FB4B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rsidR="00FB4B50" w:rsidRPr="00550FB3" w:rsidRDefault="00FB4B50" w:rsidP="00FB4B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FB4B50" w:rsidRPr="00550FB3" w:rsidRDefault="00FB4B50" w:rsidP="00FB4B50">
      <w:pPr>
        <w:shd w:val="clear" w:color="auto" w:fill="FFFFFF"/>
        <w:spacing w:line="360" w:lineRule="auto"/>
        <w:jc w:val="both"/>
        <w:rPr>
          <w:color w:val="222222"/>
        </w:rPr>
      </w:pPr>
      <w:r w:rsidRPr="00550FB3">
        <w:rPr>
          <w:rFonts w:ascii="Palatino Linotype" w:eastAsia="Palatino Linotype" w:hAnsi="Palatino Linotype" w:cs="Palatino Linotype"/>
          <w:color w:val="222222"/>
        </w:rPr>
        <w:t>En este orden de ideas, se advierte que efectivamente la Unidad de Transparencia cumplió con lo expresado en el artículo 162 de la Ley </w:t>
      </w:r>
      <w:r w:rsidRPr="00550FB3">
        <w:rPr>
          <w:rFonts w:ascii="Palatino Linotype" w:eastAsia="Palatino Linotype" w:hAnsi="Palatino Linotype" w:cs="Palatino Linotype"/>
          <w:color w:val="000000"/>
        </w:rPr>
        <w:t>de Transparencia y Acceso a la Información Pública del Estado de México y Municipios, el cual menciona lo siguiente:</w:t>
      </w:r>
    </w:p>
    <w:p w:rsidR="00FB4B50" w:rsidRPr="00550FB3" w:rsidRDefault="00FB4B50" w:rsidP="00FB4B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FB4B50" w:rsidRPr="00550FB3" w:rsidRDefault="00FB4B50" w:rsidP="00FB4B50">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lastRenderedPageBreak/>
        <w:t xml:space="preserve">Artículo 162. Las unidades de transparencia deberán garantizar que las solicitudes </w:t>
      </w:r>
      <w:r w:rsidRPr="00550FB3">
        <w:rPr>
          <w:rFonts w:ascii="Palatino Linotype" w:eastAsia="Palatino Linotype" w:hAnsi="Palatino Linotype" w:cs="Palatino Linotype"/>
          <w:b/>
          <w:i/>
          <w:color w:val="404040"/>
          <w:sz w:val="22"/>
          <w:szCs w:val="22"/>
        </w:rPr>
        <w:t xml:space="preserve">se turnen a todas las Áreas competentes </w:t>
      </w:r>
      <w:r w:rsidRPr="00550FB3">
        <w:rPr>
          <w:rFonts w:ascii="Palatino Linotype" w:eastAsia="Palatino Linotype" w:hAnsi="Palatino Linotype" w:cs="Palatino Linotype"/>
          <w:i/>
          <w:color w:val="404040"/>
          <w:sz w:val="22"/>
          <w:szCs w:val="22"/>
        </w:rPr>
        <w:t>que cuenten con la información o deban tenerla de acuerdo a sus facultades, competencias y funciones, con el objeto de que realicen una búsqueda exhaustiva y razonable de la información solicitada.</w:t>
      </w:r>
    </w:p>
    <w:p w:rsidR="00FB4B50" w:rsidRPr="00550FB3" w:rsidRDefault="00FB4B50" w:rsidP="00FB4B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66C12" w:rsidRPr="00550FB3" w:rsidRDefault="00FB4B50"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color w:val="000000"/>
        </w:rPr>
        <w:t>En este sentido, la Persona Servidora Pública Habilitada de la Dirección de Finanzas y Administración, manifestó</w:t>
      </w:r>
      <w:r w:rsidRPr="00550FB3">
        <w:rPr>
          <w:rFonts w:ascii="Palatino Linotype" w:hAnsi="Palatino Linotype"/>
          <w:color w:val="000000"/>
        </w:rPr>
        <w:t xml:space="preserve"> la imposibilidad de remitir la información requerida en virtud de que la misma significaría un perjuicio a las personas servidoras públicas sindicalizadas, no obstante, de</w:t>
      </w:r>
      <w:r w:rsidR="00866C12" w:rsidRPr="00550FB3">
        <w:rPr>
          <w:rFonts w:ascii="Palatino Linotype" w:hAnsi="Palatino Linotype"/>
          <w:color w:val="000000"/>
        </w:rPr>
        <w:t xml:space="preserve"> tal respuesta se </w:t>
      </w:r>
      <w:r w:rsidR="00866C12" w:rsidRPr="00550FB3">
        <w:rPr>
          <w:rFonts w:ascii="Palatino Linotype" w:eastAsia="Palatino Linotype" w:hAnsi="Palatino Linotype" w:cs="Palatino Linotype"/>
        </w:rPr>
        <w:t xml:space="preserve">debe resaltar que con la información remitida por </w:t>
      </w:r>
      <w:r w:rsidR="00866C12" w:rsidRPr="00550FB3">
        <w:rPr>
          <w:rFonts w:ascii="Palatino Linotype" w:eastAsia="Palatino Linotype" w:hAnsi="Palatino Linotype" w:cs="Palatino Linotype"/>
          <w:b/>
        </w:rPr>
        <w:t>EL SUJETO OBLIGADO,</w:t>
      </w:r>
      <w:r w:rsidR="00866C12" w:rsidRPr="00550FB3">
        <w:rPr>
          <w:rFonts w:ascii="Palatino Linotype" w:eastAsia="Palatino Linotype" w:hAnsi="Palatino Linotype" w:cs="Palatino Linotype"/>
        </w:rPr>
        <w:t xml:space="preserve"> este no niega contar ella</w:t>
      </w:r>
      <w:r w:rsidR="00866C12" w:rsidRPr="00550FB3">
        <w:rPr>
          <w:rFonts w:ascii="Palatino Linotype" w:eastAsia="Palatino Linotype" w:hAnsi="Palatino Linotype" w:cs="Palatino Linotype"/>
          <w:b/>
        </w:rPr>
        <w:t>,</w:t>
      </w:r>
      <w:r w:rsidR="00866C12" w:rsidRPr="00550FB3">
        <w:rPr>
          <w:rFonts w:ascii="Palatino Linotype" w:eastAsia="Palatino Linotype" w:hAnsi="Palatino Linotype" w:cs="Palatino Linotype"/>
        </w:rPr>
        <w:t xml:space="preserve"> sino por el contrario;</w:t>
      </w:r>
      <w:r w:rsidR="00866C12" w:rsidRPr="00550FB3">
        <w:rPr>
          <w:rFonts w:ascii="Palatino Linotype" w:eastAsia="Palatino Linotype" w:hAnsi="Palatino Linotype" w:cs="Palatino Linotype"/>
          <w:i/>
        </w:rPr>
        <w:t>,</w:t>
      </w:r>
      <w:r w:rsidR="00866C12" w:rsidRPr="00550FB3">
        <w:rPr>
          <w:rFonts w:ascii="Palatino Linotype" w:eastAsia="Palatino Linotype" w:hAnsi="Palatino Linotype" w:cs="Palatino Linotype"/>
        </w:rPr>
        <w:t xml:space="preserve"> entonces, la competencia para generar, poseer y administrar la información solicitada, en el caso concreto, es obvia.</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No obstante lo anterior este Organismo Garante en aras de tutelar el Derecho de Acceso a la Información de las personas solicitantes,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razón por la cual se considera pertinente referir que se entiende por convenio, en ese sentido el Diccionario de la Real Academia Española establece:</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 xml:space="preserve">● Convenio De convenir. </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1. m. Acuerdo o pacto.</w:t>
      </w:r>
    </w:p>
    <w:p w:rsidR="00866C12" w:rsidRPr="00550FB3" w:rsidRDefault="00866C12" w:rsidP="00866C12">
      <w:pPr>
        <w:pBdr>
          <w:top w:val="nil"/>
          <w:left w:val="nil"/>
          <w:bottom w:val="nil"/>
          <w:right w:val="nil"/>
          <w:between w:val="nil"/>
        </w:pBdr>
        <w:spacing w:line="360" w:lineRule="auto"/>
        <w:ind w:left="864" w:right="864"/>
        <w:jc w:val="both"/>
        <w:rPr>
          <w:rFonts w:ascii="Palatino Linotype" w:eastAsia="Palatino Linotype" w:hAnsi="Palatino Linotype" w:cs="Palatino Linotype"/>
          <w:i/>
          <w:color w:val="404040"/>
          <w:sz w:val="22"/>
          <w:szCs w:val="22"/>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lastRenderedPageBreak/>
        <w:t>En este mismo orden de ideas debe mencionarse que el Código Civil del Estado de México establece:</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Concepto de convenio </w:t>
      </w: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Artículo 7.30.- Convenio es el acuerdo de dos o más personas para crear, transferir, modificar o extinguir obligaciones.</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Concepto de contrato </w:t>
      </w: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Artículo 7.31.- Los convenios que crean o transfieren obligaciones y derechos, reciben el nombre de contratos.</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Por otra parte, la Ley del Trabajo de los Servidores Públicos del Estado y Municipios tiene por objeto regular las relaciones de trabajo, comprendidas entre los poderes públicos del Estado y los Municipios y sus respectivos servidores públicos, debe agregase que el artículo 54 de dicho cuerpo normativo refiere que cada institución pública o, en su caso, dependencia, en razón de la naturaleza de sus funciones, contará con un Reglamento de Condiciones Generales de Trabajo aplicables a los servidores públicos sindicalizados y generales.</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w:t>
      </w:r>
      <w:r w:rsidRPr="00550FB3">
        <w:rPr>
          <w:rFonts w:ascii="Palatino Linotype" w:eastAsia="Palatino Linotype" w:hAnsi="Palatino Linotype" w:cs="Palatino Linotype"/>
        </w:rPr>
        <w:lastRenderedPageBreak/>
        <w:t>podrán ratificarse o modificarse a su término; los Convenios de sueldos y prestaciones celebrados con el Sindicato se aplicarán solo a los trabajadores miembros y reconocidos por la agrupación Sindical de conformidad con la normatividad aplicable.</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En este sentido, se considera que con la información proporcionada por </w:t>
      </w:r>
      <w:r w:rsidRPr="00550FB3">
        <w:rPr>
          <w:rFonts w:ascii="Palatino Linotype" w:eastAsia="Palatino Linotype" w:hAnsi="Palatino Linotype" w:cs="Palatino Linotype"/>
          <w:b/>
        </w:rPr>
        <w:t xml:space="preserve">EL SUJETO OBLIGADO </w:t>
      </w:r>
      <w:r w:rsidRPr="00550FB3">
        <w:rPr>
          <w:rFonts w:ascii="Palatino Linotype" w:eastAsia="Palatino Linotype" w:hAnsi="Palatino Linotype" w:cs="Palatino Linotype"/>
        </w:rPr>
        <w:t xml:space="preserve">no se atiende el requerimiento de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se afirma lo anterior, en virtud de que la Dirección de Finanzas y Administración se concretó en señalar  mediante su respuesta que dichos instrumentos no podían ser entregados por el perjuicio que significaría, advirtiéndose de tal manifestación, que efectivamente los Convenios requeridos se celebraron entre el Sistema de Agua Potable, Alcantarillado y Saneamiento de Ecatepec de Morelos y el Sindicato Único de Trabajadores del Estado y sus Municipios (</w:t>
      </w:r>
      <w:proofErr w:type="spellStart"/>
      <w:r w:rsidRPr="00550FB3">
        <w:rPr>
          <w:rFonts w:ascii="Palatino Linotype" w:eastAsia="Palatino Linotype" w:hAnsi="Palatino Linotype" w:cs="Palatino Linotype"/>
        </w:rPr>
        <w:t>SUTEyM</w:t>
      </w:r>
      <w:proofErr w:type="spellEnd"/>
      <w:r w:rsidRPr="00550FB3">
        <w:rPr>
          <w:rFonts w:ascii="Palatino Linotype" w:eastAsia="Palatino Linotype" w:hAnsi="Palatino Linotype" w:cs="Palatino Linotype"/>
        </w:rPr>
        <w:t xml:space="preserve">) sección Ecatepec. </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Entonces, el hecho de que el convenio contenga partes o secciones que supongan algún supuesto para su clasificación por contener información susceptible de testarse; no era óbice para que la información se hubiera proporcionado, pues es dable entender que la misma ya se encontraba en los archivos del </w:t>
      </w:r>
      <w:r w:rsidRPr="00550FB3">
        <w:rPr>
          <w:rFonts w:ascii="Palatino Linotype" w:eastAsia="Palatino Linotype" w:hAnsi="Palatino Linotype" w:cs="Palatino Linotype"/>
          <w:b/>
        </w:rPr>
        <w:t>SUJETO OBLIGADO</w:t>
      </w:r>
      <w:r w:rsidRPr="00550FB3">
        <w:rPr>
          <w:rFonts w:ascii="Palatino Linotype" w:eastAsia="Palatino Linotype" w:hAnsi="Palatino Linotype" w:cs="Palatino Linotype"/>
        </w:rPr>
        <w:t xml:space="preserve">, y no significaba impedimento hacer para la entrega a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Aunado a que, en su caso, una de las restricciones al Derecho de Acceso a la Información es que la misma actualice algún supuesto de clasificación, sin embargo </w:t>
      </w:r>
      <w:r w:rsidRPr="00550FB3">
        <w:rPr>
          <w:rFonts w:ascii="Palatino Linotype" w:eastAsia="Palatino Linotype" w:hAnsi="Palatino Linotype" w:cs="Palatino Linotype"/>
        </w:rPr>
        <w:lastRenderedPageBreak/>
        <w:t xml:space="preserve">en el caso particular el Sistema de Agua Potable, Alcantarillado y Saneamiento de Ecatepec de Morelos </w:t>
      </w:r>
      <w:r w:rsidRPr="00550FB3">
        <w:rPr>
          <w:rFonts w:ascii="Palatino Linotype" w:eastAsia="Palatino Linotype" w:hAnsi="Palatino Linotype" w:cs="Palatino Linotype"/>
          <w:b/>
        </w:rPr>
        <w:t>no acredita</w:t>
      </w:r>
      <w:r w:rsidRPr="00550FB3">
        <w:rPr>
          <w:rFonts w:ascii="Palatino Linotype" w:eastAsia="Palatino Linotype" w:hAnsi="Palatino Linotype" w:cs="Palatino Linotype"/>
        </w:rPr>
        <w:t xml:space="preserve"> ninguno de los supuestos específicos por los cuales debiera clasificarse la información, en este sentido, no se encuentra debidamente fundamentada y motivada la restricción al acceso a la información invocada por el sujeto obligado.  Por lo que se trae a colación las siguientes Tesis de Jurisprudencia:</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 xml:space="preserve">Jurisprudencia I.3o.C. J/47, de Tribunales Colegiados de Circuito, visible en la página 1964 del Semanario Judicial de la Federación y su Gaceta, Tomo XXVII, febrero de 2008, Novena Época, de rubro: FUNDAMENTACIÓN Y MOTIVACIÓN. LA DIFERENCIA ENTRE LA FALTA Y LA INDEBIDA SATISFACCIÓN DE AMBOS REQUISITOS CONSTITUCIONALES TRASCIENDE AL ORDEN EN QUE DEBEN ESTUDIARSE LOS CONCEPTOS DE VIOLACIÓN Y A LOS EFECTOS DEL FALLO PROTECTOR. Misma que, en la parte que nos interesa, señala… Se produce la falta de fundamentación y motivación, cuando se omite expresar el dispositivo legal aplicable al asunto y las razones que se hayan considerado para estimar que el caso puede subsumirse en la hipótesis prevista en esa norma jurídica. </w:t>
      </w:r>
    </w:p>
    <w:p w:rsidR="00866C12" w:rsidRPr="00550FB3" w:rsidRDefault="00866C12" w:rsidP="00866C12">
      <w:pPr>
        <w:pBdr>
          <w:top w:val="nil"/>
          <w:left w:val="nil"/>
          <w:bottom w:val="nil"/>
          <w:right w:val="nil"/>
          <w:between w:val="nil"/>
        </w:pBdr>
        <w:spacing w:before="200" w:after="160"/>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 xml:space="preserve">Jurisprudencia IV.2o.C. J/12, de Tribunales Colegiados de Circuito, visible en la página 2053 del Semanario Judicial de la Federación y su Gaceta, Tomo XXXIII, febrero de 2011, Novena Época, de rubro y texto siguientes: FUNDAMENTACIÓN Y MOTIVACIÓN. ARGUMENTOS QUE DEBEN EXAMINARSE PARA DETERMINAR LO FUNDADO O INFUNDADO DE UNA INCONFORMIDAD CUANDO SE ALEGA LA AUSENCIA DE AQUÉLLA O SE TACHA DE INDEBIDA. Al atender un motivo de desacuerdo relacionado con la fundamentación y motivación, para producir una respuesta congruente debe, del contexto integral de la argumentación del inconforme, advertirse si lo que imputa es ausencia de aquélla, o solamente la tacha de indebida, pues en la primer hipótesis bastará observar si la resolución contiene o no argumentos apoyados en la cita de preceptos legales para quedar en aptitud de declarar fundado o infundado el atinente motivo de desacuerdo. En cambio, en el segundo supuesto, cuando la fundamentación y motivación se tachan de indebidas, es menester apreciar los argumentos del motivo de desacuerdo, </w:t>
      </w:r>
      <w:r w:rsidRPr="00550FB3">
        <w:rPr>
          <w:rFonts w:ascii="Palatino Linotype" w:eastAsia="Palatino Linotype" w:hAnsi="Palatino Linotype" w:cs="Palatino Linotype"/>
          <w:i/>
          <w:color w:val="404040"/>
          <w:sz w:val="22"/>
          <w:szCs w:val="22"/>
        </w:rPr>
        <w:lastRenderedPageBreak/>
        <w:t>expresados para explicar por qué la invocación de preceptos legales se estima errónea, o por qué la motivación es incorrecta o insuficiente, pues será a la luz de tales razones que pueda establecerse lo fundado o infundado de la inconformidad.</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No se omite mencionar que en el caso de la información reservada, es aquella que cuando, de manera excepcional y por razones de interés público, su publicidad puede causar un daño al interés jurídico tutelado por la ley, en alguno de los supuestos establecidos en el artículo 140 de la ley de la materia, para ello </w:t>
      </w:r>
      <w:r w:rsidRPr="00550FB3">
        <w:rPr>
          <w:rFonts w:ascii="Palatino Linotype" w:eastAsia="Palatino Linotype" w:hAnsi="Palatino Linotype" w:cs="Palatino Linotype"/>
          <w:b/>
        </w:rPr>
        <w:t>EL SUJETO OBLIGADO</w:t>
      </w:r>
      <w:r w:rsidRPr="00550FB3">
        <w:rPr>
          <w:rFonts w:ascii="Palatino Linotype" w:eastAsia="Palatino Linotype" w:hAnsi="Palatino Linotype" w:cs="Palatino Linotype"/>
        </w:rPr>
        <w:t xml:space="preserve"> debe desarrollar la prueba de daño de acuerdo a lo establecido en los Lineamientos Generales en materia de Clasificación y Desclasificación de la Información, así como para Elaboración de Versiones Públicas, misma que será caso por caso, ya que no se podrá clasificar la información únicamente por estar vinculada con los supuestos establecidos en la ley sino que además se demostrará que efectivamente dar a conocer la información que se clasifica podría afectar las funciones y el actuar de los diversos Sujetos Obligados.</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Dicha prueba de daño, consiste en exponer los argumentos y razones, basados en elementos verificables, a partir de los cuales se derive que la divulgación de información, en particular, puede afectar, poner en riesgo o dañar el interés protegido. Asimismo, esta no debe basarse en meras especulaciones o suposiciones, sino en elementos objetivos que deban evaluar que existe un riego actual e inminente. </w:t>
      </w:r>
    </w:p>
    <w:p w:rsidR="00866C12" w:rsidRPr="00550FB3" w:rsidRDefault="00866C12" w:rsidP="00866C12">
      <w:pPr>
        <w:spacing w:line="360" w:lineRule="auto"/>
        <w:jc w:val="both"/>
        <w:rPr>
          <w:rFonts w:ascii="Palatino Linotype" w:eastAsia="Palatino Linotype" w:hAnsi="Palatino Linotype" w:cs="Palatino Linotype"/>
        </w:rPr>
      </w:pPr>
    </w:p>
    <w:p w:rsidR="00866C12" w:rsidRPr="00550FB3" w:rsidRDefault="00866C12" w:rsidP="00866C12">
      <w:pPr>
        <w:spacing w:line="360" w:lineRule="auto"/>
        <w:jc w:val="both"/>
      </w:pPr>
      <w:r w:rsidRPr="00550FB3">
        <w:rPr>
          <w:rFonts w:ascii="Palatino Linotype" w:eastAsia="Palatino Linotype" w:hAnsi="Palatino Linotype" w:cs="Palatino Linotype"/>
        </w:rPr>
        <w:lastRenderedPageBreak/>
        <w:t xml:space="preserve">Por lo señalado, es que </w:t>
      </w:r>
      <w:r w:rsidRPr="00550FB3">
        <w:rPr>
          <w:rFonts w:ascii="Palatino Linotype" w:eastAsia="Palatino Linotype" w:hAnsi="Palatino Linotype" w:cs="Palatino Linotype"/>
          <w:b/>
        </w:rPr>
        <w:t>EL SUJETO OBLIGADO</w:t>
      </w:r>
      <w:r w:rsidRPr="00550FB3">
        <w:rPr>
          <w:rFonts w:ascii="Palatino Linotype" w:eastAsia="Palatino Linotype" w:hAnsi="Palatino Linotype" w:cs="Palatino Linotype"/>
        </w:rPr>
        <w:t xml:space="preserve"> no acreditó la Clasificación de la Información además de que la información solicitada, es considerada como</w:t>
      </w:r>
      <w:r w:rsidRPr="00550FB3">
        <w:t xml:space="preserve"> </w:t>
      </w:r>
      <w:r w:rsidRPr="00550FB3">
        <w:rPr>
          <w:rFonts w:ascii="Palatino Linotype" w:eastAsia="Palatino Linotype" w:hAnsi="Palatino Linotype" w:cs="Palatino Linotype"/>
        </w:rPr>
        <w:t xml:space="preserve">Obligación de Transparencia Común contenida en la fracción XX del artículo 92 de la Ley de Transparencia y Acceso a la Información Pública del Estado de México y Municipios, que dice: </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 xml:space="preserve">Capítulo II De las Obligaciones de Transparencia Comunes </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XX. Las condiciones generales de trabajo, contratos o</w:t>
      </w:r>
      <w:r w:rsidRPr="00550FB3">
        <w:rPr>
          <w:rFonts w:ascii="Palatino Linotype" w:eastAsia="Palatino Linotype" w:hAnsi="Palatino Linotype" w:cs="Palatino Linotype"/>
          <w:b/>
          <w:i/>
          <w:color w:val="404040"/>
          <w:sz w:val="22"/>
          <w:szCs w:val="22"/>
        </w:rPr>
        <w:t xml:space="preserve"> convenios que regulen las relaciones laborales del personal de base o de confianza, </w:t>
      </w:r>
      <w:r w:rsidRPr="00550FB3">
        <w:rPr>
          <w:rFonts w:ascii="Palatino Linotype" w:eastAsia="Palatino Linotype" w:hAnsi="Palatino Linotype" w:cs="Palatino Linotype"/>
          <w:i/>
          <w:color w:val="404040"/>
          <w:sz w:val="22"/>
          <w:szCs w:val="22"/>
        </w:rPr>
        <w:t>así como los recursos públicos económicos, en especie o donativos, que sean entregados a los Sindicatos y ejerzan como recursos públicos;</w:t>
      </w:r>
    </w:p>
    <w:p w:rsidR="00866C12" w:rsidRPr="00550FB3" w:rsidRDefault="00866C12" w:rsidP="00866C12">
      <w:pPr>
        <w:pBdr>
          <w:top w:val="nil"/>
          <w:left w:val="nil"/>
          <w:bottom w:val="nil"/>
          <w:right w:val="nil"/>
          <w:between w:val="nil"/>
        </w:pBdr>
        <w:ind w:left="864" w:right="864"/>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i/>
          <w:color w:val="404040"/>
          <w:sz w:val="22"/>
          <w:szCs w:val="22"/>
        </w:rPr>
        <w:t>(…)</w:t>
      </w:r>
    </w:p>
    <w:p w:rsidR="00866C12" w:rsidRPr="00550FB3" w:rsidRDefault="00866C12" w:rsidP="00866C12">
      <w:pPr>
        <w:spacing w:line="360" w:lineRule="auto"/>
        <w:rPr>
          <w:rFonts w:ascii="Palatino Linotype" w:eastAsia="Palatino Linotype" w:hAnsi="Palatino Linotype" w:cs="Palatino Linotype"/>
        </w:rPr>
      </w:pPr>
    </w:p>
    <w:p w:rsidR="00866C12" w:rsidRPr="00550FB3" w:rsidRDefault="00866C12" w:rsidP="00866C12">
      <w:pPr>
        <w:spacing w:line="360" w:lineRule="auto"/>
        <w:jc w:val="both"/>
        <w:rPr>
          <w:rFonts w:ascii="Palatino Linotype" w:eastAsia="Palatino Linotype" w:hAnsi="Palatino Linotype" w:cs="Palatino Linotype"/>
          <w:i/>
          <w:color w:val="404040"/>
          <w:sz w:val="22"/>
          <w:szCs w:val="22"/>
        </w:rPr>
      </w:pPr>
      <w:r w:rsidRPr="00550FB3">
        <w:rPr>
          <w:rFonts w:ascii="Palatino Linotype" w:eastAsia="Palatino Linotype" w:hAnsi="Palatino Linotype" w:cs="Palatino Linotype"/>
        </w:rPr>
        <w:t xml:space="preserve">Aunado a lo anterior, es preciso señalar que en materia de Transparencia, para que resulte procedente la entrega de la información que se solicite, es necesario que esta obre en cualquier documento que </w:t>
      </w:r>
      <w:r w:rsidRPr="00550FB3">
        <w:rPr>
          <w:rFonts w:ascii="Palatino Linotype" w:eastAsia="Palatino Linotype" w:hAnsi="Palatino Linotype" w:cs="Palatino Linotype"/>
          <w:b/>
        </w:rPr>
        <w:t>EL SUJETO OBLIGADO,</w:t>
      </w:r>
      <w:r w:rsidRPr="00550FB3">
        <w:rPr>
          <w:rFonts w:ascii="Palatino Linotype" w:eastAsia="Palatino Linotype" w:hAnsi="Palatino Linotype" w:cs="Palatino Linotype"/>
        </w:rPr>
        <w:t xml:space="preserve"> genere, posea o administre, en consecuencia, los documentos como ya ha quedado establecido y como el mismo lo refirió en respuesta obran en sus archivos, lo que significa que debe hacer la entrega del documento que ya obre en su poder y que contenga la información que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desea conocer. </w:t>
      </w:r>
    </w:p>
    <w:p w:rsidR="00866C12" w:rsidRPr="00550FB3" w:rsidRDefault="00866C12" w:rsidP="00866C12"/>
    <w:p w:rsidR="00866C12" w:rsidRPr="00550FB3" w:rsidRDefault="00866C12" w:rsidP="00866C12">
      <w:pPr>
        <w:shd w:val="clear" w:color="auto" w:fill="FFFFFF"/>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 xml:space="preserve">Así pues, es dable para el </w:t>
      </w:r>
      <w:proofErr w:type="spellStart"/>
      <w:r w:rsidRPr="00550FB3">
        <w:rPr>
          <w:rFonts w:ascii="Palatino Linotype" w:eastAsia="Palatino Linotype" w:hAnsi="Palatino Linotype" w:cs="Palatino Linotype"/>
        </w:rPr>
        <w:t>Infoem</w:t>
      </w:r>
      <w:proofErr w:type="spellEnd"/>
      <w:r w:rsidRPr="00550FB3">
        <w:rPr>
          <w:rFonts w:ascii="Palatino Linotype" w:eastAsia="Palatino Linotype" w:hAnsi="Palatino Linotype" w:cs="Palatino Linotype"/>
        </w:rPr>
        <w:t xml:space="preserve">, ordenar la entrega de los Convenios Laborales de los años dos mil diecinueve a dos mil veintitrés, firmados entre el Sistema de Agua </w:t>
      </w:r>
      <w:r w:rsidRPr="00550FB3">
        <w:rPr>
          <w:rFonts w:ascii="Palatino Linotype" w:eastAsia="Palatino Linotype" w:hAnsi="Palatino Linotype" w:cs="Palatino Linotype"/>
        </w:rPr>
        <w:lastRenderedPageBreak/>
        <w:t xml:space="preserve">Potable, Alcantarillado y Saneamiento de Ecatepec de Morelos con el </w:t>
      </w:r>
      <w:proofErr w:type="spellStart"/>
      <w:r w:rsidRPr="00550FB3">
        <w:rPr>
          <w:rFonts w:ascii="Palatino Linotype" w:eastAsia="Palatino Linotype" w:hAnsi="Palatino Linotype" w:cs="Palatino Linotype"/>
        </w:rPr>
        <w:t>SUTEyM</w:t>
      </w:r>
      <w:proofErr w:type="spellEnd"/>
      <w:r w:rsidRPr="00550FB3">
        <w:rPr>
          <w:rFonts w:ascii="Palatino Linotype" w:eastAsia="Palatino Linotype" w:hAnsi="Palatino Linotype" w:cs="Palatino Linotype"/>
        </w:rPr>
        <w:t xml:space="preserve"> Ecatepec, requeridos por </w:t>
      </w:r>
      <w:r w:rsidRPr="00550FB3">
        <w:rPr>
          <w:rFonts w:ascii="Palatino Linotype" w:eastAsia="Palatino Linotype" w:hAnsi="Palatino Linotype" w:cs="Palatino Linotype"/>
          <w:b/>
        </w:rPr>
        <w:t>LA PARTE RECURRENTE</w:t>
      </w:r>
      <w:r w:rsidRPr="00550FB3">
        <w:rPr>
          <w:rFonts w:ascii="Palatino Linotype" w:eastAsia="Palatino Linotype" w:hAnsi="Palatino Linotype" w:cs="Palatino Linotype"/>
        </w:rPr>
        <w:t xml:space="preserve">, pues como ha sido demostrado, </w:t>
      </w:r>
      <w:r w:rsidRPr="00550FB3">
        <w:rPr>
          <w:rFonts w:ascii="Palatino Linotype" w:eastAsia="Palatino Linotype" w:hAnsi="Palatino Linotype" w:cs="Palatino Linotype"/>
          <w:b/>
        </w:rPr>
        <w:t>EL SUJETO OBLIGADO</w:t>
      </w:r>
      <w:r w:rsidRPr="00550FB3">
        <w:rPr>
          <w:rFonts w:ascii="Palatino Linotype" w:eastAsia="Palatino Linotype" w:hAnsi="Palatino Linotype" w:cs="Palatino Linotype"/>
        </w:rPr>
        <w:t xml:space="preserve"> se encuentra facultado para satisfacer este derecho ciudadano, atendiendo al Considerando. </w:t>
      </w:r>
    </w:p>
    <w:p w:rsidR="00FB4B50" w:rsidRPr="00550FB3" w:rsidRDefault="00FB4B50" w:rsidP="00D04DDC">
      <w:pPr>
        <w:pStyle w:val="NormalWeb"/>
        <w:spacing w:before="0" w:beforeAutospacing="0" w:after="0" w:afterAutospacing="0" w:line="360" w:lineRule="auto"/>
        <w:jc w:val="both"/>
        <w:rPr>
          <w:rFonts w:ascii="Palatino Linotype" w:hAnsi="Palatino Linotype"/>
          <w:color w:val="000000"/>
        </w:rPr>
      </w:pPr>
    </w:p>
    <w:p w:rsidR="00866C12" w:rsidRPr="00550FB3" w:rsidRDefault="00866C12" w:rsidP="00D04DDC">
      <w:pPr>
        <w:pStyle w:val="NormalWeb"/>
        <w:spacing w:before="0" w:beforeAutospacing="0" w:after="0" w:afterAutospacing="0" w:line="360" w:lineRule="auto"/>
        <w:ind w:right="49"/>
        <w:jc w:val="both"/>
        <w:rPr>
          <w:rFonts w:ascii="Palatino Linotype" w:hAnsi="Palatino Linotype"/>
        </w:rPr>
      </w:pPr>
      <w:r w:rsidRPr="00550FB3">
        <w:rPr>
          <w:rFonts w:ascii="Palatino Linotype" w:hAnsi="Palatino Linotype"/>
          <w:b/>
          <w:bCs/>
          <w:color w:val="000000"/>
        </w:rPr>
        <w:t xml:space="preserve">QUINTO. VERSIÓN PÚBLICA. </w:t>
      </w:r>
      <w:r w:rsidRPr="00550FB3">
        <w:rPr>
          <w:rFonts w:ascii="Palatino Linotype" w:hAnsi="Palatino Linotype"/>
          <w:color w:val="000000"/>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w:t>
      </w:r>
      <w:r w:rsidRPr="00550FB3">
        <w:rPr>
          <w:rFonts w:ascii="Palatino Linotype" w:hAnsi="Palatino Linotype"/>
          <w:b/>
          <w:color w:val="000000"/>
        </w:rPr>
        <w:t>EL SUJETO OBLIGADO</w:t>
      </w:r>
      <w:r w:rsidRPr="00550FB3">
        <w:rPr>
          <w:rFonts w:ascii="Palatino Linotype" w:hAnsi="Palatino Linotype"/>
          <w:color w:val="000000"/>
        </w:rPr>
        <w:t xml:space="preserve"> tendrá que hacer la elaboración de una versión pública de los documentos que vaya entregar para dar cumplimiento a esta resolución, a fin de satisfacer el derecho de acceso a la información pública de </w:t>
      </w:r>
      <w:r w:rsidRPr="00550FB3">
        <w:rPr>
          <w:rFonts w:ascii="Palatino Linotype" w:hAnsi="Palatino Linotype"/>
          <w:b/>
          <w:color w:val="000000"/>
        </w:rPr>
        <w:t xml:space="preserve">LA PARTE </w:t>
      </w:r>
      <w:r w:rsidRPr="00550FB3">
        <w:rPr>
          <w:rFonts w:ascii="Palatino Linotype" w:hAnsi="Palatino Linotype"/>
          <w:b/>
          <w:bCs/>
          <w:color w:val="000000"/>
        </w:rPr>
        <w:t>RECURRENTE</w:t>
      </w:r>
      <w:r w:rsidRPr="00550FB3">
        <w:rPr>
          <w:rFonts w:ascii="Palatino Linotype" w:hAnsi="Palatino Linotype"/>
          <w:b/>
          <w:color w:val="000000"/>
        </w:rPr>
        <w:t xml:space="preserve"> </w:t>
      </w:r>
      <w:r w:rsidRPr="00550FB3">
        <w:rPr>
          <w:rFonts w:ascii="Palatino Linotype" w:hAnsi="Palatino Linotype"/>
          <w:color w:val="000000"/>
        </w:rPr>
        <w:t>sin menoscabar el derecho a la protección de los datos personales de terceros.</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pacing w:before="0" w:beforeAutospacing="0" w:after="0" w:afterAutospacing="0" w:line="360" w:lineRule="auto"/>
        <w:ind w:right="50"/>
        <w:jc w:val="both"/>
        <w:rPr>
          <w:rFonts w:ascii="Palatino Linotype" w:hAnsi="Palatino Linotype"/>
          <w:color w:val="000000"/>
        </w:rPr>
      </w:pPr>
      <w:r w:rsidRPr="00550FB3">
        <w:rPr>
          <w:rFonts w:ascii="Palatino Linotype" w:hAnsi="Palatino Linotype"/>
          <w:color w:val="000000"/>
        </w:rPr>
        <w:t>Lo anterior, de conformidad a lo que señalan los artículos 3, fracciones IX, XX, XXXII, XLV; 6, 137 y 143 fracción I, de la Ley de Transparencia y Acceso a la Información Pública del Estado de México y Municipios vigente, que se leen como sigue:</w:t>
      </w:r>
    </w:p>
    <w:p w:rsidR="00D04DDC" w:rsidRPr="00550FB3" w:rsidRDefault="00D04DDC"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 “Artículo 3. Para los efectos de la presente Ley se entenderá por:</w:t>
      </w:r>
    </w:p>
    <w:p w:rsidR="00866C12" w:rsidRPr="00550FB3" w:rsidRDefault="00866C12" w:rsidP="00D04DDC">
      <w:pPr>
        <w:pStyle w:val="Citas"/>
        <w:spacing w:before="0" w:after="0" w:line="240" w:lineRule="auto"/>
      </w:pPr>
      <w:r w:rsidRPr="00550FB3">
        <w:rPr>
          <w:b/>
          <w:bCs/>
          <w:iCs/>
          <w:color w:val="000000"/>
        </w:rPr>
        <w:t>IX. Datos personales:</w:t>
      </w:r>
      <w:r w:rsidRPr="00550FB3">
        <w:rPr>
          <w:iCs/>
          <w:color w:val="000000"/>
        </w:rPr>
        <w:t xml:space="preserve"> </w:t>
      </w:r>
      <w:r w:rsidRPr="00550FB3">
        <w:rPr>
          <w:b/>
          <w:bCs/>
          <w:iCs/>
          <w:color w:val="000000"/>
        </w:rPr>
        <w:t>La información concerniente a una persona, identificada o identificable</w:t>
      </w:r>
      <w:r w:rsidRPr="00550FB3">
        <w:rPr>
          <w:iCs/>
          <w:color w:val="000000"/>
        </w:rPr>
        <w:t xml:space="preserve"> según lo dispuesto por la Ley de Protección de Datos Personales del Estado de México;</w:t>
      </w:r>
    </w:p>
    <w:p w:rsidR="00866C12" w:rsidRPr="00550FB3" w:rsidRDefault="00866C12" w:rsidP="00D04DDC">
      <w:pPr>
        <w:pStyle w:val="Citas"/>
        <w:spacing w:before="0" w:after="0" w:line="240" w:lineRule="auto"/>
      </w:pPr>
      <w:r w:rsidRPr="00550FB3">
        <w:rPr>
          <w:b/>
          <w:bCs/>
          <w:iCs/>
          <w:color w:val="000000"/>
        </w:rPr>
        <w:lastRenderedPageBreak/>
        <w:t>XX. Información clasificada:</w:t>
      </w:r>
      <w:r w:rsidRPr="00550FB3">
        <w:rPr>
          <w:iCs/>
          <w:color w:val="000000"/>
        </w:rPr>
        <w:t xml:space="preserve"> Aquella considerada por la presente Ley como reservada o confidencial;</w:t>
      </w:r>
    </w:p>
    <w:p w:rsidR="00866C12" w:rsidRPr="00550FB3" w:rsidRDefault="00866C12" w:rsidP="00D04DDC">
      <w:pPr>
        <w:pStyle w:val="Citas"/>
        <w:spacing w:before="0" w:after="0" w:line="240" w:lineRule="auto"/>
      </w:pPr>
      <w:r w:rsidRPr="00550FB3">
        <w:rPr>
          <w:b/>
          <w:bCs/>
          <w:iCs/>
          <w:color w:val="000000"/>
        </w:rPr>
        <w:t>XXXII. Protección de Datos Personales:</w:t>
      </w:r>
      <w:r w:rsidRPr="00550FB3">
        <w:rPr>
          <w:iCs/>
          <w:color w:val="000000"/>
        </w:rPr>
        <w:t xml:space="preserve"> Derecho humano que tutela la privacidad de datos personales en poder de los sujetos obligados y sujetos particulares;</w:t>
      </w:r>
    </w:p>
    <w:p w:rsidR="00866C12" w:rsidRPr="00550FB3" w:rsidRDefault="00866C12" w:rsidP="00D04DDC">
      <w:pPr>
        <w:pStyle w:val="Citas"/>
        <w:spacing w:before="0" w:after="0" w:line="240" w:lineRule="auto"/>
      </w:pPr>
      <w:r w:rsidRPr="00550FB3">
        <w:rPr>
          <w:b/>
          <w:bCs/>
          <w:iCs/>
          <w:color w:val="000000"/>
        </w:rPr>
        <w:t>XLV. Versión pública</w:t>
      </w:r>
      <w:r w:rsidRPr="00550FB3">
        <w:rPr>
          <w:iCs/>
          <w:color w:val="000000"/>
        </w:rPr>
        <w:t>: Documento en el que se elimine, suprime o borra la información clasificada como reservada o confidencial para permitir su acceso.”</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“Artículo 6.</w:t>
      </w:r>
      <w:r w:rsidRPr="00550FB3">
        <w:rPr>
          <w:iCs/>
          <w:color w:val="000000"/>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“Artículo 137.</w:t>
      </w:r>
      <w:r w:rsidRPr="00550FB3">
        <w:rPr>
          <w:iCs/>
          <w:color w:val="00000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“Artículo 143</w:t>
      </w:r>
      <w:r w:rsidRPr="00550FB3">
        <w:rPr>
          <w:iCs/>
          <w:color w:val="000000"/>
        </w:rPr>
        <w:t>. Para los efectos de esta Ley se considera información confidencial, la clasificada como tal, de manera permanente, por su naturaleza, cuando:</w:t>
      </w:r>
    </w:p>
    <w:p w:rsidR="00866C12" w:rsidRPr="00550FB3" w:rsidRDefault="00866C12" w:rsidP="00D04DDC">
      <w:pPr>
        <w:pStyle w:val="Citas"/>
        <w:spacing w:before="0" w:after="0" w:line="240" w:lineRule="auto"/>
      </w:pPr>
      <w:r w:rsidRPr="00550FB3">
        <w:rPr>
          <w:b/>
          <w:bCs/>
          <w:iCs/>
          <w:color w:val="000000"/>
        </w:rPr>
        <w:t>I.</w:t>
      </w:r>
      <w:r w:rsidRPr="00550FB3">
        <w:rPr>
          <w:iCs/>
          <w:color w:val="000000"/>
        </w:rPr>
        <w:t xml:space="preserve"> Se refiera a la información privada y los datos personales concernientes a una persona física o jurídica colectiva identificada o identificable;</w:t>
      </w:r>
    </w:p>
    <w:p w:rsidR="00866C12" w:rsidRPr="00550FB3" w:rsidRDefault="00866C12" w:rsidP="00D04DDC">
      <w:pPr>
        <w:pStyle w:val="Citas"/>
        <w:spacing w:before="0" w:after="0" w:line="240" w:lineRule="auto"/>
      </w:pPr>
      <w:r w:rsidRPr="00550FB3">
        <w:rPr>
          <w:iCs/>
          <w:color w:val="000000"/>
        </w:rPr>
        <w:t>II. Los secretos bancario, fiduciario, industrial, comercial, fiscal, bursátil y postal, cuya titularidad corresponda a particulares, sujetos de derecho internacional o a sujetos obligados cuando no involucren el ejercicio de recursos públicos; y</w:t>
      </w:r>
    </w:p>
    <w:p w:rsidR="00866C12" w:rsidRPr="00550FB3" w:rsidRDefault="00866C12" w:rsidP="00D04DDC">
      <w:pPr>
        <w:pStyle w:val="Citas"/>
        <w:spacing w:before="0" w:after="0" w:line="240" w:lineRule="auto"/>
      </w:pPr>
      <w:r w:rsidRPr="00550FB3">
        <w:rPr>
          <w:iCs/>
          <w:color w:val="000000"/>
        </w:rPr>
        <w:t>III. La que presenten los particulares a los sujetos obligados, de conformidad con lo dispuesto por las leyes o los tratados internacionales.” (Sic)</w:t>
      </w:r>
    </w:p>
    <w:p w:rsidR="00866C12" w:rsidRPr="00550FB3" w:rsidRDefault="00866C12" w:rsidP="00D04DDC">
      <w:pPr>
        <w:pStyle w:val="Citas"/>
        <w:spacing w:before="0" w:after="0" w:line="240" w:lineRule="auto"/>
      </w:pPr>
    </w:p>
    <w:p w:rsidR="00866C12" w:rsidRPr="00550FB3" w:rsidRDefault="00866C12" w:rsidP="00D04DDC">
      <w:pPr>
        <w:pStyle w:val="NormalWeb"/>
        <w:spacing w:before="0" w:beforeAutospacing="0" w:after="0" w:afterAutospacing="0" w:line="360" w:lineRule="auto"/>
        <w:ind w:right="51"/>
        <w:jc w:val="both"/>
        <w:rPr>
          <w:rFonts w:ascii="Palatino Linotype" w:hAnsi="Palatino Linotype"/>
        </w:rPr>
      </w:pPr>
      <w:r w:rsidRPr="00550FB3">
        <w:rPr>
          <w:rFonts w:ascii="Palatino Linotype" w:hAnsi="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00D04DDC" w:rsidRPr="00550FB3">
        <w:rPr>
          <w:rFonts w:ascii="Palatino Linotype" w:hAnsi="Palatino Linotype"/>
          <w:b/>
          <w:color w:val="000000"/>
        </w:rPr>
        <w:t xml:space="preserve">EL </w:t>
      </w:r>
      <w:r w:rsidR="00D04DDC" w:rsidRPr="00550FB3">
        <w:rPr>
          <w:rFonts w:ascii="Palatino Linotype" w:hAnsi="Palatino Linotype"/>
          <w:b/>
          <w:color w:val="000000"/>
        </w:rPr>
        <w:lastRenderedPageBreak/>
        <w:t>SUJETO OBLIGADO</w:t>
      </w:r>
      <w:r w:rsidR="00D04DDC" w:rsidRPr="00550FB3">
        <w:rPr>
          <w:rFonts w:ascii="Palatino Linotype" w:hAnsi="Palatino Linotype"/>
          <w:color w:val="000000"/>
        </w:rPr>
        <w:t xml:space="preserve"> </w:t>
      </w:r>
      <w:r w:rsidRPr="00550FB3">
        <w:rPr>
          <w:rFonts w:ascii="Palatino Linotype" w:hAnsi="Palatino Linotype"/>
          <w:color w:val="000000"/>
        </w:rPr>
        <w:t xml:space="preserve">deberá proceder a testar los datos personales que se encuentren contenidos en los documentos a entregar por </w:t>
      </w:r>
      <w:r w:rsidR="00D04DDC" w:rsidRPr="00550FB3">
        <w:rPr>
          <w:rFonts w:ascii="Palatino Linotype" w:hAnsi="Palatino Linotype"/>
          <w:color w:val="000000"/>
        </w:rPr>
        <w:t xml:space="preserve">su cuenta </w:t>
      </w:r>
      <w:r w:rsidRPr="00550FB3">
        <w:rPr>
          <w:rFonts w:ascii="Palatino Linotype" w:hAnsi="Palatino Linotype"/>
          <w:color w:val="000000"/>
        </w:rPr>
        <w:t xml:space="preserve">para satisfacer el derecho de acceso a la información pública de </w:t>
      </w:r>
      <w:r w:rsidR="00D04DDC" w:rsidRPr="00550FB3">
        <w:rPr>
          <w:rFonts w:ascii="Palatino Linotype" w:hAnsi="Palatino Linotype"/>
          <w:b/>
          <w:color w:val="000000"/>
        </w:rPr>
        <w:t xml:space="preserve">LA PARTE </w:t>
      </w:r>
      <w:r w:rsidR="00D04DDC" w:rsidRPr="00550FB3">
        <w:rPr>
          <w:rFonts w:ascii="Palatino Linotype" w:hAnsi="Palatino Linotype"/>
          <w:b/>
          <w:bCs/>
          <w:color w:val="000000"/>
        </w:rPr>
        <w:t>RECURRENTE</w:t>
      </w:r>
      <w:r w:rsidRPr="00550FB3">
        <w:rPr>
          <w:rFonts w:ascii="Palatino Linotype" w:hAnsi="Palatino Linotype"/>
          <w:color w:val="000000"/>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pacing w:before="0" w:beforeAutospacing="0" w:after="0" w:afterAutospacing="0" w:line="360" w:lineRule="auto"/>
        <w:ind w:right="50"/>
        <w:jc w:val="both"/>
        <w:rPr>
          <w:rFonts w:ascii="Palatino Linotype" w:hAnsi="Palatino Linotype"/>
        </w:rPr>
      </w:pPr>
      <w:r w:rsidRPr="00550FB3">
        <w:rPr>
          <w:rFonts w:ascii="Palatino Linotype" w:hAnsi="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pacing w:before="0" w:beforeAutospacing="0" w:after="0" w:afterAutospacing="0" w:line="360" w:lineRule="auto"/>
        <w:ind w:right="51"/>
        <w:jc w:val="both"/>
        <w:rPr>
          <w:rFonts w:ascii="Palatino Linotype" w:hAnsi="Palatino Linotype"/>
        </w:rPr>
      </w:pPr>
      <w:r w:rsidRPr="00550FB3">
        <w:rPr>
          <w:rFonts w:ascii="Palatino Linotype" w:hAnsi="Palatino Linotype"/>
          <w:color w:val="000000"/>
        </w:rPr>
        <w:t>Por ende, la clasificación de la información no opera con la simple supresión de datos que se haga en los documentos de que se trate o co</w:t>
      </w:r>
      <w:r w:rsidR="00D04DDC" w:rsidRPr="00550FB3">
        <w:rPr>
          <w:rFonts w:ascii="Palatino Linotype" w:hAnsi="Palatino Linotype"/>
          <w:color w:val="000000"/>
        </w:rPr>
        <w:t>n la simple decisión que tome la Persona</w:t>
      </w:r>
      <w:r w:rsidRPr="00550FB3">
        <w:rPr>
          <w:rFonts w:ascii="Palatino Linotype" w:hAnsi="Palatino Linotype"/>
          <w:color w:val="000000"/>
        </w:rPr>
        <w:t xml:space="preserve"> Servidor</w:t>
      </w:r>
      <w:r w:rsidR="00D04DDC" w:rsidRPr="00550FB3">
        <w:rPr>
          <w:rFonts w:ascii="Palatino Linotype" w:hAnsi="Palatino Linotype"/>
          <w:color w:val="000000"/>
        </w:rPr>
        <w:t>a Pública Habilitada o la</w:t>
      </w:r>
      <w:r w:rsidRPr="00550FB3">
        <w:rPr>
          <w:rFonts w:ascii="Palatino Linotype" w:hAnsi="Palatino Linotype"/>
          <w:color w:val="000000"/>
        </w:rPr>
        <w:t xml:space="preserve"> Responsable de la Unidad de Transparencia del </w:t>
      </w:r>
      <w:r w:rsidRPr="00550FB3">
        <w:rPr>
          <w:rFonts w:ascii="Palatino Linotype" w:hAnsi="Palatino Linotype"/>
          <w:b/>
          <w:bCs/>
          <w:color w:val="000000"/>
        </w:rPr>
        <w:t>SUJETO OBLIGADO</w:t>
      </w:r>
      <w:r w:rsidRPr="00550FB3">
        <w:rPr>
          <w:rFonts w:ascii="Palatino Linotype" w:hAnsi="Palatino Linotype"/>
          <w:color w:val="000000"/>
        </w:rPr>
        <w:t>, sino que ello deberá realizarse en términos de lo que disponen los artículos 49 fracción VIII, 53, fracción X y 59, fracción V, de la Ley en consulta, cuyo sentido literal es el siguiente:</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“Artículo 49.</w:t>
      </w:r>
      <w:r w:rsidRPr="00550FB3">
        <w:rPr>
          <w:iCs/>
          <w:color w:val="000000"/>
        </w:rPr>
        <w:t xml:space="preserve"> </w:t>
      </w:r>
      <w:r w:rsidRPr="00550FB3">
        <w:rPr>
          <w:b/>
          <w:bCs/>
          <w:iCs/>
          <w:color w:val="000000"/>
        </w:rPr>
        <w:t>Los Comités de Transparencia</w:t>
      </w:r>
      <w:r w:rsidRPr="00550FB3">
        <w:rPr>
          <w:iCs/>
          <w:color w:val="000000"/>
        </w:rPr>
        <w:t xml:space="preserve"> tendrán las siguientes atribuciones:</w:t>
      </w:r>
    </w:p>
    <w:p w:rsidR="00866C12" w:rsidRPr="00550FB3" w:rsidRDefault="00866C12" w:rsidP="00D04DDC">
      <w:pPr>
        <w:pStyle w:val="Citas"/>
        <w:spacing w:before="0" w:after="0" w:line="240" w:lineRule="auto"/>
      </w:pPr>
      <w:r w:rsidRPr="00550FB3">
        <w:rPr>
          <w:b/>
          <w:bCs/>
          <w:iCs/>
          <w:color w:val="000000"/>
        </w:rPr>
        <w:lastRenderedPageBreak/>
        <w:t>VIII. Aprobar, modificar o revocar la clasificación de la información</w:t>
      </w:r>
      <w:r w:rsidRPr="00550FB3">
        <w:rPr>
          <w:iCs/>
          <w:color w:val="000000"/>
        </w:rPr>
        <w:t>…”</w:t>
      </w:r>
    </w:p>
    <w:p w:rsidR="00866C12" w:rsidRPr="00550FB3" w:rsidRDefault="00866C12" w:rsidP="00D04DDC">
      <w:pPr>
        <w:pStyle w:val="Citas"/>
        <w:spacing w:before="0" w:after="0" w:line="240" w:lineRule="auto"/>
      </w:pPr>
      <w:r w:rsidRPr="00550FB3">
        <w:rPr>
          <w:iCs/>
          <w:color w:val="000000"/>
        </w:rPr>
        <w:t>“</w:t>
      </w:r>
      <w:r w:rsidRPr="00550FB3">
        <w:rPr>
          <w:b/>
          <w:bCs/>
          <w:iCs/>
          <w:color w:val="000000"/>
        </w:rPr>
        <w:t>Artículo 53.</w:t>
      </w:r>
      <w:r w:rsidRPr="00550FB3">
        <w:rPr>
          <w:iCs/>
          <w:color w:val="000000"/>
        </w:rPr>
        <w:t xml:space="preserve"> Las </w:t>
      </w:r>
      <w:r w:rsidRPr="00550FB3">
        <w:rPr>
          <w:b/>
          <w:bCs/>
          <w:iCs/>
          <w:color w:val="000000"/>
        </w:rPr>
        <w:t>Unidades de Transparencia</w:t>
      </w:r>
      <w:r w:rsidRPr="00550FB3">
        <w:rPr>
          <w:iCs/>
          <w:color w:val="000000"/>
        </w:rPr>
        <w:t xml:space="preserve"> tendrán las siguientes </w:t>
      </w:r>
      <w:r w:rsidRPr="00550FB3">
        <w:rPr>
          <w:b/>
          <w:bCs/>
          <w:iCs/>
          <w:color w:val="000000"/>
        </w:rPr>
        <w:t>funciones</w:t>
      </w:r>
      <w:r w:rsidRPr="00550FB3">
        <w:rPr>
          <w:iCs/>
          <w:color w:val="000000"/>
        </w:rPr>
        <w:t>:</w:t>
      </w:r>
    </w:p>
    <w:p w:rsidR="00866C12" w:rsidRPr="00550FB3" w:rsidRDefault="00866C12" w:rsidP="00D04DDC">
      <w:pPr>
        <w:pStyle w:val="Citas"/>
        <w:spacing w:before="0" w:after="0" w:line="240" w:lineRule="auto"/>
      </w:pPr>
      <w:r w:rsidRPr="00550FB3">
        <w:rPr>
          <w:b/>
          <w:bCs/>
          <w:iCs/>
          <w:color w:val="000000"/>
        </w:rPr>
        <w:t>X. Presentar ante el Comité, el proyecto de clasificación de información</w:t>
      </w:r>
      <w:r w:rsidRPr="00550FB3">
        <w:rPr>
          <w:iCs/>
          <w:color w:val="000000"/>
        </w:rPr>
        <w:t>…” </w:t>
      </w:r>
    </w:p>
    <w:p w:rsidR="00866C12" w:rsidRPr="00550FB3" w:rsidRDefault="00866C12" w:rsidP="00D04DDC">
      <w:pPr>
        <w:pStyle w:val="Citas"/>
        <w:spacing w:before="0" w:after="0" w:line="240" w:lineRule="auto"/>
      </w:pPr>
      <w:r w:rsidRPr="00550FB3">
        <w:rPr>
          <w:b/>
          <w:bCs/>
          <w:iCs/>
          <w:color w:val="000000"/>
        </w:rPr>
        <w:t>“Artículo 59.</w:t>
      </w:r>
      <w:r w:rsidRPr="00550FB3">
        <w:rPr>
          <w:iCs/>
          <w:color w:val="000000"/>
        </w:rPr>
        <w:t xml:space="preserve"> Los </w:t>
      </w:r>
      <w:r w:rsidRPr="00550FB3">
        <w:rPr>
          <w:b/>
          <w:bCs/>
          <w:iCs/>
          <w:color w:val="000000"/>
        </w:rPr>
        <w:t>servidores públicos habilitados</w:t>
      </w:r>
      <w:r w:rsidRPr="00550FB3">
        <w:rPr>
          <w:iCs/>
          <w:color w:val="000000"/>
        </w:rPr>
        <w:t xml:space="preserve"> tendrán las </w:t>
      </w:r>
      <w:r w:rsidRPr="00550FB3">
        <w:rPr>
          <w:b/>
          <w:bCs/>
          <w:iCs/>
          <w:color w:val="000000"/>
        </w:rPr>
        <w:t>funciones</w:t>
      </w:r>
      <w:r w:rsidRPr="00550FB3">
        <w:rPr>
          <w:iCs/>
          <w:color w:val="000000"/>
        </w:rPr>
        <w:t xml:space="preserve"> siguientes:</w:t>
      </w:r>
    </w:p>
    <w:p w:rsidR="00866C12" w:rsidRPr="00550FB3" w:rsidRDefault="00866C12" w:rsidP="00D04DDC">
      <w:pPr>
        <w:pStyle w:val="Citas"/>
        <w:spacing w:before="0" w:after="0" w:line="240" w:lineRule="auto"/>
      </w:pPr>
      <w:r w:rsidRPr="00550FB3">
        <w:rPr>
          <w:b/>
          <w:bCs/>
          <w:iCs/>
          <w:color w:val="000000"/>
        </w:rPr>
        <w:t>V. Integrar y presentar al responsable de la Unidad de Transparencia la propuesta de clasificación de información</w:t>
      </w:r>
      <w:r w:rsidRPr="00550FB3">
        <w:rPr>
          <w:iCs/>
          <w:color w:val="000000"/>
        </w:rPr>
        <w:t>, la cual tendrá los fundamentos y argumentos en que se basa dicha propuesta…” (Sic)</w:t>
      </w:r>
    </w:p>
    <w:p w:rsidR="00866C12" w:rsidRPr="00550FB3" w:rsidRDefault="00866C12" w:rsidP="00D04DDC">
      <w:pPr>
        <w:pStyle w:val="Citas"/>
        <w:spacing w:before="0" w:after="0" w:line="240" w:lineRule="auto"/>
      </w:pPr>
    </w:p>
    <w:p w:rsidR="00866C12" w:rsidRPr="00550FB3" w:rsidRDefault="00866C12" w:rsidP="00D04DDC">
      <w:pPr>
        <w:pStyle w:val="NormalWeb"/>
        <w:spacing w:before="0" w:beforeAutospacing="0" w:after="0" w:afterAutospacing="0" w:line="360" w:lineRule="auto"/>
        <w:jc w:val="both"/>
        <w:rPr>
          <w:rFonts w:ascii="Palatino Linotype" w:hAnsi="Palatino Linotype"/>
        </w:rPr>
      </w:pPr>
      <w:r w:rsidRPr="00550FB3">
        <w:rPr>
          <w:rFonts w:ascii="Palatino Linotype" w:hAnsi="Palatino Linotype"/>
          <w:color w:val="000000"/>
        </w:rPr>
        <w:t xml:space="preserve">Denotándose de dichos elementos normativos que el determinar la clasificación de la información es un </w:t>
      </w:r>
      <w:r w:rsidR="00D04DDC" w:rsidRPr="00550FB3">
        <w:rPr>
          <w:rFonts w:ascii="Palatino Linotype" w:hAnsi="Palatino Linotype"/>
          <w:color w:val="000000"/>
        </w:rPr>
        <w:t>trabajo en conjunto tanto de las Personas Servidoras Públicas Habilitada</w:t>
      </w:r>
      <w:r w:rsidRPr="00550FB3">
        <w:rPr>
          <w:rFonts w:ascii="Palatino Linotype" w:hAnsi="Palatino Linotype"/>
          <w:color w:val="000000"/>
        </w:rPr>
        <w:t>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pacing w:before="0" w:beforeAutospacing="0" w:after="0" w:afterAutospacing="0" w:line="360" w:lineRule="auto"/>
        <w:jc w:val="both"/>
        <w:rPr>
          <w:rFonts w:ascii="Palatino Linotype" w:hAnsi="Palatino Linotype"/>
          <w:color w:val="000000"/>
        </w:rPr>
      </w:pPr>
      <w:r w:rsidRPr="00550FB3">
        <w:rPr>
          <w:rFonts w:ascii="Palatino Linotype" w:hAnsi="Palatino Linotype"/>
          <w:color w:val="000000"/>
        </w:rPr>
        <w:t>Para lo cual, a su vez en el caso de información de carácter confidencial, se debe atender a lo que señala el artículo 149 de la Ley de Transparencia Local vigente, que se lee como sigue:</w:t>
      </w:r>
    </w:p>
    <w:p w:rsidR="00D04DDC" w:rsidRPr="00550FB3" w:rsidRDefault="00D04DDC" w:rsidP="00D04DDC">
      <w:pPr>
        <w:pStyle w:val="Citas"/>
        <w:spacing w:before="0" w:after="0" w:line="240" w:lineRule="auto"/>
      </w:pPr>
    </w:p>
    <w:p w:rsidR="00866C12" w:rsidRPr="00550FB3" w:rsidRDefault="00866C12" w:rsidP="00D04DDC">
      <w:pPr>
        <w:pStyle w:val="Citas"/>
        <w:spacing w:before="0" w:after="0" w:line="240" w:lineRule="auto"/>
      </w:pPr>
      <w:r w:rsidRPr="00550FB3">
        <w:rPr>
          <w:iCs/>
          <w:color w:val="000000"/>
        </w:rPr>
        <w:t>“</w:t>
      </w:r>
      <w:r w:rsidRPr="00550FB3">
        <w:rPr>
          <w:b/>
          <w:bCs/>
          <w:iCs/>
          <w:color w:val="000000"/>
        </w:rPr>
        <w:t>Artículo 149.</w:t>
      </w:r>
      <w:r w:rsidRPr="00550FB3">
        <w:rPr>
          <w:iCs/>
          <w:color w:val="000000"/>
        </w:rPr>
        <w:t xml:space="preserve"> El </w:t>
      </w:r>
      <w:r w:rsidRPr="00550FB3">
        <w:rPr>
          <w:b/>
          <w:bCs/>
          <w:iCs/>
          <w:color w:val="000000"/>
        </w:rPr>
        <w:t>acuerdo que clasifique la información como confidencial</w:t>
      </w:r>
      <w:r w:rsidRPr="00550FB3">
        <w:rPr>
          <w:iCs/>
          <w:color w:val="000000"/>
        </w:rPr>
        <w:t xml:space="preserve"> deberá contener un razonamiento lógico en el que demuestre que la información se encuentra en alguna o algunas de las hipótesis previstas en la presente Ley.”(Sic)</w:t>
      </w:r>
    </w:p>
    <w:p w:rsidR="00866C12" w:rsidRPr="00550FB3" w:rsidRDefault="00866C12" w:rsidP="00D04DDC">
      <w:pPr>
        <w:pStyle w:val="Citas"/>
        <w:spacing w:before="0" w:after="0" w:line="240" w:lineRule="auto"/>
      </w:pPr>
    </w:p>
    <w:p w:rsidR="00866C12" w:rsidRPr="00550FB3" w:rsidRDefault="00866C12" w:rsidP="00D04DDC">
      <w:pPr>
        <w:pStyle w:val="NormalWeb"/>
        <w:spacing w:before="0" w:beforeAutospacing="0" w:after="0" w:afterAutospacing="0" w:line="360" w:lineRule="auto"/>
        <w:ind w:right="51"/>
        <w:jc w:val="both"/>
        <w:rPr>
          <w:rFonts w:ascii="Palatino Linotype" w:hAnsi="Palatino Linotype"/>
        </w:rPr>
      </w:pPr>
      <w:r w:rsidRPr="00550FB3">
        <w:rPr>
          <w:rFonts w:ascii="Palatino Linotype" w:hAnsi="Palatino Linotype"/>
          <w:color w:val="000000"/>
        </w:rPr>
        <w:lastRenderedPageBreak/>
        <w:t xml:space="preserve">Es decir, </w:t>
      </w:r>
      <w:r w:rsidR="00D04DDC" w:rsidRPr="00550FB3">
        <w:rPr>
          <w:rFonts w:ascii="Palatino Linotype" w:hAnsi="Palatino Linotype"/>
          <w:b/>
          <w:color w:val="000000"/>
        </w:rPr>
        <w:t xml:space="preserve">EL </w:t>
      </w:r>
      <w:r w:rsidR="00D04DDC" w:rsidRPr="00550FB3">
        <w:rPr>
          <w:rFonts w:ascii="Palatino Linotype" w:hAnsi="Palatino Linotype"/>
          <w:b/>
          <w:bCs/>
          <w:color w:val="000000"/>
        </w:rPr>
        <w:t xml:space="preserve">SUJETO </w:t>
      </w:r>
      <w:r w:rsidRPr="00550FB3">
        <w:rPr>
          <w:rFonts w:ascii="Palatino Linotype" w:hAnsi="Palatino Linotype"/>
          <w:b/>
          <w:bCs/>
          <w:color w:val="000000"/>
        </w:rPr>
        <w:t>OBLIGADO</w:t>
      </w:r>
      <w:r w:rsidRPr="00550FB3">
        <w:rPr>
          <w:rFonts w:ascii="Palatino Linotype" w:hAnsi="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w:t>
      </w:r>
      <w:r w:rsidR="00D04DDC" w:rsidRPr="00550FB3">
        <w:rPr>
          <w:rFonts w:ascii="Palatino Linotype" w:hAnsi="Palatino Linotype"/>
          <w:color w:val="000000"/>
        </w:rPr>
        <w:t xml:space="preserve">ley de la materia </w:t>
      </w:r>
      <w:r w:rsidRPr="00550FB3">
        <w:rPr>
          <w:rFonts w:ascii="Palatino Linotype" w:hAnsi="Palatino Linotype"/>
          <w:color w:val="000000"/>
        </w:rPr>
        <w:t>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pacing w:before="0" w:beforeAutospacing="0" w:after="0" w:afterAutospacing="0" w:line="360" w:lineRule="auto"/>
        <w:jc w:val="both"/>
        <w:rPr>
          <w:rFonts w:ascii="Palatino Linotype" w:hAnsi="Palatino Linotype"/>
        </w:rPr>
      </w:pPr>
      <w:r w:rsidRPr="00550FB3">
        <w:rPr>
          <w:rFonts w:ascii="Palatino Linotype" w:hAnsi="Palatino Linotype"/>
          <w:color w:val="000000"/>
        </w:rPr>
        <w:t xml:space="preserve">Al respecto, se destaca que la versión pública que elabore </w:t>
      </w:r>
      <w:r w:rsidR="00D04DDC" w:rsidRPr="00550FB3">
        <w:rPr>
          <w:rFonts w:ascii="Palatino Linotype" w:hAnsi="Palatino Linotype"/>
          <w:b/>
          <w:color w:val="000000"/>
        </w:rPr>
        <w:t xml:space="preserve">EL </w:t>
      </w:r>
      <w:r w:rsidR="00D04DDC" w:rsidRPr="00550FB3">
        <w:rPr>
          <w:rFonts w:ascii="Palatino Linotype" w:hAnsi="Palatino Linotype"/>
          <w:b/>
          <w:bCs/>
          <w:color w:val="000000"/>
        </w:rPr>
        <w:t xml:space="preserve">SUJETO </w:t>
      </w:r>
      <w:r w:rsidRPr="00550FB3">
        <w:rPr>
          <w:rFonts w:ascii="Palatino Linotype" w:hAnsi="Palatino Linotype"/>
          <w:b/>
          <w:bCs/>
          <w:color w:val="000000"/>
        </w:rPr>
        <w:t>OBLIGADO</w:t>
      </w:r>
      <w:r w:rsidRPr="00550FB3">
        <w:rPr>
          <w:rFonts w:ascii="Palatino Linotype" w:hAnsi="Palatino Linotype"/>
          <w:color w:val="000000"/>
        </w:rPr>
        <w:t xml:space="preserve"> debe cumplir con l</w:t>
      </w:r>
      <w:r w:rsidR="00D04DDC" w:rsidRPr="00550FB3">
        <w:rPr>
          <w:rFonts w:ascii="Palatino Linotype" w:hAnsi="Palatino Linotype"/>
          <w:color w:val="000000"/>
        </w:rPr>
        <w:t>as formalidades exigidas en la l</w:t>
      </w:r>
      <w:r w:rsidRPr="00550FB3">
        <w:rPr>
          <w:rFonts w:ascii="Palatino Linotype" w:hAnsi="Palatino Linotype"/>
          <w:color w:val="000000"/>
        </w:rPr>
        <w:t xml:space="preserve">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550FB3">
        <w:rPr>
          <w:rFonts w:ascii="Palatino Linotype" w:hAnsi="Palatino Linotype"/>
          <w:b/>
          <w:bCs/>
          <w:color w:val="000000"/>
        </w:rPr>
        <w:t>LINEAMIENTOS GENERALES EN MATERIA DE CLASIFICACIÓN Y DESCLASIFICACIÓN DE LA INFORMACIÓN, ASÍ COMO PARA LA ELABORACIÓN DE VERSIONES PÚBLICAS</w:t>
      </w:r>
      <w:r w:rsidRPr="00550FB3">
        <w:rPr>
          <w:rFonts w:ascii="Palatino Linotype" w:hAnsi="Palatino Linotype"/>
          <w:color w:val="000000"/>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b/>
          <w:bCs/>
          <w:iCs/>
          <w:color w:val="000000"/>
        </w:rPr>
        <w:t>“Lineamientos Generales en materia de Clasificación y Desclasificación de la Información, así como para la elaboración de Versiones Públicas</w:t>
      </w:r>
    </w:p>
    <w:p w:rsidR="00866C12" w:rsidRPr="00550FB3" w:rsidRDefault="00866C12" w:rsidP="00D04DDC">
      <w:pPr>
        <w:pStyle w:val="Citas"/>
        <w:spacing w:before="0" w:after="0" w:line="240" w:lineRule="auto"/>
      </w:pPr>
      <w:r w:rsidRPr="00550FB3">
        <w:rPr>
          <w:iCs/>
          <w:color w:val="000000"/>
        </w:rPr>
        <w:t>“</w:t>
      </w:r>
      <w:r w:rsidRPr="00550FB3">
        <w:rPr>
          <w:b/>
          <w:bCs/>
          <w:iCs/>
          <w:color w:val="000000"/>
        </w:rPr>
        <w:t>Segundo.-</w:t>
      </w:r>
      <w:r w:rsidRPr="00550FB3">
        <w:rPr>
          <w:iCs/>
          <w:color w:val="000000"/>
        </w:rPr>
        <w:t xml:space="preserve"> Para efectos de los presentes Lineamientos Generales, se entenderá por:</w:t>
      </w:r>
    </w:p>
    <w:p w:rsidR="00866C12" w:rsidRPr="00550FB3" w:rsidRDefault="00866C12" w:rsidP="00D04DDC">
      <w:pPr>
        <w:pStyle w:val="Citas"/>
        <w:spacing w:before="0" w:after="0" w:line="240" w:lineRule="auto"/>
      </w:pPr>
      <w:r w:rsidRPr="00550FB3">
        <w:rPr>
          <w:b/>
          <w:bCs/>
          <w:iCs/>
          <w:color w:val="000000"/>
        </w:rPr>
        <w:t>XVIII.</w:t>
      </w:r>
      <w:r w:rsidRPr="00550FB3">
        <w:rPr>
          <w:iCs/>
          <w:color w:val="000000"/>
        </w:rPr>
        <w:t xml:space="preserve"> </w:t>
      </w:r>
      <w:r w:rsidRPr="00550FB3">
        <w:rPr>
          <w:b/>
          <w:bCs/>
          <w:iCs/>
          <w:color w:val="000000"/>
        </w:rPr>
        <w:t>Versión pública:</w:t>
      </w:r>
      <w:r w:rsidRPr="00550FB3">
        <w:rPr>
          <w:iCs/>
          <w:color w:val="000000"/>
        </w:rPr>
        <w:t xml:space="preserve"> El documento a partir del que se otorga acceso a la información, en el que se testan partes o secciones clasificadas, indicando el contenido de éstas de manera genérica, </w:t>
      </w:r>
      <w:r w:rsidRPr="00550FB3">
        <w:rPr>
          <w:b/>
          <w:bCs/>
          <w:iCs/>
          <w:color w:val="000000"/>
          <w:u w:val="single"/>
        </w:rPr>
        <w:t>fundando y motivando la</w:t>
      </w:r>
      <w:r w:rsidRPr="00550FB3">
        <w:rPr>
          <w:iCs/>
          <w:color w:val="000000"/>
        </w:rPr>
        <w:t xml:space="preserve"> reserva o </w:t>
      </w:r>
      <w:r w:rsidRPr="00550FB3">
        <w:rPr>
          <w:b/>
          <w:bCs/>
          <w:iCs/>
          <w:color w:val="000000"/>
          <w:u w:val="single"/>
        </w:rPr>
        <w:t>confidencialidad</w:t>
      </w:r>
      <w:r w:rsidRPr="00550FB3">
        <w:rPr>
          <w:iCs/>
          <w:color w:val="000000"/>
        </w:rPr>
        <w:t>, a través de la resolución que para tal efecto emita el Comité de Transparencia.</w:t>
      </w:r>
    </w:p>
    <w:p w:rsidR="00866C12" w:rsidRPr="00550FB3" w:rsidRDefault="00866C12" w:rsidP="00D04DDC">
      <w:pPr>
        <w:pStyle w:val="Citas"/>
        <w:spacing w:before="0" w:after="0" w:line="240" w:lineRule="auto"/>
      </w:pPr>
      <w:r w:rsidRPr="00550FB3">
        <w:rPr>
          <w:b/>
          <w:bCs/>
          <w:iCs/>
          <w:color w:val="000000"/>
        </w:rPr>
        <w:t>Cuarto.</w:t>
      </w:r>
      <w:r w:rsidRPr="00550FB3">
        <w:rPr>
          <w:iCs/>
          <w:color w:val="000000"/>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866C12" w:rsidRPr="00550FB3" w:rsidRDefault="00866C12" w:rsidP="00D04DDC">
      <w:pPr>
        <w:pStyle w:val="Citas"/>
        <w:spacing w:before="0" w:after="0" w:line="240" w:lineRule="auto"/>
      </w:pPr>
      <w:r w:rsidRPr="00550FB3">
        <w:rPr>
          <w:iCs/>
          <w:color w:val="000000"/>
        </w:rPr>
        <w:t>Los sujetos obligados deberán aplicar, de manera estricta, las excepciones al derecho de acceso a la información y sólo podrán invocarlas cuando acrediten su procedencia.</w:t>
      </w:r>
    </w:p>
    <w:p w:rsidR="00866C12" w:rsidRPr="00550FB3" w:rsidRDefault="00866C12" w:rsidP="00D04DDC">
      <w:pPr>
        <w:pStyle w:val="Citas"/>
        <w:spacing w:before="0" w:after="0" w:line="240" w:lineRule="auto"/>
      </w:pPr>
      <w:r w:rsidRPr="00550FB3">
        <w:rPr>
          <w:b/>
          <w:bCs/>
          <w:iCs/>
          <w:color w:val="000000"/>
        </w:rPr>
        <w:t>Quinto.</w:t>
      </w:r>
      <w:r w:rsidRPr="00550FB3">
        <w:rPr>
          <w:iCs/>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866C12" w:rsidRPr="00550FB3" w:rsidRDefault="00866C12" w:rsidP="00D04DDC">
      <w:pPr>
        <w:pStyle w:val="Citas"/>
        <w:spacing w:before="0" w:after="0" w:line="240" w:lineRule="auto"/>
      </w:pPr>
      <w:r w:rsidRPr="00550FB3">
        <w:rPr>
          <w:b/>
          <w:bCs/>
          <w:iCs/>
          <w:color w:val="000000"/>
        </w:rPr>
        <w:t>…</w:t>
      </w:r>
    </w:p>
    <w:p w:rsidR="00866C12" w:rsidRPr="00550FB3" w:rsidRDefault="00866C12" w:rsidP="00D04DDC">
      <w:pPr>
        <w:pStyle w:val="Citas"/>
        <w:spacing w:before="0" w:after="0" w:line="240" w:lineRule="auto"/>
      </w:pPr>
      <w:r w:rsidRPr="00550FB3">
        <w:rPr>
          <w:b/>
          <w:bCs/>
          <w:iCs/>
          <w:color w:val="000000"/>
        </w:rPr>
        <w:t>Séptimo.</w:t>
      </w:r>
      <w:r w:rsidRPr="00550FB3">
        <w:rPr>
          <w:iCs/>
          <w:color w:val="000000"/>
        </w:rPr>
        <w:t xml:space="preserve"> La clasificación de la información se llevará a cabo en el momento en que:</w:t>
      </w:r>
    </w:p>
    <w:p w:rsidR="00866C12" w:rsidRPr="00550FB3" w:rsidRDefault="00866C12" w:rsidP="00D04DDC">
      <w:pPr>
        <w:pStyle w:val="Citas"/>
        <w:spacing w:before="0" w:after="0" w:line="240" w:lineRule="auto"/>
      </w:pPr>
      <w:r w:rsidRPr="00550FB3">
        <w:rPr>
          <w:b/>
          <w:bCs/>
          <w:iCs/>
          <w:color w:val="000000"/>
        </w:rPr>
        <w:t>I.</w:t>
      </w:r>
      <w:r w:rsidRPr="00550FB3">
        <w:rPr>
          <w:iCs/>
          <w:color w:val="000000"/>
        </w:rPr>
        <w:t xml:space="preserve"> Se reciba una solicitud de acceso a la información;</w:t>
      </w:r>
    </w:p>
    <w:p w:rsidR="00866C12" w:rsidRPr="00550FB3" w:rsidRDefault="00866C12" w:rsidP="00D04DDC">
      <w:pPr>
        <w:pStyle w:val="Citas"/>
        <w:spacing w:before="0" w:after="0" w:line="240" w:lineRule="auto"/>
      </w:pPr>
      <w:r w:rsidRPr="00550FB3">
        <w:rPr>
          <w:b/>
          <w:bCs/>
          <w:iCs/>
          <w:color w:val="000000"/>
        </w:rPr>
        <w:t>II.</w:t>
      </w:r>
      <w:r w:rsidRPr="00550FB3">
        <w:rPr>
          <w:iCs/>
          <w:color w:val="000000"/>
        </w:rPr>
        <w:t xml:space="preserve"> Se  determine mediante resolución del Comité de Transparencia, el órgano garante </w:t>
      </w:r>
    </w:p>
    <w:p w:rsidR="00866C12" w:rsidRPr="00550FB3" w:rsidRDefault="00866C12" w:rsidP="00D04DDC">
      <w:pPr>
        <w:pStyle w:val="Citas"/>
        <w:spacing w:before="0" w:after="0" w:line="240" w:lineRule="auto"/>
      </w:pPr>
      <w:proofErr w:type="gramStart"/>
      <w:r w:rsidRPr="00550FB3">
        <w:rPr>
          <w:iCs/>
          <w:color w:val="000000"/>
        </w:rPr>
        <w:t>competente</w:t>
      </w:r>
      <w:proofErr w:type="gramEnd"/>
      <w:r w:rsidRPr="00550FB3">
        <w:rPr>
          <w:iCs/>
          <w:color w:val="000000"/>
        </w:rPr>
        <w:t>, o en cumplimiento a una sentencia del Poder Judicial; o</w:t>
      </w:r>
    </w:p>
    <w:p w:rsidR="00866C12" w:rsidRPr="00550FB3" w:rsidRDefault="00866C12" w:rsidP="00D04DDC">
      <w:pPr>
        <w:pStyle w:val="Citas"/>
        <w:spacing w:before="0" w:after="0" w:line="240" w:lineRule="auto"/>
      </w:pPr>
      <w:r w:rsidRPr="00550FB3">
        <w:rPr>
          <w:b/>
          <w:bCs/>
          <w:iCs/>
          <w:color w:val="000000"/>
        </w:rPr>
        <w:t>III.</w:t>
      </w:r>
      <w:r w:rsidRPr="00550FB3">
        <w:rPr>
          <w:iCs/>
          <w:color w:val="000000"/>
        </w:rPr>
        <w:t xml:space="preserve"> Se generen versiones públicas para dar cumplimiento a las obligaciones de transparencia previstas en la Ley General, la Ley Federal y las correspondientes de las entidades federativas.</w:t>
      </w:r>
    </w:p>
    <w:p w:rsidR="00866C12" w:rsidRPr="00550FB3" w:rsidRDefault="00866C12" w:rsidP="00D04DDC">
      <w:pPr>
        <w:pStyle w:val="Citas"/>
        <w:spacing w:before="0" w:after="0" w:line="240" w:lineRule="auto"/>
      </w:pPr>
      <w:r w:rsidRPr="00550FB3">
        <w:rPr>
          <w:iCs/>
          <w:color w:val="000000"/>
        </w:rPr>
        <w:lastRenderedPageBreak/>
        <w:t>Los titulares de las áreas deberán revisar la clasificación al momento de la recepción de una solicitud de acceso a la información, para verificar si encuadra en una causal de reserva o de confidencialidad.</w:t>
      </w:r>
    </w:p>
    <w:p w:rsidR="00866C12" w:rsidRPr="00550FB3" w:rsidRDefault="00866C12" w:rsidP="00D04DDC">
      <w:pPr>
        <w:pStyle w:val="Citas"/>
        <w:spacing w:before="0" w:after="0" w:line="240" w:lineRule="auto"/>
      </w:pPr>
      <w:r w:rsidRPr="00550FB3">
        <w:rPr>
          <w:b/>
          <w:bCs/>
          <w:iCs/>
          <w:color w:val="000000"/>
        </w:rPr>
        <w:t>Octavo.</w:t>
      </w:r>
      <w:r w:rsidRPr="00550FB3">
        <w:rPr>
          <w:iCs/>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866C12" w:rsidRPr="00550FB3" w:rsidRDefault="00866C12" w:rsidP="00D04DDC">
      <w:pPr>
        <w:pStyle w:val="Citas"/>
        <w:spacing w:before="0" w:after="0" w:line="240" w:lineRule="auto"/>
      </w:pPr>
      <w:r w:rsidRPr="00550FB3">
        <w:rPr>
          <w:iCs/>
          <w:color w:val="000000"/>
        </w:rPr>
        <w:t>Para motivar la clasificación se deberán señalar las razones o circunstancias especiales que lo llevaron a concluir que el caso particular se ajusta al supuesto previsto por la norma legal invocada como fundamento.</w:t>
      </w:r>
    </w:p>
    <w:p w:rsidR="00866C12" w:rsidRPr="00550FB3" w:rsidRDefault="00866C12" w:rsidP="00D04DDC">
      <w:pPr>
        <w:pStyle w:val="Citas"/>
        <w:spacing w:before="0" w:after="0" w:line="240" w:lineRule="auto"/>
      </w:pPr>
      <w:r w:rsidRPr="00550FB3">
        <w:rPr>
          <w:iCs/>
          <w:color w:val="000000"/>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866C12" w:rsidRPr="00550FB3" w:rsidRDefault="00866C12" w:rsidP="00D04DDC">
      <w:pPr>
        <w:pStyle w:val="Citas"/>
        <w:spacing w:before="0" w:after="0" w:line="240" w:lineRule="auto"/>
      </w:pPr>
      <w:r w:rsidRPr="00550FB3">
        <w:rPr>
          <w:b/>
          <w:bCs/>
          <w:iCs/>
          <w:color w:val="000000"/>
        </w:rPr>
        <w:t>Noveno.</w:t>
      </w:r>
      <w:r w:rsidRPr="00550FB3">
        <w:rPr>
          <w:iCs/>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866C12" w:rsidRPr="00550FB3" w:rsidRDefault="00866C12" w:rsidP="00D04DDC">
      <w:pPr>
        <w:pStyle w:val="Citas"/>
        <w:spacing w:before="0" w:after="0" w:line="240" w:lineRule="auto"/>
      </w:pPr>
      <w:r w:rsidRPr="00550FB3">
        <w:rPr>
          <w:b/>
          <w:bCs/>
          <w:iCs/>
          <w:color w:val="000000"/>
        </w:rPr>
        <w:t>Décimo.</w:t>
      </w:r>
      <w:r w:rsidRPr="00550FB3">
        <w:rPr>
          <w:iCs/>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866C12" w:rsidRPr="00550FB3" w:rsidRDefault="00866C12" w:rsidP="00D04DDC">
      <w:pPr>
        <w:pStyle w:val="Citas"/>
        <w:spacing w:before="0" w:after="0" w:line="240" w:lineRule="auto"/>
      </w:pPr>
      <w:r w:rsidRPr="00550FB3">
        <w:rPr>
          <w:iCs/>
          <w:color w:val="000000"/>
        </w:rPr>
        <w:t>En ausencia de los titulares de las áreas, la información será clasificada o desclasificada por la persona que lo supla, en términos de la normativa que rija la actuación del sujeto obligado.</w:t>
      </w:r>
    </w:p>
    <w:p w:rsidR="00866C12" w:rsidRPr="00550FB3" w:rsidRDefault="00866C12" w:rsidP="00D04DDC">
      <w:pPr>
        <w:pStyle w:val="Citas"/>
        <w:spacing w:before="0" w:after="0" w:line="240" w:lineRule="auto"/>
      </w:pPr>
      <w:r w:rsidRPr="00550FB3">
        <w:rPr>
          <w:b/>
          <w:bCs/>
          <w:iCs/>
          <w:color w:val="000000"/>
        </w:rPr>
        <w:t>Décimo primero.</w:t>
      </w:r>
      <w:r w:rsidRPr="00550FB3">
        <w:rPr>
          <w:iCs/>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866C12" w:rsidRPr="00550FB3" w:rsidRDefault="00866C12" w:rsidP="00D04DDC">
      <w:pPr>
        <w:pStyle w:val="Citas"/>
        <w:spacing w:before="0" w:after="0" w:line="240" w:lineRule="auto"/>
      </w:pPr>
    </w:p>
    <w:p w:rsidR="00866C12" w:rsidRPr="00550FB3" w:rsidRDefault="00866C12" w:rsidP="00D04DDC">
      <w:pPr>
        <w:pStyle w:val="Citas"/>
        <w:spacing w:before="0" w:after="0" w:line="240" w:lineRule="auto"/>
      </w:pPr>
      <w:r w:rsidRPr="00550FB3">
        <w:rPr>
          <w:iCs/>
          <w:color w:val="000000"/>
        </w:rPr>
        <w:t>[…]</w:t>
      </w:r>
    </w:p>
    <w:p w:rsidR="00866C12" w:rsidRPr="00550FB3" w:rsidRDefault="00866C12" w:rsidP="00D04DDC">
      <w:pPr>
        <w:pStyle w:val="Citas"/>
        <w:spacing w:before="0" w:after="0" w:line="240" w:lineRule="auto"/>
      </w:pPr>
      <w:r w:rsidRPr="00550FB3">
        <w:rPr>
          <w:b/>
          <w:bCs/>
          <w:iCs/>
          <w:color w:val="000000"/>
        </w:rPr>
        <w:t>CAPÍTULO VIII</w:t>
      </w:r>
    </w:p>
    <w:p w:rsidR="00866C12" w:rsidRPr="00550FB3" w:rsidRDefault="00866C12" w:rsidP="00D04DDC">
      <w:pPr>
        <w:pStyle w:val="Citas"/>
        <w:spacing w:before="0" w:after="0" w:line="240" w:lineRule="auto"/>
      </w:pPr>
      <w:r w:rsidRPr="00550FB3">
        <w:rPr>
          <w:b/>
          <w:bCs/>
          <w:iCs/>
          <w:color w:val="000000"/>
        </w:rPr>
        <w:t>DE LOS ELEMENTOS PARA LA CLASIFICACIÓN</w:t>
      </w:r>
    </w:p>
    <w:p w:rsidR="00866C12" w:rsidRPr="00550FB3" w:rsidRDefault="00866C12" w:rsidP="00D04DDC">
      <w:pPr>
        <w:pStyle w:val="Citas"/>
        <w:spacing w:before="0" w:after="0" w:line="240" w:lineRule="auto"/>
      </w:pPr>
      <w:r w:rsidRPr="00550FB3">
        <w:rPr>
          <w:b/>
          <w:bCs/>
          <w:iCs/>
          <w:color w:val="000000"/>
        </w:rPr>
        <w:lastRenderedPageBreak/>
        <w:t>Quincuagésimo</w:t>
      </w:r>
      <w:r w:rsidRPr="00550FB3">
        <w:rPr>
          <w:iCs/>
          <w:color w:val="000000"/>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866C12" w:rsidRPr="00550FB3" w:rsidRDefault="00866C12" w:rsidP="00D04DDC">
      <w:pPr>
        <w:pStyle w:val="Citas"/>
        <w:spacing w:before="0" w:after="0" w:line="240" w:lineRule="auto"/>
      </w:pPr>
      <w:r w:rsidRPr="00550FB3">
        <w:rPr>
          <w:b/>
          <w:bCs/>
          <w:iCs/>
          <w:color w:val="000000"/>
        </w:rPr>
        <w:t>Quincuagésimo primero</w:t>
      </w:r>
      <w:r w:rsidRPr="00550FB3">
        <w:rPr>
          <w:iCs/>
          <w:color w:val="000000"/>
        </w:rPr>
        <w:t>. Toda acta del Comité de Transparencia deberá contener:</w:t>
      </w:r>
    </w:p>
    <w:p w:rsidR="00866C12" w:rsidRPr="00550FB3" w:rsidRDefault="00866C12" w:rsidP="00D04DDC">
      <w:pPr>
        <w:pStyle w:val="Citas"/>
        <w:spacing w:before="0" w:after="0" w:line="240" w:lineRule="auto"/>
      </w:pPr>
      <w:r w:rsidRPr="00550FB3">
        <w:rPr>
          <w:iCs/>
          <w:color w:val="000000"/>
        </w:rPr>
        <w:t>I. El número de sesión y fecha; </w:t>
      </w:r>
    </w:p>
    <w:p w:rsidR="00866C12" w:rsidRPr="00550FB3" w:rsidRDefault="00866C12" w:rsidP="00D04DDC">
      <w:pPr>
        <w:pStyle w:val="Citas"/>
        <w:spacing w:before="0" w:after="0" w:line="240" w:lineRule="auto"/>
      </w:pPr>
      <w:r w:rsidRPr="00550FB3">
        <w:rPr>
          <w:iCs/>
          <w:color w:val="000000"/>
        </w:rPr>
        <w:t>II. El nombre del área que solicitó la clasificación de información;</w:t>
      </w:r>
    </w:p>
    <w:p w:rsidR="00866C12" w:rsidRPr="00550FB3" w:rsidRDefault="00866C12" w:rsidP="00D04DDC">
      <w:pPr>
        <w:pStyle w:val="Citas"/>
        <w:spacing w:before="0" w:after="0" w:line="240" w:lineRule="auto"/>
      </w:pPr>
      <w:r w:rsidRPr="00550FB3">
        <w:rPr>
          <w:iCs/>
          <w:color w:val="000000"/>
        </w:rPr>
        <w:t>III. La fundamentación legal y motivación correspondiente;</w:t>
      </w:r>
    </w:p>
    <w:p w:rsidR="00866C12" w:rsidRPr="00550FB3" w:rsidRDefault="00866C12" w:rsidP="00D04DDC">
      <w:pPr>
        <w:pStyle w:val="Citas"/>
        <w:spacing w:before="0" w:after="0" w:line="240" w:lineRule="auto"/>
      </w:pPr>
      <w:r w:rsidRPr="00550FB3">
        <w:rPr>
          <w:iCs/>
          <w:color w:val="000000"/>
        </w:rPr>
        <w:t>IV. La resolución o resoluciones aprobadas; y</w:t>
      </w:r>
    </w:p>
    <w:p w:rsidR="00866C12" w:rsidRPr="00550FB3" w:rsidRDefault="00866C12" w:rsidP="00D04DDC">
      <w:pPr>
        <w:pStyle w:val="Citas"/>
        <w:spacing w:before="0" w:after="0" w:line="240" w:lineRule="auto"/>
      </w:pPr>
      <w:r w:rsidRPr="00550FB3">
        <w:rPr>
          <w:iCs/>
          <w:color w:val="000000"/>
        </w:rPr>
        <w:t>V. La rúbrica o firma digital de cada integrante del Comité de Transparencia. </w:t>
      </w:r>
    </w:p>
    <w:p w:rsidR="00866C12" w:rsidRPr="00550FB3" w:rsidRDefault="00866C12" w:rsidP="00D04DDC">
      <w:pPr>
        <w:pStyle w:val="Citas"/>
        <w:spacing w:before="0" w:after="0" w:line="240" w:lineRule="auto"/>
      </w:pPr>
      <w:r w:rsidRPr="00550FB3">
        <w:rPr>
          <w:iCs/>
          <w:color w:val="000000"/>
        </w:rPr>
        <w:t>Las resoluciones del Comité en las que se haya determinado confirmar o modificar la clasificación de información pública como reservada, deberán incluir, cuando menos:</w:t>
      </w:r>
    </w:p>
    <w:p w:rsidR="00866C12" w:rsidRPr="00550FB3" w:rsidRDefault="00866C12" w:rsidP="00D04DDC">
      <w:pPr>
        <w:pStyle w:val="Citas"/>
        <w:spacing w:before="0" w:after="0" w:line="240" w:lineRule="auto"/>
      </w:pPr>
      <w:r w:rsidRPr="00550FB3">
        <w:rPr>
          <w:iCs/>
          <w:color w:val="000000"/>
        </w:rPr>
        <w:t>I. Los motivos y razonamientos que sustenten la confirmación o modificación de la prueba de daño;</w:t>
      </w:r>
    </w:p>
    <w:p w:rsidR="00866C12" w:rsidRPr="00550FB3" w:rsidRDefault="00866C12" w:rsidP="00D04DDC">
      <w:pPr>
        <w:pStyle w:val="Citas"/>
        <w:spacing w:before="0" w:after="0" w:line="240" w:lineRule="auto"/>
      </w:pPr>
      <w:r w:rsidRPr="00550FB3">
        <w:rPr>
          <w:iCs/>
          <w:color w:val="000000"/>
        </w:rPr>
        <w:t>II. Descripción de las partes o secciones reservadas, en caso de clasificación parcial;</w:t>
      </w:r>
    </w:p>
    <w:p w:rsidR="00866C12" w:rsidRPr="00550FB3" w:rsidRDefault="00866C12" w:rsidP="00D04DDC">
      <w:pPr>
        <w:pStyle w:val="Citas"/>
        <w:spacing w:before="0" w:after="0" w:line="240" w:lineRule="auto"/>
      </w:pPr>
      <w:r w:rsidRPr="00550FB3">
        <w:rPr>
          <w:iCs/>
          <w:color w:val="000000"/>
        </w:rPr>
        <w:t>III. El periodo por el que mantendrá su clasificación y fecha de expiración; y</w:t>
      </w:r>
    </w:p>
    <w:p w:rsidR="00866C12" w:rsidRPr="00550FB3" w:rsidRDefault="00866C12" w:rsidP="00D04DDC">
      <w:pPr>
        <w:pStyle w:val="Citas"/>
        <w:spacing w:before="0" w:after="0" w:line="240" w:lineRule="auto"/>
      </w:pPr>
      <w:r w:rsidRPr="00550FB3">
        <w:rPr>
          <w:iCs/>
          <w:color w:val="000000"/>
        </w:rPr>
        <w:t>IV. El nombre del titular y área encargada de realizar la versión pública del documento, en su caso.</w:t>
      </w:r>
    </w:p>
    <w:p w:rsidR="00866C12" w:rsidRPr="00550FB3" w:rsidRDefault="00866C12" w:rsidP="00D04DDC">
      <w:pPr>
        <w:pStyle w:val="Citas"/>
        <w:spacing w:before="0" w:after="0" w:line="240" w:lineRule="auto"/>
      </w:pPr>
      <w:r w:rsidRPr="00550FB3">
        <w:rPr>
          <w:iCs/>
          <w:color w:val="000000"/>
        </w:rPr>
        <w:t>En los casos en que se clasifique la información como reservada siempre se entregará o anexará la prueba de daño con la respuesta al solicitante. </w:t>
      </w:r>
    </w:p>
    <w:p w:rsidR="00866C12" w:rsidRPr="00550FB3" w:rsidRDefault="00866C12" w:rsidP="00D04DDC">
      <w:pPr>
        <w:pStyle w:val="Citas"/>
        <w:spacing w:before="0" w:after="0" w:line="240" w:lineRule="auto"/>
      </w:pPr>
      <w:r w:rsidRPr="00550FB3">
        <w:rPr>
          <w:iCs/>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rsidR="00866C12" w:rsidRPr="00550FB3" w:rsidRDefault="00866C12" w:rsidP="00D04DDC">
      <w:pPr>
        <w:pStyle w:val="Citas"/>
        <w:spacing w:before="0" w:after="0" w:line="240" w:lineRule="auto"/>
      </w:pPr>
      <w:r w:rsidRPr="00550FB3">
        <w:rPr>
          <w:b/>
          <w:bCs/>
          <w:iCs/>
          <w:color w:val="000000"/>
        </w:rPr>
        <w:t>Quincuagésimo segundo</w:t>
      </w:r>
      <w:r w:rsidRPr="00550FB3">
        <w:rPr>
          <w:iCs/>
          <w:color w:val="000000"/>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550FB3">
        <w:rPr>
          <w:iCs/>
          <w:color w:val="000000"/>
        </w:rPr>
        <w:t>sobreposición</w:t>
      </w:r>
      <w:proofErr w:type="spellEnd"/>
      <w:r w:rsidRPr="00550FB3">
        <w:rPr>
          <w:iCs/>
          <w:color w:val="000000"/>
        </w:rPr>
        <w:t xml:space="preserve"> de contenido distinto al autorizado por el Comité.</w:t>
      </w:r>
    </w:p>
    <w:p w:rsidR="00866C12" w:rsidRPr="00550FB3" w:rsidRDefault="00866C12" w:rsidP="00D04DDC">
      <w:pPr>
        <w:pStyle w:val="Citas"/>
        <w:spacing w:before="0" w:after="0" w:line="240" w:lineRule="auto"/>
      </w:pPr>
      <w:r w:rsidRPr="00550FB3">
        <w:rPr>
          <w:iCs/>
          <w:color w:val="000000"/>
        </w:rPr>
        <w:t>En el caso específico de la clasificación y elaboración de versiones públicas de documentos que contengan información confidencial, las áreas de los sujetos obligados deberán:</w:t>
      </w:r>
    </w:p>
    <w:p w:rsidR="00866C12" w:rsidRPr="00550FB3" w:rsidRDefault="00866C12" w:rsidP="00D04DDC">
      <w:pPr>
        <w:pStyle w:val="Citas"/>
        <w:spacing w:before="0" w:after="0" w:line="240" w:lineRule="auto"/>
      </w:pPr>
      <w:r w:rsidRPr="00550FB3">
        <w:rPr>
          <w:iCs/>
          <w:color w:val="000000"/>
        </w:rPr>
        <w:t>I. Fijar la fecha en que se elaboró la versión pública y la fecha en la cual el Comité de Transparencia confirmó dicha versión;</w:t>
      </w:r>
    </w:p>
    <w:p w:rsidR="00866C12" w:rsidRPr="00550FB3" w:rsidRDefault="00866C12" w:rsidP="00D04DDC">
      <w:pPr>
        <w:pStyle w:val="Citas"/>
        <w:spacing w:before="0" w:after="0" w:line="240" w:lineRule="auto"/>
      </w:pPr>
      <w:r w:rsidRPr="00550FB3">
        <w:rPr>
          <w:iCs/>
          <w:color w:val="000000"/>
        </w:rPr>
        <w:lastRenderedPageBreak/>
        <w:t>II. Señalar dentro del documento el tipo de información confidencial que fue testada en cada caso específico, de conformidad con el lineamiento trigésimo octavo; y</w:t>
      </w:r>
    </w:p>
    <w:p w:rsidR="00866C12" w:rsidRPr="00550FB3" w:rsidRDefault="00866C12" w:rsidP="00D04DDC">
      <w:pPr>
        <w:pStyle w:val="Citas"/>
        <w:spacing w:before="0" w:after="0" w:line="240" w:lineRule="auto"/>
      </w:pPr>
      <w:r w:rsidRPr="00550FB3">
        <w:rPr>
          <w:iCs/>
          <w:color w:val="000000"/>
        </w:rPr>
        <w:t>III. Señalar las personas o instancias autorizadas a acceder a la información clasificada.</w:t>
      </w:r>
    </w:p>
    <w:p w:rsidR="00866C12" w:rsidRPr="00550FB3" w:rsidRDefault="00866C12" w:rsidP="00D04DDC">
      <w:pPr>
        <w:pStyle w:val="Citas"/>
        <w:spacing w:before="0" w:after="0" w:line="240" w:lineRule="auto"/>
      </w:pPr>
      <w:r w:rsidRPr="00550FB3">
        <w:rPr>
          <w:iCs/>
          <w:color w:val="000000"/>
        </w:rPr>
        <w:t>En los documentos de difusión electrónica, señalar en la primera hoja y en el nombre del archivo, que la versión pública corresponde a un documento que contiene información confidencial.</w:t>
      </w:r>
    </w:p>
    <w:p w:rsidR="00866C12" w:rsidRPr="00550FB3" w:rsidRDefault="00866C12" w:rsidP="00D04DDC">
      <w:pPr>
        <w:pStyle w:val="Citas"/>
        <w:spacing w:before="0" w:after="0" w:line="240" w:lineRule="auto"/>
        <w:rPr>
          <w:iCs/>
          <w:color w:val="000000"/>
        </w:rPr>
      </w:pPr>
      <w:r w:rsidRPr="00550FB3">
        <w:rPr>
          <w:b/>
          <w:bCs/>
          <w:iCs/>
          <w:color w:val="000000"/>
        </w:rPr>
        <w:t xml:space="preserve">Quincuagésimo tercero. </w:t>
      </w:r>
      <w:r w:rsidRPr="00550FB3">
        <w:rPr>
          <w:b/>
          <w:bCs/>
          <w:iCs/>
          <w:color w:val="000000"/>
          <w:u w:val="single"/>
        </w:rPr>
        <w:t>El formato para señalar la clasificación de un documento o expediente que contenga información reservada, es el siguiente:</w:t>
      </w:r>
    </w:p>
    <w:p w:rsidR="00D04DDC" w:rsidRPr="00550FB3" w:rsidRDefault="00D04DDC" w:rsidP="00D04DDC">
      <w:pPr>
        <w:pStyle w:val="Citas"/>
        <w:spacing w:before="0" w:after="0" w:line="240" w:lineRule="auto"/>
      </w:pPr>
    </w:p>
    <w:tbl>
      <w:tblPr>
        <w:tblW w:w="0" w:type="auto"/>
        <w:jc w:val="center"/>
        <w:tblCellMar>
          <w:top w:w="15" w:type="dxa"/>
          <w:left w:w="15" w:type="dxa"/>
          <w:bottom w:w="15" w:type="dxa"/>
          <w:right w:w="15" w:type="dxa"/>
        </w:tblCellMar>
        <w:tblLook w:val="04A0" w:firstRow="1" w:lastRow="0" w:firstColumn="1" w:lastColumn="0" w:noHBand="0" w:noVBand="1"/>
      </w:tblPr>
      <w:tblGrid>
        <w:gridCol w:w="1095"/>
        <w:gridCol w:w="2024"/>
        <w:gridCol w:w="3841"/>
      </w:tblGrid>
      <w:tr w:rsidR="00866C12" w:rsidRPr="00550FB3" w:rsidTr="00D04DDC">
        <w:trPr>
          <w:jc w:val="center"/>
        </w:trPr>
        <w:tc>
          <w:tcPr>
            <w:tcW w:w="1095" w:type="dxa"/>
            <w:tcBorders>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b/>
                <w:bCs/>
                <w:i/>
                <w:iCs/>
                <w:color w:val="000000"/>
                <w:sz w:val="22"/>
                <w:szCs w:val="22"/>
              </w:rPr>
              <w:t>Concepto</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b/>
                <w:bCs/>
                <w:i/>
                <w:iCs/>
                <w:color w:val="000000"/>
                <w:sz w:val="22"/>
                <w:szCs w:val="22"/>
              </w:rPr>
              <w:t>Dónde:</w:t>
            </w:r>
          </w:p>
        </w:tc>
      </w:tr>
      <w:tr w:rsidR="00866C12" w:rsidRPr="00550FB3" w:rsidTr="00D04DDC">
        <w:trPr>
          <w:jc w:val="center"/>
        </w:trPr>
        <w:tc>
          <w:tcPr>
            <w:tcW w:w="109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b/>
                <w:bCs/>
                <w:i/>
                <w:iCs/>
                <w:color w:val="000000"/>
                <w:sz w:val="22"/>
                <w:szCs w:val="22"/>
              </w:rPr>
              <w:t>Sello oficial o logotipo del sujeto obligado</w:t>
            </w: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Fecha de clasificación</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anotará la fecha en la que el Comité de Transparencia confirmó la clasificación del documento o expediente, en su caso.</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Área</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señalará el nombre del área del cual es titular quien clasifica.</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Información reservada</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indicarán las partes o páginas del documento que se clasifican como reservadas, o, en su caso, se precisará que se ha reservado el documento o expediente en su totalidad.</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Periodo de reserva</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anotará el número de años o meses por los que se mantendrá reservado el documento, el expediente o, en su caso, las partes o secciones reservadas.</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Fundamento legal</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señalará el nombre del ordenamiento, el o los artículos, fracción(es), párrafo(s) con base en los cuales se sustente la reserva.</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Ampliación del periodo de reserva</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En caso de haber solicitado la ampliación del periodo de reserva originalmente establecido, se deberá anotar el número de años o meses por los que se amplía la reserva.</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Rúbrica del titular del área</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Rúbrica autógrafa o firma digital de quien clasifica.</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Fecha de desclasificación</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Se anotará la fecha en que se desclasifica el documento.</w:t>
            </w:r>
          </w:p>
        </w:tc>
      </w:tr>
      <w:tr w:rsidR="00866C12" w:rsidRPr="00550FB3" w:rsidTr="00D04DDC">
        <w:trPr>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C12" w:rsidRPr="00550FB3" w:rsidRDefault="00866C12" w:rsidP="00D04DDC">
            <w:pPr>
              <w:pStyle w:val="NormalWeb"/>
              <w:spacing w:before="0" w:beforeAutospacing="0" w:after="0" w:afterAutospacing="0"/>
              <w:jc w:val="center"/>
              <w:rPr>
                <w:rFonts w:ascii="Palatino Linotype" w:hAnsi="Palatino Linotype"/>
                <w:sz w:val="22"/>
                <w:szCs w:val="22"/>
              </w:rPr>
            </w:pPr>
            <w:r w:rsidRPr="00550FB3">
              <w:rPr>
                <w:rFonts w:ascii="Palatino Linotype" w:hAnsi="Palatino Linotype"/>
                <w:i/>
                <w:iCs/>
                <w:color w:val="000000"/>
                <w:sz w:val="22"/>
                <w:szCs w:val="22"/>
              </w:rPr>
              <w:t>Rúbrica y cargo del servidor público</w:t>
            </w:r>
          </w:p>
        </w:tc>
        <w:tc>
          <w:tcPr>
            <w:tcW w:w="38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66C12" w:rsidRPr="00550FB3" w:rsidRDefault="00866C12" w:rsidP="00D04DDC">
            <w:pPr>
              <w:pStyle w:val="NormalWeb"/>
              <w:spacing w:before="0" w:beforeAutospacing="0" w:after="0" w:afterAutospacing="0"/>
              <w:jc w:val="both"/>
              <w:rPr>
                <w:rFonts w:ascii="Palatino Linotype" w:hAnsi="Palatino Linotype"/>
                <w:sz w:val="22"/>
                <w:szCs w:val="22"/>
              </w:rPr>
            </w:pPr>
            <w:r w:rsidRPr="00550FB3">
              <w:rPr>
                <w:rFonts w:ascii="Palatino Linotype" w:hAnsi="Palatino Linotype"/>
                <w:i/>
                <w:iCs/>
                <w:color w:val="000000"/>
                <w:sz w:val="22"/>
                <w:szCs w:val="22"/>
              </w:rPr>
              <w:t>Rúbrica autógrafa o firma digital de quien desclasifica.</w:t>
            </w:r>
          </w:p>
        </w:tc>
      </w:tr>
      <w:tr w:rsidR="00866C12" w:rsidRPr="00550FB3" w:rsidTr="00D04DDC">
        <w:trPr>
          <w:gridAfter w:val="1"/>
          <w:wAfter w:w="3841" w:type="dxa"/>
          <w:trHeight w:val="317"/>
          <w:jc w:val="center"/>
        </w:trPr>
        <w:tc>
          <w:tcPr>
            <w:tcW w:w="1095" w:type="dxa"/>
            <w:vMerge/>
            <w:tcBorders>
              <w:top w:val="single" w:sz="4" w:space="0" w:color="000000"/>
              <w:left w:val="single" w:sz="4" w:space="0" w:color="000000"/>
              <w:bottom w:val="single" w:sz="4" w:space="0" w:color="000000"/>
              <w:right w:val="single" w:sz="4" w:space="0" w:color="000000"/>
            </w:tcBorders>
            <w:vAlign w:val="center"/>
            <w:hideMark/>
          </w:tcPr>
          <w:p w:rsidR="00866C12" w:rsidRPr="00550FB3" w:rsidRDefault="00866C12" w:rsidP="00D04DDC">
            <w:pPr>
              <w:rPr>
                <w:rFonts w:ascii="Palatino Linotype" w:hAnsi="Palatino Linotype"/>
                <w:sz w:val="22"/>
                <w:szCs w:val="22"/>
              </w:rPr>
            </w:pPr>
          </w:p>
        </w:tc>
        <w:tc>
          <w:tcPr>
            <w:tcW w:w="2024" w:type="dxa"/>
            <w:vAlign w:val="center"/>
            <w:hideMark/>
          </w:tcPr>
          <w:p w:rsidR="00866C12" w:rsidRPr="00550FB3" w:rsidRDefault="00866C12" w:rsidP="00D04DDC">
            <w:pPr>
              <w:rPr>
                <w:rFonts w:ascii="Palatino Linotype" w:hAnsi="Palatino Linotype"/>
                <w:sz w:val="22"/>
                <w:szCs w:val="22"/>
              </w:rPr>
            </w:pPr>
          </w:p>
        </w:tc>
      </w:tr>
    </w:tbl>
    <w:p w:rsidR="00D04DDC" w:rsidRPr="00550FB3" w:rsidRDefault="00D04DDC" w:rsidP="00D04DDC">
      <w:pPr>
        <w:pStyle w:val="Citas"/>
        <w:spacing w:before="0" w:after="0" w:line="240" w:lineRule="auto"/>
      </w:pPr>
    </w:p>
    <w:p w:rsidR="00866C12" w:rsidRPr="00550FB3" w:rsidRDefault="00866C12" w:rsidP="00D04DDC">
      <w:pPr>
        <w:pStyle w:val="Citas"/>
        <w:spacing w:before="0" w:after="0" w:line="240" w:lineRule="auto"/>
      </w:pPr>
      <w:r w:rsidRPr="00550FB3">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866C12" w:rsidRPr="00550FB3" w:rsidRDefault="00866C12" w:rsidP="00D04DDC">
      <w:pPr>
        <w:pStyle w:val="Citas"/>
        <w:spacing w:before="0" w:after="0" w:line="240" w:lineRule="auto"/>
      </w:pPr>
      <w:r w:rsidRPr="00550FB3">
        <w:t xml:space="preserve">Quincuagésimo quinto. Cada área del sujeto obligado podrá designar formalmente a una o más personas como responsables del </w:t>
      </w:r>
      <w:proofErr w:type="spellStart"/>
      <w:r w:rsidRPr="00550FB3">
        <w:t>testado</w:t>
      </w:r>
      <w:proofErr w:type="spellEnd"/>
      <w:r w:rsidRPr="00550FB3">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rsidR="00866C12" w:rsidRPr="00550FB3" w:rsidRDefault="00866C12" w:rsidP="00D04DDC">
      <w:pPr>
        <w:pStyle w:val="Citas"/>
        <w:spacing w:before="0" w:after="0" w:line="240" w:lineRule="auto"/>
      </w:pPr>
    </w:p>
    <w:p w:rsidR="00866C12" w:rsidRPr="00550FB3" w:rsidRDefault="00866C12" w:rsidP="00D04DDC">
      <w:pPr>
        <w:pStyle w:val="NormalWeb"/>
        <w:spacing w:before="0" w:beforeAutospacing="0" w:after="0" w:afterAutospacing="0" w:line="360" w:lineRule="auto"/>
        <w:jc w:val="both"/>
        <w:rPr>
          <w:rFonts w:ascii="Palatino Linotype" w:hAnsi="Palatino Linotype"/>
        </w:rPr>
      </w:pPr>
      <w:r w:rsidRPr="00550FB3">
        <w:rPr>
          <w:rFonts w:ascii="Palatino Linotype" w:hAnsi="Palatino Linotype"/>
          <w:color w:val="000000"/>
        </w:rPr>
        <w:t>Efectivamente, cuando se clasifica información como confidencial es importante someterlo al Comité de Transparencia, quien debe confirmar, modificar o revocar la clasificación.</w:t>
      </w:r>
    </w:p>
    <w:p w:rsidR="00866C12" w:rsidRPr="00550FB3" w:rsidRDefault="00866C12" w:rsidP="00D04DDC">
      <w:pPr>
        <w:spacing w:line="360" w:lineRule="auto"/>
        <w:rPr>
          <w:rFonts w:ascii="Palatino Linotype" w:hAnsi="Palatino Linotype"/>
        </w:rPr>
      </w:pPr>
    </w:p>
    <w:p w:rsidR="00866C12" w:rsidRPr="00550FB3" w:rsidRDefault="00866C12" w:rsidP="00D04DDC">
      <w:pPr>
        <w:pStyle w:val="NormalWeb"/>
        <w:shd w:val="clear" w:color="auto" w:fill="FFFFFF"/>
        <w:spacing w:before="0" w:beforeAutospacing="0" w:after="0" w:afterAutospacing="0" w:line="360" w:lineRule="auto"/>
        <w:ind w:right="51"/>
        <w:jc w:val="both"/>
        <w:rPr>
          <w:rFonts w:ascii="Palatino Linotype" w:hAnsi="Palatino Linotype"/>
          <w:b/>
        </w:rPr>
      </w:pPr>
      <w:r w:rsidRPr="00550FB3">
        <w:rPr>
          <w:rFonts w:ascii="Palatino Linotype" w:hAnsi="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w:t>
      </w:r>
      <w:r w:rsidR="00D04DDC" w:rsidRPr="00550FB3">
        <w:rPr>
          <w:rFonts w:ascii="Palatino Linotype" w:hAnsi="Palatino Linotype"/>
          <w:b/>
          <w:color w:val="000000"/>
        </w:rPr>
        <w:t>SUJETO OBLIGADO</w:t>
      </w:r>
      <w:r w:rsidR="00D04DDC" w:rsidRPr="00550FB3">
        <w:rPr>
          <w:rFonts w:ascii="Palatino Linotype" w:hAnsi="Palatino Linotype"/>
          <w:color w:val="000000"/>
        </w:rPr>
        <w:t xml:space="preserve"> </w:t>
      </w:r>
      <w:r w:rsidRPr="00550FB3">
        <w:rPr>
          <w:rFonts w:ascii="Palatino Linotype" w:hAnsi="Palatino Linotype"/>
          <w:color w:val="000000"/>
        </w:rPr>
        <w:t xml:space="preserve">a testar, suprimir o eliminar datos de dicho soporte documental, ya que no hacerlo implica que lo entregado no es legal ni formalmente una versión pública, sino más bien una documentación ilegible, incompleta o tachada; pues no </w:t>
      </w:r>
      <w:r w:rsidRPr="00550FB3">
        <w:rPr>
          <w:rFonts w:ascii="Palatino Linotype" w:hAnsi="Palatino Linotype"/>
          <w:color w:val="000000"/>
        </w:rPr>
        <w:lastRenderedPageBreak/>
        <w:t xml:space="preserve">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w:t>
      </w:r>
      <w:r w:rsidR="00D04DDC" w:rsidRPr="00550FB3">
        <w:rPr>
          <w:rFonts w:ascii="Palatino Linotype" w:hAnsi="Palatino Linotype"/>
          <w:b/>
          <w:color w:val="000000"/>
        </w:rPr>
        <w:t xml:space="preserve">LA PARTE </w:t>
      </w:r>
      <w:r w:rsidR="00D04DDC" w:rsidRPr="00550FB3">
        <w:rPr>
          <w:rFonts w:ascii="Palatino Linotype" w:hAnsi="Palatino Linotype"/>
          <w:b/>
          <w:bCs/>
          <w:color w:val="000000"/>
        </w:rPr>
        <w:t>RECURRENTE</w:t>
      </w:r>
      <w:r w:rsidR="00D04DDC" w:rsidRPr="00550FB3">
        <w:rPr>
          <w:rFonts w:ascii="Palatino Linotype" w:hAnsi="Palatino Linotype"/>
          <w:b/>
          <w:color w:val="000000"/>
        </w:rPr>
        <w:t>.</w:t>
      </w:r>
    </w:p>
    <w:p w:rsidR="00FB4B50" w:rsidRPr="00550FB3" w:rsidRDefault="00FB4B5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751870" w:rsidRPr="00550FB3" w:rsidRDefault="00043B42">
      <w:pPr>
        <w:spacing w:line="360" w:lineRule="auto"/>
        <w:jc w:val="both"/>
        <w:rPr>
          <w:rFonts w:ascii="Palatino Linotype" w:eastAsia="Palatino Linotype" w:hAnsi="Palatino Linotype" w:cs="Palatino Linotype"/>
        </w:rPr>
      </w:pPr>
      <w:r w:rsidRPr="00550FB3">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III de la Ley de Transparencia y Acceso a la Información Pública del Estado de México y Municipios, este Pleno</w:t>
      </w:r>
    </w:p>
    <w:p w:rsidR="00751870" w:rsidRPr="00550FB3" w:rsidRDefault="00751870">
      <w:pPr>
        <w:spacing w:line="360" w:lineRule="auto"/>
        <w:jc w:val="both"/>
        <w:rPr>
          <w:rFonts w:ascii="Palatino Linotype" w:eastAsia="Palatino Linotype" w:hAnsi="Palatino Linotype" w:cs="Palatino Linotype"/>
        </w:rPr>
      </w:pPr>
    </w:p>
    <w:p w:rsidR="00751870" w:rsidRPr="00550FB3" w:rsidRDefault="00043B42">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t>R E S U E L V E:</w:t>
      </w:r>
    </w:p>
    <w:p w:rsidR="00751870" w:rsidRPr="00550FB3" w:rsidRDefault="00751870">
      <w:pPr>
        <w:pBdr>
          <w:top w:val="nil"/>
          <w:left w:val="nil"/>
          <w:bottom w:val="nil"/>
          <w:right w:val="nil"/>
          <w:between w:val="nil"/>
        </w:pBdr>
        <w:spacing w:line="360" w:lineRule="auto"/>
        <w:rPr>
          <w:rFonts w:ascii="Palatino Linotype" w:eastAsia="Palatino Linotype" w:hAnsi="Palatino Linotype" w:cs="Palatino Linotype"/>
          <w:b/>
        </w:rPr>
      </w:pPr>
    </w:p>
    <w:p w:rsidR="00751870" w:rsidRPr="00550FB3" w:rsidRDefault="00043B42">
      <w:pPr>
        <w:spacing w:line="360" w:lineRule="auto"/>
        <w:jc w:val="both"/>
        <w:rPr>
          <w:rFonts w:ascii="Palatino Linotype" w:eastAsia="Palatino Linotype" w:hAnsi="Palatino Linotype" w:cs="Palatino Linotype"/>
          <w:b/>
        </w:rPr>
      </w:pPr>
      <w:r w:rsidRPr="00550FB3">
        <w:rPr>
          <w:rFonts w:ascii="Palatino Linotype" w:eastAsia="Palatino Linotype" w:hAnsi="Palatino Linotype" w:cs="Palatino Linotype"/>
          <w:b/>
        </w:rPr>
        <w:t xml:space="preserve">PRIMERO. </w:t>
      </w:r>
      <w:r w:rsidRPr="00550FB3">
        <w:rPr>
          <w:rFonts w:ascii="Palatino Linotype" w:eastAsia="Palatino Linotype" w:hAnsi="Palatino Linotype" w:cs="Palatino Linotype"/>
        </w:rPr>
        <w:t>Resultan</w:t>
      </w:r>
      <w:r w:rsidRPr="00550FB3">
        <w:rPr>
          <w:rFonts w:ascii="Palatino Linotype" w:eastAsia="Palatino Linotype" w:hAnsi="Palatino Linotype" w:cs="Palatino Linotype"/>
          <w:b/>
        </w:rPr>
        <w:t xml:space="preserve"> FUNDADOS</w:t>
      </w:r>
      <w:r w:rsidRPr="00550FB3">
        <w:rPr>
          <w:rFonts w:ascii="Palatino Linotype" w:eastAsia="Palatino Linotype" w:hAnsi="Palatino Linotype" w:cs="Palatino Linotype"/>
        </w:rPr>
        <w:t xml:space="preserve"> los motivos de inconformidad hechos valer por </w:t>
      </w:r>
      <w:r w:rsidRPr="00550FB3">
        <w:rPr>
          <w:rFonts w:ascii="Palatino Linotype" w:eastAsia="Palatino Linotype" w:hAnsi="Palatino Linotype" w:cs="Palatino Linotype"/>
          <w:b/>
        </w:rPr>
        <w:t xml:space="preserve">LA PARTE RECURRENTE </w:t>
      </w:r>
      <w:r w:rsidRPr="00550FB3">
        <w:rPr>
          <w:rFonts w:ascii="Palatino Linotype" w:eastAsia="Palatino Linotype" w:hAnsi="Palatino Linotype" w:cs="Palatino Linotype"/>
        </w:rPr>
        <w:t xml:space="preserve">en el recurso de revisión </w:t>
      </w:r>
      <w:r w:rsidR="00D04DDC" w:rsidRPr="00550FB3">
        <w:rPr>
          <w:rFonts w:ascii="Palatino Linotype" w:eastAsia="Palatino Linotype" w:hAnsi="Palatino Linotype" w:cs="Palatino Linotype"/>
          <w:b/>
        </w:rPr>
        <w:t>0410</w:t>
      </w:r>
      <w:r w:rsidR="002962A7" w:rsidRPr="00550FB3">
        <w:rPr>
          <w:rFonts w:ascii="Palatino Linotype" w:eastAsia="Palatino Linotype" w:hAnsi="Palatino Linotype" w:cs="Palatino Linotype"/>
          <w:b/>
        </w:rPr>
        <w:t>4</w:t>
      </w:r>
      <w:r w:rsidRPr="00550FB3">
        <w:rPr>
          <w:rFonts w:ascii="Palatino Linotype" w:eastAsia="Palatino Linotype" w:hAnsi="Palatino Linotype" w:cs="Palatino Linotype"/>
          <w:b/>
        </w:rPr>
        <w:t xml:space="preserve">/INFOEM/IP/RR/2023, </w:t>
      </w:r>
      <w:r w:rsidRPr="00550FB3">
        <w:rPr>
          <w:rFonts w:ascii="Palatino Linotype" w:eastAsia="Palatino Linotype" w:hAnsi="Palatino Linotype" w:cs="Palatino Linotype"/>
        </w:rPr>
        <w:t xml:space="preserve">por lo que, en términos del </w:t>
      </w:r>
      <w:r w:rsidRPr="00550FB3">
        <w:rPr>
          <w:rFonts w:ascii="Palatino Linotype" w:eastAsia="Palatino Linotype" w:hAnsi="Palatino Linotype" w:cs="Palatino Linotype"/>
          <w:b/>
        </w:rPr>
        <w:t xml:space="preserve">CONSIDERANDO CUARTO </w:t>
      </w:r>
      <w:r w:rsidRPr="00550FB3">
        <w:rPr>
          <w:rFonts w:ascii="Palatino Linotype" w:eastAsia="Palatino Linotype" w:hAnsi="Palatino Linotype" w:cs="Palatino Linotype"/>
        </w:rPr>
        <w:t>de la presente resolución, se</w:t>
      </w:r>
      <w:r w:rsidRPr="00550FB3">
        <w:rPr>
          <w:rFonts w:ascii="Palatino Linotype" w:eastAsia="Palatino Linotype" w:hAnsi="Palatino Linotype" w:cs="Palatino Linotype"/>
          <w:b/>
        </w:rPr>
        <w:t xml:space="preserve"> REVOCA </w:t>
      </w:r>
      <w:r w:rsidRPr="00550FB3">
        <w:rPr>
          <w:rFonts w:ascii="Palatino Linotype" w:eastAsia="Palatino Linotype" w:hAnsi="Palatino Linotype" w:cs="Palatino Linotype"/>
        </w:rPr>
        <w:t>la respuesta</w:t>
      </w:r>
      <w:r w:rsidRPr="00550FB3">
        <w:rPr>
          <w:rFonts w:ascii="Palatino Linotype" w:eastAsia="Palatino Linotype" w:hAnsi="Palatino Linotype" w:cs="Palatino Linotype"/>
          <w:b/>
        </w:rPr>
        <w:t xml:space="preserve"> </w:t>
      </w:r>
      <w:r w:rsidRPr="00550FB3">
        <w:rPr>
          <w:rFonts w:ascii="Palatino Linotype" w:eastAsia="Palatino Linotype" w:hAnsi="Palatino Linotype" w:cs="Palatino Linotype"/>
        </w:rPr>
        <w:t xml:space="preserve">del </w:t>
      </w:r>
      <w:r w:rsidRPr="00550FB3">
        <w:rPr>
          <w:rFonts w:ascii="Palatino Linotype" w:eastAsia="Palatino Linotype" w:hAnsi="Palatino Linotype" w:cs="Palatino Linotype"/>
          <w:b/>
        </w:rPr>
        <w:t>SUJETO OBLIGADO.</w:t>
      </w:r>
    </w:p>
    <w:p w:rsidR="00751870" w:rsidRPr="00550FB3" w:rsidRDefault="00751870">
      <w:pPr>
        <w:spacing w:line="360" w:lineRule="auto"/>
        <w:jc w:val="both"/>
        <w:rPr>
          <w:rFonts w:ascii="Palatino Linotype" w:eastAsia="Palatino Linotype" w:hAnsi="Palatino Linotype" w:cs="Palatino Linotype"/>
          <w:b/>
        </w:rPr>
      </w:pPr>
    </w:p>
    <w:p w:rsidR="00751870" w:rsidRPr="00550FB3" w:rsidRDefault="00043B42">
      <w:pPr>
        <w:spacing w:line="360" w:lineRule="auto"/>
        <w:jc w:val="both"/>
        <w:rPr>
          <w:rFonts w:ascii="Palatino Linotype" w:eastAsia="Palatino Linotype" w:hAnsi="Palatino Linotype" w:cs="Palatino Linotype"/>
        </w:rPr>
      </w:pPr>
      <w:bookmarkStart w:id="3" w:name="_heading=h.4d34og8" w:colFirst="0" w:colLast="0"/>
      <w:bookmarkEnd w:id="3"/>
      <w:r w:rsidRPr="00550FB3">
        <w:rPr>
          <w:rFonts w:ascii="Palatino Linotype" w:eastAsia="Palatino Linotype" w:hAnsi="Palatino Linotype" w:cs="Palatino Linotype"/>
          <w:b/>
        </w:rPr>
        <w:t xml:space="preserve">SEGUNDO. </w:t>
      </w:r>
      <w:r w:rsidRPr="00550FB3">
        <w:rPr>
          <w:rFonts w:ascii="Palatino Linotype" w:eastAsia="Palatino Linotype" w:hAnsi="Palatino Linotype" w:cs="Palatino Linotype"/>
        </w:rPr>
        <w:t xml:space="preserve">Se </w:t>
      </w:r>
      <w:r w:rsidRPr="00550FB3">
        <w:rPr>
          <w:rFonts w:ascii="Palatino Linotype" w:eastAsia="Palatino Linotype" w:hAnsi="Palatino Linotype" w:cs="Palatino Linotype"/>
          <w:b/>
        </w:rPr>
        <w:t>ORDENA</w:t>
      </w:r>
      <w:r w:rsidRPr="00550FB3">
        <w:rPr>
          <w:rFonts w:ascii="Palatino Linotype" w:eastAsia="Palatino Linotype" w:hAnsi="Palatino Linotype" w:cs="Palatino Linotype"/>
        </w:rPr>
        <w:t xml:space="preserve"> al </w:t>
      </w:r>
      <w:r w:rsidRPr="00550FB3">
        <w:rPr>
          <w:rFonts w:ascii="Palatino Linotype" w:eastAsia="Palatino Linotype" w:hAnsi="Palatino Linotype" w:cs="Palatino Linotype"/>
          <w:b/>
        </w:rPr>
        <w:t>SUJETO OBLIGADO</w:t>
      </w:r>
      <w:r w:rsidRPr="00550FB3">
        <w:rPr>
          <w:rFonts w:ascii="Palatino Linotype" w:eastAsia="Palatino Linotype" w:hAnsi="Palatino Linotype" w:cs="Palatino Linotype"/>
        </w:rPr>
        <w:t xml:space="preserve">, en términos de los </w:t>
      </w:r>
      <w:r w:rsidRPr="00550FB3">
        <w:rPr>
          <w:rFonts w:ascii="Palatino Linotype" w:eastAsia="Palatino Linotype" w:hAnsi="Palatino Linotype" w:cs="Palatino Linotype"/>
          <w:b/>
        </w:rPr>
        <w:t xml:space="preserve">CONSIDERANDOS CUARTO </w:t>
      </w:r>
      <w:r w:rsidRPr="00550FB3">
        <w:rPr>
          <w:rFonts w:ascii="Palatino Linotype" w:eastAsia="Palatino Linotype" w:hAnsi="Palatino Linotype" w:cs="Palatino Linotype"/>
        </w:rPr>
        <w:t>y</w:t>
      </w:r>
      <w:r w:rsidRPr="00550FB3">
        <w:rPr>
          <w:rFonts w:ascii="Palatino Linotype" w:eastAsia="Palatino Linotype" w:hAnsi="Palatino Linotype" w:cs="Palatino Linotype"/>
          <w:b/>
        </w:rPr>
        <w:t xml:space="preserve"> QUINTO </w:t>
      </w:r>
      <w:r w:rsidRPr="00550FB3">
        <w:rPr>
          <w:rFonts w:ascii="Palatino Linotype" w:eastAsia="Palatino Linotype" w:hAnsi="Palatino Linotype" w:cs="Palatino Linotype"/>
        </w:rPr>
        <w:t>de esta resolución, haga entrega, vía SAIMEX, en vers</w:t>
      </w:r>
      <w:r w:rsidR="00BB3F30" w:rsidRPr="00550FB3">
        <w:rPr>
          <w:rFonts w:ascii="Palatino Linotype" w:eastAsia="Palatino Linotype" w:hAnsi="Palatino Linotype" w:cs="Palatino Linotype"/>
        </w:rPr>
        <w:t xml:space="preserve">ión pública de </w:t>
      </w:r>
      <w:r w:rsidR="002962A7" w:rsidRPr="00550FB3">
        <w:rPr>
          <w:rFonts w:ascii="Palatino Linotype" w:eastAsia="Palatino Linotype" w:hAnsi="Palatino Linotype" w:cs="Palatino Linotype"/>
        </w:rPr>
        <w:t>ser procede</w:t>
      </w:r>
      <w:r w:rsidR="00BB3F30" w:rsidRPr="00550FB3">
        <w:rPr>
          <w:rFonts w:ascii="Palatino Linotype" w:eastAsia="Palatino Linotype" w:hAnsi="Palatino Linotype" w:cs="Palatino Linotype"/>
        </w:rPr>
        <w:t>nte, de lo siguiente</w:t>
      </w:r>
    </w:p>
    <w:p w:rsidR="002962A7" w:rsidRPr="00550FB3" w:rsidRDefault="002962A7" w:rsidP="00D04DDC">
      <w:pPr>
        <w:spacing w:line="360" w:lineRule="auto"/>
        <w:jc w:val="both"/>
        <w:rPr>
          <w:rFonts w:ascii="Palatino Linotype" w:eastAsia="Palatino Linotype" w:hAnsi="Palatino Linotype" w:cs="Palatino Linotype"/>
        </w:rPr>
      </w:pPr>
    </w:p>
    <w:p w:rsidR="00D04DDC" w:rsidRPr="00550FB3" w:rsidRDefault="00BB3F30" w:rsidP="00D04DDC">
      <w:pPr>
        <w:pStyle w:val="Prrafodelista"/>
        <w:numPr>
          <w:ilvl w:val="0"/>
          <w:numId w:val="10"/>
        </w:numPr>
        <w:spacing w:line="360" w:lineRule="auto"/>
        <w:jc w:val="both"/>
        <w:rPr>
          <w:rFonts w:ascii="Palatino Linotype" w:hAnsi="Palatino Linotype"/>
          <w:lang w:val="es-ES"/>
        </w:rPr>
      </w:pPr>
      <w:r w:rsidRPr="00550FB3">
        <w:rPr>
          <w:rFonts w:ascii="Palatino Linotype" w:hAnsi="Palatino Linotype"/>
          <w:lang w:val="es-ES"/>
        </w:rPr>
        <w:t xml:space="preserve">Convenios Laborales celebrados entre el </w:t>
      </w:r>
      <w:r w:rsidR="00D04DDC" w:rsidRPr="00550FB3">
        <w:rPr>
          <w:rFonts w:ascii="Palatino Linotype" w:hAnsi="Palatino Linotype"/>
          <w:lang w:val="es-ES"/>
        </w:rPr>
        <w:t>entre el Sistema de Agua Potable, Alcantarillado y Saneamiento de Ecatepec de Morelos con el</w:t>
      </w:r>
      <w:r w:rsidR="00B06643" w:rsidRPr="00550FB3">
        <w:rPr>
          <w:rFonts w:ascii="Palatino Linotype" w:hAnsi="Palatino Linotype"/>
          <w:lang w:val="es-ES"/>
        </w:rPr>
        <w:t xml:space="preserve"> Sindicato Único de Trabajadores de los Poderes, Municipios e Instituciones Descentralizadas del Estado de México sección Ecatepec </w:t>
      </w:r>
      <w:r w:rsidRPr="00550FB3">
        <w:rPr>
          <w:rFonts w:ascii="Palatino Linotype" w:hAnsi="Palatino Linotype"/>
          <w:lang w:val="es-ES"/>
        </w:rPr>
        <w:t xml:space="preserve">del uno de enero de dos mil diecinueve al nueve de </w:t>
      </w:r>
      <w:r w:rsidR="008B209E" w:rsidRPr="00550FB3">
        <w:rPr>
          <w:rFonts w:ascii="Palatino Linotype" w:hAnsi="Palatino Linotype"/>
          <w:lang w:val="es-ES"/>
        </w:rPr>
        <w:t xml:space="preserve">junio </w:t>
      </w:r>
      <w:r w:rsidRPr="00550FB3">
        <w:rPr>
          <w:rFonts w:ascii="Palatino Linotype" w:hAnsi="Palatino Linotype"/>
          <w:lang w:val="es-ES"/>
        </w:rPr>
        <w:t>de dos mil veintitrés.</w:t>
      </w:r>
    </w:p>
    <w:p w:rsidR="00D04DDC" w:rsidRPr="00550FB3" w:rsidRDefault="00D04DDC" w:rsidP="002962A7">
      <w:pPr>
        <w:pStyle w:val="Citas"/>
        <w:spacing w:before="0" w:after="0" w:line="240" w:lineRule="auto"/>
        <w:rPr>
          <w:rFonts w:eastAsia="Palatino Linotype" w:cs="Palatino Linotype"/>
          <w:color w:val="000000"/>
        </w:rPr>
      </w:pPr>
      <w:bookmarkStart w:id="4" w:name="_GoBack"/>
      <w:bookmarkEnd w:id="4"/>
    </w:p>
    <w:p w:rsidR="00DC4575" w:rsidRPr="00550FB3" w:rsidRDefault="00043B42" w:rsidP="002962A7">
      <w:pPr>
        <w:pStyle w:val="Citas"/>
        <w:spacing w:before="0" w:after="0" w:line="240" w:lineRule="auto"/>
        <w:rPr>
          <w:rFonts w:eastAsia="Times New Roman"/>
          <w:sz w:val="24"/>
          <w:szCs w:val="24"/>
          <w:lang w:val="es-ES"/>
        </w:rPr>
      </w:pPr>
      <w:r w:rsidRPr="00550FB3">
        <w:rPr>
          <w:rFonts w:eastAsia="Palatino Linotype" w:cs="Palatino Linotype"/>
          <w:color w:val="000000"/>
        </w:rPr>
        <w:t xml:space="preserve">Debiendo acompañar con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550FB3">
        <w:rPr>
          <w:rFonts w:eastAsia="Palatino Linotype" w:cs="Palatino Linotype"/>
          <w:b/>
          <w:color w:val="000000"/>
        </w:rPr>
        <w:t>LA PARTE RECURRENTE,</w:t>
      </w:r>
      <w:r w:rsidRPr="00550FB3">
        <w:rPr>
          <w:rFonts w:eastAsia="Palatino Linotype" w:cs="Palatino Linotype"/>
          <w:color w:val="000000"/>
        </w:rPr>
        <w:t xml:space="preserve"> mismo que igualmente hará de su conocimiento.</w:t>
      </w:r>
    </w:p>
    <w:p w:rsidR="00DC4575" w:rsidRPr="00550FB3" w:rsidRDefault="00DC4575" w:rsidP="00DC4575">
      <w:pPr>
        <w:pBdr>
          <w:top w:val="nil"/>
          <w:left w:val="nil"/>
          <w:bottom w:val="nil"/>
          <w:right w:val="nil"/>
          <w:between w:val="nil"/>
        </w:pBdr>
        <w:ind w:right="851"/>
        <w:jc w:val="both"/>
        <w:rPr>
          <w:rFonts w:ascii="Palatino Linotype" w:eastAsia="Palatino Linotype" w:hAnsi="Palatino Linotype" w:cs="Palatino Linotype"/>
          <w:i/>
          <w:color w:val="000000"/>
          <w:sz w:val="22"/>
          <w:szCs w:val="22"/>
        </w:rPr>
      </w:pPr>
    </w:p>
    <w:p w:rsidR="00751870" w:rsidRPr="00550FB3" w:rsidRDefault="00043B42">
      <w:pPr>
        <w:spacing w:line="360" w:lineRule="auto"/>
        <w:jc w:val="both"/>
        <w:rPr>
          <w:rFonts w:ascii="Palatino Linotype" w:eastAsia="Palatino Linotype" w:hAnsi="Palatino Linotype" w:cs="Palatino Linotype"/>
          <w:b/>
        </w:rPr>
      </w:pPr>
      <w:r w:rsidRPr="00550FB3">
        <w:rPr>
          <w:rFonts w:ascii="Palatino Linotype" w:eastAsia="Palatino Linotype" w:hAnsi="Palatino Linotype" w:cs="Palatino Linotype"/>
          <w:b/>
        </w:rPr>
        <w:t xml:space="preserve">TERCERO. NOTIFÍQUESE, </w:t>
      </w:r>
      <w:r w:rsidRPr="00550FB3">
        <w:rPr>
          <w:rFonts w:ascii="Palatino Linotype" w:eastAsia="Palatino Linotype" w:hAnsi="Palatino Linotype" w:cs="Palatino Linotype"/>
        </w:rPr>
        <w:t xml:space="preserve">vía SAIMEX, a la Persona Titular de la Unidad de Transparencia del </w:t>
      </w:r>
      <w:r w:rsidRPr="00550FB3">
        <w:rPr>
          <w:rFonts w:ascii="Palatino Linotype" w:eastAsia="Palatino Linotype" w:hAnsi="Palatino Linotype" w:cs="Palatino Linotype"/>
          <w:b/>
        </w:rPr>
        <w:t>SUJETO OBLIGADO,</w:t>
      </w:r>
      <w:r w:rsidRPr="00550FB3">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51870" w:rsidRPr="00550FB3" w:rsidRDefault="00751870">
      <w:pPr>
        <w:spacing w:line="360" w:lineRule="auto"/>
        <w:jc w:val="both"/>
        <w:rPr>
          <w:rFonts w:ascii="Palatino Linotype" w:eastAsia="Palatino Linotype" w:hAnsi="Palatino Linotype" w:cs="Palatino Linotype"/>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550FB3">
        <w:rPr>
          <w:rFonts w:ascii="Palatino Linotype" w:eastAsia="Palatino Linotype" w:hAnsi="Palatino Linotype" w:cs="Palatino Linotype"/>
          <w:b/>
          <w:color w:val="000000"/>
        </w:rPr>
        <w:lastRenderedPageBreak/>
        <w:t xml:space="preserve">CUARTO. </w:t>
      </w:r>
      <w:r w:rsidRPr="00550FB3">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w:t>
      </w:r>
      <w:r w:rsidRPr="00550FB3">
        <w:rPr>
          <w:rFonts w:ascii="Palatino Linotype" w:eastAsia="Palatino Linotype" w:hAnsi="Palatino Linotype" w:cs="Palatino Linotype"/>
          <w:b/>
          <w:color w:val="000000"/>
        </w:rPr>
        <w:t>EL SUJETO OBLIGADO</w:t>
      </w:r>
      <w:r w:rsidRPr="00550FB3">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rsidR="00751870" w:rsidRPr="00550FB3" w:rsidRDefault="0075187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751870" w:rsidRPr="00550FB3" w:rsidRDefault="00043B4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50FB3">
        <w:rPr>
          <w:rFonts w:ascii="Palatino Linotype" w:eastAsia="Palatino Linotype" w:hAnsi="Palatino Linotype" w:cs="Palatino Linotype"/>
          <w:b/>
          <w:color w:val="000000"/>
        </w:rPr>
        <w:t xml:space="preserve">QUINTO. </w:t>
      </w:r>
      <w:r w:rsidRPr="00550FB3">
        <w:rPr>
          <w:rFonts w:ascii="Palatino Linotype" w:eastAsia="Palatino Linotype" w:hAnsi="Palatino Linotype" w:cs="Palatino Linotype"/>
          <w:color w:val="000000"/>
        </w:rPr>
        <w:t>Notifíquese vía SAIMEX,</w:t>
      </w:r>
      <w:r w:rsidRPr="00550FB3">
        <w:rPr>
          <w:rFonts w:ascii="Palatino Linotype" w:eastAsia="Palatino Linotype" w:hAnsi="Palatino Linotype" w:cs="Palatino Linotype"/>
          <w:b/>
          <w:color w:val="000000"/>
        </w:rPr>
        <w:t xml:space="preserve"> </w:t>
      </w:r>
      <w:r w:rsidRPr="00550FB3">
        <w:rPr>
          <w:rFonts w:ascii="Palatino Linotype" w:eastAsia="Palatino Linotype" w:hAnsi="Palatino Linotype" w:cs="Palatino Linotype"/>
          <w:color w:val="000000"/>
        </w:rPr>
        <w:t xml:space="preserve">a </w:t>
      </w:r>
      <w:r w:rsidRPr="00550FB3">
        <w:rPr>
          <w:rFonts w:ascii="Palatino Linotype" w:eastAsia="Palatino Linotype" w:hAnsi="Palatino Linotype" w:cs="Palatino Linotype"/>
          <w:b/>
          <w:color w:val="000000"/>
        </w:rPr>
        <w:t>LA PARTE</w:t>
      </w:r>
      <w:r w:rsidRPr="00550FB3">
        <w:rPr>
          <w:rFonts w:ascii="Palatino Linotype" w:eastAsia="Palatino Linotype" w:hAnsi="Palatino Linotype" w:cs="Palatino Linotype"/>
          <w:color w:val="000000"/>
        </w:rPr>
        <w:t xml:space="preserve"> </w:t>
      </w:r>
      <w:r w:rsidRPr="00550FB3">
        <w:rPr>
          <w:rFonts w:ascii="Palatino Linotype" w:eastAsia="Palatino Linotype" w:hAnsi="Palatino Linotype" w:cs="Palatino Linotype"/>
          <w:b/>
          <w:color w:val="000000"/>
        </w:rPr>
        <w:t>RECURRENTE</w:t>
      </w:r>
      <w:r w:rsidRPr="00550FB3">
        <w:rPr>
          <w:rFonts w:ascii="Palatino Linotype" w:eastAsia="Palatino Linotype" w:hAnsi="Palatino Linotype" w:cs="Palatino Linotype"/>
          <w:color w:val="000000"/>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751870" w:rsidRPr="00550FB3" w:rsidRDefault="00751870">
      <w:pPr>
        <w:spacing w:line="360" w:lineRule="auto"/>
        <w:jc w:val="both"/>
        <w:rPr>
          <w:rFonts w:ascii="Palatino Linotype" w:eastAsia="Palatino Linotype" w:hAnsi="Palatino Linotype" w:cs="Palatino Linotype"/>
          <w:b/>
          <w:color w:val="000000"/>
        </w:rPr>
      </w:pPr>
    </w:p>
    <w:p w:rsidR="00751870" w:rsidRDefault="00043B42">
      <w:pPr>
        <w:spacing w:line="360" w:lineRule="auto"/>
        <w:jc w:val="both"/>
        <w:rPr>
          <w:rFonts w:ascii="Palatino Linotype" w:eastAsia="Palatino Linotype" w:hAnsi="Palatino Linotype" w:cs="Palatino Linotype"/>
        </w:rPr>
      </w:pPr>
      <w:bookmarkStart w:id="5" w:name="_heading=h.2et92p0" w:colFirst="0" w:colLast="0"/>
      <w:bookmarkEnd w:id="5"/>
      <w:r w:rsidRPr="00550FB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w:t>
      </w:r>
      <w:r w:rsidR="00D04DDC" w:rsidRPr="00550FB3">
        <w:rPr>
          <w:rFonts w:ascii="Palatino Linotype" w:eastAsia="Palatino Linotype" w:hAnsi="Palatino Linotype" w:cs="Palatino Linotype"/>
        </w:rPr>
        <w:t>TERCERA</w:t>
      </w:r>
      <w:r w:rsidR="002962A7" w:rsidRPr="00550FB3">
        <w:rPr>
          <w:rFonts w:ascii="Palatino Linotype" w:eastAsia="Palatino Linotype" w:hAnsi="Palatino Linotype" w:cs="Palatino Linotype"/>
        </w:rPr>
        <w:t xml:space="preserve"> </w:t>
      </w:r>
      <w:r w:rsidRPr="00550FB3">
        <w:rPr>
          <w:rFonts w:ascii="Palatino Linotype" w:eastAsia="Palatino Linotype" w:hAnsi="Palatino Linotype" w:cs="Palatino Linotype"/>
        </w:rPr>
        <w:t>SES</w:t>
      </w:r>
      <w:r w:rsidR="002962A7" w:rsidRPr="00550FB3">
        <w:rPr>
          <w:rFonts w:ascii="Palatino Linotype" w:eastAsia="Palatino Linotype" w:hAnsi="Palatino Linotype" w:cs="Palatino Linotype"/>
        </w:rPr>
        <w:t xml:space="preserve">IÓN ORDINARIA, CELEBRADA EL </w:t>
      </w:r>
      <w:r w:rsidR="00D04DDC" w:rsidRPr="00550FB3">
        <w:rPr>
          <w:rFonts w:ascii="Palatino Linotype" w:eastAsia="Palatino Linotype" w:hAnsi="Palatino Linotype" w:cs="Palatino Linotype"/>
        </w:rPr>
        <w:t xml:space="preserve">VEINTINUEVE </w:t>
      </w:r>
      <w:r w:rsidRPr="00550FB3">
        <w:rPr>
          <w:rFonts w:ascii="Palatino Linotype" w:eastAsia="Palatino Linotype" w:hAnsi="Palatino Linotype" w:cs="Palatino Linotype"/>
        </w:rPr>
        <w:t>DE NOVIEMBRE DE DOS MIL VEINTITRÉS, ANTE EL SECRETARIO TÉCNICO DEL PLENO ALEXIS TAPIA RAMÍREZ.</w:t>
      </w: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p w:rsidR="00751870" w:rsidRDefault="00751870">
      <w:pPr>
        <w:spacing w:line="360" w:lineRule="auto"/>
        <w:jc w:val="both"/>
        <w:rPr>
          <w:rFonts w:ascii="Palatino Linotype" w:eastAsia="Palatino Linotype" w:hAnsi="Palatino Linotype" w:cs="Palatino Linotype"/>
        </w:rPr>
      </w:pPr>
    </w:p>
    <w:sectPr w:rsidR="00751870">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E87" w:rsidRDefault="001E0E87">
      <w:r>
        <w:separator/>
      </w:r>
    </w:p>
  </w:endnote>
  <w:endnote w:type="continuationSeparator" w:id="0">
    <w:p w:rsidR="001E0E87" w:rsidRDefault="001E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07" w:rsidRDefault="00FC1B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4FAE">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4FAE">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p w:rsidR="00FC1B07" w:rsidRDefault="00FC1B0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07" w:rsidRDefault="00FC1B0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24F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24FAE">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E87" w:rsidRDefault="001E0E87">
      <w:r>
        <w:separator/>
      </w:r>
    </w:p>
  </w:footnote>
  <w:footnote w:type="continuationSeparator" w:id="0">
    <w:p w:rsidR="001E0E87" w:rsidRDefault="001E0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07" w:rsidRDefault="00FC1B07">
    <w:pPr>
      <w:rPr>
        <w:rFonts w:ascii="Cambria" w:eastAsia="Cambria" w:hAnsi="Cambria" w:cs="Cambria"/>
      </w:rPr>
    </w:pPr>
    <w:r>
      <w:rPr>
        <w:noProof/>
      </w:rPr>
      <w:drawing>
        <wp:anchor distT="0" distB="0" distL="0" distR="0" simplePos="0" relativeHeight="251658240" behindDoc="1" locked="0" layoutInCell="1" hidden="0" allowOverlap="1">
          <wp:simplePos x="0" y="0"/>
          <wp:positionH relativeFrom="column">
            <wp:posOffset>-1078865</wp:posOffset>
          </wp:positionH>
          <wp:positionV relativeFrom="paragraph">
            <wp:posOffset>-429895</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d"/>
      <w:tblW w:w="6237" w:type="dxa"/>
      <w:tblInd w:w="2547" w:type="dxa"/>
      <w:tblLayout w:type="fixed"/>
      <w:tblLook w:val="0400" w:firstRow="0" w:lastRow="0" w:firstColumn="0" w:lastColumn="0" w:noHBand="0" w:noVBand="1"/>
    </w:tblPr>
    <w:tblGrid>
      <w:gridCol w:w="2410"/>
      <w:gridCol w:w="3827"/>
    </w:tblGrid>
    <w:tr w:rsidR="00FC1B07" w:rsidTr="00BE672E">
      <w:tc>
        <w:tcPr>
          <w:tcW w:w="2410" w:type="dxa"/>
          <w:shd w:val="clear" w:color="auto" w:fill="auto"/>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rsidR="00FC1B07" w:rsidRDefault="00FC1B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04104/INFOEM/IP/RR/2023</w:t>
          </w:r>
        </w:p>
      </w:tc>
    </w:tr>
    <w:tr w:rsidR="00FC1B07" w:rsidTr="00BE672E">
      <w:trPr>
        <w:trHeight w:val="228"/>
      </w:trPr>
      <w:tc>
        <w:tcPr>
          <w:tcW w:w="2410" w:type="dxa"/>
          <w:shd w:val="clear" w:color="auto" w:fill="auto"/>
          <w:vAlign w:val="center"/>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rsidR="00FC1B07" w:rsidRDefault="00FC1B0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de Agua Potable, Alcantarillado y Saneamiento de Ecatepec de Morelos </w:t>
          </w:r>
        </w:p>
      </w:tc>
    </w:tr>
    <w:tr w:rsidR="00FC1B07" w:rsidTr="00BE672E">
      <w:tc>
        <w:tcPr>
          <w:tcW w:w="2410" w:type="dxa"/>
          <w:shd w:val="clear" w:color="auto" w:fill="auto"/>
          <w:vAlign w:val="center"/>
        </w:tcPr>
        <w:p w:rsidR="00FC1B07" w:rsidRDefault="00FC1B0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vAlign w:val="center"/>
        </w:tcPr>
        <w:p w:rsidR="00FC1B07" w:rsidRDefault="00FC1B0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1B07" w:rsidRDefault="00FC1B07">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07" w:rsidRDefault="00FC1B0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-1089020</wp:posOffset>
          </wp:positionH>
          <wp:positionV relativeFrom="paragraph">
            <wp:posOffset>-459735</wp:posOffset>
          </wp:positionV>
          <wp:extent cx="7809865" cy="10165715"/>
          <wp:effectExtent l="0" t="0" r="0" b="0"/>
          <wp:wrapNone/>
          <wp:docPr id="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c"/>
      <w:tblW w:w="6379" w:type="dxa"/>
      <w:tblInd w:w="2547" w:type="dxa"/>
      <w:tblLayout w:type="fixed"/>
      <w:tblLook w:val="0400" w:firstRow="0" w:lastRow="0" w:firstColumn="0" w:lastColumn="0" w:noHBand="0" w:noVBand="1"/>
    </w:tblPr>
    <w:tblGrid>
      <w:gridCol w:w="2551"/>
      <w:gridCol w:w="3828"/>
    </w:tblGrid>
    <w:tr w:rsidR="00FC1B07">
      <w:trPr>
        <w:trHeight w:val="213"/>
      </w:trPr>
      <w:tc>
        <w:tcPr>
          <w:tcW w:w="2551" w:type="dxa"/>
          <w:shd w:val="clear" w:color="auto" w:fill="auto"/>
          <w:vAlign w:val="center"/>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rsidR="00FC1B07" w:rsidRDefault="00FC1B07">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04104/INFOEM/IP/RR/2023</w:t>
          </w:r>
        </w:p>
      </w:tc>
    </w:tr>
    <w:tr w:rsidR="00FC1B07">
      <w:trPr>
        <w:trHeight w:val="91"/>
      </w:trPr>
      <w:tc>
        <w:tcPr>
          <w:tcW w:w="2551" w:type="dxa"/>
          <w:shd w:val="clear" w:color="auto" w:fill="auto"/>
          <w:vAlign w:val="center"/>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rsidR="00FC1B07" w:rsidRDefault="00FC1B07">
          <w:pPr>
            <w:jc w:val="both"/>
            <w:rPr>
              <w:rFonts w:ascii="Palatino Linotype" w:eastAsia="Palatino Linotype" w:hAnsi="Palatino Linotype" w:cs="Palatino Linotype"/>
              <w:b/>
              <w:sz w:val="22"/>
              <w:szCs w:val="22"/>
            </w:rPr>
          </w:pPr>
        </w:p>
      </w:tc>
    </w:tr>
    <w:tr w:rsidR="00FC1B07">
      <w:trPr>
        <w:trHeight w:val="161"/>
      </w:trPr>
      <w:tc>
        <w:tcPr>
          <w:tcW w:w="2551" w:type="dxa"/>
          <w:shd w:val="clear" w:color="auto" w:fill="auto"/>
          <w:vAlign w:val="center"/>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rsidR="00FC1B07" w:rsidRDefault="00FC1B07">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Sistema de Agua Potable, Alcantarillado y Saneamiento de Ecatepec de Morelos </w:t>
          </w:r>
        </w:p>
      </w:tc>
    </w:tr>
    <w:tr w:rsidR="00FC1B07">
      <w:trPr>
        <w:trHeight w:val="102"/>
      </w:trPr>
      <w:tc>
        <w:tcPr>
          <w:tcW w:w="2551" w:type="dxa"/>
          <w:shd w:val="clear" w:color="auto" w:fill="auto"/>
          <w:vAlign w:val="center"/>
        </w:tcPr>
        <w:p w:rsidR="00FC1B07" w:rsidRDefault="00FC1B0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rsidR="00FC1B07" w:rsidRDefault="00FC1B07">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C1B07" w:rsidRDefault="00FC1B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F26D8"/>
    <w:multiLevelType w:val="hybridMultilevel"/>
    <w:tmpl w:val="BC5A5CDA"/>
    <w:lvl w:ilvl="0" w:tplc="A62C8DB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BC217C"/>
    <w:multiLevelType w:val="multilevel"/>
    <w:tmpl w:val="77DCAA08"/>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270F05"/>
    <w:multiLevelType w:val="hybridMultilevel"/>
    <w:tmpl w:val="CBC26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B06663"/>
    <w:multiLevelType w:val="hybridMultilevel"/>
    <w:tmpl w:val="60181004"/>
    <w:lvl w:ilvl="0" w:tplc="B4A6DCA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3B2013"/>
    <w:multiLevelType w:val="multilevel"/>
    <w:tmpl w:val="5990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A22E65"/>
    <w:multiLevelType w:val="multilevel"/>
    <w:tmpl w:val="3D1A9E2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6C3B78"/>
    <w:multiLevelType w:val="multilevel"/>
    <w:tmpl w:val="69100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E060877"/>
    <w:multiLevelType w:val="hybridMultilevel"/>
    <w:tmpl w:val="CE7E34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0477C15"/>
    <w:multiLevelType w:val="multilevel"/>
    <w:tmpl w:val="14C2AFE0"/>
    <w:lvl w:ilvl="0">
      <w:start w:val="3"/>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2670AE"/>
    <w:multiLevelType w:val="multilevel"/>
    <w:tmpl w:val="1C4C1324"/>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69C86605"/>
    <w:multiLevelType w:val="multilevel"/>
    <w:tmpl w:val="D8F4C87C"/>
    <w:lvl w:ilvl="0">
      <w:start w:val="1"/>
      <w:numFmt w:val="decimal"/>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4A45EC"/>
    <w:multiLevelType w:val="hybridMultilevel"/>
    <w:tmpl w:val="A1EA1188"/>
    <w:lvl w:ilvl="0" w:tplc="EE7E2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9"/>
  </w:num>
  <w:num w:numId="6">
    <w:abstractNumId w:val="6"/>
  </w:num>
  <w:num w:numId="7">
    <w:abstractNumId w:val="7"/>
  </w:num>
  <w:num w:numId="8">
    <w:abstractNumId w:val="10"/>
  </w:num>
  <w:num w:numId="9">
    <w:abstractNumId w:val="0"/>
  </w:num>
  <w:num w:numId="10">
    <w:abstractNumId w:val="1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70"/>
    <w:rsid w:val="00043B42"/>
    <w:rsid w:val="00070181"/>
    <w:rsid w:val="00151AD2"/>
    <w:rsid w:val="001B4D94"/>
    <w:rsid w:val="001E0E87"/>
    <w:rsid w:val="002064AC"/>
    <w:rsid w:val="002230AC"/>
    <w:rsid w:val="00234F15"/>
    <w:rsid w:val="00241265"/>
    <w:rsid w:val="00241FE1"/>
    <w:rsid w:val="002500E8"/>
    <w:rsid w:val="002568C3"/>
    <w:rsid w:val="002700FB"/>
    <w:rsid w:val="00271D2C"/>
    <w:rsid w:val="0029491A"/>
    <w:rsid w:val="002962A7"/>
    <w:rsid w:val="00307C9D"/>
    <w:rsid w:val="00351B6A"/>
    <w:rsid w:val="003D3B3D"/>
    <w:rsid w:val="003F6F7C"/>
    <w:rsid w:val="00430399"/>
    <w:rsid w:val="0053434B"/>
    <w:rsid w:val="00550FB3"/>
    <w:rsid w:val="005B4673"/>
    <w:rsid w:val="005C46B2"/>
    <w:rsid w:val="00607C4C"/>
    <w:rsid w:val="006559E3"/>
    <w:rsid w:val="006579E8"/>
    <w:rsid w:val="00695B0E"/>
    <w:rsid w:val="006B1BB3"/>
    <w:rsid w:val="006E1CBF"/>
    <w:rsid w:val="006E255D"/>
    <w:rsid w:val="006F534A"/>
    <w:rsid w:val="00702D6F"/>
    <w:rsid w:val="00710731"/>
    <w:rsid w:val="00751870"/>
    <w:rsid w:val="00762094"/>
    <w:rsid w:val="007A7FD4"/>
    <w:rsid w:val="007F0203"/>
    <w:rsid w:val="007F5B9A"/>
    <w:rsid w:val="008034CF"/>
    <w:rsid w:val="00837832"/>
    <w:rsid w:val="0086498A"/>
    <w:rsid w:val="00866C12"/>
    <w:rsid w:val="00877DAB"/>
    <w:rsid w:val="00880B15"/>
    <w:rsid w:val="008B209E"/>
    <w:rsid w:val="008D41D2"/>
    <w:rsid w:val="008E775C"/>
    <w:rsid w:val="00900652"/>
    <w:rsid w:val="009B5900"/>
    <w:rsid w:val="009C3E79"/>
    <w:rsid w:val="00A87AA9"/>
    <w:rsid w:val="00B06643"/>
    <w:rsid w:val="00B8694F"/>
    <w:rsid w:val="00BB3F30"/>
    <w:rsid w:val="00BD33F1"/>
    <w:rsid w:val="00BE672E"/>
    <w:rsid w:val="00C1078E"/>
    <w:rsid w:val="00C61124"/>
    <w:rsid w:val="00C70236"/>
    <w:rsid w:val="00C83755"/>
    <w:rsid w:val="00CD42EF"/>
    <w:rsid w:val="00D04DDC"/>
    <w:rsid w:val="00D13078"/>
    <w:rsid w:val="00D45C88"/>
    <w:rsid w:val="00DC4575"/>
    <w:rsid w:val="00DF476F"/>
    <w:rsid w:val="00F24FAE"/>
    <w:rsid w:val="00FB4B50"/>
    <w:rsid w:val="00FC1B07"/>
    <w:rsid w:val="00FD0C4D"/>
    <w:rsid w:val="00FE7A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FFB907-46EF-40A5-8E8E-D06BD702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23">
    <w:name w:val="23"/>
    <w:basedOn w:val="TableNormal50"/>
    <w:tblPr>
      <w:tblStyleRowBandSize w:val="1"/>
      <w:tblStyleColBandSize w:val="1"/>
      <w:tblCellMar>
        <w:left w:w="115" w:type="dxa"/>
        <w:right w:w="115" w:type="dxa"/>
      </w:tblCellMar>
    </w:tblPr>
  </w:style>
  <w:style w:type="table" w:customStyle="1" w:styleId="22">
    <w:name w:val="22"/>
    <w:basedOn w:val="TableNormal50"/>
    <w:tblPr>
      <w:tblStyleRowBandSize w:val="1"/>
      <w:tblStyleColBandSize w:val="1"/>
      <w:tblCellMar>
        <w:left w:w="115" w:type="dxa"/>
        <w:right w:w="115" w:type="dxa"/>
      </w:tblCellMar>
    </w:tblPr>
  </w:style>
  <w:style w:type="table" w:customStyle="1" w:styleId="21">
    <w:name w:val="21"/>
    <w:basedOn w:val="TableNormal60"/>
    <w:tblPr>
      <w:tblStyleRowBandSize w:val="1"/>
      <w:tblStyleColBandSize w:val="1"/>
      <w:tblCellMar>
        <w:left w:w="115" w:type="dxa"/>
        <w:right w:w="115" w:type="dxa"/>
      </w:tblCellMar>
    </w:tblPr>
  </w:style>
  <w:style w:type="table" w:customStyle="1" w:styleId="20">
    <w:name w:val="20"/>
    <w:basedOn w:val="TableNormal60"/>
    <w:tblPr>
      <w:tblStyleRowBandSize w:val="1"/>
      <w:tblStyleColBandSize w:val="1"/>
      <w:tblCellMar>
        <w:left w:w="115" w:type="dxa"/>
        <w:right w:w="115" w:type="dxa"/>
      </w:tblCellMar>
    </w:tblPr>
  </w:style>
  <w:style w:type="table" w:customStyle="1" w:styleId="19">
    <w:name w:val="19"/>
    <w:basedOn w:val="TableNormal7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0"/>
    <w:tblPr>
      <w:tblStyleRowBandSize w:val="1"/>
      <w:tblStyleColBandSize w:val="1"/>
      <w:tblCellMar>
        <w:left w:w="115" w:type="dxa"/>
        <w:right w:w="115" w:type="dxa"/>
      </w:tblCellMar>
    </w:tblPr>
  </w:style>
  <w:style w:type="table" w:customStyle="1" w:styleId="17">
    <w:name w:val="17"/>
    <w:basedOn w:val="TableNormal70"/>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7"/>
    <w:tblPr>
      <w:tblStyleRowBandSize w:val="1"/>
      <w:tblStyleColBandSize w:val="1"/>
      <w:tblCellMar>
        <w:left w:w="108" w:type="dxa"/>
        <w:right w:w="108" w:type="dxa"/>
      </w:tblCellMar>
    </w:tblPr>
  </w:style>
  <w:style w:type="table" w:customStyle="1" w:styleId="a0">
    <w:basedOn w:val="TableNormal7"/>
    <w:tblPr>
      <w:tblStyleRowBandSize w:val="1"/>
      <w:tblStyleColBandSize w:val="1"/>
      <w:tblCellMar>
        <w:left w:w="108" w:type="dxa"/>
        <w:right w:w="108" w:type="dxa"/>
      </w:tblCellMar>
    </w:tblPr>
  </w:style>
  <w:style w:type="table" w:customStyle="1" w:styleId="a2">
    <w:basedOn w:val="TableNormal7"/>
    <w:tblPr>
      <w:tblStyleRowBandSize w:val="1"/>
      <w:tblStyleColBandSize w:val="1"/>
      <w:tblCellMar>
        <w:left w:w="108" w:type="dxa"/>
        <w:right w:w="108" w:type="dxa"/>
      </w:tblCellMar>
    </w:tblPr>
  </w:style>
  <w:style w:type="table" w:customStyle="1" w:styleId="a3">
    <w:basedOn w:val="TableNormal7"/>
    <w:tblPr>
      <w:tblStyleRowBandSize w:val="1"/>
      <w:tblStyleColBandSize w:val="1"/>
      <w:tblCellMar>
        <w:left w:w="108" w:type="dxa"/>
        <w:right w:w="108" w:type="dxa"/>
      </w:tblCellMar>
    </w:tblPr>
  </w:style>
  <w:style w:type="table" w:customStyle="1" w:styleId="a4">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4"/>
    <w:tblPr>
      <w:tblStyleRowBandSize w:val="1"/>
      <w:tblStyleColBandSize w:val="1"/>
      <w:tblCellMar>
        <w:left w:w="108" w:type="dxa"/>
        <w:right w:w="108" w:type="dxa"/>
      </w:tblCellMar>
    </w:tblPr>
  </w:style>
  <w:style w:type="table" w:customStyle="1" w:styleId="ac">
    <w:basedOn w:val="TableNormal4"/>
    <w:tblPr>
      <w:tblStyleRowBandSize w:val="1"/>
      <w:tblStyleColBandSize w:val="1"/>
      <w:tblCellMar>
        <w:left w:w="108" w:type="dxa"/>
        <w:right w:w="108" w:type="dxa"/>
      </w:tblCellMar>
    </w:tblPr>
  </w:style>
  <w:style w:type="table" w:customStyle="1" w:styleId="ad">
    <w:basedOn w:val="TableNormal4"/>
    <w:tblPr>
      <w:tblStyleRowBandSize w:val="1"/>
      <w:tblStyleColBandSize w:val="1"/>
      <w:tblCellMar>
        <w:top w:w="15" w:type="dxa"/>
        <w:left w:w="15" w:type="dxa"/>
        <w:bottom w:w="15" w:type="dxa"/>
        <w:right w:w="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3"/>
    <w:tblPr>
      <w:tblStyleRowBandSize w:val="1"/>
      <w:tblStyleColBandSize w:val="1"/>
      <w:tblCellMar>
        <w:top w:w="15" w:type="dxa"/>
        <w:left w:w="115" w:type="dxa"/>
        <w:bottom w:w="15" w:type="dxa"/>
        <w:right w:w="115" w:type="dxa"/>
      </w:tblCellMar>
    </w:tblPr>
  </w:style>
  <w:style w:type="table" w:customStyle="1" w:styleId="af3">
    <w:basedOn w:val="TableNormal3"/>
    <w:tblPr>
      <w:tblStyleRowBandSize w:val="1"/>
      <w:tblStyleColBandSize w:val="1"/>
      <w:tblCellMar>
        <w:top w:w="15" w:type="dxa"/>
        <w:left w:w="115" w:type="dxa"/>
        <w:bottom w:w="15" w:type="dxa"/>
        <w:right w:w="115" w:type="dxa"/>
      </w:tblCellMar>
    </w:tblPr>
  </w:style>
  <w:style w:type="table" w:customStyle="1" w:styleId="af4">
    <w:basedOn w:val="TableNormal2"/>
    <w:tblPr>
      <w:tblStyleRowBandSize w:val="1"/>
      <w:tblStyleColBandSize w:val="1"/>
      <w:tblCellMar>
        <w:top w:w="15" w:type="dxa"/>
        <w:left w:w="115" w:type="dxa"/>
        <w:bottom w:w="15" w:type="dxa"/>
        <w:right w:w="115" w:type="dxa"/>
      </w:tblCellMar>
    </w:tblPr>
  </w:style>
  <w:style w:type="table" w:customStyle="1" w:styleId="af5">
    <w:basedOn w:val="TableNormal2"/>
    <w:tblPr>
      <w:tblStyleRowBandSize w:val="1"/>
      <w:tblStyleColBandSize w:val="1"/>
      <w:tblCellMar>
        <w:top w:w="15" w:type="dxa"/>
        <w:left w:w="115" w:type="dxa"/>
        <w:bottom w:w="15" w:type="dxa"/>
        <w:right w:w="115" w:type="dxa"/>
      </w:tblCellMar>
    </w:tblPr>
  </w:style>
  <w:style w:type="table" w:customStyle="1" w:styleId="af6">
    <w:basedOn w:val="TableNormal2"/>
    <w:tblPr>
      <w:tblStyleRowBandSize w:val="1"/>
      <w:tblStyleColBandSize w:val="1"/>
      <w:tblCellMar>
        <w:top w:w="15" w:type="dxa"/>
        <w:left w:w="115" w:type="dxa"/>
        <w:bottom w:w="15" w:type="dxa"/>
        <w:right w:w="115" w:type="dxa"/>
      </w:tblCellMar>
    </w:tblPr>
  </w:style>
  <w:style w:type="table" w:customStyle="1" w:styleId="af7">
    <w:basedOn w:val="TableNormal2"/>
    <w:tblPr>
      <w:tblStyleRowBandSize w:val="1"/>
      <w:tblStyleColBandSize w:val="1"/>
      <w:tblCellMar>
        <w:top w:w="15" w:type="dxa"/>
        <w:left w:w="115" w:type="dxa"/>
        <w:bottom w:w="15" w:type="dxa"/>
        <w:right w:w="115" w:type="dxa"/>
      </w:tblCellMar>
    </w:tblPr>
  </w:style>
  <w:style w:type="character" w:customStyle="1" w:styleId="field">
    <w:name w:val="field"/>
    <w:basedOn w:val="Fuentedeprrafopredeter"/>
    <w:rsid w:val="001469A9"/>
  </w:style>
  <w:style w:type="paragraph" w:customStyle="1" w:styleId="rtejustify">
    <w:name w:val="rtejustify"/>
    <w:basedOn w:val="Normal"/>
    <w:rsid w:val="001469A9"/>
    <w:pPr>
      <w:spacing w:before="100" w:beforeAutospacing="1" w:after="100" w:afterAutospacing="1"/>
    </w:p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15" w:type="dxa"/>
        <w:bottom w:w="15" w:type="dxa"/>
        <w:right w:w="115" w:type="dxa"/>
      </w:tblCellMar>
    </w:tblPr>
  </w:style>
  <w:style w:type="table" w:customStyle="1" w:styleId="afa">
    <w:basedOn w:val="TableNormal1"/>
    <w:tblPr>
      <w:tblStyleRowBandSize w:val="1"/>
      <w:tblStyleColBandSize w:val="1"/>
      <w:tblCellMar>
        <w:top w:w="15" w:type="dxa"/>
        <w:left w:w="115" w:type="dxa"/>
        <w:bottom w:w="15" w:type="dxa"/>
        <w:right w:w="115" w:type="dxa"/>
      </w:tblCellMar>
    </w:tblPr>
  </w:style>
  <w:style w:type="table" w:customStyle="1" w:styleId="afb">
    <w:basedOn w:val="TableNormal0"/>
    <w:tblPr>
      <w:tblStyleRowBandSize w:val="1"/>
      <w:tblStyleColBandSize w:val="1"/>
      <w:tblCellMar>
        <w:top w:w="15" w:type="dxa"/>
        <w:left w:w="115" w:type="dxa"/>
        <w:bottom w:w="15" w:type="dxa"/>
        <w:right w:w="115" w:type="dxa"/>
      </w:tblCellMar>
    </w:tblPr>
  </w:style>
  <w:style w:type="table" w:customStyle="1" w:styleId="afc">
    <w:basedOn w:val="TableNormal0"/>
    <w:tblPr>
      <w:tblStyleRowBandSize w:val="1"/>
      <w:tblStyleColBandSize w:val="1"/>
      <w:tblCellMar>
        <w:top w:w="15" w:type="dxa"/>
        <w:left w:w="115" w:type="dxa"/>
        <w:bottom w:w="15" w:type="dxa"/>
        <w:right w:w="115" w:type="dxa"/>
      </w:tblCellMar>
    </w:tblPr>
  </w:style>
  <w:style w:type="table" w:customStyle="1" w:styleId="afd">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830525">
      <w:bodyDiv w:val="1"/>
      <w:marLeft w:val="0"/>
      <w:marRight w:val="0"/>
      <w:marTop w:val="0"/>
      <w:marBottom w:val="0"/>
      <w:divBdr>
        <w:top w:val="none" w:sz="0" w:space="0" w:color="auto"/>
        <w:left w:val="none" w:sz="0" w:space="0" w:color="auto"/>
        <w:bottom w:val="none" w:sz="0" w:space="0" w:color="auto"/>
        <w:right w:val="none" w:sz="0" w:space="0" w:color="auto"/>
      </w:divBdr>
    </w:div>
    <w:div w:id="473529945">
      <w:bodyDiv w:val="1"/>
      <w:marLeft w:val="0"/>
      <w:marRight w:val="0"/>
      <w:marTop w:val="0"/>
      <w:marBottom w:val="0"/>
      <w:divBdr>
        <w:top w:val="none" w:sz="0" w:space="0" w:color="auto"/>
        <w:left w:val="none" w:sz="0" w:space="0" w:color="auto"/>
        <w:bottom w:val="none" w:sz="0" w:space="0" w:color="auto"/>
        <w:right w:val="none" w:sz="0" w:space="0" w:color="auto"/>
      </w:divBdr>
    </w:div>
    <w:div w:id="746079415">
      <w:bodyDiv w:val="1"/>
      <w:marLeft w:val="0"/>
      <w:marRight w:val="0"/>
      <w:marTop w:val="0"/>
      <w:marBottom w:val="0"/>
      <w:divBdr>
        <w:top w:val="none" w:sz="0" w:space="0" w:color="auto"/>
        <w:left w:val="none" w:sz="0" w:space="0" w:color="auto"/>
        <w:bottom w:val="none" w:sz="0" w:space="0" w:color="auto"/>
        <w:right w:val="none" w:sz="0" w:space="0" w:color="auto"/>
      </w:divBdr>
    </w:div>
    <w:div w:id="970475202">
      <w:bodyDiv w:val="1"/>
      <w:marLeft w:val="0"/>
      <w:marRight w:val="0"/>
      <w:marTop w:val="0"/>
      <w:marBottom w:val="0"/>
      <w:divBdr>
        <w:top w:val="none" w:sz="0" w:space="0" w:color="auto"/>
        <w:left w:val="none" w:sz="0" w:space="0" w:color="auto"/>
        <w:bottom w:val="none" w:sz="0" w:space="0" w:color="auto"/>
        <w:right w:val="none" w:sz="0" w:space="0" w:color="auto"/>
      </w:divBdr>
    </w:div>
    <w:div w:id="1033766059">
      <w:bodyDiv w:val="1"/>
      <w:marLeft w:val="0"/>
      <w:marRight w:val="0"/>
      <w:marTop w:val="0"/>
      <w:marBottom w:val="0"/>
      <w:divBdr>
        <w:top w:val="none" w:sz="0" w:space="0" w:color="auto"/>
        <w:left w:val="none" w:sz="0" w:space="0" w:color="auto"/>
        <w:bottom w:val="none" w:sz="0" w:space="0" w:color="auto"/>
        <w:right w:val="none" w:sz="0" w:space="0" w:color="auto"/>
      </w:divBdr>
    </w:div>
    <w:div w:id="1063672464">
      <w:bodyDiv w:val="1"/>
      <w:marLeft w:val="0"/>
      <w:marRight w:val="0"/>
      <w:marTop w:val="0"/>
      <w:marBottom w:val="0"/>
      <w:divBdr>
        <w:top w:val="none" w:sz="0" w:space="0" w:color="auto"/>
        <w:left w:val="none" w:sz="0" w:space="0" w:color="auto"/>
        <w:bottom w:val="none" w:sz="0" w:space="0" w:color="auto"/>
        <w:right w:val="none" w:sz="0" w:space="0" w:color="auto"/>
      </w:divBdr>
    </w:div>
    <w:div w:id="1544363485">
      <w:bodyDiv w:val="1"/>
      <w:marLeft w:val="0"/>
      <w:marRight w:val="0"/>
      <w:marTop w:val="0"/>
      <w:marBottom w:val="0"/>
      <w:divBdr>
        <w:top w:val="none" w:sz="0" w:space="0" w:color="auto"/>
        <w:left w:val="none" w:sz="0" w:space="0" w:color="auto"/>
        <w:bottom w:val="none" w:sz="0" w:space="0" w:color="auto"/>
        <w:right w:val="none" w:sz="0" w:space="0" w:color="auto"/>
      </w:divBdr>
    </w:div>
    <w:div w:id="1849324227">
      <w:bodyDiv w:val="1"/>
      <w:marLeft w:val="0"/>
      <w:marRight w:val="0"/>
      <w:marTop w:val="0"/>
      <w:marBottom w:val="0"/>
      <w:divBdr>
        <w:top w:val="none" w:sz="0" w:space="0" w:color="auto"/>
        <w:left w:val="none" w:sz="0" w:space="0" w:color="auto"/>
        <w:bottom w:val="none" w:sz="0" w:space="0" w:color="auto"/>
        <w:right w:val="none" w:sz="0" w:space="0" w:color="auto"/>
      </w:divBdr>
    </w:div>
    <w:div w:id="1906984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828817.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uTQgn0yowPCy17AqYuep3n+7g==">CgMxLjAyCGgudHlqY3d0MghoLmdqZGd4czIJaC4yczhleW8xMgloLjMwajB6bGwyCWguNGQzNG9nODIJaC4xZm9iOXRlMgloLjJldDkycDA4AHIhMW5UZXZWaGhBNW5HNVVlTHctR2VhR0pNb1B4V2Vxck1z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10856</Words>
  <Characters>59714</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2023-12-01T16:49:00Z</cp:lastPrinted>
  <dcterms:created xsi:type="dcterms:W3CDTF">2023-11-28T00:34:00Z</dcterms:created>
  <dcterms:modified xsi:type="dcterms:W3CDTF">2023-12-01T16:49:00Z</dcterms:modified>
</cp:coreProperties>
</file>