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BFB" w:rsidRPr="007A72FB" w:rsidRDefault="002E770D">
      <w:pPr>
        <w:spacing w:before="240" w:after="240" w:line="360" w:lineRule="auto"/>
        <w:jc w:val="both"/>
        <w:rPr>
          <w:rFonts w:ascii="Palatino Linotype" w:eastAsia="Palatino Linotype" w:hAnsi="Palatino Linotype" w:cs="Palatino Linotype"/>
        </w:rPr>
      </w:pPr>
      <w:bookmarkStart w:id="0" w:name="_heading=h.tyjcwt" w:colFirst="0" w:colLast="0"/>
      <w:bookmarkStart w:id="1" w:name="_GoBack"/>
      <w:bookmarkEnd w:id="0"/>
      <w:bookmarkEnd w:id="1"/>
      <w:r w:rsidRPr="007A72F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veinticinco de octubre de dos mil veintitrés. </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VISTO</w:t>
      </w:r>
      <w:r w:rsidRPr="007A72FB">
        <w:rPr>
          <w:rFonts w:ascii="Palatino Linotype" w:eastAsia="Palatino Linotype" w:hAnsi="Palatino Linotype" w:cs="Palatino Linotype"/>
        </w:rPr>
        <w:t xml:space="preserve"> el expediente formado con motivo del recurso de revisión </w:t>
      </w:r>
      <w:r w:rsidRPr="007A72FB">
        <w:rPr>
          <w:rFonts w:ascii="Palatino Linotype" w:eastAsia="Palatino Linotype" w:hAnsi="Palatino Linotype" w:cs="Palatino Linotype"/>
          <w:b/>
        </w:rPr>
        <w:t>01029/INFOEM/IP/RR/2023</w:t>
      </w:r>
      <w:r w:rsidRPr="007A72FB">
        <w:rPr>
          <w:rFonts w:ascii="Palatino Linotype" w:eastAsia="Palatino Linotype" w:hAnsi="Palatino Linotype" w:cs="Palatino Linotype"/>
        </w:rPr>
        <w:t>, interpuesto por persona que no proporcionó nombre quien en lo sucesivo</w:t>
      </w:r>
      <w:r w:rsidRPr="007A72FB">
        <w:rPr>
          <w:rFonts w:ascii="Palatino Linotype" w:eastAsia="Palatino Linotype" w:hAnsi="Palatino Linotype" w:cs="Palatino Linotype"/>
          <w:b/>
        </w:rPr>
        <w:t xml:space="preserve"> </w:t>
      </w:r>
      <w:r w:rsidRPr="007A72FB">
        <w:rPr>
          <w:rFonts w:ascii="Palatino Linotype" w:eastAsia="Palatino Linotype" w:hAnsi="Palatino Linotype" w:cs="Palatino Linotype"/>
        </w:rPr>
        <w:t xml:space="preserve">será identificada como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en contra de la respuesta de la </w:t>
      </w:r>
      <w:r w:rsidRPr="007A72FB">
        <w:rPr>
          <w:rFonts w:ascii="Palatino Linotype" w:eastAsia="Palatino Linotype" w:hAnsi="Palatino Linotype" w:cs="Palatino Linotype"/>
          <w:b/>
        </w:rPr>
        <w:t xml:space="preserve">Secretaría de Movilidad, </w:t>
      </w:r>
      <w:r w:rsidRPr="007A72FB">
        <w:rPr>
          <w:rFonts w:ascii="Palatino Linotype" w:eastAsia="Palatino Linotype" w:hAnsi="Palatino Linotype" w:cs="Palatino Linotype"/>
        </w:rPr>
        <w:t xml:space="preserve">en lo sucesivo el </w:t>
      </w:r>
      <w:r w:rsidRPr="007A72FB">
        <w:rPr>
          <w:rFonts w:ascii="Palatino Linotype" w:eastAsia="Palatino Linotype" w:hAnsi="Palatino Linotype" w:cs="Palatino Linotype"/>
          <w:b/>
        </w:rPr>
        <w:t xml:space="preserve">Sujeto Obligado, </w:t>
      </w:r>
      <w:r w:rsidRPr="007A72FB">
        <w:rPr>
          <w:rFonts w:ascii="Palatino Linotype" w:eastAsia="Palatino Linotype" w:hAnsi="Palatino Linotype" w:cs="Palatino Linotype"/>
        </w:rPr>
        <w:t xml:space="preserve">se procede a dictar la presente resolución con base en los siguientes: </w:t>
      </w:r>
    </w:p>
    <w:p w:rsidR="00AC5BFB" w:rsidRPr="007A72FB" w:rsidRDefault="002E770D">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7A72FB">
        <w:rPr>
          <w:rFonts w:ascii="Palatino Linotype" w:eastAsia="Palatino Linotype" w:hAnsi="Palatino Linotype" w:cs="Palatino Linotype"/>
          <w:b/>
        </w:rPr>
        <w:t>I. A N T E C E D E N T E S</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1. Solicitud de acceso a la información.</w:t>
      </w:r>
      <w:r w:rsidRPr="007A72FB">
        <w:rPr>
          <w:rFonts w:ascii="Palatino Linotype" w:eastAsia="Palatino Linotype" w:hAnsi="Palatino Linotype" w:cs="Palatino Linotype"/>
        </w:rPr>
        <w:t xml:space="preserve"> El </w:t>
      </w:r>
      <w:r w:rsidRPr="007A72FB">
        <w:rPr>
          <w:rFonts w:ascii="Palatino Linotype" w:eastAsia="Palatino Linotype" w:hAnsi="Palatino Linotype" w:cs="Palatino Linotype"/>
          <w:b/>
        </w:rPr>
        <w:t>veintisiete de enero de dos mil veintitrés,</w:t>
      </w:r>
      <w:r w:rsidRPr="007A72FB">
        <w:rPr>
          <w:rFonts w:ascii="Palatino Linotype" w:eastAsia="Palatino Linotype" w:hAnsi="Palatino Linotype" w:cs="Palatino Linotype"/>
        </w:rPr>
        <w:t xml:space="preserve"> el </w:t>
      </w:r>
      <w:r w:rsidRPr="007A72FB">
        <w:rPr>
          <w:rFonts w:ascii="Palatino Linotype" w:eastAsia="Palatino Linotype" w:hAnsi="Palatino Linotype" w:cs="Palatino Linotype"/>
          <w:b/>
        </w:rPr>
        <w:t xml:space="preserve">RECURRENTE </w:t>
      </w:r>
      <w:r w:rsidRPr="007A72FB">
        <w:rPr>
          <w:rFonts w:ascii="Palatino Linotype" w:eastAsia="Palatino Linotype" w:hAnsi="Palatino Linotype" w:cs="Palatino Linotype"/>
        </w:rPr>
        <w:t>presentó a través del Sistema de Acceso a la Información Mexiquense (</w:t>
      </w:r>
      <w:r w:rsidRPr="007A72FB">
        <w:rPr>
          <w:rFonts w:ascii="Palatino Linotype" w:eastAsia="Palatino Linotype" w:hAnsi="Palatino Linotype" w:cs="Palatino Linotype"/>
          <w:b/>
        </w:rPr>
        <w:t>SAIMEX),</w:t>
      </w:r>
      <w:r w:rsidRPr="007A72FB">
        <w:rPr>
          <w:rFonts w:ascii="Palatino Linotype" w:eastAsia="Palatino Linotype" w:hAnsi="Palatino Linotype" w:cs="Palatino Linotype"/>
        </w:rPr>
        <w:t xml:space="preserve"> la solicitud de acceso a la información pública registrada con el número </w:t>
      </w:r>
      <w:r w:rsidRPr="007A72FB">
        <w:rPr>
          <w:rFonts w:ascii="Palatino Linotype" w:eastAsia="Palatino Linotype" w:hAnsi="Palatino Linotype" w:cs="Palatino Linotype"/>
          <w:b/>
        </w:rPr>
        <w:t xml:space="preserve">00045/SMOV/IP/2023, </w:t>
      </w:r>
      <w:r w:rsidRPr="007A72FB">
        <w:rPr>
          <w:rFonts w:ascii="Palatino Linotype" w:eastAsia="Palatino Linotype" w:hAnsi="Palatino Linotype" w:cs="Palatino Linotype"/>
        </w:rPr>
        <w:t xml:space="preserve">mediante la cual requirió la información siguiente: </w:t>
      </w:r>
    </w:p>
    <w:p w:rsidR="00AC5BFB" w:rsidRPr="007A72FB" w:rsidRDefault="002E770D">
      <w:pPr>
        <w:spacing w:before="240" w:after="240"/>
        <w:ind w:left="851" w:right="616"/>
        <w:jc w:val="both"/>
        <w:rPr>
          <w:rFonts w:ascii="Palatino Linotype" w:eastAsia="Palatino Linotype" w:hAnsi="Palatino Linotype" w:cs="Palatino Linotype"/>
          <w:i/>
          <w:sz w:val="22"/>
          <w:szCs w:val="22"/>
        </w:rPr>
      </w:pPr>
      <w:bookmarkStart w:id="3" w:name="_heading=h.gjdgxs" w:colFirst="0" w:colLast="0"/>
      <w:bookmarkEnd w:id="3"/>
      <w:r w:rsidRPr="007A72FB">
        <w:rPr>
          <w:rFonts w:ascii="Palatino Linotype" w:eastAsia="Palatino Linotype" w:hAnsi="Palatino Linotype" w:cs="Palatino Linotype"/>
          <w:i/>
          <w:sz w:val="22"/>
          <w:szCs w:val="22"/>
        </w:rPr>
        <w:t>“SE SOLICITA LA NORMATIVIDAD DE GRÚAS EN EL ESTADO DE MÉXICO, LAS TARIFAS QUE DEBEN COBRAR LOS CORRALONES Y LOS CORRALONES AUTORIZADOS CON SU PERMISO Y AUTORIZACIONES PARA TRABAJAR Y LAS CONCESIONES DE SUS GRÚAS, CUANTAS QUEJAS SE TIENEN POR LOS COBROS ABUSIVOS DE LAS GRÚAS EN EL ESTADO</w:t>
      </w:r>
      <w:proofErr w:type="gramStart"/>
      <w:r w:rsidRPr="007A72FB">
        <w:rPr>
          <w:rFonts w:ascii="Palatino Linotype" w:eastAsia="Palatino Linotype" w:hAnsi="Palatino Linotype" w:cs="Palatino Linotype"/>
          <w:i/>
          <w:sz w:val="22"/>
          <w:szCs w:val="22"/>
        </w:rPr>
        <w:t>..”</w:t>
      </w:r>
      <w:proofErr w:type="gramEnd"/>
      <w:r w:rsidRPr="007A72FB">
        <w:rPr>
          <w:rFonts w:ascii="Palatino Linotype" w:eastAsia="Palatino Linotype" w:hAnsi="Palatino Linotype" w:cs="Palatino Linotype"/>
          <w:i/>
          <w:sz w:val="22"/>
          <w:szCs w:val="22"/>
        </w:rPr>
        <w:t>(Sic)</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Modalidad de Entrega:</w:t>
      </w:r>
      <w:r w:rsidRPr="007A72FB">
        <w:rPr>
          <w:rFonts w:ascii="Palatino Linotype" w:eastAsia="Palatino Linotype" w:hAnsi="Palatino Linotype" w:cs="Palatino Linotype"/>
        </w:rPr>
        <w:t xml:space="preserve"> A través del Sistema de Acceso a la Información Mexiquense (SAIMEX).</w:t>
      </w:r>
    </w:p>
    <w:p w:rsidR="00AC5BFB" w:rsidRPr="007A72FB" w:rsidRDefault="00AC5BFB">
      <w:pPr>
        <w:spacing w:before="240" w:after="240" w:line="360" w:lineRule="auto"/>
        <w:jc w:val="both"/>
        <w:rPr>
          <w:rFonts w:ascii="Palatino Linotype" w:eastAsia="Palatino Linotype" w:hAnsi="Palatino Linotype" w:cs="Palatino Linotype"/>
        </w:rPr>
      </w:pPr>
    </w:p>
    <w:p w:rsidR="00AC5BFB" w:rsidRPr="007A72FB" w:rsidRDefault="002E770D">
      <w:pPr>
        <w:spacing w:before="240" w:after="240"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b/>
        </w:rPr>
        <w:lastRenderedPageBreak/>
        <w:t xml:space="preserve">2.  Respuesta. </w:t>
      </w:r>
      <w:r w:rsidRPr="007A72FB">
        <w:rPr>
          <w:rFonts w:ascii="Palatino Linotype" w:eastAsia="Palatino Linotype" w:hAnsi="Palatino Linotype" w:cs="Palatino Linotype"/>
        </w:rPr>
        <w:t xml:space="preserve">El SUJETO OBLIGADO  en fecha veinte de febrero de la presente anualidad remitió  su respuesta en el siguiente sentido. </w:t>
      </w:r>
    </w:p>
    <w:p w:rsidR="00AC5BFB" w:rsidRPr="007A72FB" w:rsidRDefault="002E770D">
      <w:pPr>
        <w:spacing w:before="240" w:after="240"/>
        <w:ind w:left="720" w:right="49"/>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rPr>
        <w:t>“</w:t>
      </w:r>
      <w:r w:rsidRPr="007A72F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C5BFB" w:rsidRPr="007A72FB" w:rsidRDefault="002E770D">
      <w:pPr>
        <w:spacing w:before="240" w:after="240"/>
        <w:ind w:left="720" w:right="49"/>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Se anexa respuesta.”</w:t>
      </w:r>
    </w:p>
    <w:p w:rsidR="00AC5BFB" w:rsidRPr="007A72FB" w:rsidRDefault="002E770D">
      <w:pPr>
        <w:spacing w:before="240" w:after="240"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Anexos. </w:t>
      </w:r>
    </w:p>
    <w:p w:rsidR="00AC5BFB" w:rsidRPr="007A72FB" w:rsidRDefault="002E770D">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b/>
          <w:i/>
        </w:rPr>
        <w:t xml:space="preserve">NORMA TÉCNICA Y TARIFAS.pdf </w:t>
      </w:r>
      <w:r w:rsidRPr="007A72FB">
        <w:rPr>
          <w:rFonts w:ascii="Palatino Linotype" w:eastAsia="Palatino Linotype" w:hAnsi="Palatino Linotype" w:cs="Palatino Linotype"/>
        </w:rPr>
        <w:t>se adjunta la Gaceta del Gobierno del Estado de México de fecha 03 de agosto de 2022 en el que se incluye el ACUERDO POR EL QUE SE ACTUALIZAN Y SE FIJAN LAS TARIFAS MÁXIMAS DEL SERVICIO DE VEHÍCULOS ADAPTADOS PARA PRESTAR LOS SERVICIOS AUXILIARES DE ARRASTRE, SALVAMENTO, GUARDA, CUSTODIA Y DEPÓSITO DE VEHÍCULOS EN EL ESTADO DE MÉXICO;</w:t>
      </w:r>
    </w:p>
    <w:p w:rsidR="00AC5BFB" w:rsidRPr="007A72FB" w:rsidRDefault="00AC5BFB">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rsidR="00AC5BFB" w:rsidRPr="007A72FB" w:rsidRDefault="002E770D">
      <w:pPr>
        <w:numPr>
          <w:ilvl w:val="0"/>
          <w:numId w:val="3"/>
        </w:numPr>
        <w:pBdr>
          <w:top w:val="nil"/>
          <w:left w:val="nil"/>
          <w:bottom w:val="nil"/>
          <w:right w:val="nil"/>
          <w:between w:val="nil"/>
        </w:pBdr>
        <w:spacing w:after="240"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b/>
          <w:i/>
        </w:rPr>
        <w:t>TARIFAS MÁXIMAS GRÚAS 03-08-22.pdf</w:t>
      </w:r>
      <w:r w:rsidRPr="007A72FB">
        <w:rPr>
          <w:rFonts w:ascii="Palatino Linotype" w:eastAsia="Palatino Linotype" w:hAnsi="Palatino Linotype" w:cs="Palatino Linotype"/>
        </w:rPr>
        <w:t xml:space="preserve">   se incluye la Gaceta del Gobierno del Estado de México de fecha 03 de agosto de 2022 en el que se incluye el ACUERDO POR EL QUE SE ACTUALIZAN Y SE FIJAN LAS TARIFAS MÁXIMAS DEL SERVICIO DE VEHÍCULOS ADAPTADOS PARA PRESTAR LOS SERVICIOS AUXILIARES DE ARRASTRE, SALVAMENTO, GUARDA, CUSTODIA Y DEPÓSITO DE VEHÍCULOS EN EL ESTADO DE MÉXICO;</w:t>
      </w:r>
    </w:p>
    <w:p w:rsidR="00AC5BFB" w:rsidRPr="007A72FB" w:rsidRDefault="00AC5BFB">
      <w:pPr>
        <w:spacing w:before="240" w:after="240" w:line="360" w:lineRule="auto"/>
        <w:ind w:right="49"/>
        <w:jc w:val="both"/>
        <w:rPr>
          <w:rFonts w:ascii="Palatino Linotype" w:eastAsia="Palatino Linotype" w:hAnsi="Palatino Linotype" w:cs="Palatino Linotype"/>
        </w:rPr>
      </w:pPr>
    </w:p>
    <w:p w:rsidR="00AC5BFB" w:rsidRPr="007A72FB" w:rsidRDefault="002E770D">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b/>
          <w:i/>
        </w:rPr>
        <w:lastRenderedPageBreak/>
        <w:t xml:space="preserve">Respuesta Solicitud 00045.pdf </w:t>
      </w:r>
      <w:r w:rsidRPr="007A72FB">
        <w:rPr>
          <w:rFonts w:ascii="Palatino Linotype" w:eastAsia="Palatino Linotype" w:hAnsi="Palatino Linotype" w:cs="Palatino Linotype"/>
        </w:rPr>
        <w:t>documental en archivo electrónico suscrita por el Titular de la Unidad de Transparencia, por vial del cual señala:</w:t>
      </w:r>
    </w:p>
    <w:p w:rsidR="00AC5BFB" w:rsidRPr="007A72FB" w:rsidRDefault="00AC5BFB">
      <w:pPr>
        <w:pBdr>
          <w:top w:val="nil"/>
          <w:left w:val="nil"/>
          <w:bottom w:val="nil"/>
          <w:right w:val="nil"/>
          <w:between w:val="nil"/>
        </w:pBdr>
        <w:spacing w:after="240" w:line="360" w:lineRule="auto"/>
        <w:ind w:left="720" w:right="49"/>
        <w:jc w:val="both"/>
        <w:rPr>
          <w:rFonts w:ascii="Palatino Linotype" w:eastAsia="Palatino Linotype" w:hAnsi="Palatino Linotype" w:cs="Palatino Linotype"/>
        </w:rPr>
      </w:pPr>
    </w:p>
    <w:p w:rsidR="00AC5BFB" w:rsidRPr="007A72FB" w:rsidRDefault="002E770D">
      <w:pPr>
        <w:spacing w:before="240" w:after="240"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noProof/>
          <w:lang w:val="es-MX"/>
        </w:rPr>
        <w:drawing>
          <wp:inline distT="0" distB="0" distL="0" distR="0">
            <wp:extent cx="5229225" cy="6191250"/>
            <wp:effectExtent l="0" t="0" r="0" b="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229225" cy="6191250"/>
                    </a:xfrm>
                    <a:prstGeom prst="rect">
                      <a:avLst/>
                    </a:prstGeom>
                    <a:ln/>
                  </pic:spPr>
                </pic:pic>
              </a:graphicData>
            </a:graphic>
          </wp:inline>
        </w:drawing>
      </w:r>
    </w:p>
    <w:p w:rsidR="00AC5BFB" w:rsidRPr="007A72FB" w:rsidRDefault="00AC5BFB">
      <w:pPr>
        <w:spacing w:before="240" w:after="240" w:line="360" w:lineRule="auto"/>
        <w:ind w:right="49"/>
        <w:jc w:val="center"/>
        <w:rPr>
          <w:rFonts w:ascii="Palatino Linotype" w:eastAsia="Palatino Linotype" w:hAnsi="Palatino Linotype" w:cs="Palatino Linotype"/>
        </w:rPr>
      </w:pPr>
    </w:p>
    <w:p w:rsidR="00AC5BFB" w:rsidRPr="007A72FB" w:rsidRDefault="002E770D">
      <w:pPr>
        <w:spacing w:before="240" w:after="240" w:line="360" w:lineRule="auto"/>
        <w:ind w:right="49"/>
        <w:jc w:val="both"/>
        <w:rPr>
          <w:rFonts w:ascii="Palatino Linotype" w:eastAsia="Palatino Linotype" w:hAnsi="Palatino Linotype" w:cs="Palatino Linotype"/>
          <w:b/>
        </w:rPr>
      </w:pPr>
      <w:r w:rsidRPr="007A72FB">
        <w:rPr>
          <w:rFonts w:ascii="Palatino Linotype" w:eastAsia="Palatino Linotype" w:hAnsi="Palatino Linotype" w:cs="Palatino Linotype"/>
          <w:b/>
          <w:noProof/>
          <w:lang w:val="es-MX"/>
        </w:rPr>
        <w:drawing>
          <wp:inline distT="0" distB="0" distL="0" distR="0">
            <wp:extent cx="5343525" cy="7010400"/>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43525" cy="7010400"/>
                    </a:xfrm>
                    <a:prstGeom prst="rect">
                      <a:avLst/>
                    </a:prstGeom>
                    <a:ln/>
                  </pic:spPr>
                </pic:pic>
              </a:graphicData>
            </a:graphic>
          </wp:inline>
        </w:drawing>
      </w:r>
    </w:p>
    <w:p w:rsidR="00AC5BFB" w:rsidRPr="007A72FB" w:rsidRDefault="002E770D">
      <w:pPr>
        <w:spacing w:before="240" w:after="240" w:line="360" w:lineRule="auto"/>
        <w:ind w:right="49"/>
        <w:jc w:val="both"/>
        <w:rPr>
          <w:rFonts w:ascii="Palatino Linotype" w:eastAsia="Palatino Linotype" w:hAnsi="Palatino Linotype" w:cs="Palatino Linotype"/>
          <w:b/>
        </w:rPr>
      </w:pPr>
      <w:r w:rsidRPr="007A72FB">
        <w:rPr>
          <w:rFonts w:ascii="Palatino Linotype" w:eastAsia="Palatino Linotype" w:hAnsi="Palatino Linotype" w:cs="Palatino Linotype"/>
          <w:b/>
          <w:noProof/>
          <w:lang w:val="es-MX"/>
        </w:rPr>
        <w:lastRenderedPageBreak/>
        <w:drawing>
          <wp:inline distT="0" distB="0" distL="0" distR="0">
            <wp:extent cx="5267325" cy="7200900"/>
            <wp:effectExtent l="0" t="0" r="0" b="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267325" cy="7200900"/>
                    </a:xfrm>
                    <a:prstGeom prst="rect">
                      <a:avLst/>
                    </a:prstGeom>
                    <a:ln/>
                  </pic:spPr>
                </pic:pic>
              </a:graphicData>
            </a:graphic>
          </wp:inline>
        </w:drawing>
      </w:r>
    </w:p>
    <w:p w:rsidR="00AC5BFB" w:rsidRPr="007A72FB" w:rsidRDefault="002E770D">
      <w:pPr>
        <w:spacing w:before="240" w:after="240" w:line="360" w:lineRule="auto"/>
        <w:ind w:right="49"/>
        <w:jc w:val="both"/>
        <w:rPr>
          <w:rFonts w:ascii="Palatino Linotype" w:eastAsia="Palatino Linotype" w:hAnsi="Palatino Linotype" w:cs="Palatino Linotype"/>
          <w:b/>
        </w:rPr>
      </w:pPr>
      <w:r w:rsidRPr="007A72FB">
        <w:rPr>
          <w:rFonts w:ascii="Palatino Linotype" w:eastAsia="Palatino Linotype" w:hAnsi="Palatino Linotype" w:cs="Palatino Linotype"/>
          <w:b/>
          <w:noProof/>
          <w:lang w:val="es-MX"/>
        </w:rPr>
        <w:lastRenderedPageBreak/>
        <w:drawing>
          <wp:inline distT="0" distB="0" distL="0" distR="0">
            <wp:extent cx="5114925" cy="7219950"/>
            <wp:effectExtent l="0" t="0" r="0" b="0"/>
            <wp:docPr id="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114925" cy="7219950"/>
                    </a:xfrm>
                    <a:prstGeom prst="rect">
                      <a:avLst/>
                    </a:prstGeom>
                    <a:ln/>
                  </pic:spPr>
                </pic:pic>
              </a:graphicData>
            </a:graphic>
          </wp:inline>
        </w:drawing>
      </w:r>
    </w:p>
    <w:p w:rsidR="00AC5BFB" w:rsidRPr="007A72FB" w:rsidRDefault="00AC5BFB">
      <w:pPr>
        <w:spacing w:before="240" w:after="240" w:line="360" w:lineRule="auto"/>
        <w:ind w:right="49"/>
        <w:jc w:val="both"/>
        <w:rPr>
          <w:rFonts w:ascii="Palatino Linotype" w:eastAsia="Palatino Linotype" w:hAnsi="Palatino Linotype" w:cs="Palatino Linotype"/>
          <w:b/>
        </w:rPr>
      </w:pPr>
    </w:p>
    <w:p w:rsidR="00AC5BFB" w:rsidRPr="007A72FB" w:rsidRDefault="002E770D">
      <w:pPr>
        <w:spacing w:before="240" w:after="240" w:line="360" w:lineRule="auto"/>
        <w:ind w:right="49"/>
        <w:jc w:val="both"/>
        <w:rPr>
          <w:rFonts w:ascii="Palatino Linotype" w:eastAsia="Palatino Linotype" w:hAnsi="Palatino Linotype" w:cs="Palatino Linotype"/>
          <w:b/>
        </w:rPr>
      </w:pPr>
      <w:r w:rsidRPr="007A72FB">
        <w:rPr>
          <w:rFonts w:ascii="Palatino Linotype" w:eastAsia="Palatino Linotype" w:hAnsi="Palatino Linotype" w:cs="Palatino Linotype"/>
          <w:b/>
          <w:noProof/>
          <w:lang w:val="es-MX"/>
        </w:rPr>
        <w:drawing>
          <wp:inline distT="0" distB="0" distL="0" distR="0">
            <wp:extent cx="5086350" cy="7019925"/>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86350" cy="7019925"/>
                    </a:xfrm>
                    <a:prstGeom prst="rect">
                      <a:avLst/>
                    </a:prstGeom>
                    <a:ln/>
                  </pic:spPr>
                </pic:pic>
              </a:graphicData>
            </a:graphic>
          </wp:inline>
        </w:drawing>
      </w:r>
    </w:p>
    <w:p w:rsidR="00AC5BFB" w:rsidRPr="007A72FB" w:rsidRDefault="002E770D">
      <w:pPr>
        <w:spacing w:before="240" w:after="240" w:line="360" w:lineRule="auto"/>
        <w:ind w:right="49"/>
        <w:jc w:val="both"/>
        <w:rPr>
          <w:rFonts w:ascii="Palatino Linotype" w:eastAsia="Palatino Linotype" w:hAnsi="Palatino Linotype" w:cs="Palatino Linotype"/>
          <w:b/>
          <w:i/>
        </w:rPr>
      </w:pPr>
      <w:r w:rsidRPr="007A72FB">
        <w:rPr>
          <w:rFonts w:ascii="Palatino Linotype" w:eastAsia="Palatino Linotype" w:hAnsi="Palatino Linotype" w:cs="Palatino Linotype"/>
          <w:b/>
        </w:rPr>
        <w:lastRenderedPageBreak/>
        <w:t xml:space="preserve">3. Interposición del recurso de revisión.  </w:t>
      </w:r>
      <w:r w:rsidRPr="007A72FB">
        <w:rPr>
          <w:rFonts w:ascii="Palatino Linotype" w:eastAsia="Palatino Linotype" w:hAnsi="Palatino Linotype" w:cs="Palatino Linotype"/>
        </w:rPr>
        <w:t xml:space="preserve">El </w:t>
      </w:r>
      <w:r w:rsidRPr="007A72FB">
        <w:rPr>
          <w:rFonts w:ascii="Palatino Linotype" w:eastAsia="Palatino Linotype" w:hAnsi="Palatino Linotype" w:cs="Palatino Linotype"/>
          <w:b/>
        </w:rPr>
        <w:t xml:space="preserve">veintidós de febrero de dos mil veintitrés </w:t>
      </w:r>
      <w:r w:rsidRPr="007A72FB">
        <w:rPr>
          <w:rFonts w:ascii="Palatino Linotype" w:eastAsia="Palatino Linotype" w:hAnsi="Palatino Linotype" w:cs="Palatino Linotype"/>
        </w:rPr>
        <w:t xml:space="preserve">el </w:t>
      </w:r>
      <w:r w:rsidRPr="007A72FB">
        <w:rPr>
          <w:rFonts w:ascii="Palatino Linotype" w:eastAsia="Palatino Linotype" w:hAnsi="Palatino Linotype" w:cs="Palatino Linotype"/>
          <w:b/>
        </w:rPr>
        <w:t xml:space="preserve">RECURRENTE </w:t>
      </w:r>
      <w:r w:rsidRPr="007A72FB">
        <w:rPr>
          <w:rFonts w:ascii="Palatino Linotype" w:eastAsia="Palatino Linotype" w:hAnsi="Palatino Linotype" w:cs="Palatino Linotype"/>
        </w:rPr>
        <w:t>inconforme con la respuesta, interpuso el recurso de revisión en el que expresó lo siguiente:</w:t>
      </w:r>
    </w:p>
    <w:p w:rsidR="00AC5BFB" w:rsidRPr="007A72FB" w:rsidRDefault="002E770D">
      <w:pPr>
        <w:spacing w:before="240" w:after="240" w:line="360" w:lineRule="auto"/>
        <w:ind w:right="49"/>
        <w:jc w:val="both"/>
        <w:rPr>
          <w:rFonts w:ascii="Palatino Linotype" w:eastAsia="Palatino Linotype" w:hAnsi="Palatino Linotype" w:cs="Palatino Linotype"/>
          <w:i/>
          <w:sz w:val="2"/>
          <w:szCs w:val="2"/>
        </w:rPr>
      </w:pPr>
      <w:r w:rsidRPr="007A72FB">
        <w:rPr>
          <w:rFonts w:ascii="Palatino Linotype" w:eastAsia="Palatino Linotype" w:hAnsi="Palatino Linotype" w:cs="Palatino Linotype"/>
          <w:b/>
        </w:rPr>
        <w:t xml:space="preserve">Acto impugnado: </w:t>
      </w:r>
    </w:p>
    <w:p w:rsidR="00AC5BFB" w:rsidRPr="007A72FB" w:rsidRDefault="002E770D">
      <w:pPr>
        <w:spacing w:before="240" w:after="240" w:line="276" w:lineRule="auto"/>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xml:space="preserve">“Entrega el mismo </w:t>
      </w:r>
      <w:proofErr w:type="spellStart"/>
      <w:r w:rsidRPr="007A72FB">
        <w:rPr>
          <w:rFonts w:ascii="Palatino Linotype" w:eastAsia="Palatino Linotype" w:hAnsi="Palatino Linotype" w:cs="Palatino Linotype"/>
          <w:i/>
          <w:sz w:val="22"/>
          <w:szCs w:val="22"/>
        </w:rPr>
        <w:t>docuemnto</w:t>
      </w:r>
      <w:proofErr w:type="spellEnd"/>
      <w:r w:rsidRPr="007A72FB">
        <w:rPr>
          <w:rFonts w:ascii="Palatino Linotype" w:eastAsia="Palatino Linotype" w:hAnsi="Palatino Linotype" w:cs="Palatino Linotype"/>
          <w:i/>
          <w:sz w:val="22"/>
          <w:szCs w:val="22"/>
        </w:rPr>
        <w:t>, dicen entregar la Norma Técnica y no se entrega “(Sic)</w:t>
      </w:r>
    </w:p>
    <w:p w:rsidR="00AC5BFB" w:rsidRPr="007A72FB" w:rsidRDefault="002E770D">
      <w:pPr>
        <w:spacing w:before="240" w:after="240" w:line="360" w:lineRule="auto"/>
        <w:ind w:right="616"/>
        <w:jc w:val="both"/>
        <w:rPr>
          <w:rFonts w:ascii="Palatino Linotype" w:eastAsia="Palatino Linotype" w:hAnsi="Palatino Linotype" w:cs="Palatino Linotype"/>
          <w:b/>
          <w:sz w:val="22"/>
          <w:szCs w:val="22"/>
        </w:rPr>
      </w:pPr>
      <w:r w:rsidRPr="007A72FB">
        <w:rPr>
          <w:rFonts w:ascii="Palatino Linotype" w:eastAsia="Palatino Linotype" w:hAnsi="Palatino Linotype" w:cs="Palatino Linotype"/>
          <w:b/>
        </w:rPr>
        <w:t>Razones o motivos de inconformidad</w:t>
      </w:r>
      <w:r w:rsidRPr="007A72FB">
        <w:rPr>
          <w:rFonts w:ascii="Palatino Linotype" w:eastAsia="Palatino Linotype" w:hAnsi="Palatino Linotype" w:cs="Palatino Linotype"/>
          <w:b/>
          <w:sz w:val="22"/>
          <w:szCs w:val="22"/>
        </w:rPr>
        <w:t xml:space="preserve">: </w:t>
      </w:r>
    </w:p>
    <w:p w:rsidR="00AC5BFB" w:rsidRPr="007A72FB" w:rsidRDefault="002E770D">
      <w:pPr>
        <w:spacing w:before="240" w:after="240" w:line="276" w:lineRule="auto"/>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“Información incompleta” (Sic)</w:t>
      </w:r>
    </w:p>
    <w:p w:rsidR="00AC5BFB" w:rsidRPr="007A72FB" w:rsidRDefault="00AC5BFB">
      <w:pPr>
        <w:spacing w:before="240" w:after="240" w:line="360" w:lineRule="auto"/>
        <w:jc w:val="both"/>
        <w:rPr>
          <w:rFonts w:ascii="Palatino Linotype" w:eastAsia="Palatino Linotype" w:hAnsi="Palatino Linotype" w:cs="Palatino Linotype"/>
          <w:sz w:val="2"/>
          <w:szCs w:val="2"/>
        </w:rPr>
      </w:pP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4. Turno.</w:t>
      </w:r>
      <w:r w:rsidRPr="007A72FB">
        <w:rPr>
          <w:rFonts w:ascii="Palatino Linotype" w:eastAsia="Palatino Linotype" w:hAnsi="Palatino Linotype" w:cs="Palatino Linotype"/>
          <w:b/>
          <w:sz w:val="28"/>
          <w:szCs w:val="28"/>
        </w:rPr>
        <w:t xml:space="preserve"> </w:t>
      </w:r>
      <w:r w:rsidRPr="007A72F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A72FB">
        <w:rPr>
          <w:rFonts w:ascii="Palatino Linotype" w:eastAsia="Palatino Linotype" w:hAnsi="Palatino Linotype" w:cs="Palatino Linotype"/>
          <w:b/>
        </w:rPr>
        <w:t xml:space="preserve">Guadalupe Ramírez Peña, </w:t>
      </w:r>
      <w:r w:rsidRPr="007A72FB">
        <w:rPr>
          <w:rFonts w:ascii="Palatino Linotype" w:eastAsia="Palatino Linotype" w:hAnsi="Palatino Linotype" w:cs="Palatino Linotype"/>
        </w:rPr>
        <w:t xml:space="preserve">a efecto de que analizara sobre su admisión o su </w:t>
      </w:r>
      <w:proofErr w:type="spellStart"/>
      <w:r w:rsidRPr="007A72FB">
        <w:rPr>
          <w:rFonts w:ascii="Palatino Linotype" w:eastAsia="Palatino Linotype" w:hAnsi="Palatino Linotype" w:cs="Palatino Linotype"/>
        </w:rPr>
        <w:t>desechamiento</w:t>
      </w:r>
      <w:proofErr w:type="spellEnd"/>
      <w:r w:rsidRPr="007A72FB">
        <w:rPr>
          <w:rFonts w:ascii="Palatino Linotype" w:eastAsia="Palatino Linotype" w:hAnsi="Palatino Linotype" w:cs="Palatino Linotype"/>
        </w:rPr>
        <w:t>.</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5.</w:t>
      </w:r>
      <w:r w:rsidRPr="007A72FB">
        <w:rPr>
          <w:rFonts w:ascii="Palatino Linotype" w:eastAsia="Palatino Linotype" w:hAnsi="Palatino Linotype" w:cs="Palatino Linotype"/>
          <w:b/>
          <w:i/>
        </w:rPr>
        <w:t xml:space="preserve"> </w:t>
      </w:r>
      <w:r w:rsidRPr="007A72FB">
        <w:rPr>
          <w:rFonts w:ascii="Palatino Linotype" w:eastAsia="Palatino Linotype" w:hAnsi="Palatino Linotype" w:cs="Palatino Linotype"/>
          <w:b/>
        </w:rPr>
        <w:t>Admisión del Recurso de revisión.</w:t>
      </w:r>
      <w:r w:rsidRPr="007A72FB">
        <w:rPr>
          <w:rFonts w:ascii="Palatino Linotype" w:eastAsia="Palatino Linotype" w:hAnsi="Palatino Linotype" w:cs="Palatino Linotype"/>
          <w:sz w:val="28"/>
          <w:szCs w:val="28"/>
        </w:rPr>
        <w:t xml:space="preserve"> El</w:t>
      </w:r>
      <w:r w:rsidRPr="007A72FB">
        <w:rPr>
          <w:rFonts w:ascii="Palatino Linotype" w:eastAsia="Palatino Linotype" w:hAnsi="Palatino Linotype" w:cs="Palatino Linotype"/>
          <w:b/>
        </w:rPr>
        <w:t xml:space="preserve"> veintisiete de febrero de dos mil veintitrés, </w:t>
      </w:r>
      <w:r w:rsidRPr="007A72F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presentara su informe justificado.</w:t>
      </w:r>
    </w:p>
    <w:p w:rsidR="00AC5BFB" w:rsidRPr="007A72FB" w:rsidRDefault="002E770D">
      <w:pPr>
        <w:widowControl w:val="0"/>
        <w:spacing w:before="240" w:after="240" w:line="360" w:lineRule="auto"/>
        <w:jc w:val="both"/>
        <w:rPr>
          <w:rFonts w:ascii="Palatino Linotype" w:eastAsia="Palatino Linotype" w:hAnsi="Palatino Linotype" w:cs="Palatino Linotype"/>
          <w:i/>
        </w:rPr>
      </w:pPr>
      <w:r w:rsidRPr="007A72FB">
        <w:rPr>
          <w:rFonts w:ascii="Palatino Linotype" w:eastAsia="Palatino Linotype" w:hAnsi="Palatino Linotype" w:cs="Palatino Linotype"/>
          <w:b/>
        </w:rPr>
        <w:lastRenderedPageBreak/>
        <w:t>6. Manifestaciones</w:t>
      </w:r>
      <w:r w:rsidRPr="007A72FB">
        <w:rPr>
          <w:rFonts w:ascii="Palatino Linotype" w:eastAsia="Palatino Linotype" w:hAnsi="Palatino Linotype" w:cs="Palatino Linotype"/>
        </w:rPr>
        <w:t>.</w:t>
      </w:r>
      <w:r w:rsidRPr="007A72FB">
        <w:rPr>
          <w:rFonts w:ascii="Palatino Linotype" w:eastAsia="Palatino Linotype" w:hAnsi="Palatino Linotype" w:cs="Palatino Linotype"/>
          <w:i/>
        </w:rPr>
        <w:t xml:space="preserve"> </w:t>
      </w:r>
      <w:r w:rsidRPr="007A72FB">
        <w:rPr>
          <w:rFonts w:ascii="Palatino Linotype" w:eastAsia="Palatino Linotype" w:hAnsi="Palatino Linotype" w:cs="Palatino Linotype"/>
        </w:rPr>
        <w:t xml:space="preserve">El </w:t>
      </w:r>
      <w:r w:rsidRPr="007A72FB">
        <w:rPr>
          <w:rFonts w:ascii="Palatino Linotype" w:eastAsia="Palatino Linotype" w:hAnsi="Palatino Linotype" w:cs="Palatino Linotype"/>
          <w:b/>
        </w:rPr>
        <w:t>treinta y uno de marzo de dos mil veintitrés</w:t>
      </w:r>
      <w:r w:rsidRPr="007A72FB">
        <w:rPr>
          <w:rFonts w:ascii="Palatino Linotype" w:eastAsia="Palatino Linotype" w:hAnsi="Palatino Linotype" w:cs="Palatino Linotype"/>
        </w:rPr>
        <w:t xml:space="preserve"> el </w:t>
      </w:r>
      <w:r w:rsidRPr="007A72FB">
        <w:rPr>
          <w:rFonts w:ascii="Palatino Linotype" w:eastAsia="Palatino Linotype" w:hAnsi="Palatino Linotype" w:cs="Palatino Linotype"/>
          <w:b/>
        </w:rPr>
        <w:t xml:space="preserve">SUJETO OBLIGADO </w:t>
      </w:r>
      <w:r w:rsidRPr="007A72FB">
        <w:rPr>
          <w:rFonts w:ascii="Palatino Linotype" w:eastAsia="Palatino Linotype" w:hAnsi="Palatino Linotype" w:cs="Palatino Linotype"/>
        </w:rPr>
        <w:t>remitió en informe justificado el archivo electrónico identificado como:</w:t>
      </w:r>
    </w:p>
    <w:p w:rsidR="00AC5BFB" w:rsidRPr="007A72FB" w:rsidRDefault="002E770D">
      <w:pPr>
        <w:widowControl w:val="0"/>
        <w:pBdr>
          <w:top w:val="nil"/>
          <w:left w:val="nil"/>
          <w:bottom w:val="nil"/>
          <w:right w:val="nil"/>
          <w:between w:val="nil"/>
        </w:pBdr>
        <w:spacing w:before="240" w:line="360" w:lineRule="auto"/>
        <w:ind w:left="1080"/>
        <w:jc w:val="both"/>
        <w:rPr>
          <w:rFonts w:ascii="Palatino Linotype" w:eastAsia="Palatino Linotype" w:hAnsi="Palatino Linotype" w:cs="Palatino Linotype"/>
          <w:b/>
          <w:i/>
        </w:rPr>
      </w:pPr>
      <w:r w:rsidRPr="007A72FB">
        <w:rPr>
          <w:rFonts w:ascii="Palatino Linotype" w:eastAsia="Palatino Linotype" w:hAnsi="Palatino Linotype" w:cs="Palatino Linotype"/>
          <w:b/>
          <w:i/>
        </w:rPr>
        <w:t xml:space="preserve">Anexos RR 01029-2023.pdf  </w:t>
      </w:r>
    </w:p>
    <w:p w:rsidR="00AC5BFB" w:rsidRPr="007A72FB" w:rsidRDefault="002E770D">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i/>
        </w:rPr>
      </w:pPr>
      <w:r w:rsidRPr="007A72FB">
        <w:rPr>
          <w:rFonts w:ascii="Palatino Linotype" w:eastAsia="Palatino Linotype" w:hAnsi="Palatino Linotype" w:cs="Palatino Linotype"/>
          <w:b/>
        </w:rPr>
        <w:t>oficio 220010000000100S/2023/342</w:t>
      </w:r>
      <w:r w:rsidRPr="007A72FB">
        <w:rPr>
          <w:rFonts w:ascii="Palatino Linotype" w:eastAsia="Palatino Linotype" w:hAnsi="Palatino Linotype" w:cs="Palatino Linotype"/>
          <w:b/>
          <w:i/>
        </w:rPr>
        <w:t xml:space="preserve"> </w:t>
      </w:r>
      <w:r w:rsidRPr="007A72FB">
        <w:rPr>
          <w:rFonts w:ascii="Palatino Linotype" w:eastAsia="Palatino Linotype" w:hAnsi="Palatino Linotype" w:cs="Palatino Linotype"/>
        </w:rPr>
        <w:t>documental en archivo electrónico suscrita por el Titular de la Unidad de Transparencia, por vial del cual señala:</w:t>
      </w:r>
    </w:p>
    <w:p w:rsidR="00AC5BFB" w:rsidRPr="007A72FB" w:rsidRDefault="002E770D">
      <w:pPr>
        <w:widowControl w:val="0"/>
        <w:pBdr>
          <w:top w:val="nil"/>
          <w:left w:val="nil"/>
          <w:bottom w:val="nil"/>
          <w:right w:val="nil"/>
          <w:between w:val="nil"/>
        </w:pBdr>
        <w:spacing w:line="360" w:lineRule="auto"/>
        <w:ind w:left="1080"/>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Que después de una búsqueda exhaustiva dentro de los archivos de la Subsecretaría de Movilidad, se obtuvo la síguete información respecto de las empresas concesionarias para la prestación del Servicio Público Auxiliar de Depósitos para Guarda y Custodia Vehicular con concesión vigente: GRUAS MANZUR LA MAQUINITA, PROSPECTIVA TRASCENDENTAL Y GENESIS DE DESARROLLO, GRUAS MANZUR DE TOLUCA Y,  GRUAS Y TRANSPORTES SOFRAN. </w:t>
      </w:r>
    </w:p>
    <w:p w:rsidR="00AC5BFB" w:rsidRPr="007A72FB" w:rsidRDefault="002E770D">
      <w:pPr>
        <w:widowControl w:val="0"/>
        <w:pBdr>
          <w:top w:val="nil"/>
          <w:left w:val="nil"/>
          <w:bottom w:val="nil"/>
          <w:right w:val="nil"/>
          <w:between w:val="nil"/>
        </w:pBdr>
        <w:spacing w:line="360" w:lineRule="auto"/>
        <w:ind w:left="1080"/>
        <w:jc w:val="both"/>
        <w:rPr>
          <w:rFonts w:ascii="Palatino Linotype" w:eastAsia="Palatino Linotype" w:hAnsi="Palatino Linotype" w:cs="Palatino Linotype"/>
        </w:rPr>
      </w:pPr>
      <w:r w:rsidRPr="007A72FB">
        <w:rPr>
          <w:rFonts w:ascii="Palatino Linotype" w:eastAsia="Palatino Linotype" w:hAnsi="Palatino Linotype" w:cs="Palatino Linotype"/>
        </w:rPr>
        <w:t>Por lo que se le informa que en lo que va del año no se ha tenido quejas de las empresas antes mencionadas:</w:t>
      </w:r>
    </w:p>
    <w:p w:rsidR="00AC5BFB" w:rsidRPr="007A72FB" w:rsidRDefault="002E770D">
      <w:pPr>
        <w:widowControl w:val="0"/>
        <w:pBdr>
          <w:top w:val="nil"/>
          <w:left w:val="nil"/>
          <w:bottom w:val="nil"/>
          <w:right w:val="nil"/>
          <w:between w:val="nil"/>
        </w:pBdr>
        <w:spacing w:line="360" w:lineRule="auto"/>
        <w:ind w:left="1080"/>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Que el tabulador de costos se encuentra publicado en la página de internet:  </w:t>
      </w:r>
    </w:p>
    <w:p w:rsidR="00AC5BFB" w:rsidRPr="007A72FB" w:rsidRDefault="002E770D">
      <w:pPr>
        <w:widowControl w:val="0"/>
        <w:pBdr>
          <w:top w:val="nil"/>
          <w:left w:val="nil"/>
          <w:bottom w:val="nil"/>
          <w:right w:val="nil"/>
          <w:between w:val="nil"/>
        </w:pBdr>
        <w:spacing w:line="360" w:lineRule="auto"/>
        <w:ind w:left="1080"/>
        <w:jc w:val="both"/>
        <w:rPr>
          <w:rFonts w:ascii="Palatino Linotype" w:eastAsia="Palatino Linotype" w:hAnsi="Palatino Linotype" w:cs="Palatino Linotype"/>
          <w:b/>
          <w:i/>
        </w:rPr>
      </w:pPr>
      <w:r w:rsidRPr="007A72FB">
        <w:rPr>
          <w:rFonts w:ascii="Palatino Linotype" w:eastAsia="Palatino Linotype" w:hAnsi="Palatino Linotype" w:cs="Palatino Linotype"/>
          <w:b/>
          <w:i/>
          <w:noProof/>
          <w:lang w:val="es-MX"/>
        </w:rPr>
        <w:drawing>
          <wp:inline distT="0" distB="0" distL="0" distR="0">
            <wp:extent cx="5610225" cy="238125"/>
            <wp:effectExtent l="0" t="0" r="0" b="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5610225" cy="238125"/>
                    </a:xfrm>
                    <a:prstGeom prst="rect">
                      <a:avLst/>
                    </a:prstGeom>
                    <a:ln/>
                  </pic:spPr>
                </pic:pic>
              </a:graphicData>
            </a:graphic>
          </wp:inline>
        </w:drawing>
      </w:r>
    </w:p>
    <w:p w:rsidR="00AC5BFB" w:rsidRPr="007A72FB" w:rsidRDefault="002E770D">
      <w:pPr>
        <w:widowControl w:val="0"/>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 Oficio DGRETP/22000007000000L/2023/0349  de fecha 03 de marzo de 2023 por vía de la cual se aportan los siguientes elementos: </w:t>
      </w:r>
    </w:p>
    <w:p w:rsidR="00AC5BFB" w:rsidRPr="007A72FB" w:rsidRDefault="002E770D">
      <w:pPr>
        <w:widowControl w:val="0"/>
        <w:pBdr>
          <w:top w:val="nil"/>
          <w:left w:val="nil"/>
          <w:bottom w:val="nil"/>
          <w:right w:val="nil"/>
          <w:between w:val="nil"/>
        </w:pBdr>
        <w:spacing w:after="240" w:line="360" w:lineRule="auto"/>
        <w:ind w:left="1080"/>
        <w:jc w:val="both"/>
        <w:rPr>
          <w:rFonts w:ascii="Palatino Linotype" w:eastAsia="Palatino Linotype" w:hAnsi="Palatino Linotype" w:cs="Palatino Linotype"/>
        </w:rPr>
      </w:pPr>
      <w:r w:rsidRPr="007A72FB">
        <w:rPr>
          <w:rFonts w:ascii="Palatino Linotype" w:eastAsia="Palatino Linotype" w:hAnsi="Palatino Linotype" w:cs="Palatino Linotype"/>
          <w:noProof/>
          <w:lang w:val="es-MX"/>
        </w:rPr>
        <w:lastRenderedPageBreak/>
        <w:drawing>
          <wp:inline distT="0" distB="0" distL="0" distR="0">
            <wp:extent cx="5610225" cy="4248150"/>
            <wp:effectExtent l="0" t="0" r="0" b="0"/>
            <wp:docPr id="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610225" cy="4248150"/>
                    </a:xfrm>
                    <a:prstGeom prst="rect">
                      <a:avLst/>
                    </a:prstGeom>
                    <a:ln/>
                  </pic:spPr>
                </pic:pic>
              </a:graphicData>
            </a:graphic>
          </wp:inline>
        </w:drawing>
      </w:r>
    </w:p>
    <w:p w:rsidR="00AC5BFB" w:rsidRPr="007A72FB" w:rsidRDefault="002E770D">
      <w:pPr>
        <w:widowControl w:val="0"/>
        <w:spacing w:before="240" w:after="240" w:line="360" w:lineRule="auto"/>
        <w:ind w:left="1080"/>
        <w:jc w:val="right"/>
        <w:rPr>
          <w:rFonts w:ascii="Palatino Linotype" w:eastAsia="Palatino Linotype" w:hAnsi="Palatino Linotype" w:cs="Palatino Linotype"/>
          <w:b/>
        </w:rPr>
      </w:pPr>
      <w:r w:rsidRPr="007A72FB">
        <w:rPr>
          <w:rFonts w:ascii="Palatino Linotype" w:eastAsia="Palatino Linotype" w:hAnsi="Palatino Linotype" w:cs="Palatino Linotype"/>
          <w:b/>
          <w:noProof/>
          <w:lang w:val="es-MX"/>
        </w:rPr>
        <w:drawing>
          <wp:inline distT="0" distB="0" distL="0" distR="0">
            <wp:extent cx="3610935" cy="2883847"/>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610935" cy="2883847"/>
                    </a:xfrm>
                    <a:prstGeom prst="rect">
                      <a:avLst/>
                    </a:prstGeom>
                    <a:ln/>
                  </pic:spPr>
                </pic:pic>
              </a:graphicData>
            </a:graphic>
          </wp:inline>
        </w:drawing>
      </w:r>
    </w:p>
    <w:p w:rsidR="00AC5BFB" w:rsidRPr="007A72FB" w:rsidRDefault="00AC5BFB">
      <w:pPr>
        <w:widowControl w:val="0"/>
        <w:spacing w:before="240" w:after="240" w:line="360" w:lineRule="auto"/>
        <w:ind w:left="1080"/>
        <w:jc w:val="both"/>
        <w:rPr>
          <w:rFonts w:ascii="Palatino Linotype" w:eastAsia="Palatino Linotype" w:hAnsi="Palatino Linotype" w:cs="Palatino Linotype"/>
          <w:b/>
        </w:rPr>
      </w:pPr>
    </w:p>
    <w:p w:rsidR="00AC5BFB" w:rsidRPr="007A72FB" w:rsidRDefault="002E770D">
      <w:pPr>
        <w:widowControl w:val="0"/>
        <w:spacing w:before="240" w:after="240" w:line="360" w:lineRule="auto"/>
        <w:ind w:left="1080"/>
        <w:jc w:val="both"/>
        <w:rPr>
          <w:rFonts w:ascii="Palatino Linotype" w:eastAsia="Palatino Linotype" w:hAnsi="Palatino Linotype" w:cs="Palatino Linotype"/>
        </w:rPr>
      </w:pPr>
      <w:r w:rsidRPr="007A72FB">
        <w:rPr>
          <w:rFonts w:ascii="Palatino Linotype" w:eastAsia="Palatino Linotype" w:hAnsi="Palatino Linotype" w:cs="Palatino Linotype"/>
          <w:b/>
        </w:rPr>
        <w:t xml:space="preserve">Oficio 22001001A 00000/2023/192 de </w:t>
      </w:r>
      <w:r w:rsidRPr="007A72FB">
        <w:rPr>
          <w:rFonts w:ascii="Palatino Linotype" w:eastAsia="Palatino Linotype" w:hAnsi="Palatino Linotype" w:cs="Palatino Linotype"/>
        </w:rPr>
        <w:t>fecha 27 de febrero de 2023, suscrito por el Director General de Movilidad por medio de este documento se modifica la respuesta que tuvo en su origen, señalando que se adjunta la Norma Técnica;</w:t>
      </w:r>
    </w:p>
    <w:p w:rsidR="00AC5BFB" w:rsidRPr="007A72FB" w:rsidRDefault="002E770D">
      <w:pPr>
        <w:widowControl w:val="0"/>
        <w:spacing w:before="240" w:after="240" w:line="360" w:lineRule="auto"/>
        <w:ind w:left="1080"/>
        <w:jc w:val="both"/>
        <w:rPr>
          <w:rFonts w:ascii="Palatino Linotype" w:eastAsia="Palatino Linotype" w:hAnsi="Palatino Linotype" w:cs="Palatino Linotype"/>
        </w:rPr>
      </w:pPr>
      <w:r w:rsidRPr="007A72FB">
        <w:rPr>
          <w:rFonts w:ascii="Palatino Linotype" w:eastAsia="Palatino Linotype" w:hAnsi="Palatino Linotype" w:cs="Palatino Linotype"/>
          <w:b/>
        </w:rPr>
        <w:t xml:space="preserve">Oficio </w:t>
      </w:r>
      <w:r w:rsidRPr="007A72FB">
        <w:rPr>
          <w:rFonts w:ascii="Palatino Linotype" w:eastAsia="Palatino Linotype" w:hAnsi="Palatino Linotype" w:cs="Palatino Linotype"/>
        </w:rPr>
        <w:t>22001002000000T/0338/2023 de fecha 07 de maro de 2023 suscrito por el Director General de Movilidad  Zona II por medio del cual se ratifica que en su origen fue entregada;</w:t>
      </w:r>
    </w:p>
    <w:p w:rsidR="00AC5BFB" w:rsidRPr="007A72FB" w:rsidRDefault="002E770D">
      <w:pPr>
        <w:widowControl w:val="0"/>
        <w:spacing w:before="240" w:after="240" w:line="360" w:lineRule="auto"/>
        <w:ind w:left="1080"/>
        <w:jc w:val="both"/>
        <w:rPr>
          <w:rFonts w:ascii="Palatino Linotype" w:eastAsia="Palatino Linotype" w:hAnsi="Palatino Linotype" w:cs="Palatino Linotype"/>
        </w:rPr>
      </w:pPr>
      <w:r w:rsidRPr="007A72FB">
        <w:rPr>
          <w:rFonts w:ascii="Palatino Linotype" w:eastAsia="Palatino Linotype" w:hAnsi="Palatino Linotype" w:cs="Palatino Linotype"/>
          <w:b/>
        </w:rPr>
        <w:t xml:space="preserve">Oficio CCT/UT/168/2023 </w:t>
      </w:r>
      <w:r w:rsidRPr="007A72FB">
        <w:rPr>
          <w:rFonts w:ascii="Palatino Linotype" w:eastAsia="Palatino Linotype" w:hAnsi="Palatino Linotype" w:cs="Palatino Linotype"/>
        </w:rPr>
        <w:t>de fecha 09 de marzo de 2023 suscrito por el Director General de Movilidad Zona III por medio del cual ratifica la respuesta que en su origen le fue entregada:</w:t>
      </w:r>
    </w:p>
    <w:p w:rsidR="00AC5BFB" w:rsidRPr="007A72FB" w:rsidRDefault="002E770D">
      <w:pPr>
        <w:widowControl w:val="0"/>
        <w:spacing w:before="240" w:after="240" w:line="360" w:lineRule="auto"/>
        <w:ind w:left="1080"/>
        <w:jc w:val="both"/>
        <w:rPr>
          <w:rFonts w:ascii="Palatino Linotype" w:eastAsia="Palatino Linotype" w:hAnsi="Palatino Linotype" w:cs="Palatino Linotype"/>
        </w:rPr>
      </w:pPr>
      <w:r w:rsidRPr="007A72FB">
        <w:rPr>
          <w:rFonts w:ascii="Palatino Linotype" w:eastAsia="Palatino Linotype" w:hAnsi="Palatino Linotype" w:cs="Palatino Linotype"/>
          <w:b/>
        </w:rPr>
        <w:t xml:space="preserve">Oficio 22001004A 00000 /0200/2023  </w:t>
      </w:r>
      <w:r w:rsidRPr="007A72FB">
        <w:rPr>
          <w:rFonts w:ascii="Palatino Linotype" w:eastAsia="Palatino Linotype" w:hAnsi="Palatino Linotype" w:cs="Palatino Linotype"/>
        </w:rPr>
        <w:t xml:space="preserve">de fecha 06 de marzo de 2023 suscrito por la Dirección General de Movilidad Zona IV  por vía del cual se ratifica la respuesta que en su origen fue proporcionada. </w:t>
      </w:r>
    </w:p>
    <w:p w:rsidR="00AC5BFB" w:rsidRPr="007A72FB" w:rsidRDefault="002E770D">
      <w:pPr>
        <w:widowControl w:val="0"/>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b/>
          <w:i/>
        </w:rPr>
      </w:pPr>
      <w:r w:rsidRPr="007A72FB">
        <w:rPr>
          <w:rFonts w:ascii="Palatino Linotype" w:eastAsia="Palatino Linotype" w:hAnsi="Palatino Linotype" w:cs="Palatino Linotype"/>
          <w:b/>
          <w:i/>
        </w:rPr>
        <w:tab/>
        <w:t xml:space="preserve">Informe Justificado Recurso 01029.pdf </w:t>
      </w:r>
      <w:r w:rsidRPr="007A72FB">
        <w:rPr>
          <w:rFonts w:ascii="Palatino Linotype" w:eastAsia="Palatino Linotype" w:hAnsi="Palatino Linotype" w:cs="Palatino Linotype"/>
        </w:rPr>
        <w:t xml:space="preserve">  documental en la que el SUJETO OBLIGADO solicita sea conformada la respuesta que fue entregada en su origen : </w:t>
      </w:r>
    </w:p>
    <w:p w:rsidR="00AC5BFB" w:rsidRPr="007A72FB" w:rsidRDefault="002E770D">
      <w:pPr>
        <w:widowControl w:val="0"/>
        <w:pBdr>
          <w:top w:val="nil"/>
          <w:left w:val="nil"/>
          <w:bottom w:val="nil"/>
          <w:right w:val="nil"/>
          <w:between w:val="nil"/>
        </w:pBdr>
        <w:spacing w:after="240" w:line="360" w:lineRule="auto"/>
        <w:ind w:left="1080"/>
        <w:jc w:val="both"/>
        <w:rPr>
          <w:rFonts w:ascii="Palatino Linotype" w:eastAsia="Palatino Linotype" w:hAnsi="Palatino Linotype" w:cs="Palatino Linotype"/>
          <w:b/>
          <w:i/>
        </w:rPr>
      </w:pPr>
      <w:r w:rsidRPr="007A72FB">
        <w:rPr>
          <w:rFonts w:ascii="Palatino Linotype" w:eastAsia="Palatino Linotype" w:hAnsi="Palatino Linotype" w:cs="Palatino Linotype"/>
          <w:b/>
          <w:i/>
          <w:noProof/>
          <w:lang w:val="es-MX"/>
        </w:rPr>
        <w:lastRenderedPageBreak/>
        <w:drawing>
          <wp:inline distT="0" distB="0" distL="0" distR="0">
            <wp:extent cx="5610225" cy="2257425"/>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610225" cy="2257425"/>
                    </a:xfrm>
                    <a:prstGeom prst="rect">
                      <a:avLst/>
                    </a:prstGeom>
                    <a:ln/>
                  </pic:spPr>
                </pic:pic>
              </a:graphicData>
            </a:graphic>
          </wp:inline>
        </w:drawing>
      </w:r>
    </w:p>
    <w:p w:rsidR="00AC5BFB" w:rsidRPr="007A72FB" w:rsidRDefault="002E770D">
      <w:pPr>
        <w:widowControl w:val="0"/>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Documentos que fueron puestos a la vista de la parte </w:t>
      </w:r>
      <w:r w:rsidRPr="007A72FB">
        <w:rPr>
          <w:rFonts w:ascii="Palatino Linotype" w:eastAsia="Palatino Linotype" w:hAnsi="Palatino Linotype" w:cs="Palatino Linotype"/>
          <w:b/>
        </w:rPr>
        <w:t xml:space="preserve">Recurrente </w:t>
      </w:r>
      <w:r w:rsidRPr="007A72FB">
        <w:rPr>
          <w:rFonts w:ascii="Palatino Linotype" w:eastAsia="Palatino Linotype" w:hAnsi="Palatino Linotype" w:cs="Palatino Linotype"/>
        </w:rPr>
        <w:t xml:space="preserve">para su conocimiento. </w:t>
      </w:r>
    </w:p>
    <w:p w:rsidR="00AC5BFB" w:rsidRPr="007A72FB" w:rsidRDefault="002E770D">
      <w:pPr>
        <w:widowControl w:val="0"/>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lo tocante en esta etapa procesal se advierte que la parte recurrente no emitió pronunciamiento  alguno tendiente a contravenir  la información que le fue puesta  la vista por parte de este Organismo Garate. </w:t>
      </w:r>
    </w:p>
    <w:p w:rsidR="00AC5BFB" w:rsidRPr="007A72FB" w:rsidRDefault="002E770D">
      <w:pPr>
        <w:widowControl w:val="0"/>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7.</w:t>
      </w:r>
      <w:r w:rsidRPr="007A72FB">
        <w:rPr>
          <w:rFonts w:ascii="Palatino Linotype" w:eastAsia="Palatino Linotype" w:hAnsi="Palatino Linotype" w:cs="Palatino Linotype"/>
        </w:rPr>
        <w:t xml:space="preserve"> </w:t>
      </w:r>
      <w:r w:rsidRPr="007A72FB">
        <w:rPr>
          <w:rFonts w:ascii="Palatino Linotype" w:eastAsia="Palatino Linotype" w:hAnsi="Palatino Linotype" w:cs="Palatino Linotype"/>
          <w:b/>
        </w:rPr>
        <w:t xml:space="preserve">Ampliación del plazo para emitir resolución. </w:t>
      </w:r>
      <w:r w:rsidRPr="007A72FB">
        <w:rPr>
          <w:rFonts w:ascii="Palatino Linotype" w:eastAsia="Palatino Linotype" w:hAnsi="Palatino Linotype" w:cs="Palatino Linotype"/>
        </w:rPr>
        <w:t xml:space="preserve">El </w:t>
      </w:r>
      <w:r w:rsidRPr="007A72FB">
        <w:rPr>
          <w:rFonts w:ascii="Palatino Linotype" w:eastAsia="Palatino Linotype" w:hAnsi="Palatino Linotype" w:cs="Palatino Linotype"/>
          <w:b/>
        </w:rPr>
        <w:t>dieciocho de octubre de dos mil veintitrés</w:t>
      </w:r>
      <w:r w:rsidRPr="007A72FB">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7A72FB">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AC5BFB" w:rsidRPr="007A72FB" w:rsidRDefault="002E770D">
      <w:pPr>
        <w:spacing w:before="240" w:after="240" w:line="360" w:lineRule="auto"/>
        <w:jc w:val="both"/>
        <w:rPr>
          <w:rFonts w:ascii="Palatino Linotype" w:eastAsia="Palatino Linotype" w:hAnsi="Palatino Linotype" w:cs="Palatino Linotype"/>
          <w:strike/>
        </w:rPr>
      </w:pPr>
      <w:r w:rsidRPr="007A72F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AC5BFB" w:rsidRPr="007A72FB" w:rsidRDefault="002E770D">
      <w:pPr>
        <w:numPr>
          <w:ilvl w:val="0"/>
          <w:numId w:val="4"/>
        </w:num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AC5BFB" w:rsidRPr="007A72FB" w:rsidRDefault="002E770D">
      <w:pPr>
        <w:numPr>
          <w:ilvl w:val="0"/>
          <w:numId w:val="4"/>
        </w:num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lastRenderedPageBreak/>
        <w:t>Actividad Procesal del interesado. Acciones u omisiones del interesado.</w:t>
      </w:r>
    </w:p>
    <w:p w:rsidR="00AC5BFB" w:rsidRPr="007A72FB" w:rsidRDefault="002E770D">
      <w:pPr>
        <w:numPr>
          <w:ilvl w:val="0"/>
          <w:numId w:val="4"/>
        </w:num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Conducta de la Autoridad: Las Acciones u omisiones realizadas en el procedimiento. Así como si la autoridad actuó con la debida diligencia.</w:t>
      </w:r>
    </w:p>
    <w:p w:rsidR="00AC5BFB" w:rsidRPr="007A72FB" w:rsidRDefault="002E770D">
      <w:pPr>
        <w:spacing w:before="240" w:after="240" w:line="360" w:lineRule="auto"/>
        <w:ind w:left="567"/>
        <w:jc w:val="both"/>
        <w:rPr>
          <w:rFonts w:ascii="Palatino Linotype" w:eastAsia="Palatino Linotype" w:hAnsi="Palatino Linotype" w:cs="Palatino Linotype"/>
        </w:rPr>
      </w:pPr>
      <w:r w:rsidRPr="007A72FB">
        <w:rPr>
          <w:rFonts w:ascii="Palatino Linotype" w:eastAsia="Palatino Linotype" w:hAnsi="Palatino Linotype" w:cs="Palatino Linotype"/>
        </w:rPr>
        <w:t>d) La afectación generada en la situación jurídica de la persona involucrada en el proceso: Violación a sus derechos humanos.</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AC5BFB" w:rsidRPr="007A72FB" w:rsidRDefault="002E770D">
      <w:pPr>
        <w:spacing w:before="240" w:after="240" w:line="360" w:lineRule="auto"/>
        <w:jc w:val="both"/>
        <w:rPr>
          <w:rFonts w:ascii="Palatino Linotype" w:eastAsia="Palatino Linotype" w:hAnsi="Palatino Linotype" w:cs="Palatino Linotype"/>
          <w:b/>
        </w:rPr>
      </w:pPr>
      <w:r w:rsidRPr="007A72FB">
        <w:rPr>
          <w:rFonts w:ascii="Palatino Linotype" w:eastAsia="Palatino Linotype" w:hAnsi="Palatino Linotype" w:cs="Palatino Linotype"/>
        </w:rPr>
        <w:t>Argumento que encuentra sustento en la jurisprudencia P</w:t>
      </w:r>
      <w:proofErr w:type="gramStart"/>
      <w:r w:rsidRPr="007A72FB">
        <w:rPr>
          <w:rFonts w:ascii="Palatino Linotype" w:eastAsia="Palatino Linotype" w:hAnsi="Palatino Linotype" w:cs="Palatino Linotype"/>
        </w:rPr>
        <w:t>./</w:t>
      </w:r>
      <w:proofErr w:type="gramEnd"/>
      <w:r w:rsidRPr="007A72FB">
        <w:rPr>
          <w:rFonts w:ascii="Palatino Linotype" w:eastAsia="Palatino Linotype" w:hAnsi="Palatino Linotype" w:cs="Palatino Linotype"/>
        </w:rPr>
        <w:t xml:space="preserve">J. 32/92 emitida por el Pleno de la Suprema Corte de Justicia de la Nación de rubro </w:t>
      </w:r>
      <w:r w:rsidRPr="007A72F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A72FB">
        <w:rPr>
          <w:rFonts w:ascii="Palatino Linotype" w:eastAsia="Palatino Linotype" w:hAnsi="Palatino Linotype" w:cs="Palatino Linotype"/>
        </w:rPr>
        <w:t>, visible en la Gaceta del Seminario Judicial de la Federación con el registro digital 205635.</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w:t>
      </w:r>
      <w:r w:rsidRPr="007A72FB">
        <w:rPr>
          <w:rFonts w:ascii="Palatino Linotype" w:eastAsia="Palatino Linotype" w:hAnsi="Palatino Linotype" w:cs="Palatino Linotype"/>
        </w:rPr>
        <w:lastRenderedPageBreak/>
        <w:t>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 </w:t>
      </w:r>
      <w:r w:rsidRPr="007A72FB">
        <w:rPr>
          <w:rFonts w:ascii="Palatino Linotype" w:eastAsia="Palatino Linotype" w:hAnsi="Palatino Linotype" w:cs="Palatino Linotype"/>
          <w:i/>
        </w:rPr>
        <w:t>“PLAZO RAZONABLE PARA RESOLVER. DIMENSIÓN Y EFECTOS DE ESTE CONCEPTO CUANDO SE ADUCE EXCESIVA CARGA DE TRABAJO.”</w:t>
      </w:r>
      <w:r w:rsidRPr="007A72FB">
        <w:rPr>
          <w:rFonts w:ascii="Palatino Linotype" w:eastAsia="Palatino Linotype" w:hAnsi="Palatino Linotype" w:cs="Palatino Linotype"/>
        </w:rPr>
        <w:t xml:space="preserve"> consultable en el Seminario Judicial de la Federación y su gaceta, con el registro digital 2002351.</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i/>
        </w:rPr>
        <w:t>“PLAZO RAZONABLE PARA RESOLVER. CONCEPTO Y ELEMENTOS QUE LO INTEGRAN A LA LUZ DEL DERECHO INTERNACIONAL DE LOS DERECHOS HUMANOS.”</w:t>
      </w:r>
      <w:r w:rsidRPr="007A72FB">
        <w:rPr>
          <w:rFonts w:ascii="Palatino Linotype" w:eastAsia="Palatino Linotype" w:hAnsi="Palatino Linotype" w:cs="Palatino Linotype"/>
        </w:rPr>
        <w:t>, visible en el Seminario Judicial de la Federación y su gaceta, con el registro digital 2002350.</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 xml:space="preserve">8. Cierre de instrucción. </w:t>
      </w:r>
      <w:r w:rsidRPr="007A72F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7A72FB">
        <w:rPr>
          <w:rFonts w:ascii="Palatino Linotype" w:eastAsia="Palatino Linotype" w:hAnsi="Palatino Linotype" w:cs="Palatino Linotype"/>
          <w:b/>
        </w:rPr>
        <w:t>veinticuatro de octubre de dos mil veintitrés</w:t>
      </w:r>
      <w:r w:rsidRPr="007A72FB">
        <w:rPr>
          <w:rFonts w:ascii="Palatino Linotype" w:eastAsia="Palatino Linotype" w:hAnsi="Palatino Linotype" w:cs="Palatino Linotype"/>
        </w:rPr>
        <w:t xml:space="preserve">, la Comisionada Ponente determinó </w:t>
      </w:r>
      <w:r w:rsidRPr="007A72FB">
        <w:rPr>
          <w:rFonts w:ascii="Palatino Linotype" w:eastAsia="Palatino Linotype" w:hAnsi="Palatino Linotype" w:cs="Palatino Linotype"/>
        </w:rPr>
        <w:lastRenderedPageBreak/>
        <w:t>el cierre de instrucción en términos de la fracción VI del artículo 185 de la Ley de Transparencia y Acceso a la Información Pública del Estado de México y Municipios</w:t>
      </w:r>
    </w:p>
    <w:p w:rsidR="00AC5BFB" w:rsidRPr="007A72FB" w:rsidRDefault="002E770D">
      <w:pPr>
        <w:widowControl w:val="0"/>
        <w:spacing w:before="240" w:after="240" w:line="360" w:lineRule="auto"/>
        <w:jc w:val="both"/>
        <w:rPr>
          <w:rFonts w:ascii="Palatino Linotype" w:eastAsia="Palatino Linotype" w:hAnsi="Palatino Linotype" w:cs="Palatino Linotype"/>
          <w:b/>
        </w:rPr>
      </w:pPr>
      <w:r w:rsidRPr="007A72FB">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7A72FB">
        <w:rPr>
          <w:rFonts w:ascii="Palatino Linotype" w:eastAsia="Palatino Linotype" w:hAnsi="Palatino Linotype" w:cs="Palatino Linotype"/>
          <w:b/>
        </w:rPr>
        <w:t xml:space="preserve"> </w:t>
      </w:r>
    </w:p>
    <w:p w:rsidR="00AC5BFB" w:rsidRPr="007A72FB" w:rsidRDefault="002E770D">
      <w:pPr>
        <w:widowControl w:val="0"/>
        <w:spacing w:before="240" w:after="240" w:line="360" w:lineRule="auto"/>
        <w:jc w:val="center"/>
        <w:rPr>
          <w:rFonts w:ascii="Palatino Linotype" w:eastAsia="Palatino Linotype" w:hAnsi="Palatino Linotype" w:cs="Palatino Linotype"/>
          <w:b/>
        </w:rPr>
      </w:pPr>
      <w:r w:rsidRPr="007A72FB">
        <w:rPr>
          <w:rFonts w:ascii="Palatino Linotype" w:eastAsia="Palatino Linotype" w:hAnsi="Palatino Linotype" w:cs="Palatino Linotype"/>
          <w:b/>
        </w:rPr>
        <w:t>II. C O N S I D E R A N D O S</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Primero. Competencia.</w:t>
      </w:r>
      <w:r w:rsidRPr="007A72F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AC5BFB" w:rsidRPr="007A72FB" w:rsidRDefault="002E770D">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7A72FB">
        <w:rPr>
          <w:rFonts w:ascii="Palatino Linotype" w:eastAsia="Palatino Linotype" w:hAnsi="Palatino Linotype" w:cs="Palatino Linotype"/>
          <w:b/>
        </w:rPr>
        <w:t xml:space="preserve">Segundo. Oportunidad y </w:t>
      </w:r>
      <w:proofErr w:type="spellStart"/>
      <w:r w:rsidRPr="007A72FB">
        <w:rPr>
          <w:rFonts w:ascii="Palatino Linotype" w:eastAsia="Palatino Linotype" w:hAnsi="Palatino Linotype" w:cs="Palatino Linotype"/>
          <w:b/>
        </w:rPr>
        <w:t>Procedibilidad</w:t>
      </w:r>
      <w:proofErr w:type="spellEnd"/>
      <w:r w:rsidRPr="007A72FB">
        <w:rPr>
          <w:rFonts w:ascii="Palatino Linotype" w:eastAsia="Palatino Linotype" w:hAnsi="Palatino Linotype" w:cs="Palatino Linotype"/>
          <w:b/>
        </w:rPr>
        <w:t xml:space="preserve"> del Recurso de Revisión</w:t>
      </w:r>
      <w:r w:rsidRPr="007A72FB">
        <w:rPr>
          <w:rFonts w:ascii="Palatino Linotype" w:eastAsia="Palatino Linotype" w:hAnsi="Palatino Linotype" w:cs="Palatino Linotype"/>
        </w:rPr>
        <w:t xml:space="preserve">. 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w:t>
      </w:r>
      <w:r w:rsidRPr="007A72FB">
        <w:rPr>
          <w:rFonts w:ascii="Palatino Linotype" w:eastAsia="Palatino Linotype" w:hAnsi="Palatino Linotype" w:cs="Palatino Linotype"/>
        </w:rPr>
        <w:lastRenderedPageBreak/>
        <w:t>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C5BFB" w:rsidRPr="007A72FB" w:rsidRDefault="002E770D">
      <w:pPr>
        <w:spacing w:before="240" w:after="240"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respondió a la solicitud de información el </w:t>
      </w:r>
      <w:r w:rsidRPr="007A72FB">
        <w:rPr>
          <w:rFonts w:ascii="Palatino Linotype" w:eastAsia="Palatino Linotype" w:hAnsi="Palatino Linotype" w:cs="Palatino Linotype"/>
          <w:b/>
        </w:rPr>
        <w:t xml:space="preserve">veinte de febrero de dos mil veintitrés, </w:t>
      </w:r>
      <w:r w:rsidRPr="007A72FB">
        <w:rPr>
          <w:rFonts w:ascii="Palatino Linotype" w:eastAsia="Palatino Linotype" w:hAnsi="Palatino Linotype" w:cs="Palatino Linotype"/>
        </w:rPr>
        <w:t xml:space="preserve">mientras que el recurso de revisión se interpuso el </w:t>
      </w:r>
      <w:r w:rsidRPr="007A72FB">
        <w:rPr>
          <w:rFonts w:ascii="Palatino Linotype" w:eastAsia="Palatino Linotype" w:hAnsi="Palatino Linotype" w:cs="Palatino Linotype"/>
          <w:b/>
        </w:rPr>
        <w:t>veintidós de febrero de la misma anualidad</w:t>
      </w:r>
      <w:r w:rsidRPr="007A72FB">
        <w:rPr>
          <w:rFonts w:ascii="Palatino Linotype" w:eastAsia="Palatino Linotype" w:hAnsi="Palatino Linotype" w:cs="Palatino Linotype"/>
        </w:rPr>
        <w:t>, esto es, al segundo día hábil posterior en que tuvo conocimiento de la respuesta impugnada.</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este sentido, al considerar la fecha en que se formuló la solicitud y la fecha en que respondió a esta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AC5BFB" w:rsidRPr="007A72FB" w:rsidRDefault="002E770D">
      <w:pPr>
        <w:spacing w:before="240" w:after="240" w:line="360" w:lineRule="auto"/>
        <w:jc w:val="both"/>
        <w:rPr>
          <w:rFonts w:ascii="Palatino Linotype" w:eastAsia="Palatino Linotype" w:hAnsi="Palatino Linotype" w:cs="Palatino Linotype"/>
          <w:b/>
        </w:rPr>
      </w:pPr>
      <w:r w:rsidRPr="007A72FB">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7A72FB">
        <w:rPr>
          <w:rFonts w:ascii="Palatino Linotype" w:eastAsia="Palatino Linotype" w:hAnsi="Palatino Linotype" w:cs="Palatino Linotype"/>
          <w:b/>
        </w:rPr>
        <w:t xml:space="preserve"> SAIMEX. </w:t>
      </w:r>
    </w:p>
    <w:p w:rsidR="00AC5BFB" w:rsidRPr="007A72FB" w:rsidRDefault="002E770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Asimismo, por cuanto hace a la </w:t>
      </w:r>
      <w:proofErr w:type="spellStart"/>
      <w:r w:rsidRPr="007A72FB">
        <w:rPr>
          <w:rFonts w:ascii="Palatino Linotype" w:eastAsia="Palatino Linotype" w:hAnsi="Palatino Linotype" w:cs="Palatino Linotype"/>
        </w:rPr>
        <w:t>procedibilidad</w:t>
      </w:r>
      <w:proofErr w:type="spellEnd"/>
      <w:r w:rsidRPr="007A72FB">
        <w:rPr>
          <w:rFonts w:ascii="Palatino Linotype" w:eastAsia="Palatino Linotype" w:hAnsi="Palatino Linotype" w:cs="Palatino Linotype"/>
        </w:rPr>
        <w:t xml:space="preserve"> del  recurso de revisión, es de suma importancia señalar que la parte</w:t>
      </w:r>
      <w:r w:rsidRPr="007A72FB">
        <w:rPr>
          <w:rFonts w:ascii="Palatino Linotype" w:eastAsia="Palatino Linotype" w:hAnsi="Palatino Linotype" w:cs="Palatino Linotype"/>
          <w:b/>
        </w:rPr>
        <w:t xml:space="preserve"> Recurrente</w:t>
      </w:r>
      <w:r w:rsidRPr="007A72FB">
        <w:rPr>
          <w:rFonts w:ascii="Palatino Linotype" w:eastAsia="Palatino Linotype" w:hAnsi="Palatino Linotype" w:cs="Palatino Linotype"/>
        </w:rPr>
        <w:t xml:space="preserve"> omitió señalar nombre, como se advierte en el detalle de seguimiento del SAIMEX, no obstante lo anterior, no </w:t>
      </w:r>
      <w:r w:rsidRPr="007A72FB">
        <w:rPr>
          <w:rFonts w:ascii="Palatino Linotype" w:eastAsia="Palatino Linotype" w:hAnsi="Palatino Linotype" w:cs="Palatino Linotype"/>
        </w:rPr>
        <w:lastRenderedPageBreak/>
        <w:t>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AC5BFB" w:rsidRPr="007A72FB" w:rsidRDefault="002E770D">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Así también, por cuanto hace a la </w:t>
      </w:r>
      <w:proofErr w:type="spellStart"/>
      <w:r w:rsidRPr="007A72FB">
        <w:rPr>
          <w:rFonts w:ascii="Palatino Linotype" w:eastAsia="Palatino Linotype" w:hAnsi="Palatino Linotype" w:cs="Palatino Linotype"/>
        </w:rPr>
        <w:t>procedibilidad</w:t>
      </w:r>
      <w:proofErr w:type="spellEnd"/>
      <w:r w:rsidRPr="007A72FB">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Finalmente, se advierte que resulta procedente la interposición del recurso, según lo manifestado por el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en sus motivos de inconformidad, de acuerdo al artículo 179, fracción V del ordenamiento legal citado, que a la letra dice: </w:t>
      </w:r>
    </w:p>
    <w:p w:rsidR="00AC5BFB" w:rsidRPr="007A72FB" w:rsidRDefault="002E770D">
      <w:pPr>
        <w:tabs>
          <w:tab w:val="left" w:pos="7088"/>
        </w:tabs>
        <w:spacing w:before="120" w:after="120"/>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w:t>
      </w:r>
      <w:r w:rsidRPr="007A72FB">
        <w:rPr>
          <w:rFonts w:ascii="Palatino Linotype" w:eastAsia="Palatino Linotype" w:hAnsi="Palatino Linotype" w:cs="Palatino Linotype"/>
          <w:b/>
          <w:i/>
          <w:sz w:val="22"/>
          <w:szCs w:val="22"/>
        </w:rPr>
        <w:t>Artículo 179.</w:t>
      </w:r>
      <w:r w:rsidRPr="007A72F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AC5BFB" w:rsidRPr="007A72FB" w:rsidRDefault="002E770D">
      <w:pPr>
        <w:tabs>
          <w:tab w:val="left" w:pos="7088"/>
        </w:tabs>
        <w:spacing w:before="120" w:after="120"/>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w:t>
      </w:r>
    </w:p>
    <w:p w:rsidR="00AC5BFB" w:rsidRPr="007A72FB" w:rsidRDefault="002E770D">
      <w:pPr>
        <w:tabs>
          <w:tab w:val="left" w:pos="7088"/>
        </w:tabs>
        <w:spacing w:before="120" w:after="120"/>
        <w:ind w:left="993"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V. </w:t>
      </w:r>
      <w:r w:rsidRPr="007A72FB">
        <w:rPr>
          <w:rFonts w:ascii="Palatino Linotype" w:eastAsia="Palatino Linotype" w:hAnsi="Palatino Linotype" w:cs="Palatino Linotype"/>
          <w:i/>
          <w:sz w:val="22"/>
          <w:szCs w:val="22"/>
        </w:rPr>
        <w:t>La entrega de información incompleta;</w:t>
      </w:r>
    </w:p>
    <w:p w:rsidR="00AC5BFB" w:rsidRPr="007A72FB" w:rsidRDefault="002E770D">
      <w:pPr>
        <w:tabs>
          <w:tab w:val="left" w:pos="7088"/>
        </w:tabs>
        <w:spacing w:before="120" w:after="120"/>
        <w:ind w:left="993"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w:t>
      </w:r>
      <w:r w:rsidRPr="007A72FB">
        <w:rPr>
          <w:rFonts w:ascii="Palatino Linotype" w:eastAsia="Palatino Linotype" w:hAnsi="Palatino Linotype" w:cs="Palatino Linotype"/>
          <w:i/>
          <w:sz w:val="22"/>
          <w:szCs w:val="22"/>
        </w:rPr>
        <w:t>”</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 xml:space="preserve">Tercero. Análisis de las causales de sobreseimiento. </w:t>
      </w:r>
      <w:r w:rsidRPr="007A72FB">
        <w:rPr>
          <w:rFonts w:ascii="Palatino Linotype" w:eastAsia="Palatino Linotype" w:hAnsi="Palatino Linotype" w:cs="Palatino Linotype"/>
        </w:rPr>
        <w:t xml:space="preserve">En primer término, se estima pertinente mencionar que el derecho de acceso a la información está consagrado en </w:t>
      </w:r>
      <w:r w:rsidRPr="007A72FB">
        <w:rPr>
          <w:rFonts w:ascii="Palatino Linotype" w:eastAsia="Palatino Linotype" w:hAnsi="Palatino Linotype" w:cs="Palatino Linotype"/>
        </w:rPr>
        <w:lastRenderedPageBreak/>
        <w:t>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C5BFB" w:rsidRPr="007A72FB" w:rsidRDefault="002E770D">
      <w:pPr>
        <w:tabs>
          <w:tab w:val="left" w:pos="709"/>
        </w:tabs>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A72F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AC5BFB" w:rsidRPr="007A72FB" w:rsidRDefault="002E770D">
      <w:pPr>
        <w:tabs>
          <w:tab w:val="left" w:pos="709"/>
        </w:tabs>
        <w:ind w:left="851" w:right="616"/>
        <w:jc w:val="both"/>
        <w:rPr>
          <w:rFonts w:ascii="Palatino Linotype" w:eastAsia="Palatino Linotype" w:hAnsi="Palatino Linotype" w:cs="Palatino Linotype"/>
          <w:b/>
          <w:i/>
          <w:sz w:val="22"/>
          <w:szCs w:val="22"/>
        </w:rPr>
      </w:pPr>
      <w:r w:rsidRPr="007A72F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AC5BFB" w:rsidRPr="007A72FB" w:rsidRDefault="002E770D">
      <w:pPr>
        <w:tabs>
          <w:tab w:val="left" w:pos="709"/>
        </w:tabs>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A72F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AC5BFB" w:rsidRPr="007A72FB" w:rsidRDefault="002E770D">
      <w:pPr>
        <w:tabs>
          <w:tab w:val="left" w:pos="709"/>
        </w:tabs>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“Artículo 6o.</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A. Para el ejercicio del derecho de acceso a la información, la Federación y </w:t>
      </w:r>
      <w:r w:rsidRPr="007A72FB">
        <w:rPr>
          <w:rFonts w:ascii="Palatino Linotype" w:eastAsia="Palatino Linotype" w:hAnsi="Palatino Linotype" w:cs="Palatino Linotype"/>
          <w:b/>
          <w:i/>
          <w:sz w:val="22"/>
          <w:szCs w:val="22"/>
          <w:u w:val="single"/>
        </w:rPr>
        <w:t>las entidades federativas</w:t>
      </w:r>
      <w:r w:rsidRPr="007A72FB">
        <w:rPr>
          <w:rFonts w:ascii="Palatino Linotype" w:eastAsia="Palatino Linotype" w:hAnsi="Palatino Linotype" w:cs="Palatino Linotype"/>
          <w:b/>
          <w:i/>
          <w:sz w:val="22"/>
          <w:szCs w:val="22"/>
        </w:rPr>
        <w:t>,</w:t>
      </w:r>
      <w:r w:rsidRPr="007A72FB">
        <w:rPr>
          <w:rFonts w:ascii="Palatino Linotype" w:eastAsia="Palatino Linotype" w:hAnsi="Palatino Linotype" w:cs="Palatino Linotype"/>
          <w:i/>
          <w:sz w:val="22"/>
          <w:szCs w:val="22"/>
        </w:rPr>
        <w:t xml:space="preserve"> en el ámbito de sus respectivas competencias, se regirán por los siguientes principios y bases:</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I. </w:t>
      </w:r>
      <w:r w:rsidRPr="007A72F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A72FB">
        <w:rPr>
          <w:rFonts w:ascii="Palatino Linotype" w:eastAsia="Palatino Linotype" w:hAnsi="Palatino Linotype" w:cs="Palatino Linotype"/>
          <w:i/>
          <w:sz w:val="22"/>
          <w:szCs w:val="22"/>
        </w:rPr>
        <w:t xml:space="preserve"> Ejecutivo, Legislativo </w:t>
      </w:r>
      <w:r w:rsidRPr="007A72FB">
        <w:rPr>
          <w:rFonts w:ascii="Palatino Linotype" w:eastAsia="Palatino Linotype" w:hAnsi="Palatino Linotype" w:cs="Palatino Linotype"/>
          <w:b/>
          <w:i/>
          <w:sz w:val="22"/>
          <w:szCs w:val="22"/>
          <w:u w:val="single"/>
        </w:rPr>
        <w:t>y Judicial</w:t>
      </w:r>
      <w:r w:rsidRPr="007A72F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A72FB">
        <w:rPr>
          <w:rFonts w:ascii="Palatino Linotype" w:eastAsia="Palatino Linotype" w:hAnsi="Palatino Linotype" w:cs="Palatino Linotype"/>
          <w:b/>
          <w:i/>
          <w:sz w:val="22"/>
          <w:szCs w:val="22"/>
        </w:rPr>
        <w:t>es pública y sólo podrá ser reservada temporalmente por razones de interés público y seguridad nacional,</w:t>
      </w:r>
      <w:r w:rsidRPr="007A72F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w:t>
      </w:r>
      <w:r w:rsidRPr="007A72FB">
        <w:rPr>
          <w:rFonts w:ascii="Palatino Linotype" w:eastAsia="Palatino Linotype" w:hAnsi="Palatino Linotype" w:cs="Palatino Linotype"/>
          <w:i/>
          <w:sz w:val="22"/>
          <w:szCs w:val="22"/>
        </w:rPr>
        <w:lastRenderedPageBreak/>
        <w:t>funciones, la ley determinará los supuestos específicos bajo los cuales procederá la declaración de inexistencia de la información.</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w:t>
      </w:r>
    </w:p>
    <w:p w:rsidR="00AC5BFB" w:rsidRPr="007A72FB" w:rsidRDefault="002E770D">
      <w:pPr>
        <w:ind w:left="851" w:right="616"/>
        <w:jc w:val="both"/>
        <w:rPr>
          <w:rFonts w:ascii="Palatino Linotype" w:eastAsia="Palatino Linotype" w:hAnsi="Palatino Linotype" w:cs="Palatino Linotype"/>
          <w:b/>
          <w:i/>
          <w:sz w:val="22"/>
          <w:szCs w:val="22"/>
        </w:rPr>
      </w:pPr>
      <w:r w:rsidRPr="007A72F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III. </w:t>
      </w:r>
      <w:r w:rsidRPr="007A72F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A72FB">
        <w:rPr>
          <w:rFonts w:ascii="Palatino Linotype" w:eastAsia="Palatino Linotype" w:hAnsi="Palatino Linotype" w:cs="Palatino Linotype"/>
          <w:i/>
          <w:sz w:val="22"/>
          <w:szCs w:val="22"/>
        </w:rPr>
        <w:t xml:space="preserve"> a sus datos personales o a la rectificación de éstos.</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IV. </w:t>
      </w:r>
      <w:r w:rsidRPr="007A72F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AC5BFB" w:rsidRPr="007A72FB" w:rsidRDefault="00AC5BFB">
      <w:pPr>
        <w:ind w:left="851" w:right="616"/>
        <w:jc w:val="both"/>
        <w:rPr>
          <w:rFonts w:ascii="Palatino Linotype" w:eastAsia="Palatino Linotype" w:hAnsi="Palatino Linotype" w:cs="Palatino Linotype"/>
          <w:i/>
          <w:sz w:val="22"/>
          <w:szCs w:val="22"/>
        </w:rPr>
      </w:pP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V. </w:t>
      </w:r>
      <w:r w:rsidRPr="007A72F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VI. </w:t>
      </w:r>
      <w:r w:rsidRPr="007A72F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VII. </w:t>
      </w:r>
      <w:r w:rsidRPr="007A72F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AC5BFB" w:rsidRPr="007A72FB" w:rsidRDefault="00AC5BFB">
      <w:pPr>
        <w:ind w:right="616"/>
        <w:jc w:val="both"/>
        <w:rPr>
          <w:rFonts w:ascii="Palatino Linotype" w:eastAsia="Palatino Linotype" w:hAnsi="Palatino Linotype" w:cs="Palatino Linotype"/>
          <w:i/>
          <w:sz w:val="22"/>
          <w:szCs w:val="22"/>
        </w:rPr>
      </w:pPr>
    </w:p>
    <w:p w:rsidR="00AC5BFB" w:rsidRPr="007A72FB" w:rsidRDefault="002E770D">
      <w:pPr>
        <w:tabs>
          <w:tab w:val="left" w:pos="709"/>
        </w:tabs>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AC5BFB" w:rsidRPr="007A72FB" w:rsidRDefault="002E770D">
      <w:pPr>
        <w:spacing w:before="12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lastRenderedPageBreak/>
        <w:t xml:space="preserve">En primer lugar, es conveniente analizar si la respuesta del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AC5BFB" w:rsidRPr="007A72FB" w:rsidRDefault="002E770D">
      <w:pPr>
        <w:spacing w:before="240"/>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w:t>
      </w:r>
      <w:r w:rsidRPr="007A72FB">
        <w:rPr>
          <w:rFonts w:ascii="Palatino Linotype" w:eastAsia="Palatino Linotype" w:hAnsi="Palatino Linotype" w:cs="Palatino Linotype"/>
          <w:b/>
          <w:i/>
          <w:sz w:val="22"/>
          <w:szCs w:val="22"/>
        </w:rPr>
        <w:t>Artículo 4.</w:t>
      </w:r>
      <w:r w:rsidRPr="007A72F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A72F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A72FB">
        <w:rPr>
          <w:rFonts w:ascii="Palatino Linotype" w:eastAsia="Palatino Linotype" w:hAnsi="Palatino Linotype" w:cs="Palatino Linotype"/>
          <w:i/>
          <w:sz w:val="22"/>
          <w:szCs w:val="22"/>
        </w:rPr>
        <w:t>.”(Sic)</w:t>
      </w:r>
    </w:p>
    <w:p w:rsidR="00AC5BFB" w:rsidRPr="007A72FB" w:rsidRDefault="00AC5BFB">
      <w:pPr>
        <w:ind w:left="851" w:right="760"/>
        <w:jc w:val="both"/>
        <w:rPr>
          <w:rFonts w:ascii="Palatino Linotype" w:eastAsia="Palatino Linotype" w:hAnsi="Palatino Linotype" w:cs="Palatino Linotype"/>
          <w:i/>
        </w:rPr>
      </w:pP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w:t>
      </w:r>
      <w:r w:rsidRPr="007A72FB">
        <w:rPr>
          <w:rFonts w:ascii="Palatino Linotype" w:eastAsia="Palatino Linotype" w:hAnsi="Palatino Linotype" w:cs="Palatino Linotype"/>
        </w:rPr>
        <w:lastRenderedPageBreak/>
        <w:t>interés del solicitante; como así lo establece el artículo 12 de la Ley de Transparencia y Acceso a la Información Pública del Estado de México y Municipios, el cual a la letra dice:</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w:t>
      </w:r>
      <w:r w:rsidRPr="007A72FB">
        <w:rPr>
          <w:rFonts w:ascii="Palatino Linotype" w:eastAsia="Palatino Linotype" w:hAnsi="Palatino Linotype" w:cs="Palatino Linotype"/>
          <w:b/>
          <w:i/>
          <w:sz w:val="22"/>
          <w:szCs w:val="22"/>
        </w:rPr>
        <w:t>Artículo 12.-</w:t>
      </w:r>
      <w:r w:rsidRPr="007A72F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A72FB">
        <w:rPr>
          <w:rFonts w:ascii="Palatino Linotype" w:eastAsia="Palatino Linotype" w:hAnsi="Palatino Linotype" w:cs="Palatino Linotype"/>
          <w:i/>
          <w:sz w:val="22"/>
          <w:szCs w:val="22"/>
        </w:rPr>
        <w:t xml:space="preserve">. </w:t>
      </w:r>
      <w:r w:rsidRPr="007A72F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AC5BFB" w:rsidRPr="007A72FB" w:rsidRDefault="00AC5BFB">
      <w:pPr>
        <w:spacing w:line="360" w:lineRule="auto"/>
        <w:ind w:right="-93"/>
        <w:jc w:val="both"/>
        <w:rPr>
          <w:rFonts w:ascii="Palatino Linotype" w:eastAsia="Palatino Linotype" w:hAnsi="Palatino Linotype" w:cs="Palatino Linotype"/>
        </w:rPr>
      </w:pPr>
    </w:p>
    <w:p w:rsidR="00AC5BFB" w:rsidRPr="007A72FB" w:rsidRDefault="002E770D">
      <w:pP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AC5BFB" w:rsidRPr="007A72FB" w:rsidRDefault="00AC5BFB">
      <w:pPr>
        <w:spacing w:line="360" w:lineRule="auto"/>
        <w:jc w:val="both"/>
        <w:rPr>
          <w:rFonts w:ascii="Palatino Linotype" w:eastAsia="Palatino Linotype" w:hAnsi="Palatino Linotype" w:cs="Palatino Linotype"/>
        </w:rPr>
      </w:pPr>
    </w:p>
    <w:p w:rsidR="00AC5BFB" w:rsidRPr="007A72FB" w:rsidRDefault="002E770D">
      <w:pPr>
        <w:spacing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AC5BFB" w:rsidRPr="007A72FB" w:rsidRDefault="00AC5BFB">
      <w:pPr>
        <w:spacing w:line="360" w:lineRule="auto"/>
        <w:ind w:right="49"/>
        <w:jc w:val="both"/>
        <w:rPr>
          <w:rFonts w:ascii="Palatino Linotype" w:eastAsia="Palatino Linotype" w:hAnsi="Palatino Linotype" w:cs="Palatino Linotype"/>
        </w:rPr>
      </w:pPr>
    </w:p>
    <w:p w:rsidR="00AC5BFB" w:rsidRPr="007A72FB" w:rsidRDefault="002E770D">
      <w:pP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Por otra parte, conviene mencionar que la Ley de Transparencia vigente en el Estado de México refiere: </w:t>
      </w:r>
    </w:p>
    <w:p w:rsidR="00AC5BFB" w:rsidRPr="007A72FB" w:rsidRDefault="00AC5BFB">
      <w:pPr>
        <w:spacing w:line="360" w:lineRule="auto"/>
        <w:jc w:val="both"/>
        <w:rPr>
          <w:rFonts w:ascii="Palatino Linotype" w:eastAsia="Palatino Linotype" w:hAnsi="Palatino Linotype" w:cs="Palatino Linotype"/>
        </w:rPr>
      </w:pP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Artículo 18.</w:t>
      </w:r>
      <w:r w:rsidRPr="007A72FB">
        <w:rPr>
          <w:rFonts w:ascii="Palatino Linotype" w:eastAsia="Palatino Linotype" w:hAnsi="Palatino Linotype" w:cs="Palatino Linotype"/>
          <w:i/>
          <w:sz w:val="22"/>
          <w:szCs w:val="22"/>
        </w:rPr>
        <w:t xml:space="preserve"> </w:t>
      </w:r>
      <w:r w:rsidRPr="007A72FB">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7A72FB">
        <w:rPr>
          <w:rFonts w:ascii="Palatino Linotype" w:eastAsia="Palatino Linotype" w:hAnsi="Palatino Linotype" w:cs="Palatino Linotype"/>
          <w:i/>
          <w:sz w:val="22"/>
          <w:szCs w:val="22"/>
        </w:rPr>
        <w:t xml:space="preserve"> y reutilización de la información que generen.</w:t>
      </w:r>
    </w:p>
    <w:p w:rsidR="00AC5BFB" w:rsidRPr="007A72FB" w:rsidRDefault="00AC5BFB">
      <w:pPr>
        <w:ind w:left="851" w:right="616"/>
        <w:jc w:val="both"/>
        <w:rPr>
          <w:rFonts w:ascii="Palatino Linotype" w:eastAsia="Palatino Linotype" w:hAnsi="Palatino Linotype" w:cs="Palatino Linotype"/>
          <w:b/>
          <w:i/>
          <w:sz w:val="22"/>
          <w:szCs w:val="22"/>
        </w:rPr>
      </w:pP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Artículo 19. </w:t>
      </w:r>
      <w:r w:rsidRPr="007A72FB">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7A72FB">
        <w:rPr>
          <w:rFonts w:ascii="Palatino Linotype" w:eastAsia="Palatino Linotype" w:hAnsi="Palatino Linotype" w:cs="Palatino Linotype"/>
          <w:i/>
          <w:sz w:val="22"/>
          <w:szCs w:val="22"/>
        </w:rPr>
        <w:t>.</w:t>
      </w:r>
    </w:p>
    <w:p w:rsidR="00AC5BFB" w:rsidRPr="007A72FB" w:rsidRDefault="00AC5BFB">
      <w:pPr>
        <w:ind w:left="851" w:right="616"/>
        <w:jc w:val="both"/>
        <w:rPr>
          <w:rFonts w:ascii="Palatino Linotype" w:eastAsia="Palatino Linotype" w:hAnsi="Palatino Linotype" w:cs="Palatino Linotype"/>
          <w:i/>
          <w:sz w:val="22"/>
          <w:szCs w:val="22"/>
        </w:rPr>
      </w:pP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AC5BFB" w:rsidRPr="007A72FB" w:rsidRDefault="00AC5BFB">
      <w:pPr>
        <w:ind w:left="851" w:right="616"/>
        <w:jc w:val="both"/>
        <w:rPr>
          <w:rFonts w:ascii="Palatino Linotype" w:eastAsia="Palatino Linotype" w:hAnsi="Palatino Linotype" w:cs="Palatino Linotype"/>
          <w:i/>
          <w:sz w:val="22"/>
          <w:szCs w:val="22"/>
        </w:rPr>
      </w:pP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AC5BFB" w:rsidRPr="007A72FB" w:rsidRDefault="00AC5BFB">
      <w:pPr>
        <w:ind w:left="851" w:right="851"/>
        <w:jc w:val="both"/>
        <w:rPr>
          <w:rFonts w:ascii="Palatino Linotype" w:eastAsia="Palatino Linotype" w:hAnsi="Palatino Linotype" w:cs="Palatino Linotype"/>
          <w:i/>
          <w:sz w:val="22"/>
          <w:szCs w:val="22"/>
        </w:rPr>
      </w:pPr>
    </w:p>
    <w:p w:rsidR="00AC5BFB" w:rsidRPr="007A72FB" w:rsidRDefault="002E770D">
      <w:pPr>
        <w:ind w:left="851" w:right="851"/>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Énfasis añadido.</w:t>
      </w:r>
    </w:p>
    <w:p w:rsidR="00AC5BFB" w:rsidRPr="007A72FB" w:rsidRDefault="00AC5BFB">
      <w:pPr>
        <w:spacing w:line="360" w:lineRule="auto"/>
        <w:jc w:val="both"/>
        <w:rPr>
          <w:rFonts w:ascii="Palatino Linotype" w:eastAsia="Palatino Linotype" w:hAnsi="Palatino Linotype" w:cs="Palatino Linotype"/>
        </w:rPr>
      </w:pPr>
    </w:p>
    <w:p w:rsidR="00AC5BFB" w:rsidRPr="007A72FB" w:rsidRDefault="002E770D">
      <w:pP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AC5BFB" w:rsidRPr="007A72FB" w:rsidRDefault="00AC5BFB">
      <w:pPr>
        <w:spacing w:line="360" w:lineRule="auto"/>
        <w:jc w:val="both"/>
        <w:rPr>
          <w:rFonts w:ascii="Palatino Linotype" w:eastAsia="Palatino Linotype" w:hAnsi="Palatino Linotype" w:cs="Palatino Linotype"/>
        </w:rPr>
      </w:pPr>
    </w:p>
    <w:p w:rsidR="00AC5BFB" w:rsidRPr="007A72FB" w:rsidRDefault="002E770D">
      <w:pP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AC5BFB" w:rsidRPr="007A72FB" w:rsidRDefault="00AC5BFB">
      <w:pPr>
        <w:ind w:left="851" w:right="899"/>
        <w:jc w:val="both"/>
        <w:rPr>
          <w:rFonts w:ascii="Palatino Linotype" w:eastAsia="Palatino Linotype" w:hAnsi="Palatino Linotype" w:cs="Palatino Linotype"/>
          <w:i/>
          <w:sz w:val="22"/>
          <w:szCs w:val="22"/>
        </w:rPr>
      </w:pPr>
    </w:p>
    <w:p w:rsidR="00AC5BFB" w:rsidRPr="007A72FB" w:rsidRDefault="002E770D">
      <w:pPr>
        <w:ind w:left="851" w:right="899"/>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w:t>
      </w:r>
      <w:r w:rsidRPr="007A72FB">
        <w:rPr>
          <w:rFonts w:ascii="Palatino Linotype" w:eastAsia="Palatino Linotype" w:hAnsi="Palatino Linotype" w:cs="Palatino Linotype"/>
          <w:b/>
          <w:i/>
          <w:sz w:val="22"/>
          <w:szCs w:val="22"/>
        </w:rPr>
        <w:t xml:space="preserve">Artículo 3. </w:t>
      </w:r>
      <w:r w:rsidRPr="007A72FB">
        <w:rPr>
          <w:rFonts w:ascii="Palatino Linotype" w:eastAsia="Palatino Linotype" w:hAnsi="Palatino Linotype" w:cs="Palatino Linotype"/>
          <w:i/>
          <w:sz w:val="22"/>
          <w:szCs w:val="22"/>
        </w:rPr>
        <w:t>Para los efectos de la presente Ley se entenderá por:</w:t>
      </w:r>
    </w:p>
    <w:p w:rsidR="00AC5BFB" w:rsidRPr="007A72FB" w:rsidRDefault="002E770D">
      <w:pPr>
        <w:ind w:left="851" w:right="899"/>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XI. Documento:</w:t>
      </w:r>
      <w:r w:rsidRPr="007A72FB">
        <w:rPr>
          <w:rFonts w:ascii="Palatino Linotype" w:eastAsia="Palatino Linotype" w:hAnsi="Palatino Linotype" w:cs="Palatino Linotype"/>
          <w:i/>
          <w:sz w:val="22"/>
          <w:szCs w:val="22"/>
        </w:rPr>
        <w:t xml:space="preserve"> Los expedientes, reportes, estudios, actas</w:t>
      </w:r>
      <w:r w:rsidRPr="007A72FB">
        <w:rPr>
          <w:rFonts w:ascii="Palatino Linotype" w:eastAsia="Palatino Linotype" w:hAnsi="Palatino Linotype" w:cs="Palatino Linotype"/>
          <w:b/>
          <w:i/>
          <w:sz w:val="22"/>
          <w:szCs w:val="22"/>
        </w:rPr>
        <w:t>,</w:t>
      </w:r>
      <w:r w:rsidRPr="007A72F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7A72FB">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7A72FB">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7A72FB">
        <w:rPr>
          <w:rFonts w:ascii="Palatino Linotype" w:eastAsia="Palatino Linotype" w:hAnsi="Palatino Linotype" w:cs="Palatino Linotype"/>
          <w:b/>
          <w:i/>
          <w:sz w:val="22"/>
          <w:szCs w:val="22"/>
          <w:u w:val="single"/>
        </w:rPr>
        <w:t>electrónico, informático</w:t>
      </w:r>
      <w:r w:rsidRPr="007A72FB">
        <w:rPr>
          <w:rFonts w:ascii="Palatino Linotype" w:eastAsia="Palatino Linotype" w:hAnsi="Palatino Linotype" w:cs="Palatino Linotype"/>
          <w:i/>
          <w:sz w:val="22"/>
          <w:szCs w:val="22"/>
        </w:rPr>
        <w:t xml:space="preserve"> u holográfico…” (Sic)</w:t>
      </w:r>
    </w:p>
    <w:p w:rsidR="00AC5BFB" w:rsidRPr="007A72FB" w:rsidRDefault="00AC5BFB">
      <w:pPr>
        <w:ind w:left="851" w:right="899"/>
        <w:jc w:val="both"/>
        <w:rPr>
          <w:rFonts w:ascii="Palatino Linotype" w:eastAsia="Palatino Linotype" w:hAnsi="Palatino Linotype" w:cs="Palatino Linotype"/>
          <w:sz w:val="22"/>
          <w:szCs w:val="22"/>
        </w:rPr>
      </w:pPr>
    </w:p>
    <w:p w:rsidR="00AC5BFB" w:rsidRPr="007A72FB" w:rsidRDefault="002E770D">
      <w:pP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AC5BFB" w:rsidRPr="007A72FB" w:rsidRDefault="00AC5BFB">
      <w:pPr>
        <w:ind w:left="851" w:right="899"/>
        <w:jc w:val="both"/>
        <w:rPr>
          <w:rFonts w:ascii="Palatino Linotype" w:eastAsia="Palatino Linotype" w:hAnsi="Palatino Linotype" w:cs="Palatino Linotype"/>
        </w:rPr>
      </w:pPr>
    </w:p>
    <w:p w:rsidR="00AC5BFB" w:rsidRPr="007A72FB" w:rsidRDefault="002E770D">
      <w:pPr>
        <w:ind w:left="851" w:right="616"/>
        <w:jc w:val="both"/>
        <w:rPr>
          <w:rFonts w:ascii="Palatino Linotype" w:eastAsia="Palatino Linotype" w:hAnsi="Palatino Linotype" w:cs="Palatino Linotype"/>
          <w:b/>
          <w:i/>
          <w:sz w:val="22"/>
          <w:szCs w:val="22"/>
        </w:rPr>
      </w:pPr>
      <w:r w:rsidRPr="007A72FB">
        <w:rPr>
          <w:rFonts w:ascii="Palatino Linotype" w:eastAsia="Palatino Linotype" w:hAnsi="Palatino Linotype" w:cs="Palatino Linotype"/>
          <w:b/>
          <w:sz w:val="22"/>
          <w:szCs w:val="22"/>
        </w:rPr>
        <w:t>“</w:t>
      </w:r>
      <w:r w:rsidRPr="007A72FB">
        <w:rPr>
          <w:rFonts w:ascii="Palatino Linotype" w:eastAsia="Palatino Linotype" w:hAnsi="Palatino Linotype" w:cs="Palatino Linotype"/>
          <w:b/>
          <w:i/>
          <w:sz w:val="22"/>
          <w:szCs w:val="22"/>
        </w:rPr>
        <w:t>CRITERIO 0002-11</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INFORMACIÓN PÚBLICA, CONCEPTO DE, EN MATERIA DE TRANSPARENCIA. INTERPRETACIÓN SISTEMÁTICA DE LOS </w:t>
      </w:r>
      <w:r w:rsidRPr="007A72FB">
        <w:rPr>
          <w:rFonts w:ascii="Palatino Linotype" w:eastAsia="Palatino Linotype" w:hAnsi="Palatino Linotype" w:cs="Palatino Linotype"/>
          <w:b/>
          <w:i/>
          <w:sz w:val="22"/>
          <w:szCs w:val="22"/>
        </w:rPr>
        <w:lastRenderedPageBreak/>
        <w:t>ARTÍCULOS 2°, FRACCIÓN V, XV, Y XVI, 3°, 4°, 11 Y 41.</w:t>
      </w:r>
      <w:r w:rsidRPr="007A72F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En consecuencia el acceso a la información se refiere a que se cumplan cualquiera de los siguientes tres supuestos:</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AC5BFB" w:rsidRPr="007A72FB" w:rsidRDefault="002E770D">
      <w:pPr>
        <w:ind w:left="851" w:right="616"/>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De ahí que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A72FB">
        <w:rPr>
          <w:rFonts w:ascii="Palatino Linotype" w:eastAsia="Palatino Linotype" w:hAnsi="Palatino Linotype" w:cs="Palatino Linotype"/>
          <w:vertAlign w:val="superscript"/>
        </w:rPr>
        <w:footnoteReference w:id="1"/>
      </w:r>
      <w:r w:rsidRPr="007A72FB">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A72FB">
        <w:rPr>
          <w:rFonts w:ascii="Palatino Linotype" w:eastAsia="Palatino Linotype" w:hAnsi="Palatino Linotype" w:cs="Palatino Linotype"/>
          <w:vertAlign w:val="superscript"/>
        </w:rPr>
        <w:footnoteReference w:id="2"/>
      </w:r>
      <w:r w:rsidRPr="007A72FB">
        <w:rPr>
          <w:rFonts w:ascii="Palatino Linotype" w:eastAsia="Palatino Linotype" w:hAnsi="Palatino Linotype" w:cs="Palatino Linotype"/>
        </w:rPr>
        <w:t xml:space="preserve">, como pudiera tratarse de </w:t>
      </w:r>
      <w:r w:rsidRPr="007A72FB">
        <w:rPr>
          <w:rFonts w:ascii="Palatino Linotype" w:eastAsia="Palatino Linotype" w:hAnsi="Palatino Linotype" w:cs="Palatino Linotype"/>
        </w:rPr>
        <w:lastRenderedPageBreak/>
        <w:t>aquella relacionada con las obligaciones de transparencia señaladas en los artículos 92 y 100 de la Ley de la Materia.</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Agotado lo anterior</w:t>
      </w:r>
      <w:r w:rsidRPr="007A72FB">
        <w:rPr>
          <w:rFonts w:ascii="Palatino Linotype" w:eastAsia="Palatino Linotype" w:hAnsi="Palatino Linotype" w:cs="Palatino Linotype"/>
          <w:b/>
        </w:rPr>
        <w:t xml:space="preserve">,  </w:t>
      </w:r>
      <w:r w:rsidRPr="007A72FB">
        <w:rPr>
          <w:rFonts w:ascii="Palatino Linotype" w:eastAsia="Palatino Linotype" w:hAnsi="Palatino Linotype" w:cs="Palatino Linotype"/>
        </w:rPr>
        <w:t xml:space="preserve"> de la solicitud planteada por el particular, así como de la respuesta que fue entregada por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y los motivos de informidad planteados por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en el recurso de revisión que ahora se analiza, se precisa que a manera de resumen en el siguiente cuadro: </w:t>
      </w:r>
    </w:p>
    <w:tbl>
      <w:tblPr>
        <w:tblStyle w:val="a6"/>
        <w:tblW w:w="878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551"/>
        <w:gridCol w:w="1418"/>
        <w:gridCol w:w="2835"/>
      </w:tblGrid>
      <w:tr w:rsidR="007A72FB" w:rsidRPr="007A72FB">
        <w:trPr>
          <w:trHeight w:val="414"/>
        </w:trPr>
        <w:tc>
          <w:tcPr>
            <w:tcW w:w="1980" w:type="dxa"/>
            <w:tcBorders>
              <w:top w:val="single" w:sz="4" w:space="0" w:color="000000"/>
              <w:left w:val="single" w:sz="4" w:space="0" w:color="000000"/>
              <w:bottom w:val="single" w:sz="4" w:space="0" w:color="000000"/>
              <w:right w:val="single" w:sz="4" w:space="0" w:color="000000"/>
            </w:tcBorders>
          </w:tcPr>
          <w:p w:rsidR="00AC5BFB" w:rsidRPr="007A72FB" w:rsidRDefault="002E770D">
            <w:pPr>
              <w:jc w:val="center"/>
              <w:rPr>
                <w:rFonts w:ascii="Palatino Linotype" w:eastAsia="Palatino Linotype" w:hAnsi="Palatino Linotype" w:cs="Palatino Linotype"/>
                <w:b/>
                <w:sz w:val="18"/>
                <w:szCs w:val="18"/>
              </w:rPr>
            </w:pPr>
            <w:r w:rsidRPr="007A72FB">
              <w:rPr>
                <w:rFonts w:ascii="Palatino Linotype" w:eastAsia="Palatino Linotype" w:hAnsi="Palatino Linotype" w:cs="Palatino Linotype"/>
                <w:b/>
                <w:sz w:val="18"/>
                <w:szCs w:val="18"/>
              </w:rPr>
              <w:t xml:space="preserve">Solicitud </w:t>
            </w:r>
          </w:p>
        </w:tc>
        <w:tc>
          <w:tcPr>
            <w:tcW w:w="2551" w:type="dxa"/>
            <w:tcBorders>
              <w:top w:val="single" w:sz="4" w:space="0" w:color="000000"/>
              <w:left w:val="single" w:sz="4" w:space="0" w:color="000000"/>
              <w:bottom w:val="single" w:sz="4" w:space="0" w:color="000000"/>
              <w:right w:val="single" w:sz="4" w:space="0" w:color="000000"/>
            </w:tcBorders>
          </w:tcPr>
          <w:p w:rsidR="00AC5BFB" w:rsidRPr="007A72FB" w:rsidRDefault="002E770D">
            <w:pPr>
              <w:rPr>
                <w:rFonts w:ascii="Palatino Linotype" w:eastAsia="Palatino Linotype" w:hAnsi="Palatino Linotype" w:cs="Palatino Linotype"/>
                <w:b/>
                <w:sz w:val="18"/>
                <w:szCs w:val="18"/>
              </w:rPr>
            </w:pPr>
            <w:r w:rsidRPr="007A72FB">
              <w:rPr>
                <w:rFonts w:ascii="Palatino Linotype" w:eastAsia="Palatino Linotype" w:hAnsi="Palatino Linotype" w:cs="Palatino Linotype"/>
                <w:b/>
                <w:sz w:val="18"/>
                <w:szCs w:val="18"/>
              </w:rPr>
              <w:t xml:space="preserve">Respuesta </w:t>
            </w:r>
          </w:p>
        </w:tc>
        <w:tc>
          <w:tcPr>
            <w:tcW w:w="1418" w:type="dxa"/>
            <w:tcBorders>
              <w:top w:val="single" w:sz="4" w:space="0" w:color="000000"/>
              <w:left w:val="single" w:sz="4" w:space="0" w:color="000000"/>
              <w:bottom w:val="single" w:sz="4" w:space="0" w:color="000000"/>
              <w:right w:val="single" w:sz="4" w:space="0" w:color="000000"/>
            </w:tcBorders>
          </w:tcPr>
          <w:p w:rsidR="00AC5BFB" w:rsidRPr="007A72FB" w:rsidRDefault="002E770D">
            <w:pPr>
              <w:rPr>
                <w:rFonts w:ascii="Palatino Linotype" w:eastAsia="Palatino Linotype" w:hAnsi="Palatino Linotype" w:cs="Palatino Linotype"/>
                <w:b/>
                <w:sz w:val="18"/>
                <w:szCs w:val="18"/>
              </w:rPr>
            </w:pPr>
            <w:r w:rsidRPr="007A72FB">
              <w:rPr>
                <w:rFonts w:ascii="Palatino Linotype" w:eastAsia="Palatino Linotype" w:hAnsi="Palatino Linotype" w:cs="Palatino Linotype"/>
                <w:b/>
                <w:sz w:val="16"/>
                <w:szCs w:val="16"/>
              </w:rPr>
              <w:t xml:space="preserve">Motivos de inconformidad  </w:t>
            </w:r>
          </w:p>
        </w:tc>
        <w:tc>
          <w:tcPr>
            <w:tcW w:w="2835" w:type="dxa"/>
            <w:tcBorders>
              <w:top w:val="single" w:sz="4" w:space="0" w:color="000000"/>
              <w:left w:val="single" w:sz="4" w:space="0" w:color="000000"/>
              <w:bottom w:val="single" w:sz="4" w:space="0" w:color="000000"/>
              <w:right w:val="single" w:sz="4" w:space="0" w:color="000000"/>
            </w:tcBorders>
          </w:tcPr>
          <w:p w:rsidR="00AC5BFB" w:rsidRPr="007A72FB" w:rsidRDefault="002E770D">
            <w:pPr>
              <w:jc w:val="center"/>
              <w:rPr>
                <w:rFonts w:ascii="Palatino Linotype" w:eastAsia="Palatino Linotype" w:hAnsi="Palatino Linotype" w:cs="Palatino Linotype"/>
                <w:b/>
                <w:sz w:val="18"/>
                <w:szCs w:val="18"/>
              </w:rPr>
            </w:pPr>
            <w:r w:rsidRPr="007A72FB">
              <w:rPr>
                <w:rFonts w:ascii="Palatino Linotype" w:eastAsia="Palatino Linotype" w:hAnsi="Palatino Linotype" w:cs="Palatino Linotype"/>
                <w:b/>
                <w:sz w:val="18"/>
                <w:szCs w:val="18"/>
              </w:rPr>
              <w:t>Informe Justificado</w:t>
            </w:r>
          </w:p>
        </w:tc>
      </w:tr>
      <w:tr w:rsidR="007A72FB" w:rsidRPr="007A72FB">
        <w:trPr>
          <w:trHeight w:val="919"/>
        </w:trPr>
        <w:tc>
          <w:tcPr>
            <w:tcW w:w="1980" w:type="dxa"/>
            <w:tcBorders>
              <w:top w:val="single" w:sz="4" w:space="0" w:color="000000"/>
              <w:left w:val="single" w:sz="4" w:space="0" w:color="000000"/>
              <w:bottom w:val="single" w:sz="4" w:space="0" w:color="000000"/>
              <w:right w:val="single" w:sz="4" w:space="0" w:color="000000"/>
            </w:tcBorders>
          </w:tcPr>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Se solicita la normatividad de grúas en el estado de México;</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Las tarifas que deben cobrar los corralones y los corralones autorizados con su permiso y autorizaciones para trabajar y las concesiones de sus grúas;</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28"/>
                <w:szCs w:val="28"/>
              </w:rPr>
            </w:pPr>
            <w:r w:rsidRPr="007A72FB">
              <w:rPr>
                <w:rFonts w:ascii="Palatino Linotype" w:eastAsia="Palatino Linotype" w:hAnsi="Palatino Linotype" w:cs="Palatino Linotype"/>
                <w:sz w:val="14"/>
                <w:szCs w:val="14"/>
              </w:rPr>
              <w:t>Cuantas quejas se tienen por los cobros abusivos de las grúas en el estado</w:t>
            </w:r>
            <w:r w:rsidRPr="007A72FB">
              <w:rPr>
                <w:rFonts w:ascii="Palatino Linotype" w:eastAsia="Palatino Linotype" w:hAnsi="Palatino Linotype" w:cs="Palatino Linotype"/>
                <w:sz w:val="16"/>
                <w:szCs w:val="16"/>
              </w:rPr>
              <w:t>.</w:t>
            </w:r>
          </w:p>
          <w:p w:rsidR="00AC5BFB" w:rsidRPr="007A72FB" w:rsidRDefault="00AC5BFB">
            <w:pPr>
              <w:jc w:val="both"/>
              <w:rPr>
                <w:rFonts w:ascii="Palatino Linotype" w:eastAsia="Palatino Linotype" w:hAnsi="Palatino Linotype" w:cs="Palatino Linotype"/>
                <w:sz w:val="18"/>
                <w:szCs w:val="18"/>
              </w:rPr>
            </w:pPr>
          </w:p>
          <w:p w:rsidR="00AC5BFB" w:rsidRPr="007A72FB" w:rsidRDefault="00AC5BFB">
            <w:pPr>
              <w:jc w:val="both"/>
              <w:rPr>
                <w:rFonts w:ascii="Palatino Linotype" w:eastAsia="Palatino Linotype" w:hAnsi="Palatino Linotype" w:cs="Palatino Linotype"/>
                <w:sz w:val="18"/>
                <w:szCs w:val="18"/>
              </w:rPr>
            </w:pPr>
          </w:p>
        </w:tc>
        <w:tc>
          <w:tcPr>
            <w:tcW w:w="2551" w:type="dxa"/>
            <w:tcBorders>
              <w:top w:val="single" w:sz="4" w:space="0" w:color="000000"/>
              <w:left w:val="single" w:sz="4" w:space="0" w:color="000000"/>
              <w:bottom w:val="single" w:sz="4" w:space="0" w:color="000000"/>
              <w:right w:val="single" w:sz="4" w:space="0" w:color="000000"/>
            </w:tcBorders>
          </w:tcPr>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Acuerdo por el que se Actualizan y se Fijan las Tarifas Máximas del Servicio de Vehículos Adaptados para Prestar los Servicios Auxiliares de Arrastre, Salvamento, Guarda, Custodia y Depósito de Vehículos en el Estado de México;</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b/>
                <w:sz w:val="14"/>
                <w:szCs w:val="14"/>
              </w:rPr>
            </w:pPr>
            <w:r w:rsidRPr="007A72FB">
              <w:rPr>
                <w:rFonts w:ascii="Palatino Linotype" w:eastAsia="Palatino Linotype" w:hAnsi="Palatino Linotype" w:cs="Palatino Linotype"/>
                <w:b/>
                <w:sz w:val="14"/>
                <w:szCs w:val="14"/>
              </w:rPr>
              <w:t xml:space="preserve">Subsecretaria de Movilidad: </w:t>
            </w: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 xml:space="preserve">Entrega el nombre de las empresas concesionarias para la prestación de Servicio Publico Auxiliar de Depósitos para Guarda y Custodia Vehicular con concesión vigente. </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b/>
                <w:sz w:val="14"/>
                <w:szCs w:val="14"/>
              </w:rPr>
            </w:pPr>
            <w:r w:rsidRPr="007A72FB">
              <w:rPr>
                <w:rFonts w:ascii="Palatino Linotype" w:eastAsia="Palatino Linotype" w:hAnsi="Palatino Linotype" w:cs="Palatino Linotype"/>
                <w:b/>
                <w:sz w:val="14"/>
                <w:szCs w:val="14"/>
              </w:rPr>
              <w:t>Dirección General del Registro Estatal de Transporte Público.</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 xml:space="preserve">Refiere que esa dirección general, no tiene atribuciones para copiar y/o difundir los ordenamientos normativos que regulan la organización y el funcionamiento en materia de transporte público; no obstante en atención al principio de  máxima publicidad, en la página oficial de la Secretaria de Movilidad se encuentra publicada la </w:t>
            </w:r>
            <w:proofErr w:type="spellStart"/>
            <w:r w:rsidRPr="007A72FB">
              <w:rPr>
                <w:rFonts w:ascii="Palatino Linotype" w:eastAsia="Palatino Linotype" w:hAnsi="Palatino Linotype" w:cs="Palatino Linotype"/>
                <w:sz w:val="14"/>
                <w:szCs w:val="14"/>
              </w:rPr>
              <w:t>normateca</w:t>
            </w:r>
            <w:proofErr w:type="spellEnd"/>
            <w:r w:rsidRPr="007A72FB">
              <w:rPr>
                <w:rFonts w:ascii="Palatino Linotype" w:eastAsia="Palatino Linotype" w:hAnsi="Palatino Linotype" w:cs="Palatino Linotype"/>
                <w:sz w:val="14"/>
                <w:szCs w:val="14"/>
              </w:rPr>
              <w:t xml:space="preserve"> que rige a esa secretaria;</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 xml:space="preserve">Que esa unidad administrativa no conoce sobre la elaboración de proyectos de precios, cuotas y tarifas del servicio público de transporte </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 xml:space="preserve">Que esa Dirección General del Registro Estatal de Transporte Público, no tiene facultades para recibir o dar seguimiento a quejas y denuncias presentadas en contra de los concesionarios </w:t>
            </w: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 xml:space="preserve">   </w:t>
            </w: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lastRenderedPageBreak/>
              <w:t>Dirección General de Movilidad de Zona I</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En cuanto a la normatividad vigente que la norma y las tarifas autorizadas, se le hace del conocimiento que dicha información se encuentra publicada en las ligas electrónicas ( entrega 3 ligas electrónicas)</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En cuanto a las quejas presentadas por cobros excesivos, se informa que se tienen registradas  5 (cinco)</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Dirección General de Movilidad de Zona II</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Remite el Periódico Oficial “Gaceta del Gobierno” por medio del cual se publicó el 03 de agosto de 2022</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Dirección General de Movilidad de Zona III</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Remite una liga electrónica donde se contiene la legislación</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Respecto al número de quejas por cobros abusivos, después de realizar una búsqueda no se arrojó información al respecto.</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Dirección General de Movilidad de Zona IV</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Que adjunta los acuerdos correspondientes, así mismo hace del conocimiento que el depósito vehicular denominado “Prospectiva Trascendental y Génesis del Desarrollo” cuenta con concesión vigente</w:t>
            </w: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 xml:space="preserve">   </w:t>
            </w:r>
          </w:p>
          <w:p w:rsidR="00AC5BFB" w:rsidRPr="007A72FB" w:rsidRDefault="00AC5BFB">
            <w:pPr>
              <w:jc w:val="both"/>
              <w:rPr>
                <w:rFonts w:ascii="Palatino Linotype" w:eastAsia="Palatino Linotype" w:hAnsi="Palatino Linotype" w:cs="Palatino Linotype"/>
                <w:sz w:val="14"/>
                <w:szCs w:val="14"/>
              </w:rPr>
            </w:pPr>
          </w:p>
        </w:tc>
        <w:tc>
          <w:tcPr>
            <w:tcW w:w="1418" w:type="dxa"/>
            <w:tcBorders>
              <w:top w:val="single" w:sz="4" w:space="0" w:color="000000"/>
              <w:left w:val="single" w:sz="4" w:space="0" w:color="000000"/>
              <w:bottom w:val="single" w:sz="4" w:space="0" w:color="000000"/>
              <w:right w:val="single" w:sz="4" w:space="0" w:color="000000"/>
            </w:tcBorders>
          </w:tcPr>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lastRenderedPageBreak/>
              <w:t>Entrega el mismo documento, dicen entregar la Norma Técnica y no se entrega</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Información incompleta</w:t>
            </w:r>
          </w:p>
        </w:tc>
        <w:tc>
          <w:tcPr>
            <w:tcW w:w="2835" w:type="dxa"/>
            <w:tcBorders>
              <w:top w:val="single" w:sz="4" w:space="0" w:color="000000"/>
              <w:left w:val="single" w:sz="4" w:space="0" w:color="000000"/>
              <w:bottom w:val="single" w:sz="4" w:space="0" w:color="000000"/>
              <w:right w:val="single" w:sz="4" w:space="0" w:color="000000"/>
            </w:tcBorders>
          </w:tcPr>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Oficio 22001001A 00000/2023/192 de fecha 27 de febrero de 2023, suscrito por el Director General de Movilidad por medio de este documento se modifica la respuesta que tuvo en su origen, señalando que se adjunta la Norma Técnica;</w:t>
            </w: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Oficio 22001002000000T/0338/2023 de fecha 07 de maro de 2023 suscrito por el Director General de Movilidad  Zona II por medio del cual se ratifica que en su origen fue entregada;</w:t>
            </w: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Oficio CCT/UT/168/2023 de fecha 09 de marzo de 2023 suscrito por el Director General de Movilidad Zona III por medio del cual ratifica la respuesta que en su origen le fue entregada:</w:t>
            </w: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Oficio 22001004A 00000 /0200/2023  de fecha 06 de marzo de 2023 suscrito por la Dirección General de Movilidad Zona IV  por vía del cual se ratifica la respuesta que en su origen fue proporcionada.</w:t>
            </w:r>
          </w:p>
          <w:p w:rsidR="00AC5BFB" w:rsidRPr="007A72FB" w:rsidRDefault="00AC5BFB">
            <w:pPr>
              <w:jc w:val="both"/>
              <w:rPr>
                <w:rFonts w:ascii="Palatino Linotype" w:eastAsia="Palatino Linotype" w:hAnsi="Palatino Linotype" w:cs="Palatino Linotype"/>
                <w:sz w:val="14"/>
                <w:szCs w:val="14"/>
              </w:rPr>
            </w:pP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w:t>
            </w:r>
            <w:r w:rsidRPr="007A72FB">
              <w:rPr>
                <w:rFonts w:ascii="Palatino Linotype" w:eastAsia="Palatino Linotype" w:hAnsi="Palatino Linotype" w:cs="Palatino Linotype"/>
                <w:sz w:val="14"/>
                <w:szCs w:val="14"/>
              </w:rPr>
              <w:tab/>
              <w:t>oficio 220010000000100S/2023/342 documental en archivo electrónico suscrita por el Titular de la Unidad de Transparencia, por vial del cual señala:</w:t>
            </w:r>
          </w:p>
          <w:p w:rsidR="00AC5BFB" w:rsidRPr="007A72FB" w:rsidRDefault="002E770D">
            <w:pPr>
              <w:jc w:val="both"/>
              <w:rPr>
                <w:rFonts w:ascii="Palatino Linotype" w:eastAsia="Palatino Linotype" w:hAnsi="Palatino Linotype" w:cs="Palatino Linotype"/>
                <w:sz w:val="14"/>
                <w:szCs w:val="14"/>
              </w:rPr>
            </w:pPr>
            <w:r w:rsidRPr="007A72FB">
              <w:rPr>
                <w:rFonts w:ascii="Palatino Linotype" w:eastAsia="Palatino Linotype" w:hAnsi="Palatino Linotype" w:cs="Palatino Linotype"/>
                <w:sz w:val="14"/>
                <w:szCs w:val="14"/>
              </w:rPr>
              <w:t>Que después de una búsqueda exhaustiva dentro de los archivos de la Subsecretaría de Movilidad, se obtuvo la síguete información respecto de las empresas concesionarias para la prestación del Servicio Público Auxiliar de Depósitos para Guarda y Custodia Vehicular con concesión vigente</w:t>
            </w:r>
          </w:p>
        </w:tc>
      </w:tr>
    </w:tbl>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Tal y como se observa  en la imagen anterior, se deprende que el particular manifestó en sus acto impugnado que: “</w:t>
      </w:r>
      <w:r w:rsidRPr="007A72FB">
        <w:rPr>
          <w:rFonts w:ascii="Palatino Linotype" w:eastAsia="Palatino Linotype" w:hAnsi="Palatino Linotype" w:cs="Palatino Linotype"/>
          <w:i/>
        </w:rPr>
        <w:t>…Entrega el mismo documento, dicen entregar la Norma Técnica y no se entrega</w:t>
      </w:r>
      <w:r w:rsidRPr="007A72FB">
        <w:rPr>
          <w:rFonts w:ascii="Palatino Linotype" w:eastAsia="Palatino Linotype" w:hAnsi="Palatino Linotype" w:cs="Palatino Linotype"/>
        </w:rPr>
        <w:t>” y como motivos de inconformidad el particular expreso que: “</w:t>
      </w:r>
      <w:r w:rsidRPr="007A72FB">
        <w:rPr>
          <w:rFonts w:ascii="Palatino Linotype" w:eastAsia="Palatino Linotype" w:hAnsi="Palatino Linotype" w:cs="Palatino Linotype"/>
          <w:i/>
        </w:rPr>
        <w:t>Información incompleta”</w:t>
      </w:r>
      <w:r w:rsidRPr="007A72FB">
        <w:rPr>
          <w:rFonts w:ascii="Palatino Linotype" w:eastAsia="Palatino Linotype" w:hAnsi="Palatino Linotype" w:cs="Palatino Linotype"/>
        </w:rPr>
        <w:t xml:space="preserve"> en este sentido,  en atención a que tanto el acto impugnado como los motivos de inconformidad deben de entender en su conjunto a fin de </w:t>
      </w:r>
      <w:r w:rsidRPr="007A72FB">
        <w:rPr>
          <w:rFonts w:ascii="Palatino Linotype" w:eastAsia="Palatino Linotype" w:hAnsi="Palatino Linotype" w:cs="Palatino Linotype"/>
        </w:rPr>
        <w:lastRenderedPageBreak/>
        <w:t>garantizar a plenitud  el Derecho de acceso a la Información y que esta Autoridad como Organismo Garante este en oportunidad de que, en su caso resarcir alguna posible afectación.</w:t>
      </w: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En este sentido, el agravio vertido por el particular se enfoca a señalar que la información entregada por la Secretaria de Movilidad como Sujeto Obligado se encuentra incompleta; esto es, que con las documentales remitidas en respuesta no se colma el pliego de requerimientos  que integran su solicitud de información, señalando que entregan el mismo documento, siendo omiso de entregar la Norma Técnica.</w:t>
      </w: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Como se puede observar,  el ciudadano está conforme con todo lo entregado, únicamente siente agravio  relacionado con motivo de que a su decir; la  Secretaria de Movilidad  le entregó en dos archivos el mismo documento, omitiendo la entrega del documento denominado  “</w:t>
      </w:r>
      <w:r w:rsidRPr="007A72FB">
        <w:rPr>
          <w:rFonts w:ascii="Palatino Linotype" w:eastAsia="Palatino Linotype" w:hAnsi="Palatino Linotype" w:cs="Palatino Linotype"/>
          <w:i/>
        </w:rPr>
        <w:t xml:space="preserve">Norma Técnica”, </w:t>
      </w:r>
      <w:r w:rsidRPr="007A72FB">
        <w:rPr>
          <w:rFonts w:ascii="Palatino Linotype" w:eastAsia="Palatino Linotype" w:hAnsi="Palatino Linotype" w:cs="Palatino Linotype"/>
        </w:rPr>
        <w:t xml:space="preserve">razón por la cual considera que la respuesta se encuentra incompleta. </w:t>
      </w: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Atendiendo lo anterior,  esta Autoridad procede al análisis de las razones o motivos de inconformidad hechos valer por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estudio que versara únicamente sobre los puntos controvertidos, no así por los demás rubros materia de la solicitud de información. </w:t>
      </w:r>
    </w:p>
    <w:p w:rsidR="00AC5BFB" w:rsidRPr="007A72FB" w:rsidRDefault="002E770D">
      <w:pPr>
        <w:spacing w:before="240" w:after="36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Lo anterior es así, debido a que cuando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impugna la respuesta del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está conforme con la información entregada al no </w:t>
      </w:r>
      <w:r w:rsidRPr="007A72FB">
        <w:rPr>
          <w:rFonts w:ascii="Palatino Linotype" w:eastAsia="Palatino Linotype" w:hAnsi="Palatino Linotype" w:cs="Palatino Linotype"/>
        </w:rPr>
        <w:lastRenderedPageBreak/>
        <w:t>contravenirla. Sirve de apoyo a lo anterior, por analogía, la Tesis Jurisprudencial Número 3ª./J.7/91, publicada en el Semanario Judicial de la Federación y su Gaceta bajo el número de registro 174,177, que establece lo siguiente:</w:t>
      </w:r>
    </w:p>
    <w:p w:rsidR="00AC5BFB" w:rsidRPr="007A72FB" w:rsidRDefault="002E770D">
      <w:pPr>
        <w:spacing w:before="240" w:after="360"/>
        <w:ind w:left="851" w:right="49"/>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18"/>
          <w:szCs w:val="18"/>
        </w:rPr>
        <w:t>“</w:t>
      </w:r>
      <w:r w:rsidRPr="007A72FB">
        <w:rPr>
          <w:rFonts w:ascii="Palatino Linotype" w:eastAsia="Palatino Linotype" w:hAnsi="Palatino Linotype" w:cs="Palatino Linotype"/>
          <w:b/>
          <w:i/>
          <w:sz w:val="22"/>
          <w:szCs w:val="22"/>
        </w:rPr>
        <w:t xml:space="preserve">REVISIÓN EN AMPARO. LOS RESOLUTIVOS NO COMBATIDOS DEBEN DECLARARSE FIRMES. </w:t>
      </w:r>
      <w:r w:rsidRPr="007A72FB">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AC5BFB" w:rsidRPr="007A72FB" w:rsidRDefault="002E770D">
      <w:pPr>
        <w:spacing w:before="240" w:after="360" w:line="360" w:lineRule="auto"/>
        <w:jc w:val="both"/>
        <w:rPr>
          <w:rFonts w:ascii="Palatino Linotype" w:eastAsia="Palatino Linotype" w:hAnsi="Palatino Linotype" w:cs="Palatino Linotype"/>
          <w:sz w:val="10"/>
          <w:szCs w:val="10"/>
        </w:rPr>
      </w:pPr>
      <w:r w:rsidRPr="007A72FB">
        <w:rPr>
          <w:rFonts w:ascii="Palatino Linotype" w:eastAsia="Palatino Linotype" w:hAnsi="Palatino Linotype" w:cs="Palatino Linotype"/>
        </w:rPr>
        <w:t xml:space="preserve">Consecuentemente, la parte de la solicitud que no fue impugnada debe declararse consentida por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toda vez que no se realizaron manifestaciones de inconformidad, por lo que no pueden producirse efectos jurídicos tendentes a revocar, confirmar o modificar el acto reclamado ya que se infiere un consentimiento de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ante la falta de impugnación eficaz. Sirve de sustento a lo anterior, por analogía, la tesis jurisprudencial número VI.3o.C. J/60, publicada en el Semanario Judicial de la Federación y su Gaceta bajo el número de registro 176,608 que a la letra dice:</w:t>
      </w:r>
    </w:p>
    <w:p w:rsidR="00AC5BFB" w:rsidRPr="007A72FB" w:rsidRDefault="002E770D">
      <w:pPr>
        <w:spacing w:before="240" w:after="360"/>
        <w:ind w:left="708"/>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mallCaps/>
          <w:sz w:val="22"/>
          <w:szCs w:val="22"/>
        </w:rPr>
        <w:t xml:space="preserve">“ACTOS CONSENTIDOS. SON LOS QUE NO SE IMPUGNAN MEDIANTE EL RECURSO IDÓNEO. </w:t>
      </w:r>
      <w:r w:rsidRPr="007A72FB">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esta lógica,  es de recordar que el particular solicito le fuera entregado por parte del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la normatividad de grúas  en el Estado de México.</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lastRenderedPageBreak/>
        <w:t>Así, en atención al requerimiento que integra la solicitud de información la Secretaría de Movilidad remite dos archivos electrónicos denominados “</w:t>
      </w:r>
      <w:r w:rsidRPr="007A72FB">
        <w:rPr>
          <w:rFonts w:ascii="Palatino Linotype" w:eastAsia="Palatino Linotype" w:hAnsi="Palatino Linotype" w:cs="Palatino Linotype"/>
          <w:i/>
        </w:rPr>
        <w:t>NORMA TÉCNICA Y TARIFAS.pdf</w:t>
      </w:r>
      <w:r w:rsidRPr="007A72FB">
        <w:rPr>
          <w:rFonts w:ascii="Palatino Linotype" w:eastAsia="Palatino Linotype" w:hAnsi="Palatino Linotype" w:cs="Palatino Linotype"/>
        </w:rPr>
        <w:t>” y “</w:t>
      </w:r>
      <w:r w:rsidRPr="007A72FB">
        <w:rPr>
          <w:rFonts w:ascii="Palatino Linotype" w:eastAsia="Palatino Linotype" w:hAnsi="Palatino Linotype" w:cs="Palatino Linotype"/>
          <w:i/>
        </w:rPr>
        <w:t>TARIFAS MÁXIMAS GRÚAS 03-08-22.pdf</w:t>
      </w:r>
      <w:r w:rsidRPr="007A72FB">
        <w:rPr>
          <w:rFonts w:ascii="Palatino Linotype" w:eastAsia="Palatino Linotype" w:hAnsi="Palatino Linotype" w:cs="Palatino Linotype"/>
        </w:rPr>
        <w:t xml:space="preserve">”  donde de cuyo contenido en ambos documentos se contiene el Acuerdo por el que se  Actualizan y se Fijan las Tarifas Máximas del Servicio de Vehículos Adaptados para Prestar los Servicios Auxiliares de Arrastre, Salvamento, Guardia, Custodia y </w:t>
      </w:r>
      <w:proofErr w:type="spellStart"/>
      <w:r w:rsidRPr="007A72FB">
        <w:rPr>
          <w:rFonts w:ascii="Palatino Linotype" w:eastAsia="Palatino Linotype" w:hAnsi="Palatino Linotype" w:cs="Palatino Linotype"/>
        </w:rPr>
        <w:t>Deposito</w:t>
      </w:r>
      <w:proofErr w:type="spellEnd"/>
      <w:r w:rsidRPr="007A72FB">
        <w:rPr>
          <w:rFonts w:ascii="Palatino Linotype" w:eastAsia="Palatino Linotype" w:hAnsi="Palatino Linotype" w:cs="Palatino Linotype"/>
        </w:rPr>
        <w:t xml:space="preserve"> de Vehículos en el Estado de México, tal y como se observa en las imágenes siguientes: </w:t>
      </w:r>
    </w:p>
    <w:p w:rsidR="00AC5BFB" w:rsidRPr="007A72FB" w:rsidRDefault="002E770D">
      <w:pPr>
        <w:spacing w:before="240" w:after="240" w:line="360" w:lineRule="auto"/>
        <w:jc w:val="center"/>
        <w:rPr>
          <w:rFonts w:ascii="Palatino Linotype" w:eastAsia="Palatino Linotype" w:hAnsi="Palatino Linotype" w:cs="Palatino Linotype"/>
        </w:rPr>
      </w:pPr>
      <w:r w:rsidRPr="007A72FB">
        <w:rPr>
          <w:rFonts w:ascii="Palatino Linotype" w:eastAsia="Palatino Linotype" w:hAnsi="Palatino Linotype" w:cs="Palatino Linotype"/>
          <w:noProof/>
          <w:lang w:val="es-MX"/>
        </w:rPr>
        <w:drawing>
          <wp:inline distT="0" distB="0" distL="0" distR="0">
            <wp:extent cx="5203190" cy="914400"/>
            <wp:effectExtent l="0" t="0" r="0" b="0"/>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203190" cy="914400"/>
                    </a:xfrm>
                    <a:prstGeom prst="rect">
                      <a:avLst/>
                    </a:prstGeom>
                    <a:ln/>
                  </pic:spPr>
                </pic:pic>
              </a:graphicData>
            </a:graphic>
          </wp:inline>
        </w:drawing>
      </w:r>
      <w:r w:rsidRPr="007A72FB">
        <w:rPr>
          <w:noProof/>
          <w:lang w:val="es-MX"/>
        </w:rPr>
        <mc:AlternateContent>
          <mc:Choice Requires="wpg">
            <w:drawing>
              <wp:anchor distT="0" distB="0" distL="114300" distR="114300" simplePos="0" relativeHeight="251658240" behindDoc="0" locked="0" layoutInCell="1" hidden="0" allowOverlap="1">
                <wp:simplePos x="0" y="0"/>
                <wp:positionH relativeFrom="column">
                  <wp:posOffset>1981200</wp:posOffset>
                </wp:positionH>
                <wp:positionV relativeFrom="paragraph">
                  <wp:posOffset>444500</wp:posOffset>
                </wp:positionV>
                <wp:extent cx="1606550" cy="330200"/>
                <wp:effectExtent l="0" t="0" r="0" b="0"/>
                <wp:wrapNone/>
                <wp:docPr id="32" name="Rectángulo 32"/>
                <wp:cNvGraphicFramePr/>
                <a:graphic xmlns:a="http://schemas.openxmlformats.org/drawingml/2006/main">
                  <a:graphicData uri="http://schemas.microsoft.com/office/word/2010/wordprocessingShape">
                    <wps:wsp>
                      <wps:cNvSpPr/>
                      <wps:spPr>
                        <a:xfrm>
                          <a:off x="4580825" y="3653000"/>
                          <a:ext cx="1530350" cy="254000"/>
                        </a:xfrm>
                        <a:prstGeom prst="rect">
                          <a:avLst/>
                        </a:prstGeom>
                        <a:noFill/>
                        <a:ln w="76200" cap="flat" cmpd="sng">
                          <a:solidFill>
                            <a:srgbClr val="FF0000"/>
                          </a:solidFill>
                          <a:prstDash val="solid"/>
                          <a:round/>
                          <a:headEnd type="none" w="sm" len="sm"/>
                          <a:tailEnd type="none" w="sm" len="sm"/>
                        </a:ln>
                      </wps:spPr>
                      <wps:txbx>
                        <w:txbxContent>
                          <w:p w:rsidR="00AC5BFB" w:rsidRDefault="00AC5BF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1981200</wp:posOffset>
                </wp:positionH>
                <wp:positionV relativeFrom="paragraph">
                  <wp:posOffset>444500</wp:posOffset>
                </wp:positionV>
                <wp:extent cx="1606550" cy="330200"/>
                <wp:effectExtent b="0" l="0" r="0" t="0"/>
                <wp:wrapNone/>
                <wp:docPr id="32" name="image17.png"/>
                <a:graphic>
                  <a:graphicData uri="http://schemas.openxmlformats.org/drawingml/2006/picture">
                    <pic:pic>
                      <pic:nvPicPr>
                        <pic:cNvPr id="0" name="image17.png"/>
                        <pic:cNvPicPr preferRelativeResize="0"/>
                      </pic:nvPicPr>
                      <pic:blipFill>
                        <a:blip r:embed="rId18"/>
                        <a:srcRect/>
                        <a:stretch>
                          <a:fillRect/>
                        </a:stretch>
                      </pic:blipFill>
                      <pic:spPr>
                        <a:xfrm>
                          <a:off x="0" y="0"/>
                          <a:ext cx="1606550" cy="330200"/>
                        </a:xfrm>
                        <a:prstGeom prst="rect"/>
                        <a:ln/>
                      </pic:spPr>
                    </pic:pic>
                  </a:graphicData>
                </a:graphic>
              </wp:anchor>
            </w:drawing>
          </mc:Fallback>
        </mc:AlternateConten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noProof/>
          <w:lang w:val="es-MX"/>
        </w:rPr>
        <w:drawing>
          <wp:inline distT="0" distB="0" distL="0" distR="0">
            <wp:extent cx="5577840" cy="231775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577840" cy="2317750"/>
                    </a:xfrm>
                    <a:prstGeom prst="rect">
                      <a:avLst/>
                    </a:prstGeom>
                    <a:ln/>
                  </pic:spPr>
                </pic:pic>
              </a:graphicData>
            </a:graphic>
          </wp:inline>
        </w:drawing>
      </w:r>
      <w:r w:rsidRPr="007A72FB">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-38099</wp:posOffset>
                </wp:positionH>
                <wp:positionV relativeFrom="paragraph">
                  <wp:posOffset>1841500</wp:posOffset>
                </wp:positionV>
                <wp:extent cx="5454650" cy="476250"/>
                <wp:effectExtent l="0" t="0" r="0" b="0"/>
                <wp:wrapNone/>
                <wp:docPr id="33" name="Rectángulo 33"/>
                <wp:cNvGraphicFramePr/>
                <a:graphic xmlns:a="http://schemas.openxmlformats.org/drawingml/2006/main">
                  <a:graphicData uri="http://schemas.microsoft.com/office/word/2010/wordprocessingShape">
                    <wps:wsp>
                      <wps:cNvSpPr/>
                      <wps:spPr>
                        <a:xfrm>
                          <a:off x="2656775" y="3579975"/>
                          <a:ext cx="5378450" cy="400050"/>
                        </a:xfrm>
                        <a:prstGeom prst="rect">
                          <a:avLst/>
                        </a:prstGeom>
                        <a:noFill/>
                        <a:ln w="76200" cap="flat" cmpd="sng">
                          <a:solidFill>
                            <a:srgbClr val="FF0000"/>
                          </a:solidFill>
                          <a:prstDash val="solid"/>
                          <a:round/>
                          <a:headEnd type="none" w="sm" len="sm"/>
                          <a:tailEnd type="none" w="sm" len="sm"/>
                        </a:ln>
                      </wps:spPr>
                      <wps:txbx>
                        <w:txbxContent>
                          <w:p w:rsidR="00AC5BFB" w:rsidRDefault="00AC5BFB">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1841500</wp:posOffset>
                </wp:positionV>
                <wp:extent cx="5454650" cy="476250"/>
                <wp:effectExtent b="0" l="0" r="0" t="0"/>
                <wp:wrapNone/>
                <wp:docPr id="33"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5454650" cy="476250"/>
                        </a:xfrm>
                        <a:prstGeom prst="rect"/>
                        <a:ln/>
                      </pic:spPr>
                    </pic:pic>
                  </a:graphicData>
                </a:graphic>
              </wp:anchor>
            </w:drawing>
          </mc:Fallback>
        </mc:AlternateConten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Del análisis realizado por esta Autoridad a las Documentales entregadas por parte de la Secretaria de Movilidad, se advierte que efectivamente  tal y como lo señala el particular, le fue entregado el mismo documento en ambos archivos, ya que en  éstos </w:t>
      </w:r>
      <w:r w:rsidRPr="007A72FB">
        <w:rPr>
          <w:rFonts w:ascii="Palatino Linotype" w:eastAsia="Palatino Linotype" w:hAnsi="Palatino Linotype" w:cs="Palatino Linotype"/>
        </w:rPr>
        <w:lastRenderedPageBreak/>
        <w:t>se encuentra la “Gaceta del Gobierno” de fecha 03 de agosto de 2022, y  que en ninguno de los dos se contiene algún documento denominado “</w:t>
      </w:r>
      <w:r w:rsidRPr="007A72FB">
        <w:rPr>
          <w:rFonts w:ascii="Palatino Linotype" w:eastAsia="Palatino Linotype" w:hAnsi="Palatino Linotype" w:cs="Palatino Linotype"/>
          <w:i/>
        </w:rPr>
        <w:t>Norma Técnica</w:t>
      </w:r>
      <w:r w:rsidRPr="007A72FB">
        <w:rPr>
          <w:rFonts w:ascii="Palatino Linotype" w:eastAsia="Palatino Linotype" w:hAnsi="Palatino Linotype" w:cs="Palatino Linotype"/>
        </w:rPr>
        <w:t>”</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este sentido, resulta de importancia en el desahogo del presente medio de impugnación, lo señalado por la Dirección General del Registro Estatal de Transporte Público en donde refiere que esa dirección, si bien no tiene atribuciones para copiar y/o difundir los ordenamientos normativos que regulan la organización y el funcionamiento en materia de transporte público; no obstante, en atención al principio de máxima publicidad, en la página oficial de la Secretaría de Movilidad se encuentra publicado el apartado de la </w:t>
      </w:r>
      <w:proofErr w:type="spellStart"/>
      <w:r w:rsidRPr="007A72FB">
        <w:rPr>
          <w:rFonts w:ascii="Palatino Linotype" w:eastAsia="Palatino Linotype" w:hAnsi="Palatino Linotype" w:cs="Palatino Linotype"/>
        </w:rPr>
        <w:t>normateca</w:t>
      </w:r>
      <w:proofErr w:type="spellEnd"/>
      <w:r w:rsidRPr="007A72FB">
        <w:rPr>
          <w:rFonts w:ascii="Palatino Linotype" w:eastAsia="Palatino Linotype" w:hAnsi="Palatino Linotype" w:cs="Palatino Linotype"/>
        </w:rPr>
        <w:t xml:space="preserve"> que rige esa secretaría  (señala el siguiente link </w:t>
      </w:r>
      <w:r w:rsidRPr="007A72FB">
        <w:rPr>
          <w:rFonts w:ascii="Palatino Linotype" w:eastAsia="Palatino Linotype" w:hAnsi="Palatino Linotype" w:cs="Palatino Linotype"/>
          <w:i/>
        </w:rPr>
        <w:t>https://smovilidad.edomex.gob.mx/normateca</w:t>
      </w:r>
      <w:r w:rsidRPr="007A72FB">
        <w:rPr>
          <w:rFonts w:ascii="Palatino Linotype" w:eastAsia="Palatino Linotype" w:hAnsi="Palatino Linotype" w:cs="Palatino Linotype"/>
        </w:rPr>
        <w:t xml:space="preserve">  ) </w:t>
      </w:r>
    </w:p>
    <w:p w:rsidR="00AC5BFB" w:rsidRPr="007A72FB" w:rsidRDefault="002E770D">
      <w:pP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Ahora, considerando que el SUJETO OBLIGADO entregó una liga electrónica a efectos de que el particular obtuviera la información que es de su interés; es decir,  la Norma Técnica, resulta de importancia traer a contexto el articulo 11 y 161 de la Ley de Transparencia y Acceso a la Información Pública del Estado de México y Municipios,</w:t>
      </w:r>
      <w:r w:rsidRPr="007A72FB">
        <w:rPr>
          <w:rFonts w:ascii="Palatino Linotype" w:eastAsia="Palatino Linotype" w:hAnsi="Palatino Linotype" w:cs="Palatino Linotype"/>
          <w:vertAlign w:val="superscript"/>
        </w:rPr>
        <w:footnoteReference w:id="3"/>
      </w:r>
      <w:r w:rsidRPr="007A72FB">
        <w:rPr>
          <w:rFonts w:ascii="Palatino Linotype" w:eastAsia="Palatino Linotype" w:hAnsi="Palatino Linotype" w:cs="Palatino Linotype"/>
        </w:rPr>
        <w:t xml:space="preserve"> en los que se señala las características que debe tener toda la información entregada por los sujetos obligados desde el momento de su generación, publicación y entrega, así como la forma en que se deberá consulta la información, señalando fuente precisa y concreta. </w:t>
      </w: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lastRenderedPageBreak/>
        <w:t xml:space="preserve">De igual manera se contempla el procedimiento a seguir por parte de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una vez ingresada la solicitud de información, comprendiendo la fuente, el lugar y la forma, debiendo especificar de manera concreta la forma de acceso a esta. </w:t>
      </w: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Asimismo, se establece que la fuente de la información debe ser precisa, concreta y no debe implicar que el solicitante realice una búsqueda en toda la información que se encuentre disponible. Lo cual, debe seguir el Sujeto Obligado para que pueda tomarse como válida su orientación sobre la forma en que puede consultar la información requerida.</w:t>
      </w: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segundo lugar, este Instituto realizó la consulta en la dirección electrónica proporcionada por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para lo cual, lo localizado fui únicamente que dirigía a un sitio donde se tendría que hacer una búsqueda dentro del universo de información que se encuentra lo cual no colma la pretensión del particular ya que involucra que éste realice una búsqueda de la información, tal y como se advierte en la imagen siguiente: </w:t>
      </w:r>
    </w:p>
    <w:p w:rsidR="00AC5BFB" w:rsidRPr="007A72FB" w:rsidRDefault="002E770D">
      <w:pPr>
        <w:spacing w:before="280" w:after="28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noProof/>
          <w:lang w:val="es-MX"/>
        </w:rPr>
        <w:lastRenderedPageBreak/>
        <w:drawing>
          <wp:inline distT="0" distB="0" distL="0" distR="0">
            <wp:extent cx="5607050" cy="2673350"/>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07050" cy="2673350"/>
                    </a:xfrm>
                    <a:prstGeom prst="rect">
                      <a:avLst/>
                    </a:prstGeom>
                    <a:ln/>
                  </pic:spPr>
                </pic:pic>
              </a:graphicData>
            </a:graphic>
          </wp:inline>
        </w:drawing>
      </w:r>
    </w:p>
    <w:p w:rsidR="00AC5BFB" w:rsidRPr="007A72FB" w:rsidRDefault="002E770D">
      <w:pPr>
        <w:spacing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  </w:t>
      </w:r>
    </w:p>
    <w:p w:rsidR="00AC5BFB" w:rsidRPr="007A72FB" w:rsidRDefault="002E770D">
      <w:pPr>
        <w:spacing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 Por otro lado, de la revisión a las documentales remitidas por el </w:t>
      </w:r>
      <w:r w:rsidRPr="007A72FB">
        <w:rPr>
          <w:rFonts w:ascii="Palatino Linotype" w:eastAsia="Palatino Linotype" w:hAnsi="Palatino Linotype" w:cs="Palatino Linotype"/>
          <w:b/>
        </w:rPr>
        <w:t xml:space="preserve">Sujeto Obligado </w:t>
      </w:r>
      <w:r w:rsidRPr="007A72FB">
        <w:rPr>
          <w:rFonts w:ascii="Palatino Linotype" w:eastAsia="Palatino Linotype" w:hAnsi="Palatino Linotype" w:cs="Palatino Linotype"/>
        </w:rPr>
        <w:t>en específico al archivo “</w:t>
      </w:r>
      <w:r w:rsidRPr="007A72FB">
        <w:rPr>
          <w:rFonts w:ascii="Palatino Linotype" w:eastAsia="Palatino Linotype" w:hAnsi="Palatino Linotype" w:cs="Palatino Linotype"/>
          <w:i/>
        </w:rPr>
        <w:t>Anexos RR 01029-2023.pdf</w:t>
      </w:r>
      <w:r w:rsidRPr="007A72FB">
        <w:rPr>
          <w:rFonts w:ascii="Palatino Linotype" w:eastAsia="Palatino Linotype" w:hAnsi="Palatino Linotype" w:cs="Palatino Linotype"/>
        </w:rPr>
        <w:t xml:space="preserve"> </w:t>
      </w:r>
      <w:r w:rsidRPr="007A72FB">
        <w:rPr>
          <w:rFonts w:ascii="Palatino Linotype" w:eastAsia="Palatino Linotype" w:hAnsi="Palatino Linotype" w:cs="Palatino Linotype"/>
          <w:b/>
          <w:i/>
        </w:rPr>
        <w:t>“</w:t>
      </w:r>
      <w:r w:rsidRPr="007A72FB">
        <w:rPr>
          <w:rFonts w:ascii="Palatino Linotype" w:eastAsia="Palatino Linotype" w:hAnsi="Palatino Linotype" w:cs="Palatino Linotype"/>
        </w:rPr>
        <w:t xml:space="preserve"> en el que se incluye el proceso a efectos de que el particular pueda acceder a la Norma técnica que refiere,  no le fue entregada, tal y como se observa en la imagen siguiente:  </w:t>
      </w:r>
    </w:p>
    <w:p w:rsidR="00AC5BFB" w:rsidRPr="007A72FB" w:rsidRDefault="002E770D">
      <w:pPr>
        <w:spacing w:after="240" w:line="360" w:lineRule="auto"/>
        <w:jc w:val="both"/>
        <w:rPr>
          <w:rFonts w:ascii="Palatino Linotype" w:eastAsia="Palatino Linotype" w:hAnsi="Palatino Linotype" w:cs="Palatino Linotype"/>
        </w:rPr>
      </w:pPr>
      <w:r w:rsidRPr="007A72FB">
        <w:rPr>
          <w:noProof/>
          <w:lang w:val="es-MX"/>
        </w:rPr>
        <w:drawing>
          <wp:inline distT="0" distB="0" distL="0" distR="0">
            <wp:extent cx="4580558" cy="2703710"/>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l="37339" t="38826" r="23172" b="19734"/>
                    <a:stretch>
                      <a:fillRect/>
                    </a:stretch>
                  </pic:blipFill>
                  <pic:spPr>
                    <a:xfrm>
                      <a:off x="0" y="0"/>
                      <a:ext cx="4580558" cy="2703710"/>
                    </a:xfrm>
                    <a:prstGeom prst="rect">
                      <a:avLst/>
                    </a:prstGeom>
                    <a:ln/>
                  </pic:spPr>
                </pic:pic>
              </a:graphicData>
            </a:graphic>
          </wp:inline>
        </w:drawing>
      </w:r>
    </w:p>
    <w:p w:rsidR="00AC5BFB" w:rsidRPr="007A72FB" w:rsidRDefault="00AC5BFB">
      <w:pPr>
        <w:spacing w:after="240" w:line="360" w:lineRule="auto"/>
        <w:jc w:val="both"/>
        <w:rPr>
          <w:rFonts w:ascii="Palatino Linotype" w:eastAsia="Palatino Linotype" w:hAnsi="Palatino Linotype" w:cs="Palatino Linotype"/>
        </w:rPr>
      </w:pPr>
    </w:p>
    <w:p w:rsidR="00AC5BFB" w:rsidRPr="007A72FB" w:rsidRDefault="002E770D">
      <w:pPr>
        <w:spacing w:after="240" w:line="360" w:lineRule="auto"/>
        <w:jc w:val="both"/>
        <w:rPr>
          <w:rFonts w:ascii="Palatino Linotype" w:eastAsia="Palatino Linotype" w:hAnsi="Palatino Linotype" w:cs="Palatino Linotype"/>
        </w:rPr>
      </w:pPr>
      <w:r w:rsidRPr="007A72FB">
        <w:rPr>
          <w:noProof/>
          <w:lang w:val="es-MX"/>
        </w:rPr>
        <w:drawing>
          <wp:inline distT="0" distB="0" distL="0" distR="0">
            <wp:extent cx="5283958" cy="3618527"/>
            <wp:effectExtent l="0" t="0" r="0" b="0"/>
            <wp:docPr id="4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l="38357" t="21525" r="22153" b="30396"/>
                    <a:stretch>
                      <a:fillRect/>
                    </a:stretch>
                  </pic:blipFill>
                  <pic:spPr>
                    <a:xfrm>
                      <a:off x="0" y="0"/>
                      <a:ext cx="5283958" cy="3618527"/>
                    </a:xfrm>
                    <a:prstGeom prst="rect">
                      <a:avLst/>
                    </a:prstGeom>
                    <a:ln/>
                  </pic:spPr>
                </pic:pic>
              </a:graphicData>
            </a:graphic>
          </wp:inline>
        </w:drawing>
      </w:r>
    </w:p>
    <w:p w:rsidR="00AC5BFB" w:rsidRPr="007A72FB" w:rsidRDefault="00AC5BFB">
      <w:pPr>
        <w:pBdr>
          <w:top w:val="nil"/>
          <w:left w:val="nil"/>
          <w:bottom w:val="nil"/>
          <w:right w:val="nil"/>
          <w:between w:val="nil"/>
        </w:pBdr>
        <w:ind w:left="720"/>
        <w:rPr>
          <w:rFonts w:ascii="Palatino Linotype" w:eastAsia="Palatino Linotype" w:hAnsi="Palatino Linotype" w:cs="Palatino Linotype"/>
          <w:b/>
          <w:i/>
        </w:rPr>
      </w:pPr>
    </w:p>
    <w:p w:rsidR="00AC5BFB" w:rsidRPr="007A72FB" w:rsidRDefault="002E770D">
      <w:pPr>
        <w:spacing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Es así, que atendiendo a las indicaciones proporcionadas por el </w:t>
      </w:r>
      <w:r w:rsidRPr="007A72FB">
        <w:rPr>
          <w:rFonts w:ascii="Palatino Linotype" w:eastAsia="Palatino Linotype" w:hAnsi="Palatino Linotype" w:cs="Palatino Linotype"/>
          <w:b/>
        </w:rPr>
        <w:t xml:space="preserve">Sujeto Obligado </w:t>
      </w:r>
      <w:r w:rsidRPr="007A72FB">
        <w:rPr>
          <w:rFonts w:ascii="Palatino Linotype" w:eastAsia="Palatino Linotype" w:hAnsi="Palatino Linotype" w:cs="Palatino Linotype"/>
        </w:rPr>
        <w:t xml:space="preserve">para la consulta de la información solicitada, se tiene que en el registro 20 se </w:t>
      </w:r>
      <w:proofErr w:type="spellStart"/>
      <w:r w:rsidRPr="007A72FB">
        <w:rPr>
          <w:rFonts w:ascii="Palatino Linotype" w:eastAsia="Palatino Linotype" w:hAnsi="Palatino Linotype" w:cs="Palatino Linotype"/>
        </w:rPr>
        <w:t>encuntra</w:t>
      </w:r>
      <w:proofErr w:type="spellEnd"/>
      <w:r w:rsidRPr="007A72FB">
        <w:rPr>
          <w:rFonts w:ascii="Palatino Linotype" w:eastAsia="Palatino Linotype" w:hAnsi="Palatino Linotype" w:cs="Palatino Linotype"/>
        </w:rPr>
        <w:t xml:space="preserve"> publicada la liga electrónica </w:t>
      </w:r>
      <w:hyperlink r:id="rId24">
        <w:r w:rsidRPr="007A72FB">
          <w:rPr>
            <w:rFonts w:ascii="Palatino Linotype" w:eastAsia="Palatino Linotype" w:hAnsi="Palatino Linotype" w:cs="Palatino Linotype"/>
            <w:u w:val="single"/>
          </w:rPr>
          <w:t>http://legislacion.edomex.gob.mx/sites/legislacion.edomex.gob.mx/files/files/vigentes/abr153.PDF</w:t>
        </w:r>
      </w:hyperlink>
      <w:r w:rsidRPr="007A72FB">
        <w:rPr>
          <w:rFonts w:ascii="Palatino Linotype" w:eastAsia="Palatino Linotype" w:hAnsi="Palatino Linotype" w:cs="Palatino Linotype"/>
        </w:rPr>
        <w:t xml:space="preserve">, la cual dirige a la Norma Técnica de vehículos adaptados para prestar los servicios auxiliares de arrastre, traslado, salvamento, guardia, custodia y depósito de vehículos; así como cobro de servicios, tal como se observa en la imagen que se inserta. </w:t>
      </w:r>
    </w:p>
    <w:p w:rsidR="00AC5BFB" w:rsidRPr="007A72FB" w:rsidRDefault="002E770D">
      <w:pPr>
        <w:spacing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noProof/>
          <w:lang w:val="es-MX"/>
        </w:rPr>
        <w:lastRenderedPageBreak/>
        <w:drawing>
          <wp:inline distT="0" distB="0" distL="0" distR="0">
            <wp:extent cx="5611008" cy="2343477"/>
            <wp:effectExtent l="0" t="0" r="0" b="0"/>
            <wp:docPr id="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611008" cy="2343477"/>
                    </a:xfrm>
                    <a:prstGeom prst="rect">
                      <a:avLst/>
                    </a:prstGeom>
                    <a:ln/>
                  </pic:spPr>
                </pic:pic>
              </a:graphicData>
            </a:graphic>
          </wp:inline>
        </w:drawing>
      </w:r>
    </w:p>
    <w:p w:rsidR="00AC5BFB" w:rsidRPr="007A72FB" w:rsidRDefault="002E770D">
      <w:pPr>
        <w:spacing w:after="240" w:line="360" w:lineRule="auto"/>
        <w:ind w:right="49"/>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este sentido al haber existido un pronunciamiento por parte del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respecto del requerimiento de información, este Organismo Garante no está facultado para manifestarse sobre la veracidad de lo proporcionado, pues no existe precepto legal alguno en la Ley de la materia que lo faculte para ello, por tanto, el punto en estudio, se tiene por satisfecho.</w:t>
      </w:r>
    </w:p>
    <w:p w:rsidR="00AC5BFB" w:rsidRPr="007A72FB" w:rsidRDefault="002E770D">
      <w:pPr>
        <w:pBdr>
          <w:top w:val="nil"/>
          <w:left w:val="nil"/>
          <w:bottom w:val="nil"/>
          <w:right w:val="nil"/>
          <w:between w:val="nil"/>
        </w:pBdr>
        <w:spacing w:before="240" w:after="240" w:line="360" w:lineRule="auto"/>
        <w:jc w:val="both"/>
      </w:pPr>
      <w:r w:rsidRPr="007A72FB">
        <w:rPr>
          <w:rFonts w:ascii="Palatino Linotype" w:eastAsia="Palatino Linotype" w:hAnsi="Palatino Linotype" w:cs="Palatino Linotype"/>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AC5BFB" w:rsidRPr="007A72FB" w:rsidRDefault="002E770D">
      <w:pPr>
        <w:spacing w:before="240" w:after="240"/>
        <w:ind w:left="851" w:right="900"/>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 “El Instituto Federal de Acceso a la Información y Protección de Datos no cuenta con facultades para pronunciarse respecto de la veracidad de los documentos proporcionados por los sujetos obligados</w:t>
      </w:r>
      <w:r w:rsidRPr="007A72F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w:t>
      </w:r>
      <w:r w:rsidRPr="007A72FB">
        <w:rPr>
          <w:rFonts w:ascii="Palatino Linotype" w:eastAsia="Palatino Linotype" w:hAnsi="Palatino Linotype" w:cs="Palatino Linotype"/>
          <w:i/>
          <w:sz w:val="22"/>
          <w:szCs w:val="22"/>
        </w:rPr>
        <w:lastRenderedPageBreak/>
        <w:t>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En consecuencia, se actualiza la causal de sobreseimiento prevista en la fracción III del artículo 192 de la Ley de Transparencia y Acceso a la Información Pública del Estado de México y Municipios, que dispone lo siguiente:</w:t>
      </w:r>
    </w:p>
    <w:p w:rsidR="00AC5BFB" w:rsidRPr="007A72FB" w:rsidRDefault="002E770D">
      <w:pPr>
        <w:spacing w:before="240"/>
        <w:ind w:left="992" w:right="1043"/>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 xml:space="preserve">“Artículo 192. </w:t>
      </w:r>
      <w:r w:rsidRPr="007A72FB">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AC5BFB" w:rsidRPr="007A72FB" w:rsidRDefault="002E770D">
      <w:pPr>
        <w:ind w:left="992" w:right="1043"/>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b/>
          <w:i/>
          <w:sz w:val="22"/>
          <w:szCs w:val="22"/>
        </w:rPr>
        <w:t>…</w:t>
      </w:r>
    </w:p>
    <w:p w:rsidR="00AC5BFB" w:rsidRPr="007A72FB" w:rsidRDefault="002E770D">
      <w:pPr>
        <w:ind w:left="992" w:right="1043"/>
        <w:jc w:val="both"/>
        <w:rPr>
          <w:rFonts w:ascii="Palatino Linotype" w:eastAsia="Palatino Linotype" w:hAnsi="Palatino Linotype" w:cs="Palatino Linotype"/>
          <w:b/>
          <w:i/>
          <w:sz w:val="22"/>
          <w:szCs w:val="22"/>
        </w:rPr>
      </w:pPr>
      <w:r w:rsidRPr="007A72FB">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rsidR="00AC5BFB" w:rsidRPr="007A72FB" w:rsidRDefault="00AC5BFB">
      <w:pPr>
        <w:spacing w:line="360" w:lineRule="auto"/>
        <w:jc w:val="both"/>
        <w:rPr>
          <w:rFonts w:ascii="Palatino Linotype" w:eastAsia="Palatino Linotype" w:hAnsi="Palatino Linotype" w:cs="Palatino Linotype"/>
          <w:b/>
          <w:i/>
        </w:rPr>
      </w:pPr>
    </w:p>
    <w:p w:rsidR="00AC5BFB" w:rsidRPr="007A72FB" w:rsidRDefault="002E770D">
      <w:pPr>
        <w:spacing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De lo establecido en el precepto legal citado se advierte que el sobreseimiento del recurso de revisión procede en los siguientes casos:</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a) Cuando el sujeto obligado modifique el acto impugnado.</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b) Cuando el sujeto obligado revoque el acto impugnado.</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Quedando en ambos casos el acto combatido sin materia o sin efectos.</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Como se observa de lo anterior, un acto impugnado es modificado en aquellos casos en los que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Por lo que hace a la revocación, esta se actualiza cuando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deja sin efectos la primera respuesta y en su lugar emite otra con las características y </w:t>
      </w:r>
      <w:r w:rsidRPr="007A72FB">
        <w:rPr>
          <w:rFonts w:ascii="Palatino Linotype" w:eastAsia="Palatino Linotype" w:hAnsi="Palatino Linotype" w:cs="Palatino Linotype"/>
        </w:rPr>
        <w:lastRenderedPageBreak/>
        <w:t>cualidades suficientes para dejar satisfecho el ejercicio del derecho al acceso a la información pública.</w:t>
      </w:r>
    </w:p>
    <w:p w:rsidR="00AC5BFB" w:rsidRPr="007A72FB" w:rsidRDefault="002E770D">
      <w:pPr>
        <w:spacing w:before="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AC5BFB" w:rsidRPr="007A72FB" w:rsidRDefault="00AC5BFB">
      <w:pPr>
        <w:spacing w:line="360" w:lineRule="auto"/>
        <w:jc w:val="both"/>
        <w:rPr>
          <w:rFonts w:ascii="Palatino Linotype" w:eastAsia="Palatino Linotype" w:hAnsi="Palatino Linotype" w:cs="Palatino Linotype"/>
        </w:rPr>
      </w:pPr>
    </w:p>
    <w:p w:rsidR="00AC5BFB" w:rsidRPr="007A72FB" w:rsidRDefault="002E770D">
      <w:pP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tanto, en el presente caso queda sin materia toda vez que en el Informe Justificado 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modificó la respuesta al entregar el proceso por medio del cual el particular puede hacerse de la información de su interés; es decir, de la </w:t>
      </w:r>
      <w:r w:rsidRPr="007A72FB">
        <w:rPr>
          <w:rFonts w:ascii="Palatino Linotype" w:eastAsia="Palatino Linotype" w:hAnsi="Palatino Linotype" w:cs="Palatino Linotype"/>
          <w:i/>
        </w:rPr>
        <w:t>Norma Técnica</w:t>
      </w:r>
      <w:r w:rsidRPr="007A72FB">
        <w:rPr>
          <w:rFonts w:ascii="Palatino Linotype" w:eastAsia="Palatino Linotype" w:hAnsi="Palatino Linotype" w:cs="Palatino Linotype"/>
        </w:rPr>
        <w:t xml:space="preserve"> citada en respuesta. </w:t>
      </w:r>
    </w:p>
    <w:p w:rsidR="00AC5BFB" w:rsidRPr="007A72FB" w:rsidRDefault="00AC5BFB">
      <w:pPr>
        <w:spacing w:line="360" w:lineRule="auto"/>
        <w:jc w:val="both"/>
        <w:rPr>
          <w:rFonts w:ascii="Palatino Linotype" w:eastAsia="Palatino Linotype" w:hAnsi="Palatino Linotype" w:cs="Palatino Linotype"/>
        </w:rPr>
      </w:pPr>
    </w:p>
    <w:p w:rsidR="00AC5BFB" w:rsidRPr="007A72FB" w:rsidRDefault="002E770D">
      <w:pPr>
        <w:spacing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De tal manera, es evidente que con ello queda sin materia el presente recurso de revisión, ya que la inconformidad sobre qué la información es incompleta  “</w:t>
      </w:r>
      <w:r w:rsidRPr="007A72FB">
        <w:rPr>
          <w:rFonts w:ascii="Palatino Linotype" w:eastAsia="Palatino Linotype" w:hAnsi="Palatino Linotype" w:cs="Palatino Linotype"/>
          <w:i/>
          <w:sz w:val="22"/>
          <w:szCs w:val="22"/>
        </w:rPr>
        <w:t>Entrega el mismo documento, dicen entregar la Norma Técnica y no se entrega (</w:t>
      </w:r>
      <w:r w:rsidRPr="007A72FB">
        <w:rPr>
          <w:rFonts w:ascii="Palatino Linotype" w:eastAsia="Palatino Linotype" w:hAnsi="Palatino Linotype" w:cs="Palatino Linotype"/>
        </w:rPr>
        <w:t xml:space="preserve">Sic), se subsanó con la entrega del proceso en donde se precisa la ubicación exacta de la documental, situación que fue consultada por esta Autoridad dando como resultado la oportunidad de que el citado documento sea descargado. </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 xml:space="preserve">En resumen, el </w:t>
      </w:r>
      <w:r w:rsidRPr="007A72FB">
        <w:rPr>
          <w:rFonts w:ascii="Palatino Linotype" w:eastAsia="Palatino Linotype" w:hAnsi="Palatino Linotype" w:cs="Palatino Linotype"/>
          <w:b/>
        </w:rPr>
        <w:t xml:space="preserve">Sujeto Obligado </w:t>
      </w:r>
      <w:r w:rsidRPr="007A72FB">
        <w:rPr>
          <w:rFonts w:ascii="Palatino Linotype" w:eastAsia="Palatino Linotype" w:hAnsi="Palatino Linotype" w:cs="Palatino Linotype"/>
        </w:rPr>
        <w:t xml:space="preserve">dio respuesta completa a la solicitud de acceso a la información pública de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lastRenderedPageBreak/>
        <w:t xml:space="preserve">Siendo el </w:t>
      </w:r>
      <w:r w:rsidRPr="007A72FB">
        <w:rPr>
          <w:rFonts w:ascii="Palatino Linotype" w:eastAsia="Palatino Linotype" w:hAnsi="Palatino Linotype" w:cs="Palatino Linotype"/>
          <w:i/>
        </w:rPr>
        <w:t>sobreseimiento</w:t>
      </w:r>
      <w:r w:rsidRPr="007A72FB">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los efectos del sobreseimiento son los de dar por concluido el recurso administrativo sin entrar al estudio de fondo del asunto de que se trate; lo anterior con apoyo en el criterio del Poder Judicial de la Federación con rubro:</w:t>
      </w:r>
    </w:p>
    <w:p w:rsidR="00AC5BFB" w:rsidRPr="007A72FB" w:rsidRDefault="002E770D">
      <w:pPr>
        <w:spacing w:before="240" w:after="240" w:line="360" w:lineRule="auto"/>
        <w:ind w:left="567" w:right="567"/>
        <w:jc w:val="both"/>
        <w:rPr>
          <w:rFonts w:ascii="Palatino Linotype" w:eastAsia="Palatino Linotype" w:hAnsi="Palatino Linotype" w:cs="Palatino Linotype"/>
          <w:b/>
        </w:rPr>
      </w:pPr>
      <w:r w:rsidRPr="007A72FB">
        <w:rPr>
          <w:rFonts w:ascii="Palatino Linotype" w:eastAsia="Palatino Linotype" w:hAnsi="Palatino Linotype" w:cs="Palatino Linotype"/>
          <w:sz w:val="22"/>
          <w:szCs w:val="22"/>
        </w:rPr>
        <w:t>“</w:t>
      </w:r>
      <w:r w:rsidRPr="007A72FB">
        <w:rPr>
          <w:rFonts w:ascii="Palatino Linotype" w:eastAsia="Palatino Linotype" w:hAnsi="Palatino Linotype" w:cs="Palatino Linotype"/>
          <w:b/>
          <w:sz w:val="22"/>
          <w:szCs w:val="22"/>
        </w:rPr>
        <w:t>SOBRESEIMIENTO, NO PERMITE ENTRAR AL ESTUDIO DE LAS CUESTIONES DE FONDO</w:t>
      </w:r>
    </w:p>
    <w:p w:rsidR="00AC5BFB" w:rsidRPr="007A72FB" w:rsidRDefault="002E770D">
      <w:pPr>
        <w:spacing w:before="240"/>
        <w:ind w:left="567" w:right="567"/>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AC5BFB" w:rsidRPr="007A72FB" w:rsidRDefault="002E770D">
      <w:pPr>
        <w:ind w:left="567" w:right="567"/>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AC5BFB" w:rsidRPr="007A72FB" w:rsidRDefault="00AC5BFB">
      <w:pPr>
        <w:ind w:left="567" w:right="567"/>
        <w:jc w:val="both"/>
        <w:rPr>
          <w:rFonts w:ascii="Palatino Linotype" w:eastAsia="Palatino Linotype" w:hAnsi="Palatino Linotype" w:cs="Palatino Linotype"/>
          <w:i/>
          <w:sz w:val="22"/>
          <w:szCs w:val="22"/>
        </w:rPr>
      </w:pPr>
    </w:p>
    <w:p w:rsidR="00AC5BFB" w:rsidRPr="007A72FB" w:rsidRDefault="002E770D">
      <w:pPr>
        <w:spacing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AC5BFB" w:rsidRPr="007A72FB" w:rsidRDefault="002E770D">
      <w:pPr>
        <w:spacing w:before="240"/>
        <w:ind w:left="567" w:right="567"/>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rPr>
        <w:t xml:space="preserve"> </w:t>
      </w:r>
      <w:r w:rsidRPr="007A72FB">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AC5BFB" w:rsidRPr="007A72FB" w:rsidRDefault="002E770D">
      <w:pPr>
        <w:ind w:left="567" w:right="567"/>
        <w:jc w:val="both"/>
        <w:rPr>
          <w:rFonts w:ascii="Palatino Linotype" w:eastAsia="Palatino Linotype" w:hAnsi="Palatino Linotype" w:cs="Palatino Linotype"/>
          <w:i/>
          <w:sz w:val="22"/>
          <w:szCs w:val="22"/>
        </w:rPr>
      </w:pPr>
      <w:r w:rsidRPr="007A72FB">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w:t>
      </w:r>
      <w:r w:rsidRPr="007A72FB">
        <w:rPr>
          <w:rFonts w:ascii="Palatino Linotype" w:eastAsia="Palatino Linotype" w:hAnsi="Palatino Linotype" w:cs="Palatino Linotype"/>
          <w:i/>
          <w:sz w:val="22"/>
          <w:szCs w:val="22"/>
        </w:rPr>
        <w:lastRenderedPageBreak/>
        <w:t xml:space="preserve">amparo se funda en una de ellas para desechar o sobreseer en un juicio, imparte justicia, puesto que el acceso a ella no se ve menoscabado, sino que es efectivo, ni se deja en estado de indefensión al </w:t>
      </w:r>
      <w:proofErr w:type="spellStart"/>
      <w:r w:rsidRPr="007A72FB">
        <w:rPr>
          <w:rFonts w:ascii="Palatino Linotype" w:eastAsia="Palatino Linotype" w:hAnsi="Palatino Linotype" w:cs="Palatino Linotype"/>
          <w:i/>
          <w:sz w:val="22"/>
          <w:szCs w:val="22"/>
        </w:rPr>
        <w:t>promovente</w:t>
      </w:r>
      <w:proofErr w:type="spellEnd"/>
      <w:r w:rsidRPr="007A72FB">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AC5BFB" w:rsidRPr="007A72FB" w:rsidRDefault="00AC5BFB">
      <w:pPr>
        <w:ind w:left="567" w:right="567"/>
        <w:jc w:val="both"/>
        <w:rPr>
          <w:rFonts w:ascii="Palatino Linotype" w:eastAsia="Palatino Linotype" w:hAnsi="Palatino Linotype" w:cs="Palatino Linotype"/>
          <w:i/>
          <w:sz w:val="22"/>
          <w:szCs w:val="22"/>
        </w:rPr>
      </w:pPr>
    </w:p>
    <w:p w:rsidR="00AC5BFB" w:rsidRPr="007A72FB" w:rsidRDefault="002E770D">
      <w:pPr>
        <w:spacing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t>Así, con fundamento en lo prescrito en los artículos 5 párrafos trigésimo,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AC5BFB" w:rsidRPr="007A72FB" w:rsidRDefault="002E770D">
      <w:pPr>
        <w:numPr>
          <w:ilvl w:val="0"/>
          <w:numId w:val="2"/>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rPr>
      </w:pPr>
      <w:r w:rsidRPr="007A72FB">
        <w:rPr>
          <w:rFonts w:ascii="Palatino Linotype" w:eastAsia="Palatino Linotype" w:hAnsi="Palatino Linotype" w:cs="Palatino Linotype"/>
          <w:b/>
        </w:rPr>
        <w:t>R E S U E L V E</w:t>
      </w:r>
    </w:p>
    <w:p w:rsidR="00AC5BFB" w:rsidRPr="007A72FB" w:rsidRDefault="002E770D">
      <w:pPr>
        <w:spacing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Primero</w:t>
      </w:r>
      <w:r w:rsidRPr="007A72FB">
        <w:rPr>
          <w:rFonts w:ascii="Palatino Linotype" w:eastAsia="Palatino Linotype" w:hAnsi="Palatino Linotype" w:cs="Palatino Linotype"/>
        </w:rPr>
        <w:t xml:space="preserve">. Se </w:t>
      </w:r>
      <w:r w:rsidRPr="007A72FB">
        <w:rPr>
          <w:rFonts w:ascii="Palatino Linotype" w:eastAsia="Palatino Linotype" w:hAnsi="Palatino Linotype" w:cs="Palatino Linotype"/>
          <w:b/>
        </w:rPr>
        <w:t>SOBRESEE</w:t>
      </w:r>
      <w:r w:rsidRPr="007A72FB">
        <w:rPr>
          <w:rFonts w:ascii="Palatino Linotype" w:eastAsia="Palatino Linotype" w:hAnsi="Palatino Linotype" w:cs="Palatino Linotype"/>
        </w:rPr>
        <w:t xml:space="preserve"> el recurso de revisión número </w:t>
      </w:r>
      <w:r w:rsidRPr="007A72FB">
        <w:rPr>
          <w:rFonts w:ascii="Palatino Linotype" w:eastAsia="Palatino Linotype" w:hAnsi="Palatino Linotype" w:cs="Palatino Linotype"/>
          <w:b/>
        </w:rPr>
        <w:t xml:space="preserve">01029/INFOEM/IP/RR/20223 </w:t>
      </w:r>
      <w:r w:rsidRPr="007A72FB">
        <w:rPr>
          <w:rFonts w:ascii="Palatino Linotype" w:eastAsia="Palatino Linotype" w:hAnsi="Palatino Linotype" w:cs="Palatino Linotype"/>
        </w:rPr>
        <w:t xml:space="preserve">porque al </w:t>
      </w:r>
      <w:r w:rsidRPr="007A72FB">
        <w:rPr>
          <w:rFonts w:ascii="Palatino Linotype" w:eastAsia="Palatino Linotype" w:hAnsi="Palatino Linotype" w:cs="Palatino Linotype"/>
          <w:b/>
        </w:rPr>
        <w:t>modificar la respuesta</w:t>
      </w:r>
      <w:r w:rsidRPr="007A72FB">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7A72FB">
        <w:rPr>
          <w:rFonts w:ascii="Palatino Linotype" w:eastAsia="Palatino Linotype" w:hAnsi="Palatino Linotype" w:cs="Palatino Linotype"/>
          <w:b/>
        </w:rPr>
        <w:t xml:space="preserve">Tercero </w:t>
      </w:r>
      <w:r w:rsidRPr="007A72FB">
        <w:rPr>
          <w:rFonts w:ascii="Palatino Linotype" w:eastAsia="Palatino Linotype" w:hAnsi="Palatino Linotype" w:cs="Palatino Linotype"/>
        </w:rPr>
        <w:t>de la presente Resolución.</w:t>
      </w:r>
    </w:p>
    <w:p w:rsidR="00AC5BFB" w:rsidRPr="007A72FB" w:rsidRDefault="002E770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 xml:space="preserve">Segundo. Notifíquese, </w:t>
      </w:r>
      <w:r w:rsidRPr="007A72FB">
        <w:rPr>
          <w:rFonts w:ascii="Palatino Linotype" w:eastAsia="Palatino Linotype" w:hAnsi="Palatino Linotype" w:cs="Palatino Linotype"/>
        </w:rPr>
        <w:t xml:space="preserve">al Titular de la Unidad de Transparencia del </w:t>
      </w:r>
      <w:r w:rsidRPr="007A72FB">
        <w:rPr>
          <w:rFonts w:ascii="Palatino Linotype" w:eastAsia="Palatino Linotype" w:hAnsi="Palatino Linotype" w:cs="Palatino Linotype"/>
          <w:b/>
        </w:rPr>
        <w:t>Sujeto Obligado</w:t>
      </w:r>
      <w:r w:rsidRPr="007A72FB">
        <w:rPr>
          <w:rFonts w:ascii="Palatino Linotype" w:eastAsia="Palatino Linotype" w:hAnsi="Palatino Linotype" w:cs="Palatino Linotype"/>
        </w:rPr>
        <w:t xml:space="preserve"> la presente resolución, para su conocimiento.</w:t>
      </w:r>
    </w:p>
    <w:p w:rsidR="00AC5BFB" w:rsidRPr="007A72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b/>
        </w:rPr>
        <w:t xml:space="preserve">Tercero. Notifíquese, </w:t>
      </w:r>
      <w:r w:rsidRPr="007A72FB">
        <w:rPr>
          <w:rFonts w:ascii="Palatino Linotype" w:eastAsia="Palatino Linotype" w:hAnsi="Palatino Linotype" w:cs="Palatino Linotype"/>
        </w:rPr>
        <w:t>vía</w:t>
      </w:r>
      <w:r w:rsidRPr="007A72FB">
        <w:rPr>
          <w:rFonts w:ascii="Palatino Linotype" w:eastAsia="Palatino Linotype" w:hAnsi="Palatino Linotype" w:cs="Palatino Linotype"/>
          <w:b/>
        </w:rPr>
        <w:t xml:space="preserve"> SAIMEX</w:t>
      </w:r>
      <w:r w:rsidRPr="007A72FB">
        <w:rPr>
          <w:rFonts w:ascii="Palatino Linotype" w:eastAsia="Palatino Linotype" w:hAnsi="Palatino Linotype" w:cs="Palatino Linotype"/>
        </w:rPr>
        <w:t>, a</w:t>
      </w:r>
      <w:r w:rsidRPr="007A72FB">
        <w:rPr>
          <w:rFonts w:ascii="Palatino Linotype" w:eastAsia="Palatino Linotype" w:hAnsi="Palatino Linotype" w:cs="Palatino Linotype"/>
          <w:b/>
        </w:rPr>
        <w:t xml:space="preserve"> </w:t>
      </w:r>
      <w:r w:rsidRPr="007A72FB">
        <w:rPr>
          <w:rFonts w:ascii="Palatino Linotype" w:eastAsia="Palatino Linotype" w:hAnsi="Palatino Linotype" w:cs="Palatino Linotype"/>
        </w:rPr>
        <w:t xml:space="preserve">la parte </w:t>
      </w:r>
      <w:r w:rsidRPr="007A72FB">
        <w:rPr>
          <w:rFonts w:ascii="Palatino Linotype" w:eastAsia="Palatino Linotype" w:hAnsi="Palatino Linotype" w:cs="Palatino Linotype"/>
          <w:b/>
        </w:rPr>
        <w:t>Recurrente</w:t>
      </w:r>
      <w:r w:rsidRPr="007A72F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AC5BFB" w:rsidRDefault="002E770D">
      <w:pPr>
        <w:spacing w:before="240" w:after="240" w:line="360" w:lineRule="auto"/>
        <w:jc w:val="both"/>
        <w:rPr>
          <w:rFonts w:ascii="Palatino Linotype" w:eastAsia="Palatino Linotype" w:hAnsi="Palatino Linotype" w:cs="Palatino Linotype"/>
        </w:rPr>
      </w:pPr>
      <w:r w:rsidRPr="007A72FB">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DE OCTUBRE DE DOS MIL VEINTITRÉS, ANTE EL SECRETARIO TÉCNICO DEL PLENO, ALEXIS TAPIA RAMÍREZ.</w:t>
      </w: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Default="00576FE7">
      <w:pPr>
        <w:spacing w:before="240" w:after="240" w:line="360" w:lineRule="auto"/>
        <w:jc w:val="both"/>
        <w:rPr>
          <w:rFonts w:ascii="Palatino Linotype" w:eastAsia="Palatino Linotype" w:hAnsi="Palatino Linotype" w:cs="Palatino Linotype"/>
        </w:rPr>
      </w:pPr>
    </w:p>
    <w:p w:rsidR="00576FE7" w:rsidRPr="007A72FB" w:rsidRDefault="00576FE7">
      <w:pPr>
        <w:spacing w:before="240" w:after="24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p>
    <w:p w:rsidR="00AC5BFB" w:rsidRPr="007A72FB" w:rsidRDefault="00AC5BFB">
      <w:pPr>
        <w:spacing w:before="280" w:after="280" w:line="360" w:lineRule="auto"/>
        <w:jc w:val="both"/>
        <w:rPr>
          <w:rFonts w:ascii="Palatino Linotype" w:eastAsia="Palatino Linotype" w:hAnsi="Palatino Linotype" w:cs="Palatino Linotype"/>
        </w:rPr>
      </w:pPr>
      <w:bookmarkStart w:id="5" w:name="_heading=h.30j0zll" w:colFirst="0" w:colLast="0"/>
      <w:bookmarkEnd w:id="5"/>
    </w:p>
    <w:sectPr w:rsidR="00AC5BFB" w:rsidRPr="007A72FB">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A46" w:rsidRDefault="00200A46">
      <w:r>
        <w:separator/>
      </w:r>
    </w:p>
  </w:endnote>
  <w:endnote w:type="continuationSeparator" w:id="0">
    <w:p w:rsidR="00200A46" w:rsidRDefault="00200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BFB" w:rsidRDefault="002E77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D7E5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D7E5B">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rsidR="00AC5BFB" w:rsidRDefault="00AC5BF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BFB" w:rsidRDefault="002E77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D7E5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D7E5B">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rsidR="00AC5BFB" w:rsidRDefault="00AC5BF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A46" w:rsidRDefault="00200A46">
      <w:r>
        <w:separator/>
      </w:r>
    </w:p>
  </w:footnote>
  <w:footnote w:type="continuationSeparator" w:id="0">
    <w:p w:rsidR="00200A46" w:rsidRDefault="00200A46">
      <w:r>
        <w:continuationSeparator/>
      </w:r>
    </w:p>
  </w:footnote>
  <w:footnote w:id="1">
    <w:p w:rsidR="00AC5BFB" w:rsidRDefault="002E770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AC5BFB" w:rsidRDefault="002E770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AC5BFB" w:rsidRDefault="002E770D">
      <w:pPr>
        <w:pBdr>
          <w:top w:val="nil"/>
          <w:left w:val="nil"/>
          <w:bottom w:val="nil"/>
          <w:right w:val="nil"/>
          <w:between w:val="nil"/>
        </w:pBdr>
        <w:jc w:val="both"/>
        <w:rPr>
          <w:rFonts w:ascii="Cambria" w:eastAsia="Cambria" w:hAnsi="Cambria" w:cs="Cambria"/>
          <w:color w:val="000000"/>
          <w:sz w:val="6"/>
          <w:szCs w:val="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AC5BFB" w:rsidRDefault="002E770D">
      <w:pPr>
        <w:pBdr>
          <w:top w:val="nil"/>
          <w:left w:val="nil"/>
          <w:bottom w:val="nil"/>
          <w:right w:val="nil"/>
          <w:between w:val="nil"/>
        </w:pBdr>
        <w:jc w:val="both"/>
        <w:rPr>
          <w:rFonts w:ascii="Cambria" w:eastAsia="Cambria" w:hAnsi="Cambria" w:cs="Cambria"/>
          <w:color w:val="000000"/>
          <w:sz w:val="18"/>
          <w:szCs w:val="18"/>
        </w:rPr>
      </w:pPr>
      <w:r>
        <w:rPr>
          <w:rFonts w:ascii="Cambria" w:eastAsia="Cambria" w:hAnsi="Cambria" w:cs="Cambria"/>
          <w:color w:val="000000"/>
          <w:sz w:val="16"/>
          <w:szCs w:val="16"/>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BFB" w:rsidRDefault="002E770D">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-1080128</wp:posOffset>
          </wp:positionH>
          <wp:positionV relativeFrom="paragraph">
            <wp:posOffset>-396395</wp:posOffset>
          </wp:positionV>
          <wp:extent cx="7809865" cy="10165715"/>
          <wp:effectExtent l="0" t="0" r="0" b="0"/>
          <wp:wrapNone/>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AC5BFB">
      <w:tc>
        <w:tcPr>
          <w:tcW w:w="2489" w:type="dxa"/>
          <w:shd w:val="clear" w:color="auto" w:fill="auto"/>
        </w:tcPr>
        <w:p w:rsidR="00AC5BFB" w:rsidRDefault="002E770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AC5BFB" w:rsidRDefault="002E770D">
          <w:pPr>
            <w:ind w:right="175"/>
            <w:jc w:val="both"/>
            <w:rPr>
              <w:rFonts w:ascii="Palatino Linotype" w:eastAsia="Palatino Linotype" w:hAnsi="Palatino Linotype" w:cs="Palatino Linotype"/>
              <w:b/>
            </w:rPr>
          </w:pPr>
          <w:r>
            <w:rPr>
              <w:rFonts w:ascii="Palatino Linotype" w:eastAsia="Palatino Linotype" w:hAnsi="Palatino Linotype" w:cs="Palatino Linotype"/>
              <w:b/>
            </w:rPr>
            <w:t>01029/INFOEM/IP/RR/2023</w:t>
          </w:r>
        </w:p>
      </w:tc>
    </w:tr>
    <w:tr w:rsidR="00AC5BFB">
      <w:trPr>
        <w:trHeight w:val="228"/>
      </w:trPr>
      <w:tc>
        <w:tcPr>
          <w:tcW w:w="2489" w:type="dxa"/>
          <w:shd w:val="clear" w:color="auto" w:fill="auto"/>
          <w:vAlign w:val="center"/>
        </w:tcPr>
        <w:p w:rsidR="00AC5BFB" w:rsidRDefault="002E770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AC5BFB" w:rsidRDefault="002E770D">
          <w:pPr>
            <w:ind w:right="176"/>
            <w:jc w:val="both"/>
            <w:rPr>
              <w:rFonts w:ascii="Palatino Linotype" w:eastAsia="Palatino Linotype" w:hAnsi="Palatino Linotype" w:cs="Palatino Linotype"/>
              <w:b/>
            </w:rPr>
          </w:pPr>
          <w:r>
            <w:rPr>
              <w:rFonts w:ascii="Palatino Linotype" w:eastAsia="Palatino Linotype" w:hAnsi="Palatino Linotype" w:cs="Palatino Linotype"/>
              <w:b/>
            </w:rPr>
            <w:t>Secretaría de Movilidad</w:t>
          </w:r>
        </w:p>
      </w:tc>
    </w:tr>
    <w:tr w:rsidR="00AC5BFB">
      <w:trPr>
        <w:trHeight w:val="311"/>
      </w:trPr>
      <w:tc>
        <w:tcPr>
          <w:tcW w:w="2489" w:type="dxa"/>
          <w:shd w:val="clear" w:color="auto" w:fill="auto"/>
          <w:vAlign w:val="center"/>
        </w:tcPr>
        <w:p w:rsidR="00AC5BFB" w:rsidRDefault="002E770D">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AC5BFB" w:rsidRDefault="002E770D">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AC5BFB" w:rsidRDefault="002E770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BFB" w:rsidRDefault="002E770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-1079144</wp:posOffset>
          </wp:positionH>
          <wp:positionV relativeFrom="paragraph">
            <wp:posOffset>-644524</wp:posOffset>
          </wp:positionV>
          <wp:extent cx="7809865" cy="10165715"/>
          <wp:effectExtent l="0" t="0" r="0" b="0"/>
          <wp:wrapNone/>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6095" w:type="dxa"/>
      <w:tblInd w:w="2762" w:type="dxa"/>
      <w:tblLayout w:type="fixed"/>
      <w:tblLook w:val="0400" w:firstRow="0" w:lastRow="0" w:firstColumn="0" w:lastColumn="0" w:noHBand="0" w:noVBand="1"/>
    </w:tblPr>
    <w:tblGrid>
      <w:gridCol w:w="2551"/>
      <w:gridCol w:w="3544"/>
    </w:tblGrid>
    <w:tr w:rsidR="00AC5BFB">
      <w:tc>
        <w:tcPr>
          <w:tcW w:w="2551" w:type="dxa"/>
          <w:shd w:val="clear" w:color="auto" w:fill="auto"/>
          <w:vAlign w:val="center"/>
        </w:tcPr>
        <w:p w:rsidR="00AC5BFB" w:rsidRDefault="002E770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rsidR="00AC5BFB" w:rsidRDefault="002E770D">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01029/INFOEM/IP/RR/2023</w:t>
          </w:r>
        </w:p>
      </w:tc>
    </w:tr>
    <w:tr w:rsidR="00AC5BFB">
      <w:trPr>
        <w:trHeight w:val="130"/>
      </w:trPr>
      <w:tc>
        <w:tcPr>
          <w:tcW w:w="2551" w:type="dxa"/>
          <w:shd w:val="clear" w:color="auto" w:fill="auto"/>
          <w:vAlign w:val="center"/>
        </w:tcPr>
        <w:p w:rsidR="00AC5BFB" w:rsidRDefault="002E770D">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rsidR="00AC5BFB" w:rsidRDefault="00AC5BFB">
          <w:pPr>
            <w:jc w:val="both"/>
            <w:rPr>
              <w:rFonts w:ascii="Palatino Linotype" w:eastAsia="Palatino Linotype" w:hAnsi="Palatino Linotype" w:cs="Palatino Linotype"/>
              <w:b/>
            </w:rPr>
          </w:pPr>
        </w:p>
      </w:tc>
    </w:tr>
    <w:tr w:rsidR="00AC5BFB">
      <w:trPr>
        <w:trHeight w:val="228"/>
      </w:trPr>
      <w:tc>
        <w:tcPr>
          <w:tcW w:w="2551" w:type="dxa"/>
          <w:shd w:val="clear" w:color="auto" w:fill="auto"/>
          <w:vAlign w:val="center"/>
        </w:tcPr>
        <w:p w:rsidR="00AC5BFB" w:rsidRDefault="002E770D">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rsidR="00AC5BFB" w:rsidRDefault="002E770D">
          <w:pPr>
            <w:ind w:right="176"/>
            <w:jc w:val="both"/>
            <w:rPr>
              <w:rFonts w:ascii="Palatino Linotype" w:eastAsia="Palatino Linotype" w:hAnsi="Palatino Linotype" w:cs="Palatino Linotype"/>
              <w:b/>
            </w:rPr>
          </w:pPr>
          <w:r>
            <w:rPr>
              <w:rFonts w:ascii="Palatino Linotype" w:eastAsia="Palatino Linotype" w:hAnsi="Palatino Linotype" w:cs="Palatino Linotype"/>
              <w:b/>
            </w:rPr>
            <w:t>Secretaría de Movilidad</w:t>
          </w:r>
        </w:p>
      </w:tc>
    </w:tr>
    <w:tr w:rsidR="00AC5BFB">
      <w:tc>
        <w:tcPr>
          <w:tcW w:w="2551" w:type="dxa"/>
          <w:shd w:val="clear" w:color="auto" w:fill="auto"/>
          <w:vAlign w:val="center"/>
        </w:tcPr>
        <w:p w:rsidR="00AC5BFB" w:rsidRDefault="002E770D">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rsidR="00AC5BFB" w:rsidRDefault="002E770D">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AC5BFB" w:rsidRDefault="00AC5BF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8E7661"/>
    <w:multiLevelType w:val="multilevel"/>
    <w:tmpl w:val="7C9A90C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ADB0697"/>
    <w:multiLevelType w:val="multilevel"/>
    <w:tmpl w:val="2474D730"/>
    <w:lvl w:ilvl="0">
      <w:start w:val="1"/>
      <w:numFmt w:val="bullet"/>
      <w:pStyle w:val="Listaconvietas3"/>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nsid w:val="5D9C7D71"/>
    <w:multiLevelType w:val="multilevel"/>
    <w:tmpl w:val="3C5609A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7CA529B0"/>
    <w:multiLevelType w:val="multilevel"/>
    <w:tmpl w:val="ED1CE6E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BFB"/>
    <w:rsid w:val="00200A46"/>
    <w:rsid w:val="002E770D"/>
    <w:rsid w:val="00576FE7"/>
    <w:rsid w:val="007A72FB"/>
    <w:rsid w:val="00AC5BFB"/>
    <w:rsid w:val="00D312E3"/>
    <w:rsid w:val="00DD7E5B"/>
    <w:rsid w:val="00F929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E6CDD6-635A-4D24-AEE4-4D25F820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2"/>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70" w:type="dxa"/>
        <w:bottom w:w="0" w:type="dxa"/>
        <w:right w:w="70" w:type="dxa"/>
      </w:tblCellMar>
    </w:tblPr>
  </w:style>
  <w:style w:type="table" w:customStyle="1" w:styleId="a2">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3"/>
      </w:numPr>
      <w:contextualSpacing/>
    </w:pPr>
  </w:style>
  <w:style w:type="paragraph" w:customStyle="1" w:styleId="INFOEM">
    <w:name w:val="INFOEM"/>
    <w:basedOn w:val="Normal"/>
    <w:qFormat/>
    <w:rsid w:val="00B3155A"/>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7">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legislacion.edomex.gob.mx/sites/legislacion.edomex.gob.mx/files/files/vigentes/abr153.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6GSDtn2aENR0G/Gc3UIySXz3A==">CgMxLjAyCGgudHlqY3d0MgloLjN6bnlzaDcyCGguZ2pkZ3hzMgloLjFmb2I5dGUyCWguMzBqMHpsbDgAciExUE9LUGkzWGNTYkRkaU9QSndMaEtpTVdLQVFmN3BiSWk=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7965</Words>
  <Characters>43810</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2023-10-27T16:08:00Z</cp:lastPrinted>
  <dcterms:created xsi:type="dcterms:W3CDTF">2023-11-01T21:08:00Z</dcterms:created>
  <dcterms:modified xsi:type="dcterms:W3CDTF">2023-11-01T21:08:00Z</dcterms:modified>
</cp:coreProperties>
</file>