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E30" w:rsidRPr="0059151F" w:rsidRDefault="00474FF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59151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B473EF" w:rsidRPr="0059151F">
        <w:rPr>
          <w:rFonts w:ascii="Palatino Linotype" w:eastAsia="Palatino Linotype" w:hAnsi="Palatino Linotype" w:cs="Palatino Linotype"/>
          <w:b/>
        </w:rPr>
        <w:t>tres</w:t>
      </w:r>
      <w:r w:rsidRPr="0059151F">
        <w:rPr>
          <w:rFonts w:ascii="Palatino Linotype" w:eastAsia="Palatino Linotype" w:hAnsi="Palatino Linotype" w:cs="Palatino Linotype"/>
        </w:rPr>
        <w:t xml:space="preserve"> </w:t>
      </w:r>
      <w:r w:rsidR="00B473EF" w:rsidRPr="0059151F">
        <w:rPr>
          <w:rFonts w:ascii="Palatino Linotype" w:eastAsia="Palatino Linotype" w:hAnsi="Palatino Linotype" w:cs="Palatino Linotype"/>
          <w:b/>
        </w:rPr>
        <w:t>de octu</w:t>
      </w:r>
      <w:r w:rsidRPr="0059151F">
        <w:rPr>
          <w:rFonts w:ascii="Palatino Linotype" w:eastAsia="Palatino Linotype" w:hAnsi="Palatino Linotype" w:cs="Palatino Linotype"/>
          <w:b/>
        </w:rPr>
        <w:t>bre del dos mil veintitrés</w:t>
      </w:r>
      <w:r w:rsidRPr="0059151F">
        <w:rPr>
          <w:rFonts w:ascii="Palatino Linotype" w:eastAsia="Palatino Linotype" w:hAnsi="Palatino Linotype" w:cs="Palatino Linotype"/>
        </w:rPr>
        <w:t>.</w:t>
      </w:r>
    </w:p>
    <w:p w:rsidR="00125E30" w:rsidRPr="0059151F" w:rsidRDefault="00474FF5">
      <w:pPr>
        <w:spacing w:before="240" w:after="240" w:line="360" w:lineRule="auto"/>
        <w:jc w:val="both"/>
        <w:rPr>
          <w:rFonts w:ascii="Palatino Linotype" w:eastAsia="Palatino Linotype" w:hAnsi="Palatino Linotype" w:cs="Palatino Linotype"/>
          <w:b/>
        </w:rPr>
      </w:pPr>
      <w:r w:rsidRPr="0059151F">
        <w:rPr>
          <w:rFonts w:ascii="Palatino Linotype" w:eastAsia="Palatino Linotype" w:hAnsi="Palatino Linotype" w:cs="Palatino Linotype"/>
          <w:b/>
        </w:rPr>
        <w:t>Visto</w:t>
      </w:r>
      <w:r w:rsidRPr="0059151F">
        <w:rPr>
          <w:rFonts w:ascii="Palatino Linotype" w:eastAsia="Palatino Linotype" w:hAnsi="Palatino Linotype" w:cs="Palatino Linotype"/>
        </w:rPr>
        <w:t xml:space="preserve"> el expediente relativo al recurso de revisión </w:t>
      </w:r>
      <w:r w:rsidRPr="0059151F">
        <w:rPr>
          <w:rFonts w:ascii="Palatino Linotype" w:eastAsia="Palatino Linotype" w:hAnsi="Palatino Linotype" w:cs="Palatino Linotype"/>
          <w:b/>
        </w:rPr>
        <w:t>02279/INFOEM/IP/RR/2023</w:t>
      </w:r>
      <w:r w:rsidRPr="0059151F">
        <w:rPr>
          <w:rFonts w:ascii="Palatino Linotype" w:eastAsia="Palatino Linotype" w:hAnsi="Palatino Linotype" w:cs="Palatino Linotype"/>
        </w:rPr>
        <w:t>, interpuesto por</w:t>
      </w:r>
      <w:r w:rsidR="001F16FC">
        <w:rPr>
          <w:rFonts w:ascii="Palatino Linotype" w:eastAsia="Palatino Linotype" w:hAnsi="Palatino Linotype" w:cs="Palatino Linotype"/>
          <w:b/>
        </w:rPr>
        <w:t xml:space="preserve"> XXXXXX XXX XXXXXXXXXX</w:t>
      </w:r>
      <w:bookmarkStart w:id="0" w:name="_GoBack"/>
      <w:bookmarkEnd w:id="0"/>
      <w:r w:rsidRPr="0059151F">
        <w:rPr>
          <w:rFonts w:ascii="Palatino Linotype" w:eastAsia="Palatino Linotype" w:hAnsi="Palatino Linotype" w:cs="Palatino Linotype"/>
          <w:b/>
        </w:rPr>
        <w:t xml:space="preserve">, </w:t>
      </w:r>
      <w:r w:rsidRPr="0059151F">
        <w:rPr>
          <w:rFonts w:ascii="Palatino Linotype" w:eastAsia="Palatino Linotype" w:hAnsi="Palatino Linotype" w:cs="Palatino Linotype"/>
        </w:rPr>
        <w:t xml:space="preserve">a quien en lo sucesivo se le denominará </w:t>
      </w:r>
      <w:r w:rsidRPr="0059151F">
        <w:rPr>
          <w:rFonts w:ascii="Palatino Linotype" w:eastAsia="Palatino Linotype" w:hAnsi="Palatino Linotype" w:cs="Palatino Linotype"/>
          <w:b/>
        </w:rPr>
        <w:t>la Recurrente</w:t>
      </w:r>
      <w:r w:rsidRPr="0059151F">
        <w:rPr>
          <w:rFonts w:ascii="Palatino Linotype" w:eastAsia="Palatino Linotype" w:hAnsi="Palatino Linotype" w:cs="Palatino Linotype"/>
          <w:b/>
          <w:i/>
        </w:rPr>
        <w:t xml:space="preserve"> </w:t>
      </w:r>
      <w:r w:rsidRPr="0059151F">
        <w:rPr>
          <w:rFonts w:ascii="Palatino Linotype" w:eastAsia="Palatino Linotype" w:hAnsi="Palatino Linotype" w:cs="Palatino Linotype"/>
        </w:rPr>
        <w:t>en contra de la respuesta a su solicitud de información pública con número de folio</w:t>
      </w:r>
      <w:r w:rsidRPr="0059151F">
        <w:rPr>
          <w:rFonts w:ascii="Verdana" w:eastAsia="Verdana" w:hAnsi="Verdana" w:cs="Verdana"/>
          <w:b/>
          <w:color w:val="FF0000"/>
        </w:rPr>
        <w:t xml:space="preserve"> </w:t>
      </w:r>
      <w:r w:rsidRPr="0059151F">
        <w:rPr>
          <w:rFonts w:ascii="Palatino Linotype" w:eastAsia="Palatino Linotype" w:hAnsi="Palatino Linotype" w:cs="Palatino Linotype"/>
          <w:b/>
        </w:rPr>
        <w:t>00183/ATIZARA/IP/2023,</w:t>
      </w:r>
      <w:r w:rsidRPr="0059151F">
        <w:rPr>
          <w:rFonts w:ascii="Palatino Linotype" w:eastAsia="Palatino Linotype" w:hAnsi="Palatino Linotype" w:cs="Palatino Linotype"/>
        </w:rPr>
        <w:t xml:space="preserve"> otorgada por el </w:t>
      </w:r>
      <w:r w:rsidRPr="0059151F">
        <w:rPr>
          <w:rFonts w:ascii="Palatino Linotype" w:eastAsia="Palatino Linotype" w:hAnsi="Palatino Linotype" w:cs="Palatino Linotype"/>
          <w:b/>
        </w:rPr>
        <w:t>Ayuntamiento de Atizapán de Zaragoza</w:t>
      </w:r>
      <w:r w:rsidRPr="0059151F">
        <w:rPr>
          <w:rFonts w:ascii="Palatino Linotype" w:eastAsia="Palatino Linotype" w:hAnsi="Palatino Linotype" w:cs="Palatino Linotype"/>
        </w:rPr>
        <w:t xml:space="preserve">, en lo sucesivo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w:t>
      </w:r>
      <w:r w:rsidRPr="0059151F">
        <w:rPr>
          <w:rFonts w:ascii="Palatino Linotype" w:eastAsia="Palatino Linotype" w:hAnsi="Palatino Linotype" w:cs="Palatino Linotype"/>
          <w:b/>
        </w:rPr>
        <w:t xml:space="preserve"> </w:t>
      </w:r>
      <w:r w:rsidRPr="0059151F">
        <w:rPr>
          <w:rFonts w:ascii="Palatino Linotype" w:eastAsia="Palatino Linotype" w:hAnsi="Palatino Linotype" w:cs="Palatino Linotype"/>
        </w:rPr>
        <w:t xml:space="preserve">se procede a dictar la presente resolución, con base en lo siguiente. </w:t>
      </w:r>
    </w:p>
    <w:p w:rsidR="00125E30" w:rsidRPr="0059151F" w:rsidRDefault="00474FF5">
      <w:pPr>
        <w:pStyle w:val="Ttulo2"/>
        <w:spacing w:before="240" w:after="240" w:line="360" w:lineRule="auto"/>
        <w:jc w:val="center"/>
        <w:rPr>
          <w:rFonts w:ascii="Palatino Linotype" w:eastAsia="Palatino Linotype" w:hAnsi="Palatino Linotype" w:cs="Palatino Linotype"/>
          <w:b/>
          <w:color w:val="000000"/>
          <w:sz w:val="24"/>
          <w:szCs w:val="24"/>
        </w:rPr>
      </w:pPr>
      <w:r w:rsidRPr="0059151F">
        <w:rPr>
          <w:rFonts w:ascii="Palatino Linotype" w:eastAsia="Palatino Linotype" w:hAnsi="Palatino Linotype" w:cs="Palatino Linotype"/>
          <w:b/>
          <w:color w:val="000000"/>
          <w:sz w:val="24"/>
          <w:szCs w:val="24"/>
        </w:rPr>
        <w:t>I. A N T E C E D E N T E S:</w:t>
      </w:r>
    </w:p>
    <w:p w:rsidR="00125E30" w:rsidRPr="0059151F" w:rsidRDefault="00474FF5">
      <w:pPr>
        <w:spacing w:before="240" w:after="240" w:line="360" w:lineRule="auto"/>
        <w:jc w:val="both"/>
        <w:rPr>
          <w:rFonts w:ascii="Palatino Linotype" w:eastAsia="Palatino Linotype" w:hAnsi="Palatino Linotype" w:cs="Palatino Linotype"/>
          <w:b/>
        </w:rPr>
      </w:pPr>
      <w:r w:rsidRPr="0059151F">
        <w:rPr>
          <w:rFonts w:ascii="Palatino Linotype" w:eastAsia="Palatino Linotype" w:hAnsi="Palatino Linotype" w:cs="Palatino Linotype"/>
          <w:b/>
        </w:rPr>
        <w:t>1. Solicitud de acceso a la información.</w:t>
      </w:r>
      <w:r w:rsidRPr="0059151F">
        <w:rPr>
          <w:rFonts w:ascii="Palatino Linotype" w:eastAsia="Palatino Linotype" w:hAnsi="Palatino Linotype" w:cs="Palatino Linotype"/>
          <w:b/>
          <w:sz w:val="22"/>
          <w:szCs w:val="22"/>
        </w:rPr>
        <w:t xml:space="preserve"> El</w:t>
      </w:r>
      <w:r w:rsidRPr="0059151F">
        <w:rPr>
          <w:rFonts w:ascii="Palatino Linotype" w:eastAsia="Palatino Linotype" w:hAnsi="Palatino Linotype" w:cs="Palatino Linotype"/>
        </w:rPr>
        <w:t xml:space="preserve"> </w:t>
      </w:r>
      <w:r w:rsidRPr="0059151F">
        <w:rPr>
          <w:rFonts w:ascii="Palatino Linotype" w:eastAsia="Palatino Linotype" w:hAnsi="Palatino Linotype" w:cs="Palatino Linotype"/>
          <w:b/>
        </w:rPr>
        <w:t>veintinueve de marzo del dos mil veintitrés,</w:t>
      </w:r>
      <w:r w:rsidRPr="0059151F">
        <w:rPr>
          <w:rFonts w:ascii="Palatino Linotype" w:eastAsia="Palatino Linotype" w:hAnsi="Palatino Linotype" w:cs="Palatino Linotype"/>
        </w:rPr>
        <w:t xml:space="preserve"> la </w:t>
      </w:r>
      <w:r w:rsidRPr="0059151F">
        <w:rPr>
          <w:rFonts w:ascii="Palatino Linotype" w:eastAsia="Palatino Linotype" w:hAnsi="Palatino Linotype" w:cs="Palatino Linotype"/>
          <w:b/>
        </w:rPr>
        <w:t>parte</w:t>
      </w:r>
      <w:r w:rsidRPr="0059151F">
        <w:rPr>
          <w:rFonts w:ascii="Palatino Linotype" w:eastAsia="Palatino Linotype" w:hAnsi="Palatino Linotype" w:cs="Palatino Linotype"/>
        </w:rPr>
        <w:t xml:space="preserve"> </w:t>
      </w:r>
      <w:r w:rsidRPr="0059151F">
        <w:rPr>
          <w:rFonts w:ascii="Palatino Linotype" w:eastAsia="Palatino Linotype" w:hAnsi="Palatino Linotype" w:cs="Palatino Linotype"/>
          <w:b/>
        </w:rPr>
        <w:t>Recurrente</w:t>
      </w:r>
      <w:r w:rsidRPr="0059151F">
        <w:rPr>
          <w:rFonts w:ascii="Palatino Linotype" w:eastAsia="Palatino Linotype" w:hAnsi="Palatino Linotype" w:cs="Palatino Linotype"/>
        </w:rPr>
        <w:t xml:space="preserve"> presentó a través del Sistema de Acceso a la Información Mexiquense, en lo subsecuente el </w:t>
      </w:r>
      <w:r w:rsidRPr="0059151F">
        <w:rPr>
          <w:rFonts w:ascii="Palatino Linotype" w:eastAsia="Palatino Linotype" w:hAnsi="Palatino Linotype" w:cs="Palatino Linotype"/>
          <w:b/>
        </w:rPr>
        <w:t>SAIMEX,</w:t>
      </w:r>
      <w:r w:rsidRPr="0059151F">
        <w:rPr>
          <w:rFonts w:ascii="Palatino Linotype" w:eastAsia="Palatino Linotype" w:hAnsi="Palatino Linotype" w:cs="Palatino Linotype"/>
        </w:rPr>
        <w:t xml:space="preserve"> la solicitud de acceso a la información pública, a la que se le asignó el número</w:t>
      </w:r>
      <w:r w:rsidRPr="0059151F">
        <w:rPr>
          <w:rFonts w:ascii="Palatino Linotype" w:eastAsia="Palatino Linotype" w:hAnsi="Palatino Linotype" w:cs="Palatino Linotype"/>
          <w:b/>
        </w:rPr>
        <w:t xml:space="preserve"> </w:t>
      </w:r>
      <w:r w:rsidRPr="0059151F">
        <w:rPr>
          <w:rFonts w:ascii="Palatino Linotype" w:eastAsia="Palatino Linotype" w:hAnsi="Palatino Linotype" w:cs="Palatino Linotype"/>
        </w:rPr>
        <w:t>de folio</w:t>
      </w:r>
      <w:r w:rsidRPr="0059151F">
        <w:rPr>
          <w:rFonts w:ascii="Palatino Linotype" w:eastAsia="Palatino Linotype" w:hAnsi="Palatino Linotype" w:cs="Palatino Linotype"/>
          <w:b/>
        </w:rPr>
        <w:t xml:space="preserve"> </w:t>
      </w:r>
      <w:r w:rsidRPr="0059151F">
        <w:rPr>
          <w:rFonts w:ascii="Palatino Linotype" w:eastAsia="Palatino Linotype" w:hAnsi="Palatino Linotype" w:cs="Palatino Linotype"/>
          <w:b/>
          <w:color w:val="000000"/>
        </w:rPr>
        <w:t>00183/ATIZARA/IP/2023</w:t>
      </w:r>
      <w:r w:rsidRPr="0059151F">
        <w:rPr>
          <w:rFonts w:ascii="Palatino Linotype" w:eastAsia="Palatino Linotype" w:hAnsi="Palatino Linotype" w:cs="Palatino Linotype"/>
          <w:b/>
        </w:rPr>
        <w:t xml:space="preserve">, </w:t>
      </w:r>
      <w:r w:rsidRPr="0059151F">
        <w:rPr>
          <w:rFonts w:ascii="Palatino Linotype" w:eastAsia="Palatino Linotype" w:hAnsi="Palatino Linotype" w:cs="Palatino Linotype"/>
        </w:rPr>
        <w:t>a través de la cual requirió  lo siguiente:</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 xml:space="preserve">“Solicito </w:t>
      </w:r>
      <w:r w:rsidRPr="0059151F">
        <w:rPr>
          <w:rFonts w:ascii="Palatino Linotype" w:eastAsia="Palatino Linotype" w:hAnsi="Palatino Linotype" w:cs="Palatino Linotype"/>
          <w:b/>
          <w:i/>
          <w:sz w:val="22"/>
          <w:szCs w:val="22"/>
          <w:u w:val="single"/>
        </w:rPr>
        <w:t>la publicación de la convocatoria para la entrega de tinacos</w:t>
      </w:r>
      <w:r w:rsidRPr="0059151F">
        <w:rPr>
          <w:rFonts w:ascii="Palatino Linotype" w:eastAsia="Palatino Linotype" w:hAnsi="Palatino Linotype" w:cs="Palatino Linotype"/>
          <w:i/>
          <w:sz w:val="22"/>
          <w:szCs w:val="22"/>
        </w:rPr>
        <w:t>” (Sic) (Énfasis añadido)</w:t>
      </w:r>
    </w:p>
    <w:p w:rsidR="00125E30" w:rsidRPr="0059151F" w:rsidRDefault="00474FF5">
      <w:pPr>
        <w:spacing w:before="240" w:after="240" w:line="360" w:lineRule="auto"/>
        <w:jc w:val="both"/>
        <w:rPr>
          <w:rFonts w:ascii="Palatino Linotype" w:eastAsia="Palatino Linotype" w:hAnsi="Palatino Linotype" w:cs="Palatino Linotype"/>
          <w:b/>
        </w:rPr>
      </w:pPr>
      <w:r w:rsidRPr="0059151F">
        <w:rPr>
          <w:rFonts w:ascii="Palatino Linotype" w:eastAsia="Palatino Linotype" w:hAnsi="Palatino Linotype" w:cs="Palatino Linotype"/>
          <w:b/>
        </w:rPr>
        <w:t>Modalidad de entrega de la información</w:t>
      </w:r>
      <w:r w:rsidRPr="0059151F">
        <w:rPr>
          <w:rFonts w:ascii="Palatino Linotype" w:eastAsia="Palatino Linotype" w:hAnsi="Palatino Linotype" w:cs="Palatino Linotype"/>
        </w:rPr>
        <w:t xml:space="preserve">: vía </w:t>
      </w:r>
      <w:r w:rsidRPr="0059151F">
        <w:rPr>
          <w:rFonts w:ascii="Palatino Linotype" w:eastAsia="Palatino Linotype" w:hAnsi="Palatino Linotype" w:cs="Palatino Linotype"/>
          <w:b/>
        </w:rPr>
        <w:t xml:space="preserve">SAIMEX </w:t>
      </w:r>
    </w:p>
    <w:p w:rsidR="00125E30" w:rsidRPr="0059151F" w:rsidRDefault="00474FF5">
      <w:pPr>
        <w:spacing w:before="240" w:after="240" w:line="360" w:lineRule="auto"/>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b/>
        </w:rPr>
        <w:t xml:space="preserve">2. Respuesta. </w:t>
      </w:r>
      <w:r w:rsidRPr="0059151F">
        <w:rPr>
          <w:rFonts w:ascii="Palatino Linotype" w:eastAsia="Palatino Linotype" w:hAnsi="Palatino Linotype" w:cs="Palatino Linotype"/>
        </w:rPr>
        <w:t xml:space="preserve">El </w:t>
      </w:r>
      <w:r w:rsidRPr="0059151F">
        <w:rPr>
          <w:rFonts w:ascii="Palatino Linotype" w:eastAsia="Palatino Linotype" w:hAnsi="Palatino Linotype" w:cs="Palatino Linotype"/>
          <w:b/>
        </w:rPr>
        <w:t>veintiséis de abril del dos mil veintitrés</w:t>
      </w:r>
      <w:r w:rsidRPr="0059151F">
        <w:rPr>
          <w:rFonts w:ascii="Palatino Linotype" w:eastAsia="Palatino Linotype" w:hAnsi="Palatino Linotype" w:cs="Palatino Linotype"/>
        </w:rPr>
        <w:t xml:space="preserve">,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xml:space="preserve"> otorgó, a través del </w:t>
      </w:r>
      <w:r w:rsidRPr="0059151F">
        <w:rPr>
          <w:rFonts w:ascii="Palatino Linotype" w:eastAsia="Palatino Linotype" w:hAnsi="Palatino Linotype" w:cs="Palatino Linotype"/>
          <w:b/>
        </w:rPr>
        <w:t>SAIMEX</w:t>
      </w:r>
      <w:r w:rsidRPr="0059151F">
        <w:rPr>
          <w:rFonts w:ascii="Palatino Linotype" w:eastAsia="Palatino Linotype" w:hAnsi="Palatino Linotype" w:cs="Palatino Linotype"/>
        </w:rPr>
        <w:t>, la respuesta a la solicitud de acceso a la información en los siguientes términos:</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125E30" w:rsidRPr="0059151F" w:rsidRDefault="00474FF5">
      <w:pPr>
        <w:spacing w:before="240" w:after="240" w:line="276" w:lineRule="auto"/>
        <w:ind w:left="567" w:right="851"/>
        <w:jc w:val="both"/>
        <w:rPr>
          <w:rFonts w:ascii="Palatino Linotype" w:eastAsia="Palatino Linotype" w:hAnsi="Palatino Linotype" w:cs="Palatino Linotype"/>
          <w:b/>
          <w:i/>
          <w:sz w:val="22"/>
          <w:szCs w:val="22"/>
          <w:u w:val="single"/>
        </w:rPr>
      </w:pPr>
      <w:r w:rsidRPr="0059151F">
        <w:rPr>
          <w:rFonts w:ascii="Palatino Linotype" w:eastAsia="Palatino Linotype" w:hAnsi="Palatino Linotype" w:cs="Palatino Linotype"/>
          <w:b/>
          <w:i/>
          <w:sz w:val="22"/>
          <w:szCs w:val="22"/>
          <w:u w:val="single"/>
        </w:rPr>
        <w:t xml:space="preserve">La publicación de la convocatoria para le entrega de tinacos se </w:t>
      </w:r>
      <w:proofErr w:type="spellStart"/>
      <w:r w:rsidRPr="0059151F">
        <w:rPr>
          <w:rFonts w:ascii="Palatino Linotype" w:eastAsia="Palatino Linotype" w:hAnsi="Palatino Linotype" w:cs="Palatino Linotype"/>
          <w:b/>
          <w:i/>
          <w:sz w:val="22"/>
          <w:szCs w:val="22"/>
          <w:u w:val="single"/>
        </w:rPr>
        <w:t>realizo</w:t>
      </w:r>
      <w:proofErr w:type="spellEnd"/>
      <w:r w:rsidRPr="0059151F">
        <w:rPr>
          <w:rFonts w:ascii="Palatino Linotype" w:eastAsia="Palatino Linotype" w:hAnsi="Palatino Linotype" w:cs="Palatino Linotype"/>
          <w:b/>
          <w:i/>
          <w:sz w:val="22"/>
          <w:szCs w:val="22"/>
          <w:u w:val="single"/>
        </w:rPr>
        <w:t xml:space="preserve"> mediante la red social Facebook del Gobierno de Atizapán de Zaragoza, el día 14 de marzo del año 2023 siendo las 12:22 horas.</w:t>
      </w:r>
      <w:r w:rsidRPr="0059151F">
        <w:rPr>
          <w:rFonts w:ascii="Palatino Linotype" w:eastAsia="Palatino Linotype" w:hAnsi="Palatino Linotype" w:cs="Palatino Linotype"/>
          <w:i/>
          <w:sz w:val="22"/>
          <w:szCs w:val="22"/>
        </w:rPr>
        <w:t xml:space="preserve"> Una vez analizada la información solicitada le informo lo siguiente: con fundamento en el artículo 75 y 76 del Reglamento Orgánico de la Administración Pública Municipal de Atizapán de Zaragoza, Estado de México y Municipios 2022-2024. </w:t>
      </w:r>
      <w:r w:rsidRPr="0059151F">
        <w:rPr>
          <w:rFonts w:ascii="Palatino Linotype" w:eastAsia="Palatino Linotype" w:hAnsi="Palatino Linotype" w:cs="Palatino Linotype"/>
          <w:b/>
          <w:i/>
          <w:sz w:val="22"/>
          <w:szCs w:val="22"/>
          <w:u w:val="single"/>
        </w:rPr>
        <w:t>de acuerdo a las facultades y atribuciones de la Dirección de Desarrollo Social, por lo anterior me permito informarle que en su momento fueron publicadas las Reglas de Operación del Programa en la página Oficial del Gobierno de Atizapán de Zaragoza como en las distintas Redes Sociales con las que cuenta este Ayuntamiento y es facultad de la Dirección de Innovación y Comunicación su publicación y no de esta Dirección; sin embargo cabe señalar que en este momento ya no se encuentra la publicación toda vez que por el momento la página se encuentra cerrada por cuestiones de Veda Electoral</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ATENTAMENTE</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LIC. SERGIO PÉREZ SUÁREZ “(Sic) (Énfasis añadido)</w:t>
      </w:r>
    </w:p>
    <w:p w:rsidR="00125E30" w:rsidRPr="0059151F" w:rsidRDefault="00474FF5">
      <w:pPr>
        <w:spacing w:before="240" w:after="240" w:line="360" w:lineRule="auto"/>
        <w:ind w:right="567"/>
        <w:jc w:val="both"/>
        <w:rPr>
          <w:rFonts w:ascii="Palatino Linotype" w:eastAsia="Palatino Linotype" w:hAnsi="Palatino Linotype" w:cs="Palatino Linotype"/>
        </w:rPr>
      </w:pPr>
      <w:r w:rsidRPr="0059151F">
        <w:rPr>
          <w:rFonts w:ascii="Palatino Linotype" w:eastAsia="Palatino Linotype" w:hAnsi="Palatino Linotype" w:cs="Palatino Linotype"/>
          <w:b/>
        </w:rPr>
        <w:t>Archivos adjuntos:</w:t>
      </w:r>
      <w:r w:rsidRPr="0059151F">
        <w:rPr>
          <w:rFonts w:ascii="Palatino Linotype" w:eastAsia="Palatino Linotype" w:hAnsi="Palatino Linotype" w:cs="Palatino Linotype"/>
        </w:rPr>
        <w:t xml:space="preserve"> </w:t>
      </w:r>
    </w:p>
    <w:p w:rsidR="00125E30" w:rsidRPr="0059151F" w:rsidRDefault="00474FF5">
      <w:pPr>
        <w:spacing w:before="240" w:after="240" w:line="360" w:lineRule="auto"/>
        <w:ind w:left="567" w:right="851"/>
        <w:jc w:val="both"/>
        <w:rPr>
          <w:rFonts w:ascii="Palatino Linotype" w:eastAsia="Palatino Linotype" w:hAnsi="Palatino Linotype" w:cs="Palatino Linotype"/>
        </w:rPr>
      </w:pPr>
      <w:r w:rsidRPr="0059151F">
        <w:rPr>
          <w:rFonts w:ascii="Palatino Linotype" w:eastAsia="Palatino Linotype" w:hAnsi="Palatino Linotype" w:cs="Palatino Linotype"/>
          <w:b/>
          <w:i/>
        </w:rPr>
        <w:t xml:space="preserve">“SOLICITUD 00183_ATIZARA_IP_2023.pdf”: </w:t>
      </w:r>
      <w:r w:rsidRPr="0059151F">
        <w:rPr>
          <w:rFonts w:ascii="Palatino Linotype" w:eastAsia="Palatino Linotype" w:hAnsi="Palatino Linotype" w:cs="Palatino Linotype"/>
        </w:rPr>
        <w:t>Documento de una foja en el que se aprecia el pronunciamiento respecto de la publicación de la convocatoria, la cual se realizó en la red social Facebook del Gobierno de Atizapán de Zaragoza, el 14 de marzo de 2023, a las 12:22 horas, se anexan ligas de acceso a la publicación y reglas de operación del programa municipal.</w:t>
      </w:r>
    </w:p>
    <w:p w:rsidR="00125E30" w:rsidRPr="0059151F" w:rsidRDefault="00474FF5">
      <w:pPr>
        <w:spacing w:before="240" w:after="240" w:line="360" w:lineRule="auto"/>
        <w:ind w:right="567"/>
        <w:jc w:val="center"/>
        <w:rPr>
          <w:rFonts w:ascii="Palatino Linotype" w:eastAsia="Palatino Linotype" w:hAnsi="Palatino Linotype" w:cs="Palatino Linotype"/>
          <w:b/>
          <w:i/>
        </w:rPr>
      </w:pPr>
      <w:r w:rsidRPr="0059151F">
        <w:rPr>
          <w:rFonts w:ascii="Palatino Linotype" w:eastAsia="Palatino Linotype" w:hAnsi="Palatino Linotype" w:cs="Palatino Linotype"/>
          <w:b/>
          <w:i/>
          <w:noProof/>
          <w:lang w:val="es-MX"/>
        </w:rPr>
        <w:lastRenderedPageBreak/>
        <w:drawing>
          <wp:inline distT="0" distB="0" distL="0" distR="0">
            <wp:extent cx="4735786" cy="5783813"/>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35786" cy="5783813"/>
                    </a:xfrm>
                    <a:prstGeom prst="rect">
                      <a:avLst/>
                    </a:prstGeom>
                    <a:ln/>
                  </pic:spPr>
                </pic:pic>
              </a:graphicData>
            </a:graphic>
          </wp:inline>
        </w:drawing>
      </w:r>
    </w:p>
    <w:p w:rsidR="00125E30" w:rsidRPr="0059151F" w:rsidRDefault="00474FF5">
      <w:pPr>
        <w:spacing w:before="240" w:after="240" w:line="360" w:lineRule="auto"/>
        <w:ind w:right="567"/>
        <w:jc w:val="both"/>
        <w:rPr>
          <w:rFonts w:ascii="Palatino Linotype" w:eastAsia="Palatino Linotype" w:hAnsi="Palatino Linotype" w:cs="Palatino Linotype"/>
        </w:rPr>
      </w:pPr>
      <w:r w:rsidRPr="0059151F">
        <w:rPr>
          <w:rFonts w:ascii="Palatino Linotype" w:eastAsia="Palatino Linotype" w:hAnsi="Palatino Linotype" w:cs="Palatino Linotype"/>
          <w:b/>
          <w:i/>
        </w:rPr>
        <w:t xml:space="preserve">“CONVOCATORIA-Desabasto-de-agua.pdf”: </w:t>
      </w:r>
      <w:r w:rsidRPr="0059151F">
        <w:rPr>
          <w:rFonts w:ascii="Palatino Linotype" w:eastAsia="Palatino Linotype" w:hAnsi="Palatino Linotype" w:cs="Palatino Linotype"/>
        </w:rPr>
        <w:t>Documento de nueve fojas en el que se aprecian las reglas de operación del programa municipal “Unidos en apoyo al desabasto de agua” el cual consiste en la entrega de un tinaco.</w:t>
      </w:r>
    </w:p>
    <w:p w:rsidR="00125E30" w:rsidRPr="0059151F" w:rsidRDefault="00474FF5">
      <w:pPr>
        <w:spacing w:before="240" w:after="240" w:line="360" w:lineRule="auto"/>
        <w:ind w:right="567"/>
        <w:jc w:val="center"/>
        <w:rPr>
          <w:rFonts w:ascii="Palatino Linotype" w:eastAsia="Palatino Linotype" w:hAnsi="Palatino Linotype" w:cs="Palatino Linotype"/>
        </w:rPr>
      </w:pPr>
      <w:r w:rsidRPr="0059151F">
        <w:rPr>
          <w:rFonts w:ascii="Palatino Linotype" w:eastAsia="Palatino Linotype" w:hAnsi="Palatino Linotype" w:cs="Palatino Linotype"/>
          <w:noProof/>
          <w:lang w:val="es-MX"/>
        </w:rPr>
        <w:lastRenderedPageBreak/>
        <w:drawing>
          <wp:inline distT="0" distB="0" distL="0" distR="0">
            <wp:extent cx="4869842" cy="6045607"/>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869842" cy="6045607"/>
                    </a:xfrm>
                    <a:prstGeom prst="rect">
                      <a:avLst/>
                    </a:prstGeom>
                    <a:ln/>
                  </pic:spPr>
                </pic:pic>
              </a:graphicData>
            </a:graphic>
          </wp:inline>
        </w:drawing>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b/>
        </w:rPr>
        <w:t>3. Recurso de revisión.</w:t>
      </w:r>
      <w:r w:rsidRPr="0059151F">
        <w:rPr>
          <w:rFonts w:ascii="Palatino Linotype" w:eastAsia="Palatino Linotype" w:hAnsi="Palatino Linotype" w:cs="Palatino Linotype"/>
          <w:b/>
          <w:sz w:val="22"/>
          <w:szCs w:val="22"/>
        </w:rPr>
        <w:t xml:space="preserve"> </w:t>
      </w:r>
      <w:r w:rsidRPr="0059151F">
        <w:rPr>
          <w:rFonts w:ascii="Palatino Linotype" w:eastAsia="Palatino Linotype" w:hAnsi="Palatino Linotype" w:cs="Palatino Linotype"/>
        </w:rPr>
        <w:t xml:space="preserve">Inconforme con la respuesta recibida, </w:t>
      </w:r>
      <w:r w:rsidRPr="0059151F">
        <w:rPr>
          <w:rFonts w:ascii="Palatino Linotype" w:eastAsia="Palatino Linotype" w:hAnsi="Palatino Linotype" w:cs="Palatino Linotype"/>
          <w:b/>
        </w:rPr>
        <w:t>la parte Recurrente</w:t>
      </w:r>
      <w:r w:rsidRPr="0059151F">
        <w:rPr>
          <w:rFonts w:ascii="Palatino Linotype" w:eastAsia="Palatino Linotype" w:hAnsi="Palatino Linotype" w:cs="Palatino Linotype"/>
        </w:rPr>
        <w:t xml:space="preserve"> interpuso el </w:t>
      </w:r>
      <w:r w:rsidRPr="0059151F">
        <w:rPr>
          <w:rFonts w:ascii="Palatino Linotype" w:eastAsia="Palatino Linotype" w:hAnsi="Palatino Linotype" w:cs="Palatino Linotype"/>
          <w:b/>
        </w:rPr>
        <w:t>veintisiete de abril del año dos mil veintitrés</w:t>
      </w:r>
      <w:r w:rsidRPr="0059151F">
        <w:rPr>
          <w:rFonts w:ascii="Palatino Linotype" w:eastAsia="Palatino Linotype" w:hAnsi="Palatino Linotype" w:cs="Palatino Linotype"/>
        </w:rPr>
        <w:t>, el presente medio de impugnación expresando las siguientes manifestaciones:</w:t>
      </w:r>
    </w:p>
    <w:p w:rsidR="00125E30" w:rsidRPr="0059151F" w:rsidRDefault="00474FF5">
      <w:pPr>
        <w:spacing w:before="240" w:after="240" w:line="360" w:lineRule="auto"/>
        <w:ind w:left="851" w:right="567"/>
        <w:rPr>
          <w:rFonts w:ascii="Palatino Linotype" w:eastAsia="Palatino Linotype" w:hAnsi="Palatino Linotype" w:cs="Palatino Linotype"/>
          <w:b/>
        </w:rPr>
      </w:pPr>
      <w:r w:rsidRPr="0059151F">
        <w:rPr>
          <w:rFonts w:ascii="Palatino Linotype" w:eastAsia="Palatino Linotype" w:hAnsi="Palatino Linotype" w:cs="Palatino Linotype"/>
          <w:b/>
        </w:rPr>
        <w:lastRenderedPageBreak/>
        <w:t>a) Acto impugnado.</w:t>
      </w:r>
    </w:p>
    <w:p w:rsidR="00125E30" w:rsidRPr="0059151F" w:rsidRDefault="00474FF5">
      <w:pPr>
        <w:spacing w:before="240" w:after="240" w:line="276" w:lineRule="auto"/>
        <w:ind w:left="851" w:right="567"/>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 xml:space="preserve">“Niegan la información” (Sic) </w:t>
      </w:r>
    </w:p>
    <w:p w:rsidR="00125E30" w:rsidRPr="0059151F" w:rsidRDefault="00474FF5">
      <w:pPr>
        <w:spacing w:before="240" w:after="240" w:line="360" w:lineRule="auto"/>
        <w:ind w:left="851" w:right="567"/>
        <w:jc w:val="both"/>
        <w:rPr>
          <w:rFonts w:ascii="Palatino Linotype" w:eastAsia="Palatino Linotype" w:hAnsi="Palatino Linotype" w:cs="Palatino Linotype"/>
          <w:b/>
        </w:rPr>
      </w:pPr>
      <w:r w:rsidRPr="0059151F">
        <w:rPr>
          <w:rFonts w:ascii="Palatino Linotype" w:eastAsia="Palatino Linotype" w:hAnsi="Palatino Linotype" w:cs="Palatino Linotype"/>
          <w:b/>
        </w:rPr>
        <w:t>b) Razones o motivos de inconformidad.</w:t>
      </w:r>
    </w:p>
    <w:p w:rsidR="00125E30" w:rsidRPr="0059151F" w:rsidRDefault="00474FF5">
      <w:pPr>
        <w:spacing w:before="240" w:after="240" w:line="276" w:lineRule="auto"/>
        <w:ind w:left="851" w:right="567"/>
        <w:jc w:val="both"/>
        <w:rPr>
          <w:rFonts w:ascii="Palatino Linotype" w:eastAsia="Palatino Linotype" w:hAnsi="Palatino Linotype" w:cs="Palatino Linotype"/>
        </w:rPr>
      </w:pPr>
      <w:r w:rsidRPr="0059151F">
        <w:rPr>
          <w:rFonts w:ascii="Palatino Linotype" w:eastAsia="Palatino Linotype" w:hAnsi="Palatino Linotype" w:cs="Palatino Linotype"/>
          <w:i/>
          <w:sz w:val="22"/>
          <w:szCs w:val="22"/>
        </w:rPr>
        <w:t>“</w:t>
      </w:r>
      <w:r w:rsidRPr="0059151F">
        <w:rPr>
          <w:rFonts w:ascii="Palatino Linotype" w:eastAsia="Palatino Linotype" w:hAnsi="Palatino Linotype" w:cs="Palatino Linotype"/>
          <w:b/>
          <w:i/>
          <w:sz w:val="22"/>
          <w:szCs w:val="22"/>
          <w:u w:val="single"/>
        </w:rPr>
        <w:t>Niegan la información, es importante señalar se justifican con la veda electoral, sin embargo las redes sociales no cuentan con el formato de veda electoral los vínculos que remiten son de sus redes sociales</w:t>
      </w:r>
      <w:r w:rsidRPr="0059151F">
        <w:rPr>
          <w:rFonts w:ascii="Palatino Linotype" w:eastAsia="Palatino Linotype" w:hAnsi="Palatino Linotype" w:cs="Palatino Linotype"/>
          <w:i/>
          <w:sz w:val="22"/>
          <w:szCs w:val="22"/>
        </w:rPr>
        <w:t>" (Sic) (Énfasis añadido)</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b/>
        </w:rPr>
        <w:t xml:space="preserve">4. Turno. </w:t>
      </w:r>
      <w:r w:rsidRPr="0059151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59151F">
        <w:rPr>
          <w:rFonts w:ascii="Palatino Linotype" w:eastAsia="Palatino Linotype" w:hAnsi="Palatino Linotype" w:cs="Palatino Linotype"/>
          <w:b/>
        </w:rPr>
        <w:t>Comisionada Guadalupe Ramírez Peña</w:t>
      </w:r>
      <w:r w:rsidRPr="0059151F">
        <w:rPr>
          <w:rFonts w:ascii="Palatino Linotype" w:eastAsia="Palatino Linotype" w:hAnsi="Palatino Linotype" w:cs="Palatino Linotype"/>
        </w:rPr>
        <w:t xml:space="preserve"> para su análisis, estudio, elaboración del proyecto y presentación ante el Pleno de este Instituto.</w:t>
      </w:r>
    </w:p>
    <w:p w:rsidR="00125E30" w:rsidRPr="0059151F" w:rsidRDefault="00474FF5">
      <w:pPr>
        <w:spacing w:before="240" w:after="240" w:line="360" w:lineRule="auto"/>
        <w:jc w:val="both"/>
      </w:pPr>
      <w:r w:rsidRPr="0059151F">
        <w:rPr>
          <w:rFonts w:ascii="Palatino Linotype" w:eastAsia="Palatino Linotype" w:hAnsi="Palatino Linotype" w:cs="Palatino Linotype"/>
          <w:b/>
        </w:rPr>
        <w:t xml:space="preserve">5. Admisión. </w:t>
      </w:r>
      <w:r w:rsidRPr="0059151F">
        <w:rPr>
          <w:rFonts w:ascii="Palatino Linotype" w:eastAsia="Palatino Linotype" w:hAnsi="Palatino Linotype" w:cs="Palatino Linotype"/>
        </w:rPr>
        <w:t xml:space="preserve">Mediante auto de fecha </w:t>
      </w:r>
      <w:r w:rsidRPr="0059151F">
        <w:rPr>
          <w:rFonts w:ascii="Palatino Linotype" w:eastAsia="Palatino Linotype" w:hAnsi="Palatino Linotype" w:cs="Palatino Linotype"/>
          <w:b/>
        </w:rPr>
        <w:t>tres de mayo del dos mil veintitrés</w:t>
      </w:r>
      <w:r w:rsidRPr="0059151F">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125E30" w:rsidRPr="0059151F" w:rsidRDefault="00474FF5">
      <w:pPr>
        <w:widowControl w:val="0"/>
        <w:tabs>
          <w:tab w:val="left" w:pos="709"/>
        </w:tabs>
        <w:spacing w:before="240" w:after="240" w:line="360" w:lineRule="auto"/>
        <w:jc w:val="both"/>
        <w:rPr>
          <w:rFonts w:ascii="Palatino Linotype" w:eastAsia="Palatino Linotype" w:hAnsi="Palatino Linotype" w:cs="Palatino Linotype"/>
          <w:b/>
          <w:i/>
        </w:rPr>
      </w:pPr>
      <w:r w:rsidRPr="0059151F">
        <w:rPr>
          <w:rFonts w:ascii="Palatino Linotype" w:eastAsia="Palatino Linotype" w:hAnsi="Palatino Linotype" w:cs="Palatino Linotype"/>
          <w:b/>
        </w:rPr>
        <w:t>6. Manifestaciones.</w:t>
      </w:r>
      <w:r w:rsidRPr="0059151F">
        <w:rPr>
          <w:rFonts w:ascii="Palatino Linotype" w:eastAsia="Palatino Linotype" w:hAnsi="Palatino Linotype" w:cs="Palatino Linotype"/>
          <w:b/>
          <w:sz w:val="28"/>
          <w:szCs w:val="28"/>
        </w:rPr>
        <w:t xml:space="preserve"> </w:t>
      </w:r>
      <w:r w:rsidRPr="0059151F">
        <w:rPr>
          <w:rFonts w:ascii="Palatino Linotype" w:eastAsia="Palatino Linotype" w:hAnsi="Palatino Linotype" w:cs="Palatino Linotype"/>
        </w:rPr>
        <w:t xml:space="preserve">De las constancias que integran el expediente en que se actúan se advierte que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xml:space="preserve"> remitió los archivos electrónicos </w:t>
      </w:r>
      <w:r w:rsidRPr="0059151F">
        <w:rPr>
          <w:rFonts w:ascii="Palatino Linotype" w:eastAsia="Palatino Linotype" w:hAnsi="Palatino Linotype" w:cs="Palatino Linotype"/>
        </w:rPr>
        <w:lastRenderedPageBreak/>
        <w:t>“</w:t>
      </w:r>
      <w:r w:rsidRPr="0059151F">
        <w:rPr>
          <w:rFonts w:ascii="Palatino Linotype" w:eastAsia="Palatino Linotype" w:hAnsi="Palatino Linotype" w:cs="Palatino Linotype"/>
          <w:b/>
          <w:i/>
        </w:rPr>
        <w:t xml:space="preserve">20230504115644147.pdf”, “20230428164434977_0001.pdf” y  “20230504115454225_0004.pdf”, </w:t>
      </w:r>
      <w:r w:rsidRPr="0059151F">
        <w:rPr>
          <w:rFonts w:ascii="Palatino Linotype" w:eastAsia="Palatino Linotype" w:hAnsi="Palatino Linotype" w:cs="Palatino Linotype"/>
        </w:rPr>
        <w:t>los cuales dan medularmente ratifican la respuesta inicial, es de precisar que el soporte documental “</w:t>
      </w:r>
      <w:r w:rsidRPr="0059151F">
        <w:rPr>
          <w:rFonts w:ascii="Palatino Linotype" w:eastAsia="Palatino Linotype" w:hAnsi="Palatino Linotype" w:cs="Palatino Linotype"/>
          <w:b/>
          <w:i/>
        </w:rPr>
        <w:t xml:space="preserve">20230504115644147.pdf”, </w:t>
      </w:r>
      <w:r w:rsidRPr="0059151F">
        <w:rPr>
          <w:rFonts w:ascii="Palatino Linotype" w:eastAsia="Palatino Linotype" w:hAnsi="Palatino Linotype" w:cs="Palatino Linotype"/>
        </w:rPr>
        <w:t xml:space="preserve">no se puso a la vista, en virtud de que al consultar la liga electrónica, nos dirige a perfiles de Facebook de particulares, asimismo por cuanto hace a </w:t>
      </w:r>
      <w:r w:rsidRPr="0059151F">
        <w:rPr>
          <w:rFonts w:ascii="Palatino Linotype" w:eastAsia="Palatino Linotype" w:hAnsi="Palatino Linotype" w:cs="Palatino Linotype"/>
          <w:b/>
        </w:rPr>
        <w:t xml:space="preserve">la parte Recurrente </w:t>
      </w:r>
      <w:r w:rsidRPr="0059151F">
        <w:rPr>
          <w:rFonts w:ascii="Palatino Linotype" w:eastAsia="Palatino Linotype" w:hAnsi="Palatino Linotype" w:cs="Palatino Linotype"/>
          <w:b/>
          <w:i/>
        </w:rPr>
        <w:t xml:space="preserve">, </w:t>
      </w:r>
      <w:r w:rsidRPr="0059151F">
        <w:rPr>
          <w:rFonts w:ascii="Palatino Linotype" w:eastAsia="Palatino Linotype" w:hAnsi="Palatino Linotype" w:cs="Palatino Linotype"/>
        </w:rPr>
        <w:t xml:space="preserve">se tiene que esta fue omisa en remitir sus manifestaciones o alegatos que a su derecho conviniera, por lo tanto se tiene por </w:t>
      </w:r>
      <w:proofErr w:type="spellStart"/>
      <w:r w:rsidRPr="0059151F">
        <w:rPr>
          <w:rFonts w:ascii="Palatino Linotype" w:eastAsia="Palatino Linotype" w:hAnsi="Palatino Linotype" w:cs="Palatino Linotype"/>
        </w:rPr>
        <w:t>precluido</w:t>
      </w:r>
      <w:proofErr w:type="spellEnd"/>
      <w:r w:rsidRPr="0059151F">
        <w:rPr>
          <w:rFonts w:ascii="Palatino Linotype" w:eastAsia="Palatino Linotype" w:hAnsi="Palatino Linotype" w:cs="Palatino Linotype"/>
        </w:rPr>
        <w:t xml:space="preserve"> su derecho para tal efecto.</w:t>
      </w:r>
    </w:p>
    <w:p w:rsidR="00125E30" w:rsidRPr="0059151F" w:rsidRDefault="00474FF5">
      <w:pPr>
        <w:widowControl w:val="0"/>
        <w:tabs>
          <w:tab w:val="left" w:pos="709"/>
        </w:tabs>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noProof/>
          <w:lang w:val="es-MX"/>
        </w:rPr>
        <w:drawing>
          <wp:inline distT="0" distB="0" distL="0" distR="0">
            <wp:extent cx="5581015" cy="22860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581015" cy="2286000"/>
                    </a:xfrm>
                    <a:prstGeom prst="rect">
                      <a:avLst/>
                    </a:prstGeom>
                    <a:ln/>
                  </pic:spPr>
                </pic:pic>
              </a:graphicData>
            </a:graphic>
          </wp:inline>
        </w:drawing>
      </w:r>
    </w:p>
    <w:p w:rsidR="00125E30" w:rsidRPr="0059151F" w:rsidRDefault="00474FF5">
      <w:pPr>
        <w:widowControl w:val="0"/>
        <w:spacing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b/>
        </w:rPr>
        <w:t>7. Ampliación del plazo para emitir resolución.</w:t>
      </w:r>
      <w:r w:rsidRPr="0059151F">
        <w:rPr>
          <w:rFonts w:ascii="Palatino Linotype" w:eastAsia="Palatino Linotype" w:hAnsi="Palatino Linotype" w:cs="Palatino Linotype"/>
        </w:rPr>
        <w:t xml:space="preserve"> El </w:t>
      </w:r>
      <w:r w:rsidRPr="0059151F">
        <w:rPr>
          <w:rFonts w:ascii="Palatino Linotype" w:eastAsia="Palatino Linotype" w:hAnsi="Palatino Linotype" w:cs="Palatino Linotype"/>
          <w:b/>
        </w:rPr>
        <w:t>veintiuno de septiembre del año dos mil veintitrés</w:t>
      </w:r>
      <w:r w:rsidRPr="0059151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59151F">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w:t>
      </w:r>
      <w:r w:rsidRPr="0059151F">
        <w:rPr>
          <w:rFonts w:ascii="Palatino Linotype" w:eastAsia="Palatino Linotype" w:hAnsi="Palatino Linotype" w:cs="Palatino Linotype"/>
          <w:color w:val="000000"/>
        </w:rPr>
        <w:lastRenderedPageBreak/>
        <w:t xml:space="preserve">se incrementó aproximadamente un 300%, </w:t>
      </w:r>
      <w:r w:rsidRPr="0059151F">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strike/>
          <w:color w:val="FF0000"/>
        </w:rPr>
      </w:pPr>
      <w:r w:rsidRPr="0059151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numPr>
          <w:ilvl w:val="0"/>
          <w:numId w:val="2"/>
        </w:numPr>
        <w:spacing w:line="360" w:lineRule="auto"/>
        <w:ind w:left="567" w:right="900" w:hanging="283"/>
        <w:jc w:val="both"/>
        <w:rPr>
          <w:rFonts w:ascii="Palatino Linotype" w:eastAsia="Palatino Linotype" w:hAnsi="Palatino Linotype" w:cs="Palatino Linotype"/>
        </w:rPr>
      </w:pPr>
      <w:r w:rsidRPr="0059151F">
        <w:rPr>
          <w:rFonts w:ascii="Palatino Linotype" w:eastAsia="Palatino Linotype" w:hAnsi="Palatino Linotype" w:cs="Palatino Linotype"/>
          <w:b/>
        </w:rPr>
        <w:lastRenderedPageBreak/>
        <w:t>Complejidad del Asunto:</w:t>
      </w:r>
      <w:r w:rsidRPr="0059151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125E30" w:rsidRPr="0059151F" w:rsidRDefault="00125E30">
      <w:pPr>
        <w:spacing w:line="360" w:lineRule="auto"/>
        <w:ind w:left="567" w:right="900" w:hanging="283"/>
        <w:jc w:val="both"/>
        <w:rPr>
          <w:rFonts w:ascii="Palatino Linotype" w:eastAsia="Palatino Linotype" w:hAnsi="Palatino Linotype" w:cs="Palatino Linotype"/>
        </w:rPr>
      </w:pPr>
    </w:p>
    <w:p w:rsidR="00125E30" w:rsidRPr="0059151F" w:rsidRDefault="00474FF5">
      <w:pPr>
        <w:numPr>
          <w:ilvl w:val="0"/>
          <w:numId w:val="2"/>
        </w:numPr>
        <w:spacing w:line="360" w:lineRule="auto"/>
        <w:ind w:left="567" w:right="900" w:hanging="283"/>
        <w:jc w:val="both"/>
        <w:rPr>
          <w:rFonts w:ascii="Palatino Linotype" w:eastAsia="Palatino Linotype" w:hAnsi="Palatino Linotype" w:cs="Palatino Linotype"/>
        </w:rPr>
      </w:pPr>
      <w:r w:rsidRPr="0059151F">
        <w:rPr>
          <w:rFonts w:ascii="Palatino Linotype" w:eastAsia="Palatino Linotype" w:hAnsi="Palatino Linotype" w:cs="Palatino Linotype"/>
          <w:b/>
        </w:rPr>
        <w:t>Actividad Procesal del interesado</w:t>
      </w:r>
      <w:r w:rsidRPr="0059151F">
        <w:rPr>
          <w:rFonts w:ascii="Palatino Linotype" w:eastAsia="Palatino Linotype" w:hAnsi="Palatino Linotype" w:cs="Palatino Linotype"/>
        </w:rPr>
        <w:t>. Acciones u omisiones del interesado.</w:t>
      </w:r>
    </w:p>
    <w:p w:rsidR="00125E30" w:rsidRPr="0059151F" w:rsidRDefault="00125E30">
      <w:pPr>
        <w:spacing w:line="360" w:lineRule="auto"/>
        <w:ind w:left="567" w:right="900" w:hanging="283"/>
        <w:jc w:val="both"/>
        <w:rPr>
          <w:rFonts w:ascii="Palatino Linotype" w:eastAsia="Palatino Linotype" w:hAnsi="Palatino Linotype" w:cs="Palatino Linotype"/>
          <w:b/>
        </w:rPr>
      </w:pPr>
    </w:p>
    <w:p w:rsidR="00125E30" w:rsidRPr="0059151F" w:rsidRDefault="00474FF5">
      <w:pPr>
        <w:numPr>
          <w:ilvl w:val="0"/>
          <w:numId w:val="2"/>
        </w:numPr>
        <w:spacing w:line="360" w:lineRule="auto"/>
        <w:ind w:left="567" w:right="900" w:hanging="283"/>
        <w:jc w:val="both"/>
        <w:rPr>
          <w:rFonts w:ascii="Palatino Linotype" w:eastAsia="Palatino Linotype" w:hAnsi="Palatino Linotype" w:cs="Palatino Linotype"/>
        </w:rPr>
      </w:pPr>
      <w:r w:rsidRPr="0059151F">
        <w:rPr>
          <w:rFonts w:ascii="Palatino Linotype" w:eastAsia="Palatino Linotype" w:hAnsi="Palatino Linotype" w:cs="Palatino Linotype"/>
          <w:b/>
        </w:rPr>
        <w:t>Conducta de la Autoridad:</w:t>
      </w:r>
      <w:r w:rsidRPr="0059151F">
        <w:rPr>
          <w:rFonts w:ascii="Palatino Linotype" w:eastAsia="Palatino Linotype" w:hAnsi="Palatino Linotype" w:cs="Palatino Linotype"/>
        </w:rPr>
        <w:t xml:space="preserve"> Las Acciones u omisiones realizadas en el procedimiento. Así como si la autoridad actuó con la debida diligencia.</w:t>
      </w:r>
    </w:p>
    <w:p w:rsidR="00125E30" w:rsidRPr="0059151F" w:rsidRDefault="00125E30">
      <w:pPr>
        <w:spacing w:line="360" w:lineRule="auto"/>
        <w:ind w:left="567" w:right="900" w:hanging="283"/>
        <w:rPr>
          <w:rFonts w:ascii="Palatino Linotype" w:eastAsia="Palatino Linotype" w:hAnsi="Palatino Linotype" w:cs="Palatino Linotype"/>
        </w:rPr>
      </w:pPr>
    </w:p>
    <w:p w:rsidR="00125E30" w:rsidRPr="0059151F" w:rsidRDefault="00474FF5">
      <w:pPr>
        <w:spacing w:line="360" w:lineRule="auto"/>
        <w:ind w:left="567" w:right="900" w:hanging="283"/>
        <w:jc w:val="both"/>
        <w:rPr>
          <w:rFonts w:ascii="Palatino Linotype" w:eastAsia="Palatino Linotype" w:hAnsi="Palatino Linotype" w:cs="Palatino Linotype"/>
        </w:rPr>
      </w:pPr>
      <w:r w:rsidRPr="0059151F">
        <w:rPr>
          <w:rFonts w:ascii="Palatino Linotype" w:eastAsia="Palatino Linotype" w:hAnsi="Palatino Linotype" w:cs="Palatino Linotype"/>
          <w:b/>
        </w:rPr>
        <w:t>d) La afectación generada en la situación jurídica de la persona involucrada en el proceso:</w:t>
      </w:r>
      <w:r w:rsidRPr="0059151F">
        <w:rPr>
          <w:rFonts w:ascii="Palatino Linotype" w:eastAsia="Palatino Linotype" w:hAnsi="Palatino Linotype" w:cs="Palatino Linotype"/>
        </w:rPr>
        <w:t xml:space="preserve"> Violación a sus derechos humanos.</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b/>
        </w:rPr>
      </w:pPr>
      <w:r w:rsidRPr="0059151F">
        <w:rPr>
          <w:rFonts w:ascii="Palatino Linotype" w:eastAsia="Palatino Linotype" w:hAnsi="Palatino Linotype" w:cs="Palatino Linotype"/>
        </w:rPr>
        <w:t>Argumento que encuentra sustento en la jurisprudencia P</w:t>
      </w:r>
      <w:proofErr w:type="gramStart"/>
      <w:r w:rsidRPr="0059151F">
        <w:rPr>
          <w:rFonts w:ascii="Palatino Linotype" w:eastAsia="Palatino Linotype" w:hAnsi="Palatino Linotype" w:cs="Palatino Linotype"/>
        </w:rPr>
        <w:t>./</w:t>
      </w:r>
      <w:proofErr w:type="gramEnd"/>
      <w:r w:rsidRPr="0059151F">
        <w:rPr>
          <w:rFonts w:ascii="Palatino Linotype" w:eastAsia="Palatino Linotype" w:hAnsi="Palatino Linotype" w:cs="Palatino Linotype"/>
        </w:rPr>
        <w:t xml:space="preserve">J. 32/92 emitida por el Pleno de la Suprema Corte de Justicia de la Nación de rubro </w:t>
      </w:r>
      <w:r w:rsidRPr="0059151F">
        <w:rPr>
          <w:rFonts w:ascii="Palatino Linotype" w:eastAsia="Palatino Linotype" w:hAnsi="Palatino Linotype" w:cs="Palatino Linotype"/>
          <w:i/>
        </w:rPr>
        <w:t xml:space="preserve">“TÉRMINOS PROCESALES. PARA DETERMINAR SI UN FUNCIONARIO JUDICIAL ACTUÓ </w:t>
      </w:r>
      <w:r w:rsidRPr="0059151F">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59151F">
        <w:rPr>
          <w:rFonts w:ascii="Palatino Linotype" w:eastAsia="Palatino Linotype" w:hAnsi="Palatino Linotype" w:cs="Palatino Linotype"/>
        </w:rPr>
        <w:t>, visible en la Gaceta del Seminario Judicial de la Federación con el registro digital 205635.</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 </w:t>
      </w:r>
      <w:r w:rsidRPr="0059151F">
        <w:rPr>
          <w:rFonts w:ascii="Palatino Linotype" w:eastAsia="Palatino Linotype" w:hAnsi="Palatino Linotype" w:cs="Palatino Linotype"/>
          <w:i/>
        </w:rPr>
        <w:t>“PLAZO RAZONABLE PARA RESOLVER. DIMENSIÓN Y EFECTOS DE ESTE CONCEPTO CUANDO SE ADUCE EXCESIVA CARGA DE TRABAJO.”</w:t>
      </w:r>
      <w:r w:rsidRPr="0059151F">
        <w:rPr>
          <w:rFonts w:ascii="Palatino Linotype" w:eastAsia="Palatino Linotype" w:hAnsi="Palatino Linotype" w:cs="Palatino Linotype"/>
        </w:rPr>
        <w:t xml:space="preserve"> consultable en el Seminario Judicial de la Federación y su gaceta, con el registro digital 2002351.</w:t>
      </w:r>
    </w:p>
    <w:p w:rsidR="00125E30" w:rsidRPr="0059151F" w:rsidRDefault="00125E30">
      <w:pPr>
        <w:spacing w:line="360" w:lineRule="auto"/>
        <w:jc w:val="both"/>
        <w:rPr>
          <w:rFonts w:ascii="Palatino Linotype" w:eastAsia="Palatino Linotype" w:hAnsi="Palatino Linotype" w:cs="Palatino Linotype"/>
          <w:b/>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59151F">
        <w:rPr>
          <w:rFonts w:ascii="Palatino Linotype" w:eastAsia="Palatino Linotype" w:hAnsi="Palatino Linotype" w:cs="Palatino Linotype"/>
        </w:rPr>
        <w:t>, visible en el Seminario Judicial de la Federación y su gaceta, con el registro digital 2002350.</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125E30" w:rsidRPr="0059151F" w:rsidRDefault="00474FF5">
      <w:pPr>
        <w:widowControl w:val="0"/>
        <w:tabs>
          <w:tab w:val="left" w:pos="709"/>
        </w:tabs>
        <w:spacing w:before="240" w:after="240" w:line="360" w:lineRule="auto"/>
        <w:jc w:val="both"/>
        <w:rPr>
          <w:color w:val="000000"/>
        </w:rPr>
      </w:pPr>
      <w:r w:rsidRPr="0059151F">
        <w:rPr>
          <w:rFonts w:ascii="Palatino Linotype" w:eastAsia="Palatino Linotype" w:hAnsi="Palatino Linotype" w:cs="Palatino Linotype"/>
          <w:b/>
        </w:rPr>
        <w:t xml:space="preserve">8. Cierre de Instrucción. </w:t>
      </w:r>
      <w:r w:rsidRPr="0059151F">
        <w:rPr>
          <w:rFonts w:ascii="Palatino Linotype" w:eastAsia="Palatino Linotype" w:hAnsi="Palatino Linotype" w:cs="Palatino Linotype"/>
        </w:rPr>
        <w:t xml:space="preserve">El </w:t>
      </w:r>
      <w:r w:rsidRPr="0059151F">
        <w:rPr>
          <w:rFonts w:ascii="Palatino Linotype" w:eastAsia="Palatino Linotype" w:hAnsi="Palatino Linotype" w:cs="Palatino Linotype"/>
          <w:b/>
        </w:rPr>
        <w:t>veintiséis de septiembre del año dos mil veintitrés</w:t>
      </w:r>
      <w:r w:rsidRPr="0059151F">
        <w:rPr>
          <w:rFonts w:ascii="Palatino Linotype" w:eastAsia="Palatino Linotype" w:hAnsi="Palatino Linotype" w:cs="Palatino Linotype"/>
        </w:rPr>
        <w:t xml:space="preserve">, se emitió el acuerdo por medio del cual se declaró cerrada la instrucción, pasando el expediente a resolución, debido a que fue debidamente sustanciado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59151F">
        <w:rPr>
          <w:rFonts w:ascii="Palatino Linotype" w:eastAsia="Palatino Linotype" w:hAnsi="Palatino Linotype" w:cs="Palatino Linotype"/>
          <w:b/>
          <w:sz w:val="28"/>
          <w:szCs w:val="28"/>
        </w:rPr>
        <w:t xml:space="preserve"> </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rsidR="00125E30" w:rsidRPr="0059151F" w:rsidRDefault="00474FF5">
      <w:pPr>
        <w:pStyle w:val="Ttulo2"/>
        <w:spacing w:before="240" w:after="240" w:line="360" w:lineRule="auto"/>
        <w:jc w:val="center"/>
        <w:rPr>
          <w:rFonts w:ascii="Palatino Linotype" w:eastAsia="Palatino Linotype" w:hAnsi="Palatino Linotype" w:cs="Palatino Linotype"/>
          <w:b/>
          <w:color w:val="000000"/>
          <w:sz w:val="24"/>
          <w:szCs w:val="24"/>
        </w:rPr>
      </w:pPr>
      <w:r w:rsidRPr="0059151F">
        <w:rPr>
          <w:rFonts w:ascii="Palatino Linotype" w:eastAsia="Palatino Linotype" w:hAnsi="Palatino Linotype" w:cs="Palatino Linotype"/>
          <w:b/>
          <w:color w:val="000000"/>
          <w:sz w:val="24"/>
          <w:szCs w:val="24"/>
        </w:rPr>
        <w:t>II. C O N S I D E R A N D O S:</w:t>
      </w:r>
    </w:p>
    <w:p w:rsidR="00125E30" w:rsidRPr="0059151F" w:rsidRDefault="00474FF5">
      <w:pPr>
        <w:spacing w:before="240" w:after="240" w:line="360" w:lineRule="auto"/>
        <w:jc w:val="both"/>
        <w:rPr>
          <w:rFonts w:ascii="Palatino Linotype" w:eastAsia="Palatino Linotype" w:hAnsi="Palatino Linotype" w:cs="Palatino Linotype"/>
          <w:b/>
        </w:rPr>
      </w:pPr>
      <w:r w:rsidRPr="0059151F">
        <w:rPr>
          <w:rFonts w:ascii="Palatino Linotype" w:eastAsia="Palatino Linotype" w:hAnsi="Palatino Linotype" w:cs="Palatino Linotype"/>
          <w:b/>
        </w:rPr>
        <w:t>Primero. Competencia</w:t>
      </w:r>
      <w:r w:rsidRPr="0059151F">
        <w:rPr>
          <w:rFonts w:ascii="Palatino Linotype" w:eastAsia="Palatino Linotype" w:hAnsi="Palatino Linotype" w:cs="Palatino Linotype"/>
          <w:b/>
          <w:sz w:val="22"/>
          <w:szCs w:val="22"/>
        </w:rPr>
        <w:t xml:space="preserve">. </w:t>
      </w:r>
      <w:r w:rsidRPr="0059151F">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59151F">
        <w:rPr>
          <w:rFonts w:ascii="Palatino Linotype" w:eastAsia="Palatino Linotype" w:hAnsi="Palatino Linotype" w:cs="Palatino Linotype"/>
          <w:b/>
        </w:rPr>
        <w:lastRenderedPageBreak/>
        <w:t>la parte Recurrente</w:t>
      </w:r>
      <w:r w:rsidRPr="0059151F">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b/>
        </w:rPr>
        <w:t xml:space="preserve">Segundo. Oportunidad y </w:t>
      </w:r>
      <w:proofErr w:type="spellStart"/>
      <w:r w:rsidRPr="0059151F">
        <w:rPr>
          <w:rFonts w:ascii="Palatino Linotype" w:eastAsia="Palatino Linotype" w:hAnsi="Palatino Linotype" w:cs="Palatino Linotype"/>
          <w:b/>
        </w:rPr>
        <w:t>Procedibilidad</w:t>
      </w:r>
      <w:proofErr w:type="spellEnd"/>
      <w:r w:rsidRPr="0059151F">
        <w:rPr>
          <w:rFonts w:ascii="Palatino Linotype" w:eastAsia="Palatino Linotype" w:hAnsi="Palatino Linotype" w:cs="Palatino Linotype"/>
          <w:b/>
        </w:rPr>
        <w:t xml:space="preserve"> del Recurso de Revisión</w:t>
      </w:r>
      <w:r w:rsidRPr="0059151F">
        <w:rPr>
          <w:rFonts w:ascii="Palatino Linotype" w:eastAsia="Palatino Linotype" w:hAnsi="Palatino Linotype" w:cs="Palatino Linotype"/>
        </w:rPr>
        <w:t xml:space="preserve">. Previo al estudio del fondo del asunto, se procede a analizar los requisitos de oportunidad y </w:t>
      </w:r>
      <w:proofErr w:type="spellStart"/>
      <w:r w:rsidRPr="0059151F">
        <w:rPr>
          <w:rFonts w:ascii="Palatino Linotype" w:eastAsia="Palatino Linotype" w:hAnsi="Palatino Linotype" w:cs="Palatino Linotype"/>
        </w:rPr>
        <w:t>procedibilidad</w:t>
      </w:r>
      <w:proofErr w:type="spellEnd"/>
      <w:r w:rsidRPr="0059151F">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125E30" w:rsidRPr="0059151F" w:rsidRDefault="00474FF5">
      <w:pPr>
        <w:spacing w:before="240" w:after="240" w:line="360" w:lineRule="auto"/>
        <w:jc w:val="both"/>
        <w:rPr>
          <w:rFonts w:ascii="Palatino Linotype" w:eastAsia="Palatino Linotype" w:hAnsi="Palatino Linotype" w:cs="Palatino Linotype"/>
          <w:b/>
        </w:rPr>
      </w:pPr>
      <w:r w:rsidRPr="0059151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xml:space="preserve"> remitió su respuesta a la solicitud de información el día </w:t>
      </w:r>
      <w:r w:rsidRPr="0059151F">
        <w:rPr>
          <w:rFonts w:ascii="Palatino Linotype" w:eastAsia="Palatino Linotype" w:hAnsi="Palatino Linotype" w:cs="Palatino Linotype"/>
          <w:b/>
        </w:rPr>
        <w:t xml:space="preserve">veintiséis de abril de dos mil veintitrés, </w:t>
      </w:r>
      <w:r w:rsidRPr="0059151F">
        <w:rPr>
          <w:rFonts w:ascii="Palatino Linotype" w:eastAsia="Palatino Linotype" w:hAnsi="Palatino Linotype" w:cs="Palatino Linotype"/>
        </w:rPr>
        <w:t xml:space="preserve">mientras que el recurso de revisión interpuesto por </w:t>
      </w:r>
      <w:r w:rsidRPr="0059151F">
        <w:rPr>
          <w:rFonts w:ascii="Palatino Linotype" w:eastAsia="Palatino Linotype" w:hAnsi="Palatino Linotype" w:cs="Palatino Linotype"/>
          <w:b/>
        </w:rPr>
        <w:t>la parte Recurrente</w:t>
      </w:r>
      <w:r w:rsidRPr="0059151F">
        <w:rPr>
          <w:rFonts w:ascii="Palatino Linotype" w:eastAsia="Palatino Linotype" w:hAnsi="Palatino Linotype" w:cs="Palatino Linotype"/>
        </w:rPr>
        <w:t xml:space="preserve">, se tuvo por presentado el día </w:t>
      </w:r>
      <w:r w:rsidRPr="0059151F">
        <w:rPr>
          <w:rFonts w:ascii="Palatino Linotype" w:eastAsia="Palatino Linotype" w:hAnsi="Palatino Linotype" w:cs="Palatino Linotype"/>
          <w:b/>
        </w:rPr>
        <w:t>veintisiete de abril de dos mil veintitrés</w:t>
      </w:r>
      <w:r w:rsidRPr="0059151F">
        <w:rPr>
          <w:rFonts w:ascii="Palatino Linotype" w:eastAsia="Palatino Linotype" w:hAnsi="Palatino Linotype" w:cs="Palatino Linotype"/>
        </w:rPr>
        <w:t xml:space="preserve">, esto es, el </w:t>
      </w:r>
      <w:r w:rsidRPr="0059151F">
        <w:rPr>
          <w:rFonts w:ascii="Palatino Linotype" w:eastAsia="Palatino Linotype" w:hAnsi="Palatino Linotype" w:cs="Palatino Linotype"/>
          <w:b/>
        </w:rPr>
        <w:t>primer día hábil</w:t>
      </w:r>
      <w:r w:rsidRPr="0059151F">
        <w:rPr>
          <w:rFonts w:ascii="Palatino Linotype" w:eastAsia="Palatino Linotype" w:hAnsi="Palatino Linotype" w:cs="Palatino Linotype"/>
        </w:rPr>
        <w:t xml:space="preserve"> en que tuvo conocimiento de la respuesta impugnada</w:t>
      </w:r>
      <w:r w:rsidRPr="0059151F">
        <w:rPr>
          <w:rFonts w:ascii="Palatino Linotype" w:eastAsia="Palatino Linotype" w:hAnsi="Palatino Linotype" w:cs="Palatino Linotype"/>
          <w:b/>
        </w:rPr>
        <w:t>.</w:t>
      </w:r>
    </w:p>
    <w:p w:rsidR="00125E30" w:rsidRPr="0059151F" w:rsidRDefault="00474FF5">
      <w:pPr>
        <w:spacing w:before="240" w:after="240" w:line="360" w:lineRule="auto"/>
        <w:jc w:val="both"/>
        <w:rPr>
          <w:rFonts w:ascii="Palatino Linotype" w:eastAsia="Palatino Linotype" w:hAnsi="Palatino Linotype" w:cs="Palatino Linotype"/>
          <w:color w:val="000000"/>
        </w:rPr>
      </w:pPr>
      <w:r w:rsidRPr="0059151F">
        <w:rPr>
          <w:rFonts w:ascii="Palatino Linotype" w:eastAsia="Palatino Linotype" w:hAnsi="Palatino Linotype" w:cs="Palatino Linotype"/>
          <w:color w:val="000000"/>
        </w:rPr>
        <w:t xml:space="preserve">Asimismo, por cuanto hace a la </w:t>
      </w:r>
      <w:proofErr w:type="spellStart"/>
      <w:r w:rsidRPr="0059151F">
        <w:rPr>
          <w:rFonts w:ascii="Palatino Linotype" w:eastAsia="Palatino Linotype" w:hAnsi="Palatino Linotype" w:cs="Palatino Linotype"/>
          <w:color w:val="000000"/>
        </w:rPr>
        <w:t>procedibilidad</w:t>
      </w:r>
      <w:proofErr w:type="spellEnd"/>
      <w:r w:rsidRPr="0059151F">
        <w:rPr>
          <w:rFonts w:ascii="Palatino Linotype" w:eastAsia="Palatino Linotype" w:hAnsi="Palatino Linotype" w:cs="Palatino Linotype"/>
          <w:color w:val="000000"/>
        </w:rPr>
        <w:t xml:space="preserve"> de</w:t>
      </w:r>
      <w:r w:rsidRPr="0059151F">
        <w:rPr>
          <w:rFonts w:ascii="Palatino Linotype" w:eastAsia="Palatino Linotype" w:hAnsi="Palatino Linotype" w:cs="Palatino Linotype"/>
        </w:rPr>
        <w:t xml:space="preserve">l </w:t>
      </w:r>
      <w:r w:rsidRPr="0059151F">
        <w:rPr>
          <w:rFonts w:ascii="Palatino Linotype" w:eastAsia="Palatino Linotype" w:hAnsi="Palatino Linotype" w:cs="Palatino Linotype"/>
          <w:color w:val="000000"/>
        </w:rPr>
        <w:t xml:space="preserve"> recurso de </w:t>
      </w:r>
      <w:r w:rsidRPr="0059151F">
        <w:rPr>
          <w:rFonts w:ascii="Palatino Linotype" w:eastAsia="Palatino Linotype" w:hAnsi="Palatino Linotype" w:cs="Palatino Linotype"/>
        </w:rPr>
        <w:t>revisión</w:t>
      </w:r>
      <w:r w:rsidRPr="0059151F">
        <w:rPr>
          <w:rFonts w:ascii="Palatino Linotype" w:eastAsia="Palatino Linotype" w:hAnsi="Palatino Linotype" w:cs="Palatino Linotype"/>
          <w:color w:val="000000"/>
        </w:rPr>
        <w:t xml:space="preserve">, es de suma importancia señalar que </w:t>
      </w:r>
      <w:r w:rsidRPr="0059151F">
        <w:rPr>
          <w:rFonts w:ascii="Palatino Linotype" w:eastAsia="Palatino Linotype" w:hAnsi="Palatino Linotype" w:cs="Palatino Linotype"/>
          <w:b/>
          <w:color w:val="000000"/>
        </w:rPr>
        <w:t>la parte Recurrente</w:t>
      </w:r>
      <w:r w:rsidRPr="0059151F">
        <w:rPr>
          <w:rFonts w:ascii="Palatino Linotype" w:eastAsia="Palatino Linotype" w:hAnsi="Palatino Linotype" w:cs="Palatino Linotype"/>
          <w:color w:val="000000"/>
        </w:rPr>
        <w:t xml:space="preserve">, únicamente señaló un seudónimo con el que pueda ser identificado, tal como se advierte en el detalle de seguimiento del </w:t>
      </w:r>
      <w:r w:rsidRPr="0059151F">
        <w:rPr>
          <w:rFonts w:ascii="Palatino Linotype" w:eastAsia="Palatino Linotype" w:hAnsi="Palatino Linotype" w:cs="Palatino Linotype"/>
          <w:color w:val="000000"/>
        </w:rPr>
        <w:lastRenderedPageBreak/>
        <w:t>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25E30" w:rsidRPr="0059151F" w:rsidRDefault="00474FF5">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59151F">
        <w:rPr>
          <w:rFonts w:ascii="Palatino Linotype" w:eastAsia="Palatino Linotype" w:hAnsi="Palatino Linotype" w:cs="Palatino Linotype"/>
          <w:i/>
          <w:color w:val="000000"/>
          <w:sz w:val="22"/>
          <w:szCs w:val="22"/>
        </w:rPr>
        <w:t xml:space="preserve">"Las solicitudes anónimas, con nombre incompleto </w:t>
      </w:r>
      <w:r w:rsidRPr="0059151F">
        <w:rPr>
          <w:rFonts w:ascii="Palatino Linotype" w:eastAsia="Palatino Linotype" w:hAnsi="Palatino Linotype" w:cs="Palatino Linotype"/>
          <w:b/>
          <w:i/>
          <w:color w:val="000000"/>
          <w:sz w:val="22"/>
          <w:szCs w:val="22"/>
          <w:u w:val="single"/>
        </w:rPr>
        <w:t>o seudónimo</w:t>
      </w:r>
      <w:r w:rsidRPr="0059151F">
        <w:rPr>
          <w:rFonts w:ascii="Palatino Linotype" w:eastAsia="Palatino Linotype" w:hAnsi="Palatino Linotype" w:cs="Palatino Linotype"/>
          <w:i/>
          <w:color w:val="000000"/>
          <w:sz w:val="22"/>
          <w:szCs w:val="22"/>
        </w:rPr>
        <w:t xml:space="preserve"> serán procedentes para su trámite por parte del sujeto obligado ante quien se presente. No podrá requerirse información adicional con motivo del nombre proporcionado por el solicitante."</w:t>
      </w:r>
    </w:p>
    <w:p w:rsidR="00125E30" w:rsidRPr="0059151F" w:rsidRDefault="00474FF5">
      <w:pPr>
        <w:spacing w:before="240" w:after="240" w:line="360" w:lineRule="auto"/>
        <w:ind w:right="-93"/>
        <w:jc w:val="both"/>
        <w:rPr>
          <w:rFonts w:ascii="Palatino Linotype" w:eastAsia="Palatino Linotype" w:hAnsi="Palatino Linotype" w:cs="Palatino Linotype"/>
          <w:color w:val="000000"/>
        </w:rPr>
      </w:pPr>
      <w:r w:rsidRPr="0059151F">
        <w:rPr>
          <w:rFonts w:ascii="Palatino Linotype" w:eastAsia="Palatino Linotype" w:hAnsi="Palatino Linotype" w:cs="Palatino Linotype"/>
          <w:color w:val="000000"/>
        </w:rPr>
        <w:t xml:space="preserve">Así las cosas, por cuanto hace a la </w:t>
      </w:r>
      <w:proofErr w:type="spellStart"/>
      <w:r w:rsidRPr="0059151F">
        <w:rPr>
          <w:rFonts w:ascii="Palatino Linotype" w:eastAsia="Palatino Linotype" w:hAnsi="Palatino Linotype" w:cs="Palatino Linotype"/>
          <w:color w:val="000000"/>
        </w:rPr>
        <w:t>procedibilidad</w:t>
      </w:r>
      <w:proofErr w:type="spellEnd"/>
      <w:r w:rsidRPr="0059151F">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25E30" w:rsidRPr="0059151F" w:rsidRDefault="00474FF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59151F">
        <w:rPr>
          <w:rFonts w:ascii="Palatino Linotype" w:eastAsia="Palatino Linotype" w:hAnsi="Palatino Linotype" w:cs="Palatino Linotype"/>
        </w:rPr>
        <w:t xml:space="preserve">Ahora bien, resulta procedente la interposición del recurso, según lo aducido por el recurrente en sus razones o </w:t>
      </w:r>
      <w:r w:rsidRPr="0059151F">
        <w:rPr>
          <w:rFonts w:ascii="Palatino Linotype" w:eastAsia="Palatino Linotype" w:hAnsi="Palatino Linotype" w:cs="Palatino Linotype"/>
          <w:color w:val="000000"/>
        </w:rPr>
        <w:t>motivos de inconformidad, de acuerdo al artículo 179, fracciones I de la Ley de Transparencia y Acceso a la Información Pública del Estado de México y Municipios; que a la letra dice:</w:t>
      </w:r>
    </w:p>
    <w:p w:rsidR="00125E30" w:rsidRPr="0059151F" w:rsidRDefault="00474FF5">
      <w:pPr>
        <w:spacing w:before="240" w:after="240" w:line="276" w:lineRule="auto"/>
        <w:ind w:left="567" w:right="902"/>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w:t>
      </w:r>
      <w:r w:rsidRPr="0059151F">
        <w:rPr>
          <w:rFonts w:ascii="Palatino Linotype" w:eastAsia="Palatino Linotype" w:hAnsi="Palatino Linotype" w:cs="Palatino Linotype"/>
          <w:b/>
          <w:i/>
          <w:sz w:val="22"/>
          <w:szCs w:val="22"/>
        </w:rPr>
        <w:t>Artículo 179</w:t>
      </w:r>
      <w:r w:rsidRPr="0059151F">
        <w:rPr>
          <w:rFonts w:ascii="Palatino Linotype" w:eastAsia="Palatino Linotype" w:hAnsi="Palatino Linotype" w:cs="Palatino Linotype"/>
          <w:b/>
          <w:sz w:val="22"/>
          <w:szCs w:val="22"/>
        </w:rPr>
        <w:t>.-</w:t>
      </w:r>
      <w:r w:rsidRPr="0059151F">
        <w:rPr>
          <w:rFonts w:ascii="Palatino Linotype" w:eastAsia="Palatino Linotype" w:hAnsi="Palatino Linotype" w:cs="Palatino Linotype"/>
          <w:sz w:val="22"/>
          <w:szCs w:val="22"/>
        </w:rPr>
        <w:t xml:space="preserve"> </w:t>
      </w:r>
      <w:r w:rsidRPr="0059151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125E30" w:rsidRPr="0059151F" w:rsidRDefault="00474FF5">
      <w:pPr>
        <w:spacing w:before="240" w:after="240" w:line="276" w:lineRule="auto"/>
        <w:ind w:left="567" w:right="902"/>
        <w:jc w:val="both"/>
        <w:rPr>
          <w:rFonts w:ascii="Palatino Linotype" w:eastAsia="Palatino Linotype" w:hAnsi="Palatino Linotype" w:cs="Palatino Linotype"/>
          <w:b/>
          <w:i/>
          <w:sz w:val="22"/>
          <w:szCs w:val="22"/>
        </w:rPr>
      </w:pPr>
      <w:r w:rsidRPr="0059151F">
        <w:rPr>
          <w:rFonts w:ascii="Palatino Linotype" w:eastAsia="Palatino Linotype" w:hAnsi="Palatino Linotype" w:cs="Palatino Linotype"/>
          <w:b/>
          <w:i/>
          <w:sz w:val="22"/>
          <w:szCs w:val="22"/>
        </w:rPr>
        <w:t>I. La negativa a la información solicitada;</w:t>
      </w:r>
    </w:p>
    <w:p w:rsidR="00125E30" w:rsidRPr="0059151F" w:rsidRDefault="00474FF5">
      <w:pPr>
        <w:spacing w:before="240" w:after="240" w:line="276" w:lineRule="auto"/>
        <w:ind w:left="567" w:right="902"/>
        <w:jc w:val="both"/>
        <w:rPr>
          <w:rFonts w:ascii="Palatino Linotype" w:eastAsia="Palatino Linotype" w:hAnsi="Palatino Linotype" w:cs="Palatino Linotype"/>
          <w:b/>
          <w:i/>
          <w:sz w:val="22"/>
          <w:szCs w:val="22"/>
        </w:rPr>
      </w:pPr>
      <w:r w:rsidRPr="0059151F">
        <w:rPr>
          <w:rFonts w:ascii="Palatino Linotype" w:eastAsia="Palatino Linotype" w:hAnsi="Palatino Linotype" w:cs="Palatino Linotype"/>
          <w:b/>
          <w:i/>
          <w:sz w:val="22"/>
          <w:szCs w:val="22"/>
        </w:rPr>
        <w:t>…</w:t>
      </w:r>
      <w:r w:rsidRPr="0059151F">
        <w:rPr>
          <w:rFonts w:ascii="Palatino Linotype" w:eastAsia="Palatino Linotype" w:hAnsi="Palatino Linotype" w:cs="Palatino Linotype"/>
          <w:i/>
          <w:sz w:val="22"/>
          <w:szCs w:val="22"/>
        </w:rPr>
        <w:t xml:space="preserve">” (Énfasis añadido)              </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b/>
        </w:rPr>
        <w:lastRenderedPageBreak/>
        <w:t xml:space="preserve">Tercero. Materia de la revisión. </w:t>
      </w:r>
      <w:r w:rsidRPr="0059151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9151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9151F">
        <w:rPr>
          <w:rFonts w:ascii="Palatino Linotype" w:eastAsia="Palatino Linotype" w:hAnsi="Palatino Linotype" w:cs="Palatino Linotype"/>
        </w:rPr>
        <w:t xml:space="preserve">de </w:t>
      </w:r>
      <w:r w:rsidRPr="0059151F">
        <w:rPr>
          <w:rFonts w:ascii="Palatino Linotype" w:eastAsia="Palatino Linotype" w:hAnsi="Palatino Linotype" w:cs="Palatino Linotype"/>
          <w:b/>
        </w:rPr>
        <w:t>la parte Recurrente</w:t>
      </w:r>
      <w:r w:rsidRPr="0059151F">
        <w:rPr>
          <w:rFonts w:ascii="Palatino Linotype" w:eastAsia="Palatino Linotype" w:hAnsi="Palatino Linotype" w:cs="Palatino Linotype"/>
        </w:rPr>
        <w:t>, o en su defecto, en caso de ser procedente, ordenar la entrega de información oportuna.</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b/>
          <w:color w:val="000000"/>
        </w:rPr>
        <w:t xml:space="preserve">Cuarto. Estudio del asunto. </w:t>
      </w:r>
      <w:r w:rsidRPr="0059151F">
        <w:rPr>
          <w:rFonts w:ascii="Palatino Linotype" w:eastAsia="Palatino Linotype" w:hAnsi="Palatino Linotype" w:cs="Palatino Linotype"/>
          <w:color w:val="000000"/>
        </w:rPr>
        <w:t xml:space="preserve">Antes de entrar al análisis de los pronunciamientos del </w:t>
      </w:r>
      <w:r w:rsidRPr="0059151F">
        <w:rPr>
          <w:rFonts w:ascii="Palatino Linotype" w:eastAsia="Palatino Linotype" w:hAnsi="Palatino Linotype" w:cs="Palatino Linotype"/>
          <w:b/>
          <w:color w:val="000000"/>
        </w:rPr>
        <w:t>Sujeto Obligado</w:t>
      </w:r>
      <w:r w:rsidRPr="0059151F">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125E30" w:rsidRPr="0059151F" w:rsidRDefault="00474FF5">
      <w:pPr>
        <w:pBdr>
          <w:top w:val="nil"/>
          <w:left w:val="nil"/>
          <w:bottom w:val="nil"/>
          <w:right w:val="nil"/>
          <w:between w:val="nil"/>
        </w:pBdr>
        <w:spacing w:before="240" w:after="240"/>
        <w:ind w:left="851" w:right="850"/>
        <w:jc w:val="both"/>
        <w:rPr>
          <w:color w:val="000000"/>
        </w:rPr>
      </w:pPr>
      <w:r w:rsidRPr="0059151F">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59151F">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125E30" w:rsidRPr="0059151F" w:rsidRDefault="00474FF5">
      <w:pPr>
        <w:pBdr>
          <w:top w:val="nil"/>
          <w:left w:val="nil"/>
          <w:bottom w:val="nil"/>
          <w:right w:val="nil"/>
          <w:between w:val="nil"/>
        </w:pBdr>
        <w:spacing w:before="240" w:after="240"/>
        <w:ind w:left="851" w:right="850"/>
        <w:jc w:val="both"/>
        <w:rPr>
          <w:color w:val="000000"/>
        </w:rPr>
      </w:pPr>
      <w:r w:rsidRPr="0059151F">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125E30" w:rsidRPr="0059151F" w:rsidRDefault="00474FF5">
      <w:pPr>
        <w:pBdr>
          <w:top w:val="nil"/>
          <w:left w:val="nil"/>
          <w:bottom w:val="nil"/>
          <w:right w:val="nil"/>
          <w:between w:val="nil"/>
        </w:pBdr>
        <w:spacing w:before="240" w:after="240"/>
        <w:ind w:left="851" w:right="850"/>
        <w:jc w:val="both"/>
        <w:rPr>
          <w:color w:val="000000"/>
        </w:rPr>
      </w:pPr>
      <w:r w:rsidRPr="0059151F">
        <w:rPr>
          <w:rFonts w:ascii="Palatino Linotype" w:eastAsia="Palatino Linotype" w:hAnsi="Palatino Linotype" w:cs="Palatino Linotype"/>
          <w:b/>
          <w:i/>
          <w:color w:val="000000"/>
          <w:sz w:val="22"/>
          <w:szCs w:val="22"/>
          <w:u w:val="single"/>
        </w:rPr>
        <w:t xml:space="preserve">Todas las autoridades, en el ámbito de sus competencias, tienen la obligación de promover, respetar, proteger y garantizar los derechos </w:t>
      </w:r>
      <w:r w:rsidRPr="0059151F">
        <w:rPr>
          <w:rFonts w:ascii="Palatino Linotype" w:eastAsia="Palatino Linotype" w:hAnsi="Palatino Linotype" w:cs="Palatino Linotype"/>
          <w:b/>
          <w:i/>
          <w:color w:val="000000"/>
          <w:sz w:val="22"/>
          <w:szCs w:val="22"/>
          <w:u w:val="single"/>
        </w:rPr>
        <w:lastRenderedPageBreak/>
        <w:t>humanos de conformidad con los principios de universalidad, interdependencia, indivisibilidad y progresividad.</w:t>
      </w:r>
      <w:r w:rsidRPr="0059151F">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125E30" w:rsidRPr="0059151F" w:rsidRDefault="00474FF5">
      <w:pPr>
        <w:pBdr>
          <w:top w:val="nil"/>
          <w:left w:val="nil"/>
          <w:bottom w:val="nil"/>
          <w:right w:val="nil"/>
          <w:between w:val="nil"/>
        </w:pBdr>
        <w:spacing w:before="240" w:after="240"/>
        <w:ind w:left="851" w:right="850"/>
        <w:jc w:val="both"/>
        <w:rPr>
          <w:color w:val="000000"/>
        </w:rPr>
      </w:pPr>
      <w:r w:rsidRPr="0059151F">
        <w:rPr>
          <w:rFonts w:ascii="Palatino Linotype" w:eastAsia="Palatino Linotype" w:hAnsi="Palatino Linotype" w:cs="Palatino Linotype"/>
          <w:i/>
          <w:color w:val="000000"/>
          <w:sz w:val="22"/>
          <w:szCs w:val="22"/>
        </w:rPr>
        <w:t>[…]</w:t>
      </w:r>
    </w:p>
    <w:p w:rsidR="00125E30" w:rsidRPr="0059151F" w:rsidRDefault="00474FF5">
      <w:pPr>
        <w:pBdr>
          <w:top w:val="nil"/>
          <w:left w:val="nil"/>
          <w:bottom w:val="nil"/>
          <w:right w:val="nil"/>
          <w:between w:val="nil"/>
        </w:pBdr>
        <w:spacing w:before="240" w:after="240"/>
        <w:ind w:left="851" w:right="901"/>
        <w:jc w:val="both"/>
        <w:rPr>
          <w:color w:val="000000"/>
        </w:rPr>
      </w:pPr>
      <w:r w:rsidRPr="0059151F">
        <w:rPr>
          <w:rFonts w:ascii="Palatino Linotype" w:eastAsia="Palatino Linotype" w:hAnsi="Palatino Linotype" w:cs="Palatino Linotype"/>
          <w:b/>
          <w:i/>
          <w:color w:val="000000"/>
          <w:sz w:val="22"/>
          <w:szCs w:val="22"/>
        </w:rPr>
        <w:t>“Artículo 6o.</w:t>
      </w:r>
    </w:p>
    <w:p w:rsidR="00125E30" w:rsidRPr="0059151F" w:rsidRDefault="00474FF5">
      <w:pPr>
        <w:pBdr>
          <w:top w:val="nil"/>
          <w:left w:val="nil"/>
          <w:bottom w:val="nil"/>
          <w:right w:val="nil"/>
          <w:between w:val="nil"/>
        </w:pBdr>
        <w:spacing w:before="240" w:after="240"/>
        <w:ind w:left="851" w:right="901"/>
        <w:jc w:val="both"/>
        <w:rPr>
          <w:color w:val="000000"/>
        </w:rPr>
      </w:pPr>
      <w:r w:rsidRPr="0059151F">
        <w:rPr>
          <w:rFonts w:ascii="Palatino Linotype" w:eastAsia="Palatino Linotype" w:hAnsi="Palatino Linotype" w:cs="Palatino Linotype"/>
          <w:i/>
          <w:color w:val="000000"/>
          <w:sz w:val="22"/>
          <w:szCs w:val="22"/>
        </w:rPr>
        <w:t>[...]</w:t>
      </w:r>
    </w:p>
    <w:p w:rsidR="00125E30" w:rsidRPr="0059151F" w:rsidRDefault="00474FF5">
      <w:pPr>
        <w:pBdr>
          <w:top w:val="nil"/>
          <w:left w:val="nil"/>
          <w:bottom w:val="nil"/>
          <w:right w:val="nil"/>
          <w:between w:val="nil"/>
        </w:pBdr>
        <w:spacing w:before="240" w:after="240"/>
        <w:ind w:left="851" w:right="851"/>
        <w:jc w:val="both"/>
        <w:rPr>
          <w:color w:val="000000"/>
        </w:rPr>
      </w:pPr>
      <w:r w:rsidRPr="0059151F">
        <w:rPr>
          <w:rFonts w:ascii="Palatino Linotype" w:eastAsia="Palatino Linotype" w:hAnsi="Palatino Linotype" w:cs="Palatino Linotype"/>
          <w:b/>
          <w:i/>
          <w:color w:val="000000"/>
          <w:sz w:val="22"/>
          <w:szCs w:val="22"/>
        </w:rPr>
        <w:t xml:space="preserve">A. Para el ejercicio del derecho de acceso a la información, la Federación y </w:t>
      </w:r>
      <w:r w:rsidRPr="0059151F">
        <w:rPr>
          <w:rFonts w:ascii="Palatino Linotype" w:eastAsia="Palatino Linotype" w:hAnsi="Palatino Linotype" w:cs="Palatino Linotype"/>
          <w:b/>
          <w:i/>
          <w:color w:val="000000"/>
          <w:sz w:val="22"/>
          <w:szCs w:val="22"/>
          <w:u w:val="single"/>
        </w:rPr>
        <w:t>las entidades federativas</w:t>
      </w:r>
      <w:r w:rsidRPr="0059151F">
        <w:rPr>
          <w:rFonts w:ascii="Palatino Linotype" w:eastAsia="Palatino Linotype" w:hAnsi="Palatino Linotype" w:cs="Palatino Linotype"/>
          <w:b/>
          <w:i/>
          <w:color w:val="000000"/>
          <w:sz w:val="22"/>
          <w:szCs w:val="22"/>
        </w:rPr>
        <w:t>,</w:t>
      </w:r>
      <w:r w:rsidRPr="0059151F">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125E30" w:rsidRPr="0059151F" w:rsidRDefault="00474FF5">
      <w:pPr>
        <w:pBdr>
          <w:top w:val="nil"/>
          <w:left w:val="nil"/>
          <w:bottom w:val="nil"/>
          <w:right w:val="nil"/>
          <w:between w:val="nil"/>
        </w:pBdr>
        <w:spacing w:before="240" w:after="240"/>
        <w:ind w:left="851" w:right="851"/>
        <w:jc w:val="both"/>
        <w:rPr>
          <w:color w:val="000000"/>
        </w:rPr>
      </w:pPr>
      <w:r w:rsidRPr="0059151F">
        <w:rPr>
          <w:rFonts w:ascii="Palatino Linotype" w:eastAsia="Palatino Linotype" w:hAnsi="Palatino Linotype" w:cs="Palatino Linotype"/>
          <w:i/>
          <w:color w:val="000000"/>
          <w:sz w:val="22"/>
          <w:szCs w:val="22"/>
        </w:rPr>
        <w:t> </w:t>
      </w:r>
      <w:r w:rsidRPr="0059151F">
        <w:rPr>
          <w:rFonts w:ascii="Palatino Linotype" w:eastAsia="Palatino Linotype" w:hAnsi="Palatino Linotype" w:cs="Palatino Linotype"/>
          <w:b/>
          <w:i/>
          <w:color w:val="000000"/>
          <w:sz w:val="22"/>
          <w:szCs w:val="22"/>
        </w:rPr>
        <w:t xml:space="preserve">I. </w:t>
      </w:r>
      <w:r w:rsidRPr="0059151F">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59151F">
        <w:rPr>
          <w:rFonts w:ascii="Palatino Linotype" w:eastAsia="Palatino Linotype" w:hAnsi="Palatino Linotype" w:cs="Palatino Linotype"/>
          <w:i/>
          <w:color w:val="000000"/>
          <w:sz w:val="22"/>
          <w:szCs w:val="22"/>
        </w:rPr>
        <w:t xml:space="preserve"> Ejecutivo, Legislativo </w:t>
      </w:r>
      <w:r w:rsidRPr="0059151F">
        <w:rPr>
          <w:rFonts w:ascii="Palatino Linotype" w:eastAsia="Palatino Linotype" w:hAnsi="Palatino Linotype" w:cs="Palatino Linotype"/>
          <w:b/>
          <w:i/>
          <w:color w:val="000000"/>
          <w:sz w:val="22"/>
          <w:szCs w:val="22"/>
          <w:u w:val="single"/>
        </w:rPr>
        <w:t>y Judicial</w:t>
      </w:r>
      <w:r w:rsidRPr="0059151F">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9151F">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59151F">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5E30" w:rsidRPr="0059151F" w:rsidRDefault="00474FF5">
      <w:pPr>
        <w:pBdr>
          <w:top w:val="nil"/>
          <w:left w:val="nil"/>
          <w:bottom w:val="nil"/>
          <w:right w:val="nil"/>
          <w:between w:val="nil"/>
        </w:pBdr>
        <w:spacing w:before="240" w:after="240"/>
        <w:ind w:left="851" w:right="851"/>
        <w:jc w:val="both"/>
        <w:rPr>
          <w:color w:val="000000"/>
        </w:rPr>
      </w:pPr>
      <w:r w:rsidRPr="0059151F">
        <w:rPr>
          <w:rFonts w:ascii="Palatino Linotype" w:eastAsia="Palatino Linotype" w:hAnsi="Palatino Linotype" w:cs="Palatino Linotype"/>
          <w:i/>
          <w:color w:val="000000"/>
          <w:sz w:val="22"/>
          <w:szCs w:val="22"/>
        </w:rPr>
        <w:t> </w:t>
      </w:r>
      <w:r w:rsidRPr="0059151F">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125E30" w:rsidRPr="0059151F" w:rsidRDefault="00474FF5">
      <w:pPr>
        <w:pBdr>
          <w:top w:val="nil"/>
          <w:left w:val="nil"/>
          <w:bottom w:val="nil"/>
          <w:right w:val="nil"/>
          <w:between w:val="nil"/>
        </w:pBdr>
        <w:spacing w:before="240" w:after="240"/>
        <w:ind w:left="851" w:right="851"/>
        <w:jc w:val="both"/>
        <w:rPr>
          <w:color w:val="000000"/>
        </w:rPr>
      </w:pPr>
      <w:r w:rsidRPr="0059151F">
        <w:rPr>
          <w:rFonts w:ascii="Palatino Linotype" w:eastAsia="Palatino Linotype" w:hAnsi="Palatino Linotype" w:cs="Palatino Linotype"/>
          <w:i/>
          <w:color w:val="000000"/>
          <w:sz w:val="22"/>
          <w:szCs w:val="22"/>
        </w:rPr>
        <w:t> </w:t>
      </w:r>
      <w:r w:rsidRPr="0059151F">
        <w:rPr>
          <w:rFonts w:ascii="Palatino Linotype" w:eastAsia="Palatino Linotype" w:hAnsi="Palatino Linotype" w:cs="Palatino Linotype"/>
          <w:b/>
          <w:i/>
          <w:color w:val="000000"/>
          <w:sz w:val="22"/>
          <w:szCs w:val="22"/>
        </w:rPr>
        <w:t xml:space="preserve">III. </w:t>
      </w:r>
      <w:r w:rsidRPr="0059151F">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59151F">
        <w:rPr>
          <w:rFonts w:ascii="Palatino Linotype" w:eastAsia="Palatino Linotype" w:hAnsi="Palatino Linotype" w:cs="Palatino Linotype"/>
          <w:i/>
          <w:color w:val="000000"/>
          <w:sz w:val="22"/>
          <w:szCs w:val="22"/>
        </w:rPr>
        <w:t xml:space="preserve"> a sus datos personales o a la rectificación de éstos.</w:t>
      </w:r>
    </w:p>
    <w:p w:rsidR="00125E30" w:rsidRPr="0059151F" w:rsidRDefault="00474FF5">
      <w:pPr>
        <w:pBdr>
          <w:top w:val="nil"/>
          <w:left w:val="nil"/>
          <w:bottom w:val="nil"/>
          <w:right w:val="nil"/>
          <w:between w:val="nil"/>
        </w:pBdr>
        <w:spacing w:before="240" w:after="240"/>
        <w:ind w:left="851" w:right="851"/>
        <w:jc w:val="both"/>
        <w:rPr>
          <w:color w:val="000000"/>
        </w:rPr>
      </w:pPr>
      <w:r w:rsidRPr="0059151F">
        <w:rPr>
          <w:rFonts w:ascii="Palatino Linotype" w:eastAsia="Palatino Linotype" w:hAnsi="Palatino Linotype" w:cs="Palatino Linotype"/>
          <w:i/>
          <w:color w:val="000000"/>
          <w:sz w:val="22"/>
          <w:szCs w:val="22"/>
        </w:rPr>
        <w:t> </w:t>
      </w:r>
      <w:r w:rsidRPr="0059151F">
        <w:rPr>
          <w:rFonts w:ascii="Palatino Linotype" w:eastAsia="Palatino Linotype" w:hAnsi="Palatino Linotype" w:cs="Palatino Linotype"/>
          <w:b/>
          <w:i/>
          <w:color w:val="000000"/>
          <w:sz w:val="22"/>
          <w:szCs w:val="22"/>
        </w:rPr>
        <w:t xml:space="preserve">IV. </w:t>
      </w:r>
      <w:r w:rsidRPr="0059151F">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125E30" w:rsidRPr="0059151F" w:rsidRDefault="00474FF5">
      <w:pPr>
        <w:pBdr>
          <w:top w:val="nil"/>
          <w:left w:val="nil"/>
          <w:bottom w:val="nil"/>
          <w:right w:val="nil"/>
          <w:between w:val="nil"/>
        </w:pBdr>
        <w:spacing w:before="240" w:after="240"/>
        <w:ind w:left="851" w:right="851"/>
        <w:jc w:val="both"/>
        <w:rPr>
          <w:color w:val="000000"/>
        </w:rPr>
      </w:pPr>
      <w:r w:rsidRPr="0059151F">
        <w:rPr>
          <w:rFonts w:ascii="Palatino Linotype" w:eastAsia="Palatino Linotype" w:hAnsi="Palatino Linotype" w:cs="Palatino Linotype"/>
          <w:b/>
          <w:i/>
          <w:color w:val="000000"/>
          <w:sz w:val="22"/>
          <w:szCs w:val="22"/>
        </w:rPr>
        <w:t xml:space="preserve">V. </w:t>
      </w:r>
      <w:r w:rsidRPr="0059151F">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disponibles, la información completa y actualizada sobre el ejercicio de los </w:t>
      </w:r>
      <w:r w:rsidRPr="0059151F">
        <w:rPr>
          <w:rFonts w:ascii="Palatino Linotype" w:eastAsia="Palatino Linotype" w:hAnsi="Palatino Linotype" w:cs="Palatino Linotype"/>
          <w:i/>
          <w:color w:val="000000"/>
          <w:sz w:val="22"/>
          <w:szCs w:val="22"/>
        </w:rPr>
        <w:lastRenderedPageBreak/>
        <w:t>recursos públicos y los indicadores que permitan rendir cuenta del cumplimiento de sus objetivos y de los resultados obtenidos.</w:t>
      </w:r>
    </w:p>
    <w:p w:rsidR="00125E30" w:rsidRPr="0059151F" w:rsidRDefault="00474FF5">
      <w:pPr>
        <w:pBdr>
          <w:top w:val="nil"/>
          <w:left w:val="nil"/>
          <w:bottom w:val="nil"/>
          <w:right w:val="nil"/>
          <w:between w:val="nil"/>
        </w:pBdr>
        <w:spacing w:before="240" w:after="240"/>
        <w:ind w:left="851" w:right="851"/>
        <w:jc w:val="both"/>
        <w:rPr>
          <w:color w:val="000000"/>
        </w:rPr>
      </w:pPr>
      <w:r w:rsidRPr="0059151F">
        <w:rPr>
          <w:rFonts w:ascii="Palatino Linotype" w:eastAsia="Palatino Linotype" w:hAnsi="Palatino Linotype" w:cs="Palatino Linotype"/>
          <w:i/>
          <w:color w:val="000000"/>
          <w:sz w:val="22"/>
          <w:szCs w:val="22"/>
        </w:rPr>
        <w:t> </w:t>
      </w:r>
      <w:r w:rsidRPr="0059151F">
        <w:rPr>
          <w:rFonts w:ascii="Palatino Linotype" w:eastAsia="Palatino Linotype" w:hAnsi="Palatino Linotype" w:cs="Palatino Linotype"/>
          <w:b/>
          <w:i/>
          <w:color w:val="000000"/>
          <w:sz w:val="22"/>
          <w:szCs w:val="22"/>
        </w:rPr>
        <w:t xml:space="preserve">VI. </w:t>
      </w:r>
      <w:r w:rsidRPr="0059151F">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125E30" w:rsidRPr="0059151F" w:rsidRDefault="00474FF5">
      <w:pPr>
        <w:pBdr>
          <w:top w:val="nil"/>
          <w:left w:val="nil"/>
          <w:bottom w:val="nil"/>
          <w:right w:val="nil"/>
          <w:between w:val="nil"/>
        </w:pBdr>
        <w:spacing w:before="240" w:after="240"/>
        <w:ind w:left="851" w:right="851"/>
        <w:jc w:val="both"/>
        <w:rPr>
          <w:color w:val="000000"/>
        </w:rPr>
      </w:pPr>
      <w:r w:rsidRPr="0059151F">
        <w:rPr>
          <w:rFonts w:ascii="Palatino Linotype" w:eastAsia="Palatino Linotype" w:hAnsi="Palatino Linotype" w:cs="Palatino Linotype"/>
          <w:i/>
          <w:color w:val="000000"/>
          <w:sz w:val="22"/>
          <w:szCs w:val="22"/>
        </w:rPr>
        <w:t> </w:t>
      </w:r>
      <w:r w:rsidRPr="0059151F">
        <w:rPr>
          <w:rFonts w:ascii="Palatino Linotype" w:eastAsia="Palatino Linotype" w:hAnsi="Palatino Linotype" w:cs="Palatino Linotype"/>
          <w:b/>
          <w:i/>
          <w:color w:val="000000"/>
          <w:sz w:val="22"/>
          <w:szCs w:val="22"/>
        </w:rPr>
        <w:t xml:space="preserve">VII. </w:t>
      </w:r>
      <w:r w:rsidRPr="0059151F">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25E30" w:rsidRPr="0059151F" w:rsidRDefault="00474FF5">
      <w:pPr>
        <w:pBdr>
          <w:top w:val="nil"/>
          <w:left w:val="nil"/>
          <w:bottom w:val="nil"/>
          <w:right w:val="nil"/>
          <w:between w:val="nil"/>
        </w:pBdr>
        <w:spacing w:before="240" w:after="240"/>
        <w:ind w:left="709" w:right="760"/>
        <w:jc w:val="both"/>
        <w:rPr>
          <w:color w:val="000000"/>
        </w:rPr>
      </w:pPr>
      <w:r w:rsidRPr="0059151F">
        <w:rPr>
          <w:rFonts w:ascii="Palatino Linotype" w:eastAsia="Palatino Linotype" w:hAnsi="Palatino Linotype" w:cs="Palatino Linotype"/>
          <w:i/>
          <w:color w:val="000000"/>
          <w:sz w:val="22"/>
          <w:szCs w:val="22"/>
        </w:rPr>
        <w:t>“</w:t>
      </w:r>
      <w:r w:rsidRPr="0059151F">
        <w:rPr>
          <w:rFonts w:ascii="Palatino Linotype" w:eastAsia="Palatino Linotype" w:hAnsi="Palatino Linotype" w:cs="Palatino Linotype"/>
          <w:b/>
          <w:i/>
          <w:color w:val="000000"/>
          <w:sz w:val="22"/>
          <w:szCs w:val="22"/>
        </w:rPr>
        <w:t>Artículo 4</w:t>
      </w:r>
      <w:r w:rsidRPr="0059151F">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125E30" w:rsidRPr="0059151F" w:rsidRDefault="00474FF5">
      <w:pPr>
        <w:pBdr>
          <w:top w:val="nil"/>
          <w:left w:val="nil"/>
          <w:bottom w:val="nil"/>
          <w:right w:val="nil"/>
          <w:between w:val="nil"/>
        </w:pBdr>
        <w:spacing w:before="240" w:after="240"/>
        <w:ind w:left="709" w:right="760"/>
        <w:jc w:val="both"/>
        <w:rPr>
          <w:color w:val="000000"/>
        </w:rPr>
      </w:pPr>
      <w:r w:rsidRPr="0059151F">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w:t>
      </w:r>
      <w:r w:rsidRPr="0059151F">
        <w:rPr>
          <w:rFonts w:ascii="Palatino Linotype" w:eastAsia="Palatino Linotype" w:hAnsi="Palatino Linotype" w:cs="Palatino Linotype"/>
          <w:b/>
          <w:i/>
          <w:color w:val="000000"/>
          <w:sz w:val="22"/>
          <w:szCs w:val="22"/>
        </w:rPr>
        <w:lastRenderedPageBreak/>
        <w:t>interés público, en los términos de las causas legítimas y estrictamente necesarias previstas por esta Ley.</w:t>
      </w:r>
    </w:p>
    <w:p w:rsidR="00125E30" w:rsidRPr="0059151F" w:rsidRDefault="00474FF5">
      <w:pPr>
        <w:pBdr>
          <w:top w:val="nil"/>
          <w:left w:val="nil"/>
          <w:bottom w:val="nil"/>
          <w:right w:val="nil"/>
          <w:between w:val="nil"/>
        </w:pBdr>
        <w:spacing w:before="240" w:after="240"/>
        <w:ind w:left="709" w:right="760"/>
        <w:jc w:val="both"/>
        <w:rPr>
          <w:color w:val="000000"/>
        </w:rPr>
      </w:pPr>
      <w:r w:rsidRPr="0059151F">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125E30" w:rsidRPr="0059151F" w:rsidRDefault="00474FF5">
      <w:pPr>
        <w:pBdr>
          <w:top w:val="nil"/>
          <w:left w:val="nil"/>
          <w:bottom w:val="nil"/>
          <w:right w:val="nil"/>
          <w:between w:val="nil"/>
        </w:pBdr>
        <w:spacing w:before="240" w:after="240"/>
        <w:ind w:left="567" w:right="758"/>
        <w:jc w:val="both"/>
        <w:rPr>
          <w:color w:val="000000"/>
        </w:rPr>
      </w:pPr>
      <w:r w:rsidRPr="0059151F">
        <w:rPr>
          <w:rFonts w:ascii="Palatino Linotype" w:eastAsia="Palatino Linotype" w:hAnsi="Palatino Linotype" w:cs="Palatino Linotype"/>
          <w:i/>
          <w:color w:val="000000"/>
          <w:sz w:val="22"/>
          <w:szCs w:val="22"/>
        </w:rPr>
        <w:t>“</w:t>
      </w:r>
      <w:r w:rsidRPr="0059151F">
        <w:rPr>
          <w:rFonts w:ascii="Palatino Linotype" w:eastAsia="Palatino Linotype" w:hAnsi="Palatino Linotype" w:cs="Palatino Linotype"/>
          <w:b/>
          <w:i/>
          <w:color w:val="000000"/>
          <w:sz w:val="22"/>
          <w:szCs w:val="22"/>
        </w:rPr>
        <w:t>Artículo 12</w:t>
      </w:r>
      <w:r w:rsidRPr="0059151F">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125E30" w:rsidRPr="0059151F" w:rsidRDefault="00474FF5">
      <w:pPr>
        <w:pBdr>
          <w:top w:val="nil"/>
          <w:left w:val="nil"/>
          <w:bottom w:val="nil"/>
          <w:right w:val="nil"/>
          <w:between w:val="nil"/>
        </w:pBdr>
        <w:spacing w:before="240" w:after="240"/>
        <w:ind w:left="567" w:right="758"/>
        <w:jc w:val="both"/>
        <w:rPr>
          <w:color w:val="000000"/>
        </w:rPr>
      </w:pPr>
      <w:r w:rsidRPr="0059151F">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59151F">
        <w:rPr>
          <w:rFonts w:ascii="Palatino Linotype" w:eastAsia="Palatino Linotype" w:hAnsi="Palatino Linotype" w:cs="Palatino Linotype"/>
          <w:b/>
          <w:color w:val="000000"/>
        </w:rPr>
        <w:t xml:space="preserve"> </w:t>
      </w:r>
      <w:r w:rsidRPr="0059151F">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59151F">
        <w:rPr>
          <w:rFonts w:ascii="Palatino Linotype" w:eastAsia="Palatino Linotype" w:hAnsi="Palatino Linotype" w:cs="Palatino Linotype"/>
          <w:i/>
          <w:color w:val="000000"/>
        </w:rPr>
        <w:t>ad hoc</w:t>
      </w:r>
      <w:r w:rsidRPr="0059151F">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b/>
          <w:i/>
          <w:color w:val="000000"/>
          <w:sz w:val="22"/>
          <w:szCs w:val="22"/>
        </w:rPr>
        <w:lastRenderedPageBreak/>
        <w:t>03/17</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25E30" w:rsidRPr="0059151F" w:rsidRDefault="00474FF5">
      <w:pPr>
        <w:pBdr>
          <w:top w:val="nil"/>
          <w:left w:val="nil"/>
          <w:bottom w:val="nil"/>
          <w:right w:val="nil"/>
          <w:between w:val="nil"/>
        </w:pBdr>
        <w:spacing w:before="240" w:after="240" w:line="360" w:lineRule="auto"/>
        <w:ind w:right="49"/>
        <w:jc w:val="both"/>
        <w:rPr>
          <w:color w:val="000000"/>
        </w:rPr>
      </w:pPr>
      <w:r w:rsidRPr="0059151F">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color w:val="000000"/>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i/>
          <w:color w:val="000000"/>
          <w:sz w:val="22"/>
          <w:szCs w:val="22"/>
        </w:rPr>
        <w:t>“</w:t>
      </w:r>
      <w:r w:rsidRPr="0059151F">
        <w:rPr>
          <w:rFonts w:ascii="Palatino Linotype" w:eastAsia="Palatino Linotype" w:hAnsi="Palatino Linotype" w:cs="Palatino Linotype"/>
          <w:b/>
          <w:i/>
          <w:color w:val="000000"/>
          <w:sz w:val="22"/>
          <w:szCs w:val="22"/>
        </w:rPr>
        <w:t xml:space="preserve">Artículo 3. </w:t>
      </w:r>
      <w:r w:rsidRPr="0059151F">
        <w:rPr>
          <w:rFonts w:ascii="Palatino Linotype" w:eastAsia="Palatino Linotype" w:hAnsi="Palatino Linotype" w:cs="Palatino Linotype"/>
          <w:i/>
          <w:color w:val="000000"/>
          <w:sz w:val="22"/>
          <w:szCs w:val="22"/>
        </w:rPr>
        <w:t>Para los efectos de la presente Ley se entenderá por:</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i/>
          <w:color w:val="000000"/>
          <w:sz w:val="22"/>
          <w:szCs w:val="22"/>
        </w:rPr>
        <w:t>…</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b/>
          <w:i/>
          <w:color w:val="000000"/>
          <w:sz w:val="22"/>
          <w:szCs w:val="22"/>
        </w:rPr>
        <w:t>XI. Documento:</w:t>
      </w:r>
      <w:r w:rsidRPr="0059151F">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9151F">
        <w:rPr>
          <w:rFonts w:ascii="Palatino Linotype" w:eastAsia="Palatino Linotype" w:hAnsi="Palatino Linotype" w:cs="Palatino Linotype"/>
          <w:b/>
          <w:i/>
          <w:color w:val="000000"/>
          <w:sz w:val="22"/>
          <w:szCs w:val="22"/>
        </w:rPr>
        <w:t>…</w:t>
      </w:r>
      <w:r w:rsidRPr="0059151F">
        <w:rPr>
          <w:rFonts w:ascii="Palatino Linotype" w:eastAsia="Palatino Linotype" w:hAnsi="Palatino Linotype" w:cs="Palatino Linotype"/>
          <w:i/>
          <w:color w:val="000000"/>
          <w:sz w:val="22"/>
          <w:szCs w:val="22"/>
        </w:rPr>
        <w:t>” (Sic)</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b/>
          <w:color w:val="000000"/>
          <w:sz w:val="22"/>
          <w:szCs w:val="22"/>
        </w:rPr>
        <w:t>“</w:t>
      </w:r>
      <w:r w:rsidRPr="0059151F">
        <w:rPr>
          <w:rFonts w:ascii="Palatino Linotype" w:eastAsia="Palatino Linotype" w:hAnsi="Palatino Linotype" w:cs="Palatino Linotype"/>
          <w:b/>
          <w:i/>
          <w:color w:val="000000"/>
          <w:sz w:val="22"/>
          <w:szCs w:val="22"/>
        </w:rPr>
        <w:t>CRITERIO 0002-11</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b/>
          <w:i/>
          <w:color w:val="000000"/>
          <w:sz w:val="22"/>
          <w:szCs w:val="22"/>
        </w:rPr>
        <w:lastRenderedPageBreak/>
        <w:t>INFORMACIÓN PÚBLICA, CONCEPTO DE, EN MATERIA DE TRANSPARENCIA. INTERPRETACIÓN SISTEMÁTICA DE LOS ARTÍCULOS 2°, FRACCIÓN V, XV, Y XVI, 3°, 4°, 11 Y 41.</w:t>
      </w:r>
      <w:r w:rsidRPr="0059151F">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25E30" w:rsidRPr="0059151F" w:rsidRDefault="00474FF5">
      <w:pPr>
        <w:pBdr>
          <w:top w:val="nil"/>
          <w:left w:val="nil"/>
          <w:bottom w:val="nil"/>
          <w:right w:val="nil"/>
          <w:between w:val="nil"/>
        </w:pBdr>
        <w:spacing w:before="240" w:after="240"/>
        <w:ind w:left="567" w:right="567"/>
        <w:jc w:val="both"/>
        <w:rPr>
          <w:color w:val="000000"/>
        </w:rPr>
      </w:pPr>
      <w:r w:rsidRPr="0059151F">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125E30" w:rsidRPr="0059151F" w:rsidRDefault="00474FF5">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59151F">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125E30" w:rsidRPr="0059151F" w:rsidRDefault="00474FF5">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59151F">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125E30" w:rsidRPr="0059151F" w:rsidRDefault="00474FF5">
      <w:pPr>
        <w:pBdr>
          <w:top w:val="nil"/>
          <w:left w:val="nil"/>
          <w:bottom w:val="nil"/>
          <w:right w:val="nil"/>
          <w:between w:val="nil"/>
        </w:pBdr>
        <w:spacing w:before="240" w:after="240"/>
        <w:ind w:left="567" w:right="567" w:hanging="284"/>
        <w:jc w:val="both"/>
        <w:rPr>
          <w:color w:val="000000"/>
        </w:rPr>
      </w:pPr>
      <w:r w:rsidRPr="0059151F">
        <w:rPr>
          <w:rFonts w:ascii="Palatino Linotype" w:eastAsia="Palatino Linotype" w:hAnsi="Palatino Linotype" w:cs="Palatino Linotype"/>
          <w:i/>
          <w:color w:val="000000"/>
          <w:sz w:val="22"/>
          <w:szCs w:val="22"/>
        </w:rPr>
        <w:t xml:space="preserve">3. </w:t>
      </w:r>
      <w:r w:rsidRPr="0059151F">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125E30" w:rsidRPr="0059151F" w:rsidRDefault="00474FF5">
      <w:pPr>
        <w:pBdr>
          <w:top w:val="nil"/>
          <w:left w:val="nil"/>
          <w:bottom w:val="nil"/>
          <w:right w:val="nil"/>
          <w:between w:val="nil"/>
        </w:pBdr>
        <w:spacing w:before="240" w:after="240" w:line="360" w:lineRule="auto"/>
        <w:jc w:val="both"/>
        <w:rPr>
          <w:color w:val="000000"/>
        </w:rPr>
      </w:pPr>
      <w:r w:rsidRPr="0059151F">
        <w:rPr>
          <w:rFonts w:ascii="Palatino Linotype" w:eastAsia="Palatino Linotype" w:hAnsi="Palatino Linotype" w:cs="Palatino Linotype"/>
          <w:color w:val="000000"/>
        </w:rPr>
        <w:t xml:space="preserve">De ahí que el </w:t>
      </w:r>
      <w:r w:rsidRPr="0059151F">
        <w:rPr>
          <w:rFonts w:ascii="Palatino Linotype" w:eastAsia="Palatino Linotype" w:hAnsi="Palatino Linotype" w:cs="Palatino Linotype"/>
          <w:b/>
          <w:color w:val="000000"/>
        </w:rPr>
        <w:t>Sujeto Obligado</w:t>
      </w:r>
      <w:r w:rsidRPr="0059151F">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125E30" w:rsidRPr="0059151F" w:rsidRDefault="00474FF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9151F">
        <w:rPr>
          <w:rFonts w:ascii="Palatino Linotype" w:eastAsia="Palatino Linotype" w:hAnsi="Palatino Linotype" w:cs="Palatino Linotype"/>
          <w:color w:val="000000"/>
        </w:rPr>
        <w:t xml:space="preserve">Ahora bien, para profundizar en el estudio del presente asunto, es conveniente recordar que la solicitante requirió al </w:t>
      </w:r>
      <w:r w:rsidRPr="0059151F">
        <w:rPr>
          <w:rFonts w:ascii="Palatino Linotype" w:eastAsia="Palatino Linotype" w:hAnsi="Palatino Linotype" w:cs="Palatino Linotype"/>
          <w:b/>
          <w:color w:val="000000"/>
        </w:rPr>
        <w:t>Sujeto Obligado</w:t>
      </w:r>
      <w:r w:rsidRPr="0059151F">
        <w:rPr>
          <w:rFonts w:ascii="Palatino Linotype" w:eastAsia="Palatino Linotype" w:hAnsi="Palatino Linotype" w:cs="Palatino Linotype"/>
          <w:color w:val="000000"/>
        </w:rPr>
        <w:t>, le proporcionara lo siguiente:</w:t>
      </w:r>
    </w:p>
    <w:p w:rsidR="00125E30" w:rsidRPr="0059151F" w:rsidRDefault="00474FF5">
      <w:pPr>
        <w:numPr>
          <w:ilvl w:val="0"/>
          <w:numId w:val="4"/>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b/>
          <w:color w:val="000000"/>
        </w:rPr>
      </w:pPr>
      <w:r w:rsidRPr="0059151F">
        <w:rPr>
          <w:rFonts w:ascii="Palatino Linotype" w:eastAsia="Palatino Linotype" w:hAnsi="Palatino Linotype" w:cs="Palatino Linotype"/>
          <w:b/>
          <w:color w:val="000000"/>
        </w:rPr>
        <w:lastRenderedPageBreak/>
        <w:t>La publicación de la convocatoria para la entrega de tinacos.</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En respuesta, el </w:t>
      </w:r>
      <w:r w:rsidRPr="0059151F">
        <w:rPr>
          <w:rFonts w:ascii="Palatino Linotype" w:eastAsia="Palatino Linotype" w:hAnsi="Palatino Linotype" w:cs="Palatino Linotype"/>
          <w:b/>
        </w:rPr>
        <w:t xml:space="preserve">Sujeto Obligado </w:t>
      </w:r>
      <w:r w:rsidRPr="0059151F">
        <w:rPr>
          <w:rFonts w:ascii="Palatino Linotype" w:eastAsia="Palatino Linotype" w:hAnsi="Palatino Linotype" w:cs="Palatino Linotype"/>
        </w:rPr>
        <w:t>emitió el siguiente pronunciamiento:</w:t>
      </w:r>
    </w:p>
    <w:p w:rsidR="00125E30" w:rsidRPr="0059151F" w:rsidRDefault="00474FF5">
      <w:pPr>
        <w:spacing w:before="240" w:after="240" w:line="276" w:lineRule="auto"/>
        <w:ind w:left="567" w:right="851"/>
        <w:jc w:val="both"/>
        <w:rPr>
          <w:rFonts w:ascii="Palatino Linotype" w:eastAsia="Palatino Linotype" w:hAnsi="Palatino Linotype" w:cs="Palatino Linotype"/>
          <w:b/>
          <w:i/>
          <w:sz w:val="22"/>
          <w:szCs w:val="22"/>
          <w:u w:val="single"/>
        </w:rPr>
      </w:pPr>
      <w:r w:rsidRPr="0059151F">
        <w:rPr>
          <w:rFonts w:ascii="Palatino Linotype" w:eastAsia="Palatino Linotype" w:hAnsi="Palatino Linotype" w:cs="Palatino Linotype"/>
          <w:b/>
          <w:i/>
          <w:sz w:val="22"/>
          <w:szCs w:val="22"/>
          <w:u w:val="single"/>
        </w:rPr>
        <w:t xml:space="preserve">“La publicación de la convocatoria para le entrega de tinacos se </w:t>
      </w:r>
      <w:proofErr w:type="spellStart"/>
      <w:r w:rsidRPr="0059151F">
        <w:rPr>
          <w:rFonts w:ascii="Palatino Linotype" w:eastAsia="Palatino Linotype" w:hAnsi="Palatino Linotype" w:cs="Palatino Linotype"/>
          <w:b/>
          <w:i/>
          <w:sz w:val="22"/>
          <w:szCs w:val="22"/>
          <w:u w:val="single"/>
        </w:rPr>
        <w:t>realizo</w:t>
      </w:r>
      <w:proofErr w:type="spellEnd"/>
      <w:r w:rsidRPr="0059151F">
        <w:rPr>
          <w:rFonts w:ascii="Palatino Linotype" w:eastAsia="Palatino Linotype" w:hAnsi="Palatino Linotype" w:cs="Palatino Linotype"/>
          <w:b/>
          <w:i/>
          <w:sz w:val="22"/>
          <w:szCs w:val="22"/>
          <w:u w:val="single"/>
        </w:rPr>
        <w:t xml:space="preserve"> mediante la red social Facebook del Gobierno de Atizapán de Zaragoza, el día 14 de marzo del año 2023 siendo las 12:22 horas.</w:t>
      </w:r>
      <w:r w:rsidRPr="0059151F">
        <w:rPr>
          <w:rFonts w:ascii="Palatino Linotype" w:eastAsia="Palatino Linotype" w:hAnsi="Palatino Linotype" w:cs="Palatino Linotype"/>
          <w:i/>
          <w:sz w:val="22"/>
          <w:szCs w:val="22"/>
        </w:rPr>
        <w:t xml:space="preserve"> Una vez analizada la información solicitada le informo lo siguiente: con fundamento en el artículo 75 y 76 del Reglamento Orgánico de la Administración Pública Municipal de Atizapán de Zaragoza, Estado de México y Municipios 2022-2024. </w:t>
      </w:r>
      <w:r w:rsidRPr="0059151F">
        <w:rPr>
          <w:rFonts w:ascii="Palatino Linotype" w:eastAsia="Palatino Linotype" w:hAnsi="Palatino Linotype" w:cs="Palatino Linotype"/>
          <w:b/>
          <w:i/>
          <w:sz w:val="22"/>
          <w:szCs w:val="22"/>
          <w:u w:val="single"/>
        </w:rPr>
        <w:t>de acuerdo a las facultades y atribuciones de la Dirección de Desarrollo Social, por lo anterior me permito informarle que en su momento fueron publicadas las Reglas de Operación del Programa en la página Oficial del Gobierno de Atizapán de Zaragoza como en las distintas Redes Sociales con las que cuenta este Ayuntamiento y es facultad de la Dirección de Innovación y Comunicación su publicación y no de esta Dirección; sin embargo cabe señalar que en este momento ya no se encuentra la publicación toda vez que por el momento la página se encuentra cerrada por cuestiones de Veda Electoral</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 “(Sic) (Énfasis añadido)</w:t>
      </w:r>
    </w:p>
    <w:p w:rsidR="00125E30" w:rsidRPr="0059151F" w:rsidRDefault="00474FF5">
      <w:pPr>
        <w:spacing w:before="240" w:after="240" w:line="360" w:lineRule="auto"/>
        <w:ind w:right="567"/>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Asimismo remitió los siguientes archivos electrónicos: </w:t>
      </w:r>
    </w:p>
    <w:p w:rsidR="00125E30" w:rsidRPr="0059151F" w:rsidRDefault="00474FF5">
      <w:pPr>
        <w:spacing w:before="240" w:after="240" w:line="360" w:lineRule="auto"/>
        <w:ind w:left="567" w:right="851"/>
        <w:jc w:val="both"/>
        <w:rPr>
          <w:rFonts w:ascii="Palatino Linotype" w:eastAsia="Palatino Linotype" w:hAnsi="Palatino Linotype" w:cs="Palatino Linotype"/>
        </w:rPr>
      </w:pPr>
      <w:r w:rsidRPr="0059151F">
        <w:rPr>
          <w:rFonts w:ascii="Palatino Linotype" w:eastAsia="Palatino Linotype" w:hAnsi="Palatino Linotype" w:cs="Palatino Linotype"/>
          <w:b/>
          <w:i/>
        </w:rPr>
        <w:t xml:space="preserve">“SOLICITUD 00183_ATIZARA_IP_2023.pdf”: </w:t>
      </w:r>
      <w:r w:rsidRPr="0059151F">
        <w:rPr>
          <w:rFonts w:ascii="Palatino Linotype" w:eastAsia="Palatino Linotype" w:hAnsi="Palatino Linotype" w:cs="Palatino Linotype"/>
        </w:rPr>
        <w:t>Documento de una foja en el que se aprecia el pronunciamiento respecto de la publicación de la convocatoria, la cual se realizó en la red social Facebook del Gobierno de Atizapán de Zaragoza, el 14 de marzo de 2023, a las 12:22 horas, se anexan ligas de acceso a la publicación y reglas de operación del programa municipal.</w:t>
      </w:r>
    </w:p>
    <w:p w:rsidR="00125E30" w:rsidRPr="0059151F" w:rsidRDefault="00474FF5">
      <w:pPr>
        <w:spacing w:before="240" w:after="240" w:line="360" w:lineRule="auto"/>
        <w:ind w:left="567" w:right="851"/>
        <w:jc w:val="both"/>
        <w:rPr>
          <w:rFonts w:ascii="Palatino Linotype" w:eastAsia="Palatino Linotype" w:hAnsi="Palatino Linotype" w:cs="Palatino Linotype"/>
        </w:rPr>
      </w:pPr>
      <w:r w:rsidRPr="0059151F">
        <w:rPr>
          <w:rFonts w:ascii="Palatino Linotype" w:eastAsia="Palatino Linotype" w:hAnsi="Palatino Linotype" w:cs="Palatino Linotype"/>
          <w:b/>
          <w:i/>
        </w:rPr>
        <w:t xml:space="preserve">“CONVOCATORIA-Desabasto-de-agua.pdf”: </w:t>
      </w:r>
      <w:r w:rsidRPr="0059151F">
        <w:rPr>
          <w:rFonts w:ascii="Palatino Linotype" w:eastAsia="Palatino Linotype" w:hAnsi="Palatino Linotype" w:cs="Palatino Linotype"/>
        </w:rPr>
        <w:t xml:space="preserve">Documento de nueve fojas en el que se aprecian las reglas de operación del programa </w:t>
      </w:r>
      <w:r w:rsidRPr="0059151F">
        <w:rPr>
          <w:rFonts w:ascii="Palatino Linotype" w:eastAsia="Palatino Linotype" w:hAnsi="Palatino Linotype" w:cs="Palatino Linotype"/>
        </w:rPr>
        <w:lastRenderedPageBreak/>
        <w:t>municipal “Unidos en apoyo al desabasto de agua” el cual consiste en la entrega de un tinaco.</w:t>
      </w:r>
    </w:p>
    <w:p w:rsidR="00125E30" w:rsidRPr="0059151F" w:rsidRDefault="00474FF5">
      <w:pPr>
        <w:spacing w:before="240" w:after="240" w:line="360" w:lineRule="auto"/>
        <w:jc w:val="both"/>
        <w:rPr>
          <w:rFonts w:ascii="Palatino Linotype" w:eastAsia="Palatino Linotype" w:hAnsi="Palatino Linotype" w:cs="Palatino Linotype"/>
          <w:b/>
          <w:i/>
          <w:u w:val="single"/>
        </w:rPr>
      </w:pPr>
      <w:r w:rsidRPr="0059151F">
        <w:rPr>
          <w:rFonts w:ascii="Palatino Linotype" w:eastAsia="Palatino Linotype" w:hAnsi="Palatino Linotype" w:cs="Palatino Linotype"/>
        </w:rPr>
        <w:t xml:space="preserve">Una vez conocida la respuesta, el particular interpuso el recurso de revisión que se resuelve, inconformándose en el acto impugnado por la contestación, sin en sus razones o motivos de inconformidad, expresó lo siguiente: </w:t>
      </w:r>
      <w:r w:rsidRPr="0059151F">
        <w:rPr>
          <w:rFonts w:ascii="Palatino Linotype" w:eastAsia="Palatino Linotype" w:hAnsi="Palatino Linotype" w:cs="Palatino Linotype"/>
          <w:b/>
          <w:i/>
        </w:rPr>
        <w:t>“</w:t>
      </w:r>
      <w:r w:rsidRPr="0059151F">
        <w:rPr>
          <w:rFonts w:ascii="Palatino Linotype" w:eastAsia="Palatino Linotype" w:hAnsi="Palatino Linotype" w:cs="Palatino Linotype"/>
          <w:b/>
          <w:i/>
          <w:u w:val="single"/>
        </w:rPr>
        <w:t xml:space="preserve">Niegan la información, </w:t>
      </w:r>
      <w:r w:rsidRPr="0059151F">
        <w:rPr>
          <w:rFonts w:ascii="Palatino Linotype" w:eastAsia="Palatino Linotype" w:hAnsi="Palatino Linotype" w:cs="Palatino Linotype"/>
          <w:b/>
          <w:i/>
        </w:rPr>
        <w:t xml:space="preserve">es importante señalar se justifican con la veda electoral, sin embargo las redes sociales no cuentan con el formato de veda electoral los vínculos que remiten son de sus redes sociales" </w:t>
      </w:r>
      <w:r w:rsidRPr="0059151F">
        <w:rPr>
          <w:rFonts w:ascii="Palatino Linotype" w:eastAsia="Palatino Linotype" w:hAnsi="Palatino Linotype" w:cs="Palatino Linotype"/>
          <w:i/>
        </w:rPr>
        <w:t xml:space="preserve">(Sic) (Énfasis añadido), </w:t>
      </w:r>
      <w:r w:rsidRPr="0059151F">
        <w:rPr>
          <w:rFonts w:ascii="Palatino Linotype" w:eastAsia="Palatino Linotype" w:hAnsi="Palatino Linotype" w:cs="Palatino Linotype"/>
        </w:rPr>
        <w:t>es decir, su inconformidad versa específicamente por la negativa a entregar la información solicitada.</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xml:space="preserve"> ratificó los términos de su respuesta inicial, mientras que </w:t>
      </w:r>
      <w:r w:rsidRPr="0059151F">
        <w:rPr>
          <w:rFonts w:ascii="Palatino Linotype" w:eastAsia="Palatino Linotype" w:hAnsi="Palatino Linotype" w:cs="Palatino Linotype"/>
          <w:b/>
        </w:rPr>
        <w:t>la parte Recurrente</w:t>
      </w:r>
      <w:r w:rsidRPr="0059151F">
        <w:rPr>
          <w:rFonts w:ascii="Palatino Linotype" w:eastAsia="Palatino Linotype" w:hAnsi="Palatino Linotype" w:cs="Palatino Linotype"/>
        </w:rPr>
        <w:t xml:space="preserve"> fue omisa en pronunciarse, por lo tanto se procedió a decretar el cierre de instrucción y a emitir la resolución que conforme a derecho corresponda.</w:t>
      </w:r>
    </w:p>
    <w:p w:rsidR="00846DD8" w:rsidRPr="0059151F" w:rsidRDefault="00474FF5">
      <w:pPr>
        <w:spacing w:before="240" w:after="240" w:line="360" w:lineRule="auto"/>
        <w:ind w:right="49"/>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Acotado lo anterior, es importante iniciar señalando que de las constancias que obran en el expediente electrónico, quien se pronunció en respuesta es la Dirección de Innovación y Comunicación, </w:t>
      </w:r>
      <w:r w:rsidR="00846DD8" w:rsidRPr="0059151F">
        <w:rPr>
          <w:rFonts w:ascii="Palatino Linotype" w:eastAsia="Palatino Linotype" w:hAnsi="Palatino Linotype" w:cs="Palatino Linotype"/>
        </w:rPr>
        <w:t>proporcionando para tal efecto, dos ligas electrónicas, así como el documento denominado “convocatoria o reglas de operación” del programa municipal “Unidos en apoyo al desabasto de agua”.</w:t>
      </w:r>
    </w:p>
    <w:p w:rsidR="00125E30" w:rsidRPr="0059151F" w:rsidRDefault="00846DD8">
      <w:pPr>
        <w:spacing w:before="240" w:after="240" w:line="360" w:lineRule="auto"/>
        <w:ind w:right="49"/>
        <w:jc w:val="both"/>
        <w:rPr>
          <w:rFonts w:ascii="Palatino Linotype" w:eastAsia="Palatino Linotype" w:hAnsi="Palatino Linotype" w:cs="Palatino Linotype"/>
        </w:rPr>
      </w:pPr>
      <w:r w:rsidRPr="0059151F">
        <w:rPr>
          <w:rFonts w:ascii="Palatino Linotype" w:eastAsia="Palatino Linotype" w:hAnsi="Palatino Linotype" w:cs="Palatino Linotype"/>
        </w:rPr>
        <w:lastRenderedPageBreak/>
        <w:t xml:space="preserve">Es de precisar que </w:t>
      </w:r>
      <w:r w:rsidR="00474FF5" w:rsidRPr="0059151F">
        <w:rPr>
          <w:rFonts w:ascii="Palatino Linotype" w:eastAsia="Palatino Linotype" w:hAnsi="Palatino Linotype" w:cs="Palatino Linotype"/>
        </w:rPr>
        <w:t xml:space="preserve"> en términos de lo establecido en el Reglamento Orgánico de la Administración Pública Municipal de Atizapán de Zaragoza, Estado de México y Municipios 2022-2024, </w:t>
      </w:r>
      <w:r w:rsidRPr="0059151F">
        <w:rPr>
          <w:rFonts w:ascii="Palatino Linotype" w:eastAsia="Palatino Linotype" w:hAnsi="Palatino Linotype" w:cs="Palatino Linotype"/>
        </w:rPr>
        <w:t xml:space="preserve">la referida Dirección </w:t>
      </w:r>
      <w:r w:rsidR="00474FF5" w:rsidRPr="0059151F">
        <w:rPr>
          <w:rFonts w:ascii="Palatino Linotype" w:eastAsia="Palatino Linotype" w:hAnsi="Palatino Linotype" w:cs="Palatino Linotype"/>
        </w:rPr>
        <w:t>cuenta con las siguientes atribuciones:</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“ARTÍCULO 88.- La Dirección de Innovación y Comunicación del Ayuntamiento del municipio de Atizapán de Zaragoza, tiene como objetivo instrumentar e implementar estrategias, políticas de comunicación y acciones integrales tendientes a hacer más eficiente la gestión gubernamental y la atención ciudadana mediante el desarrollo, incorporación, uso de tecnologías y procesamiento de datos, así como el adecuado manejo medios de comunicación para fortalecer la estrategia de gobierno digital, tanto en la operación interna del municipio, como en la prestación de servicios y trámites a la ciudadanía.</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ARTÍCULO 89.- Al frente de la Dirección de Innovación y Comunicación se encontrará el Director de Innovación y Comunicación, el cual contará con las siguientes atribuciones:</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w:t>
      </w:r>
    </w:p>
    <w:p w:rsidR="00125E30" w:rsidRPr="0059151F" w:rsidRDefault="00474FF5">
      <w:pPr>
        <w:spacing w:before="240" w:after="240" w:line="276" w:lineRule="auto"/>
        <w:ind w:left="567" w:right="851"/>
        <w:jc w:val="both"/>
        <w:rPr>
          <w:rFonts w:ascii="Palatino Linotype" w:eastAsia="Palatino Linotype" w:hAnsi="Palatino Linotype" w:cs="Palatino Linotype"/>
          <w:b/>
          <w:i/>
          <w:sz w:val="22"/>
          <w:szCs w:val="22"/>
          <w:u w:val="single"/>
        </w:rPr>
      </w:pPr>
      <w:r w:rsidRPr="0059151F">
        <w:rPr>
          <w:rFonts w:ascii="Palatino Linotype" w:eastAsia="Palatino Linotype" w:hAnsi="Palatino Linotype" w:cs="Palatino Linotype"/>
          <w:b/>
          <w:i/>
          <w:sz w:val="22"/>
          <w:szCs w:val="22"/>
          <w:u w:val="single"/>
        </w:rPr>
        <w:t>III. Coordinar la comunicación institucional;</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b/>
          <w:i/>
          <w:sz w:val="22"/>
          <w:szCs w:val="22"/>
          <w:u w:val="single"/>
        </w:rPr>
        <w:t>XIV. Difundir a la opinión pública los proyectos, programas y actividades de la Administración Pública Municipal;”</w:t>
      </w:r>
      <w:r w:rsidRPr="0059151F">
        <w:rPr>
          <w:rFonts w:ascii="Palatino Linotype" w:eastAsia="Palatino Linotype" w:hAnsi="Palatino Linotype" w:cs="Palatino Linotype"/>
          <w:i/>
          <w:sz w:val="22"/>
          <w:szCs w:val="22"/>
        </w:rPr>
        <w:t xml:space="preserve"> (Énfasis añadido)</w:t>
      </w:r>
    </w:p>
    <w:p w:rsidR="00125E30" w:rsidRPr="0059151F" w:rsidRDefault="00125E30">
      <w:pPr>
        <w:spacing w:before="240" w:after="240" w:line="276" w:lineRule="auto"/>
        <w:ind w:right="851"/>
        <w:jc w:val="both"/>
        <w:rPr>
          <w:rFonts w:ascii="Palatino Linotype" w:eastAsia="Palatino Linotype" w:hAnsi="Palatino Linotype" w:cs="Palatino Linotype"/>
        </w:rPr>
      </w:pPr>
    </w:p>
    <w:p w:rsidR="00125E30" w:rsidRPr="0059151F" w:rsidRDefault="00474FF5">
      <w:pPr>
        <w:spacing w:before="240" w:after="240" w:line="360" w:lineRule="auto"/>
        <w:ind w:right="49"/>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De manera que con lo insertado anteriormente, se desprende que la Dirección de Innovación y Comunicación es la encargada de coordinar la comunicación, así como de difundir a la opinión pública, los proyectos, programas y actividades de la Administración Pública Municipal, por lo tanto, se tiene que es la unidad </w:t>
      </w:r>
      <w:r w:rsidRPr="0059151F">
        <w:rPr>
          <w:rFonts w:ascii="Palatino Linotype" w:eastAsia="Palatino Linotype" w:hAnsi="Palatino Linotype" w:cs="Palatino Linotype"/>
        </w:rPr>
        <w:lastRenderedPageBreak/>
        <w:t>administrativa competente para pronunciarse respecto de la publicación de la convocatoria.</w:t>
      </w:r>
    </w:p>
    <w:p w:rsidR="00125E30" w:rsidRPr="0059151F" w:rsidRDefault="00474FF5">
      <w:pPr>
        <w:spacing w:before="240" w:after="240" w:line="360" w:lineRule="auto"/>
        <w:ind w:right="49"/>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Asimismo se tiene que en el expediente electrónico, obra el pronunciamiento de la Dirección de Desarrollo Social, </w:t>
      </w:r>
      <w:r w:rsidR="00846DD8" w:rsidRPr="0059151F">
        <w:rPr>
          <w:rFonts w:ascii="Palatino Linotype" w:eastAsia="Palatino Linotype" w:hAnsi="Palatino Linotype" w:cs="Palatino Linotype"/>
        </w:rPr>
        <w:t xml:space="preserve">quien señaló que </w:t>
      </w:r>
      <w:r w:rsidR="00846DD8" w:rsidRPr="0059151F">
        <w:rPr>
          <w:rFonts w:ascii="Palatino Linotype" w:eastAsia="Palatino Linotype" w:hAnsi="Palatino Linotype" w:cs="Palatino Linotype"/>
          <w:i/>
        </w:rPr>
        <w:t xml:space="preserve">“en su momento fueron publicadas las Reglas de Operación del Programa en la página Oficial del Gobierno de Atizapán de Zaragoza como en las distintas Redes Sociales con las que cuenta este Ayuntamiento y es facultad de la Dirección de Innovación y Comunicación su publicación y no de esta Dirección; sin embargo cabe señalar que en este momento ya no se encuentra la publicación toda vez que por el momento la página se encuentra cerrada por cuestiones de Veda Electoral”. </w:t>
      </w:r>
      <w:r w:rsidR="00846DD8" w:rsidRPr="0059151F">
        <w:rPr>
          <w:rFonts w:ascii="Palatino Linotype" w:eastAsia="Palatino Linotype" w:hAnsi="Palatino Linotype" w:cs="Palatino Linotype"/>
        </w:rPr>
        <w:t>En ese sentido, dicha unidad administrativa,</w:t>
      </w:r>
      <w:r w:rsidRPr="0059151F">
        <w:rPr>
          <w:rFonts w:ascii="Palatino Linotype" w:eastAsia="Palatino Linotype" w:hAnsi="Palatino Linotype" w:cs="Palatino Linotype"/>
        </w:rPr>
        <w:t xml:space="preserve"> en términos de lo establecido en el Reglamento Orgánico de la Administración Pública Municipal de Atizapán de Zaragoza, Estado de México y Municipios 2022-2024, cuenta con las siguientes atribuciones:</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w:t>
      </w:r>
      <w:r w:rsidRPr="0059151F">
        <w:rPr>
          <w:rFonts w:ascii="Palatino Linotype" w:eastAsia="Palatino Linotype" w:hAnsi="Palatino Linotype" w:cs="Palatino Linotype"/>
          <w:b/>
          <w:i/>
          <w:sz w:val="22"/>
          <w:szCs w:val="22"/>
          <w:u w:val="single"/>
        </w:rPr>
        <w:t>ARTÍCULO 75.- La Dirección de Desarrollo Social es la dependencia encargada de planear, coordinar y dirigir acciones orientadas a la atención de las necesidades de los grupos vulnerables del Municipio de Atizapán de Zaragoza</w:t>
      </w:r>
      <w:r w:rsidRPr="0059151F">
        <w:rPr>
          <w:rFonts w:ascii="Palatino Linotype" w:eastAsia="Palatino Linotype" w:hAnsi="Palatino Linotype" w:cs="Palatino Linotype"/>
          <w:i/>
          <w:sz w:val="22"/>
          <w:szCs w:val="22"/>
        </w:rPr>
        <w:t xml:space="preserve"> en coordinación con las Dependencias Municipales, organismos descentralizados e institucionales Federales y Estatales.</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ARTÍCULO 76.- Corresponde a la Dirección de Desarrollo Social, el ejercicio de las siguientes atribuciones:</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b/>
          <w:i/>
          <w:sz w:val="22"/>
          <w:szCs w:val="22"/>
          <w:u w:val="single"/>
        </w:rPr>
        <w:t xml:space="preserve">V. Coordinar acciones para difundir entre la población vulnerable del municipio, los mecanismos y requisitos para acceder a apoyos y programas de bienestar y combate a la pobreza, en ámbitos culturales, deportivos, </w:t>
      </w:r>
      <w:r w:rsidRPr="0059151F">
        <w:rPr>
          <w:rFonts w:ascii="Palatino Linotype" w:eastAsia="Palatino Linotype" w:hAnsi="Palatino Linotype" w:cs="Palatino Linotype"/>
          <w:b/>
          <w:i/>
          <w:sz w:val="22"/>
          <w:szCs w:val="22"/>
          <w:u w:val="single"/>
        </w:rPr>
        <w:lastRenderedPageBreak/>
        <w:t>desarrollo comunitario y sector juvenil;</w:t>
      </w:r>
      <w:r w:rsidRPr="0059151F">
        <w:rPr>
          <w:rFonts w:ascii="Palatino Linotype" w:eastAsia="Palatino Linotype" w:hAnsi="Palatino Linotype" w:cs="Palatino Linotype"/>
          <w:b/>
          <w:i/>
          <w:sz w:val="22"/>
          <w:szCs w:val="22"/>
          <w:u w:val="single"/>
        </w:rPr>
        <w:br/>
      </w:r>
      <w:r w:rsidRPr="0059151F">
        <w:rPr>
          <w:rFonts w:ascii="Palatino Linotype" w:eastAsia="Palatino Linotype" w:hAnsi="Palatino Linotype" w:cs="Palatino Linotype"/>
          <w:i/>
          <w:sz w:val="22"/>
          <w:szCs w:val="22"/>
        </w:rPr>
        <w:t>…</w:t>
      </w:r>
    </w:p>
    <w:p w:rsidR="00125E30" w:rsidRPr="0059151F" w:rsidRDefault="00474FF5">
      <w:pPr>
        <w:spacing w:before="240" w:after="240"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b/>
          <w:i/>
          <w:sz w:val="22"/>
          <w:szCs w:val="22"/>
          <w:u w:val="single"/>
        </w:rPr>
        <w:t>VII. Diseñar y ejecutar mecanismos e instrumentos a nivel municipal para garantizar el bienestar de las comunidades vulnerables;</w:t>
      </w:r>
      <w:r w:rsidRPr="0059151F">
        <w:rPr>
          <w:rFonts w:ascii="Palatino Linotype" w:eastAsia="Palatino Linotype" w:hAnsi="Palatino Linotype" w:cs="Palatino Linotype"/>
          <w:i/>
          <w:sz w:val="22"/>
          <w:szCs w:val="22"/>
        </w:rPr>
        <w:t>” (Énfasis añadido)</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De lo citado con anterioridad, se desprende que la Dirección de Desarrollo Social es la encargada de planear, coordinar y dirigir acciones orientadas a la atención de las necesidades de los grupos vulnerables del municipio de Atizapán de Zaragoza, mientras que la Dirección de Innovación y Comunicación es la encargada de coordinar la comunicación institucional, por lo tanto, se tiene que en efecto, con el turno a esta área se dio cumplimiento a lo establecido por el artículo 162 de la Ley de Transparencia y Acceso a la Información Pública del Estado de México y Municipios.</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color w:val="000000"/>
        </w:rPr>
        <w:t xml:space="preserve">En este sentido, </w:t>
      </w:r>
      <w:r w:rsidR="00846DD8" w:rsidRPr="0059151F">
        <w:rPr>
          <w:rFonts w:ascii="Palatino Linotype" w:eastAsia="Palatino Linotype" w:hAnsi="Palatino Linotype" w:cs="Palatino Linotype"/>
          <w:color w:val="000000"/>
        </w:rPr>
        <w:t xml:space="preserve">al existir un pronunciamiento de las unidades administrativas competentes, </w:t>
      </w:r>
      <w:r w:rsidRPr="0059151F">
        <w:rPr>
          <w:rFonts w:ascii="Palatino Linotype" w:eastAsia="Palatino Linotype" w:hAnsi="Palatino Linotype" w:cs="Palatino Linotype"/>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125E30" w:rsidRPr="0059151F" w:rsidRDefault="00125E30">
      <w:pPr>
        <w:tabs>
          <w:tab w:val="left" w:pos="709"/>
        </w:tabs>
        <w:ind w:left="567" w:right="1324"/>
        <w:jc w:val="both"/>
        <w:rPr>
          <w:rFonts w:ascii="Palatino Linotype" w:eastAsia="Palatino Linotype" w:hAnsi="Palatino Linotype" w:cs="Palatino Linotype"/>
          <w:b/>
          <w:i/>
          <w:sz w:val="22"/>
          <w:szCs w:val="22"/>
        </w:rPr>
      </w:pPr>
    </w:p>
    <w:p w:rsidR="00125E30" w:rsidRPr="0059151F" w:rsidRDefault="00474FF5">
      <w:pPr>
        <w:tabs>
          <w:tab w:val="left" w:pos="993"/>
        </w:tabs>
        <w:spacing w:line="276" w:lineRule="auto"/>
        <w:ind w:left="567" w:right="851"/>
        <w:jc w:val="both"/>
        <w:rPr>
          <w:rFonts w:ascii="Palatino Linotype" w:eastAsia="Palatino Linotype" w:hAnsi="Palatino Linotype" w:cs="Palatino Linotype"/>
          <w:b/>
          <w:i/>
          <w:sz w:val="22"/>
          <w:szCs w:val="22"/>
        </w:rPr>
      </w:pPr>
      <w:r w:rsidRPr="0059151F">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9151F">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w:t>
      </w:r>
      <w:r w:rsidRPr="0059151F">
        <w:rPr>
          <w:rFonts w:ascii="Palatino Linotype" w:eastAsia="Palatino Linotype" w:hAnsi="Palatino Linotype" w:cs="Palatino Linotype"/>
          <w:i/>
          <w:sz w:val="22"/>
          <w:szCs w:val="22"/>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9151F">
        <w:rPr>
          <w:rFonts w:ascii="Palatino Linotype" w:eastAsia="Palatino Linotype" w:hAnsi="Palatino Linotype" w:cs="Palatino Linotype"/>
          <w:b/>
          <w:i/>
          <w:sz w:val="22"/>
          <w:szCs w:val="22"/>
        </w:rPr>
        <w:t>”</w:t>
      </w:r>
    </w:p>
    <w:p w:rsidR="00055BE0" w:rsidRPr="0059151F" w:rsidRDefault="00C96C1A">
      <w:pPr>
        <w:spacing w:before="240" w:after="240" w:line="360" w:lineRule="auto"/>
        <w:jc w:val="both"/>
        <w:rPr>
          <w:rFonts w:ascii="Palatino Linotype" w:eastAsia="Palatino Linotype" w:hAnsi="Palatino Linotype" w:cs="Palatino Linotype"/>
          <w:b/>
        </w:rPr>
      </w:pPr>
      <w:r w:rsidRPr="0059151F">
        <w:rPr>
          <w:rFonts w:ascii="Palatino Linotype" w:eastAsia="Palatino Linotype" w:hAnsi="Palatino Linotype" w:cs="Palatino Linotype"/>
        </w:rPr>
        <w:t xml:space="preserve">Previo análisis de la respuesta proporcionada, debe puntualizarse que si bien es cierto,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xml:space="preserve"> por conducto de la Dirección de Desarrollo Social, señaló que a la fecha de la respuesta, es decir, el veintiséis de abril de dos mil veintitrés, la publicación ya </w:t>
      </w:r>
      <w:r w:rsidR="0020243F" w:rsidRPr="0059151F">
        <w:rPr>
          <w:rFonts w:ascii="Palatino Linotype" w:eastAsia="Palatino Linotype" w:hAnsi="Palatino Linotype" w:cs="Palatino Linotype"/>
        </w:rPr>
        <w:t>no se encontraba en la red social Facebook derivado de la veda electoral, no menos cierto es que como se desprende de la respuesta, la publicación se realizó de manera previa</w:t>
      </w:r>
      <w:r w:rsidR="00055BE0" w:rsidRPr="0059151F">
        <w:rPr>
          <w:rFonts w:ascii="Palatino Linotype" w:eastAsia="Palatino Linotype" w:hAnsi="Palatino Linotype" w:cs="Palatino Linotype"/>
        </w:rPr>
        <w:t xml:space="preserve"> a este periodo</w:t>
      </w:r>
      <w:r w:rsidR="0020243F" w:rsidRPr="0059151F">
        <w:rPr>
          <w:rFonts w:ascii="Palatino Linotype" w:eastAsia="Palatino Linotype" w:hAnsi="Palatino Linotype" w:cs="Palatino Linotype"/>
        </w:rPr>
        <w:t xml:space="preserve">, toda vez que </w:t>
      </w:r>
      <w:r w:rsidR="00055BE0" w:rsidRPr="0059151F">
        <w:rPr>
          <w:rFonts w:ascii="Palatino Linotype" w:eastAsia="Palatino Linotype" w:hAnsi="Palatino Linotype" w:cs="Palatino Linotype"/>
        </w:rPr>
        <w:t xml:space="preserve">de la consulta realizada por este Instituto se advirtió que conforme al artículo 261 del Código Electoral del Estado de México, dicha veda electoral transcurrió del tres de abril al cuatro de junio de dos mil veintitrés, por lo que si </w:t>
      </w:r>
      <w:r w:rsidR="00D909A1" w:rsidRPr="0059151F">
        <w:rPr>
          <w:rFonts w:ascii="Palatino Linotype" w:eastAsia="Palatino Linotype" w:hAnsi="Palatino Linotype" w:cs="Palatino Linotype"/>
        </w:rPr>
        <w:t xml:space="preserve">el </w:t>
      </w:r>
      <w:r w:rsidR="00D909A1" w:rsidRPr="0059151F">
        <w:rPr>
          <w:rFonts w:ascii="Palatino Linotype" w:eastAsia="Palatino Linotype" w:hAnsi="Palatino Linotype" w:cs="Palatino Linotype"/>
          <w:b/>
        </w:rPr>
        <w:t>Sujeto Obligado</w:t>
      </w:r>
      <w:r w:rsidR="00D909A1" w:rsidRPr="0059151F">
        <w:rPr>
          <w:rFonts w:ascii="Palatino Linotype" w:eastAsia="Palatino Linotype" w:hAnsi="Palatino Linotype" w:cs="Palatino Linotype"/>
        </w:rPr>
        <w:t xml:space="preserve"> por conducto de la Dirección de Innovación y Comunicación </w:t>
      </w:r>
      <w:r w:rsidR="00D14E20" w:rsidRPr="0059151F">
        <w:rPr>
          <w:rFonts w:ascii="Palatino Linotype" w:eastAsia="Palatino Linotype" w:hAnsi="Palatino Linotype" w:cs="Palatino Linotype"/>
        </w:rPr>
        <w:t xml:space="preserve">señaló puntualmente en su respuesta que </w:t>
      </w:r>
      <w:r w:rsidR="00055BE0" w:rsidRPr="0059151F">
        <w:rPr>
          <w:rFonts w:ascii="Palatino Linotype" w:eastAsia="Palatino Linotype" w:hAnsi="Palatino Linotype" w:cs="Palatino Linotype"/>
        </w:rPr>
        <w:t>la publicación data del catorce de marzo de dos mil veintitrés</w:t>
      </w:r>
      <w:r w:rsidR="00D14E20" w:rsidRPr="0059151F">
        <w:rPr>
          <w:rFonts w:ascii="Palatino Linotype" w:eastAsia="Palatino Linotype" w:hAnsi="Palatino Linotype" w:cs="Palatino Linotype"/>
        </w:rPr>
        <w:t xml:space="preserve">, </w:t>
      </w:r>
      <w:r w:rsidR="00055BE0" w:rsidRPr="0059151F">
        <w:rPr>
          <w:rFonts w:ascii="Palatino Linotype" w:eastAsia="Palatino Linotype" w:hAnsi="Palatino Linotype" w:cs="Palatino Linotype"/>
        </w:rPr>
        <w:t xml:space="preserve"> se tiene que se realizó de manera previa a esta etapa</w:t>
      </w:r>
      <w:r w:rsidR="00D14E20" w:rsidRPr="0059151F">
        <w:rPr>
          <w:rFonts w:ascii="Palatino Linotype" w:eastAsia="Palatino Linotype" w:hAnsi="Palatino Linotype" w:cs="Palatino Linotype"/>
        </w:rPr>
        <w:t>;</w:t>
      </w:r>
      <w:r w:rsidR="00A06A07" w:rsidRPr="0059151F">
        <w:rPr>
          <w:rFonts w:ascii="Palatino Linotype" w:eastAsia="Palatino Linotype" w:hAnsi="Palatino Linotype" w:cs="Palatino Linotype"/>
        </w:rPr>
        <w:t xml:space="preserve"> por otra parte </w:t>
      </w:r>
      <w:r w:rsidR="00A06A07" w:rsidRPr="0059151F">
        <w:rPr>
          <w:rFonts w:ascii="Palatino Linotype" w:eastAsia="Palatino Linotype" w:hAnsi="Palatino Linotype" w:cs="Palatino Linotype"/>
          <w:b/>
          <w:u w:val="single"/>
        </w:rPr>
        <w:t>no se debe perder de vista que la información que es de interés de</w:t>
      </w:r>
      <w:r w:rsidR="00EE2E24" w:rsidRPr="0059151F">
        <w:rPr>
          <w:rFonts w:ascii="Palatino Linotype" w:eastAsia="Palatino Linotype" w:hAnsi="Palatino Linotype" w:cs="Palatino Linotype"/>
          <w:b/>
          <w:u w:val="single"/>
        </w:rPr>
        <w:t>l</w:t>
      </w:r>
      <w:r w:rsidR="00D14E20" w:rsidRPr="0059151F">
        <w:rPr>
          <w:rFonts w:ascii="Palatino Linotype" w:eastAsia="Palatino Linotype" w:hAnsi="Palatino Linotype" w:cs="Palatino Linotype"/>
          <w:b/>
          <w:u w:val="single"/>
        </w:rPr>
        <w:t xml:space="preserve"> particular, consiste en estricto sentido en</w:t>
      </w:r>
      <w:r w:rsidR="009A1534" w:rsidRPr="0059151F">
        <w:rPr>
          <w:rFonts w:ascii="Palatino Linotype" w:eastAsia="Palatino Linotype" w:hAnsi="Palatino Linotype" w:cs="Palatino Linotype"/>
          <w:b/>
          <w:u w:val="single"/>
        </w:rPr>
        <w:t xml:space="preserve"> </w:t>
      </w:r>
      <w:r w:rsidR="00A06A07" w:rsidRPr="0059151F">
        <w:rPr>
          <w:rFonts w:ascii="Palatino Linotype" w:eastAsia="Palatino Linotype" w:hAnsi="Palatino Linotype" w:cs="Palatino Linotype"/>
          <w:b/>
          <w:u w:val="single"/>
        </w:rPr>
        <w:t xml:space="preserve">conocer los medios </w:t>
      </w:r>
      <w:r w:rsidR="00FD1E5D" w:rsidRPr="0059151F">
        <w:rPr>
          <w:rFonts w:ascii="Palatino Linotype" w:eastAsia="Palatino Linotype" w:hAnsi="Palatino Linotype" w:cs="Palatino Linotype"/>
          <w:b/>
          <w:u w:val="single"/>
        </w:rPr>
        <w:t xml:space="preserve">de publicación de </w:t>
      </w:r>
      <w:r w:rsidR="00A06A07" w:rsidRPr="0059151F">
        <w:rPr>
          <w:rFonts w:ascii="Palatino Linotype" w:eastAsia="Palatino Linotype" w:hAnsi="Palatino Linotype" w:cs="Palatino Linotype"/>
          <w:b/>
          <w:u w:val="single"/>
        </w:rPr>
        <w:t>la convocatoria de referencia</w:t>
      </w:r>
      <w:r w:rsidR="00A06A07" w:rsidRPr="0059151F">
        <w:rPr>
          <w:rFonts w:ascii="Palatino Linotype" w:eastAsia="Palatino Linotype" w:hAnsi="Palatino Linotype" w:cs="Palatino Linotype"/>
        </w:rPr>
        <w:t>, a lo cual se le d</w:t>
      </w:r>
      <w:r w:rsidR="00EE2E24" w:rsidRPr="0059151F">
        <w:rPr>
          <w:rFonts w:ascii="Palatino Linotype" w:eastAsia="Palatino Linotype" w:hAnsi="Palatino Linotype" w:cs="Palatino Linotype"/>
        </w:rPr>
        <w:t>io puntual</w:t>
      </w:r>
      <w:r w:rsidR="00A06A07" w:rsidRPr="0059151F">
        <w:rPr>
          <w:rFonts w:ascii="Palatino Linotype" w:eastAsia="Palatino Linotype" w:hAnsi="Palatino Linotype" w:cs="Palatino Linotype"/>
        </w:rPr>
        <w:t xml:space="preserve"> respuesta indicando las páginas electrónicas donde fue difundida dicha informaci</w:t>
      </w:r>
      <w:r w:rsidR="00EE2E24" w:rsidRPr="0059151F">
        <w:rPr>
          <w:rFonts w:ascii="Palatino Linotype" w:eastAsia="Palatino Linotype" w:hAnsi="Palatino Linotype" w:cs="Palatino Linotype"/>
        </w:rPr>
        <w:t>ón,</w:t>
      </w:r>
      <w:r w:rsidR="006B30CE" w:rsidRPr="0059151F">
        <w:rPr>
          <w:rFonts w:ascii="Palatino Linotype" w:eastAsia="Palatino Linotype" w:hAnsi="Palatino Linotype" w:cs="Palatino Linotype"/>
        </w:rPr>
        <w:t xml:space="preserve"> más a</w:t>
      </w:r>
      <w:r w:rsidR="00FD1E5D" w:rsidRPr="0059151F">
        <w:rPr>
          <w:rFonts w:ascii="Palatino Linotype" w:eastAsia="Palatino Linotype" w:hAnsi="Palatino Linotype" w:cs="Palatino Linotype"/>
        </w:rPr>
        <w:t xml:space="preserve">ún </w:t>
      </w:r>
      <w:r w:rsidR="00CB3967" w:rsidRPr="0059151F">
        <w:rPr>
          <w:rFonts w:ascii="Palatino Linotype" w:eastAsia="Palatino Linotype" w:hAnsi="Palatino Linotype" w:cs="Palatino Linotype"/>
        </w:rPr>
        <w:t xml:space="preserve">debe resaltarse el hecho de que </w:t>
      </w:r>
      <w:r w:rsidR="00FD1E5D" w:rsidRPr="0059151F">
        <w:rPr>
          <w:rFonts w:ascii="Palatino Linotype" w:eastAsia="Palatino Linotype" w:hAnsi="Palatino Linotype" w:cs="Palatino Linotype"/>
        </w:rPr>
        <w:t>este Instituto</w:t>
      </w:r>
      <w:r w:rsidR="006B30CE" w:rsidRPr="0059151F">
        <w:rPr>
          <w:rFonts w:ascii="Palatino Linotype" w:eastAsia="Palatino Linotype" w:hAnsi="Palatino Linotype" w:cs="Palatino Linotype"/>
        </w:rPr>
        <w:t xml:space="preserve"> al consultar las páginas de referencia sí pudo localizar la informaci</w:t>
      </w:r>
      <w:r w:rsidR="00CB3967" w:rsidRPr="0059151F">
        <w:rPr>
          <w:rFonts w:ascii="Palatino Linotype" w:eastAsia="Palatino Linotype" w:hAnsi="Palatino Linotype" w:cs="Palatino Linotype"/>
        </w:rPr>
        <w:t xml:space="preserve">ón solicitada, por lo que se tiene </w:t>
      </w:r>
      <w:r w:rsidR="00CB3967" w:rsidRPr="0059151F">
        <w:rPr>
          <w:rFonts w:ascii="Palatino Linotype" w:eastAsia="Palatino Linotype" w:hAnsi="Palatino Linotype" w:cs="Palatino Linotype"/>
        </w:rPr>
        <w:lastRenderedPageBreak/>
        <w:t>que con ello se colma</w:t>
      </w:r>
      <w:r w:rsidR="00EE2E24" w:rsidRPr="0059151F">
        <w:rPr>
          <w:rFonts w:ascii="Palatino Linotype" w:eastAsia="Palatino Linotype" w:hAnsi="Palatino Linotype" w:cs="Palatino Linotype"/>
        </w:rPr>
        <w:t xml:space="preserve"> el derecho de acceso a la informaci</w:t>
      </w:r>
      <w:r w:rsidR="003740CA" w:rsidRPr="0059151F">
        <w:rPr>
          <w:rFonts w:ascii="Palatino Linotype" w:eastAsia="Palatino Linotype" w:hAnsi="Palatino Linotype" w:cs="Palatino Linotype"/>
        </w:rPr>
        <w:t>ón</w:t>
      </w:r>
      <w:r w:rsidR="00BA292B" w:rsidRPr="0059151F">
        <w:rPr>
          <w:rFonts w:ascii="Palatino Linotype" w:eastAsia="Palatino Linotype" w:hAnsi="Palatino Linotype" w:cs="Palatino Linotype"/>
        </w:rPr>
        <w:t xml:space="preserve"> pública del particular</w:t>
      </w:r>
      <w:r w:rsidR="003740CA" w:rsidRPr="0059151F">
        <w:rPr>
          <w:rFonts w:ascii="Palatino Linotype" w:eastAsia="Palatino Linotype" w:hAnsi="Palatino Linotype" w:cs="Palatino Linotype"/>
        </w:rPr>
        <w:t xml:space="preserve">, aunado a que el </w:t>
      </w:r>
      <w:r w:rsidR="00BA292B" w:rsidRPr="0059151F">
        <w:rPr>
          <w:rFonts w:ascii="Palatino Linotype" w:eastAsia="Palatino Linotype" w:hAnsi="Palatino Linotype" w:cs="Palatino Linotype"/>
          <w:b/>
        </w:rPr>
        <w:t>Sujeto Obligado</w:t>
      </w:r>
      <w:r w:rsidR="00BA292B" w:rsidRPr="0059151F">
        <w:rPr>
          <w:rFonts w:ascii="Palatino Linotype" w:eastAsia="Palatino Linotype" w:hAnsi="Palatino Linotype" w:cs="Palatino Linotype"/>
        </w:rPr>
        <w:t>, no só</w:t>
      </w:r>
      <w:r w:rsidR="003740CA" w:rsidRPr="0059151F">
        <w:rPr>
          <w:rFonts w:ascii="Palatino Linotype" w:eastAsia="Palatino Linotype" w:hAnsi="Palatino Linotype" w:cs="Palatino Linotype"/>
        </w:rPr>
        <w:t xml:space="preserve">lo se limitó a indicarle las páginas de la publicación, </w:t>
      </w:r>
      <w:r w:rsidR="00BA292B" w:rsidRPr="0059151F">
        <w:rPr>
          <w:rFonts w:ascii="Palatino Linotype" w:eastAsia="Palatino Linotype" w:hAnsi="Palatino Linotype" w:cs="Palatino Linotype"/>
        </w:rPr>
        <w:t>sino</w:t>
      </w:r>
      <w:r w:rsidR="003740CA" w:rsidRPr="0059151F">
        <w:rPr>
          <w:rFonts w:ascii="Palatino Linotype" w:eastAsia="Palatino Linotype" w:hAnsi="Palatino Linotype" w:cs="Palatino Linotype"/>
        </w:rPr>
        <w:t xml:space="preserve"> que</w:t>
      </w:r>
      <w:r w:rsidR="00BA292B" w:rsidRPr="0059151F">
        <w:rPr>
          <w:rFonts w:ascii="Palatino Linotype" w:eastAsia="Palatino Linotype" w:hAnsi="Palatino Linotype" w:cs="Palatino Linotype"/>
        </w:rPr>
        <w:t xml:space="preserve"> además en apego al principio de máxima publicidad previsto por la normatividad, le remitió el documento en el que obra la “convocatoria o reglas de operación del programa social requerido por </w:t>
      </w:r>
      <w:r w:rsidR="00BA292B" w:rsidRPr="0059151F">
        <w:rPr>
          <w:rFonts w:ascii="Palatino Linotype" w:eastAsia="Palatino Linotype" w:hAnsi="Palatino Linotype" w:cs="Palatino Linotype"/>
          <w:b/>
        </w:rPr>
        <w:t>la parte Recurrente.</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 xml:space="preserve">Acotado lo anterior, del análisis a la respuesta proporcionada por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se desprenden los siguientes supuestos:</w:t>
      </w:r>
    </w:p>
    <w:p w:rsidR="00125E30" w:rsidRPr="0059151F" w:rsidRDefault="00474FF5">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i/>
          <w:color w:val="000000"/>
        </w:rPr>
      </w:pPr>
      <w:r w:rsidRPr="0059151F">
        <w:rPr>
          <w:rFonts w:ascii="Palatino Linotype" w:eastAsia="Palatino Linotype" w:hAnsi="Palatino Linotype" w:cs="Palatino Linotype"/>
          <w:color w:val="000000"/>
        </w:rPr>
        <w:t xml:space="preserve">Que la publicación de la convocatoria para la entrega de tinacos se realizó mediante la red social Facebook del gobierno de Atizapán de Zaragoza, el día 14 de marzo del año 2023 siendo las 12:22 horas. </w:t>
      </w:r>
    </w:p>
    <w:p w:rsidR="00125E30" w:rsidRPr="0059151F" w:rsidRDefault="00474FF5" w:rsidP="00474FF5">
      <w:pPr>
        <w:numPr>
          <w:ilvl w:val="0"/>
          <w:numId w:val="4"/>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color w:val="000000"/>
        </w:rPr>
      </w:pPr>
      <w:r w:rsidRPr="0059151F">
        <w:rPr>
          <w:rFonts w:ascii="Palatino Linotype" w:eastAsia="Palatino Linotype" w:hAnsi="Palatino Linotype" w:cs="Palatino Linotype"/>
          <w:color w:val="000000"/>
        </w:rPr>
        <w:t>Que si bien la Dirección de Desarrollo Social señaló que a la fecha de la solicitud ya no se encuentra la publicación toda vez que por el momento la página se encuentra cerrada por cuestiones de Veda Electoral, la Dirección de Innovación y Comunicación proporcionó dos direcciones electrónicas a efecto de realizar la consulta de la información; es de precisar que al consultar la información, se aprecia que la primera liga electrónica conduce al portal del H. Ayuntamiento de Atizapán de Zaragoza, mientras que la segunda liga electrónica dirige a la “convocatoria o  reglas de operación del programa municipal “Unidos en apoyo al desabasto de agua”.</w:t>
      </w:r>
    </w:p>
    <w:p w:rsidR="00125E30" w:rsidRPr="0059151F" w:rsidRDefault="00474FF5">
      <w:pPr>
        <w:numPr>
          <w:ilvl w:val="0"/>
          <w:numId w:val="4"/>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color w:val="000000"/>
        </w:rPr>
      </w:pPr>
      <w:r w:rsidRPr="0059151F">
        <w:rPr>
          <w:rFonts w:ascii="Palatino Linotype" w:eastAsia="Palatino Linotype" w:hAnsi="Palatino Linotype" w:cs="Palatino Linotype"/>
          <w:color w:val="000000"/>
        </w:rPr>
        <w:t xml:space="preserve">Que </w:t>
      </w:r>
      <w:r w:rsidR="00055BE0" w:rsidRPr="0059151F">
        <w:rPr>
          <w:rFonts w:ascii="Palatino Linotype" w:eastAsia="Palatino Linotype" w:hAnsi="Palatino Linotype" w:cs="Palatino Linotype"/>
          <w:color w:val="000000"/>
        </w:rPr>
        <w:t xml:space="preserve">en apego al principio de máxima publicidad, la Dirección de </w:t>
      </w:r>
      <w:r w:rsidRPr="0059151F">
        <w:rPr>
          <w:rFonts w:ascii="Palatino Linotype" w:eastAsia="Palatino Linotype" w:hAnsi="Palatino Linotype" w:cs="Palatino Linotype"/>
          <w:color w:val="000000"/>
        </w:rPr>
        <w:t xml:space="preserve">Innovación y Comunicación remitió el documento denominado </w:t>
      </w:r>
      <w:r w:rsidRPr="0059151F">
        <w:rPr>
          <w:rFonts w:ascii="Palatino Linotype" w:eastAsia="Palatino Linotype" w:hAnsi="Palatino Linotype" w:cs="Palatino Linotype"/>
          <w:color w:val="000000"/>
        </w:rPr>
        <w:lastRenderedPageBreak/>
        <w:t>“convocatoria o reglas de operación del programa municipal “Unidos en apoyo al desabasto de agua” el cual consiste en la convocatoria para postularse a la entrega de un tinaco con capacidad de 750 litros con accesorios de conexión.</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Teniendo en cuenta lo anterior, atendiendo a la materia de la solicitud</w:t>
      </w:r>
      <w:r w:rsidR="0055541F" w:rsidRPr="0059151F">
        <w:rPr>
          <w:rFonts w:ascii="Palatino Linotype" w:eastAsia="Palatino Linotype" w:hAnsi="Palatino Linotype" w:cs="Palatino Linotype"/>
        </w:rPr>
        <w:t>, como se señaló,</w:t>
      </w:r>
      <w:r w:rsidRPr="0059151F">
        <w:rPr>
          <w:rFonts w:ascii="Palatino Linotype" w:eastAsia="Palatino Linotype" w:hAnsi="Palatino Linotype" w:cs="Palatino Linotype"/>
        </w:rPr>
        <w:t xml:space="preserve"> este Organismo Garante procedió a realizar la consulta de la información publicada en las direcciones electrónicas proporcionadas por la Dirección de Innovación y Comunicación, donde se advirtió lo siguiente:</w:t>
      </w:r>
    </w:p>
    <w:p w:rsidR="00125E30" w:rsidRPr="0059151F" w:rsidRDefault="00474FF5">
      <w:pPr>
        <w:numPr>
          <w:ilvl w:val="0"/>
          <w:numId w:val="3"/>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color w:val="000000"/>
        </w:rPr>
      </w:pPr>
      <w:r w:rsidRPr="0059151F">
        <w:rPr>
          <w:rFonts w:ascii="Palatino Linotype" w:eastAsia="Palatino Linotype" w:hAnsi="Palatino Linotype" w:cs="Palatino Linotype"/>
          <w:b/>
          <w:color w:val="000000"/>
        </w:rPr>
        <w:t>Publicación de Facebook:</w:t>
      </w:r>
    </w:p>
    <w:p w:rsidR="00125E30" w:rsidRPr="0059151F" w:rsidRDefault="001F16FC">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color w:val="000000"/>
        </w:rPr>
      </w:pPr>
      <w:hyperlink r:id="rId11">
        <w:r w:rsidR="00474FF5" w:rsidRPr="0059151F">
          <w:rPr>
            <w:rFonts w:ascii="Palatino Linotype" w:eastAsia="Palatino Linotype" w:hAnsi="Palatino Linotype" w:cs="Palatino Linotype"/>
            <w:color w:val="0000FF"/>
            <w:u w:val="single"/>
          </w:rPr>
          <w:t>https://www.facebook.com/GobAtizapan</w:t>
        </w:r>
      </w:hyperlink>
      <w:r w:rsidR="00474FF5" w:rsidRPr="0059151F">
        <w:rPr>
          <w:rFonts w:ascii="Palatino Linotype" w:eastAsia="Palatino Linotype" w:hAnsi="Palatino Linotype" w:cs="Palatino Linotype"/>
          <w:color w:val="000000"/>
        </w:rPr>
        <w:t xml:space="preserve"> </w:t>
      </w:r>
    </w:p>
    <w:p w:rsidR="00125E30" w:rsidRPr="0059151F" w:rsidRDefault="00474FF5">
      <w:pPr>
        <w:pBdr>
          <w:top w:val="nil"/>
          <w:left w:val="nil"/>
          <w:bottom w:val="nil"/>
          <w:right w:val="nil"/>
          <w:between w:val="nil"/>
        </w:pBdr>
        <w:spacing w:before="240" w:after="240" w:line="360" w:lineRule="auto"/>
        <w:ind w:left="-284"/>
        <w:jc w:val="center"/>
        <w:rPr>
          <w:rFonts w:ascii="Palatino Linotype" w:eastAsia="Palatino Linotype" w:hAnsi="Palatino Linotype" w:cs="Palatino Linotype"/>
          <w:b/>
          <w:color w:val="000000"/>
        </w:rPr>
      </w:pPr>
      <w:r w:rsidRPr="0059151F">
        <w:rPr>
          <w:rFonts w:ascii="Palatino Linotype" w:eastAsia="Palatino Linotype" w:hAnsi="Palatino Linotype" w:cs="Palatino Linotype"/>
          <w:b/>
          <w:noProof/>
          <w:color w:val="000000"/>
          <w:lang w:val="es-MX"/>
        </w:rPr>
        <w:drawing>
          <wp:inline distT="0" distB="0" distL="0" distR="0">
            <wp:extent cx="4893106" cy="1832906"/>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893106" cy="1832906"/>
                    </a:xfrm>
                    <a:prstGeom prst="rect">
                      <a:avLst/>
                    </a:prstGeom>
                    <a:ln/>
                  </pic:spPr>
                </pic:pic>
              </a:graphicData>
            </a:graphic>
          </wp:inline>
        </w:drawing>
      </w:r>
    </w:p>
    <w:p w:rsidR="00125E30" w:rsidRPr="0059151F" w:rsidRDefault="00474FF5">
      <w:pPr>
        <w:numPr>
          <w:ilvl w:val="0"/>
          <w:numId w:val="3"/>
        </w:numPr>
        <w:pBdr>
          <w:top w:val="nil"/>
          <w:left w:val="nil"/>
          <w:bottom w:val="nil"/>
          <w:right w:val="nil"/>
          <w:between w:val="nil"/>
        </w:pBdr>
        <w:spacing w:before="240" w:after="240" w:line="360" w:lineRule="auto"/>
        <w:ind w:left="0" w:hanging="284"/>
        <w:jc w:val="both"/>
        <w:rPr>
          <w:rFonts w:ascii="Palatino Linotype" w:eastAsia="Palatino Linotype" w:hAnsi="Palatino Linotype" w:cs="Palatino Linotype"/>
          <w:b/>
          <w:color w:val="000000"/>
        </w:rPr>
      </w:pPr>
      <w:r w:rsidRPr="0059151F">
        <w:rPr>
          <w:rFonts w:ascii="Palatino Linotype" w:eastAsia="Palatino Linotype" w:hAnsi="Palatino Linotype" w:cs="Palatino Linotype"/>
          <w:b/>
          <w:color w:val="000000"/>
        </w:rPr>
        <w:t>Convocatoria o Reglas de operación del programa municipal “Unidos en apoyo al desabasto de agua”.</w:t>
      </w:r>
    </w:p>
    <w:p w:rsidR="00125E30" w:rsidRPr="0059151F" w:rsidRDefault="001F16FC">
      <w:pPr>
        <w:spacing w:before="240" w:after="240" w:line="360" w:lineRule="auto"/>
        <w:jc w:val="both"/>
        <w:rPr>
          <w:rFonts w:ascii="Palatino Linotype" w:eastAsia="Palatino Linotype" w:hAnsi="Palatino Linotype" w:cs="Palatino Linotype"/>
        </w:rPr>
      </w:pPr>
      <w:hyperlink r:id="rId13">
        <w:r w:rsidR="00474FF5" w:rsidRPr="0059151F">
          <w:rPr>
            <w:rFonts w:ascii="Palatino Linotype" w:eastAsia="Palatino Linotype" w:hAnsi="Palatino Linotype" w:cs="Palatino Linotype"/>
            <w:color w:val="0000FF"/>
            <w:u w:val="single"/>
          </w:rPr>
          <w:t>https://atizapan.gob.mx/wp-content/uploads/2023/03/CONVOCATORIA-Desabasto-de-agua.pdf</w:t>
        </w:r>
      </w:hyperlink>
      <w:r w:rsidR="00474FF5" w:rsidRPr="0059151F">
        <w:rPr>
          <w:rFonts w:ascii="Palatino Linotype" w:eastAsia="Palatino Linotype" w:hAnsi="Palatino Linotype" w:cs="Palatino Linotype"/>
        </w:rPr>
        <w:t xml:space="preserve"> </w:t>
      </w:r>
    </w:p>
    <w:p w:rsidR="00125E30" w:rsidRPr="0059151F" w:rsidRDefault="00474FF5">
      <w:pPr>
        <w:spacing w:before="240" w:after="240" w:line="360" w:lineRule="auto"/>
        <w:ind w:left="360"/>
        <w:jc w:val="center"/>
        <w:rPr>
          <w:rFonts w:ascii="Palatino Linotype" w:eastAsia="Palatino Linotype" w:hAnsi="Palatino Linotype" w:cs="Palatino Linotype"/>
        </w:rPr>
      </w:pPr>
      <w:r w:rsidRPr="0059151F">
        <w:rPr>
          <w:rFonts w:ascii="Palatino Linotype" w:eastAsia="Palatino Linotype" w:hAnsi="Palatino Linotype" w:cs="Palatino Linotype"/>
          <w:noProof/>
          <w:lang w:val="es-MX"/>
        </w:rPr>
        <w:lastRenderedPageBreak/>
        <w:drawing>
          <wp:inline distT="0" distB="0" distL="0" distR="0">
            <wp:extent cx="2309267" cy="2914371"/>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309267" cy="2914371"/>
                    </a:xfrm>
                    <a:prstGeom prst="rect">
                      <a:avLst/>
                    </a:prstGeom>
                    <a:ln/>
                  </pic:spPr>
                </pic:pic>
              </a:graphicData>
            </a:graphic>
          </wp:inline>
        </w:drawing>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Asimismo, una vez practicada una revisión exhaustiva a las reglas de operación del programa municipal “Unidos en apoyo al desabasto de agua”, se detectó que dentro de sus elementos componentes se hace referencia a circunstancias que regulan la propia operatividad del programa, tales como requisitos documentales, procedimiento, publicación de beneficiarios, entre otros, sirven de referencia las siguientes impresiones de pantalla:</w:t>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noProof/>
          <w:lang w:val="es-MX"/>
        </w:rPr>
        <w:lastRenderedPageBreak/>
        <w:drawing>
          <wp:inline distT="0" distB="0" distL="0" distR="0">
            <wp:extent cx="5581015" cy="3602355"/>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581015" cy="3602355"/>
                    </a:xfrm>
                    <a:prstGeom prst="rect">
                      <a:avLst/>
                    </a:prstGeom>
                    <a:ln/>
                  </pic:spPr>
                </pic:pic>
              </a:graphicData>
            </a:graphic>
          </wp:inline>
        </w:drawing>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noProof/>
          <w:lang w:val="es-MX"/>
        </w:rPr>
        <w:lastRenderedPageBreak/>
        <w:drawing>
          <wp:inline distT="0" distB="0" distL="0" distR="0">
            <wp:extent cx="5581015" cy="4465955"/>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581015" cy="4465955"/>
                    </a:xfrm>
                    <a:prstGeom prst="rect">
                      <a:avLst/>
                    </a:prstGeom>
                    <a:ln/>
                  </pic:spPr>
                </pic:pic>
              </a:graphicData>
            </a:graphic>
          </wp:inline>
        </w:drawing>
      </w:r>
    </w:p>
    <w:p w:rsidR="00125E30" w:rsidRPr="0059151F" w:rsidRDefault="00474FF5">
      <w:pPr>
        <w:spacing w:before="24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noProof/>
          <w:lang w:val="es-MX"/>
        </w:rPr>
        <w:lastRenderedPageBreak/>
        <w:drawing>
          <wp:inline distT="0" distB="0" distL="0" distR="0">
            <wp:extent cx="5581015" cy="4197350"/>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581015" cy="4197350"/>
                    </a:xfrm>
                    <a:prstGeom prst="rect">
                      <a:avLst/>
                    </a:prstGeom>
                    <a:ln/>
                  </pic:spPr>
                </pic:pic>
              </a:graphicData>
            </a:graphic>
          </wp:inline>
        </w:drawing>
      </w: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Es de resaltar el hecho de que el contenido de este documento consultado en la liga electrónica, es coincidente con lo que se aprecia en el archivo electrónico “</w:t>
      </w:r>
      <w:r w:rsidRPr="0059151F">
        <w:rPr>
          <w:rFonts w:ascii="Palatino Linotype" w:eastAsia="Palatino Linotype" w:hAnsi="Palatino Linotype" w:cs="Palatino Linotype"/>
          <w:b/>
          <w:i/>
        </w:rPr>
        <w:t xml:space="preserve">CONVOCATORIA-Desabasto-de-agua.pdf”, </w:t>
      </w:r>
      <w:r w:rsidRPr="0059151F">
        <w:rPr>
          <w:rFonts w:ascii="Palatino Linotype" w:eastAsia="Palatino Linotype" w:hAnsi="Palatino Linotype" w:cs="Palatino Linotype"/>
        </w:rPr>
        <w:t xml:space="preserve">pues en ambos se visualiza la “convocatoria o  reglas de operación del programa municipal “Unidos en apoyo al desabasto de agua”, por lo tanto, con la respuesta proporcionada por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xml:space="preserve">, </w:t>
      </w:r>
      <w:r w:rsidRPr="0059151F">
        <w:rPr>
          <w:rFonts w:ascii="Palatino Linotype" w:eastAsia="Palatino Linotype" w:hAnsi="Palatino Linotype" w:cs="Palatino Linotype"/>
          <w:b/>
        </w:rPr>
        <w:t xml:space="preserve">la parte Recurrente, </w:t>
      </w:r>
      <w:r w:rsidRPr="0059151F">
        <w:rPr>
          <w:rFonts w:ascii="Palatino Linotype" w:eastAsia="Palatino Linotype" w:hAnsi="Palatino Linotype" w:cs="Palatino Linotype"/>
        </w:rPr>
        <w:t xml:space="preserve">además de acceder a la convocatoria o Reglas de Operación del programa “Unidos en apoyo al desabasto de agua”, por medio de la liga electrónica proporcionada por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xml:space="preserve"> en respuesta, podrá advertir los elementos mínimos necesarios para acceder a los beneficios de este programa municipal.</w:t>
      </w:r>
    </w:p>
    <w:p w:rsidR="00125E30" w:rsidRPr="0059151F" w:rsidRDefault="00474FF5">
      <w:pPr>
        <w:spacing w:line="360" w:lineRule="auto"/>
        <w:jc w:val="both"/>
        <w:rPr>
          <w:rFonts w:ascii="Palatino Linotype" w:eastAsia="Palatino Linotype" w:hAnsi="Palatino Linotype" w:cs="Palatino Linotype"/>
        </w:rPr>
      </w:pPr>
      <w:bookmarkStart w:id="1" w:name="_heading=h.3znysh7" w:colFirst="0" w:colLast="0"/>
      <w:bookmarkEnd w:id="1"/>
      <w:r w:rsidRPr="0059151F">
        <w:rPr>
          <w:rFonts w:ascii="Palatino Linotype" w:eastAsia="Palatino Linotype" w:hAnsi="Palatino Linotype" w:cs="Palatino Linotype"/>
        </w:rPr>
        <w:lastRenderedPageBreak/>
        <w:t xml:space="preserve">Aunado a lo anterior, es de precisar que para reforzar dicho argumento, este Organismo Garante procedió a consultar la red social oficial del Ayuntamiento de Atizapán de Zaragoza en Twitter, obteniendo así una publicación de en la que se difunde el programa “Unidos en apoyo al desabasto de agua”, asimismo insta a consultar las Reglas de Operación del programa social en referencia mismas que se reitera, fueron proporcionadas en respuesta por 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w:t>
      </w: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noProof/>
          <w:lang w:val="es-MX"/>
        </w:rPr>
        <w:drawing>
          <wp:inline distT="0" distB="0" distL="0" distR="0">
            <wp:extent cx="5394107" cy="4904348"/>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394107" cy="4904348"/>
                    </a:xfrm>
                    <a:prstGeom prst="rect">
                      <a:avLst/>
                    </a:prstGeom>
                    <a:ln/>
                  </pic:spPr>
                </pic:pic>
              </a:graphicData>
            </a:graphic>
          </wp:inline>
        </w:drawing>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lastRenderedPageBreak/>
        <w:t xml:space="preserve">Es por lo anterior que este Organismo Garante estima que al hacer entrega de un documento que da cuenta de la dirección electrónica donde se encuentra publicada la información, así como las reglas de operación en las que se detallan los requisitos mínimos para la obtención de este apoyo en especie, se colma lo peticionado en la solicitud de información, en ese sentido, debe resaltarse que el derecho de acceso a la información pública se satisface en aquellos casos en que se entregue el soporte documental en que conste la información pública, sin la necesidad de elaborar documentos </w:t>
      </w:r>
      <w:r w:rsidRPr="0059151F">
        <w:rPr>
          <w:rFonts w:ascii="Palatino Linotype" w:eastAsia="Palatino Linotype" w:hAnsi="Palatino Linotype" w:cs="Palatino Linotype"/>
          <w:i/>
        </w:rPr>
        <w:t>ad hoc</w:t>
      </w:r>
      <w:r w:rsidRPr="0059151F">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otorgar acceso a los documentos que se encuentren en sus archivos o que estén obligados a documentar de acuerdo con sus facultades, competencias o funciones en el formato que el solicitante manifieste, aunado a esto los sujetos obligados deberán entregar la información que obre en sus archivos, tal como lo establecen los artículos 12, 24 y 166 primer párrafo de la Ley de Transparencia Local, mismos que se insertan a continuación:</w:t>
      </w:r>
    </w:p>
    <w:p w:rsidR="00125E30" w:rsidRPr="0059151F" w:rsidRDefault="00125E30">
      <w:pPr>
        <w:spacing w:line="360" w:lineRule="auto"/>
        <w:jc w:val="both"/>
        <w:rPr>
          <w:rFonts w:ascii="Palatino Linotype" w:eastAsia="Palatino Linotype" w:hAnsi="Palatino Linotype" w:cs="Palatino Linotype"/>
        </w:rPr>
      </w:pPr>
    </w:p>
    <w:p w:rsidR="00125E30" w:rsidRPr="0059151F" w:rsidRDefault="00474FF5">
      <w:pPr>
        <w:spacing w:line="276" w:lineRule="auto"/>
        <w:ind w:left="567" w:right="851"/>
        <w:jc w:val="both"/>
        <w:rPr>
          <w:rFonts w:ascii="Palatino Linotype" w:eastAsia="Palatino Linotype" w:hAnsi="Palatino Linotype" w:cs="Palatino Linotype"/>
          <w:b/>
          <w:i/>
          <w:sz w:val="22"/>
          <w:szCs w:val="22"/>
        </w:rPr>
      </w:pPr>
      <w:r w:rsidRPr="0059151F">
        <w:rPr>
          <w:rFonts w:ascii="Palatino Linotype" w:eastAsia="Palatino Linotype" w:hAnsi="Palatino Linotype" w:cs="Palatino Linotype"/>
          <w:i/>
          <w:sz w:val="22"/>
          <w:szCs w:val="22"/>
        </w:rPr>
        <w:t>“</w:t>
      </w:r>
      <w:r w:rsidRPr="0059151F">
        <w:rPr>
          <w:rFonts w:ascii="Palatino Linotype" w:eastAsia="Palatino Linotype" w:hAnsi="Palatino Linotype" w:cs="Palatino Linotype"/>
          <w:b/>
          <w:i/>
          <w:sz w:val="22"/>
          <w:szCs w:val="22"/>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rsidR="00125E30" w:rsidRPr="0059151F" w:rsidRDefault="00474FF5">
      <w:pPr>
        <w:spacing w:line="276" w:lineRule="auto"/>
        <w:ind w:left="567" w:right="851"/>
        <w:jc w:val="both"/>
        <w:rPr>
          <w:rFonts w:ascii="Palatino Linotype" w:eastAsia="Palatino Linotype" w:hAnsi="Palatino Linotype" w:cs="Palatino Linotype"/>
          <w:b/>
          <w:i/>
          <w:sz w:val="22"/>
          <w:szCs w:val="22"/>
        </w:rPr>
      </w:pPr>
      <w:r w:rsidRPr="0059151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125E30" w:rsidRPr="0059151F" w:rsidRDefault="00474FF5">
      <w:pPr>
        <w:spacing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w:t>
      </w:r>
    </w:p>
    <w:p w:rsidR="00125E30" w:rsidRPr="0059151F" w:rsidRDefault="00474FF5">
      <w:pPr>
        <w:spacing w:line="276" w:lineRule="auto"/>
        <w:ind w:left="567" w:right="851"/>
        <w:jc w:val="both"/>
        <w:rPr>
          <w:rFonts w:ascii="Palatino Linotype" w:eastAsia="Palatino Linotype" w:hAnsi="Palatino Linotype" w:cs="Palatino Linotype"/>
          <w:b/>
          <w:i/>
          <w:sz w:val="22"/>
          <w:szCs w:val="22"/>
        </w:rPr>
      </w:pPr>
      <w:r w:rsidRPr="0059151F">
        <w:rPr>
          <w:rFonts w:ascii="Palatino Linotype" w:eastAsia="Palatino Linotype" w:hAnsi="Palatino Linotype" w:cs="Palatino Linotype"/>
          <w:b/>
          <w:i/>
          <w:sz w:val="22"/>
          <w:szCs w:val="22"/>
        </w:rPr>
        <w:lastRenderedPageBreak/>
        <w:t>Artículo 24</w:t>
      </w:r>
    </w:p>
    <w:p w:rsidR="00125E30" w:rsidRPr="0059151F" w:rsidRDefault="00474FF5">
      <w:pPr>
        <w:spacing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w:t>
      </w:r>
    </w:p>
    <w:p w:rsidR="00125E30" w:rsidRPr="0059151F" w:rsidRDefault="00474FF5">
      <w:pPr>
        <w:spacing w:line="276" w:lineRule="auto"/>
        <w:ind w:left="567" w:right="851"/>
        <w:jc w:val="both"/>
        <w:rPr>
          <w:rFonts w:ascii="Palatino Linotype" w:eastAsia="Palatino Linotype" w:hAnsi="Palatino Linotype" w:cs="Palatino Linotype"/>
          <w:b/>
          <w:i/>
          <w:sz w:val="22"/>
          <w:szCs w:val="22"/>
        </w:rPr>
      </w:pPr>
      <w:r w:rsidRPr="0059151F">
        <w:rPr>
          <w:rFonts w:ascii="Palatino Linotype" w:eastAsia="Palatino Linotype" w:hAnsi="Palatino Linotype" w:cs="Palatino Linotype"/>
          <w:b/>
          <w:i/>
          <w:sz w:val="22"/>
          <w:szCs w:val="22"/>
        </w:rPr>
        <w:t>Los sujetos obligados solo proporcionarán la información pública que generen, administren o posean en el ejercicio de sus atribuciones.</w:t>
      </w:r>
    </w:p>
    <w:p w:rsidR="00125E30" w:rsidRPr="0059151F" w:rsidRDefault="00474FF5">
      <w:pPr>
        <w:spacing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i/>
          <w:sz w:val="22"/>
          <w:szCs w:val="22"/>
        </w:rPr>
        <w:t>…</w:t>
      </w:r>
    </w:p>
    <w:p w:rsidR="00125E30" w:rsidRPr="0059151F" w:rsidRDefault="00474FF5">
      <w:pPr>
        <w:spacing w:line="276" w:lineRule="auto"/>
        <w:ind w:left="567" w:right="851"/>
        <w:jc w:val="both"/>
        <w:rPr>
          <w:rFonts w:ascii="Palatino Linotype" w:eastAsia="Palatino Linotype" w:hAnsi="Palatino Linotype" w:cs="Palatino Linotype"/>
          <w:i/>
          <w:sz w:val="22"/>
          <w:szCs w:val="22"/>
        </w:rPr>
      </w:pPr>
      <w:r w:rsidRPr="0059151F">
        <w:rPr>
          <w:rFonts w:ascii="Palatino Linotype" w:eastAsia="Palatino Linotype" w:hAnsi="Palatino Linotype" w:cs="Palatino Linotype"/>
          <w:b/>
          <w:i/>
          <w:sz w:val="22"/>
          <w:szCs w:val="22"/>
        </w:rPr>
        <w:t>Artículo 166. La obligación de acceso a la información pública se tendrá por cumplida cuando el solicitante tenga a su disposición la información requerida, o cuando realice la consulta de la misma en el lugar en el que ésta se localice</w:t>
      </w:r>
      <w:r w:rsidRPr="0059151F">
        <w:rPr>
          <w:rFonts w:ascii="Palatino Linotype" w:eastAsia="Palatino Linotype" w:hAnsi="Palatino Linotype" w:cs="Palatino Linotype"/>
          <w:i/>
          <w:sz w:val="22"/>
          <w:szCs w:val="22"/>
        </w:rPr>
        <w:t>.” (Sic) (Énfasis añadido)</w:t>
      </w:r>
    </w:p>
    <w:p w:rsidR="00125E30" w:rsidRPr="0059151F" w:rsidRDefault="00125E30">
      <w:pPr>
        <w:spacing w:line="360" w:lineRule="auto"/>
        <w:ind w:right="49"/>
        <w:jc w:val="both"/>
        <w:rPr>
          <w:rFonts w:ascii="Palatino Linotype" w:eastAsia="Palatino Linotype" w:hAnsi="Palatino Linotype" w:cs="Palatino Linotype"/>
        </w:rPr>
      </w:pPr>
    </w:p>
    <w:p w:rsidR="00125E30" w:rsidRPr="0059151F" w:rsidRDefault="00474FF5">
      <w:pPr>
        <w:spacing w:line="360" w:lineRule="auto"/>
        <w:ind w:right="49"/>
        <w:jc w:val="both"/>
        <w:rPr>
          <w:rFonts w:ascii="Palatino Linotype" w:eastAsia="Palatino Linotype" w:hAnsi="Palatino Linotype" w:cs="Palatino Linotype"/>
          <w:color w:val="FF0000"/>
        </w:rPr>
      </w:pPr>
      <w:r w:rsidRPr="0059151F">
        <w:rPr>
          <w:rFonts w:ascii="Palatino Linotype" w:eastAsia="Palatino Linotype" w:hAnsi="Palatino Linotype" w:cs="Palatino Linotype"/>
        </w:rPr>
        <w:t xml:space="preserve">Es por todo lo expuesto anteriormente que se determina que desde la respuesta a la solicitud de información, el </w:t>
      </w:r>
      <w:r w:rsidRPr="0059151F">
        <w:rPr>
          <w:rFonts w:ascii="Palatino Linotype" w:eastAsia="Palatino Linotype" w:hAnsi="Palatino Linotype" w:cs="Palatino Linotype"/>
          <w:b/>
        </w:rPr>
        <w:t xml:space="preserve">Sujeto Obligado </w:t>
      </w:r>
      <w:r w:rsidRPr="0059151F">
        <w:rPr>
          <w:rFonts w:ascii="Palatino Linotype" w:eastAsia="Palatino Linotype" w:hAnsi="Palatino Linotype" w:cs="Palatino Linotype"/>
        </w:rPr>
        <w:t>la atendió a</w:t>
      </w:r>
      <w:r w:rsidRPr="0059151F">
        <w:rPr>
          <w:rFonts w:ascii="Palatino Linotype" w:eastAsia="Palatino Linotype" w:hAnsi="Palatino Linotype" w:cs="Palatino Linotype"/>
          <w:b/>
        </w:rPr>
        <w:t xml:space="preserve"> </w:t>
      </w:r>
      <w:r w:rsidRPr="0059151F">
        <w:rPr>
          <w:rFonts w:ascii="Palatino Linotype" w:eastAsia="Palatino Linotype" w:hAnsi="Palatino Linotype" w:cs="Palatino Linotype"/>
        </w:rPr>
        <w:t xml:space="preserve">cabalidad proporcionando </w:t>
      </w:r>
      <w:r w:rsidRPr="0059151F">
        <w:rPr>
          <w:rFonts w:ascii="Palatino Linotype" w:eastAsia="Palatino Linotype" w:hAnsi="Palatino Linotype" w:cs="Palatino Linotype"/>
          <w:b/>
          <w:u w:val="single"/>
        </w:rPr>
        <w:t>el soporte documental en el que</w:t>
      </w:r>
      <w:r w:rsidRPr="0059151F">
        <w:rPr>
          <w:rFonts w:ascii="Palatino Linotype" w:eastAsia="Palatino Linotype" w:hAnsi="Palatino Linotype" w:cs="Palatino Linotype"/>
          <w:b/>
        </w:rPr>
        <w:t xml:space="preserve"> </w:t>
      </w:r>
      <w:r w:rsidRPr="0059151F">
        <w:rPr>
          <w:rFonts w:ascii="Palatino Linotype" w:eastAsia="Palatino Linotype" w:hAnsi="Palatino Linotype" w:cs="Palatino Linotype"/>
        </w:rPr>
        <w:t xml:space="preserve">da cuenta de la dirección electrónica donde se encuentra publicada la información, </w:t>
      </w:r>
      <w:r w:rsidRPr="0059151F">
        <w:rPr>
          <w:rFonts w:ascii="Palatino Linotype" w:eastAsia="Palatino Linotype" w:hAnsi="Palatino Linotype" w:cs="Palatino Linotype"/>
          <w:b/>
          <w:u w:val="single"/>
        </w:rPr>
        <w:t>donde obran las reglas de operación del</w:t>
      </w:r>
      <w:r w:rsidRPr="0059151F">
        <w:rPr>
          <w:rFonts w:ascii="Palatino Linotype" w:eastAsia="Palatino Linotype" w:hAnsi="Palatino Linotype" w:cs="Palatino Linotype"/>
          <w:u w:val="single"/>
        </w:rPr>
        <w:t xml:space="preserve"> </w:t>
      </w:r>
      <w:r w:rsidRPr="0059151F">
        <w:rPr>
          <w:rFonts w:ascii="Palatino Linotype" w:eastAsia="Palatino Linotype" w:hAnsi="Palatino Linotype" w:cs="Palatino Linotype"/>
          <w:b/>
          <w:u w:val="single"/>
        </w:rPr>
        <w:t>programa municipal “Unidos en apoyo al desabasto de agua”, mismo que consiste en la entrega de un tinaco de 750 litros con accesorios de conexión</w:t>
      </w:r>
      <w:r w:rsidRPr="0059151F">
        <w:rPr>
          <w:rFonts w:ascii="Palatino Linotype" w:eastAsia="Palatino Linotype" w:hAnsi="Palatino Linotype" w:cs="Palatino Linotype"/>
        </w:rPr>
        <w:t xml:space="preserve">, precisando que de la respuesta proporcionada por la Dirección de Desarrollo Social, y la Dirección de Innovación y Comunicación, como áreas competentes, se colige que la publicación de la convocatoria correspondiente se realizó a través de medios electrónicos, información que es coincidente con la materia de la solicitud, por lo tanto, lo procedente para este Organismo Garante es confirmar la respuesta del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color w:val="000000"/>
        </w:rPr>
        <w:t xml:space="preserve">. </w:t>
      </w:r>
    </w:p>
    <w:p w:rsidR="00125E30" w:rsidRPr="0059151F" w:rsidRDefault="00474FF5">
      <w:pPr>
        <w:spacing w:before="80" w:after="240"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rPr>
        <w:t>Así, con fundamento en lo prescrito en los</w:t>
      </w:r>
      <w:r w:rsidRPr="0059151F">
        <w:t xml:space="preserve"> </w:t>
      </w:r>
      <w:r w:rsidRPr="0059151F">
        <w:rPr>
          <w:rFonts w:ascii="Palatino Linotype" w:eastAsia="Palatino Linotype" w:hAnsi="Palatino Linotype" w:cs="Palatino Linotype"/>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125E30" w:rsidRPr="0059151F" w:rsidRDefault="00474FF5">
      <w:pPr>
        <w:spacing w:line="259" w:lineRule="auto"/>
        <w:ind w:left="-142" w:right="49"/>
        <w:jc w:val="center"/>
        <w:rPr>
          <w:rFonts w:ascii="Palatino Linotype" w:eastAsia="Palatino Linotype" w:hAnsi="Palatino Linotype" w:cs="Palatino Linotype"/>
          <w:b/>
          <w:sz w:val="28"/>
          <w:szCs w:val="28"/>
        </w:rPr>
      </w:pPr>
      <w:bookmarkStart w:id="2" w:name="_heading=h.gjdgxs" w:colFirst="0" w:colLast="0"/>
      <w:bookmarkEnd w:id="2"/>
      <w:r w:rsidRPr="0059151F">
        <w:rPr>
          <w:rFonts w:ascii="Palatino Linotype" w:eastAsia="Palatino Linotype" w:hAnsi="Palatino Linotype" w:cs="Palatino Linotype"/>
          <w:b/>
          <w:sz w:val="28"/>
          <w:szCs w:val="28"/>
        </w:rPr>
        <w:lastRenderedPageBreak/>
        <w:t>R E S U E L V E:</w:t>
      </w:r>
    </w:p>
    <w:p w:rsidR="00125E30" w:rsidRPr="0059151F" w:rsidRDefault="00125E30">
      <w:pPr>
        <w:spacing w:line="259" w:lineRule="auto"/>
        <w:ind w:left="-142" w:right="49"/>
        <w:jc w:val="center"/>
        <w:rPr>
          <w:rFonts w:ascii="Palatino Linotype" w:eastAsia="Palatino Linotype" w:hAnsi="Palatino Linotype" w:cs="Palatino Linotype"/>
          <w:b/>
          <w:sz w:val="28"/>
          <w:szCs w:val="28"/>
        </w:rPr>
      </w:pPr>
    </w:p>
    <w:p w:rsidR="00125E30" w:rsidRPr="0059151F" w:rsidRDefault="00474FF5">
      <w:pPr>
        <w:spacing w:line="360" w:lineRule="auto"/>
        <w:jc w:val="both"/>
      </w:pPr>
      <w:bookmarkStart w:id="3" w:name="_heading=h.1fob9te" w:colFirst="0" w:colLast="0"/>
      <w:bookmarkEnd w:id="3"/>
      <w:r w:rsidRPr="0059151F">
        <w:rPr>
          <w:rFonts w:ascii="Palatino Linotype" w:eastAsia="Palatino Linotype" w:hAnsi="Palatino Linotype" w:cs="Palatino Linotype"/>
          <w:b/>
        </w:rPr>
        <w:t>Primero.</w:t>
      </w:r>
      <w:r w:rsidRPr="0059151F">
        <w:rPr>
          <w:rFonts w:ascii="Palatino Linotype" w:eastAsia="Palatino Linotype" w:hAnsi="Palatino Linotype" w:cs="Palatino Linotype"/>
        </w:rPr>
        <w:t xml:space="preserve"> Resultan </w:t>
      </w:r>
      <w:r w:rsidRPr="0059151F">
        <w:rPr>
          <w:rFonts w:ascii="Palatino Linotype" w:eastAsia="Palatino Linotype" w:hAnsi="Palatino Linotype" w:cs="Palatino Linotype"/>
          <w:b/>
          <w:color w:val="000000"/>
        </w:rPr>
        <w:t>infundados</w:t>
      </w:r>
      <w:r w:rsidRPr="0059151F">
        <w:rPr>
          <w:rFonts w:ascii="Palatino Linotype" w:eastAsia="Palatino Linotype" w:hAnsi="Palatino Linotype" w:cs="Palatino Linotype"/>
          <w:color w:val="000000"/>
        </w:rPr>
        <w:t xml:space="preserve"> </w:t>
      </w:r>
      <w:r w:rsidRPr="0059151F">
        <w:rPr>
          <w:rFonts w:ascii="Palatino Linotype" w:eastAsia="Palatino Linotype" w:hAnsi="Palatino Linotype" w:cs="Palatino Linotype"/>
        </w:rPr>
        <w:t xml:space="preserve">los motivos de inconformidad aducidos por </w:t>
      </w:r>
      <w:r w:rsidRPr="0059151F">
        <w:rPr>
          <w:rFonts w:ascii="Palatino Linotype" w:eastAsia="Palatino Linotype" w:hAnsi="Palatino Linotype" w:cs="Palatino Linotype"/>
          <w:b/>
        </w:rPr>
        <w:t>la parte</w:t>
      </w:r>
      <w:r w:rsidRPr="0059151F">
        <w:rPr>
          <w:rFonts w:ascii="Palatino Linotype" w:eastAsia="Palatino Linotype" w:hAnsi="Palatino Linotype" w:cs="Palatino Linotype"/>
        </w:rPr>
        <w:t xml:space="preserve"> </w:t>
      </w:r>
      <w:r w:rsidRPr="0059151F">
        <w:rPr>
          <w:rFonts w:ascii="Palatino Linotype" w:eastAsia="Palatino Linotype" w:hAnsi="Palatino Linotype" w:cs="Palatino Linotype"/>
          <w:b/>
        </w:rPr>
        <w:t>Recurrente</w:t>
      </w:r>
      <w:r w:rsidRPr="0059151F">
        <w:rPr>
          <w:rFonts w:ascii="Palatino Linotype" w:eastAsia="Palatino Linotype" w:hAnsi="Palatino Linotype" w:cs="Palatino Linotype"/>
        </w:rPr>
        <w:t xml:space="preserve"> en el recurso de revisión </w:t>
      </w:r>
      <w:r w:rsidRPr="0059151F">
        <w:rPr>
          <w:rFonts w:ascii="Palatino Linotype" w:eastAsia="Palatino Linotype" w:hAnsi="Palatino Linotype" w:cs="Palatino Linotype"/>
          <w:b/>
        </w:rPr>
        <w:t>02279/INFOEM/IP/RR/2023</w:t>
      </w:r>
      <w:r w:rsidRPr="0059151F">
        <w:rPr>
          <w:rFonts w:ascii="Palatino Linotype" w:eastAsia="Palatino Linotype" w:hAnsi="Palatino Linotype" w:cs="Palatino Linotype"/>
        </w:rPr>
        <w:t xml:space="preserve">; por lo que, en términos de los argumentos señalados en el Considerando Cuarto, se </w:t>
      </w:r>
      <w:r w:rsidRPr="0059151F">
        <w:rPr>
          <w:rFonts w:ascii="Palatino Linotype" w:eastAsia="Palatino Linotype" w:hAnsi="Palatino Linotype" w:cs="Palatino Linotype"/>
          <w:b/>
        </w:rPr>
        <w:t>CONFIRMA</w:t>
      </w:r>
      <w:r w:rsidRPr="0059151F">
        <w:rPr>
          <w:rFonts w:ascii="Palatino Linotype" w:eastAsia="Palatino Linotype" w:hAnsi="Palatino Linotype" w:cs="Palatino Linotype"/>
        </w:rPr>
        <w:t xml:space="preserve"> la respuesta emitida por el </w:t>
      </w:r>
      <w:r w:rsidRPr="0059151F">
        <w:rPr>
          <w:rFonts w:ascii="Palatino Linotype" w:eastAsia="Palatino Linotype" w:hAnsi="Palatino Linotype" w:cs="Palatino Linotype"/>
          <w:b/>
        </w:rPr>
        <w:t>Sujeto Obligado.</w:t>
      </w:r>
    </w:p>
    <w:p w:rsidR="00125E30" w:rsidRPr="0059151F" w:rsidRDefault="00125E30">
      <w:pPr>
        <w:spacing w:line="360" w:lineRule="auto"/>
      </w:pPr>
    </w:p>
    <w:p w:rsidR="00125E30" w:rsidRPr="0059151F" w:rsidRDefault="00474FF5">
      <w:pPr>
        <w:spacing w:line="360" w:lineRule="auto"/>
        <w:jc w:val="both"/>
      </w:pPr>
      <w:r w:rsidRPr="0059151F">
        <w:rPr>
          <w:rFonts w:ascii="Palatino Linotype" w:eastAsia="Palatino Linotype" w:hAnsi="Palatino Linotype" w:cs="Palatino Linotype"/>
          <w:b/>
        </w:rPr>
        <w:t>Segundo</w:t>
      </w:r>
      <w:r w:rsidRPr="0059151F">
        <w:rPr>
          <w:rFonts w:ascii="Palatino Linotype" w:eastAsia="Palatino Linotype" w:hAnsi="Palatino Linotype" w:cs="Palatino Linotype"/>
        </w:rPr>
        <w:t xml:space="preserve">. Notifíquese, vía </w:t>
      </w:r>
      <w:r w:rsidRPr="0059151F">
        <w:rPr>
          <w:rFonts w:ascii="Palatino Linotype" w:eastAsia="Palatino Linotype" w:hAnsi="Palatino Linotype" w:cs="Palatino Linotype"/>
          <w:b/>
        </w:rPr>
        <w:t>SAIMEX</w:t>
      </w:r>
      <w:r w:rsidRPr="0059151F">
        <w:rPr>
          <w:rFonts w:ascii="Palatino Linotype" w:eastAsia="Palatino Linotype" w:hAnsi="Palatino Linotype" w:cs="Palatino Linotype"/>
        </w:rPr>
        <w:t xml:space="preserve">, al  Titular  de la Unidad de Transparencia del </w:t>
      </w:r>
      <w:r w:rsidRPr="0059151F">
        <w:rPr>
          <w:rFonts w:ascii="Palatino Linotype" w:eastAsia="Palatino Linotype" w:hAnsi="Palatino Linotype" w:cs="Palatino Linotype"/>
          <w:b/>
        </w:rPr>
        <w:t>Sujeto Obligado</w:t>
      </w:r>
      <w:r w:rsidRPr="0059151F">
        <w:rPr>
          <w:rFonts w:ascii="Palatino Linotype" w:eastAsia="Palatino Linotype" w:hAnsi="Palatino Linotype" w:cs="Palatino Linotype"/>
        </w:rPr>
        <w:t>, la presente resolución para su conocimiento.</w:t>
      </w:r>
    </w:p>
    <w:p w:rsidR="00125E30" w:rsidRPr="0059151F" w:rsidRDefault="00125E30">
      <w:pPr>
        <w:spacing w:line="360" w:lineRule="auto"/>
      </w:pPr>
    </w:p>
    <w:p w:rsidR="00125E30" w:rsidRPr="0059151F" w:rsidRDefault="00474FF5">
      <w:pPr>
        <w:spacing w:line="360" w:lineRule="auto"/>
        <w:jc w:val="both"/>
        <w:rPr>
          <w:rFonts w:ascii="Palatino Linotype" w:eastAsia="Palatino Linotype" w:hAnsi="Palatino Linotype" w:cs="Palatino Linotype"/>
        </w:rPr>
      </w:pPr>
      <w:r w:rsidRPr="0059151F">
        <w:rPr>
          <w:rFonts w:ascii="Palatino Linotype" w:eastAsia="Palatino Linotype" w:hAnsi="Palatino Linotype" w:cs="Palatino Linotype"/>
          <w:b/>
        </w:rPr>
        <w:t xml:space="preserve">Tercero.  Notifíquese, </w:t>
      </w:r>
      <w:r w:rsidRPr="0059151F">
        <w:rPr>
          <w:rFonts w:ascii="Palatino Linotype" w:eastAsia="Palatino Linotype" w:hAnsi="Palatino Linotype" w:cs="Palatino Linotype"/>
        </w:rPr>
        <w:t xml:space="preserve">a </w:t>
      </w:r>
      <w:r w:rsidRPr="0059151F">
        <w:rPr>
          <w:rFonts w:ascii="Palatino Linotype" w:eastAsia="Palatino Linotype" w:hAnsi="Palatino Linotype" w:cs="Palatino Linotype"/>
          <w:b/>
        </w:rPr>
        <w:t>la parte</w:t>
      </w:r>
      <w:r w:rsidRPr="0059151F">
        <w:rPr>
          <w:rFonts w:ascii="Palatino Linotype" w:eastAsia="Palatino Linotype" w:hAnsi="Palatino Linotype" w:cs="Palatino Linotype"/>
        </w:rPr>
        <w:t xml:space="preserve"> </w:t>
      </w:r>
      <w:r w:rsidRPr="0059151F">
        <w:rPr>
          <w:rFonts w:ascii="Palatino Linotype" w:eastAsia="Palatino Linotype" w:hAnsi="Palatino Linotype" w:cs="Palatino Linotype"/>
          <w:b/>
        </w:rPr>
        <w:t>Recurrente</w:t>
      </w:r>
      <w:r w:rsidRPr="0059151F">
        <w:rPr>
          <w:rFonts w:ascii="Palatino Linotype" w:eastAsia="Palatino Linotype" w:hAnsi="Palatino Linotype" w:cs="Palatino Linotype"/>
        </w:rPr>
        <w:t xml:space="preserve"> la presente resolución vía </w:t>
      </w:r>
      <w:r w:rsidRPr="0059151F">
        <w:rPr>
          <w:rFonts w:ascii="Palatino Linotype" w:eastAsia="Palatino Linotype" w:hAnsi="Palatino Linotype" w:cs="Palatino Linotype"/>
          <w:b/>
        </w:rPr>
        <w:t>SAIMEX</w:t>
      </w:r>
      <w:r w:rsidRPr="0059151F">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125E30" w:rsidRDefault="00474FF5">
      <w:pPr>
        <w:widowControl w:val="0"/>
        <w:tabs>
          <w:tab w:val="left" w:pos="1701"/>
        </w:tabs>
        <w:spacing w:before="240" w:after="240" w:line="360" w:lineRule="auto"/>
        <w:ind w:right="49"/>
        <w:jc w:val="both"/>
        <w:rPr>
          <w:rFonts w:ascii="Palatino Linotype" w:eastAsia="Palatino Linotype" w:hAnsi="Palatino Linotype" w:cs="Palatino Linotype"/>
          <w:color w:val="222222"/>
        </w:rPr>
        <w:sectPr w:rsidR="00125E30">
          <w:headerReference w:type="default" r:id="rId19"/>
          <w:footerReference w:type="default" r:id="rId20"/>
          <w:headerReference w:type="first" r:id="rId21"/>
          <w:footerReference w:type="first" r:id="rId22"/>
          <w:pgSz w:w="12240" w:h="15840"/>
          <w:pgMar w:top="1417" w:right="1750" w:bottom="1417" w:left="1701" w:header="709" w:footer="709" w:gutter="0"/>
          <w:pgNumType w:start="1"/>
          <w:cols w:space="720"/>
          <w:titlePg/>
        </w:sectPr>
      </w:pPr>
      <w:bookmarkStart w:id="4" w:name="_heading=h.30j0zll" w:colFirst="0" w:colLast="0"/>
      <w:bookmarkEnd w:id="4"/>
      <w:r w:rsidRPr="0059151F">
        <w:rPr>
          <w:rFonts w:ascii="Palatino Linotype" w:eastAsia="Palatino Linotype" w:hAnsi="Palatino Linotype" w:cs="Palatino Linotype"/>
        </w:rPr>
        <w:t xml:space="preserve">ASÍ LO RESUELVE, </w:t>
      </w:r>
      <w:r w:rsidRPr="0059151F">
        <w:rPr>
          <w:rFonts w:ascii="Palatino Linotype" w:eastAsia="Palatino Linotype" w:hAnsi="Palatino Linotype" w:cs="Palatino Linotype"/>
          <w:color w:val="000000"/>
        </w:rPr>
        <w:t xml:space="preserve">POR UNANIMIDAD </w:t>
      </w:r>
      <w:r w:rsidRPr="0059151F">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w:t>
      </w:r>
      <w:r w:rsidR="00B473EF" w:rsidRPr="0059151F">
        <w:rPr>
          <w:rFonts w:ascii="Palatino Linotype" w:eastAsia="Palatino Linotype" w:hAnsi="Palatino Linotype" w:cs="Palatino Linotype"/>
        </w:rPr>
        <w:t>MÍREZ PEÑA; EN LA TRIGÉSIMA SEX</w:t>
      </w:r>
      <w:r w:rsidRPr="0059151F">
        <w:rPr>
          <w:rFonts w:ascii="Palatino Linotype" w:eastAsia="Palatino Linotype" w:hAnsi="Palatino Linotype" w:cs="Palatino Linotype"/>
        </w:rPr>
        <w:t>TA SESIÓN OR</w:t>
      </w:r>
      <w:r w:rsidR="00B473EF" w:rsidRPr="0059151F">
        <w:rPr>
          <w:rFonts w:ascii="Palatino Linotype" w:eastAsia="Palatino Linotype" w:hAnsi="Palatino Linotype" w:cs="Palatino Linotype"/>
        </w:rPr>
        <w:t>DINARIA CELEBRADA EL TRES DE OCTU</w:t>
      </w:r>
      <w:r w:rsidRPr="0059151F">
        <w:rPr>
          <w:rFonts w:ascii="Palatino Linotype" w:eastAsia="Palatino Linotype" w:hAnsi="Palatino Linotype" w:cs="Palatino Linotype"/>
        </w:rPr>
        <w:t>BRE DEL DOS MIL VEINTITRÉS, ANTE EL SECRETARIO TÉCNICO DEL PLENO, ALEXIS TAPIA RAMÍREZ.</w:t>
      </w:r>
    </w:p>
    <w:p w:rsidR="00125E30" w:rsidRDefault="00125E30">
      <w:pPr>
        <w:spacing w:before="240" w:after="240" w:line="360" w:lineRule="auto"/>
        <w:jc w:val="both"/>
        <w:rPr>
          <w:rFonts w:ascii="Palatino Linotype" w:eastAsia="Palatino Linotype" w:hAnsi="Palatino Linotype" w:cs="Palatino Linotype"/>
        </w:rPr>
      </w:pPr>
    </w:p>
    <w:sectPr w:rsidR="00125E30">
      <w:headerReference w:type="first" r:id="rId23"/>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D80" w:rsidRDefault="00850D80">
      <w:r>
        <w:separator/>
      </w:r>
    </w:p>
  </w:endnote>
  <w:endnote w:type="continuationSeparator" w:id="0">
    <w:p w:rsidR="00850D80" w:rsidRDefault="0085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E30" w:rsidRDefault="00474FF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F16FC">
      <w:rPr>
        <w:rFonts w:ascii="Arial" w:eastAsia="Arial" w:hAnsi="Arial" w:cs="Arial"/>
        <w:b/>
        <w:noProof/>
        <w:color w:val="000000"/>
        <w:sz w:val="20"/>
        <w:szCs w:val="20"/>
      </w:rPr>
      <w:t>14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F16FC">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125E30" w:rsidRDefault="00125E30">
    <w:pPr>
      <w:pBdr>
        <w:top w:val="nil"/>
        <w:left w:val="nil"/>
        <w:bottom w:val="nil"/>
        <w:right w:val="nil"/>
        <w:between w:val="nil"/>
      </w:pBdr>
      <w:tabs>
        <w:tab w:val="center" w:pos="4252"/>
        <w:tab w:val="right" w:pos="8504"/>
      </w:tabs>
      <w:rPr>
        <w:color w:val="000000"/>
      </w:rPr>
    </w:pPr>
  </w:p>
  <w:p w:rsidR="00125E30" w:rsidRDefault="00125E3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E30" w:rsidRDefault="00474FF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F16F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F16FC">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rsidR="00125E30" w:rsidRDefault="00125E3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D80" w:rsidRDefault="00850D80">
      <w:r>
        <w:separator/>
      </w:r>
    </w:p>
  </w:footnote>
  <w:footnote w:type="continuationSeparator" w:id="0">
    <w:p w:rsidR="00850D80" w:rsidRDefault="00850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E30" w:rsidRDefault="00474FF5">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-943606</wp:posOffset>
          </wp:positionH>
          <wp:positionV relativeFrom="paragraph">
            <wp:posOffset>-309876</wp:posOffset>
          </wp:positionV>
          <wp:extent cx="7635600" cy="9943200"/>
          <wp:effectExtent l="0" t="0" r="0" b="0"/>
          <wp:wrapNone/>
          <wp:docPr id="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125E30">
      <w:tc>
        <w:tcPr>
          <w:tcW w:w="2553" w:type="dxa"/>
          <w:vAlign w:val="center"/>
        </w:tcPr>
        <w:p w:rsidR="00125E30" w:rsidRDefault="00474F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125E30" w:rsidRDefault="00474FF5">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02279/INFOEM/IP/RR/2023</w:t>
          </w:r>
        </w:p>
      </w:tc>
    </w:tr>
    <w:tr w:rsidR="00125E30">
      <w:trPr>
        <w:trHeight w:val="228"/>
      </w:trPr>
      <w:tc>
        <w:tcPr>
          <w:tcW w:w="2553" w:type="dxa"/>
          <w:vAlign w:val="center"/>
        </w:tcPr>
        <w:p w:rsidR="00125E30" w:rsidRDefault="00474F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125E30" w:rsidRDefault="00474FF5">
          <w:pPr>
            <w:tabs>
              <w:tab w:val="left" w:pos="1531"/>
            </w:tabs>
            <w:ind w:right="6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125E30">
      <w:tc>
        <w:tcPr>
          <w:tcW w:w="2553" w:type="dxa"/>
          <w:vAlign w:val="center"/>
        </w:tcPr>
        <w:p w:rsidR="00125E30" w:rsidRDefault="00474F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125E30" w:rsidRDefault="00474FF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25E30" w:rsidRDefault="00474FF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E30" w:rsidRDefault="00474FF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-973449</wp:posOffset>
          </wp:positionH>
          <wp:positionV relativeFrom="paragraph">
            <wp:posOffset>-354960</wp:posOffset>
          </wp:positionV>
          <wp:extent cx="7635600" cy="9943200"/>
          <wp:effectExtent l="0" t="0" r="0" b="0"/>
          <wp:wrapNone/>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6240" w:type="dxa"/>
      <w:tblInd w:w="3685" w:type="dxa"/>
      <w:tblLayout w:type="fixed"/>
      <w:tblLook w:val="0400" w:firstRow="0" w:lastRow="0" w:firstColumn="0" w:lastColumn="0" w:noHBand="0" w:noVBand="1"/>
    </w:tblPr>
    <w:tblGrid>
      <w:gridCol w:w="2553"/>
      <w:gridCol w:w="3687"/>
    </w:tblGrid>
    <w:tr w:rsidR="00125E30">
      <w:tc>
        <w:tcPr>
          <w:tcW w:w="2553" w:type="dxa"/>
          <w:vAlign w:val="center"/>
        </w:tcPr>
        <w:p w:rsidR="00125E30" w:rsidRDefault="00474F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125E30" w:rsidRDefault="00474F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02279/INFOEM/IP/RR/2023</w:t>
          </w:r>
        </w:p>
      </w:tc>
    </w:tr>
    <w:tr w:rsidR="00125E30">
      <w:tc>
        <w:tcPr>
          <w:tcW w:w="2553" w:type="dxa"/>
          <w:vAlign w:val="center"/>
        </w:tcPr>
        <w:p w:rsidR="00125E30" w:rsidRDefault="00474F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125E30" w:rsidRDefault="001F16FC" w:rsidP="001F16FC">
          <w:pPr>
            <w:ind w:right="-3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 XXXXXXXXXX</w:t>
          </w:r>
        </w:p>
      </w:tc>
    </w:tr>
    <w:tr w:rsidR="00125E30">
      <w:trPr>
        <w:trHeight w:val="228"/>
      </w:trPr>
      <w:tc>
        <w:tcPr>
          <w:tcW w:w="2553" w:type="dxa"/>
          <w:vAlign w:val="center"/>
        </w:tcPr>
        <w:p w:rsidR="00125E30" w:rsidRDefault="00474F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125E30" w:rsidRDefault="00474FF5">
          <w:pPr>
            <w:ind w:right="73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125E30">
      <w:tc>
        <w:tcPr>
          <w:tcW w:w="2553" w:type="dxa"/>
          <w:vAlign w:val="center"/>
        </w:tcPr>
        <w:p w:rsidR="00125E30" w:rsidRDefault="00474F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125E30" w:rsidRDefault="00474FF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25E30" w:rsidRDefault="00125E3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E30" w:rsidRDefault="00474FF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125E30" w:rsidRDefault="00125E3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3591"/>
    <w:multiLevelType w:val="multilevel"/>
    <w:tmpl w:val="585AC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187AE5"/>
    <w:multiLevelType w:val="multilevel"/>
    <w:tmpl w:val="05AAB6C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B477CE5"/>
    <w:multiLevelType w:val="multilevel"/>
    <w:tmpl w:val="7FB831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78977B38"/>
    <w:multiLevelType w:val="multilevel"/>
    <w:tmpl w:val="EEDAE9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D493E91"/>
    <w:multiLevelType w:val="multilevel"/>
    <w:tmpl w:val="00FAF44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E30"/>
    <w:rsid w:val="00055BE0"/>
    <w:rsid w:val="000857D3"/>
    <w:rsid w:val="00125E30"/>
    <w:rsid w:val="001F16FC"/>
    <w:rsid w:val="0020243F"/>
    <w:rsid w:val="003740CA"/>
    <w:rsid w:val="00463CF1"/>
    <w:rsid w:val="00474FF5"/>
    <w:rsid w:val="004B7CA6"/>
    <w:rsid w:val="0055541F"/>
    <w:rsid w:val="0059151F"/>
    <w:rsid w:val="006261CD"/>
    <w:rsid w:val="006B30CE"/>
    <w:rsid w:val="00701F65"/>
    <w:rsid w:val="00846DD8"/>
    <w:rsid w:val="00850D80"/>
    <w:rsid w:val="009A1534"/>
    <w:rsid w:val="00A06A07"/>
    <w:rsid w:val="00B473EF"/>
    <w:rsid w:val="00B84DA0"/>
    <w:rsid w:val="00BA292B"/>
    <w:rsid w:val="00C96C1A"/>
    <w:rsid w:val="00CB11B8"/>
    <w:rsid w:val="00CB3967"/>
    <w:rsid w:val="00D01094"/>
    <w:rsid w:val="00D14E20"/>
    <w:rsid w:val="00D909A1"/>
    <w:rsid w:val="00DA4AE5"/>
    <w:rsid w:val="00EE2E24"/>
    <w:rsid w:val="00F1357C"/>
    <w:rsid w:val="00FD1E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5E74D-8549-48A2-8AE9-1A3C56F5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072B47"/>
    <w:rPr>
      <w:color w:val="800080" w:themeColor="followedHyperlink"/>
      <w:u w:val="single"/>
    </w:r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042434"/>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izapan.gob.mx/wp-content/uploads/2023/03/CONVOCATORIA-Desabasto-de-agua.pdf"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obAtizapa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g4bu/daQBOC5DKpWuDSq5gPTyg==">CgMxLjAyCWguM3pueXNoNzIIaC5namRneHMyCWguMWZvYjl0ZTIJaC4zMGowemxsOAByITFGOEowMzYzLXl0bW9vc3FzdmU2bERBRG9zYjlmenJpXw==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7330</Words>
  <Characters>40319</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2023-10-04T20:08:00Z</cp:lastPrinted>
  <dcterms:created xsi:type="dcterms:W3CDTF">2023-10-25T20:12:00Z</dcterms:created>
  <dcterms:modified xsi:type="dcterms:W3CDTF">2023-10-25T20:12:00Z</dcterms:modified>
</cp:coreProperties>
</file>