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208E7" w14:textId="084FC5B2"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w:t>
      </w:r>
      <w:r w:rsidR="0073405E" w:rsidRPr="007B144B">
        <w:rPr>
          <w:rFonts w:ascii="Palatino Linotype" w:eastAsia="Palatino Linotype" w:hAnsi="Palatino Linotype" w:cs="Palatino Linotype"/>
        </w:rPr>
        <w:t xml:space="preserve"> Metepec, Estado de México, del</w:t>
      </w:r>
      <w:r w:rsidRPr="007B144B">
        <w:rPr>
          <w:rFonts w:ascii="Palatino Linotype" w:eastAsia="Palatino Linotype" w:hAnsi="Palatino Linotype" w:cs="Palatino Linotype"/>
        </w:rPr>
        <w:t xml:space="preserve"> </w:t>
      </w:r>
      <w:r w:rsidR="00FA0CDD" w:rsidRPr="007B144B">
        <w:rPr>
          <w:rFonts w:ascii="Palatino Linotype" w:eastAsia="Palatino Linotype" w:hAnsi="Palatino Linotype" w:cs="Palatino Linotype"/>
        </w:rPr>
        <w:t>quince</w:t>
      </w:r>
      <w:r w:rsidR="0073405E"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rPr>
        <w:t xml:space="preserve">de </w:t>
      </w:r>
      <w:r w:rsidR="0073405E" w:rsidRPr="007B144B">
        <w:rPr>
          <w:rFonts w:ascii="Palatino Linotype" w:eastAsia="Palatino Linotype" w:hAnsi="Palatino Linotype" w:cs="Palatino Linotype"/>
        </w:rPr>
        <w:t xml:space="preserve">noviembre </w:t>
      </w:r>
      <w:r w:rsidRPr="007B144B">
        <w:rPr>
          <w:rFonts w:ascii="Palatino Linotype" w:eastAsia="Palatino Linotype" w:hAnsi="Palatino Linotype" w:cs="Palatino Linotype"/>
        </w:rPr>
        <w:t>del dos mil veintitrés.</w:t>
      </w:r>
    </w:p>
    <w:p w14:paraId="220C4589" w14:textId="51FB663B" w:rsidR="0073405E" w:rsidRPr="007B144B" w:rsidRDefault="0073405E" w:rsidP="007B144B">
      <w:pPr>
        <w:spacing w:line="360" w:lineRule="auto"/>
        <w:jc w:val="both"/>
        <w:rPr>
          <w:rFonts w:ascii="Palatino Linotype" w:hAnsi="Palatino Linotype"/>
        </w:rPr>
      </w:pPr>
      <w:r w:rsidRPr="007B144B">
        <w:rPr>
          <w:rFonts w:ascii="Palatino Linotype" w:hAnsi="Palatino Linotype"/>
          <w:b/>
        </w:rPr>
        <w:t>VISTO</w:t>
      </w:r>
      <w:r w:rsidRPr="007B144B">
        <w:rPr>
          <w:rFonts w:ascii="Palatino Linotype" w:hAnsi="Palatino Linotype"/>
        </w:rPr>
        <w:t xml:space="preserve"> el expediente formado con motivo del Recurso de Revisión</w:t>
      </w:r>
      <w:r w:rsidRPr="007B144B">
        <w:rPr>
          <w:rFonts w:ascii="Palatino Linotype" w:hAnsi="Palatino Linotype"/>
          <w:b/>
          <w:bCs/>
        </w:rPr>
        <w:t xml:space="preserve"> </w:t>
      </w:r>
      <w:r w:rsidRPr="007B144B">
        <w:rPr>
          <w:rFonts w:ascii="Palatino Linotype" w:hAnsi="Palatino Linotype"/>
          <w:b/>
        </w:rPr>
        <w:t>16732/INFOEM/IP/RR/2022</w:t>
      </w:r>
      <w:r w:rsidRPr="007B144B">
        <w:rPr>
          <w:rFonts w:ascii="Palatino Linotype" w:hAnsi="Palatino Linotype"/>
        </w:rPr>
        <w:t xml:space="preserve">, promovido por </w:t>
      </w:r>
      <w:r w:rsidR="00BC07AF">
        <w:rPr>
          <w:rFonts w:ascii="Palatino Linotype" w:hAnsi="Palatino Linotype"/>
          <w:b/>
        </w:rPr>
        <w:t xml:space="preserve">XXXXX </w:t>
      </w:r>
      <w:proofErr w:type="spellStart"/>
      <w:r w:rsidR="00BC07AF">
        <w:rPr>
          <w:rFonts w:ascii="Palatino Linotype" w:hAnsi="Palatino Linotype"/>
          <w:b/>
        </w:rPr>
        <w:t>XXXXX</w:t>
      </w:r>
      <w:proofErr w:type="spellEnd"/>
      <w:r w:rsidR="00BC07AF">
        <w:rPr>
          <w:rFonts w:ascii="Palatino Linotype" w:hAnsi="Palatino Linotype"/>
          <w:b/>
        </w:rPr>
        <w:t xml:space="preserve"> XXXXXXXXXX</w:t>
      </w:r>
      <w:r w:rsidRPr="007B144B">
        <w:rPr>
          <w:rFonts w:ascii="Palatino Linotype" w:hAnsi="Palatino Linotype"/>
        </w:rPr>
        <w:t xml:space="preserve"> a quien</w:t>
      </w:r>
      <w:r w:rsidRPr="007B144B">
        <w:rPr>
          <w:rFonts w:ascii="Palatino Linotype" w:hAnsi="Palatino Linotype" w:cs="Arial"/>
          <w:b/>
        </w:rPr>
        <w:t xml:space="preserve"> </w:t>
      </w:r>
      <w:r w:rsidRPr="007B144B">
        <w:rPr>
          <w:rFonts w:ascii="Palatino Linotype" w:hAnsi="Palatino Linotype"/>
        </w:rPr>
        <w:t xml:space="preserve">en lo sucesivo se denominará </w:t>
      </w:r>
      <w:r w:rsidRPr="007B144B">
        <w:rPr>
          <w:rFonts w:ascii="Palatino Linotype" w:hAnsi="Palatino Linotype" w:cs="Arial"/>
          <w:b/>
        </w:rPr>
        <w:t>EL RECURRENTE</w:t>
      </w:r>
      <w:r w:rsidRPr="007B144B">
        <w:rPr>
          <w:rFonts w:ascii="Palatino Linotype" w:hAnsi="Palatino Linotype"/>
        </w:rPr>
        <w:t xml:space="preserve">, en contra de la respuesta emitida por el </w:t>
      </w:r>
      <w:r w:rsidR="000F59E8" w:rsidRPr="007B144B">
        <w:rPr>
          <w:rFonts w:ascii="Palatino Linotype" w:hAnsi="Palatino Linotype" w:cs="Arial"/>
          <w:b/>
        </w:rPr>
        <w:t>Ayuntamiento de Tianguistenco</w:t>
      </w:r>
      <w:r w:rsidRPr="007B144B">
        <w:rPr>
          <w:rFonts w:ascii="Palatino Linotype" w:hAnsi="Palatino Linotype"/>
          <w:b/>
        </w:rPr>
        <w:t>,</w:t>
      </w:r>
      <w:r w:rsidRPr="007B144B">
        <w:rPr>
          <w:rFonts w:ascii="Palatino Linotype" w:hAnsi="Palatino Linotype" w:cs="Arial"/>
          <w:b/>
        </w:rPr>
        <w:t xml:space="preserve"> </w:t>
      </w:r>
      <w:r w:rsidRPr="007B144B">
        <w:rPr>
          <w:rFonts w:ascii="Palatino Linotype" w:hAnsi="Palatino Linotype"/>
        </w:rPr>
        <w:t xml:space="preserve">que en lo sucesivo se denominará </w:t>
      </w:r>
      <w:r w:rsidRPr="007B144B">
        <w:rPr>
          <w:rFonts w:ascii="Palatino Linotype" w:hAnsi="Palatino Linotype"/>
          <w:b/>
        </w:rPr>
        <w:t>EL SUJETO OBLIGADO</w:t>
      </w:r>
      <w:r w:rsidRPr="007B144B">
        <w:rPr>
          <w:rFonts w:ascii="Palatino Linotype" w:hAnsi="Palatino Linotype"/>
        </w:rPr>
        <w:t xml:space="preserve">, se procede a dictar la presente resolución con base en lo siguiente: </w:t>
      </w:r>
    </w:p>
    <w:p w14:paraId="4BD45469" w14:textId="2DC5DE62" w:rsidR="002F225C" w:rsidRPr="007B144B" w:rsidRDefault="00D86D43" w:rsidP="007B144B">
      <w:pPr>
        <w:pStyle w:val="Ttulo2"/>
        <w:jc w:val="center"/>
        <w:rPr>
          <w:rFonts w:ascii="Palatino Linotype" w:eastAsia="Palatino Linotype" w:hAnsi="Palatino Linotype" w:cs="Palatino Linotype"/>
          <w:b/>
          <w:color w:val="auto"/>
          <w:sz w:val="28"/>
          <w:szCs w:val="28"/>
        </w:rPr>
      </w:pPr>
      <w:r w:rsidRPr="007B144B">
        <w:rPr>
          <w:rFonts w:ascii="Palatino Linotype" w:eastAsia="Palatino Linotype" w:hAnsi="Palatino Linotype" w:cs="Palatino Linotype"/>
          <w:b/>
          <w:color w:val="auto"/>
          <w:sz w:val="28"/>
          <w:szCs w:val="28"/>
        </w:rPr>
        <w:t>A N T E C E D E N T E S:</w:t>
      </w:r>
    </w:p>
    <w:p w14:paraId="2BB73077" w14:textId="77777777" w:rsidR="007B2489" w:rsidRPr="007B144B" w:rsidRDefault="007B2489" w:rsidP="007B144B">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rPr>
      </w:pPr>
      <w:r w:rsidRPr="007B144B">
        <w:rPr>
          <w:rFonts w:ascii="Palatino Linotype" w:eastAsia="Palatino Linotype" w:hAnsi="Palatino Linotype" w:cs="Palatino Linotype"/>
          <w:b/>
        </w:rPr>
        <w:t>I. De la Solicitud de Información:</w:t>
      </w:r>
    </w:p>
    <w:p w14:paraId="2DCB036C" w14:textId="77777777" w:rsidR="007B2489" w:rsidRPr="007B144B" w:rsidRDefault="007B2489" w:rsidP="007B144B">
      <w:pP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El </w:t>
      </w:r>
      <w:r w:rsidRPr="007B144B">
        <w:rPr>
          <w:rFonts w:ascii="Palatino Linotype" w:eastAsia="Palatino Linotype" w:hAnsi="Palatino Linotype" w:cs="Palatino Linotype"/>
          <w:b/>
        </w:rPr>
        <w:t>diecinueve de octubre de dos mil veintidós</w:t>
      </w:r>
      <w:r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b/>
        </w:rPr>
        <w:t>EL RECURRENTE</w:t>
      </w:r>
      <w:r w:rsidRPr="007B144B">
        <w:rPr>
          <w:rFonts w:ascii="Palatino Linotype" w:eastAsia="Palatino Linotype" w:hAnsi="Palatino Linotype" w:cs="Palatino Linotype"/>
        </w:rPr>
        <w:t xml:space="preserve"> presentó ante </w:t>
      </w:r>
      <w:r w:rsidRPr="007B144B">
        <w:rPr>
          <w:rFonts w:ascii="Palatino Linotype" w:eastAsia="Palatino Linotype" w:hAnsi="Palatino Linotype" w:cs="Palatino Linotype"/>
          <w:b/>
        </w:rPr>
        <w:t>EL SUJETO OBLIGADO</w:t>
      </w:r>
      <w:r w:rsidRPr="007B144B">
        <w:rPr>
          <w:rFonts w:ascii="Palatino Linotype" w:eastAsia="Palatino Linotype" w:hAnsi="Palatino Linotype" w:cs="Palatino Linotype"/>
          <w:bCs/>
        </w:rPr>
        <w:t xml:space="preserve">, </w:t>
      </w:r>
      <w:r w:rsidRPr="007B144B">
        <w:rPr>
          <w:rFonts w:ascii="Palatino Linotype" w:eastAsia="Palatino Linotype" w:hAnsi="Palatino Linotype" w:cs="Palatino Linotype"/>
        </w:rPr>
        <w:t xml:space="preserve">a través del </w:t>
      </w:r>
      <w:r w:rsidRPr="007B144B">
        <w:rPr>
          <w:rFonts w:ascii="Palatino Linotype" w:eastAsia="Palatino Linotype" w:hAnsi="Palatino Linotype" w:cs="Palatino Linotype"/>
          <w:b/>
        </w:rPr>
        <w:t>SAIMEX</w:t>
      </w:r>
      <w:r w:rsidRPr="007B144B">
        <w:rPr>
          <w:rFonts w:ascii="Palatino Linotype" w:eastAsia="Palatino Linotype" w:hAnsi="Palatino Linotype" w:cs="Palatino Linotype"/>
        </w:rPr>
        <w:t xml:space="preserve">, la solicitud de Acceso a la Información Pública </w:t>
      </w:r>
      <w:r w:rsidRPr="007B144B">
        <w:rPr>
          <w:rFonts w:ascii="Palatino Linotype" w:eastAsia="Palatino Linotype" w:hAnsi="Palatino Linotype" w:cs="Palatino Linotype"/>
          <w:b/>
          <w:bCs/>
        </w:rPr>
        <w:t>00188/TIANGUIS/IP/2022</w:t>
      </w:r>
      <w:r w:rsidRPr="007B144B">
        <w:rPr>
          <w:rFonts w:ascii="Palatino Linotype" w:eastAsia="Palatino Linotype" w:hAnsi="Palatino Linotype" w:cs="Palatino Linotype"/>
        </w:rPr>
        <w:t>, mediante la cual requirió lo siguiente:</w:t>
      </w:r>
    </w:p>
    <w:p w14:paraId="604F16EE" w14:textId="77777777" w:rsidR="007B2489" w:rsidRPr="007B144B" w:rsidRDefault="007B2489" w:rsidP="007B144B">
      <w:pPr>
        <w:jc w:val="both"/>
        <w:rPr>
          <w:rFonts w:ascii="Palatino Linotype" w:eastAsia="Palatino Linotype" w:hAnsi="Palatino Linotype" w:cs="Palatino Linotype"/>
          <w:i/>
          <w:sz w:val="20"/>
          <w:szCs w:val="20"/>
        </w:rPr>
      </w:pPr>
    </w:p>
    <w:p w14:paraId="552F9A5A" w14:textId="3F7954E0" w:rsidR="007B2489" w:rsidRPr="007B144B" w:rsidRDefault="007B2489" w:rsidP="007B144B">
      <w:pPr>
        <w:ind w:left="851" w:right="616"/>
        <w:jc w:val="both"/>
        <w:rPr>
          <w:rFonts w:ascii="Palatino Linotype" w:eastAsia="Palatino Linotype" w:hAnsi="Palatino Linotype" w:cs="Palatino Linotype"/>
          <w:bCs/>
          <w:i/>
          <w:sz w:val="22"/>
          <w:szCs w:val="22"/>
        </w:rPr>
      </w:pPr>
      <w:r w:rsidRPr="007B144B">
        <w:rPr>
          <w:rFonts w:ascii="Palatino Linotype" w:eastAsia="Palatino Linotype" w:hAnsi="Palatino Linotype" w:cs="Palatino Linotype"/>
          <w:bCs/>
          <w:i/>
          <w:sz w:val="22"/>
          <w:szCs w:val="22"/>
        </w:rPr>
        <w:t xml:space="preserve">“Buenas tardes, solicito copia certificada del o </w:t>
      </w:r>
      <w:proofErr w:type="spellStart"/>
      <w:r w:rsidRPr="007B144B">
        <w:rPr>
          <w:rFonts w:ascii="Palatino Linotype" w:eastAsia="Palatino Linotype" w:hAnsi="Palatino Linotype" w:cs="Palatino Linotype"/>
          <w:bCs/>
          <w:i/>
          <w:sz w:val="22"/>
          <w:szCs w:val="22"/>
        </w:rPr>
        <w:t>lo</w:t>
      </w:r>
      <w:proofErr w:type="spellEnd"/>
      <w:r w:rsidRPr="007B144B">
        <w:rPr>
          <w:rFonts w:ascii="Palatino Linotype" w:eastAsia="Palatino Linotype" w:hAnsi="Palatino Linotype" w:cs="Palatino Linotype"/>
          <w:bCs/>
          <w:i/>
          <w:sz w:val="22"/>
          <w:szCs w:val="22"/>
        </w:rPr>
        <w:t xml:space="preserve"> recibos de ingresos de dinero realizados por el C. JAIME BENITO URBINA GIL a la Tesorería Municipal de Tianguistenco, México, durante el ejercicio 2022, así como de la órdenes de pago respectivas, copia certificada del acta de visita realizada al C. </w:t>
      </w:r>
      <w:r w:rsidR="00BC07AF">
        <w:rPr>
          <w:rFonts w:ascii="Palatino Linotype" w:eastAsia="Palatino Linotype" w:hAnsi="Palatino Linotype" w:cs="Palatino Linotype"/>
          <w:bCs/>
          <w:i/>
          <w:sz w:val="22"/>
          <w:szCs w:val="22"/>
        </w:rPr>
        <w:t xml:space="preserve">XXXXX </w:t>
      </w:r>
      <w:proofErr w:type="spellStart"/>
      <w:r w:rsidR="00BC07AF">
        <w:rPr>
          <w:rFonts w:ascii="Palatino Linotype" w:eastAsia="Palatino Linotype" w:hAnsi="Palatino Linotype" w:cs="Palatino Linotype"/>
          <w:bCs/>
          <w:i/>
          <w:sz w:val="22"/>
          <w:szCs w:val="22"/>
        </w:rPr>
        <w:t>XXXXX</w:t>
      </w:r>
      <w:proofErr w:type="spellEnd"/>
      <w:r w:rsidR="00BC07AF">
        <w:rPr>
          <w:rFonts w:ascii="Palatino Linotype" w:eastAsia="Palatino Linotype" w:hAnsi="Palatino Linotype" w:cs="Palatino Linotype"/>
          <w:bCs/>
          <w:i/>
          <w:sz w:val="22"/>
          <w:szCs w:val="22"/>
        </w:rPr>
        <w:t xml:space="preserve"> XXXXXXXXXX</w:t>
      </w:r>
      <w:r w:rsidRPr="007B144B">
        <w:rPr>
          <w:rFonts w:ascii="Palatino Linotype" w:eastAsia="Palatino Linotype" w:hAnsi="Palatino Linotype" w:cs="Palatino Linotype"/>
          <w:bCs/>
          <w:i/>
          <w:sz w:val="22"/>
          <w:szCs w:val="22"/>
        </w:rPr>
        <w:t>, el día 30 de agosto de 2022 realizada por el personal de la Dirección de Agua y Saneamiento de Tianguistenco, México, donde se comprometen a realizar las acciones necesarias para corregir el drenaje que se introdujo por terrenos de la Inmobiliaria y Constructora Tianguistenco, S.A. de C.V.”</w:t>
      </w:r>
    </w:p>
    <w:p w14:paraId="1E414C22" w14:textId="77777777" w:rsidR="007B2489" w:rsidRPr="007B144B" w:rsidRDefault="007B2489" w:rsidP="007B144B">
      <w:pPr>
        <w:jc w:val="both"/>
        <w:rPr>
          <w:rFonts w:ascii="Arial" w:eastAsia="Arial" w:hAnsi="Arial" w:cs="Arial"/>
        </w:rPr>
      </w:pPr>
    </w:p>
    <w:p w14:paraId="4A127B3C" w14:textId="77777777" w:rsidR="00424805" w:rsidRPr="007B144B" w:rsidRDefault="00424805" w:rsidP="007B144B">
      <w:pPr>
        <w:spacing w:line="360" w:lineRule="auto"/>
        <w:jc w:val="both"/>
        <w:rPr>
          <w:rFonts w:ascii="Palatino Linotype" w:hAnsi="Palatino Linotype" w:cs="Arial"/>
          <w:b/>
        </w:rPr>
      </w:pPr>
      <w:r w:rsidRPr="007B144B">
        <w:rPr>
          <w:rFonts w:ascii="Palatino Linotype" w:hAnsi="Palatino Linotype" w:cs="Arial"/>
          <w:b/>
        </w:rPr>
        <w:t>MODALIDAD DE ENTREGA:</w:t>
      </w:r>
      <w:r w:rsidRPr="007B144B">
        <w:rPr>
          <w:rFonts w:ascii="Palatino Linotype" w:hAnsi="Palatino Linotype" w:cs="Arial"/>
        </w:rPr>
        <w:t xml:space="preserve"> Copias certificadas (con costo)</w:t>
      </w:r>
      <w:r w:rsidRPr="007B144B">
        <w:rPr>
          <w:rFonts w:ascii="Palatino Linotype" w:hAnsi="Palatino Linotype" w:cs="Arial"/>
          <w:b/>
        </w:rPr>
        <w:t xml:space="preserve">. </w:t>
      </w:r>
    </w:p>
    <w:p w14:paraId="420E8031" w14:textId="77777777" w:rsidR="007B2489" w:rsidRPr="007B144B" w:rsidRDefault="007B2489" w:rsidP="007B144B">
      <w:pPr>
        <w:spacing w:line="360" w:lineRule="auto"/>
        <w:jc w:val="both"/>
        <w:rPr>
          <w:rFonts w:ascii="Palatino Linotype" w:eastAsia="Palatino Linotype" w:hAnsi="Palatino Linotype" w:cs="Palatino Linotype"/>
          <w:b/>
        </w:rPr>
      </w:pPr>
    </w:p>
    <w:p w14:paraId="4158B802" w14:textId="77777777" w:rsidR="007B2489" w:rsidRPr="007B144B" w:rsidRDefault="007B2489" w:rsidP="007B144B">
      <w:pPr>
        <w:spacing w:line="360" w:lineRule="auto"/>
        <w:jc w:val="both"/>
        <w:rPr>
          <w:rFonts w:ascii="Palatino Linotype" w:hAnsi="Palatino Linotype"/>
          <w:b/>
        </w:rPr>
      </w:pPr>
      <w:r w:rsidRPr="007B144B">
        <w:rPr>
          <w:rFonts w:ascii="Palatino Linotype" w:hAnsi="Palatino Linotype"/>
          <w:b/>
        </w:rPr>
        <w:lastRenderedPageBreak/>
        <w:t>II. Turno de requerimiento del Sujeto Obligado</w:t>
      </w:r>
    </w:p>
    <w:p w14:paraId="03980743" w14:textId="5CD12174" w:rsidR="007B2489" w:rsidRDefault="007B2489" w:rsidP="007B144B">
      <w:pPr>
        <w:spacing w:line="360" w:lineRule="auto"/>
        <w:jc w:val="both"/>
        <w:rPr>
          <w:rFonts w:ascii="Palatino Linotype" w:hAnsi="Palatino Linotype"/>
          <w:bCs/>
        </w:rPr>
      </w:pPr>
      <w:r w:rsidRPr="007B144B">
        <w:rPr>
          <w:rFonts w:ascii="Palatino Linotype" w:hAnsi="Palatino Linotype"/>
        </w:rPr>
        <w:t xml:space="preserve">En cumplimiento al artículo 162 de la Ley de Transparencia y Acceso a la Información Pública del Estado de México y Municipios, el </w:t>
      </w:r>
      <w:r w:rsidRPr="007B144B">
        <w:rPr>
          <w:rFonts w:ascii="Palatino Linotype" w:eastAsia="Palatino Linotype" w:hAnsi="Palatino Linotype" w:cs="Palatino Linotype"/>
          <w:b/>
        </w:rPr>
        <w:t>veintiuno de octubre de dos mil veintidós</w:t>
      </w:r>
      <w:r w:rsidRPr="007B144B">
        <w:rPr>
          <w:rFonts w:ascii="Palatino Linotype" w:hAnsi="Palatino Linotype"/>
        </w:rPr>
        <w:t xml:space="preserve">, el Titular de la Unidad de Transparencia del </w:t>
      </w:r>
      <w:r w:rsidRPr="007B144B">
        <w:rPr>
          <w:rFonts w:ascii="Palatino Linotype" w:hAnsi="Palatino Linotype"/>
          <w:b/>
        </w:rPr>
        <w:t>SUJETO OBLIGADO</w:t>
      </w:r>
      <w:r w:rsidRPr="007B144B">
        <w:rPr>
          <w:rFonts w:ascii="Palatino Linotype" w:hAnsi="Palatino Linotype"/>
        </w:rPr>
        <w:t xml:space="preserve"> turnó los requerimientos de información a los servidores públicos habilitados que estimó pertinente, a fin de colmar la solicitud de acceso a la información, </w:t>
      </w:r>
      <w:r w:rsidRPr="007B144B">
        <w:rPr>
          <w:rFonts w:ascii="Palatino Linotype" w:hAnsi="Palatino Linotype"/>
          <w:bCs/>
        </w:rPr>
        <w:t>tal y como se aprecia en la siguiente imagen:</w:t>
      </w:r>
    </w:p>
    <w:p w14:paraId="5DFD4E7C" w14:textId="77777777" w:rsidR="007B144B" w:rsidRPr="007B144B" w:rsidRDefault="007B144B" w:rsidP="007B144B">
      <w:pPr>
        <w:spacing w:line="360" w:lineRule="auto"/>
        <w:jc w:val="both"/>
        <w:rPr>
          <w:rFonts w:ascii="Palatino Linotype" w:hAnsi="Palatino Linotype"/>
          <w:bCs/>
        </w:rPr>
      </w:pPr>
    </w:p>
    <w:p w14:paraId="7A5B4358" w14:textId="77777777" w:rsidR="007B2489" w:rsidRPr="007B144B" w:rsidRDefault="007B2489" w:rsidP="007B144B">
      <w:pPr>
        <w:widowControl w:val="0"/>
        <w:autoSpaceDE w:val="0"/>
        <w:autoSpaceDN w:val="0"/>
        <w:adjustRightInd w:val="0"/>
        <w:spacing w:line="360" w:lineRule="auto"/>
        <w:jc w:val="both"/>
        <w:rPr>
          <w:rFonts w:ascii="Palatino Linotype" w:hAnsi="Palatino Linotype" w:cs="Arial"/>
          <w:bCs/>
          <w:lang w:eastAsia="en-US"/>
        </w:rPr>
      </w:pPr>
      <w:r w:rsidRPr="007B144B">
        <w:rPr>
          <w:rFonts w:ascii="Palatino Linotype" w:hAnsi="Palatino Linotype" w:cs="Arial"/>
          <w:bCs/>
          <w:noProof/>
          <w:lang w:val="es-MX"/>
        </w:rPr>
        <w:drawing>
          <wp:inline distT="0" distB="0" distL="0" distR="0" wp14:anchorId="2DC7952A" wp14:editId="5CB22640">
            <wp:extent cx="5612130" cy="1076325"/>
            <wp:effectExtent l="0" t="0" r="7620" b="9525"/>
            <wp:docPr id="11052516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51660" name=""/>
                    <pic:cNvPicPr/>
                  </pic:nvPicPr>
                  <pic:blipFill>
                    <a:blip r:embed="rId8"/>
                    <a:stretch>
                      <a:fillRect/>
                    </a:stretch>
                  </pic:blipFill>
                  <pic:spPr>
                    <a:xfrm>
                      <a:off x="0" y="0"/>
                      <a:ext cx="5612130" cy="1076325"/>
                    </a:xfrm>
                    <a:prstGeom prst="rect">
                      <a:avLst/>
                    </a:prstGeom>
                  </pic:spPr>
                </pic:pic>
              </a:graphicData>
            </a:graphic>
          </wp:inline>
        </w:drawing>
      </w:r>
    </w:p>
    <w:p w14:paraId="1A33750B" w14:textId="77777777" w:rsidR="00424805" w:rsidRPr="007B144B" w:rsidRDefault="00424805" w:rsidP="007B144B">
      <w:pPr>
        <w:widowControl w:val="0"/>
        <w:autoSpaceDE w:val="0"/>
        <w:autoSpaceDN w:val="0"/>
        <w:adjustRightInd w:val="0"/>
        <w:spacing w:line="360" w:lineRule="auto"/>
        <w:jc w:val="both"/>
        <w:rPr>
          <w:rFonts w:ascii="Palatino Linotype" w:hAnsi="Palatino Linotype" w:cs="Arial"/>
          <w:bCs/>
          <w:lang w:eastAsia="en-US"/>
        </w:rPr>
      </w:pPr>
    </w:p>
    <w:p w14:paraId="431DD407" w14:textId="77777777" w:rsidR="007B2489" w:rsidRPr="007B144B" w:rsidRDefault="007B2489" w:rsidP="007B144B">
      <w:pPr>
        <w:widowControl w:val="0"/>
        <w:autoSpaceDE w:val="0"/>
        <w:autoSpaceDN w:val="0"/>
        <w:adjustRightInd w:val="0"/>
        <w:spacing w:line="360" w:lineRule="auto"/>
        <w:jc w:val="both"/>
        <w:rPr>
          <w:rFonts w:ascii="Palatino Linotype" w:hAnsi="Palatino Linotype" w:cs="Arial"/>
          <w:lang w:eastAsia="en-US"/>
        </w:rPr>
      </w:pPr>
      <w:r w:rsidRPr="007B144B">
        <w:rPr>
          <w:rFonts w:ascii="Palatino Linotype" w:hAnsi="Palatino Linotype" w:cs="Arial"/>
          <w:b/>
          <w:bCs/>
          <w:lang w:eastAsia="en-US"/>
        </w:rPr>
        <w:t>III.</w:t>
      </w:r>
      <w:r w:rsidRPr="007B144B">
        <w:rPr>
          <w:rFonts w:ascii="Palatino Linotype" w:hAnsi="Palatino Linotype" w:cs="Arial"/>
          <w:lang w:eastAsia="en-US"/>
        </w:rPr>
        <w:t xml:space="preserve"> </w:t>
      </w:r>
      <w:r w:rsidRPr="007B144B">
        <w:rPr>
          <w:rFonts w:ascii="Palatino Linotype" w:hAnsi="Palatino Linotype" w:cs="Arial"/>
          <w:b/>
        </w:rPr>
        <w:t>Respuesta del Sujeto Obligado</w:t>
      </w:r>
    </w:p>
    <w:p w14:paraId="6A5BF0C0" w14:textId="77777777" w:rsidR="007B2489" w:rsidRPr="007B144B" w:rsidRDefault="007B2489" w:rsidP="007B144B">
      <w:pPr>
        <w:widowControl w:val="0"/>
        <w:autoSpaceDE w:val="0"/>
        <w:autoSpaceDN w:val="0"/>
        <w:adjustRightInd w:val="0"/>
        <w:spacing w:line="360" w:lineRule="auto"/>
        <w:jc w:val="both"/>
        <w:rPr>
          <w:rFonts w:ascii="Palatino Linotype" w:hAnsi="Palatino Linotype" w:cs="Segoe UI"/>
        </w:rPr>
      </w:pPr>
      <w:r w:rsidRPr="007B144B">
        <w:rPr>
          <w:rFonts w:ascii="Palatino Linotype" w:hAnsi="Palatino Linotype" w:cs="Segoe UI"/>
        </w:rPr>
        <w:t xml:space="preserve">El </w:t>
      </w:r>
      <w:r w:rsidRPr="007B144B">
        <w:rPr>
          <w:rFonts w:ascii="Palatino Linotype" w:eastAsia="Palatino Linotype" w:hAnsi="Palatino Linotype" w:cs="Palatino Linotype"/>
          <w:b/>
        </w:rPr>
        <w:t>diez de noviembre de dos mil veintidós</w:t>
      </w:r>
      <w:r w:rsidRPr="007B144B">
        <w:rPr>
          <w:rFonts w:ascii="Palatino Linotype" w:hAnsi="Palatino Linotype" w:cs="Segoe UI"/>
        </w:rPr>
        <w:t xml:space="preserve"> </w:t>
      </w:r>
      <w:r w:rsidRPr="007B144B">
        <w:rPr>
          <w:rFonts w:ascii="Palatino Linotype" w:hAnsi="Palatino Linotype" w:cs="Segoe UI"/>
          <w:b/>
          <w:bCs/>
        </w:rPr>
        <w:t>EL SU</w:t>
      </w:r>
      <w:r w:rsidRPr="007B144B">
        <w:rPr>
          <w:rFonts w:ascii="Palatino Linotype" w:hAnsi="Palatino Linotype" w:cs="Segoe UI"/>
          <w:b/>
        </w:rPr>
        <w:t>JETO OBLIGADO</w:t>
      </w:r>
      <w:r w:rsidRPr="007B144B">
        <w:rPr>
          <w:rFonts w:ascii="Palatino Linotype" w:hAnsi="Palatino Linotype" w:cs="Segoe UI"/>
        </w:rPr>
        <w:t xml:space="preserve"> dio respuesta a la solicitud de información en los siguientes términos:</w:t>
      </w:r>
    </w:p>
    <w:p w14:paraId="642FD847" w14:textId="77777777" w:rsidR="007B2489" w:rsidRPr="007B144B" w:rsidRDefault="007B2489" w:rsidP="007B144B">
      <w:pPr>
        <w:ind w:right="900"/>
        <w:jc w:val="both"/>
        <w:textAlignment w:val="baseline"/>
        <w:rPr>
          <w:rFonts w:ascii="Palatino Linotype" w:eastAsia="Palatino Linotype" w:hAnsi="Palatino Linotype" w:cs="Palatino Linotype"/>
          <w:b/>
          <w:bCs/>
        </w:rPr>
      </w:pPr>
    </w:p>
    <w:p w14:paraId="1A891687" w14:textId="77777777" w:rsidR="007B2489" w:rsidRPr="007B144B" w:rsidRDefault="007B2489" w:rsidP="007B144B">
      <w:pPr>
        <w:ind w:left="851" w:right="616"/>
        <w:jc w:val="both"/>
        <w:textAlignment w:val="baseline"/>
        <w:rPr>
          <w:rFonts w:ascii="Palatino Linotype" w:hAnsi="Palatino Linotype" w:cs="Segoe UI"/>
          <w:i/>
          <w:iCs/>
        </w:rPr>
      </w:pPr>
      <w:r w:rsidRPr="007B144B">
        <w:rPr>
          <w:rFonts w:ascii="Palatino Linotype" w:hAnsi="Palatino Linotype" w:cs="Segoe UI"/>
          <w:i/>
          <w:iCs/>
        </w:rPr>
        <w:t>“DE CONFORMIDAD CON LOS ARTICULOS 12, 150 Y 160 DE LA LEY DE TRANSPARENCIA Y ACCESO A LA INFORMACION PUBLICA DEL ESTADO DE MEXICO Y MUNICIPIOS ME DIRIJO A USTED DE MANERA RESPETUOSA CON LA FINALIDAD DE ENVIAR RESPUESTA A SU SOLICITUD Y ASI PREVALECER EL ACCESO AL DERECHO A LA INFORMACION PUBLICA.” (Sic)</w:t>
      </w:r>
    </w:p>
    <w:p w14:paraId="183200C1" w14:textId="77777777" w:rsidR="007B2489" w:rsidRPr="007B144B" w:rsidRDefault="007B2489" w:rsidP="007B144B">
      <w:pPr>
        <w:ind w:right="900"/>
        <w:jc w:val="both"/>
        <w:textAlignment w:val="baseline"/>
        <w:rPr>
          <w:rFonts w:ascii="Palatino Linotype" w:hAnsi="Palatino Linotype" w:cs="Segoe UI"/>
          <w:i/>
          <w:iCs/>
        </w:rPr>
      </w:pPr>
    </w:p>
    <w:p w14:paraId="51539912" w14:textId="77777777" w:rsidR="007B2489" w:rsidRPr="007B144B" w:rsidRDefault="007B2489" w:rsidP="007B144B">
      <w:pPr>
        <w:spacing w:line="360" w:lineRule="auto"/>
        <w:ind w:right="49"/>
        <w:jc w:val="both"/>
        <w:textAlignment w:val="baseline"/>
        <w:rPr>
          <w:rFonts w:ascii="Palatino Linotype" w:eastAsia="Palatino Linotype" w:hAnsi="Palatino Linotype" w:cs="Palatino Linotype"/>
          <w:bCs/>
        </w:rPr>
      </w:pPr>
      <w:r w:rsidRPr="007B144B">
        <w:rPr>
          <w:rFonts w:ascii="Palatino Linotype" w:eastAsia="Palatino Linotype" w:hAnsi="Palatino Linotype" w:cs="Palatino Linotype"/>
        </w:rPr>
        <w:t xml:space="preserve">Así mismo, </w:t>
      </w:r>
      <w:r w:rsidRPr="007B144B">
        <w:rPr>
          <w:rFonts w:ascii="Palatino Linotype" w:eastAsia="Palatino Linotype" w:hAnsi="Palatino Linotype" w:cs="Palatino Linotype"/>
          <w:b/>
        </w:rPr>
        <w:t>EL SUJETO OBLIGADO</w:t>
      </w:r>
      <w:r w:rsidRPr="007B144B">
        <w:rPr>
          <w:rFonts w:ascii="Palatino Linotype" w:eastAsia="Palatino Linotype" w:hAnsi="Palatino Linotype" w:cs="Palatino Linotype"/>
        </w:rPr>
        <w:t xml:space="preserve"> adjuntó a la respuesta los archivos electrónicos siguientes</w:t>
      </w:r>
      <w:r w:rsidRPr="007B144B">
        <w:rPr>
          <w:rFonts w:ascii="Palatino Linotype" w:eastAsia="Palatino Linotype" w:hAnsi="Palatino Linotype" w:cs="Palatino Linotype"/>
          <w:bCs/>
        </w:rPr>
        <w:t>:</w:t>
      </w:r>
    </w:p>
    <w:p w14:paraId="0F2420C8" w14:textId="77777777" w:rsidR="007B2489" w:rsidRPr="007B144B" w:rsidRDefault="007B2489" w:rsidP="007B144B">
      <w:pPr>
        <w:spacing w:line="360" w:lineRule="auto"/>
        <w:ind w:right="49"/>
        <w:jc w:val="both"/>
        <w:textAlignment w:val="baseline"/>
        <w:rPr>
          <w:rFonts w:ascii="Palatino Linotype" w:eastAsia="Palatino Linotype" w:hAnsi="Palatino Linotype" w:cs="Palatino Linotype"/>
          <w:bCs/>
        </w:rPr>
      </w:pPr>
    </w:p>
    <w:p w14:paraId="780A58F1" w14:textId="77777777" w:rsidR="007B2489" w:rsidRPr="007B144B" w:rsidRDefault="007B2489" w:rsidP="007B144B">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7B144B">
        <w:rPr>
          <w:rStyle w:val="Hipervnculo"/>
          <w:rFonts w:ascii="Palatino Linotype" w:hAnsi="Palatino Linotype"/>
          <w:b/>
          <w:bCs/>
          <w:color w:val="auto"/>
          <w:u w:val="none"/>
        </w:rPr>
        <w:lastRenderedPageBreak/>
        <w:t>ACTA VIGECIMA TERCERA EXTRAORDINARIA SOL 188.pdf</w:t>
      </w:r>
    </w:p>
    <w:p w14:paraId="40030FE9" w14:textId="77777777" w:rsidR="007B2489" w:rsidRPr="007B144B" w:rsidRDefault="007B2489" w:rsidP="007B144B">
      <w:pPr>
        <w:pStyle w:val="Prrafodelista"/>
        <w:spacing w:line="360" w:lineRule="auto"/>
        <w:ind w:right="567"/>
        <w:jc w:val="both"/>
        <w:rPr>
          <w:rStyle w:val="Hipervnculo"/>
          <w:rFonts w:ascii="Palatino Linotype" w:hAnsi="Palatino Linotype"/>
          <w:b/>
          <w:bCs/>
          <w:color w:val="auto"/>
          <w:u w:val="none"/>
        </w:rPr>
      </w:pPr>
      <w:r w:rsidRPr="007B144B">
        <w:rPr>
          <w:rStyle w:val="Hipervnculo"/>
          <w:rFonts w:ascii="Palatino Linotype" w:hAnsi="Palatino Linotype"/>
          <w:color w:val="auto"/>
          <w:u w:val="none"/>
        </w:rPr>
        <w:t>Acta de la vigésima tercera sesión extraordinaria del comité de transparencia mediante la cual se aprueba la versión pública de la información que se solicita.</w:t>
      </w:r>
    </w:p>
    <w:p w14:paraId="508628F2" w14:textId="77777777" w:rsidR="007B2489" w:rsidRPr="007B144B" w:rsidRDefault="007B2489" w:rsidP="007B144B">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7B144B">
        <w:rPr>
          <w:rStyle w:val="Hipervnculo"/>
          <w:rFonts w:ascii="Palatino Linotype" w:hAnsi="Palatino Linotype"/>
          <w:b/>
          <w:bCs/>
          <w:color w:val="auto"/>
          <w:u w:val="none"/>
        </w:rPr>
        <w:t>SOL INFORMACIÓN TESORERÍA Y AGUA POT SOL 188.pdf</w:t>
      </w:r>
    </w:p>
    <w:p w14:paraId="45DDBACF" w14:textId="77777777" w:rsidR="007B2489" w:rsidRPr="007B144B" w:rsidRDefault="007B2489" w:rsidP="007B144B">
      <w:pPr>
        <w:pStyle w:val="Prrafodelista"/>
        <w:spacing w:line="360" w:lineRule="auto"/>
        <w:ind w:right="567"/>
        <w:jc w:val="both"/>
        <w:rPr>
          <w:rStyle w:val="Hipervnculo"/>
          <w:rFonts w:ascii="Palatino Linotype" w:hAnsi="Palatino Linotype"/>
          <w:b/>
          <w:bCs/>
          <w:color w:val="auto"/>
          <w:u w:val="none"/>
        </w:rPr>
      </w:pPr>
      <w:r w:rsidRPr="007B144B">
        <w:rPr>
          <w:rStyle w:val="Hipervnculo"/>
          <w:rFonts w:ascii="Palatino Linotype" w:hAnsi="Palatino Linotype"/>
          <w:color w:val="auto"/>
          <w:u w:val="none"/>
        </w:rPr>
        <w:t>Turnos por parte del Titular de la Unidad de Transparencia a la Tesorera Municipal y a la directora de Agua Potable y Saneamiento mediante los cuales les hace del conocimiento de la solicitud y pide se dé respuesta a la misma.</w:t>
      </w:r>
    </w:p>
    <w:p w14:paraId="66546A71" w14:textId="77777777" w:rsidR="007B2489" w:rsidRPr="007B144B" w:rsidRDefault="007B2489" w:rsidP="007B144B">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7B144B">
        <w:rPr>
          <w:rStyle w:val="Hipervnculo"/>
          <w:rFonts w:ascii="Palatino Linotype" w:hAnsi="Palatino Linotype"/>
          <w:b/>
          <w:bCs/>
          <w:color w:val="auto"/>
          <w:u w:val="none"/>
        </w:rPr>
        <w:t xml:space="preserve">respuesta tesorería sol 188.pdf </w:t>
      </w:r>
    </w:p>
    <w:p w14:paraId="4F8469AF" w14:textId="77777777" w:rsidR="007B2489" w:rsidRPr="007B144B" w:rsidRDefault="007B2489" w:rsidP="007B144B">
      <w:pPr>
        <w:pStyle w:val="Prrafodelista"/>
        <w:spacing w:line="360" w:lineRule="auto"/>
        <w:ind w:right="567"/>
        <w:jc w:val="both"/>
        <w:rPr>
          <w:rStyle w:val="Hipervnculo"/>
          <w:rFonts w:ascii="Palatino Linotype" w:hAnsi="Palatino Linotype"/>
          <w:b/>
          <w:bCs/>
          <w:color w:val="auto"/>
          <w:u w:val="none"/>
        </w:rPr>
      </w:pPr>
      <w:r w:rsidRPr="007B144B">
        <w:rPr>
          <w:rStyle w:val="Hipervnculo"/>
          <w:rFonts w:ascii="Palatino Linotype" w:hAnsi="Palatino Linotype"/>
          <w:color w:val="auto"/>
          <w:u w:val="none"/>
        </w:rPr>
        <w:t xml:space="preserve">Respuesta de la Tesorería Municipal mediante la cual, en lo medular, remite la copia certificada de los recibos de ingresos realizados por Jaime Benito Urbina Gil, mediante archivo denominado </w:t>
      </w:r>
      <w:r w:rsidRPr="007B144B">
        <w:rPr>
          <w:rStyle w:val="Hipervnculo"/>
          <w:rFonts w:ascii="Palatino Linotype" w:hAnsi="Palatino Linotype"/>
          <w:b/>
          <w:bCs/>
          <w:color w:val="auto"/>
          <w:u w:val="none"/>
        </w:rPr>
        <w:t xml:space="preserve">Tianguistenco, </w:t>
      </w:r>
      <w:r w:rsidRPr="007B144B">
        <w:rPr>
          <w:rStyle w:val="Hipervnculo"/>
          <w:rFonts w:ascii="Palatino Linotype" w:hAnsi="Palatino Linotype"/>
          <w:color w:val="auto"/>
          <w:u w:val="none"/>
        </w:rPr>
        <w:t>mismas que se mandan testadas puesto que las copias certificadas se encuentran en Tesorería, así como la orden de pago para poder acceder a ellas. Así mismo, solicita que se apruebe la propuesta de clasificación de información.</w:t>
      </w:r>
    </w:p>
    <w:p w14:paraId="25D74959" w14:textId="77777777" w:rsidR="007B2489" w:rsidRPr="007B144B" w:rsidRDefault="007B2489" w:rsidP="007B144B">
      <w:pPr>
        <w:pStyle w:val="Prrafodelista"/>
        <w:numPr>
          <w:ilvl w:val="0"/>
          <w:numId w:val="4"/>
        </w:numPr>
        <w:spacing w:line="360" w:lineRule="auto"/>
        <w:ind w:right="567"/>
        <w:contextualSpacing/>
        <w:jc w:val="both"/>
        <w:rPr>
          <w:rStyle w:val="Hipervnculo"/>
          <w:rFonts w:ascii="Palatino Linotype" w:hAnsi="Palatino Linotype"/>
          <w:b/>
          <w:bCs/>
          <w:color w:val="auto"/>
          <w:u w:val="none"/>
        </w:rPr>
      </w:pPr>
      <w:r w:rsidRPr="007B144B">
        <w:rPr>
          <w:rStyle w:val="Hipervnculo"/>
          <w:rFonts w:ascii="Palatino Linotype" w:hAnsi="Palatino Linotype"/>
          <w:b/>
          <w:bCs/>
          <w:color w:val="auto"/>
          <w:u w:val="none"/>
        </w:rPr>
        <w:t xml:space="preserve">RESPUESTA AGUA POTABLE SOL 188.pdf </w:t>
      </w:r>
    </w:p>
    <w:p w14:paraId="4F25AEF4" w14:textId="00F59EC8" w:rsidR="007B2489" w:rsidRPr="007B144B" w:rsidRDefault="007B2489" w:rsidP="007B144B">
      <w:pPr>
        <w:pStyle w:val="Prrafodelista"/>
        <w:spacing w:line="360" w:lineRule="auto"/>
        <w:ind w:right="567"/>
        <w:jc w:val="both"/>
        <w:rPr>
          <w:rStyle w:val="Hipervnculo"/>
          <w:rFonts w:ascii="Palatino Linotype" w:hAnsi="Palatino Linotype"/>
          <w:b/>
          <w:bCs/>
          <w:color w:val="auto"/>
          <w:u w:val="none"/>
        </w:rPr>
      </w:pPr>
      <w:r w:rsidRPr="007B144B">
        <w:rPr>
          <w:rStyle w:val="Hipervnculo"/>
          <w:rFonts w:ascii="Palatino Linotype" w:hAnsi="Palatino Linotype"/>
          <w:color w:val="auto"/>
          <w:u w:val="none"/>
        </w:rPr>
        <w:t xml:space="preserve">Respuesta de la Directora de Agua Potable y Saneamiento mediante la cual informa que se encontró una orden de pago de derechos por la conexión del servicio de agua a nombre de Jaime Benito Urbina Gil, así como el Acta de visita realizada al C. </w:t>
      </w:r>
      <w:r w:rsidR="00BC07AF">
        <w:rPr>
          <w:rStyle w:val="Hipervnculo"/>
          <w:rFonts w:ascii="Palatino Linotype" w:hAnsi="Palatino Linotype"/>
          <w:color w:val="auto"/>
          <w:u w:val="none"/>
        </w:rPr>
        <w:t xml:space="preserve">XXXXX </w:t>
      </w:r>
      <w:proofErr w:type="spellStart"/>
      <w:r w:rsidR="00BC07AF">
        <w:rPr>
          <w:rStyle w:val="Hipervnculo"/>
          <w:rFonts w:ascii="Palatino Linotype" w:hAnsi="Palatino Linotype"/>
          <w:color w:val="auto"/>
          <w:u w:val="none"/>
        </w:rPr>
        <w:t>XXXXX</w:t>
      </w:r>
      <w:proofErr w:type="spellEnd"/>
      <w:r w:rsidR="00BC07AF">
        <w:rPr>
          <w:rStyle w:val="Hipervnculo"/>
          <w:rFonts w:ascii="Palatino Linotype" w:hAnsi="Palatino Linotype"/>
          <w:color w:val="auto"/>
          <w:u w:val="none"/>
        </w:rPr>
        <w:t xml:space="preserve"> XXXXXXXXXX</w:t>
      </w:r>
      <w:r w:rsidRPr="007B144B">
        <w:rPr>
          <w:rStyle w:val="Hipervnculo"/>
          <w:rFonts w:ascii="Palatino Linotype" w:hAnsi="Palatino Linotype"/>
          <w:color w:val="auto"/>
          <w:u w:val="none"/>
        </w:rPr>
        <w:t xml:space="preserve">, por lo que se remiten las copias certificadas solicitadas. Así mismo precisa que, por lo que hace a los recibos de ingresos de dinero </w:t>
      </w:r>
      <w:r w:rsidRPr="007B144B">
        <w:rPr>
          <w:rStyle w:val="Hipervnculo"/>
          <w:rFonts w:ascii="Palatino Linotype" w:hAnsi="Palatino Linotype"/>
          <w:color w:val="auto"/>
          <w:u w:val="none"/>
        </w:rPr>
        <w:lastRenderedPageBreak/>
        <w:t>realizados a nombre de Jaime Benito Urbina Gil, deberá solicitarlos a Tesorería.</w:t>
      </w:r>
    </w:p>
    <w:p w14:paraId="73B59563" w14:textId="77777777" w:rsidR="007B2489" w:rsidRPr="007B144B" w:rsidRDefault="007B2489" w:rsidP="007B144B">
      <w:pPr>
        <w:pStyle w:val="Prrafodelista"/>
        <w:numPr>
          <w:ilvl w:val="0"/>
          <w:numId w:val="4"/>
        </w:numPr>
        <w:spacing w:line="360" w:lineRule="auto"/>
        <w:ind w:right="567"/>
        <w:contextualSpacing/>
        <w:jc w:val="both"/>
        <w:rPr>
          <w:rFonts w:ascii="Palatino Linotype" w:hAnsi="Palatino Linotype" w:cs="Arial"/>
          <w:b/>
          <w:bCs/>
        </w:rPr>
      </w:pPr>
      <w:r w:rsidRPr="007B144B">
        <w:rPr>
          <w:rStyle w:val="Hipervnculo"/>
          <w:rFonts w:ascii="Palatino Linotype" w:hAnsi="Palatino Linotype"/>
          <w:b/>
          <w:bCs/>
          <w:color w:val="auto"/>
          <w:u w:val="none"/>
        </w:rPr>
        <w:t>RESPUESTA A CIUDADANO SOL 188.pdf</w:t>
      </w:r>
      <w:r w:rsidRPr="007B144B">
        <w:rPr>
          <w:rFonts w:ascii="Palatino Linotype" w:hAnsi="Palatino Linotype"/>
        </w:rPr>
        <w:t xml:space="preserve">: </w:t>
      </w:r>
    </w:p>
    <w:p w14:paraId="1830F380" w14:textId="77777777" w:rsidR="007B2489" w:rsidRPr="007B144B" w:rsidRDefault="007B2489" w:rsidP="007B144B">
      <w:pPr>
        <w:pStyle w:val="Prrafodelista"/>
        <w:spacing w:line="360" w:lineRule="auto"/>
        <w:ind w:right="567"/>
        <w:jc w:val="both"/>
        <w:rPr>
          <w:rFonts w:ascii="Palatino Linotype" w:hAnsi="Palatino Linotype" w:cs="Arial"/>
          <w:b/>
          <w:bCs/>
        </w:rPr>
      </w:pPr>
      <w:r w:rsidRPr="007B144B">
        <w:rPr>
          <w:rFonts w:ascii="Palatino Linotype" w:hAnsi="Palatino Linotype"/>
        </w:rPr>
        <w:t>Documento de 5 fojas mediante el cual el Titular de la Unidad de Transparencia remite la respuesta al recurrente.</w:t>
      </w:r>
    </w:p>
    <w:p w14:paraId="28FA24C8" w14:textId="77777777" w:rsidR="007B2489" w:rsidRPr="007B144B" w:rsidRDefault="007B2489" w:rsidP="007B144B">
      <w:pPr>
        <w:spacing w:line="360" w:lineRule="auto"/>
        <w:ind w:right="567"/>
        <w:jc w:val="both"/>
        <w:rPr>
          <w:rFonts w:ascii="Palatino Linotype" w:hAnsi="Palatino Linotype" w:cs="Arial"/>
          <w:b/>
        </w:rPr>
      </w:pPr>
    </w:p>
    <w:p w14:paraId="1F61D7BD" w14:textId="77777777" w:rsidR="007B2489" w:rsidRPr="007B144B" w:rsidRDefault="007B2489" w:rsidP="007B144B">
      <w:pPr>
        <w:spacing w:line="360" w:lineRule="auto"/>
        <w:ind w:right="567"/>
        <w:jc w:val="both"/>
        <w:rPr>
          <w:rFonts w:ascii="Palatino Linotype" w:hAnsi="Palatino Linotype" w:cs="Arial"/>
          <w:b/>
          <w:bCs/>
        </w:rPr>
      </w:pPr>
      <w:r w:rsidRPr="007B144B">
        <w:rPr>
          <w:rFonts w:ascii="Palatino Linotype" w:hAnsi="Palatino Linotype" w:cs="Arial"/>
          <w:b/>
        </w:rPr>
        <w:t xml:space="preserve">IV. </w:t>
      </w:r>
      <w:r w:rsidRPr="007B144B">
        <w:rPr>
          <w:rFonts w:ascii="Palatino Linotype" w:hAnsi="Palatino Linotype" w:cs="Arial"/>
          <w:b/>
          <w:bCs/>
        </w:rPr>
        <w:t>Del Recurso de Revisión</w:t>
      </w:r>
    </w:p>
    <w:p w14:paraId="079E214A" w14:textId="77777777" w:rsidR="007B2489" w:rsidRPr="007B144B" w:rsidRDefault="007B2489" w:rsidP="007B144B">
      <w:pPr>
        <w:spacing w:line="360" w:lineRule="auto"/>
        <w:jc w:val="both"/>
        <w:rPr>
          <w:rFonts w:ascii="Palatino Linotype" w:hAnsi="Palatino Linotype" w:cs="Arial"/>
        </w:rPr>
      </w:pPr>
      <w:r w:rsidRPr="007B144B">
        <w:rPr>
          <w:rFonts w:ascii="Palatino Linotype" w:hAnsi="Palatino Linotype" w:cs="Arial"/>
        </w:rPr>
        <w:t>Inconforme por la respuesta proporcionada por el</w:t>
      </w:r>
      <w:r w:rsidRPr="007B144B">
        <w:rPr>
          <w:rFonts w:ascii="Palatino Linotype" w:hAnsi="Palatino Linotype" w:cs="Arial"/>
          <w:b/>
        </w:rPr>
        <w:t xml:space="preserve"> SUJETO OBLIGADO</w:t>
      </w:r>
      <w:r w:rsidRPr="007B144B">
        <w:rPr>
          <w:rFonts w:ascii="Palatino Linotype" w:hAnsi="Palatino Linotype" w:cs="Arial"/>
        </w:rPr>
        <w:t xml:space="preserve">, </w:t>
      </w:r>
      <w:bookmarkStart w:id="0" w:name="_Hlk65869348"/>
      <w:r w:rsidRPr="007B144B">
        <w:rPr>
          <w:rFonts w:ascii="Palatino Linotype" w:hAnsi="Palatino Linotype" w:cs="Arial"/>
          <w:b/>
          <w:bCs/>
        </w:rPr>
        <w:t xml:space="preserve">el </w:t>
      </w:r>
      <w:bookmarkEnd w:id="0"/>
      <w:r w:rsidRPr="007B144B">
        <w:rPr>
          <w:rFonts w:ascii="Palatino Linotype" w:eastAsia="Palatino Linotype" w:hAnsi="Palatino Linotype" w:cs="Palatino Linotype"/>
          <w:b/>
        </w:rPr>
        <w:t>veintidós de noviembre de dos mil veintidós</w:t>
      </w:r>
      <w:r w:rsidRPr="007B144B">
        <w:rPr>
          <w:rFonts w:ascii="Palatino Linotype" w:hAnsi="Palatino Linotype" w:cs="Arial"/>
          <w:bCs/>
        </w:rPr>
        <w:t xml:space="preserve"> se interpuso el Recurso de Revisión materia</w:t>
      </w:r>
      <w:r w:rsidRPr="007B144B">
        <w:rPr>
          <w:rFonts w:ascii="Palatino Linotype" w:hAnsi="Palatino Linotype" w:cs="Arial"/>
        </w:rPr>
        <w:t xml:space="preserve"> del presente estudio, mismo que fue registrado en</w:t>
      </w:r>
      <w:r w:rsidRPr="007B144B">
        <w:rPr>
          <w:rFonts w:ascii="Palatino Linotype" w:hAnsi="Palatino Linotype" w:cs="Arial"/>
          <w:b/>
        </w:rPr>
        <w:t xml:space="preserve"> el SAIMEX</w:t>
      </w:r>
      <w:r w:rsidRPr="007B144B">
        <w:rPr>
          <w:rFonts w:ascii="Palatino Linotype" w:hAnsi="Palatino Linotype" w:cs="Arial"/>
          <w:bCs/>
        </w:rPr>
        <w:t>,</w:t>
      </w:r>
      <w:r w:rsidRPr="007B144B">
        <w:rPr>
          <w:rFonts w:ascii="Palatino Linotype" w:hAnsi="Palatino Linotype" w:cs="Arial"/>
        </w:rPr>
        <w:t xml:space="preserve"> asignándosele el número de expediente </w:t>
      </w:r>
      <w:r w:rsidRPr="007B144B">
        <w:rPr>
          <w:rFonts w:ascii="Palatino Linotype" w:hAnsi="Palatino Linotype" w:cs="Arial"/>
          <w:b/>
          <w:bCs/>
        </w:rPr>
        <w:t>16732/INFOEM/IP/RR/2022</w:t>
      </w:r>
      <w:r w:rsidRPr="007B144B">
        <w:rPr>
          <w:rFonts w:ascii="Palatino Linotype" w:hAnsi="Palatino Linotype" w:cs="Arial"/>
        </w:rPr>
        <w:t xml:space="preserve"> y mediante el cual impugna lo siguiente:</w:t>
      </w:r>
    </w:p>
    <w:p w14:paraId="586FCD20" w14:textId="77777777" w:rsidR="007B2489" w:rsidRPr="007B144B" w:rsidRDefault="007B2489" w:rsidP="007B144B">
      <w:pPr>
        <w:spacing w:line="360" w:lineRule="auto"/>
        <w:jc w:val="both"/>
        <w:rPr>
          <w:rFonts w:ascii="Palatino Linotype" w:hAnsi="Palatino Linotype" w:cs="Arial"/>
        </w:rPr>
      </w:pPr>
    </w:p>
    <w:p w14:paraId="541D3C22" w14:textId="77777777" w:rsidR="007B2489" w:rsidRPr="007B144B" w:rsidRDefault="007B2489" w:rsidP="007B144B">
      <w:pPr>
        <w:spacing w:line="360" w:lineRule="auto"/>
        <w:jc w:val="both"/>
        <w:rPr>
          <w:rFonts w:ascii="Palatino Linotype" w:hAnsi="Palatino Linotype" w:cs="Arial"/>
          <w:b/>
          <w:bCs/>
        </w:rPr>
      </w:pPr>
      <w:bookmarkStart w:id="1" w:name="_Hlk76554159"/>
      <w:r w:rsidRPr="007B144B">
        <w:rPr>
          <w:rFonts w:ascii="Palatino Linotype" w:hAnsi="Palatino Linotype" w:cs="Arial"/>
          <w:b/>
          <w:bCs/>
        </w:rPr>
        <w:t>Acto impugnado:</w:t>
      </w:r>
    </w:p>
    <w:p w14:paraId="0098D9B2" w14:textId="77777777" w:rsidR="007B2489" w:rsidRPr="007B144B" w:rsidRDefault="007B2489" w:rsidP="007B144B">
      <w:pPr>
        <w:tabs>
          <w:tab w:val="left" w:pos="851"/>
        </w:tabs>
        <w:ind w:left="851" w:right="901"/>
        <w:jc w:val="both"/>
        <w:rPr>
          <w:rFonts w:ascii="Palatino Linotype" w:hAnsi="Palatino Linotype" w:cs="Arial"/>
          <w:i/>
        </w:rPr>
      </w:pPr>
    </w:p>
    <w:p w14:paraId="02E42004" w14:textId="727175CA" w:rsidR="007B2489" w:rsidRPr="007B144B" w:rsidRDefault="007B2489" w:rsidP="007B144B">
      <w:pPr>
        <w:tabs>
          <w:tab w:val="left" w:pos="851"/>
        </w:tabs>
        <w:ind w:left="851" w:right="616"/>
        <w:jc w:val="both"/>
        <w:rPr>
          <w:rFonts w:ascii="Palatino Linotype" w:hAnsi="Palatino Linotype" w:cs="Arial"/>
          <w:i/>
        </w:rPr>
      </w:pPr>
      <w:r w:rsidRPr="007B144B">
        <w:rPr>
          <w:rFonts w:ascii="Palatino Linotype" w:hAnsi="Palatino Linotype" w:cs="Arial"/>
          <w:i/>
        </w:rPr>
        <w:t xml:space="preserve">“Solicité al H. Ayuntamiento de Tianguistenco, México, copia certificada del o </w:t>
      </w:r>
      <w:proofErr w:type="spellStart"/>
      <w:r w:rsidRPr="007B144B">
        <w:rPr>
          <w:rFonts w:ascii="Palatino Linotype" w:hAnsi="Palatino Linotype" w:cs="Arial"/>
          <w:i/>
        </w:rPr>
        <w:t>lo</w:t>
      </w:r>
      <w:proofErr w:type="spellEnd"/>
      <w:r w:rsidRPr="007B144B">
        <w:rPr>
          <w:rFonts w:ascii="Palatino Linotype" w:hAnsi="Palatino Linotype" w:cs="Arial"/>
          <w:i/>
        </w:rPr>
        <w:t xml:space="preserve"> recibos de ingresos de dinero realizados por el C. JAIME BENITO URBINA GIL a la Tesorería Municipal de Tianguistenco, México, durante el ejercicio 2022, así como de la órdenes de pago respectivas, copia certificada del acta de visita realizada al C. </w:t>
      </w:r>
      <w:r w:rsidR="00BC07AF">
        <w:rPr>
          <w:rFonts w:ascii="Palatino Linotype" w:hAnsi="Palatino Linotype" w:cs="Arial"/>
          <w:i/>
        </w:rPr>
        <w:t xml:space="preserve">XXXXX </w:t>
      </w:r>
      <w:proofErr w:type="spellStart"/>
      <w:r w:rsidR="00BC07AF">
        <w:rPr>
          <w:rFonts w:ascii="Palatino Linotype" w:hAnsi="Palatino Linotype" w:cs="Arial"/>
          <w:i/>
        </w:rPr>
        <w:t>XXXXX</w:t>
      </w:r>
      <w:proofErr w:type="spellEnd"/>
      <w:r w:rsidR="00BC07AF">
        <w:rPr>
          <w:rFonts w:ascii="Palatino Linotype" w:hAnsi="Palatino Linotype" w:cs="Arial"/>
          <w:i/>
        </w:rPr>
        <w:t xml:space="preserve"> XXXXXXXXXX</w:t>
      </w:r>
      <w:r w:rsidRPr="007B144B">
        <w:rPr>
          <w:rFonts w:ascii="Palatino Linotype" w:hAnsi="Palatino Linotype" w:cs="Arial"/>
          <w:i/>
        </w:rPr>
        <w:t xml:space="preserve">, el día 30 de agosto de 2022 realizada por el personal de la Dirección de Agua y Saneamiento de Tianguistenco, México, donde se comprometen a realizar las acciones necesarias para corregir el drenaje que se introdujo por terrenos de la Inmobiliaria y Constructora Tianguistenco, S.A. de C.V. " </w:t>
      </w:r>
      <w:bookmarkStart w:id="2" w:name="_Hlk104206422"/>
      <w:r w:rsidRPr="007B144B">
        <w:rPr>
          <w:rFonts w:ascii="Palatino Linotype" w:hAnsi="Palatino Linotype" w:cs="Arial"/>
          <w:i/>
        </w:rPr>
        <w:t>(Sic)</w:t>
      </w:r>
      <w:bookmarkEnd w:id="2"/>
    </w:p>
    <w:p w14:paraId="04ACDC3A" w14:textId="77777777" w:rsidR="007B2489" w:rsidRPr="007B144B" w:rsidRDefault="007B2489" w:rsidP="007B144B">
      <w:pPr>
        <w:tabs>
          <w:tab w:val="left" w:pos="851"/>
        </w:tabs>
        <w:ind w:left="851" w:right="901"/>
        <w:jc w:val="both"/>
        <w:rPr>
          <w:rFonts w:ascii="Palatino Linotype" w:hAnsi="Palatino Linotype" w:cs="Arial"/>
          <w:i/>
        </w:rPr>
      </w:pPr>
    </w:p>
    <w:p w14:paraId="76894078" w14:textId="77777777" w:rsidR="007B2489" w:rsidRPr="007B144B" w:rsidRDefault="007B2489" w:rsidP="007B144B">
      <w:pPr>
        <w:spacing w:line="360" w:lineRule="auto"/>
        <w:jc w:val="both"/>
        <w:rPr>
          <w:rFonts w:ascii="Palatino Linotype" w:hAnsi="Palatino Linotype" w:cs="Arial"/>
          <w:b/>
          <w:bCs/>
        </w:rPr>
      </w:pPr>
      <w:r w:rsidRPr="007B144B">
        <w:rPr>
          <w:rFonts w:ascii="Palatino Linotype" w:hAnsi="Palatino Linotype" w:cs="Arial"/>
          <w:b/>
          <w:bCs/>
        </w:rPr>
        <w:t>Razones o motivos de inconformidad:</w:t>
      </w:r>
    </w:p>
    <w:p w14:paraId="0A7B3148" w14:textId="77777777" w:rsidR="007B2489" w:rsidRPr="007B144B" w:rsidRDefault="007B2489" w:rsidP="007B144B">
      <w:pPr>
        <w:ind w:left="850" w:right="901"/>
        <w:jc w:val="both"/>
        <w:rPr>
          <w:rFonts w:ascii="Palatino Linotype" w:eastAsia="Palatino Linotype" w:hAnsi="Palatino Linotype" w:cs="Palatino Linotype"/>
          <w:i/>
          <w:iCs/>
        </w:rPr>
      </w:pPr>
    </w:p>
    <w:p w14:paraId="331E5114" w14:textId="0B8A0B88" w:rsidR="007B2489" w:rsidRPr="007B144B" w:rsidRDefault="007B2489" w:rsidP="007B144B">
      <w:pPr>
        <w:tabs>
          <w:tab w:val="left" w:pos="851"/>
        </w:tabs>
        <w:ind w:left="851" w:right="616"/>
        <w:jc w:val="both"/>
        <w:rPr>
          <w:rFonts w:ascii="Palatino Linotype" w:hAnsi="Palatino Linotype" w:cs="Arial"/>
          <w:i/>
        </w:rPr>
      </w:pPr>
      <w:r w:rsidRPr="007B144B">
        <w:rPr>
          <w:rFonts w:ascii="Palatino Linotype" w:eastAsia="Palatino Linotype" w:hAnsi="Palatino Linotype" w:cs="Palatino Linotype"/>
          <w:i/>
          <w:iCs/>
        </w:rPr>
        <w:t xml:space="preserve">“Primero: La Tesorería Municipal realiza una extensa justificación acerca de la protección de los datos personales impreso en el recibo de pago, sin embargo, </w:t>
      </w:r>
      <w:r w:rsidRPr="007B144B">
        <w:rPr>
          <w:rFonts w:ascii="Palatino Linotype" w:eastAsia="Palatino Linotype" w:hAnsi="Palatino Linotype" w:cs="Palatino Linotype"/>
          <w:i/>
          <w:iCs/>
        </w:rPr>
        <w:lastRenderedPageBreak/>
        <w:t xml:space="preserve">no entrega o por lo menos no aparece en la respuesta que se me envió, copia del pago realizado por el C. Jaime Benito Urbina Gil en su versión pública, por lo que sigo solicitando ese documento. Segundo: La Tesorería Municipal solicita convocar al Comité de Transparencia de Ayuntamiento de Tianguistenco, a efecto de que discuta y en su caso apruebe la propuesta de clasificación como confidencial de la información relativa a los recibos de remuneraciones de los integrantes de cabildo del año 2022, información que no estoy solicitando. Tercero: La certificación que realiza el sujeto obligado al formato denominado Acta de Visita, viene a nombre de </w:t>
      </w:r>
      <w:bookmarkStart w:id="3" w:name="_GoBack"/>
      <w:bookmarkEnd w:id="3"/>
      <w:r w:rsidR="00BC07AF">
        <w:rPr>
          <w:rFonts w:ascii="Palatino Linotype" w:eastAsia="Palatino Linotype" w:hAnsi="Palatino Linotype" w:cs="Palatino Linotype"/>
          <w:i/>
          <w:iCs/>
        </w:rPr>
        <w:t xml:space="preserve">XXXXX </w:t>
      </w:r>
      <w:proofErr w:type="spellStart"/>
      <w:r w:rsidR="00BC07AF">
        <w:rPr>
          <w:rFonts w:ascii="Palatino Linotype" w:eastAsia="Palatino Linotype" w:hAnsi="Palatino Linotype" w:cs="Palatino Linotype"/>
          <w:i/>
          <w:iCs/>
        </w:rPr>
        <w:t>XXXXX</w:t>
      </w:r>
      <w:proofErr w:type="spellEnd"/>
      <w:r w:rsidR="00BC07AF">
        <w:rPr>
          <w:rFonts w:ascii="Palatino Linotype" w:eastAsia="Palatino Linotype" w:hAnsi="Palatino Linotype" w:cs="Palatino Linotype"/>
          <w:i/>
          <w:iCs/>
        </w:rPr>
        <w:t xml:space="preserve"> XXXXXXXXXX</w:t>
      </w:r>
      <w:r w:rsidRPr="007B144B">
        <w:rPr>
          <w:rFonts w:ascii="Palatino Linotype" w:eastAsia="Palatino Linotype" w:hAnsi="Palatino Linotype" w:cs="Palatino Linotype"/>
          <w:i/>
          <w:iCs/>
        </w:rPr>
        <w:t xml:space="preserve"> y el nombre correcto es </w:t>
      </w:r>
      <w:r w:rsidR="00BC07AF">
        <w:rPr>
          <w:rFonts w:ascii="Palatino Linotype" w:eastAsia="Palatino Linotype" w:hAnsi="Palatino Linotype" w:cs="Palatino Linotype"/>
          <w:i/>
          <w:iCs/>
        </w:rPr>
        <w:t xml:space="preserve">XXXXX </w:t>
      </w:r>
      <w:proofErr w:type="spellStart"/>
      <w:r w:rsidR="00BC07AF">
        <w:rPr>
          <w:rFonts w:ascii="Palatino Linotype" w:eastAsia="Palatino Linotype" w:hAnsi="Palatino Linotype" w:cs="Palatino Linotype"/>
          <w:i/>
          <w:iCs/>
        </w:rPr>
        <w:t>XXXXX</w:t>
      </w:r>
      <w:proofErr w:type="spellEnd"/>
      <w:r w:rsidR="00BC07AF">
        <w:rPr>
          <w:rFonts w:ascii="Palatino Linotype" w:eastAsia="Palatino Linotype" w:hAnsi="Palatino Linotype" w:cs="Palatino Linotype"/>
          <w:i/>
          <w:iCs/>
        </w:rPr>
        <w:t xml:space="preserve"> XXXXXXXXXX</w:t>
      </w:r>
      <w:r w:rsidRPr="007B144B">
        <w:rPr>
          <w:rFonts w:ascii="Palatino Linotype" w:eastAsia="Palatino Linotype" w:hAnsi="Palatino Linotype" w:cs="Palatino Linotype"/>
          <w:i/>
          <w:iCs/>
        </w:rPr>
        <w:t xml:space="preserve">. Cuarto: No coincido con el sujeto obligado en testar los nombres tanto en la orden de pago del contribuyente como en la Acta de Visita, debido a que el primero está siendo señalado en la propia solicitud y en el acta de visita es el propio solicitante.” </w:t>
      </w:r>
      <w:r w:rsidRPr="007B144B">
        <w:rPr>
          <w:rFonts w:ascii="Palatino Linotype" w:hAnsi="Palatino Linotype" w:cs="Arial"/>
          <w:i/>
        </w:rPr>
        <w:t>(Sic)</w:t>
      </w:r>
    </w:p>
    <w:p w14:paraId="2D192F67" w14:textId="77777777" w:rsidR="007B2489" w:rsidRPr="007B144B" w:rsidRDefault="007B2489" w:rsidP="007B144B">
      <w:pPr>
        <w:ind w:left="850" w:right="901"/>
        <w:jc w:val="both"/>
        <w:rPr>
          <w:rFonts w:ascii="Palatino Linotype" w:hAnsi="Palatino Linotype" w:cs="Arial"/>
          <w:i/>
        </w:rPr>
      </w:pPr>
    </w:p>
    <w:bookmarkEnd w:id="1"/>
    <w:p w14:paraId="3A3C52AB" w14:textId="77777777" w:rsidR="007B2489" w:rsidRPr="007B144B" w:rsidRDefault="007B2489" w:rsidP="007B144B">
      <w:pPr>
        <w:spacing w:line="360" w:lineRule="auto"/>
        <w:jc w:val="both"/>
        <w:rPr>
          <w:rFonts w:ascii="Palatino Linotype" w:hAnsi="Palatino Linotype" w:cs="Arial"/>
          <w:b/>
        </w:rPr>
      </w:pPr>
      <w:r w:rsidRPr="007B144B">
        <w:rPr>
          <w:rFonts w:ascii="Palatino Linotype" w:hAnsi="Palatino Linotype" w:cs="Arial"/>
          <w:b/>
        </w:rPr>
        <w:t>V. Del turno del Recurso de Revisión</w:t>
      </w:r>
    </w:p>
    <w:p w14:paraId="373C3234" w14:textId="77777777" w:rsidR="007B2489" w:rsidRPr="007B144B" w:rsidRDefault="007B2489" w:rsidP="007B144B">
      <w:pPr>
        <w:spacing w:line="360" w:lineRule="auto"/>
        <w:jc w:val="both"/>
        <w:rPr>
          <w:rFonts w:ascii="Palatino Linotype" w:hAnsi="Palatino Linotype" w:cs="Arial"/>
        </w:rPr>
      </w:pPr>
      <w:r w:rsidRPr="007B144B">
        <w:rPr>
          <w:rFonts w:ascii="Palatino Linotype" w:hAnsi="Palatino Linotype" w:cs="Arial"/>
        </w:rPr>
        <w:t>El</w:t>
      </w:r>
      <w:r w:rsidRPr="007B144B">
        <w:rPr>
          <w:rFonts w:ascii="Palatino Linotype" w:hAnsi="Palatino Linotype" w:cs="Arial"/>
          <w:b/>
          <w:bCs/>
        </w:rPr>
        <w:t xml:space="preserve"> veintidós de noviembre de dos mil veintidós</w:t>
      </w:r>
      <w:r w:rsidRPr="007B144B">
        <w:rPr>
          <w:rFonts w:ascii="Palatino Linotype" w:hAnsi="Palatino Linotype" w:cs="Arial"/>
        </w:rPr>
        <w:t xml:space="preserve"> el recurso que se trata se envió electrónicamente al Instituto de </w:t>
      </w:r>
      <w:r w:rsidRPr="007B144B">
        <w:rPr>
          <w:rFonts w:ascii="Palatino Linotype" w:eastAsia="Arial Unicode MS" w:hAnsi="Palatino Linotype" w:cs="Arial"/>
        </w:rPr>
        <w:t>Transparencia</w:t>
      </w:r>
      <w:r w:rsidRPr="007B144B">
        <w:rPr>
          <w:rFonts w:ascii="Palatino Linotype" w:hAnsi="Palatino Linotype" w:cs="Arial"/>
        </w:rPr>
        <w:t>, Acceso a la Información Pública y Protección de Datos Personales del Estado de México y Municipios; turnándose mediante</w:t>
      </w:r>
      <w:r w:rsidRPr="007B144B">
        <w:rPr>
          <w:rFonts w:ascii="Palatino Linotype" w:eastAsia="Arial Unicode MS" w:hAnsi="Palatino Linotype" w:cs="Arial"/>
        </w:rPr>
        <w:t xml:space="preserve"> </w:t>
      </w:r>
      <w:r w:rsidRPr="007B144B">
        <w:rPr>
          <w:rFonts w:ascii="Palatino Linotype" w:eastAsia="Arial Unicode MS" w:hAnsi="Palatino Linotype" w:cs="Arial"/>
          <w:b/>
        </w:rPr>
        <w:t>SAIMEX</w:t>
      </w:r>
      <w:r w:rsidRPr="007B144B">
        <w:rPr>
          <w:rFonts w:ascii="Palatino Linotype" w:hAnsi="Palatino Linotype"/>
        </w:rPr>
        <w:t xml:space="preserve"> a la </w:t>
      </w:r>
      <w:r w:rsidRPr="007B144B">
        <w:rPr>
          <w:rFonts w:ascii="Palatino Linotype" w:hAnsi="Palatino Linotype"/>
          <w:b/>
        </w:rPr>
        <w:t xml:space="preserve">Comisionada Sharon Cristina Morales Martínez, </w:t>
      </w:r>
      <w:r w:rsidRPr="007B144B">
        <w:rPr>
          <w:rFonts w:ascii="Palatino Linotype" w:hAnsi="Palatino Linotype" w:cs="Arial"/>
        </w:rPr>
        <w:t xml:space="preserve">a efecto de decretar su admisión o </w:t>
      </w:r>
      <w:proofErr w:type="spellStart"/>
      <w:r w:rsidRPr="007B144B">
        <w:rPr>
          <w:rFonts w:ascii="Palatino Linotype" w:hAnsi="Palatino Linotype" w:cs="Arial"/>
        </w:rPr>
        <w:t>desechamiento</w:t>
      </w:r>
      <w:proofErr w:type="spellEnd"/>
      <w:r w:rsidRPr="007B144B">
        <w:rPr>
          <w:rFonts w:ascii="Palatino Linotype" w:hAnsi="Palatino Linotype" w:cs="Arial"/>
        </w:rPr>
        <w:t>,</w:t>
      </w:r>
      <w:r w:rsidRPr="007B144B" w:rsidDel="00A93D44">
        <w:rPr>
          <w:rFonts w:ascii="Palatino Linotype" w:hAnsi="Palatino Linotype" w:cs="Arial"/>
        </w:rPr>
        <w:t xml:space="preserve"> </w:t>
      </w:r>
      <w:r w:rsidRPr="007B144B">
        <w:rPr>
          <w:rFonts w:ascii="Palatino Linotype" w:hAnsi="Palatino Linotype" w:cs="Arial"/>
        </w:rPr>
        <w:t xml:space="preserve"> con fundamento en el artículo 185, fracción I de la </w:t>
      </w:r>
      <w:r w:rsidRPr="007B144B">
        <w:rPr>
          <w:rFonts w:ascii="Palatino Linotype" w:hAnsi="Palatino Linotype"/>
        </w:rPr>
        <w:t>Ley de Transparencia y Acceso a la Información Pública del Estado de México y Municipios</w:t>
      </w:r>
      <w:r w:rsidRPr="007B144B">
        <w:rPr>
          <w:rFonts w:ascii="Palatino Linotype" w:hAnsi="Palatino Linotype" w:cs="Arial"/>
        </w:rPr>
        <w:t>..</w:t>
      </w:r>
      <w:r w:rsidRPr="007B144B">
        <w:t xml:space="preserve"> </w:t>
      </w:r>
    </w:p>
    <w:p w14:paraId="1B5EC4B1" w14:textId="77777777" w:rsidR="007B2489" w:rsidRPr="007B144B" w:rsidRDefault="007B2489" w:rsidP="007B144B">
      <w:pPr>
        <w:spacing w:line="360" w:lineRule="auto"/>
        <w:jc w:val="both"/>
        <w:rPr>
          <w:rFonts w:ascii="Palatino Linotype" w:hAnsi="Palatino Linotype" w:cs="Arial"/>
        </w:rPr>
      </w:pPr>
      <w:r w:rsidRPr="007B144B">
        <w:rPr>
          <w:rFonts w:ascii="Palatino Linotype" w:hAnsi="Palatino Linotype" w:cs="Arial"/>
        </w:rPr>
        <w:t xml:space="preserve"> </w:t>
      </w:r>
    </w:p>
    <w:p w14:paraId="1DAC7EF0" w14:textId="77777777" w:rsidR="007B2489" w:rsidRPr="007B144B" w:rsidRDefault="007B2489" w:rsidP="007B144B">
      <w:pPr>
        <w:tabs>
          <w:tab w:val="center" w:pos="4252"/>
          <w:tab w:val="right" w:pos="8504"/>
        </w:tabs>
        <w:spacing w:line="360" w:lineRule="auto"/>
        <w:jc w:val="both"/>
        <w:rPr>
          <w:rFonts w:ascii="Palatino Linotype" w:hAnsi="Palatino Linotype" w:cs="Arial"/>
          <w:b/>
        </w:rPr>
      </w:pPr>
      <w:r w:rsidRPr="007B144B">
        <w:rPr>
          <w:rFonts w:ascii="Palatino Linotype" w:hAnsi="Palatino Linotype" w:cs="Arial"/>
          <w:b/>
        </w:rPr>
        <w:t>a) Admisión del Recurso de Revisión</w:t>
      </w:r>
    </w:p>
    <w:p w14:paraId="7D8E7F59" w14:textId="77777777" w:rsidR="007B2489" w:rsidRPr="007B144B" w:rsidRDefault="007B2489" w:rsidP="007B144B">
      <w:pPr>
        <w:tabs>
          <w:tab w:val="center" w:pos="4252"/>
          <w:tab w:val="right" w:pos="8504"/>
        </w:tabs>
        <w:spacing w:line="360" w:lineRule="auto"/>
        <w:jc w:val="both"/>
        <w:rPr>
          <w:rFonts w:ascii="Palatino Linotype" w:hAnsi="Palatino Linotype" w:cs="Arial"/>
        </w:rPr>
      </w:pPr>
      <w:r w:rsidRPr="007B144B">
        <w:rPr>
          <w:rFonts w:ascii="Palatino Linotype" w:hAnsi="Palatino Linotype" w:cs="Arial"/>
        </w:rPr>
        <w:t>De las constancias del expediente electrónico del</w:t>
      </w:r>
      <w:r w:rsidRPr="007B144B">
        <w:rPr>
          <w:rFonts w:ascii="Palatino Linotype" w:hAnsi="Palatino Linotype" w:cs="Arial"/>
          <w:b/>
        </w:rPr>
        <w:t xml:space="preserve"> SAIMEX</w:t>
      </w:r>
      <w:r w:rsidRPr="007B144B">
        <w:rPr>
          <w:rFonts w:ascii="Palatino Linotype" w:hAnsi="Palatino Linotype" w:cs="Arial"/>
        </w:rPr>
        <w:t xml:space="preserve">, se advierte que el </w:t>
      </w:r>
      <w:r w:rsidRPr="007B144B">
        <w:rPr>
          <w:rFonts w:ascii="Palatino Linotype" w:hAnsi="Palatino Linotype" w:cs="Arial"/>
          <w:b/>
          <w:bCs/>
        </w:rPr>
        <w:t>veinticinco de noviembre de dos mil veintidós</w:t>
      </w:r>
      <w:r w:rsidRPr="007B144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w:t>
      </w:r>
      <w:r w:rsidRPr="007B144B">
        <w:rPr>
          <w:rFonts w:ascii="Palatino Linotype" w:hAnsi="Palatino Linotype" w:cs="Arial"/>
        </w:rPr>
        <w:lastRenderedPageBreak/>
        <w:t xml:space="preserve">máximo de siete días hábiles, manifestaran lo que a su derecho conviniera, a efecto de presentar pruebas y alegatos; así como para que </w:t>
      </w:r>
      <w:r w:rsidRPr="007B144B">
        <w:rPr>
          <w:rFonts w:ascii="Palatino Linotype" w:hAnsi="Palatino Linotype" w:cs="Arial"/>
          <w:b/>
        </w:rPr>
        <w:t xml:space="preserve">EL SUJETO OBLIGADO </w:t>
      </w:r>
      <w:r w:rsidRPr="007B144B">
        <w:rPr>
          <w:rFonts w:ascii="Palatino Linotype" w:hAnsi="Palatino Linotype" w:cs="Arial"/>
        </w:rPr>
        <w:t>rindiera su</w:t>
      </w:r>
      <w:r w:rsidRPr="007B144B">
        <w:rPr>
          <w:rFonts w:ascii="Palatino Linotype" w:hAnsi="Palatino Linotype" w:cs="Arial"/>
          <w:b/>
        </w:rPr>
        <w:t xml:space="preserve"> </w:t>
      </w:r>
      <w:r w:rsidRPr="007B144B">
        <w:rPr>
          <w:rFonts w:ascii="Palatino Linotype" w:hAnsi="Palatino Linotype" w:cs="Arial"/>
        </w:rPr>
        <w:t>Informe Justificado, conforme a lo dispuesto por el artículo 185 de la Ley de Transparencia y Acceso a la Información Pública del Estado de México y Municipios.</w:t>
      </w:r>
    </w:p>
    <w:p w14:paraId="5EB86215" w14:textId="77777777" w:rsidR="007B2489" w:rsidRPr="007B144B" w:rsidRDefault="007B2489" w:rsidP="007B144B">
      <w:pPr>
        <w:spacing w:line="360" w:lineRule="auto"/>
        <w:jc w:val="both"/>
        <w:rPr>
          <w:rFonts w:ascii="Palatino Linotype" w:eastAsia="Arial Unicode MS" w:hAnsi="Palatino Linotype" w:cs="Arial"/>
          <w:b/>
        </w:rPr>
      </w:pPr>
    </w:p>
    <w:p w14:paraId="62979712" w14:textId="77777777" w:rsidR="007B2489" w:rsidRPr="007B144B" w:rsidRDefault="007B2489" w:rsidP="007B144B">
      <w:pPr>
        <w:spacing w:line="360" w:lineRule="auto"/>
        <w:jc w:val="both"/>
        <w:rPr>
          <w:rFonts w:ascii="Palatino Linotype" w:eastAsia="Arial Unicode MS" w:hAnsi="Palatino Linotype" w:cs="Arial"/>
          <w:b/>
        </w:rPr>
      </w:pPr>
      <w:r w:rsidRPr="007B144B">
        <w:rPr>
          <w:rFonts w:ascii="Palatino Linotype" w:eastAsia="Arial Unicode MS" w:hAnsi="Palatino Linotype" w:cs="Arial"/>
          <w:b/>
        </w:rPr>
        <w:t xml:space="preserve">b) </w:t>
      </w:r>
      <w:r w:rsidRPr="007B144B">
        <w:rPr>
          <w:rFonts w:ascii="Palatino Linotype" w:hAnsi="Palatino Linotype" w:cs="Arial"/>
          <w:b/>
          <w:bCs/>
        </w:rPr>
        <w:t>Informe Justificado</w:t>
      </w:r>
    </w:p>
    <w:p w14:paraId="495830B4" w14:textId="39349C75" w:rsidR="006538A3" w:rsidRPr="007B144B" w:rsidRDefault="007B2489" w:rsidP="007B144B">
      <w:pPr>
        <w:tabs>
          <w:tab w:val="center" w:pos="4252"/>
          <w:tab w:val="right" w:pos="8504"/>
        </w:tabs>
        <w:spacing w:line="360" w:lineRule="auto"/>
        <w:jc w:val="both"/>
        <w:rPr>
          <w:rFonts w:ascii="Palatino Linotype" w:hAnsi="Palatino Linotype" w:cs="Arial"/>
        </w:rPr>
      </w:pPr>
      <w:r w:rsidRPr="007B144B">
        <w:rPr>
          <w:rFonts w:ascii="Palatino Linotype" w:hAnsi="Palatino Linotype" w:cs="Arial"/>
        </w:rPr>
        <w:t xml:space="preserve">En cumplimiento a lo anterior, de las constancias del expediente electrónico que obra en el </w:t>
      </w:r>
      <w:r w:rsidRPr="007B144B">
        <w:rPr>
          <w:rFonts w:ascii="Palatino Linotype" w:hAnsi="Palatino Linotype" w:cs="Arial"/>
          <w:b/>
          <w:bCs/>
        </w:rPr>
        <w:t>SAIMEX</w:t>
      </w:r>
      <w:r w:rsidRPr="007B144B">
        <w:rPr>
          <w:rFonts w:ascii="Palatino Linotype" w:hAnsi="Palatino Linotype" w:cs="Arial"/>
        </w:rPr>
        <w:t xml:space="preserve">, se advierte que </w:t>
      </w:r>
      <w:r w:rsidRPr="007B144B">
        <w:rPr>
          <w:rFonts w:ascii="Palatino Linotype" w:hAnsi="Palatino Linotype" w:cs="Arial"/>
          <w:b/>
          <w:bCs/>
        </w:rPr>
        <w:t xml:space="preserve">EL SUJETO OBLIGADO </w:t>
      </w:r>
      <w:r w:rsidRPr="007B144B">
        <w:rPr>
          <w:rFonts w:ascii="Palatino Linotype" w:hAnsi="Palatino Linotype" w:cs="Arial"/>
        </w:rPr>
        <w:t>remitió informe justificado</w:t>
      </w:r>
      <w:r w:rsidR="003B0C87" w:rsidRPr="007B144B">
        <w:rPr>
          <w:rFonts w:ascii="Palatino Linotype" w:hAnsi="Palatino Linotype" w:cs="Arial"/>
        </w:rPr>
        <w:t xml:space="preserve"> </w:t>
      </w:r>
      <w:r w:rsidRPr="007B144B">
        <w:rPr>
          <w:rFonts w:ascii="Palatino Linotype" w:hAnsi="Palatino Linotype" w:cs="Arial"/>
        </w:rPr>
        <w:t xml:space="preserve"> mediante </w:t>
      </w:r>
      <w:bookmarkStart w:id="4" w:name="_Hlk97138918"/>
      <w:r w:rsidR="006538A3" w:rsidRPr="007B144B">
        <w:rPr>
          <w:rFonts w:ascii="Palatino Linotype" w:hAnsi="Palatino Linotype" w:cs="Arial"/>
        </w:rPr>
        <w:t>los archivos siguientes:</w:t>
      </w:r>
    </w:p>
    <w:p w14:paraId="20220445" w14:textId="77777777" w:rsidR="00740317" w:rsidRPr="007B144B" w:rsidRDefault="00740317" w:rsidP="007B144B">
      <w:pPr>
        <w:tabs>
          <w:tab w:val="center" w:pos="4252"/>
          <w:tab w:val="right" w:pos="8504"/>
        </w:tabs>
        <w:spacing w:line="360" w:lineRule="auto"/>
        <w:jc w:val="both"/>
        <w:rPr>
          <w:rFonts w:ascii="Palatino Linotype" w:hAnsi="Palatino Linotype" w:cs="Arial"/>
        </w:rPr>
      </w:pPr>
    </w:p>
    <w:p w14:paraId="64EBB053" w14:textId="38330193" w:rsidR="006538A3" w:rsidRPr="007B144B" w:rsidRDefault="00731B04" w:rsidP="007B144B">
      <w:pPr>
        <w:tabs>
          <w:tab w:val="center" w:pos="4252"/>
          <w:tab w:val="right" w:pos="8504"/>
        </w:tabs>
        <w:spacing w:line="360" w:lineRule="auto"/>
        <w:jc w:val="both"/>
        <w:rPr>
          <w:rFonts w:ascii="Palatino Linotype" w:hAnsi="Palatino Linotype" w:cs="Arial"/>
        </w:rPr>
      </w:pPr>
      <w:proofErr w:type="gramStart"/>
      <w:r w:rsidRPr="007B144B">
        <w:rPr>
          <w:rFonts w:ascii="Palatino Linotype" w:hAnsi="Palatino Linotype" w:cs="Arial"/>
          <w:b/>
          <w:bCs/>
          <w:i/>
          <w:iCs/>
        </w:rPr>
        <w:t>manifestaciones</w:t>
      </w:r>
      <w:proofErr w:type="gramEnd"/>
      <w:r w:rsidRPr="007B144B">
        <w:rPr>
          <w:rFonts w:ascii="Palatino Linotype" w:hAnsi="Palatino Linotype" w:cs="Arial"/>
          <w:b/>
          <w:bCs/>
          <w:i/>
          <w:iCs/>
        </w:rPr>
        <w:t xml:space="preserve"> RR 16732.pdf. </w:t>
      </w:r>
      <w:r w:rsidRPr="007B144B">
        <w:rPr>
          <w:rFonts w:ascii="Palatino Linotype" w:hAnsi="Palatino Linotype" w:cs="Arial"/>
        </w:rPr>
        <w:t xml:space="preserve">Archivo que contiene el informe justificado </w:t>
      </w:r>
      <w:r w:rsidR="005D730B" w:rsidRPr="007B144B">
        <w:rPr>
          <w:rFonts w:ascii="Palatino Linotype" w:hAnsi="Palatino Linotype" w:cs="Arial"/>
        </w:rPr>
        <w:t xml:space="preserve">del Sujeto Obligado mediante el cual ratifica su respuesta y argumenta el por qué a su criterio si se está cumpliendo </w:t>
      </w:r>
      <w:r w:rsidR="00F06EA9" w:rsidRPr="007B144B">
        <w:rPr>
          <w:rFonts w:ascii="Palatino Linotype" w:hAnsi="Palatino Linotype" w:cs="Arial"/>
        </w:rPr>
        <w:t xml:space="preserve">con la entrega de la información. </w:t>
      </w:r>
    </w:p>
    <w:p w14:paraId="346B6C3A" w14:textId="77777777" w:rsidR="00740317" w:rsidRPr="007B144B" w:rsidRDefault="00740317" w:rsidP="007B144B">
      <w:pPr>
        <w:tabs>
          <w:tab w:val="center" w:pos="4252"/>
          <w:tab w:val="right" w:pos="8504"/>
        </w:tabs>
        <w:spacing w:line="360" w:lineRule="auto"/>
        <w:jc w:val="both"/>
        <w:rPr>
          <w:rFonts w:ascii="Palatino Linotype" w:hAnsi="Palatino Linotype" w:cs="Arial"/>
        </w:rPr>
      </w:pPr>
    </w:p>
    <w:p w14:paraId="271C6E4C" w14:textId="5ACE6EBC" w:rsidR="00F06EA9" w:rsidRPr="007B144B" w:rsidRDefault="00997F8C" w:rsidP="007B144B">
      <w:pPr>
        <w:tabs>
          <w:tab w:val="center" w:pos="4252"/>
          <w:tab w:val="right" w:pos="8504"/>
        </w:tabs>
        <w:spacing w:line="360" w:lineRule="auto"/>
        <w:jc w:val="both"/>
        <w:rPr>
          <w:rFonts w:ascii="Palatino Linotype" w:hAnsi="Palatino Linotype" w:cs="Arial"/>
        </w:rPr>
      </w:pPr>
      <w:hyperlink r:id="rId9" w:history="1">
        <w:r w:rsidR="00740317" w:rsidRPr="007B144B">
          <w:rPr>
            <w:rFonts w:ascii="Palatino Linotype" w:hAnsi="Palatino Linotype"/>
            <w:b/>
            <w:bCs/>
            <w:i/>
            <w:iCs/>
          </w:rPr>
          <w:t>respuesta tesorería sol 188 (2).pdf</w:t>
        </w:r>
      </w:hyperlink>
      <w:r w:rsidR="00740317" w:rsidRPr="007B144B">
        <w:rPr>
          <w:rFonts w:ascii="Palatino Linotype" w:hAnsi="Palatino Linotype" w:cs="Arial"/>
          <w:b/>
          <w:bCs/>
          <w:i/>
          <w:iCs/>
        </w:rPr>
        <w:t xml:space="preserve"> </w:t>
      </w:r>
      <w:r w:rsidR="00740317" w:rsidRPr="007B144B">
        <w:rPr>
          <w:rFonts w:ascii="Palatino Linotype" w:hAnsi="Palatino Linotype" w:cs="Arial"/>
        </w:rPr>
        <w:t xml:space="preserve">Oficio </w:t>
      </w:r>
      <w:r w:rsidR="00FB1023" w:rsidRPr="007B144B">
        <w:rPr>
          <w:rFonts w:ascii="Palatino Linotype" w:hAnsi="Palatino Linotype" w:cs="Arial"/>
        </w:rPr>
        <w:t>PMT/TMT/0776/2022 por medio del cual la Tesorería le informa al Titular de la Unidad de Transparencia que remite la información solicitada y que testa datos personales juntos con los argumentos del por qué los testa.</w:t>
      </w:r>
    </w:p>
    <w:p w14:paraId="573B6476" w14:textId="77777777" w:rsidR="00FB1023" w:rsidRPr="007B144B" w:rsidRDefault="00FB1023" w:rsidP="007B144B">
      <w:pPr>
        <w:tabs>
          <w:tab w:val="center" w:pos="4252"/>
          <w:tab w:val="right" w:pos="8504"/>
        </w:tabs>
        <w:spacing w:line="360" w:lineRule="auto"/>
        <w:jc w:val="both"/>
        <w:rPr>
          <w:rFonts w:ascii="Palatino Linotype" w:hAnsi="Palatino Linotype" w:cs="Arial"/>
        </w:rPr>
      </w:pPr>
    </w:p>
    <w:p w14:paraId="708E75CB" w14:textId="7990B8BE" w:rsidR="00FB1023" w:rsidRPr="007B144B" w:rsidRDefault="00997F8C" w:rsidP="007B144B">
      <w:pPr>
        <w:tabs>
          <w:tab w:val="center" w:pos="4252"/>
          <w:tab w:val="right" w:pos="8504"/>
        </w:tabs>
        <w:spacing w:line="360" w:lineRule="auto"/>
        <w:jc w:val="both"/>
        <w:rPr>
          <w:rFonts w:ascii="Palatino Linotype" w:hAnsi="Palatino Linotype"/>
        </w:rPr>
      </w:pPr>
      <w:hyperlink r:id="rId10" w:history="1">
        <w:r w:rsidR="00945A7F" w:rsidRPr="007B144B">
          <w:rPr>
            <w:rFonts w:ascii="Palatino Linotype" w:hAnsi="Palatino Linotype"/>
            <w:i/>
            <w:iCs/>
          </w:rPr>
          <w:t>RECURSDO DE REVICION 16732.pdf</w:t>
        </w:r>
      </w:hyperlink>
      <w:r w:rsidR="00945A7F" w:rsidRPr="007B144B">
        <w:rPr>
          <w:rFonts w:ascii="Palatino Linotype" w:hAnsi="Palatino Linotype"/>
          <w:b/>
          <w:bCs/>
          <w:i/>
          <w:iCs/>
        </w:rPr>
        <w:t xml:space="preserve"> </w:t>
      </w:r>
      <w:r w:rsidR="00945A7F" w:rsidRPr="007B144B">
        <w:rPr>
          <w:rFonts w:ascii="Palatino Linotype" w:hAnsi="Palatino Linotype"/>
        </w:rPr>
        <w:t xml:space="preserve">Acuerdo de Admisión </w:t>
      </w:r>
      <w:r w:rsidR="002B5EB2" w:rsidRPr="007B144B">
        <w:rPr>
          <w:rFonts w:ascii="Palatino Linotype" w:hAnsi="Palatino Linotype"/>
        </w:rPr>
        <w:t>del presente recurso de revisión de fecha veinticinco de noviembre de dos mil veintidós.</w:t>
      </w:r>
    </w:p>
    <w:p w14:paraId="305ED4CE" w14:textId="77777777" w:rsidR="002B5EB2" w:rsidRPr="007B144B" w:rsidRDefault="002B5EB2" w:rsidP="007B144B">
      <w:pPr>
        <w:tabs>
          <w:tab w:val="center" w:pos="4252"/>
          <w:tab w:val="right" w:pos="8504"/>
        </w:tabs>
        <w:spacing w:line="360" w:lineRule="auto"/>
        <w:jc w:val="both"/>
        <w:rPr>
          <w:rFonts w:ascii="Palatino Linotype" w:hAnsi="Palatino Linotype"/>
          <w:b/>
          <w:bCs/>
          <w:i/>
          <w:iCs/>
        </w:rPr>
      </w:pPr>
    </w:p>
    <w:p w14:paraId="1FB2F1A2" w14:textId="2BD63BE6" w:rsidR="002B5EB2" w:rsidRPr="007B144B" w:rsidRDefault="00997F8C" w:rsidP="007B144B">
      <w:pPr>
        <w:tabs>
          <w:tab w:val="center" w:pos="4252"/>
          <w:tab w:val="right" w:pos="8504"/>
        </w:tabs>
        <w:spacing w:line="360" w:lineRule="auto"/>
        <w:jc w:val="both"/>
        <w:rPr>
          <w:rFonts w:ascii="Palatino Linotype" w:hAnsi="Palatino Linotype"/>
        </w:rPr>
      </w:pPr>
      <w:hyperlink r:id="rId11" w:history="1">
        <w:r w:rsidR="008E22C6" w:rsidRPr="007B144B">
          <w:rPr>
            <w:rFonts w:ascii="Palatino Linotype" w:hAnsi="Palatino Linotype"/>
            <w:i/>
            <w:iCs/>
          </w:rPr>
          <w:t>Manifestaciones del Particular.pdf</w:t>
        </w:r>
      </w:hyperlink>
      <w:r w:rsidR="007D4604" w:rsidRPr="007B144B">
        <w:rPr>
          <w:rFonts w:ascii="Palatino Linotype" w:hAnsi="Palatino Linotype"/>
          <w:b/>
          <w:bCs/>
          <w:i/>
          <w:iCs/>
        </w:rPr>
        <w:t xml:space="preserve"> </w:t>
      </w:r>
      <w:r w:rsidR="007D4604" w:rsidRPr="007B144B">
        <w:rPr>
          <w:rFonts w:ascii="Palatino Linotype" w:hAnsi="Palatino Linotype"/>
        </w:rPr>
        <w:t>Acuse de la interposición del presente Recurso de Revisión donde se advierten las razones y motivos de inconformidad del recurrente.</w:t>
      </w:r>
    </w:p>
    <w:p w14:paraId="4F7B70CE" w14:textId="77777777" w:rsidR="008E22C6" w:rsidRPr="007B144B" w:rsidRDefault="008E22C6" w:rsidP="007B144B">
      <w:pPr>
        <w:tabs>
          <w:tab w:val="center" w:pos="4252"/>
          <w:tab w:val="right" w:pos="8504"/>
        </w:tabs>
        <w:spacing w:line="360" w:lineRule="auto"/>
        <w:jc w:val="both"/>
        <w:rPr>
          <w:rFonts w:ascii="Palatino Linotype" w:hAnsi="Palatino Linotype"/>
          <w:b/>
          <w:bCs/>
          <w:i/>
          <w:iCs/>
        </w:rPr>
      </w:pPr>
    </w:p>
    <w:p w14:paraId="12F8EF3E" w14:textId="40995F6E" w:rsidR="008E22C6" w:rsidRPr="007B144B" w:rsidRDefault="00997F8C" w:rsidP="007B144B">
      <w:pPr>
        <w:tabs>
          <w:tab w:val="center" w:pos="4252"/>
          <w:tab w:val="right" w:pos="8504"/>
        </w:tabs>
        <w:spacing w:line="360" w:lineRule="auto"/>
        <w:jc w:val="both"/>
        <w:rPr>
          <w:rFonts w:ascii="Palatino Linotype" w:hAnsi="Palatino Linotype"/>
        </w:rPr>
      </w:pPr>
      <w:hyperlink r:id="rId12" w:history="1">
        <w:r w:rsidR="007D4604" w:rsidRPr="007B144B">
          <w:rPr>
            <w:rFonts w:ascii="Palatino Linotype" w:hAnsi="Palatino Linotype"/>
            <w:i/>
            <w:iCs/>
          </w:rPr>
          <w:t>Tianguistengo.pdf</w:t>
        </w:r>
      </w:hyperlink>
      <w:r w:rsidR="007D4604" w:rsidRPr="007B144B">
        <w:rPr>
          <w:rFonts w:ascii="Palatino Linotype" w:hAnsi="Palatino Linotype"/>
          <w:b/>
          <w:bCs/>
          <w:i/>
          <w:iCs/>
        </w:rPr>
        <w:t xml:space="preserve"> </w:t>
      </w:r>
      <w:r w:rsidR="00DC3E12" w:rsidRPr="007B144B">
        <w:rPr>
          <w:rFonts w:ascii="Palatino Linotype" w:hAnsi="Palatino Linotype"/>
        </w:rPr>
        <w:t xml:space="preserve">Archivo de dos fojas útiles que no se puso a la vista en razón de </w:t>
      </w:r>
      <w:r w:rsidR="009824E0" w:rsidRPr="007B144B">
        <w:rPr>
          <w:rFonts w:ascii="Palatino Linotype" w:hAnsi="Palatino Linotype"/>
        </w:rPr>
        <w:t xml:space="preserve">contener datos personales visibles como lo es de manera enunciativa </w:t>
      </w:r>
      <w:r w:rsidR="00A100D6" w:rsidRPr="007B144B">
        <w:rPr>
          <w:rFonts w:ascii="Palatino Linotype" w:hAnsi="Palatino Linotype"/>
        </w:rPr>
        <w:t>más</w:t>
      </w:r>
      <w:r w:rsidR="009824E0" w:rsidRPr="007B144B">
        <w:rPr>
          <w:rFonts w:ascii="Palatino Linotype" w:hAnsi="Palatino Linotype"/>
        </w:rPr>
        <w:t xml:space="preserve"> no limitativa el nombre de particulares.</w:t>
      </w:r>
    </w:p>
    <w:p w14:paraId="56EEC53E" w14:textId="77777777" w:rsidR="00A100D6" w:rsidRPr="007B144B" w:rsidRDefault="00A100D6" w:rsidP="007B144B">
      <w:pPr>
        <w:tabs>
          <w:tab w:val="center" w:pos="4252"/>
          <w:tab w:val="right" w:pos="8504"/>
        </w:tabs>
        <w:spacing w:line="360" w:lineRule="auto"/>
        <w:jc w:val="both"/>
        <w:rPr>
          <w:rFonts w:ascii="Palatino Linotype" w:hAnsi="Palatino Linotype"/>
        </w:rPr>
      </w:pPr>
    </w:p>
    <w:p w14:paraId="2111C3E7" w14:textId="71EF70B0" w:rsidR="00A100D6" w:rsidRPr="007B144B" w:rsidRDefault="00A100D6" w:rsidP="007B144B">
      <w:pPr>
        <w:tabs>
          <w:tab w:val="center" w:pos="4252"/>
          <w:tab w:val="right" w:pos="8504"/>
        </w:tabs>
        <w:spacing w:line="360" w:lineRule="auto"/>
        <w:jc w:val="both"/>
        <w:rPr>
          <w:rFonts w:ascii="Palatino Linotype" w:hAnsi="Palatino Linotype"/>
        </w:rPr>
      </w:pPr>
      <w:r w:rsidRPr="007B144B">
        <w:rPr>
          <w:rFonts w:ascii="Palatino Linotype" w:hAnsi="Palatino Linotype"/>
        </w:rPr>
        <w:t>Cabe señalar que a excepción de éste último el resto de archivos se pusieron a la vista el tres de noviembre de dos mil veintitrés.</w:t>
      </w:r>
    </w:p>
    <w:p w14:paraId="3AE46798" w14:textId="77777777" w:rsidR="007B2489" w:rsidRPr="007B144B" w:rsidRDefault="007B2489" w:rsidP="007B144B">
      <w:pPr>
        <w:tabs>
          <w:tab w:val="center" w:pos="4252"/>
          <w:tab w:val="right" w:pos="8504"/>
        </w:tabs>
        <w:spacing w:line="360" w:lineRule="auto"/>
        <w:jc w:val="both"/>
        <w:rPr>
          <w:rFonts w:ascii="Palatino Linotype" w:hAnsi="Palatino Linotype" w:cs="Arial"/>
          <w:b/>
          <w:bCs/>
        </w:rPr>
      </w:pPr>
    </w:p>
    <w:p w14:paraId="6766F487" w14:textId="77777777" w:rsidR="007B2489" w:rsidRPr="007B144B" w:rsidRDefault="007B2489" w:rsidP="007B144B">
      <w:pPr>
        <w:tabs>
          <w:tab w:val="left" w:pos="851"/>
          <w:tab w:val="left" w:pos="5100"/>
        </w:tabs>
        <w:spacing w:line="360" w:lineRule="auto"/>
        <w:ind w:right="49"/>
        <w:jc w:val="both"/>
        <w:rPr>
          <w:rFonts w:ascii="Palatino Linotype" w:eastAsia="Arial Unicode MS" w:hAnsi="Palatino Linotype" w:cs="Arial"/>
          <w:b/>
        </w:rPr>
      </w:pPr>
      <w:r w:rsidRPr="007B144B">
        <w:rPr>
          <w:rFonts w:ascii="Palatino Linotype" w:hAnsi="Palatino Linotype" w:cs="Arial"/>
          <w:b/>
          <w:bCs/>
        </w:rPr>
        <w:t xml:space="preserve">c) </w:t>
      </w:r>
      <w:bookmarkEnd w:id="4"/>
      <w:r w:rsidRPr="007B144B">
        <w:rPr>
          <w:rFonts w:ascii="Palatino Linotype" w:eastAsia="Arial Unicode MS" w:hAnsi="Palatino Linotype" w:cs="Arial"/>
          <w:b/>
        </w:rPr>
        <w:t>Manifestaciones de EL RECURRENTE.</w:t>
      </w:r>
    </w:p>
    <w:p w14:paraId="73BFD5BA" w14:textId="77777777" w:rsidR="007B2489" w:rsidRPr="007B144B" w:rsidRDefault="007B2489" w:rsidP="007B144B">
      <w:pPr>
        <w:spacing w:line="360" w:lineRule="auto"/>
        <w:jc w:val="both"/>
        <w:rPr>
          <w:rFonts w:ascii="Palatino Linotype" w:eastAsia="Arial Unicode MS" w:hAnsi="Palatino Linotype" w:cs="Arial"/>
          <w:bCs/>
          <w:sz w:val="40"/>
          <w:szCs w:val="40"/>
        </w:rPr>
      </w:pPr>
      <w:r w:rsidRPr="007B144B">
        <w:rPr>
          <w:rFonts w:ascii="Palatino Linotype" w:eastAsia="Arial Unicode MS" w:hAnsi="Palatino Linotype" w:cs="Arial"/>
          <w:bCs/>
        </w:rPr>
        <w:t xml:space="preserve">De las constancias que obran en el </w:t>
      </w:r>
      <w:r w:rsidRPr="007B144B">
        <w:rPr>
          <w:rFonts w:ascii="Palatino Linotype" w:eastAsia="Arial Unicode MS" w:hAnsi="Palatino Linotype" w:cs="Arial"/>
          <w:b/>
          <w:bCs/>
        </w:rPr>
        <w:t>SAIMEX</w:t>
      </w:r>
      <w:r w:rsidRPr="007B144B">
        <w:rPr>
          <w:rFonts w:ascii="Palatino Linotype" w:eastAsia="Arial Unicode MS" w:hAnsi="Palatino Linotype" w:cs="Arial"/>
          <w:bCs/>
        </w:rPr>
        <w:t xml:space="preserve"> se advierte que </w:t>
      </w:r>
      <w:r w:rsidRPr="007B144B">
        <w:rPr>
          <w:rFonts w:ascii="Palatino Linotype" w:eastAsia="Arial Unicode MS" w:hAnsi="Palatino Linotype" w:cs="Arial"/>
          <w:b/>
          <w:bCs/>
        </w:rPr>
        <w:t>EL RECURRENTE</w:t>
      </w:r>
      <w:r w:rsidRPr="007B144B">
        <w:rPr>
          <w:rFonts w:ascii="Palatino Linotype" w:eastAsia="Arial Unicode MS" w:hAnsi="Palatino Linotype" w:cs="Arial"/>
          <w:bCs/>
        </w:rPr>
        <w:t xml:space="preserve"> realizó sus manifestaciones, anexando la respuesta del Sujeto Obligado.</w:t>
      </w:r>
    </w:p>
    <w:p w14:paraId="217735FC" w14:textId="77777777" w:rsidR="007B2489" w:rsidRPr="007B144B" w:rsidRDefault="007B2489" w:rsidP="007B144B">
      <w:pPr>
        <w:spacing w:line="360" w:lineRule="auto"/>
        <w:jc w:val="both"/>
        <w:rPr>
          <w:rFonts w:ascii="Palatino Linotype" w:eastAsia="Palatino Linotype" w:hAnsi="Palatino Linotype" w:cs="Palatino Linotype"/>
          <w:b/>
        </w:rPr>
      </w:pPr>
    </w:p>
    <w:p w14:paraId="755ED04C" w14:textId="77777777" w:rsidR="007B2489" w:rsidRPr="007B144B" w:rsidRDefault="007B2489" w:rsidP="007B144B">
      <w:pPr>
        <w:spacing w:line="360" w:lineRule="auto"/>
        <w:jc w:val="both"/>
        <w:rPr>
          <w:rFonts w:ascii="Palatino Linotype" w:eastAsia="Palatino Linotype" w:hAnsi="Palatino Linotype" w:cs="Palatino Linotype"/>
          <w:b/>
        </w:rPr>
      </w:pPr>
      <w:r w:rsidRPr="007B144B">
        <w:rPr>
          <w:rFonts w:ascii="Palatino Linotype" w:eastAsia="Palatino Linotype" w:hAnsi="Palatino Linotype" w:cs="Palatino Linotype"/>
          <w:b/>
        </w:rPr>
        <w:t xml:space="preserve">d) De la ampliación </w:t>
      </w:r>
    </w:p>
    <w:p w14:paraId="5169E5F3" w14:textId="77777777" w:rsidR="008A0781" w:rsidRPr="007B144B" w:rsidRDefault="008A0781" w:rsidP="007B144B">
      <w:pPr>
        <w:pStyle w:val="Prrafodelista"/>
        <w:spacing w:line="360" w:lineRule="auto"/>
        <w:ind w:left="0"/>
        <w:jc w:val="both"/>
        <w:rPr>
          <w:rFonts w:ascii="Palatino Linotype" w:hAnsi="Palatino Linotype" w:cs="Arial"/>
        </w:rPr>
      </w:pPr>
      <w:r w:rsidRPr="007B144B">
        <w:rPr>
          <w:rFonts w:ascii="Palatino Linotype" w:hAnsi="Palatino Linotype" w:cs="Arial"/>
        </w:rPr>
        <w:t xml:space="preserve">El </w:t>
      </w:r>
      <w:r w:rsidRPr="007B144B">
        <w:rPr>
          <w:rFonts w:ascii="Palatino Linotype" w:hAnsi="Palatino Linotype" w:cs="Arial"/>
          <w:b/>
        </w:rPr>
        <w:t>ocho de febrero de dos mil veintitrés</w:t>
      </w:r>
      <w:r w:rsidRPr="007B144B">
        <w:rPr>
          <w:rFonts w:ascii="Palatino Linotype" w:hAnsi="Palatino Linotype" w:cs="Arial"/>
        </w:rPr>
        <w:t xml:space="preserve">, se acordó ampliar el plazo para resolver </w:t>
      </w:r>
      <w:r w:rsidRPr="007B144B">
        <w:rPr>
          <w:rFonts w:ascii="Palatino Linotype" w:hAnsi="Palatino Linotype" w:cs="Arial"/>
          <w:lang w:val="es-419"/>
        </w:rPr>
        <w:t>el</w:t>
      </w:r>
      <w:r w:rsidRPr="007B144B">
        <w:rPr>
          <w:rFonts w:ascii="Palatino Linotype" w:hAnsi="Palatino Linotype" w:cs="Arial"/>
        </w:rPr>
        <w:t xml:space="preserve"> Recurso de Revisión </w:t>
      </w:r>
      <w:r w:rsidRPr="007B144B">
        <w:rPr>
          <w:rFonts w:ascii="Palatino Linotype" w:hAnsi="Palatino Linotype" w:cs="Arial"/>
          <w:lang w:val="es-419"/>
        </w:rPr>
        <w:t>en estudio</w:t>
      </w:r>
      <w:r w:rsidRPr="007B144B">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66A77C4F" w14:textId="77777777" w:rsidR="008A0781" w:rsidRPr="007B144B" w:rsidRDefault="008A0781" w:rsidP="007B144B">
      <w:pPr>
        <w:spacing w:before="100" w:beforeAutospacing="1" w:after="100" w:afterAutospacing="1" w:line="360" w:lineRule="auto"/>
        <w:jc w:val="both"/>
        <w:rPr>
          <w:rFonts w:ascii="Palatino Linotype" w:eastAsia="Calibri" w:hAnsi="Palatino Linotype"/>
          <w:lang w:eastAsia="en-US"/>
        </w:rPr>
      </w:pPr>
      <w:r w:rsidRPr="007B144B">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258C528"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905CEE" w14:textId="77777777" w:rsidR="008A0781" w:rsidRPr="007B144B" w:rsidRDefault="008A0781" w:rsidP="007B144B">
      <w:pPr>
        <w:spacing w:line="360" w:lineRule="auto"/>
        <w:jc w:val="both"/>
        <w:rPr>
          <w:rFonts w:ascii="Palatino Linotype" w:eastAsia="Calibri" w:hAnsi="Palatino Linotype"/>
          <w:lang w:eastAsia="en-US"/>
        </w:rPr>
      </w:pPr>
    </w:p>
    <w:p w14:paraId="574A08A7"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3AC19D" w14:textId="77777777" w:rsidR="008A0781" w:rsidRPr="007B144B" w:rsidRDefault="008A0781" w:rsidP="007B144B">
      <w:pPr>
        <w:spacing w:line="360" w:lineRule="auto"/>
        <w:jc w:val="both"/>
        <w:rPr>
          <w:rFonts w:ascii="Palatino Linotype" w:eastAsia="Calibri" w:hAnsi="Palatino Linotype"/>
          <w:lang w:eastAsia="en-US"/>
        </w:rPr>
      </w:pPr>
    </w:p>
    <w:p w14:paraId="3F2280CC"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B3E701" w14:textId="77777777" w:rsidR="008A0781" w:rsidRPr="007B144B" w:rsidRDefault="008A0781" w:rsidP="007B144B">
      <w:pPr>
        <w:spacing w:line="360" w:lineRule="auto"/>
        <w:jc w:val="both"/>
        <w:rPr>
          <w:rFonts w:ascii="Palatino Linotype" w:eastAsia="Calibri" w:hAnsi="Palatino Linotype"/>
          <w:lang w:eastAsia="en-US"/>
        </w:rPr>
      </w:pPr>
    </w:p>
    <w:p w14:paraId="75B1E37B"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470E8E2"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3AA3020A"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b) Actividad Procesal del interesado: Acciones u omisiones del interesado.</w:t>
      </w:r>
    </w:p>
    <w:p w14:paraId="1A920E9B"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lastRenderedPageBreak/>
        <w:t>c)  Conducta de la Autoridad: Las Acciones u omisiones realizadas en el procedimiento. Así como si la autoridad actuó con la debida diligencia.</w:t>
      </w:r>
    </w:p>
    <w:p w14:paraId="70470308"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d) La afectación generada en la situación jurídica de la persona involucrada en el proceso: Violación a sus derechos humanos.</w:t>
      </w:r>
    </w:p>
    <w:p w14:paraId="6F4C48FB" w14:textId="77777777" w:rsidR="008A0781" w:rsidRPr="007B144B" w:rsidRDefault="008A0781" w:rsidP="007B144B">
      <w:pPr>
        <w:spacing w:line="360" w:lineRule="auto"/>
        <w:jc w:val="both"/>
        <w:rPr>
          <w:rFonts w:ascii="Palatino Linotype" w:eastAsia="Calibri" w:hAnsi="Palatino Linotype"/>
          <w:lang w:eastAsia="en-US"/>
        </w:rPr>
      </w:pPr>
    </w:p>
    <w:p w14:paraId="5C98C7C8"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353492" w14:textId="77777777" w:rsidR="008A0781" w:rsidRPr="007B144B" w:rsidRDefault="008A0781" w:rsidP="007B144B">
      <w:pPr>
        <w:spacing w:line="360" w:lineRule="auto"/>
        <w:jc w:val="both"/>
        <w:rPr>
          <w:rFonts w:ascii="Palatino Linotype" w:eastAsia="Calibri" w:hAnsi="Palatino Linotype"/>
          <w:lang w:eastAsia="en-US"/>
        </w:rPr>
      </w:pPr>
    </w:p>
    <w:p w14:paraId="502EBAFA"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Argumento que encuentra sustento en la jurisprudencia P</w:t>
      </w:r>
      <w:proofErr w:type="gramStart"/>
      <w:r w:rsidRPr="007B144B">
        <w:rPr>
          <w:rFonts w:ascii="Palatino Linotype" w:eastAsia="Calibri" w:hAnsi="Palatino Linotype"/>
          <w:lang w:eastAsia="en-US"/>
        </w:rPr>
        <w:t>./</w:t>
      </w:r>
      <w:proofErr w:type="gramEnd"/>
      <w:r w:rsidRPr="007B144B">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C7DF10" w14:textId="77777777" w:rsidR="008A0781" w:rsidRPr="007B144B" w:rsidRDefault="008A0781" w:rsidP="007B144B">
      <w:pPr>
        <w:spacing w:line="360" w:lineRule="auto"/>
        <w:jc w:val="both"/>
        <w:rPr>
          <w:rFonts w:ascii="Palatino Linotype" w:eastAsia="Calibri" w:hAnsi="Palatino Linotype"/>
          <w:lang w:eastAsia="en-US"/>
        </w:rPr>
      </w:pPr>
    </w:p>
    <w:p w14:paraId="2DC54547" w14:textId="7A183862" w:rsidR="008A0781"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7B144B">
        <w:rPr>
          <w:rFonts w:ascii="Palatino Linotype" w:eastAsia="Calibri" w:hAnsi="Palatino Linotype"/>
          <w:lang w:eastAsia="en-US"/>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37FF44" w14:textId="77777777" w:rsidR="00CA708F" w:rsidRPr="007B144B" w:rsidRDefault="00CA708F" w:rsidP="007B144B">
      <w:pPr>
        <w:spacing w:line="360" w:lineRule="auto"/>
        <w:jc w:val="both"/>
        <w:rPr>
          <w:rFonts w:ascii="Palatino Linotype" w:eastAsia="Calibri" w:hAnsi="Palatino Linotype"/>
          <w:lang w:eastAsia="en-US"/>
        </w:rPr>
      </w:pPr>
    </w:p>
    <w:p w14:paraId="7924A72A"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0E2DF7F6" w14:textId="77777777" w:rsidR="008A0781" w:rsidRPr="007B144B" w:rsidRDefault="008A0781" w:rsidP="007B144B">
      <w:pPr>
        <w:spacing w:line="360" w:lineRule="auto"/>
        <w:jc w:val="both"/>
        <w:rPr>
          <w:rFonts w:ascii="Palatino Linotype" w:eastAsia="Calibri" w:hAnsi="Palatino Linotype"/>
          <w:lang w:eastAsia="en-US"/>
        </w:rPr>
      </w:pPr>
    </w:p>
    <w:p w14:paraId="148E5C08" w14:textId="77777777" w:rsidR="008A0781" w:rsidRPr="007B144B" w:rsidRDefault="008A0781" w:rsidP="007B144B">
      <w:pPr>
        <w:spacing w:line="360" w:lineRule="auto"/>
        <w:ind w:left="851" w:right="899"/>
        <w:jc w:val="both"/>
        <w:rPr>
          <w:rFonts w:ascii="Palatino Linotype" w:eastAsia="Calibri" w:hAnsi="Palatino Linotype"/>
          <w:lang w:eastAsia="en-US"/>
        </w:rPr>
      </w:pPr>
      <w:r w:rsidRPr="007B144B">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346D5335" w14:textId="77777777" w:rsidR="008A0781" w:rsidRPr="007B144B" w:rsidRDefault="008A0781" w:rsidP="007B144B">
      <w:pPr>
        <w:spacing w:line="360" w:lineRule="auto"/>
        <w:ind w:left="851" w:right="899"/>
        <w:jc w:val="both"/>
        <w:rPr>
          <w:rFonts w:ascii="Palatino Linotype" w:eastAsia="Calibri" w:hAnsi="Palatino Linotype"/>
          <w:lang w:eastAsia="en-US"/>
        </w:rPr>
      </w:pPr>
    </w:p>
    <w:p w14:paraId="611DE9D9" w14:textId="77777777" w:rsidR="008A0781" w:rsidRPr="007B144B" w:rsidRDefault="008A0781" w:rsidP="007B144B">
      <w:pPr>
        <w:spacing w:line="360" w:lineRule="auto"/>
        <w:ind w:left="851" w:right="899"/>
        <w:jc w:val="both"/>
        <w:rPr>
          <w:rFonts w:ascii="Palatino Linotype" w:eastAsia="Calibri" w:hAnsi="Palatino Linotype"/>
          <w:lang w:eastAsia="en-US"/>
        </w:rPr>
      </w:pPr>
      <w:r w:rsidRPr="007B144B">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3A1229E" w14:textId="77777777" w:rsidR="008A0781" w:rsidRPr="007B144B" w:rsidRDefault="008A0781" w:rsidP="007B144B">
      <w:pPr>
        <w:spacing w:line="360" w:lineRule="auto"/>
        <w:jc w:val="both"/>
        <w:rPr>
          <w:rFonts w:ascii="Palatino Linotype" w:eastAsia="Calibri" w:hAnsi="Palatino Linotype"/>
          <w:lang w:eastAsia="en-US"/>
        </w:rPr>
      </w:pPr>
    </w:p>
    <w:p w14:paraId="67B9D9BE" w14:textId="77777777" w:rsidR="008A0781" w:rsidRPr="007B144B" w:rsidRDefault="008A0781" w:rsidP="007B144B">
      <w:pPr>
        <w:spacing w:line="360" w:lineRule="auto"/>
        <w:jc w:val="both"/>
        <w:rPr>
          <w:rFonts w:ascii="Palatino Linotype" w:eastAsia="Calibri" w:hAnsi="Palatino Linotype"/>
          <w:lang w:eastAsia="en-US"/>
        </w:rPr>
      </w:pPr>
      <w:r w:rsidRPr="007B144B">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5FE33FC3" w14:textId="77777777" w:rsidR="002F225C" w:rsidRPr="007B144B" w:rsidRDefault="002F225C" w:rsidP="007B144B">
      <w:pPr>
        <w:tabs>
          <w:tab w:val="left" w:pos="4667"/>
        </w:tabs>
        <w:spacing w:line="360" w:lineRule="auto"/>
        <w:jc w:val="both"/>
        <w:rPr>
          <w:rFonts w:ascii="Palatino Linotype" w:eastAsia="Palatino Linotype" w:hAnsi="Palatino Linotype" w:cs="Palatino Linotype"/>
          <w:b/>
          <w:i/>
        </w:rPr>
      </w:pPr>
    </w:p>
    <w:p w14:paraId="2C1211B4" w14:textId="59B8C1BD" w:rsidR="00831184" w:rsidRPr="007B144B" w:rsidRDefault="008A0781" w:rsidP="007B144B">
      <w:pPr>
        <w:tabs>
          <w:tab w:val="left" w:pos="4667"/>
        </w:tabs>
        <w:spacing w:line="360" w:lineRule="auto"/>
        <w:jc w:val="both"/>
        <w:rPr>
          <w:rFonts w:ascii="Palatino Linotype" w:eastAsia="Palatino Linotype" w:hAnsi="Palatino Linotype" w:cs="Palatino Linotype"/>
          <w:b/>
        </w:rPr>
      </w:pPr>
      <w:r w:rsidRPr="007B144B">
        <w:rPr>
          <w:rFonts w:ascii="Palatino Linotype" w:eastAsia="Palatino Linotype" w:hAnsi="Palatino Linotype" w:cs="Palatino Linotype"/>
          <w:b/>
        </w:rPr>
        <w:t xml:space="preserve">e) </w:t>
      </w:r>
      <w:r w:rsidR="00D86D43" w:rsidRPr="007B144B">
        <w:rPr>
          <w:rFonts w:ascii="Palatino Linotype" w:eastAsia="Palatino Linotype" w:hAnsi="Palatino Linotype" w:cs="Palatino Linotype"/>
          <w:b/>
        </w:rPr>
        <w:t xml:space="preserve">Reconducción de vía. </w:t>
      </w:r>
    </w:p>
    <w:p w14:paraId="00009B9A" w14:textId="46398BAF" w:rsidR="002F225C" w:rsidRPr="007B144B" w:rsidRDefault="00D86D43" w:rsidP="007B144B">
      <w:pPr>
        <w:tabs>
          <w:tab w:val="left" w:pos="4667"/>
        </w:tabs>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Una vez analizada la solicitud de información se advirtió que se trata del ejercicio del derecho de Acceso a Datos Personales por lo que, el </w:t>
      </w:r>
      <w:r w:rsidR="004477E8" w:rsidRPr="007B144B">
        <w:rPr>
          <w:rFonts w:ascii="Palatino Linotype" w:eastAsia="Palatino Linotype" w:hAnsi="Palatino Linotype" w:cs="Palatino Linotype"/>
          <w:b/>
        </w:rPr>
        <w:t>trece</w:t>
      </w:r>
      <w:r w:rsidRPr="007B144B">
        <w:rPr>
          <w:rFonts w:ascii="Palatino Linotype" w:eastAsia="Palatino Linotype" w:hAnsi="Palatino Linotype" w:cs="Palatino Linotype"/>
          <w:b/>
        </w:rPr>
        <w:t xml:space="preserve"> de </w:t>
      </w:r>
      <w:r w:rsidR="004477E8" w:rsidRPr="007B144B">
        <w:rPr>
          <w:rFonts w:ascii="Palatino Linotype" w:eastAsia="Palatino Linotype" w:hAnsi="Palatino Linotype" w:cs="Palatino Linotype"/>
          <w:b/>
        </w:rPr>
        <w:t xml:space="preserve">octubre </w:t>
      </w:r>
      <w:r w:rsidRPr="007B144B">
        <w:rPr>
          <w:rFonts w:ascii="Palatino Linotype" w:eastAsia="Palatino Linotype" w:hAnsi="Palatino Linotype" w:cs="Palatino Linotype"/>
          <w:b/>
        </w:rPr>
        <w:t xml:space="preserve">de dos mil veintitrés, </w:t>
      </w:r>
      <w:r w:rsidRPr="007B144B">
        <w:rPr>
          <w:rFonts w:ascii="Palatino Linotype" w:eastAsia="Palatino Linotype" w:hAnsi="Palatino Linotype" w:cs="Palatino Linotype"/>
        </w:rPr>
        <w:t xml:space="preserve">la Comisionada Ponente determinó que para la sustanciación del </w:t>
      </w:r>
      <w:r w:rsidR="00481BCF" w:rsidRPr="007B144B">
        <w:rPr>
          <w:rFonts w:ascii="Palatino Linotype" w:eastAsia="Palatino Linotype" w:hAnsi="Palatino Linotype" w:cs="Palatino Linotype"/>
        </w:rPr>
        <w:t>R</w:t>
      </w:r>
      <w:r w:rsidRPr="007B144B">
        <w:rPr>
          <w:rFonts w:ascii="Palatino Linotype" w:eastAsia="Palatino Linotype" w:hAnsi="Palatino Linotype" w:cs="Palatino Linotype"/>
        </w:rPr>
        <w:t xml:space="preserve">ecurso de </w:t>
      </w:r>
      <w:r w:rsidR="00481BCF" w:rsidRPr="007B144B">
        <w:rPr>
          <w:rFonts w:ascii="Palatino Linotype" w:eastAsia="Palatino Linotype" w:hAnsi="Palatino Linotype" w:cs="Palatino Linotype"/>
        </w:rPr>
        <w:t>R</w:t>
      </w:r>
      <w:r w:rsidRPr="007B144B">
        <w:rPr>
          <w:rFonts w:ascii="Palatino Linotype" w:eastAsia="Palatino Linotype" w:hAnsi="Palatino Linotype" w:cs="Palatino Linotype"/>
        </w:rPr>
        <w:t xml:space="preserve">evisión de mérito se observaría el procedimiento dispuesto para tal efecto en la Ley de Protección de Datos Personales en Posesión de Sujeto Obligados del Estado de México y Municipios y en aplicación supletoria la Ley de Transparencia y Acceso a la Información Pública del Estado de México y Municipios, motivo por el cual acordó, requerir a las partes para que un plazo no mayor a siete días hábiles manifestaran su voluntad para conciliar. </w:t>
      </w:r>
    </w:p>
    <w:p w14:paraId="325E23D6" w14:textId="77777777" w:rsidR="002F225C" w:rsidRPr="007B144B" w:rsidRDefault="002F225C" w:rsidP="007B144B">
      <w:pPr>
        <w:tabs>
          <w:tab w:val="left" w:pos="4667"/>
        </w:tabs>
        <w:spacing w:line="360" w:lineRule="auto"/>
        <w:jc w:val="both"/>
        <w:rPr>
          <w:rFonts w:ascii="Palatino Linotype" w:eastAsia="Palatino Linotype" w:hAnsi="Palatino Linotype" w:cs="Palatino Linotype"/>
        </w:rPr>
      </w:pPr>
    </w:p>
    <w:p w14:paraId="609187C2" w14:textId="77777777" w:rsidR="00831184" w:rsidRPr="007B144B" w:rsidRDefault="003017D8" w:rsidP="007B144B">
      <w:pPr>
        <w:tabs>
          <w:tab w:val="left" w:pos="4667"/>
        </w:tabs>
        <w:spacing w:line="360" w:lineRule="auto"/>
        <w:jc w:val="both"/>
      </w:pPr>
      <w:r w:rsidRPr="007B144B">
        <w:rPr>
          <w:rFonts w:ascii="Palatino Linotype" w:eastAsia="Palatino Linotype" w:hAnsi="Palatino Linotype" w:cs="Palatino Linotype"/>
          <w:b/>
        </w:rPr>
        <w:t>f)</w:t>
      </w:r>
      <w:r w:rsidR="00D86D43" w:rsidRPr="007B144B">
        <w:rPr>
          <w:rFonts w:ascii="Palatino Linotype" w:eastAsia="Palatino Linotype" w:hAnsi="Palatino Linotype" w:cs="Palatino Linotype"/>
          <w:b/>
        </w:rPr>
        <w:t xml:space="preserve"> </w:t>
      </w:r>
      <w:r w:rsidRPr="007B144B">
        <w:rPr>
          <w:rFonts w:ascii="Palatino Linotype" w:eastAsia="Palatino Linotype" w:hAnsi="Palatino Linotype" w:cs="Palatino Linotype"/>
          <w:b/>
        </w:rPr>
        <w:t xml:space="preserve">Prevención y </w:t>
      </w:r>
      <w:r w:rsidR="00831184" w:rsidRPr="007B144B">
        <w:rPr>
          <w:rFonts w:ascii="Palatino Linotype" w:eastAsia="Palatino Linotype" w:hAnsi="Palatino Linotype" w:cs="Palatino Linotype"/>
          <w:b/>
        </w:rPr>
        <w:t>término</w:t>
      </w:r>
      <w:r w:rsidRPr="007B144B">
        <w:rPr>
          <w:rFonts w:ascii="Palatino Linotype" w:eastAsia="Palatino Linotype" w:hAnsi="Palatino Linotype" w:cs="Palatino Linotype"/>
          <w:b/>
        </w:rPr>
        <w:t xml:space="preserve"> para m</w:t>
      </w:r>
      <w:r w:rsidR="00D86D43" w:rsidRPr="007B144B">
        <w:rPr>
          <w:rFonts w:ascii="Palatino Linotype" w:eastAsia="Palatino Linotype" w:hAnsi="Palatino Linotype" w:cs="Palatino Linotype"/>
          <w:b/>
        </w:rPr>
        <w:t>anifestaciones para conciliar.</w:t>
      </w:r>
      <w:r w:rsidR="00D86D43" w:rsidRPr="007B144B">
        <w:t xml:space="preserve"> </w:t>
      </w:r>
    </w:p>
    <w:p w14:paraId="4A11FBE3" w14:textId="77777777" w:rsidR="0016485B" w:rsidRPr="007B144B" w:rsidRDefault="00831184" w:rsidP="007B144B">
      <w:pPr>
        <w:spacing w:line="360" w:lineRule="auto"/>
        <w:jc w:val="both"/>
      </w:pPr>
      <w:r w:rsidRPr="007B144B">
        <w:rPr>
          <w:rFonts w:ascii="Palatino Linotype" w:eastAsia="Palatino Linotype" w:hAnsi="Palatino Linotype" w:cs="Palatino Linotype"/>
        </w:rPr>
        <w:t xml:space="preserve">El </w:t>
      </w:r>
      <w:r w:rsidRPr="007B144B">
        <w:rPr>
          <w:rFonts w:ascii="Palatino Linotype" w:eastAsia="Palatino Linotype" w:hAnsi="Palatino Linotype" w:cs="Palatino Linotype"/>
          <w:b/>
        </w:rPr>
        <w:t>trece de octubre de dos mil veintitrés</w:t>
      </w:r>
      <w:r w:rsidRPr="007B144B">
        <w:rPr>
          <w:rFonts w:ascii="Palatino Linotype" w:eastAsia="Palatino Linotype" w:hAnsi="Palatino Linotype" w:cs="Palatino Linotype"/>
        </w:rPr>
        <w:t xml:space="preserve">, la Comisionada Ponente emitió el acuerdo en el que previno a la parte </w:t>
      </w:r>
      <w:r w:rsidRPr="007B144B">
        <w:rPr>
          <w:rFonts w:ascii="Palatino Linotype" w:eastAsia="Palatino Linotype" w:hAnsi="Palatino Linotype" w:cs="Palatino Linotype"/>
          <w:b/>
        </w:rPr>
        <w:t xml:space="preserve">Recurrente </w:t>
      </w:r>
      <w:r w:rsidR="0016485B" w:rsidRPr="007B144B">
        <w:rPr>
          <w:rFonts w:ascii="Palatino Linotype" w:hAnsi="Palatino Linotype"/>
        </w:rPr>
        <w:t>para que, dentro del término de cinco días hábiles contados a partir del día siguiente a la notificación del presente acuerdo, subsane la omisión de acreditar su identidad e interés en términos de los artículos 106 tercer párrafo, 119, 120, 125; 130, fracción VI y 136 de la Ley de Protección de Datos Personales en Posesión de Sujetos Obligados del Estado de México y Municipios.</w:t>
      </w:r>
    </w:p>
    <w:p w14:paraId="2EF90836" w14:textId="77777777" w:rsidR="00831184" w:rsidRPr="007B144B" w:rsidRDefault="00831184" w:rsidP="007B144B">
      <w:pPr>
        <w:tabs>
          <w:tab w:val="left" w:pos="4667"/>
        </w:tabs>
        <w:spacing w:line="360" w:lineRule="auto"/>
        <w:jc w:val="both"/>
        <w:rPr>
          <w:rFonts w:ascii="Palatino Linotype" w:eastAsia="Palatino Linotype" w:hAnsi="Palatino Linotype" w:cs="Palatino Linotype"/>
        </w:rPr>
      </w:pPr>
    </w:p>
    <w:p w14:paraId="22BCC3CE" w14:textId="77777777" w:rsidR="002F225C" w:rsidRPr="007B144B" w:rsidRDefault="00D86D43" w:rsidP="007B144B">
      <w:pPr>
        <w:tabs>
          <w:tab w:val="left" w:pos="4667"/>
        </w:tabs>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lastRenderedPageBreak/>
        <w:t xml:space="preserve">Documento que fue notificado a la parte </w:t>
      </w:r>
      <w:r w:rsidR="00481BCF" w:rsidRPr="007B144B">
        <w:rPr>
          <w:rFonts w:ascii="Palatino Linotype" w:eastAsia="Palatino Linotype" w:hAnsi="Palatino Linotype" w:cs="Palatino Linotype"/>
          <w:b/>
        </w:rPr>
        <w:t xml:space="preserve">RECURRENTE </w:t>
      </w:r>
      <w:r w:rsidRPr="007B144B">
        <w:rPr>
          <w:rFonts w:ascii="Palatino Linotype" w:eastAsia="Palatino Linotype" w:hAnsi="Palatino Linotype" w:cs="Palatino Linotype"/>
        </w:rPr>
        <w:t xml:space="preserve">para su conocimiento quien no se pronunció al respecto, cesando su derecho a ejercer dicha prerrogativa; asimismo, no manifestó su voluntad de conciliar el presente asunto. </w:t>
      </w:r>
    </w:p>
    <w:p w14:paraId="3EB0748D" w14:textId="77777777" w:rsidR="00375908" w:rsidRPr="007B144B" w:rsidRDefault="00375908" w:rsidP="007B144B">
      <w:pPr>
        <w:widowControl w:val="0"/>
        <w:tabs>
          <w:tab w:val="left" w:pos="0"/>
        </w:tabs>
        <w:spacing w:line="360" w:lineRule="auto"/>
        <w:jc w:val="both"/>
        <w:rPr>
          <w:rFonts w:ascii="Palatino Linotype" w:eastAsia="Palatino Linotype" w:hAnsi="Palatino Linotype" w:cs="Palatino Linotype"/>
          <w:b/>
        </w:rPr>
      </w:pPr>
    </w:p>
    <w:p w14:paraId="12742057" w14:textId="77777777" w:rsidR="00375908" w:rsidRPr="007B144B" w:rsidRDefault="00375908" w:rsidP="007B144B">
      <w:pPr>
        <w:widowControl w:val="0"/>
        <w:tabs>
          <w:tab w:val="left" w:pos="0"/>
        </w:tabs>
        <w:spacing w:line="360" w:lineRule="auto"/>
        <w:jc w:val="both"/>
        <w:rPr>
          <w:rFonts w:ascii="Palatino Linotype" w:eastAsia="Palatino Linotype" w:hAnsi="Palatino Linotype" w:cs="Palatino Linotype"/>
          <w:b/>
        </w:rPr>
      </w:pPr>
      <w:r w:rsidRPr="007B144B">
        <w:rPr>
          <w:rFonts w:ascii="Palatino Linotype" w:eastAsia="Palatino Linotype" w:hAnsi="Palatino Linotype" w:cs="Palatino Linotype"/>
          <w:b/>
        </w:rPr>
        <w:t>g) Cierre de Instrucción</w:t>
      </w:r>
    </w:p>
    <w:p w14:paraId="121182E7" w14:textId="43377136" w:rsidR="00CA708F" w:rsidRDefault="00375908" w:rsidP="00CA708F">
      <w:pP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Por lo que, una vez analizado el estado procesal que guarda el expediente, el </w:t>
      </w:r>
      <w:r w:rsidR="00CA708F">
        <w:rPr>
          <w:rFonts w:ascii="Palatino Linotype" w:eastAsia="Palatino Linotype" w:hAnsi="Palatino Linotype" w:cs="Palatino Linotype"/>
          <w:b/>
        </w:rPr>
        <w:t>catorce de noviembre</w:t>
      </w:r>
      <w:r w:rsidRPr="007B144B">
        <w:rPr>
          <w:rFonts w:ascii="Palatino Linotype" w:eastAsia="Palatino Linotype" w:hAnsi="Palatino Linotype" w:cs="Palatino Linotype"/>
          <w:b/>
        </w:rPr>
        <w:t xml:space="preserve"> de dos mil veintitrés</w:t>
      </w:r>
      <w:r w:rsidRPr="007B144B">
        <w:rPr>
          <w:rFonts w:ascii="Palatino Linotype" w:eastAsia="Palatino Linotype" w:hAnsi="Palatino Linotype" w:cs="Palatino Linotype"/>
        </w:rPr>
        <w:t xml:space="preserve">, la </w:t>
      </w:r>
      <w:r w:rsidRPr="007B144B">
        <w:rPr>
          <w:rFonts w:ascii="Palatino Linotype" w:eastAsia="Palatino Linotype" w:hAnsi="Palatino Linotype" w:cs="Palatino Linotype"/>
          <w:b/>
        </w:rPr>
        <w:t xml:space="preserve">Comisionada Sharon Cristina Morales Martínez </w:t>
      </w:r>
      <w:r w:rsidRPr="007B144B">
        <w:rPr>
          <w:rFonts w:ascii="Palatino Linotype" w:eastAsia="Palatino Linotype" w:hAnsi="Palatino Linotype" w:cs="Palatino Linotype"/>
        </w:rPr>
        <w:t xml:space="preserve">acordó el cierre de instrucción, así como la remisión </w:t>
      </w:r>
      <w:r w:rsidR="00CA708F" w:rsidRPr="007B144B">
        <w:rPr>
          <w:rFonts w:ascii="Palatino Linotype" w:eastAsia="Palatino Linotype" w:hAnsi="Palatino Linotype" w:cs="Palatino Linotype"/>
        </w:rPr>
        <w:t>de este</w:t>
      </w:r>
      <w:r w:rsidRPr="007B144B">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1E97F602" w14:textId="77777777" w:rsidR="00CA708F" w:rsidRDefault="00CA708F" w:rsidP="00CA708F">
      <w:pPr>
        <w:spacing w:line="360" w:lineRule="auto"/>
        <w:jc w:val="both"/>
        <w:rPr>
          <w:rFonts w:ascii="Palatino Linotype" w:eastAsia="Palatino Linotype" w:hAnsi="Palatino Linotype" w:cs="Palatino Linotype"/>
        </w:rPr>
      </w:pPr>
    </w:p>
    <w:p w14:paraId="47172569" w14:textId="46C5755B" w:rsidR="002F225C" w:rsidRPr="00CA708F" w:rsidRDefault="00D86D43" w:rsidP="00CA708F">
      <w:pPr>
        <w:spacing w:line="360" w:lineRule="auto"/>
        <w:jc w:val="center"/>
        <w:rPr>
          <w:rFonts w:ascii="Palatino Linotype" w:eastAsia="Palatino Linotype" w:hAnsi="Palatino Linotype" w:cs="Palatino Linotype"/>
        </w:rPr>
      </w:pPr>
      <w:r w:rsidRPr="007B144B">
        <w:rPr>
          <w:rFonts w:ascii="Palatino Linotype" w:eastAsia="Palatino Linotype" w:hAnsi="Palatino Linotype" w:cs="Palatino Linotype"/>
          <w:b/>
          <w:sz w:val="28"/>
          <w:szCs w:val="28"/>
        </w:rPr>
        <w:t>C O N S I D E R A N D O S:</w:t>
      </w:r>
    </w:p>
    <w:p w14:paraId="5E03100C" w14:textId="77777777" w:rsidR="002F225C" w:rsidRPr="007B144B" w:rsidRDefault="002F225C" w:rsidP="007B144B"/>
    <w:p w14:paraId="368B9392" w14:textId="77777777" w:rsidR="002F225C" w:rsidRPr="007B144B" w:rsidRDefault="00D86D43" w:rsidP="007B144B">
      <w:pPr>
        <w:spacing w:line="360" w:lineRule="auto"/>
        <w:jc w:val="both"/>
      </w:pPr>
      <w:r w:rsidRPr="007B144B">
        <w:rPr>
          <w:rFonts w:ascii="Palatino Linotype" w:eastAsia="Palatino Linotype" w:hAnsi="Palatino Linotype" w:cs="Palatino Linotype"/>
          <w:b/>
        </w:rPr>
        <w:t xml:space="preserve">PRIMERO. Competencia. </w:t>
      </w:r>
      <w:r w:rsidRPr="007B144B">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00481BCF" w:rsidRPr="007B144B">
        <w:rPr>
          <w:rFonts w:ascii="Palatino Linotype" w:eastAsia="Palatino Linotype" w:hAnsi="Palatino Linotype" w:cs="Palatino Linotype"/>
          <w:b/>
        </w:rPr>
        <w:t>RECURRENTE</w:t>
      </w:r>
      <w:r w:rsidRPr="007B144B">
        <w:rPr>
          <w:rFonts w:ascii="Palatino Linotype" w:eastAsia="Palatino Linotype" w:hAnsi="Palatino Linotype" w:cs="Palatino Linotype"/>
        </w:rPr>
        <w:t xml:space="preserve">, conforme a lo dispuesto por los artículos 6°, apartado A, de la Constitución Política de los Estados Unidos Mexicanos; 5°, párrafos trigésimo segundo, trigésimo tercero y trigésimo cuarto fracciones I, II, III, IV y V, de la Constitución Política del Estado Libre y Soberano de México;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w:t>
      </w:r>
      <w:r w:rsidRPr="007B144B">
        <w:rPr>
          <w:rFonts w:ascii="Palatino Linotype" w:eastAsia="Palatino Linotype" w:hAnsi="Palatino Linotype" w:cs="Palatino Linotype"/>
        </w:rPr>
        <w:lastRenderedPageBreak/>
        <w:t>de Sujetos Obligados del Estado de México y Municipios, así como en lo dispuesto por los artículos 9°, fracciones I y XXIII y 11, del Reglamento Interior del Instituto de Transparencia, Acceso a la Información Pública y Protección de Datos Personales del Estado de México y Municipios</w:t>
      </w:r>
      <w:r w:rsidRPr="007B144B">
        <w:t>.</w:t>
      </w:r>
    </w:p>
    <w:p w14:paraId="23A92181" w14:textId="77777777" w:rsidR="002F225C" w:rsidRPr="007B144B" w:rsidRDefault="002F225C" w:rsidP="007B144B">
      <w:pPr>
        <w:spacing w:line="360" w:lineRule="auto"/>
        <w:jc w:val="both"/>
      </w:pPr>
    </w:p>
    <w:p w14:paraId="2A77270F" w14:textId="3C15A948" w:rsidR="002F225C" w:rsidRPr="007B144B" w:rsidRDefault="00D86D43" w:rsidP="007B144B">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b/>
        </w:rPr>
        <w:t>SEGUNDO</w:t>
      </w:r>
      <w:r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b/>
        </w:rPr>
        <w:t xml:space="preserve">Oportunidad y </w:t>
      </w:r>
      <w:proofErr w:type="spellStart"/>
      <w:r w:rsidRPr="007B144B">
        <w:rPr>
          <w:rFonts w:ascii="Palatino Linotype" w:eastAsia="Palatino Linotype" w:hAnsi="Palatino Linotype" w:cs="Palatino Linotype"/>
          <w:b/>
        </w:rPr>
        <w:t>Procedibilidad</w:t>
      </w:r>
      <w:proofErr w:type="spellEnd"/>
      <w:r w:rsidRPr="007B144B">
        <w:rPr>
          <w:rFonts w:ascii="Palatino Linotype" w:eastAsia="Palatino Linotype" w:hAnsi="Palatino Linotype" w:cs="Palatino Linotype"/>
          <w:b/>
        </w:rPr>
        <w:t xml:space="preserve">. </w:t>
      </w:r>
      <w:r w:rsidRPr="007B144B">
        <w:rPr>
          <w:rFonts w:ascii="Palatino Linotype" w:eastAsia="Palatino Linotype" w:hAnsi="Palatino Linotype" w:cs="Palatino Linotype"/>
          <w:b/>
          <w:sz w:val="28"/>
          <w:szCs w:val="28"/>
        </w:rPr>
        <w:t xml:space="preserve"> </w:t>
      </w:r>
      <w:r w:rsidRPr="007B144B">
        <w:rPr>
          <w:rFonts w:ascii="Palatino Linotype" w:eastAsia="Palatino Linotype" w:hAnsi="Palatino Linotype" w:cs="Palatino Linotype"/>
        </w:rPr>
        <w:t xml:space="preserve">El </w:t>
      </w:r>
      <w:r w:rsidR="00481BCF" w:rsidRPr="007B144B">
        <w:rPr>
          <w:rFonts w:ascii="Palatino Linotype" w:eastAsia="Palatino Linotype" w:hAnsi="Palatino Linotype" w:cs="Palatino Linotype"/>
        </w:rPr>
        <w:t>R</w:t>
      </w:r>
      <w:r w:rsidRPr="007B144B">
        <w:rPr>
          <w:rFonts w:ascii="Palatino Linotype" w:eastAsia="Palatino Linotype" w:hAnsi="Palatino Linotype" w:cs="Palatino Linotype"/>
        </w:rPr>
        <w:t xml:space="preserve">ecurso de </w:t>
      </w:r>
      <w:r w:rsidR="00481BCF" w:rsidRPr="007B144B">
        <w:rPr>
          <w:rFonts w:ascii="Palatino Linotype" w:eastAsia="Palatino Linotype" w:hAnsi="Palatino Linotype" w:cs="Palatino Linotype"/>
        </w:rPr>
        <w:t>R</w:t>
      </w:r>
      <w:r w:rsidRPr="007B144B">
        <w:rPr>
          <w:rFonts w:ascii="Palatino Linotype" w:eastAsia="Palatino Linotype" w:hAnsi="Palatino Linotype" w:cs="Palatino Linotype"/>
        </w:rPr>
        <w:t>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38223215" w14:textId="77777777" w:rsidR="002F225C" w:rsidRPr="007B144B" w:rsidRDefault="00D86D43" w:rsidP="007B144B">
      <w:pPr>
        <w:spacing w:before="120" w:after="120" w:line="276" w:lineRule="auto"/>
        <w:ind w:left="851" w:right="902"/>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w:t>
      </w:r>
      <w:r w:rsidRPr="007B144B">
        <w:rPr>
          <w:rFonts w:ascii="Palatino Linotype" w:eastAsia="Palatino Linotype" w:hAnsi="Palatino Linotype" w:cs="Palatino Linotype"/>
          <w:b/>
          <w:i/>
          <w:sz w:val="22"/>
          <w:szCs w:val="22"/>
        </w:rPr>
        <w:t xml:space="preserve">Artículo 128. </w:t>
      </w:r>
      <w:r w:rsidRPr="007B144B">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E81BFC" w14:textId="77777777" w:rsidR="002F225C" w:rsidRPr="007B144B" w:rsidRDefault="00D86D43" w:rsidP="007B144B">
      <w:pPr>
        <w:spacing w:before="120" w:after="120" w:line="276" w:lineRule="auto"/>
        <w:ind w:left="851" w:right="902"/>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6D86498B" w14:textId="77777777" w:rsidR="002F225C" w:rsidRPr="007B144B" w:rsidRDefault="00D86D43" w:rsidP="007B144B">
      <w:pPr>
        <w:widowControl w:val="0"/>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En esa tesitura, atendiendo a que el</w:t>
      </w:r>
      <w:r w:rsidRPr="007B144B">
        <w:rPr>
          <w:rFonts w:ascii="Palatino Linotype" w:eastAsia="Palatino Linotype" w:hAnsi="Palatino Linotype" w:cs="Palatino Linotype"/>
          <w:b/>
        </w:rPr>
        <w:t xml:space="preserve"> Sujeto Obligado</w:t>
      </w:r>
      <w:r w:rsidRPr="007B144B">
        <w:rPr>
          <w:rFonts w:ascii="Palatino Linotype" w:eastAsia="Palatino Linotype" w:hAnsi="Palatino Linotype" w:cs="Palatino Linotype"/>
        </w:rPr>
        <w:t xml:space="preserve"> notificó la respuesta a la solicitud de acceso a datos personales el </w:t>
      </w:r>
      <w:r w:rsidR="00E56D2F" w:rsidRPr="007B144B">
        <w:rPr>
          <w:rFonts w:ascii="Palatino Linotype" w:eastAsia="Palatino Linotype" w:hAnsi="Palatino Linotype" w:cs="Palatino Linotype"/>
          <w:b/>
        </w:rPr>
        <w:t>diez</w:t>
      </w:r>
      <w:r w:rsidRPr="007B144B">
        <w:rPr>
          <w:rFonts w:ascii="Palatino Linotype" w:eastAsia="Palatino Linotype" w:hAnsi="Palatino Linotype" w:cs="Palatino Linotype"/>
          <w:b/>
        </w:rPr>
        <w:t xml:space="preserve"> de </w:t>
      </w:r>
      <w:r w:rsidR="00E56D2F" w:rsidRPr="007B144B">
        <w:rPr>
          <w:rFonts w:ascii="Palatino Linotype" w:eastAsia="Palatino Linotype" w:hAnsi="Palatino Linotype" w:cs="Palatino Linotype"/>
          <w:b/>
        </w:rPr>
        <w:t xml:space="preserve">noviembre </w:t>
      </w:r>
      <w:r w:rsidRPr="007B144B">
        <w:rPr>
          <w:rFonts w:ascii="Palatino Linotype" w:eastAsia="Palatino Linotype" w:hAnsi="Palatino Linotype" w:cs="Palatino Linotype"/>
          <w:b/>
        </w:rPr>
        <w:t>de dos mil veintidós</w:t>
      </w:r>
      <w:r w:rsidRPr="007B144B">
        <w:rPr>
          <w:rFonts w:ascii="Palatino Linotype" w:eastAsia="Palatino Linotype" w:hAnsi="Palatino Linotype" w:cs="Palatino Linotype"/>
        </w:rPr>
        <w:t xml:space="preserve">; así, el plazo de quince días hábiles que el artículo 128 de la Ley de Protección de Datos Personales en Posesión de Sujetos Obligados del Estado de México y Municipios, transcurrió del </w:t>
      </w:r>
      <w:r w:rsidR="00E74726" w:rsidRPr="007B144B">
        <w:rPr>
          <w:rFonts w:ascii="Palatino Linotype" w:eastAsia="Palatino Linotype" w:hAnsi="Palatino Linotype" w:cs="Palatino Linotype"/>
        </w:rPr>
        <w:t>once de noviembre al dos de diciembre de dos mil veintidós</w:t>
      </w:r>
      <w:r w:rsidRPr="007B144B">
        <w:rPr>
          <w:rFonts w:ascii="Palatino Linotype" w:eastAsia="Palatino Linotype" w:hAnsi="Palatino Linotype" w:cs="Palatino Linotype"/>
        </w:rPr>
        <w:t xml:space="preserve">; en términos de los artículos 4 fracción XV de la Ley de Protección de Datos Personales en Posesión de Sujetos Obligados del Estado de México y Municipios y 3 </w:t>
      </w:r>
      <w:r w:rsidRPr="007B144B">
        <w:rPr>
          <w:rFonts w:ascii="Palatino Linotype" w:eastAsia="Palatino Linotype" w:hAnsi="Palatino Linotype" w:cs="Palatino Linotype"/>
        </w:rPr>
        <w:lastRenderedPageBreak/>
        <w:t>fracción X de la Ley de Transparencia y Acceso a la Información Pública del Estado de México y Municipios, de aplicación supletoria.</w:t>
      </w:r>
    </w:p>
    <w:p w14:paraId="53C03FC6" w14:textId="77777777" w:rsidR="002F225C" w:rsidRPr="007B144B" w:rsidRDefault="00D86D43" w:rsidP="007B144B">
      <w:pPr>
        <w:widowControl w:val="0"/>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Con base a esta cronología, si el recurso de revisión que nos ocupa se interpuso el </w:t>
      </w:r>
      <w:r w:rsidR="00D97A89" w:rsidRPr="007B144B">
        <w:rPr>
          <w:rFonts w:ascii="Palatino Linotype" w:eastAsia="Palatino Linotype" w:hAnsi="Palatino Linotype" w:cs="Palatino Linotype"/>
          <w:b/>
        </w:rPr>
        <w:t>veintidós</w:t>
      </w:r>
      <w:r w:rsidRPr="007B144B">
        <w:rPr>
          <w:rFonts w:ascii="Palatino Linotype" w:eastAsia="Palatino Linotype" w:hAnsi="Palatino Linotype" w:cs="Palatino Linotype"/>
          <w:b/>
        </w:rPr>
        <w:t xml:space="preserve"> de </w:t>
      </w:r>
      <w:r w:rsidR="00D97A89" w:rsidRPr="007B144B">
        <w:rPr>
          <w:rFonts w:ascii="Palatino Linotype" w:eastAsia="Palatino Linotype" w:hAnsi="Palatino Linotype" w:cs="Palatino Linotype"/>
          <w:b/>
        </w:rPr>
        <w:t xml:space="preserve">noviembre </w:t>
      </w:r>
      <w:r w:rsidRPr="007B144B">
        <w:rPr>
          <w:rFonts w:ascii="Palatino Linotype" w:eastAsia="Palatino Linotype" w:hAnsi="Palatino Linotype" w:cs="Palatino Linotype"/>
          <w:b/>
        </w:rPr>
        <w:t>dos mil veintidós</w:t>
      </w:r>
      <w:r w:rsidRPr="007B144B">
        <w:rPr>
          <w:rFonts w:ascii="Palatino Linotype" w:eastAsia="Palatino Linotype" w:hAnsi="Palatino Linotype" w:cs="Palatino Linotype"/>
        </w:rPr>
        <w:t xml:space="preserve">; </w:t>
      </w:r>
      <w:r w:rsidR="00D97A89" w:rsidRPr="007B144B">
        <w:rPr>
          <w:rFonts w:ascii="Palatino Linotype" w:eastAsia="Palatino Linotype" w:hAnsi="Palatino Linotype" w:cs="Palatino Linotype"/>
        </w:rPr>
        <w:t xml:space="preserve">éste </w:t>
      </w:r>
      <w:r w:rsidRPr="007B144B">
        <w:rPr>
          <w:rFonts w:ascii="Palatino Linotype" w:eastAsia="Palatino Linotype" w:hAnsi="Palatino Linotype" w:cs="Palatino Linotype"/>
        </w:rPr>
        <w:t xml:space="preserve">se encuentra dentro de los márgenes temporales previstos en el artículo 128 de la Ley de Protección de Datos Personales en Posesión de Sujetos Obligados del Estado de México y Municipios y, por tanto, </w:t>
      </w:r>
      <w:r w:rsidRPr="007B144B">
        <w:rPr>
          <w:rFonts w:ascii="Palatino Linotype" w:eastAsia="Palatino Linotype" w:hAnsi="Palatino Linotype" w:cs="Palatino Linotype"/>
          <w:b/>
        </w:rPr>
        <w:t>su interposición se considera oportuna</w:t>
      </w:r>
      <w:r w:rsidRPr="007B144B">
        <w:rPr>
          <w:rFonts w:ascii="Palatino Linotype" w:eastAsia="Palatino Linotype" w:hAnsi="Palatino Linotype" w:cs="Palatino Linotype"/>
        </w:rPr>
        <w:t>.</w:t>
      </w:r>
    </w:p>
    <w:p w14:paraId="115B6686" w14:textId="77777777" w:rsidR="002F225C" w:rsidRPr="007B144B" w:rsidRDefault="002F225C" w:rsidP="007B144B">
      <w:pPr>
        <w:spacing w:line="360" w:lineRule="auto"/>
        <w:jc w:val="both"/>
        <w:rPr>
          <w:rFonts w:ascii="Palatino Linotype" w:eastAsia="Palatino Linotype" w:hAnsi="Palatino Linotype" w:cs="Palatino Linotype"/>
        </w:rPr>
      </w:pPr>
    </w:p>
    <w:p w14:paraId="7A78E31D" w14:textId="77777777" w:rsidR="002F225C" w:rsidRPr="007B144B" w:rsidRDefault="00D86D43" w:rsidP="007B144B">
      <w:pP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b/>
        </w:rPr>
        <w:t xml:space="preserve">TERCERO. Análisis de las causales de improcedencia y sobreseimiento del recurso de revisión. </w:t>
      </w:r>
      <w:r w:rsidRPr="007B144B">
        <w:rPr>
          <w:rFonts w:ascii="Palatino Linotype" w:eastAsia="Palatino Linotype" w:hAnsi="Palatino Linotype" w:cs="Palatino Linotype"/>
        </w:rPr>
        <w:t xml:space="preserve">En primer término, es importante establecer la materia de la solicitud, para determinar si se trata de una solicitud de acceso a la información como fue ingresada, o bien, si es de acceso a datos personales, en virtud de que la </w:t>
      </w:r>
      <w:r w:rsidRPr="007B144B">
        <w:rPr>
          <w:rFonts w:ascii="Palatino Linotype" w:eastAsia="Palatino Linotype" w:hAnsi="Palatino Linotype" w:cs="Palatino Linotype"/>
          <w:b/>
        </w:rPr>
        <w:t>RECURRENTE</w:t>
      </w:r>
      <w:r w:rsidRPr="007B144B">
        <w:rPr>
          <w:rFonts w:ascii="Palatino Linotype" w:eastAsia="Palatino Linotype" w:hAnsi="Palatino Linotype" w:cs="Palatino Linotype"/>
        </w:rPr>
        <w:t xml:space="preserve"> al momento de formular su solicitud lo realizó vía el Sistema de Acceso a la Información Mexiquense.</w:t>
      </w:r>
    </w:p>
    <w:p w14:paraId="0AADD7D5"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Es importante precisar que el derecho de acceso a la información pública tiene su sustento en los artículos 6, apartado A, fracción IV de la Constitución Política de los Estados Unidos Mexicanos; 5, párrafos trigésimo segundo, trigésimo tercero y trigésimo cuarto fracciones I, II, III, IV y V de la Constitución Política del Estado Libre y Soberano de México, con relación en los artículos 1, 2 y 4 de la Ley de Transparencia y Acceso a la Información Pública del Estado de México y Municipios.</w:t>
      </w:r>
    </w:p>
    <w:p w14:paraId="4A3DC970"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El cual, implica transparentar el ejercicio de la función pública, facilitar el acceso de los particulares a la información pública que los Sujetos Obligados generen, posean </w:t>
      </w:r>
      <w:r w:rsidRPr="007B144B">
        <w:rPr>
          <w:rFonts w:ascii="Palatino Linotype" w:eastAsia="Palatino Linotype" w:hAnsi="Palatino Linotype" w:cs="Palatino Linotype"/>
        </w:rPr>
        <w:lastRenderedPageBreak/>
        <w:t xml:space="preserve">o administren en ejercicio de sus atribuciones, mediante procedimientos sencillos y expeditos, de manera oportuna y gratuita, privilegiando el principio de máxima publicidad de la información. </w:t>
      </w:r>
    </w:p>
    <w:p w14:paraId="3F65BD55"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14:paraId="3D1D3215"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En ese sentido debe quedar claro que una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14:paraId="24171F0E"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w:t>
      </w:r>
      <w:r w:rsidRPr="007B144B">
        <w:rPr>
          <w:rFonts w:ascii="Palatino Linotype" w:eastAsia="Palatino Linotype" w:hAnsi="Palatino Linotype" w:cs="Palatino Linotype"/>
        </w:rPr>
        <w:lastRenderedPageBreak/>
        <w:t>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260F243E"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2DEE354B" w14:textId="77777777" w:rsidR="002F225C" w:rsidRPr="007B144B" w:rsidRDefault="00D86D43" w:rsidP="007B144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w:t>
      </w:r>
      <w:r w:rsidR="009A0E9F" w:rsidRPr="007B144B">
        <w:rPr>
          <w:rFonts w:ascii="Palatino Linotype" w:eastAsia="Palatino Linotype" w:hAnsi="Palatino Linotype" w:cs="Palatino Linotype"/>
          <w:b/>
        </w:rPr>
        <w:t xml:space="preserve">EL SUJETO OBLIGADO </w:t>
      </w:r>
      <w:r w:rsidRPr="007B144B">
        <w:rPr>
          <w:rFonts w:ascii="Palatino Linotype" w:eastAsia="Palatino Linotype" w:hAnsi="Palatino Linotype" w:cs="Palatino Linotype"/>
        </w:rPr>
        <w:t>que esté en posesión de los mismos.</w:t>
      </w:r>
    </w:p>
    <w:p w14:paraId="267F3EC3"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lastRenderedPageBreak/>
        <w:t xml:space="preserve">Es así, que del análisis a la solicitud se advierte que la parte </w:t>
      </w:r>
      <w:r w:rsidR="009A0E9F" w:rsidRPr="007B144B">
        <w:rPr>
          <w:rFonts w:ascii="Palatino Linotype" w:eastAsia="Palatino Linotype" w:hAnsi="Palatino Linotype" w:cs="Palatino Linotype"/>
          <w:b/>
        </w:rPr>
        <w:t>RECURRENTE</w:t>
      </w:r>
      <w:r w:rsidR="009A0E9F"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rPr>
        <w:t xml:space="preserve">requiere </w:t>
      </w:r>
      <w:r w:rsidR="00884FDC" w:rsidRPr="007B144B">
        <w:rPr>
          <w:rFonts w:ascii="Palatino Linotype" w:eastAsia="Palatino Linotype" w:hAnsi="Palatino Linotype" w:cs="Palatino Linotype"/>
        </w:rPr>
        <w:t>acceder a los</w:t>
      </w:r>
      <w:r w:rsidRPr="007B144B">
        <w:rPr>
          <w:rFonts w:ascii="Palatino Linotype" w:eastAsia="Palatino Linotype" w:hAnsi="Palatino Linotype" w:cs="Palatino Linotype"/>
        </w:rPr>
        <w:t xml:space="preserve"> siguientes datos: </w:t>
      </w:r>
    </w:p>
    <w:p w14:paraId="7A97815F" w14:textId="77777777" w:rsidR="00884FDC" w:rsidRPr="007B144B" w:rsidRDefault="00C66B47" w:rsidP="007B144B">
      <w:pPr>
        <w:numPr>
          <w:ilvl w:val="3"/>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Buenas tardes, solicito copia certificada de los recibos de ingresos de dinero realizados por el C. JAIME BENITO URBINA GIL a la Tesorería Municipal de Tianguistenco, México, durante el ejercicio 2022, así como de la órdenes de pago respectivas</w:t>
      </w:r>
    </w:p>
    <w:p w14:paraId="214B251B" w14:textId="4EE881BD" w:rsidR="00884FDC" w:rsidRPr="007B144B" w:rsidRDefault="00884FDC" w:rsidP="007B144B">
      <w:pPr>
        <w:numPr>
          <w:ilvl w:val="3"/>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C</w:t>
      </w:r>
      <w:r w:rsidR="00C66B47" w:rsidRPr="007B144B">
        <w:rPr>
          <w:rFonts w:ascii="Palatino Linotype" w:eastAsia="Palatino Linotype" w:hAnsi="Palatino Linotype" w:cs="Palatino Linotype"/>
        </w:rPr>
        <w:t xml:space="preserve">opia certificada del acta de visita realizada al C. </w:t>
      </w:r>
      <w:r w:rsidR="00BC07AF">
        <w:rPr>
          <w:rFonts w:ascii="Palatino Linotype" w:eastAsia="Palatino Linotype" w:hAnsi="Palatino Linotype" w:cs="Palatino Linotype"/>
        </w:rPr>
        <w:t xml:space="preserve">XXXXX </w:t>
      </w:r>
      <w:proofErr w:type="spellStart"/>
      <w:r w:rsidR="00BC07AF">
        <w:rPr>
          <w:rFonts w:ascii="Palatino Linotype" w:eastAsia="Palatino Linotype" w:hAnsi="Palatino Linotype" w:cs="Palatino Linotype"/>
        </w:rPr>
        <w:t>XXXXX</w:t>
      </w:r>
      <w:proofErr w:type="spellEnd"/>
      <w:r w:rsidR="00BC07AF">
        <w:rPr>
          <w:rFonts w:ascii="Palatino Linotype" w:eastAsia="Palatino Linotype" w:hAnsi="Palatino Linotype" w:cs="Palatino Linotype"/>
        </w:rPr>
        <w:t xml:space="preserve"> XXXXXXXXXX</w:t>
      </w:r>
      <w:r w:rsidR="00C66B47" w:rsidRPr="007B144B">
        <w:rPr>
          <w:rFonts w:ascii="Palatino Linotype" w:eastAsia="Palatino Linotype" w:hAnsi="Palatino Linotype" w:cs="Palatino Linotype"/>
        </w:rPr>
        <w:t>, el día 30 de agosto de 2022 realizada por el personal de la Dirección de Agua y Saneamiento de Tianguistenco, México</w:t>
      </w:r>
    </w:p>
    <w:p w14:paraId="5ADB3F92" w14:textId="77777777" w:rsidR="002F225C" w:rsidRPr="007B144B" w:rsidRDefault="00D86D43" w:rsidP="007B144B">
      <w:pPr>
        <w:spacing w:before="280" w:after="28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Acotado lo anterior, y tomando en consideración que la solicitud, el procedimiento de acceso a la información pública no es la vía para su tramitación; por lo que, presente recurso se deberá atender en términos del ejercicio del derecho de acceso a datos personales, toda vez que este Instituto, al igual que otros Órganos Garantes como es el Instituto Nacional de Acceso a la Información y Protección de Datos (INAI) se han pronunciado por la procedencia de los recursos de revisión según la materia de la solicitud. </w:t>
      </w:r>
    </w:p>
    <w:p w14:paraId="282297D0" w14:textId="77777777" w:rsidR="002F225C" w:rsidRPr="007B144B" w:rsidRDefault="00D86D43" w:rsidP="007B144B">
      <w:pPr>
        <w:spacing w:before="280" w:after="28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Discernimiento que encuentra apoyo en el criterio </w:t>
      </w:r>
      <w:r w:rsidRPr="007B144B">
        <w:rPr>
          <w:rFonts w:ascii="Palatino Linotype" w:eastAsia="Palatino Linotype" w:hAnsi="Palatino Linotype" w:cs="Palatino Linotype"/>
          <w:b/>
        </w:rPr>
        <w:t>008/2009</w:t>
      </w:r>
      <w:r w:rsidRPr="007B144B">
        <w:rPr>
          <w:rFonts w:ascii="Palatino Linotype" w:eastAsia="Palatino Linotype" w:hAnsi="Palatino Linotype" w:cs="Palatino Linotype"/>
        </w:rPr>
        <w:t xml:space="preserve"> del INAI, que a la letra dispone:</w:t>
      </w:r>
    </w:p>
    <w:p w14:paraId="5226BCE2" w14:textId="77777777" w:rsidR="002F225C" w:rsidRPr="007B144B" w:rsidRDefault="00D86D43" w:rsidP="007B144B">
      <w:pPr>
        <w:tabs>
          <w:tab w:val="left" w:pos="7655"/>
        </w:tabs>
        <w:spacing w:after="120"/>
        <w:ind w:left="851" w:right="902"/>
        <w:jc w:val="both"/>
        <w:rPr>
          <w:rFonts w:ascii="Palatino Linotype" w:eastAsia="Palatino Linotype" w:hAnsi="Palatino Linotype" w:cs="Palatino Linotype"/>
          <w:b/>
          <w:i/>
          <w:sz w:val="20"/>
          <w:szCs w:val="20"/>
        </w:rPr>
      </w:pPr>
      <w:r w:rsidRPr="007B144B">
        <w:rPr>
          <w:rFonts w:ascii="Palatino Linotype" w:eastAsia="Palatino Linotype" w:hAnsi="Palatino Linotype" w:cs="Palatino Linotype"/>
          <w:i/>
          <w:sz w:val="20"/>
          <w:szCs w:val="20"/>
        </w:rPr>
        <w:t>“</w:t>
      </w:r>
      <w:r w:rsidRPr="007B144B">
        <w:rPr>
          <w:rFonts w:ascii="Palatino Linotype" w:eastAsia="Palatino Linotype" w:hAnsi="Palatino Linotype" w:cs="Palatino Linotype"/>
          <w:b/>
          <w:i/>
          <w:sz w:val="20"/>
          <w:szCs w:val="20"/>
        </w:rPr>
        <w:t>Las dependencias y entidades deberán dar trámite a las solicitudes aun cuando la vía en la que fueron presentadas -acceso a datos personales o información pública- no corresponda con la naturaleza de la materia de la misma.</w:t>
      </w:r>
      <w:r w:rsidRPr="007B144B">
        <w:rPr>
          <w:rFonts w:ascii="Palatino Linotype" w:eastAsia="Palatino Linotype" w:hAnsi="Palatino Linotype" w:cs="Palatino Linotype"/>
          <w:i/>
          <w:sz w:val="20"/>
          <w:szCs w:val="20"/>
        </w:rPr>
        <w:t xml:space="preserve"> </w:t>
      </w:r>
      <w:r w:rsidRPr="007B144B">
        <w:rPr>
          <w:rFonts w:ascii="Palatino Linotype" w:eastAsia="Palatino Linotype" w:hAnsi="Palatino Linotype" w:cs="Palatino Linotype"/>
          <w:b/>
          <w:i/>
          <w:sz w:val="20"/>
          <w:szCs w:val="20"/>
        </w:rPr>
        <w:t xml:space="preserve">Todas aquellas solicitudes cuyo objetivo sea allegarse de información pública y que sean ingresadas por la vía de acceso a datos personales, así como el caso contrario, </w:t>
      </w:r>
      <w:r w:rsidRPr="007B144B">
        <w:rPr>
          <w:rFonts w:ascii="Palatino Linotype" w:eastAsia="Palatino Linotype" w:hAnsi="Palatino Linotype" w:cs="Palatino Linotype"/>
          <w:b/>
          <w:i/>
          <w:sz w:val="20"/>
          <w:szCs w:val="20"/>
          <w:u w:val="single"/>
        </w:rPr>
        <w:t xml:space="preserve">deberán ser tramitadas por las dependencias y entidades de </w:t>
      </w:r>
      <w:r w:rsidRPr="007B144B">
        <w:rPr>
          <w:rFonts w:ascii="Palatino Linotype" w:eastAsia="Palatino Linotype" w:hAnsi="Palatino Linotype" w:cs="Palatino Linotype"/>
          <w:b/>
          <w:i/>
          <w:sz w:val="20"/>
          <w:szCs w:val="20"/>
          <w:u w:val="single"/>
        </w:rPr>
        <w:lastRenderedPageBreak/>
        <w:t>conformidad con la naturaleza de la información de que se trate</w:t>
      </w:r>
      <w:r w:rsidRPr="007B144B">
        <w:rPr>
          <w:rFonts w:ascii="Palatino Linotype" w:eastAsia="Palatino Linotype" w:hAnsi="Palatino Linotype" w:cs="Palatino Linotype"/>
          <w:b/>
          <w:i/>
          <w:sz w:val="20"/>
          <w:szCs w:val="20"/>
        </w:rPr>
        <w:t>, sin necesidad de que el particular requiera presentar una nueva solicitud.</w:t>
      </w:r>
    </w:p>
    <w:p w14:paraId="33291E64" w14:textId="77777777" w:rsidR="002F225C" w:rsidRPr="007B144B" w:rsidRDefault="00D86D43" w:rsidP="007B144B">
      <w:pPr>
        <w:tabs>
          <w:tab w:val="left" w:pos="7655"/>
        </w:tabs>
        <w:spacing w:after="120"/>
        <w:ind w:left="851" w:right="902"/>
        <w:jc w:val="both"/>
        <w:rPr>
          <w:rFonts w:ascii="Palatino Linotype" w:eastAsia="Palatino Linotype" w:hAnsi="Palatino Linotype" w:cs="Palatino Linotype"/>
          <w:i/>
          <w:sz w:val="20"/>
          <w:szCs w:val="20"/>
        </w:rPr>
      </w:pPr>
      <w:r w:rsidRPr="007B144B">
        <w:rPr>
          <w:rFonts w:ascii="Palatino Linotype" w:eastAsia="Palatino Linotype" w:hAnsi="Palatino Linotype" w:cs="Palatino Linotype"/>
          <w:i/>
          <w:sz w:val="20"/>
          <w:szCs w:val="20"/>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7B144B">
        <w:rPr>
          <w:rFonts w:ascii="Palatino Linotype" w:eastAsia="Palatino Linotype" w:hAnsi="Palatino Linotype" w:cs="Palatino Linotype"/>
          <w:b/>
          <w:i/>
          <w:sz w:val="20"/>
          <w:szCs w:val="20"/>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7B144B">
        <w:rPr>
          <w:rFonts w:ascii="Palatino Linotype" w:eastAsia="Palatino Linotype" w:hAnsi="Palatino Linotype" w:cs="Palatino Linotype"/>
          <w:i/>
          <w:sz w:val="20"/>
          <w:szCs w:val="20"/>
        </w:rPr>
        <w:t>.”</w:t>
      </w:r>
    </w:p>
    <w:p w14:paraId="4B7FB892" w14:textId="77777777" w:rsidR="002F225C" w:rsidRPr="007B144B" w:rsidRDefault="00D86D43" w:rsidP="007B144B">
      <w:pPr>
        <w:spacing w:before="280" w:after="280" w:line="360" w:lineRule="auto"/>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rPr>
        <w:t xml:space="preserve">Lo anterior, bajo el principio  de </w:t>
      </w:r>
      <w:proofErr w:type="spellStart"/>
      <w:r w:rsidRPr="007B144B">
        <w:rPr>
          <w:rFonts w:ascii="Palatino Linotype" w:eastAsia="Palatino Linotype" w:hAnsi="Palatino Linotype" w:cs="Palatino Linotype"/>
        </w:rPr>
        <w:t>expeditez</w:t>
      </w:r>
      <w:proofErr w:type="spellEnd"/>
      <w:r w:rsidRPr="007B144B">
        <w:rPr>
          <w:rFonts w:ascii="Palatino Linotype" w:eastAsia="Palatino Linotype" w:hAnsi="Palatino Linotype" w:cs="Palatino Linotype"/>
          <w:vertAlign w:val="superscript"/>
        </w:rPr>
        <w:footnoteReference w:id="1"/>
      </w:r>
      <w:r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i/>
        </w:rPr>
        <w:t xml:space="preserve">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w:t>
      </w:r>
      <w:r w:rsidRPr="007B144B">
        <w:rPr>
          <w:rFonts w:ascii="Palatino Linotype" w:eastAsia="Palatino Linotype" w:hAnsi="Palatino Linotype" w:cs="Palatino Linotype"/>
        </w:rPr>
        <w:t xml:space="preserve">determina  procedente dar trámite a la solicitud formulada por la parte </w:t>
      </w:r>
      <w:r w:rsidR="009A0E9F" w:rsidRPr="007B144B">
        <w:rPr>
          <w:rFonts w:ascii="Palatino Linotype" w:eastAsia="Palatino Linotype" w:hAnsi="Palatino Linotype" w:cs="Palatino Linotype"/>
          <w:b/>
        </w:rPr>
        <w:t>RECURRENTE</w:t>
      </w:r>
      <w:r w:rsidR="009A0E9F"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rPr>
        <w:t xml:space="preserve">bajo el procedimiento de acceso a los datos personales previsto en la Ley de Protección de Datos Personales en Posesión de Sujetos Obligados del Estado de México y Municipios, de conformidad con el artículo 1 de la Ley referida la misma tiene por objeto garantizar la protección de los datos </w:t>
      </w:r>
      <w:r w:rsidRPr="007B144B">
        <w:rPr>
          <w:rFonts w:ascii="Palatino Linotype" w:eastAsia="Palatino Linotype" w:hAnsi="Palatino Linotype" w:cs="Palatino Linotype"/>
        </w:rPr>
        <w:lastRenderedPageBreak/>
        <w:t>personales que se encuentren en posesión de los sujetos obligados, de tal forma, en la resolución del presente asunto resulta aplicable la Ley de Protección de Datos Personales en Posesión de Sujetos Obligados del Estado de México y Municipios.</w:t>
      </w:r>
    </w:p>
    <w:p w14:paraId="2549CA69" w14:textId="3722324D" w:rsidR="00DA3775" w:rsidRPr="007B144B" w:rsidRDefault="00D86D43" w:rsidP="007B144B">
      <w:pPr>
        <w:tabs>
          <w:tab w:val="center" w:pos="4252"/>
          <w:tab w:val="right" w:pos="8504"/>
        </w:tabs>
        <w:spacing w:line="360" w:lineRule="auto"/>
        <w:jc w:val="both"/>
        <w:rPr>
          <w:rFonts w:ascii="Palatino Linotype" w:hAnsi="Palatino Linotype" w:cs="Arial"/>
        </w:rPr>
      </w:pPr>
      <w:r w:rsidRPr="007B144B">
        <w:rPr>
          <w:rFonts w:ascii="Palatino Linotype" w:eastAsia="Palatino Linotype" w:hAnsi="Palatino Linotype" w:cs="Palatino Linotype"/>
        </w:rPr>
        <w:t xml:space="preserve">Acotado lo anterior, cabe reiterar que en respuesta a la solicitud de acceso a datos personales, </w:t>
      </w:r>
      <w:r w:rsidR="009A0E9F" w:rsidRPr="007B144B">
        <w:rPr>
          <w:rFonts w:ascii="Palatino Linotype" w:eastAsia="Palatino Linotype" w:hAnsi="Palatino Linotype" w:cs="Palatino Linotype"/>
          <w:b/>
        </w:rPr>
        <w:t xml:space="preserve">EL SUJETO OBLIGADO </w:t>
      </w:r>
      <w:r w:rsidRPr="007B144B">
        <w:rPr>
          <w:rFonts w:ascii="Palatino Linotype" w:eastAsia="Palatino Linotype" w:hAnsi="Palatino Linotype" w:cs="Palatino Linotype"/>
        </w:rPr>
        <w:t xml:space="preserve">respondió, en términos generales </w:t>
      </w:r>
      <w:r w:rsidR="0092026E" w:rsidRPr="007B144B">
        <w:rPr>
          <w:rFonts w:ascii="Palatino Linotype" w:eastAsia="Palatino Linotype" w:hAnsi="Palatino Linotype" w:cs="Palatino Linotype"/>
        </w:rPr>
        <w:t>pretendiendo entregar la información en una versión pública</w:t>
      </w:r>
      <w:r w:rsidR="00DA3775" w:rsidRPr="007B144B">
        <w:rPr>
          <w:rFonts w:ascii="Palatino Linotype" w:eastAsia="Palatino Linotype" w:hAnsi="Palatino Linotype" w:cs="Palatino Linotype"/>
        </w:rPr>
        <w:t xml:space="preserve"> y mediante informe justificado remitió los archivos </w:t>
      </w:r>
      <w:r w:rsidR="00DA3775" w:rsidRPr="007B144B">
        <w:rPr>
          <w:rFonts w:ascii="Palatino Linotype" w:hAnsi="Palatino Linotype" w:cs="Arial"/>
        </w:rPr>
        <w:t>siguientes:</w:t>
      </w:r>
    </w:p>
    <w:p w14:paraId="1AE6EBEC" w14:textId="77777777" w:rsidR="00DA3775" w:rsidRPr="007B144B" w:rsidRDefault="00DA3775" w:rsidP="007B144B">
      <w:pPr>
        <w:tabs>
          <w:tab w:val="center" w:pos="4252"/>
          <w:tab w:val="right" w:pos="8504"/>
        </w:tabs>
        <w:spacing w:line="360" w:lineRule="auto"/>
        <w:jc w:val="both"/>
        <w:rPr>
          <w:rFonts w:ascii="Palatino Linotype" w:hAnsi="Palatino Linotype" w:cs="Arial"/>
        </w:rPr>
      </w:pPr>
    </w:p>
    <w:p w14:paraId="27F5850B" w14:textId="77777777" w:rsidR="00DA3775" w:rsidRPr="007B144B" w:rsidRDefault="00DA3775" w:rsidP="007B144B">
      <w:pPr>
        <w:tabs>
          <w:tab w:val="center" w:pos="4252"/>
          <w:tab w:val="right" w:pos="8504"/>
        </w:tabs>
        <w:spacing w:line="360" w:lineRule="auto"/>
        <w:jc w:val="both"/>
        <w:rPr>
          <w:rFonts w:ascii="Palatino Linotype" w:hAnsi="Palatino Linotype" w:cs="Arial"/>
        </w:rPr>
      </w:pPr>
      <w:proofErr w:type="gramStart"/>
      <w:r w:rsidRPr="007B144B">
        <w:rPr>
          <w:rFonts w:ascii="Palatino Linotype" w:hAnsi="Palatino Linotype" w:cs="Arial"/>
          <w:b/>
          <w:bCs/>
          <w:i/>
          <w:iCs/>
        </w:rPr>
        <w:t>manifestaciones</w:t>
      </w:r>
      <w:proofErr w:type="gramEnd"/>
      <w:r w:rsidRPr="007B144B">
        <w:rPr>
          <w:rFonts w:ascii="Palatino Linotype" w:hAnsi="Palatino Linotype" w:cs="Arial"/>
          <w:b/>
          <w:bCs/>
          <w:i/>
          <w:iCs/>
        </w:rPr>
        <w:t xml:space="preserve"> RR 16732.pdf. </w:t>
      </w:r>
      <w:r w:rsidRPr="007B144B">
        <w:rPr>
          <w:rFonts w:ascii="Palatino Linotype" w:hAnsi="Palatino Linotype" w:cs="Arial"/>
        </w:rPr>
        <w:t xml:space="preserve">Archivo que contiene el informe justificado del Sujeto Obligado mediante el cual ratifica su respuesta y argumenta el por qué a su criterio si se está cumpliendo con la entrega de la información. </w:t>
      </w:r>
    </w:p>
    <w:p w14:paraId="10FDB557" w14:textId="77777777" w:rsidR="00DA3775" w:rsidRPr="007B144B" w:rsidRDefault="00DA3775" w:rsidP="007B144B">
      <w:pPr>
        <w:tabs>
          <w:tab w:val="center" w:pos="4252"/>
          <w:tab w:val="right" w:pos="8504"/>
        </w:tabs>
        <w:spacing w:line="360" w:lineRule="auto"/>
        <w:jc w:val="both"/>
        <w:rPr>
          <w:rFonts w:ascii="Palatino Linotype" w:hAnsi="Palatino Linotype" w:cs="Arial"/>
        </w:rPr>
      </w:pPr>
    </w:p>
    <w:p w14:paraId="702282E0" w14:textId="77777777" w:rsidR="00DA3775" w:rsidRPr="007B144B" w:rsidRDefault="00997F8C" w:rsidP="007B144B">
      <w:pPr>
        <w:tabs>
          <w:tab w:val="center" w:pos="4252"/>
          <w:tab w:val="right" w:pos="8504"/>
        </w:tabs>
        <w:spacing w:line="360" w:lineRule="auto"/>
        <w:jc w:val="both"/>
        <w:rPr>
          <w:rFonts w:ascii="Palatino Linotype" w:hAnsi="Palatino Linotype" w:cs="Arial"/>
        </w:rPr>
      </w:pPr>
      <w:hyperlink r:id="rId13" w:history="1">
        <w:r w:rsidR="00DA3775" w:rsidRPr="007B144B">
          <w:rPr>
            <w:rFonts w:ascii="Palatino Linotype" w:hAnsi="Palatino Linotype"/>
            <w:b/>
            <w:bCs/>
            <w:i/>
            <w:iCs/>
          </w:rPr>
          <w:t>respuesta tesorería sol 188 (2).pdf</w:t>
        </w:r>
      </w:hyperlink>
      <w:r w:rsidR="00DA3775" w:rsidRPr="007B144B">
        <w:rPr>
          <w:rFonts w:ascii="Palatino Linotype" w:hAnsi="Palatino Linotype" w:cs="Arial"/>
          <w:b/>
          <w:bCs/>
          <w:i/>
          <w:iCs/>
        </w:rPr>
        <w:t xml:space="preserve"> </w:t>
      </w:r>
      <w:r w:rsidR="00DA3775" w:rsidRPr="007B144B">
        <w:rPr>
          <w:rFonts w:ascii="Palatino Linotype" w:hAnsi="Palatino Linotype" w:cs="Arial"/>
        </w:rPr>
        <w:t>Oficio PMT/TMT/0776/2022 por medio del cual la Tesorería le informa al Titular de la Unidad de Transparencia que remite la información solicitada y que testa datos personales juntos con los argumentos del por qué los testa.</w:t>
      </w:r>
    </w:p>
    <w:p w14:paraId="7703B505" w14:textId="77777777" w:rsidR="00DA3775" w:rsidRPr="007B144B" w:rsidRDefault="00DA3775" w:rsidP="007B144B">
      <w:pPr>
        <w:tabs>
          <w:tab w:val="center" w:pos="4252"/>
          <w:tab w:val="right" w:pos="8504"/>
        </w:tabs>
        <w:spacing w:line="360" w:lineRule="auto"/>
        <w:jc w:val="both"/>
        <w:rPr>
          <w:rFonts w:ascii="Palatino Linotype" w:hAnsi="Palatino Linotype" w:cs="Arial"/>
        </w:rPr>
      </w:pPr>
    </w:p>
    <w:p w14:paraId="64448583" w14:textId="77777777" w:rsidR="00DA3775" w:rsidRPr="007B144B" w:rsidRDefault="00997F8C" w:rsidP="007B144B">
      <w:pPr>
        <w:tabs>
          <w:tab w:val="center" w:pos="4252"/>
          <w:tab w:val="right" w:pos="8504"/>
        </w:tabs>
        <w:spacing w:line="360" w:lineRule="auto"/>
        <w:jc w:val="both"/>
        <w:rPr>
          <w:rFonts w:ascii="Palatino Linotype" w:hAnsi="Palatino Linotype"/>
        </w:rPr>
      </w:pPr>
      <w:hyperlink r:id="rId14" w:history="1">
        <w:r w:rsidR="00DA3775" w:rsidRPr="007B144B">
          <w:rPr>
            <w:rFonts w:ascii="Palatino Linotype" w:hAnsi="Palatino Linotype"/>
            <w:i/>
            <w:iCs/>
          </w:rPr>
          <w:t>RECURSDO DE REVICION 16732.pdf</w:t>
        </w:r>
      </w:hyperlink>
      <w:r w:rsidR="00DA3775" w:rsidRPr="007B144B">
        <w:rPr>
          <w:rFonts w:ascii="Palatino Linotype" w:hAnsi="Palatino Linotype"/>
          <w:b/>
          <w:bCs/>
          <w:i/>
          <w:iCs/>
        </w:rPr>
        <w:t xml:space="preserve"> </w:t>
      </w:r>
      <w:r w:rsidR="00DA3775" w:rsidRPr="007B144B">
        <w:rPr>
          <w:rFonts w:ascii="Palatino Linotype" w:hAnsi="Palatino Linotype"/>
        </w:rPr>
        <w:t>Acuerdo de Admisión del presente recurso de revisión de fecha veinticinco de noviembre de dos mil veintidós.</w:t>
      </w:r>
    </w:p>
    <w:p w14:paraId="33C2E6CE" w14:textId="77777777" w:rsidR="00DA3775" w:rsidRPr="007B144B" w:rsidRDefault="00DA3775" w:rsidP="007B144B">
      <w:pPr>
        <w:tabs>
          <w:tab w:val="center" w:pos="4252"/>
          <w:tab w:val="right" w:pos="8504"/>
        </w:tabs>
        <w:spacing w:line="360" w:lineRule="auto"/>
        <w:jc w:val="both"/>
        <w:rPr>
          <w:rFonts w:ascii="Palatino Linotype" w:hAnsi="Palatino Linotype"/>
          <w:b/>
          <w:bCs/>
          <w:i/>
          <w:iCs/>
        </w:rPr>
      </w:pPr>
    </w:p>
    <w:p w14:paraId="571D3C1C" w14:textId="77777777" w:rsidR="00DA3775" w:rsidRPr="007B144B" w:rsidRDefault="00997F8C" w:rsidP="007B144B">
      <w:pPr>
        <w:tabs>
          <w:tab w:val="center" w:pos="4252"/>
          <w:tab w:val="right" w:pos="8504"/>
        </w:tabs>
        <w:spacing w:line="360" w:lineRule="auto"/>
        <w:jc w:val="both"/>
        <w:rPr>
          <w:rFonts w:ascii="Palatino Linotype" w:hAnsi="Palatino Linotype"/>
        </w:rPr>
      </w:pPr>
      <w:hyperlink r:id="rId15" w:history="1">
        <w:r w:rsidR="00DA3775" w:rsidRPr="007B144B">
          <w:rPr>
            <w:rFonts w:ascii="Palatino Linotype" w:hAnsi="Palatino Linotype"/>
            <w:i/>
            <w:iCs/>
          </w:rPr>
          <w:t>Manifestaciones del Particular.pdf</w:t>
        </w:r>
      </w:hyperlink>
      <w:r w:rsidR="00DA3775" w:rsidRPr="007B144B">
        <w:rPr>
          <w:rFonts w:ascii="Palatino Linotype" w:hAnsi="Palatino Linotype"/>
          <w:b/>
          <w:bCs/>
          <w:i/>
          <w:iCs/>
        </w:rPr>
        <w:t xml:space="preserve"> </w:t>
      </w:r>
      <w:r w:rsidR="00DA3775" w:rsidRPr="007B144B">
        <w:rPr>
          <w:rFonts w:ascii="Palatino Linotype" w:hAnsi="Palatino Linotype"/>
        </w:rPr>
        <w:t>Acuse de la interposición del presente Recurso de Revisión donde se advierten las razones y motivos de inconformidad del recurrente.</w:t>
      </w:r>
    </w:p>
    <w:p w14:paraId="1797DEC2" w14:textId="77777777" w:rsidR="00DA3775" w:rsidRPr="007B144B" w:rsidRDefault="00DA3775" w:rsidP="007B144B">
      <w:pPr>
        <w:tabs>
          <w:tab w:val="center" w:pos="4252"/>
          <w:tab w:val="right" w:pos="8504"/>
        </w:tabs>
        <w:spacing w:line="360" w:lineRule="auto"/>
        <w:jc w:val="both"/>
        <w:rPr>
          <w:rFonts w:ascii="Palatino Linotype" w:hAnsi="Palatino Linotype"/>
          <w:b/>
          <w:bCs/>
          <w:i/>
          <w:iCs/>
        </w:rPr>
      </w:pPr>
    </w:p>
    <w:p w14:paraId="38497120" w14:textId="77777777" w:rsidR="00DA3775" w:rsidRPr="007B144B" w:rsidRDefault="00997F8C" w:rsidP="007B144B">
      <w:pPr>
        <w:tabs>
          <w:tab w:val="center" w:pos="4252"/>
          <w:tab w:val="right" w:pos="8504"/>
        </w:tabs>
        <w:spacing w:line="360" w:lineRule="auto"/>
        <w:jc w:val="both"/>
        <w:rPr>
          <w:rFonts w:ascii="Palatino Linotype" w:hAnsi="Palatino Linotype"/>
        </w:rPr>
      </w:pPr>
      <w:hyperlink r:id="rId16" w:history="1">
        <w:r w:rsidR="00DA3775" w:rsidRPr="007B144B">
          <w:rPr>
            <w:rFonts w:ascii="Palatino Linotype" w:hAnsi="Palatino Linotype"/>
            <w:i/>
            <w:iCs/>
          </w:rPr>
          <w:t>Tianguistengo.pdf</w:t>
        </w:r>
      </w:hyperlink>
      <w:r w:rsidR="00DA3775" w:rsidRPr="007B144B">
        <w:rPr>
          <w:rFonts w:ascii="Palatino Linotype" w:hAnsi="Palatino Linotype"/>
          <w:b/>
          <w:bCs/>
          <w:i/>
          <w:iCs/>
        </w:rPr>
        <w:t xml:space="preserve"> </w:t>
      </w:r>
      <w:r w:rsidR="00DA3775" w:rsidRPr="007B144B">
        <w:rPr>
          <w:rFonts w:ascii="Palatino Linotype" w:hAnsi="Palatino Linotype"/>
        </w:rPr>
        <w:t>Archivo de dos fojas útiles que no se puso a la vista en razón de contener datos personales visibles como lo es de manera enunciativa más no limitativa el nombre de particulares.</w:t>
      </w:r>
    </w:p>
    <w:p w14:paraId="74859863" w14:textId="77777777" w:rsidR="00DA3775" w:rsidRPr="007B144B" w:rsidRDefault="00DA3775" w:rsidP="007B144B">
      <w:pPr>
        <w:tabs>
          <w:tab w:val="center" w:pos="4252"/>
          <w:tab w:val="right" w:pos="8504"/>
        </w:tabs>
        <w:spacing w:line="360" w:lineRule="auto"/>
        <w:jc w:val="both"/>
        <w:rPr>
          <w:rFonts w:ascii="Palatino Linotype" w:hAnsi="Palatino Linotype"/>
        </w:rPr>
      </w:pPr>
    </w:p>
    <w:p w14:paraId="78EC2EE1" w14:textId="76C19EDA" w:rsidR="002F225C" w:rsidRPr="007B144B" w:rsidRDefault="00DA3775" w:rsidP="007B144B">
      <w:pPr>
        <w:tabs>
          <w:tab w:val="center" w:pos="4252"/>
          <w:tab w:val="right" w:pos="8504"/>
        </w:tabs>
        <w:spacing w:line="360" w:lineRule="auto"/>
        <w:jc w:val="both"/>
        <w:rPr>
          <w:rFonts w:ascii="Palatino Linotype" w:hAnsi="Palatino Linotype"/>
        </w:rPr>
      </w:pPr>
      <w:r w:rsidRPr="007B144B">
        <w:rPr>
          <w:rFonts w:ascii="Palatino Linotype" w:hAnsi="Palatino Linotype"/>
        </w:rPr>
        <w:t>Cabe señalar que a excepción de éste último el resto de archivos se pusieron a la vista el tres de noviembre de dos mil veintitrés.</w:t>
      </w:r>
    </w:p>
    <w:p w14:paraId="7CF7FEBD" w14:textId="77777777" w:rsidR="00DA3775" w:rsidRPr="007B144B" w:rsidRDefault="00DA3775" w:rsidP="007B144B">
      <w:pPr>
        <w:tabs>
          <w:tab w:val="center" w:pos="4252"/>
          <w:tab w:val="right" w:pos="8504"/>
        </w:tabs>
        <w:spacing w:line="360" w:lineRule="auto"/>
        <w:jc w:val="both"/>
        <w:rPr>
          <w:rFonts w:ascii="Palatino Linotype" w:eastAsia="Palatino Linotype" w:hAnsi="Palatino Linotype" w:cs="Palatino Linotype"/>
        </w:rPr>
      </w:pPr>
    </w:p>
    <w:p w14:paraId="17CF76C9"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En este sentido, es importante insistir que para el ejercicio del derecho de acceso a datos personales es necesario  que el titular acredite su identidad y en de ser el caso cuando se pretenda acceder a través de un representante; este, deberá acreditar la identidad </w:t>
      </w:r>
      <w:r w:rsidR="00804267" w:rsidRPr="007B144B">
        <w:rPr>
          <w:rFonts w:ascii="Palatino Linotype" w:eastAsia="Palatino Linotype" w:hAnsi="Palatino Linotype" w:cs="Palatino Linotype"/>
        </w:rPr>
        <w:t>e interés jurídico</w:t>
      </w:r>
      <w:r w:rsidRPr="007B144B">
        <w:rPr>
          <w:rFonts w:ascii="Palatino Linotype" w:eastAsia="Palatino Linotype" w:hAnsi="Palatino Linotype" w:cs="Palatino Linotype"/>
        </w:rPr>
        <w:t xml:space="preserve">; requisito dispuesto en el artículo 106 de la </w:t>
      </w:r>
      <w:r w:rsidRPr="007B144B">
        <w:rPr>
          <w:rFonts w:ascii="Palatino Linotype" w:eastAsia="Palatino Linotype" w:hAnsi="Palatino Linotype" w:cs="Palatino Linotype"/>
          <w:b/>
        </w:rPr>
        <w:t xml:space="preserve">Ley de Protección de Datos Personales en Posesión de Sujeto Obligados del Estado de México y Municipios, </w:t>
      </w:r>
      <w:r w:rsidRPr="007B144B">
        <w:rPr>
          <w:rFonts w:ascii="Palatino Linotype" w:eastAsia="Palatino Linotype" w:hAnsi="Palatino Linotype" w:cs="Palatino Linotype"/>
        </w:rPr>
        <w:t xml:space="preserve">que es del texto literal siguiente. </w:t>
      </w:r>
    </w:p>
    <w:p w14:paraId="0D0CB90A"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3C237B11" w14:textId="77777777" w:rsidR="002F225C" w:rsidRPr="007B144B" w:rsidRDefault="00D86D43"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w:t>
      </w:r>
      <w:r w:rsidRPr="007B144B">
        <w:rPr>
          <w:rFonts w:ascii="Palatino Linotype" w:eastAsia="Palatino Linotype" w:hAnsi="Palatino Linotype" w:cs="Palatino Linotype"/>
          <w:b/>
          <w:i/>
          <w:sz w:val="22"/>
          <w:szCs w:val="22"/>
        </w:rPr>
        <w:t>Artículo 106</w:t>
      </w:r>
      <w:r w:rsidRPr="007B144B">
        <w:rPr>
          <w:rFonts w:ascii="Palatino Linotype" w:eastAsia="Palatino Linotype" w:hAnsi="Palatino Linotype" w:cs="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38350B20" w14:textId="77777777" w:rsidR="002F225C" w:rsidRPr="007B144B" w:rsidRDefault="00D86D43"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b/>
          <w:i/>
          <w:sz w:val="22"/>
          <w:szCs w:val="22"/>
          <w:u w:val="single"/>
        </w:rPr>
        <w:t>Los titulares o sus representantes legales podrán solicitar</w:t>
      </w:r>
      <w:r w:rsidRPr="007B144B">
        <w:rPr>
          <w:rFonts w:ascii="Palatino Linotype" w:eastAsia="Palatino Linotype" w:hAnsi="Palatino Linotype" w:cs="Palatino Linotype"/>
          <w:i/>
          <w:sz w:val="22"/>
          <w:szCs w:val="22"/>
        </w:rPr>
        <w:t xml:space="preserve"> a través de la Unidad de Transparencia, en términos de lo que establezca la presente Ley, que se </w:t>
      </w:r>
      <w:r w:rsidRPr="007B144B">
        <w:rPr>
          <w:rFonts w:ascii="Palatino Linotype" w:eastAsia="Palatino Linotype" w:hAnsi="Palatino Linotype" w:cs="Palatino Linotype"/>
          <w:b/>
          <w:i/>
          <w:sz w:val="22"/>
          <w:szCs w:val="22"/>
          <w:u w:val="single"/>
        </w:rPr>
        <w:t>les otorgue acceso</w:t>
      </w:r>
      <w:r w:rsidRPr="007B144B">
        <w:rPr>
          <w:rFonts w:ascii="Palatino Linotype" w:eastAsia="Palatino Linotype" w:hAnsi="Palatino Linotype" w:cs="Palatino Linotype"/>
          <w:i/>
          <w:sz w:val="22"/>
          <w:szCs w:val="22"/>
        </w:rPr>
        <w:t xml:space="preserve">, rectifique, cancele, o que haga efectivo su derecho de oposición, respecto de los datos personales que le conciernan y que obren en un sistema de datos personales y base de datos en posesión de los sujetos obligados. </w:t>
      </w:r>
    </w:p>
    <w:p w14:paraId="65F89D32" w14:textId="77777777" w:rsidR="002F225C" w:rsidRPr="007B144B" w:rsidRDefault="00D86D43"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b/>
          <w:i/>
          <w:sz w:val="22"/>
          <w:szCs w:val="22"/>
          <w:u w:val="single"/>
        </w:rPr>
        <w:t>Para el ejercicio de los derechos ARCO solicitados será necesario acreditar la identidad de titular y en su caso la identidad y personalidad</w:t>
      </w:r>
      <w:r w:rsidRPr="007B144B">
        <w:rPr>
          <w:rFonts w:ascii="Palatino Linotype" w:eastAsia="Palatino Linotype" w:hAnsi="Palatino Linotype" w:cs="Palatino Linotype"/>
          <w:i/>
          <w:sz w:val="22"/>
          <w:szCs w:val="22"/>
        </w:rPr>
        <w:t xml:space="preserve"> con la que actúe el representante.</w:t>
      </w:r>
    </w:p>
    <w:p w14:paraId="0DB36773" w14:textId="77777777" w:rsidR="002F225C" w:rsidRPr="007B144B" w:rsidRDefault="00D86D43"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 xml:space="preserve">…” </w:t>
      </w:r>
    </w:p>
    <w:p w14:paraId="369469EA" w14:textId="77777777" w:rsidR="009A0E9F" w:rsidRPr="007B144B" w:rsidRDefault="009A0E9F"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6B00641"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lastRenderedPageBreak/>
        <w:t xml:space="preserve">Ordenamiento jurídico del que se desprende que para el ejercicio de cualquiera de los derechos ARCO, el titular o su representante deberán acreditar su identidad o </w:t>
      </w:r>
      <w:r w:rsidR="00804267" w:rsidRPr="007B144B">
        <w:rPr>
          <w:rFonts w:ascii="Palatino Linotype" w:eastAsia="Palatino Linotype" w:hAnsi="Palatino Linotype" w:cs="Palatino Linotype"/>
        </w:rPr>
        <w:t>interés</w:t>
      </w:r>
      <w:r w:rsidRPr="007B144B">
        <w:rPr>
          <w:rFonts w:ascii="Palatino Linotype" w:eastAsia="Palatino Linotype" w:hAnsi="Palatino Linotype" w:cs="Palatino Linotype"/>
        </w:rPr>
        <w:t xml:space="preserve">, según sea el caso. </w:t>
      </w:r>
    </w:p>
    <w:p w14:paraId="59ECDA0E"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6E764165" w14:textId="44725D7F"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Es de señalar, que de las constancias que integran el expediente del </w:t>
      </w:r>
      <w:r w:rsidR="009A0E9F" w:rsidRPr="007B144B">
        <w:rPr>
          <w:rFonts w:ascii="Palatino Linotype" w:eastAsia="Palatino Linotype" w:hAnsi="Palatino Linotype" w:cs="Palatino Linotype"/>
        </w:rPr>
        <w:t>R</w:t>
      </w:r>
      <w:r w:rsidRPr="007B144B">
        <w:rPr>
          <w:rFonts w:ascii="Palatino Linotype" w:eastAsia="Palatino Linotype" w:hAnsi="Palatino Linotype" w:cs="Palatino Linotype"/>
        </w:rPr>
        <w:t xml:space="preserve">ecurso de </w:t>
      </w:r>
      <w:r w:rsidR="009A0E9F" w:rsidRPr="007B144B">
        <w:rPr>
          <w:rFonts w:ascii="Palatino Linotype" w:eastAsia="Palatino Linotype" w:hAnsi="Palatino Linotype" w:cs="Palatino Linotype"/>
        </w:rPr>
        <w:t>R</w:t>
      </w:r>
      <w:r w:rsidRPr="007B144B">
        <w:rPr>
          <w:rFonts w:ascii="Palatino Linotype" w:eastAsia="Palatino Linotype" w:hAnsi="Palatino Linotype" w:cs="Palatino Linotype"/>
        </w:rPr>
        <w:t xml:space="preserve">evisión de mérito,  no se advierten documentos que acrediten que los datos a los que se </w:t>
      </w:r>
      <w:r w:rsidR="00E674AD" w:rsidRPr="007B144B">
        <w:rPr>
          <w:rFonts w:ascii="Palatino Linotype" w:eastAsia="Palatino Linotype" w:hAnsi="Palatino Linotype" w:cs="Palatino Linotype"/>
        </w:rPr>
        <w:t>presente acceder correspondan al</w:t>
      </w:r>
      <w:r w:rsidRPr="007B144B">
        <w:rPr>
          <w:rFonts w:ascii="Palatino Linotype" w:eastAsia="Palatino Linotype" w:hAnsi="Palatino Linotype" w:cs="Palatino Linotype"/>
        </w:rPr>
        <w:t xml:space="preserve"> solicitante ya que no adjuntó algún documento que permitiera identificar si se trata del titular de los datos personales, </w:t>
      </w:r>
      <w:r w:rsidR="00E674AD" w:rsidRPr="007B144B">
        <w:rPr>
          <w:rFonts w:ascii="Palatino Linotype" w:eastAsia="Palatino Linotype" w:hAnsi="Palatino Linotype" w:cs="Palatino Linotype"/>
          <w:b/>
          <w:i/>
        </w:rPr>
        <w:t xml:space="preserve">o bien que por algún interés jurídico pueda acceder </w:t>
      </w:r>
      <w:r w:rsidR="00E674AD" w:rsidRPr="007B144B">
        <w:rPr>
          <w:rFonts w:ascii="Palatino Linotype" w:eastAsia="Palatino Linotype" w:hAnsi="Palatino Linotype" w:cs="Palatino Linotype"/>
        </w:rPr>
        <w:t>a</w:t>
      </w:r>
      <w:r w:rsidR="00E674AD" w:rsidRPr="007B144B">
        <w:rPr>
          <w:rFonts w:ascii="Palatino Linotype" w:eastAsia="Palatino Linotype" w:hAnsi="Palatino Linotype" w:cs="Palatino Linotype"/>
          <w:b/>
          <w:i/>
        </w:rPr>
        <w:t xml:space="preserve"> </w:t>
      </w:r>
      <w:r w:rsidR="00E674AD" w:rsidRPr="007B144B">
        <w:rPr>
          <w:rFonts w:ascii="Palatino Linotype" w:eastAsia="Palatino Linotype" w:hAnsi="Palatino Linotype" w:cs="Palatino Linotype"/>
        </w:rPr>
        <w:t>ellos</w:t>
      </w:r>
      <w:r w:rsidR="009A0E9F" w:rsidRPr="007B144B">
        <w:rPr>
          <w:rFonts w:ascii="Palatino Linotype" w:eastAsia="Palatino Linotype" w:hAnsi="Palatino Linotype" w:cs="Palatino Linotype"/>
        </w:rPr>
        <w:t>;</w:t>
      </w:r>
      <w:r w:rsidR="00E674AD"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rPr>
        <w:t xml:space="preserve">por lo que, una vez admitido el recurso de revisión y al advertirse que la solicitud de trata del ejercicio del derecho de acceso a datos personales, se procedió a reconducir la vía para resolver el asunto, ya que no es posible darle el tratamiento de acceso a información pública, toda vez que se trata de información concerniente con la vida privada del titular, por lo que se exhortó a las partes para que manifestaran su voluntad de conciliar en el presente asunto, y por consiguiente  convocar a una audiencia de conciliación a efecto de poder tutelar en su manera más amplia los derechos del solicitante, y en ese acto subsanar el requisito indispensable que no fue atendido por la parte </w:t>
      </w:r>
      <w:r w:rsidR="009A0E9F" w:rsidRPr="007B144B">
        <w:rPr>
          <w:rFonts w:ascii="Palatino Linotype" w:eastAsia="Palatino Linotype" w:hAnsi="Palatino Linotype" w:cs="Palatino Linotype"/>
          <w:b/>
        </w:rPr>
        <w:t>RECURRENTE</w:t>
      </w:r>
      <w:r w:rsidR="009A0E9F"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rPr>
        <w:t>al momento de interponer el recurso de revisión  consistente en la acreditación de su identidad como titular de los datos a los cuales pretende acceder, en el entendido de que frecuentemente los particulares que pretenden ejercer sus derechos ARCO, no son expertos en la materia, sumado a que mayoritariamente lo hacen sin apoyo de una asesoría jurídica.</w:t>
      </w:r>
    </w:p>
    <w:p w14:paraId="49B7B8A0" w14:textId="77777777" w:rsidR="002F225C" w:rsidRPr="007B144B" w:rsidRDefault="002F225C" w:rsidP="007B144B">
      <w:pPr>
        <w:pBdr>
          <w:top w:val="nil"/>
          <w:left w:val="nil"/>
          <w:bottom w:val="nil"/>
          <w:right w:val="nil"/>
          <w:between w:val="nil"/>
        </w:pBdr>
        <w:spacing w:line="360" w:lineRule="auto"/>
        <w:ind w:left="708"/>
        <w:rPr>
          <w:rFonts w:ascii="Palatino Linotype" w:eastAsia="Palatino Linotype" w:hAnsi="Palatino Linotype" w:cs="Palatino Linotype"/>
        </w:rPr>
      </w:pPr>
    </w:p>
    <w:p w14:paraId="2832B28F" w14:textId="7279A833"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lastRenderedPageBreak/>
        <w:t xml:space="preserve">En ese contexto, cabe hacer un paréntesis y referir que si bien la </w:t>
      </w:r>
      <w:r w:rsidR="009A0E9F" w:rsidRPr="007B144B">
        <w:rPr>
          <w:rFonts w:ascii="Palatino Linotype" w:eastAsia="Palatino Linotype" w:hAnsi="Palatino Linotype" w:cs="Palatino Linotype"/>
        </w:rPr>
        <w:t>L</w:t>
      </w:r>
      <w:r w:rsidRPr="007B144B">
        <w:rPr>
          <w:rFonts w:ascii="Palatino Linotype" w:eastAsia="Palatino Linotype" w:hAnsi="Palatino Linotype" w:cs="Palatino Linotype"/>
        </w:rPr>
        <w:t xml:space="preserve">ey de la materia establece de manera puntual que para el ejercicio de los derechos ARCO solicitados </w:t>
      </w:r>
      <w:r w:rsidRPr="007B144B">
        <w:rPr>
          <w:rFonts w:ascii="Palatino Linotype" w:eastAsia="Palatino Linotype" w:hAnsi="Palatino Linotype" w:cs="Palatino Linotype"/>
          <w:b/>
          <w:u w:val="single"/>
        </w:rPr>
        <w:t>será necesario acreditar la identidad del titula</w:t>
      </w:r>
      <w:r w:rsidRPr="007B144B">
        <w:rPr>
          <w:rFonts w:ascii="Palatino Linotype" w:eastAsia="Palatino Linotype" w:hAnsi="Palatino Linotype" w:cs="Palatino Linotype"/>
        </w:rPr>
        <w:t>r y en su caso la identidad y personalidad con la que actúe el representante y que en</w:t>
      </w:r>
      <w:r w:rsidRPr="007B144B">
        <w:rPr>
          <w:rFonts w:ascii="Palatino Linotype" w:eastAsia="Palatino Linotype" w:hAnsi="Palatino Linotype" w:cs="Palatino Linotype"/>
          <w:b/>
          <w:u w:val="single"/>
        </w:rPr>
        <w:t xml:space="preserve"> el caso concreto no aconteció al momento de la interposición de la solicitud</w:t>
      </w:r>
      <w:r w:rsidRPr="007B144B">
        <w:rPr>
          <w:rFonts w:ascii="Palatino Linotype" w:eastAsia="Palatino Linotype" w:hAnsi="Palatino Linotype" w:cs="Palatino Linotype"/>
        </w:rPr>
        <w:t>, por ello la Ley en la materia ha estableciendo para tal efecto lo siguiente:</w:t>
      </w:r>
    </w:p>
    <w:p w14:paraId="3BF8E906" w14:textId="77777777" w:rsidR="002F225C" w:rsidRPr="007B144B" w:rsidRDefault="002F225C" w:rsidP="007B144B">
      <w:pPr>
        <w:pBdr>
          <w:top w:val="nil"/>
          <w:left w:val="nil"/>
          <w:bottom w:val="nil"/>
          <w:right w:val="nil"/>
          <w:between w:val="nil"/>
        </w:pBdr>
        <w:spacing w:line="360" w:lineRule="auto"/>
        <w:ind w:left="708"/>
        <w:rPr>
          <w:rFonts w:ascii="Palatino Linotype" w:eastAsia="Palatino Linotype" w:hAnsi="Palatino Linotype" w:cs="Palatino Linotype"/>
        </w:rPr>
      </w:pPr>
    </w:p>
    <w:p w14:paraId="5710532F" w14:textId="77777777" w:rsidR="002F225C" w:rsidRPr="007B144B" w:rsidRDefault="00D86D43"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b/>
          <w:i/>
          <w:sz w:val="22"/>
          <w:szCs w:val="22"/>
        </w:rPr>
        <w:t>“Prevención por la falta de requisitos en el escrito de interposición del recurso</w:t>
      </w:r>
      <w:r w:rsidRPr="007B144B">
        <w:rPr>
          <w:rFonts w:ascii="Palatino Linotype" w:eastAsia="Palatino Linotype" w:hAnsi="Palatino Linotype" w:cs="Palatino Linotype"/>
          <w:b/>
          <w:i/>
          <w:sz w:val="22"/>
          <w:szCs w:val="22"/>
        </w:rPr>
        <w:br/>
      </w:r>
      <w:r w:rsidRPr="007B144B">
        <w:rPr>
          <w:rFonts w:ascii="Palatino Linotype" w:eastAsia="Palatino Linotype" w:hAnsi="Palatino Linotype" w:cs="Palatino Linotype"/>
          <w:i/>
          <w:sz w:val="22"/>
          <w:szCs w:val="22"/>
        </w:rPr>
        <w:t xml:space="preserve">Artículo 136. Si en el escrito de interposición del recurso de revisión </w:t>
      </w:r>
      <w:r w:rsidRPr="007B144B">
        <w:rPr>
          <w:rFonts w:ascii="Palatino Linotype" w:eastAsia="Palatino Linotype" w:hAnsi="Palatino Linotype" w:cs="Palatino Linotype"/>
          <w:b/>
          <w:i/>
          <w:sz w:val="22"/>
          <w:szCs w:val="22"/>
        </w:rPr>
        <w:t>el recurrente no cumple con alguno de los requisitos previstos en el artículo 130</w:t>
      </w:r>
      <w:r w:rsidRPr="007B144B">
        <w:rPr>
          <w:rFonts w:ascii="Palatino Linotype" w:eastAsia="Palatino Linotype" w:hAnsi="Palatino Linotype" w:cs="Palatino Linotype"/>
          <w:i/>
          <w:sz w:val="22"/>
          <w:szCs w:val="22"/>
        </w:rPr>
        <w:t xml:space="preserve"> de la presente Ley y el </w:t>
      </w:r>
      <w:r w:rsidRPr="007B144B">
        <w:rPr>
          <w:rFonts w:ascii="Palatino Linotype" w:eastAsia="Palatino Linotype" w:hAnsi="Palatino Linotype" w:cs="Palatino Linotype"/>
          <w:b/>
          <w:i/>
          <w:sz w:val="22"/>
          <w:szCs w:val="22"/>
          <w:u w:val="single"/>
        </w:rPr>
        <w:t>Instituto no cuente con elementos para subsanarlos</w:t>
      </w:r>
      <w:r w:rsidRPr="007B144B">
        <w:rPr>
          <w:rFonts w:ascii="Palatino Linotype" w:eastAsia="Palatino Linotype" w:hAnsi="Palatino Linotype" w:cs="Palatino Linotype"/>
          <w:i/>
          <w:sz w:val="22"/>
          <w:szCs w:val="22"/>
        </w:rPr>
        <w:t>, deberá requerir al recurrente, por una sola ocasión, la información que subsane las omisiones en un plazo que no podrá exceder de cinco días, contados a partir del día siguiente de la presentación del escrito.</w:t>
      </w:r>
    </w:p>
    <w:p w14:paraId="28542145" w14:textId="77777777" w:rsidR="002F225C" w:rsidRPr="007B144B" w:rsidRDefault="00D86D43"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14:paraId="3E8D1CD2" w14:textId="77777777" w:rsidR="002F225C" w:rsidRPr="007B144B" w:rsidRDefault="00D86D43" w:rsidP="007B144B">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7B144B">
        <w:rPr>
          <w:rFonts w:ascii="Palatino Linotype" w:eastAsia="Palatino Linotype" w:hAnsi="Palatino Linotype" w:cs="Palatino Linotype"/>
          <w:i/>
          <w:sz w:val="22"/>
          <w:szCs w:val="22"/>
        </w:rPr>
        <w:t>La prevención tendrá el efecto de interrumpir el plazo que tiene el Instituto para resolver el recurso, por lo que comenzará a computarse a partir del día siguiente a su desahogo.”</w:t>
      </w:r>
    </w:p>
    <w:p w14:paraId="46978C70" w14:textId="77777777" w:rsidR="002F225C" w:rsidRPr="007B144B" w:rsidRDefault="002F225C" w:rsidP="007B144B">
      <w:pPr>
        <w:pBdr>
          <w:top w:val="nil"/>
          <w:left w:val="nil"/>
          <w:bottom w:val="nil"/>
          <w:right w:val="nil"/>
          <w:between w:val="nil"/>
        </w:pBdr>
        <w:spacing w:line="360" w:lineRule="auto"/>
        <w:ind w:left="426"/>
        <w:rPr>
          <w:rFonts w:ascii="Palatino Linotype" w:eastAsia="Palatino Linotype" w:hAnsi="Palatino Linotype" w:cs="Palatino Linotype"/>
        </w:rPr>
      </w:pPr>
    </w:p>
    <w:p w14:paraId="3EF390F6"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Del  precepto jurídico de referencia, </w:t>
      </w:r>
      <w:r w:rsidRPr="007B144B">
        <w:rPr>
          <w:rFonts w:ascii="Palatino Linotype" w:eastAsia="Palatino Linotype" w:hAnsi="Palatino Linotype" w:cs="Palatino Linotype"/>
          <w:b/>
        </w:rPr>
        <w:t>se advierte que si bien el particular no acreditó su personalidad e interés al momento de interponer el recurso de revisión,</w:t>
      </w:r>
      <w:r w:rsidRPr="007B144B">
        <w:rPr>
          <w:rFonts w:ascii="Palatino Linotype" w:eastAsia="Palatino Linotype" w:hAnsi="Palatino Linotype" w:cs="Palatino Linotype"/>
        </w:rPr>
        <w:t xml:space="preserve"> corresponde a un elemento subsanable, en virtud de que para el desahogo del recurso de revisión en el ejercicio de los derechos ARCO, la Ley de la materia establece la necesidad de convocar a una audiencia de conciliación, momento procesal en el cual se puede subsanar la omisión de la falta de ese requisito; por tanto </w:t>
      </w:r>
      <w:r w:rsidRPr="007B144B">
        <w:rPr>
          <w:rFonts w:ascii="Palatino Linotype" w:eastAsia="Palatino Linotype" w:hAnsi="Palatino Linotype" w:cs="Palatino Linotype"/>
        </w:rPr>
        <w:lastRenderedPageBreak/>
        <w:t xml:space="preserve">se estima como un elemento subsanable por parte de este Organismo Garante, </w:t>
      </w:r>
      <w:r w:rsidRPr="007B144B">
        <w:rPr>
          <w:rFonts w:ascii="Palatino Linotype" w:eastAsia="Palatino Linotype" w:hAnsi="Palatino Linotype" w:cs="Palatino Linotype"/>
          <w:i/>
        </w:rPr>
        <w:t>máxime</w:t>
      </w:r>
      <w:r w:rsidRPr="007B144B">
        <w:rPr>
          <w:rFonts w:ascii="Palatino Linotype" w:eastAsia="Palatino Linotype" w:hAnsi="Palatino Linotype" w:cs="Palatino Linotype"/>
        </w:rPr>
        <w:t xml:space="preserve"> que independientemente de que en su caso hubiera cumplido dicho requisito de manera inicial, debía acreditar identidad y personalidad para poder llevar acabo la conciliación. </w:t>
      </w:r>
    </w:p>
    <w:p w14:paraId="210CF2E7"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08CF50FA"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Por lo tanto, </w:t>
      </w:r>
      <w:r w:rsidR="00751C61" w:rsidRPr="007B144B">
        <w:rPr>
          <w:rFonts w:ascii="Palatino Linotype" w:eastAsia="Palatino Linotype" w:hAnsi="Palatino Linotype" w:cs="Palatino Linotype"/>
        </w:rPr>
        <w:t xml:space="preserve">siendo un elemento subsanable, </w:t>
      </w:r>
      <w:r w:rsidRPr="007B144B">
        <w:rPr>
          <w:rFonts w:ascii="Palatino Linotype" w:eastAsia="Palatino Linotype" w:hAnsi="Palatino Linotype" w:cs="Palatino Linotype"/>
        </w:rPr>
        <w:t xml:space="preserve">se admitió el recurso de revisión con el objeto de tutelar de manera más amplia el ejercicio del derecho de acceso a datos personales del solicitante, otorgado la posibilidad de que en la audiencia de conciliación el titular acreditara su identidad y así cumplir con el requisito de procedencia previsto en la Ley en la materia. </w:t>
      </w:r>
    </w:p>
    <w:p w14:paraId="14623E1F"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17F5E0B0"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No obstante lo anterior, dejaron de existir manifestaciones de la parte </w:t>
      </w:r>
      <w:r w:rsidR="003505C2" w:rsidRPr="007B144B">
        <w:rPr>
          <w:rFonts w:ascii="Palatino Linotype" w:eastAsia="Palatino Linotype" w:hAnsi="Palatino Linotype" w:cs="Palatino Linotype"/>
          <w:b/>
        </w:rPr>
        <w:t xml:space="preserve">RECURRENTE </w:t>
      </w:r>
      <w:r w:rsidRPr="007B144B">
        <w:rPr>
          <w:rFonts w:ascii="Palatino Linotype" w:eastAsia="Palatino Linotype" w:hAnsi="Palatino Linotype" w:cs="Palatino Linotype"/>
        </w:rPr>
        <w:t xml:space="preserve">subsistiendo la causal de improcedencia consistente en la acreditación de la identidad o personalidad del titular. </w:t>
      </w:r>
    </w:p>
    <w:p w14:paraId="4EB986F8"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3E7BB96D" w14:textId="4036AF4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Asimismo, al no constar </w:t>
      </w:r>
      <w:r w:rsidR="003505C2" w:rsidRPr="007B144B">
        <w:rPr>
          <w:rFonts w:ascii="Palatino Linotype" w:eastAsia="Palatino Linotype" w:hAnsi="Palatino Linotype" w:cs="Palatino Linotype"/>
        </w:rPr>
        <w:t xml:space="preserve">la </w:t>
      </w:r>
      <w:r w:rsidRPr="007B144B">
        <w:rPr>
          <w:rFonts w:ascii="Palatino Linotype" w:eastAsia="Palatino Linotype" w:hAnsi="Palatino Linotype" w:cs="Palatino Linotype"/>
        </w:rPr>
        <w:t xml:space="preserve">manifestación de la voluntad de la parte </w:t>
      </w:r>
      <w:r w:rsidR="003505C2" w:rsidRPr="007B144B">
        <w:rPr>
          <w:rFonts w:ascii="Palatino Linotype" w:eastAsia="Palatino Linotype" w:hAnsi="Palatino Linotype" w:cs="Palatino Linotype"/>
          <w:b/>
        </w:rPr>
        <w:t xml:space="preserve">RECURRENTE </w:t>
      </w:r>
      <w:r w:rsidRPr="007B144B">
        <w:rPr>
          <w:rFonts w:ascii="Palatino Linotype" w:eastAsia="Palatino Linotype" w:hAnsi="Palatino Linotype" w:cs="Palatino Linotype"/>
        </w:rPr>
        <w:t xml:space="preserve">para conciliar el presente asunto, se hizo de su conocimiento el </w:t>
      </w:r>
      <w:r w:rsidRPr="007B144B">
        <w:rPr>
          <w:rFonts w:ascii="Palatino Linotype" w:eastAsia="Palatino Linotype" w:hAnsi="Palatino Linotype" w:cs="Palatino Linotype"/>
          <w:u w:val="single"/>
        </w:rPr>
        <w:t xml:space="preserve">acuerdo mediante el cual se le requirió </w:t>
      </w:r>
      <w:r w:rsidRPr="007B144B">
        <w:rPr>
          <w:rFonts w:ascii="Palatino Linotype" w:eastAsia="Palatino Linotype" w:hAnsi="Palatino Linotype" w:cs="Palatino Linotype"/>
        </w:rPr>
        <w:t xml:space="preserve">para que en plazo no mayor a cinco días hábiles exhibiera los documentos que acreditaran su identidad para efecto de que el Pleno de este Instituto contara con elementos exigidos para la Ley en la materia para garantizar el ejercicio del derecho de acceso a datos personales. </w:t>
      </w:r>
    </w:p>
    <w:p w14:paraId="2B856291"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37231198"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Es así que, de las constancias que integran el expediente electrónico del recurso de revisión de mérito, se tiene la parte  </w:t>
      </w:r>
      <w:r w:rsidR="003505C2" w:rsidRPr="007B144B">
        <w:rPr>
          <w:rFonts w:ascii="Palatino Linotype" w:eastAsia="Palatino Linotype" w:hAnsi="Palatino Linotype" w:cs="Palatino Linotype"/>
          <w:b/>
        </w:rPr>
        <w:t xml:space="preserve">RECURRENTE </w:t>
      </w:r>
      <w:r w:rsidRPr="007B144B">
        <w:rPr>
          <w:rFonts w:ascii="Palatino Linotype" w:eastAsia="Palatino Linotype" w:hAnsi="Palatino Linotype" w:cs="Palatino Linotype"/>
        </w:rPr>
        <w:t xml:space="preserve">no atendió el requerimiento en </w:t>
      </w:r>
      <w:r w:rsidRPr="007B144B">
        <w:rPr>
          <w:rFonts w:ascii="Palatino Linotype" w:eastAsia="Palatino Linotype" w:hAnsi="Palatino Linotype" w:cs="Palatino Linotype"/>
        </w:rPr>
        <w:lastRenderedPageBreak/>
        <w:t xml:space="preserve">el plazo establecido y por lo tanto subsiste el incumplimiento al requisito establecido en el artículo 106 de </w:t>
      </w:r>
      <w:r w:rsidRPr="007B144B">
        <w:rPr>
          <w:rFonts w:ascii="Palatino Linotype" w:eastAsia="Palatino Linotype" w:hAnsi="Palatino Linotype" w:cs="Palatino Linotype"/>
          <w:b/>
        </w:rPr>
        <w:t xml:space="preserve">Ley de Protección de Datos Personales en Posesión de Sujeto Obligados del Estado de México y Municipios </w:t>
      </w:r>
      <w:r w:rsidRPr="007B144B">
        <w:rPr>
          <w:rFonts w:ascii="Palatino Linotype" w:eastAsia="Palatino Linotype" w:hAnsi="Palatino Linotype" w:cs="Palatino Linotype"/>
        </w:rPr>
        <w:t xml:space="preserve">que claramente establece que para el ejercicio de los derechos ARCO será necesario acreditar la identidad de titular y en su caso la identidad y personalidad. </w:t>
      </w:r>
    </w:p>
    <w:p w14:paraId="5766C18B"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1C1BDCB9"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En ese sentido</w:t>
      </w:r>
      <w:r w:rsidRPr="007B144B">
        <w:rPr>
          <w:rFonts w:ascii="Palatino Linotype" w:eastAsia="Palatino Linotype" w:hAnsi="Palatino Linotype" w:cs="Palatino Linotype"/>
          <w:b/>
        </w:rPr>
        <w:t xml:space="preserve"> </w:t>
      </w:r>
      <w:r w:rsidRPr="007B144B">
        <w:rPr>
          <w:rFonts w:ascii="Palatino Linotype" w:eastAsia="Palatino Linotype" w:hAnsi="Palatino Linotype" w:cs="Palatino Linotype"/>
        </w:rPr>
        <w:t xml:space="preserve">el </w:t>
      </w:r>
      <w:r w:rsidRPr="007B144B">
        <w:rPr>
          <w:rFonts w:ascii="Palatino Linotype" w:eastAsia="Palatino Linotype" w:hAnsi="Palatino Linotype" w:cs="Palatino Linotype"/>
          <w:b/>
        </w:rPr>
        <w:t>artículo 139</w:t>
      </w:r>
      <w:r w:rsidRPr="007B144B">
        <w:rPr>
          <w:rFonts w:ascii="Palatino Linotype" w:eastAsia="Palatino Linotype" w:hAnsi="Palatino Linotype" w:cs="Palatino Linotype"/>
        </w:rPr>
        <w:t xml:space="preserve"> de la Ley de Protección de Datos Personales en Posesión de Sujetos Obligados del Estado de México y Municipios, señala: </w:t>
      </w:r>
    </w:p>
    <w:p w14:paraId="73EF55E8"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3FBFA808"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i/>
          <w:sz w:val="22"/>
          <w:szCs w:val="22"/>
        </w:rPr>
        <w:t>“</w:t>
      </w:r>
      <w:r w:rsidRPr="007B144B">
        <w:rPr>
          <w:rFonts w:ascii="Palatino Linotype" w:eastAsia="Palatino Linotype" w:hAnsi="Palatino Linotype" w:cs="Palatino Linotype"/>
          <w:b/>
          <w:i/>
          <w:sz w:val="22"/>
          <w:szCs w:val="22"/>
        </w:rPr>
        <w:t>Artículo 139</w:t>
      </w:r>
      <w:r w:rsidRPr="007B144B">
        <w:rPr>
          <w:rFonts w:ascii="Palatino Linotype" w:eastAsia="Palatino Linotype" w:hAnsi="Palatino Linotype" w:cs="Palatino Linotype"/>
          <w:i/>
          <w:sz w:val="22"/>
          <w:szCs w:val="22"/>
        </w:rPr>
        <w:t xml:space="preserve">. El recurso de revisión sólo podrá ser sobreseído cuando: </w:t>
      </w:r>
    </w:p>
    <w:p w14:paraId="369E1366"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I. El recurrente se desista expresamente. I</w:t>
      </w:r>
    </w:p>
    <w:p w14:paraId="695AF762"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 xml:space="preserve">I. El recurrente fallezca. </w:t>
      </w:r>
    </w:p>
    <w:p w14:paraId="61D167CE"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b/>
          <w:i/>
          <w:sz w:val="22"/>
          <w:szCs w:val="22"/>
          <w:u w:val="single"/>
        </w:rPr>
        <w:t>III. Admitido el recurso de revisión, se actualice alguna causal de improcedencia en los términos de la presente Ley</w:t>
      </w:r>
      <w:r w:rsidRPr="007B144B">
        <w:rPr>
          <w:rFonts w:ascii="Palatino Linotype" w:eastAsia="Palatino Linotype" w:hAnsi="Palatino Linotype" w:cs="Palatino Linotype"/>
          <w:i/>
          <w:sz w:val="22"/>
          <w:szCs w:val="22"/>
        </w:rPr>
        <w:t xml:space="preserve">. </w:t>
      </w:r>
    </w:p>
    <w:p w14:paraId="398837AE"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 xml:space="preserve">IV. El responsable modifique o revoque su respuesta de tal manera que el recurso de revisión quede sin materia. </w:t>
      </w:r>
    </w:p>
    <w:p w14:paraId="39CCF2FD"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V. Quede sin materia el recurso de revisión.</w:t>
      </w:r>
    </w:p>
    <w:p w14:paraId="0692B984"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45E3BC1E"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Por consiguiente, de las constancias que obran en el expediente electrónico en que se actúa, se advierte que se actualiza el supuesto de sobreseimiento previsto en la fracción III, del artículo en comento, el cual establece que admitido el recurso de revisión, se actualice alguna causal de improcedencia. </w:t>
      </w:r>
    </w:p>
    <w:p w14:paraId="4CB4A975"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49D5D02F"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En ese sentido, el </w:t>
      </w:r>
      <w:r w:rsidRPr="007B144B">
        <w:rPr>
          <w:rFonts w:ascii="Palatino Linotype" w:eastAsia="Palatino Linotype" w:hAnsi="Palatino Linotype" w:cs="Palatino Linotype"/>
          <w:b/>
        </w:rPr>
        <w:t>artículo 138</w:t>
      </w:r>
      <w:r w:rsidRPr="007B144B">
        <w:rPr>
          <w:rFonts w:ascii="Palatino Linotype" w:eastAsia="Palatino Linotype" w:hAnsi="Palatino Linotype" w:cs="Palatino Linotype"/>
        </w:rPr>
        <w:t xml:space="preserve"> de la Ley  la materia dispone: </w:t>
      </w:r>
    </w:p>
    <w:p w14:paraId="2AA07D62" w14:textId="77777777" w:rsidR="003505C2" w:rsidRPr="007B144B" w:rsidRDefault="003505C2"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69F6D810"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b/>
          <w:i/>
          <w:sz w:val="22"/>
          <w:szCs w:val="22"/>
        </w:rPr>
        <w:t>Artículo 138</w:t>
      </w:r>
      <w:r w:rsidRPr="007B144B">
        <w:rPr>
          <w:rFonts w:ascii="Palatino Linotype" w:eastAsia="Palatino Linotype" w:hAnsi="Palatino Linotype" w:cs="Palatino Linotype"/>
          <w:i/>
          <w:sz w:val="22"/>
          <w:szCs w:val="22"/>
        </w:rPr>
        <w:t xml:space="preserve">. El recurso de revisión podrá ser desechado por improcedente cuando: I. Sea extemporáneo por haber transcurrido el plazo establecido en el artículo 128 de la presente Ley. </w:t>
      </w:r>
    </w:p>
    <w:p w14:paraId="3DCBD83F"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b/>
          <w:i/>
          <w:sz w:val="22"/>
          <w:szCs w:val="22"/>
          <w:u w:val="single"/>
        </w:rPr>
      </w:pPr>
      <w:r w:rsidRPr="007B144B">
        <w:rPr>
          <w:rFonts w:ascii="Palatino Linotype" w:eastAsia="Palatino Linotype" w:hAnsi="Palatino Linotype" w:cs="Palatino Linotype"/>
          <w:b/>
          <w:i/>
          <w:sz w:val="22"/>
          <w:szCs w:val="22"/>
          <w:u w:val="single"/>
        </w:rPr>
        <w:lastRenderedPageBreak/>
        <w:t>II. El titular o su representante no acrediten debidamente su identidad y personalidad de este último.</w:t>
      </w:r>
    </w:p>
    <w:p w14:paraId="5033BB15"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7B144B">
        <w:rPr>
          <w:rFonts w:ascii="Palatino Linotype" w:eastAsia="Palatino Linotype" w:hAnsi="Palatino Linotype" w:cs="Palatino Linotype"/>
          <w:b/>
          <w:i/>
          <w:sz w:val="22"/>
          <w:szCs w:val="22"/>
        </w:rPr>
        <w:t>…”</w:t>
      </w:r>
    </w:p>
    <w:p w14:paraId="6B9CF86E" w14:textId="77777777" w:rsidR="002F225C" w:rsidRPr="007B144B" w:rsidRDefault="002F225C" w:rsidP="007B144B">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p>
    <w:p w14:paraId="7FF39210"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En este contexto, el artículo </w:t>
      </w:r>
      <w:r w:rsidRPr="007B144B">
        <w:rPr>
          <w:rFonts w:ascii="Palatino Linotype" w:eastAsia="Palatino Linotype" w:hAnsi="Palatino Linotype" w:cs="Palatino Linotype"/>
          <w:b/>
        </w:rPr>
        <w:t xml:space="preserve">137 </w:t>
      </w:r>
      <w:proofErr w:type="gramStart"/>
      <w:r w:rsidRPr="007B144B">
        <w:rPr>
          <w:rFonts w:ascii="Palatino Linotype" w:eastAsia="Palatino Linotype" w:hAnsi="Palatino Linotype" w:cs="Palatino Linotype"/>
          <w:b/>
        </w:rPr>
        <w:t>fracción</w:t>
      </w:r>
      <w:proofErr w:type="gramEnd"/>
      <w:r w:rsidRPr="007B144B">
        <w:rPr>
          <w:rFonts w:ascii="Palatino Linotype" w:eastAsia="Palatino Linotype" w:hAnsi="Palatino Linotype" w:cs="Palatino Linotype"/>
          <w:b/>
        </w:rPr>
        <w:t xml:space="preserve"> I </w:t>
      </w:r>
      <w:r w:rsidRPr="007B144B">
        <w:rPr>
          <w:rFonts w:ascii="Palatino Linotype" w:eastAsia="Palatino Linotype" w:hAnsi="Palatino Linotype" w:cs="Palatino Linotype"/>
        </w:rPr>
        <w:t xml:space="preserve">de la Ley de Protección de Datos Personales en Posesión de Sujetos Obligados del Estado de México y Municipios señala: </w:t>
      </w:r>
    </w:p>
    <w:p w14:paraId="3E3764A0"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6E1C2EDB" w14:textId="77777777" w:rsidR="002F225C" w:rsidRPr="007B144B" w:rsidRDefault="00D86D43" w:rsidP="007B144B">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w:t>
      </w:r>
      <w:r w:rsidRPr="007B144B">
        <w:rPr>
          <w:rFonts w:ascii="Palatino Linotype" w:eastAsia="Palatino Linotype" w:hAnsi="Palatino Linotype" w:cs="Palatino Linotype"/>
          <w:b/>
          <w:i/>
          <w:sz w:val="22"/>
          <w:szCs w:val="22"/>
        </w:rPr>
        <w:t>Artículo 137</w:t>
      </w:r>
      <w:r w:rsidRPr="007B144B">
        <w:rPr>
          <w:rFonts w:ascii="Palatino Linotype" w:eastAsia="Palatino Linotype" w:hAnsi="Palatino Linotype" w:cs="Palatino Linotype"/>
          <w:i/>
          <w:sz w:val="22"/>
          <w:szCs w:val="22"/>
        </w:rPr>
        <w:t xml:space="preserve">. Las resoluciones del Instituto podrán: </w:t>
      </w:r>
    </w:p>
    <w:p w14:paraId="4A3E7481" w14:textId="77777777" w:rsidR="002F225C" w:rsidRPr="007B144B" w:rsidRDefault="00D86D43" w:rsidP="007B144B">
      <w:pPr>
        <w:numPr>
          <w:ilvl w:val="0"/>
          <w:numId w:val="1"/>
        </w:numPr>
        <w:pBdr>
          <w:top w:val="nil"/>
          <w:left w:val="nil"/>
          <w:bottom w:val="nil"/>
          <w:right w:val="nil"/>
          <w:between w:val="nil"/>
        </w:pBdr>
        <w:ind w:right="616"/>
        <w:jc w:val="both"/>
        <w:rPr>
          <w:rFonts w:ascii="Palatino Linotype" w:eastAsia="Palatino Linotype" w:hAnsi="Palatino Linotype" w:cs="Palatino Linotype"/>
          <w:b/>
          <w:i/>
          <w:sz w:val="22"/>
          <w:szCs w:val="22"/>
          <w:u w:val="single"/>
        </w:rPr>
      </w:pPr>
      <w:r w:rsidRPr="007B144B">
        <w:rPr>
          <w:rFonts w:ascii="Palatino Linotype" w:eastAsia="Palatino Linotype" w:hAnsi="Palatino Linotype" w:cs="Palatino Linotype"/>
          <w:b/>
          <w:i/>
          <w:sz w:val="22"/>
          <w:szCs w:val="22"/>
          <w:u w:val="single"/>
        </w:rPr>
        <w:t xml:space="preserve">Sobreseer o desechar el recurso de revisión por improcedente. </w:t>
      </w:r>
    </w:p>
    <w:p w14:paraId="590856E6" w14:textId="77777777" w:rsidR="002F225C" w:rsidRPr="007B144B" w:rsidRDefault="00D86D43" w:rsidP="007B144B">
      <w:pPr>
        <w:numPr>
          <w:ilvl w:val="0"/>
          <w:numId w:val="1"/>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w:t>
      </w:r>
    </w:p>
    <w:p w14:paraId="2FFA8DD2" w14:textId="77777777" w:rsidR="002F225C" w:rsidRPr="007B144B" w:rsidRDefault="002F225C" w:rsidP="007B144B">
      <w:pPr>
        <w:pBdr>
          <w:top w:val="nil"/>
          <w:left w:val="nil"/>
          <w:bottom w:val="nil"/>
          <w:right w:val="nil"/>
          <w:between w:val="nil"/>
        </w:pBdr>
        <w:jc w:val="both"/>
        <w:rPr>
          <w:rFonts w:ascii="Palatino Linotype" w:eastAsia="Palatino Linotype" w:hAnsi="Palatino Linotype" w:cs="Palatino Linotype"/>
          <w:i/>
          <w:sz w:val="22"/>
          <w:szCs w:val="22"/>
        </w:rPr>
      </w:pPr>
    </w:p>
    <w:p w14:paraId="3A1F8A14" w14:textId="0CEF0F49"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Por lo tanto, al prevalecer la causal de improcedencia inicial, lo procedente sobreseer o desechar el recurso de revisión por improcedente</w:t>
      </w:r>
      <w:r w:rsidR="003505C2" w:rsidRPr="007B144B">
        <w:rPr>
          <w:rFonts w:ascii="Palatino Linotype" w:eastAsia="Palatino Linotype" w:hAnsi="Palatino Linotype" w:cs="Palatino Linotype"/>
        </w:rPr>
        <w:t>.</w:t>
      </w:r>
      <w:r w:rsidRPr="007B144B">
        <w:rPr>
          <w:rFonts w:ascii="Palatino Linotype" w:eastAsia="Palatino Linotype" w:hAnsi="Palatino Linotype" w:cs="Palatino Linotype"/>
        </w:rPr>
        <w:t xml:space="preserve"> </w:t>
      </w:r>
    </w:p>
    <w:p w14:paraId="67010478"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2D155C51" w14:textId="08A13975"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Ahora bien, en virtud de que se insiste, no existen constancias tendientes a acreditar debidamente interés, identidad y personalidad del titular de los datos, desde la presentación de la solicitud ni durante la sustanciación del recurso de revisión que nos ocupa, se concluye que se está ante la presencia de la causal de </w:t>
      </w:r>
      <w:proofErr w:type="spellStart"/>
      <w:r w:rsidRPr="007B144B">
        <w:rPr>
          <w:rFonts w:ascii="Palatino Linotype" w:eastAsia="Palatino Linotype" w:hAnsi="Palatino Linotype" w:cs="Palatino Linotype"/>
        </w:rPr>
        <w:t>desechamiento</w:t>
      </w:r>
      <w:proofErr w:type="spellEnd"/>
      <w:r w:rsidRPr="007B144B">
        <w:rPr>
          <w:rFonts w:ascii="Palatino Linotype" w:eastAsia="Palatino Linotype" w:hAnsi="Palatino Linotype" w:cs="Palatino Linotype"/>
        </w:rPr>
        <w:t xml:space="preserve"> establecida en el diverso 139, fracción III, de la Ley de la materia; sin embargo, toda vez que fue admitido el medio de impugnación, y subsistió la causal de improcedencia consistente en la omisión de la</w:t>
      </w:r>
      <w:r w:rsidRPr="007B144B">
        <w:rPr>
          <w:rFonts w:ascii="Palatino Linotype" w:eastAsia="Palatino Linotype" w:hAnsi="Palatino Linotype" w:cs="Palatino Linotype"/>
          <w:b/>
        </w:rPr>
        <w:t xml:space="preserve"> </w:t>
      </w:r>
      <w:r w:rsidRPr="007B144B">
        <w:rPr>
          <w:rFonts w:ascii="Palatino Linotype" w:eastAsia="Palatino Linotype" w:hAnsi="Palatino Linotype" w:cs="Palatino Linotype"/>
        </w:rPr>
        <w:t xml:space="preserve">parte </w:t>
      </w:r>
      <w:r w:rsidR="007B144B" w:rsidRPr="007B144B">
        <w:rPr>
          <w:rFonts w:ascii="Palatino Linotype" w:eastAsia="Palatino Linotype" w:hAnsi="Palatino Linotype" w:cs="Palatino Linotype"/>
          <w:b/>
        </w:rPr>
        <w:t>RECURRENTE</w:t>
      </w:r>
      <w:r w:rsidRPr="007B144B">
        <w:rPr>
          <w:rFonts w:ascii="Palatino Linotype" w:eastAsia="Palatino Linotype" w:hAnsi="Palatino Linotype" w:cs="Palatino Linotype"/>
          <w:b/>
        </w:rPr>
        <w:t xml:space="preserve">, </w:t>
      </w:r>
      <w:r w:rsidRPr="007B144B">
        <w:rPr>
          <w:rFonts w:ascii="Palatino Linotype" w:eastAsia="Palatino Linotype" w:hAnsi="Palatino Linotype" w:cs="Palatino Linotype"/>
        </w:rPr>
        <w:t xml:space="preserve">resulta procedente es </w:t>
      </w:r>
      <w:r w:rsidRPr="007B144B">
        <w:rPr>
          <w:rFonts w:ascii="Palatino Linotype" w:eastAsia="Palatino Linotype" w:hAnsi="Palatino Linotype" w:cs="Palatino Linotype"/>
          <w:b/>
        </w:rPr>
        <w:t xml:space="preserve">SOBRESEER </w:t>
      </w:r>
      <w:r w:rsidRPr="007B144B">
        <w:rPr>
          <w:rFonts w:ascii="Palatino Linotype" w:eastAsia="Palatino Linotype" w:hAnsi="Palatino Linotype" w:cs="Palatino Linotype"/>
        </w:rPr>
        <w:t xml:space="preserve">el presente recurso de revisión. </w:t>
      </w:r>
    </w:p>
    <w:p w14:paraId="27835868" w14:textId="77777777" w:rsidR="002F225C" w:rsidRPr="007B144B" w:rsidRDefault="002F225C" w:rsidP="007B14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4E36478" w14:textId="77777777" w:rsidR="002F225C" w:rsidRPr="007B144B" w:rsidRDefault="00D86D43" w:rsidP="007B14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En ese contexto, de acuerdo con el procesalista Niceto Alcalá-Zamora y Castillo en su obra </w:t>
      </w:r>
      <w:r w:rsidRPr="007B144B">
        <w:rPr>
          <w:rFonts w:ascii="Palatino Linotype" w:eastAsia="Palatino Linotype" w:hAnsi="Palatino Linotype" w:cs="Palatino Linotype"/>
          <w:i/>
        </w:rPr>
        <w:t>“Cuestiones de Terminología Procesal”</w:t>
      </w:r>
      <w:r w:rsidRPr="007B144B">
        <w:rPr>
          <w:rFonts w:ascii="Palatino Linotype" w:eastAsia="Palatino Linotype" w:hAnsi="Palatino Linotype" w:cs="Palatino Linotype"/>
        </w:rPr>
        <w:t xml:space="preserve">, el sobreseimiento es </w:t>
      </w:r>
      <w:r w:rsidRPr="007B144B">
        <w:rPr>
          <w:rFonts w:ascii="Palatino Linotype" w:eastAsia="Palatino Linotype" w:hAnsi="Palatino Linotype" w:cs="Palatino Linotype"/>
          <w:i/>
        </w:rPr>
        <w:t xml:space="preserve">“... una resolución en forma de auto, que produce la suspensión indefinida del procedimiento penal, o que pone </w:t>
      </w:r>
      <w:r w:rsidRPr="007B144B">
        <w:rPr>
          <w:rFonts w:ascii="Palatino Linotype" w:eastAsia="Palatino Linotype" w:hAnsi="Palatino Linotype" w:cs="Palatino Linotype"/>
          <w:i/>
        </w:rPr>
        <w:lastRenderedPageBreak/>
        <w:t>fin al proceso, impidiendo en ambos casos, mientras subsista, la apertura del plenario o que en él se pronuncie sentencia...”</w:t>
      </w:r>
    </w:p>
    <w:p w14:paraId="529255DD" w14:textId="77777777" w:rsidR="002F225C" w:rsidRPr="007B144B" w:rsidRDefault="002F225C" w:rsidP="007B144B">
      <w:pPr>
        <w:pBdr>
          <w:top w:val="nil"/>
          <w:left w:val="nil"/>
          <w:bottom w:val="nil"/>
          <w:right w:val="nil"/>
          <w:between w:val="nil"/>
        </w:pBdr>
        <w:spacing w:line="360" w:lineRule="auto"/>
        <w:ind w:left="708"/>
        <w:rPr>
          <w:rFonts w:ascii="Palatino Linotype" w:eastAsia="Palatino Linotype" w:hAnsi="Palatino Linotype" w:cs="Palatino Linotype"/>
        </w:rPr>
      </w:pPr>
    </w:p>
    <w:p w14:paraId="52F4EC4E" w14:textId="77777777" w:rsidR="002F225C" w:rsidRPr="007B144B" w:rsidRDefault="00D86D43" w:rsidP="007B14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Y por su parte, Eduardo Pallares, en su artículo </w:t>
      </w:r>
      <w:r w:rsidRPr="007B144B">
        <w:rPr>
          <w:rFonts w:ascii="Palatino Linotype" w:eastAsia="Palatino Linotype" w:hAnsi="Palatino Linotype" w:cs="Palatino Linotype"/>
          <w:i/>
        </w:rPr>
        <w:t>“La caducidad y el sobreseimiento en el amparo”</w:t>
      </w:r>
      <w:r w:rsidRPr="007B144B">
        <w:rPr>
          <w:rFonts w:ascii="Palatino Linotype" w:eastAsia="Palatino Linotype" w:hAnsi="Palatino Linotype" w:cs="Palatino Linotype"/>
        </w:rPr>
        <w:t xml:space="preserve">, cita la definición de Aguilera Paz, aduciendo que se </w:t>
      </w:r>
      <w:r w:rsidRPr="007B144B">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7B144B">
        <w:rPr>
          <w:rFonts w:ascii="Palatino Linotype" w:eastAsia="Palatino Linotype" w:hAnsi="Palatino Linotype" w:cs="Palatino Linotype"/>
        </w:rPr>
        <w:t>. Asimismo señala que existe el sobreseimiento provisional y el definitivo</w:t>
      </w:r>
      <w:r w:rsidRPr="007B144B">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14:paraId="191A5131" w14:textId="77777777" w:rsidR="002F225C" w:rsidRPr="007B144B" w:rsidRDefault="002F225C" w:rsidP="007B144B">
      <w:pPr>
        <w:pBdr>
          <w:top w:val="nil"/>
          <w:left w:val="nil"/>
          <w:bottom w:val="nil"/>
          <w:right w:val="nil"/>
          <w:between w:val="nil"/>
        </w:pBdr>
        <w:spacing w:line="360" w:lineRule="auto"/>
        <w:jc w:val="both"/>
        <w:rPr>
          <w:rFonts w:ascii="Palatino Linotype" w:eastAsia="Palatino Linotype" w:hAnsi="Palatino Linotype" w:cs="Palatino Linotype"/>
        </w:rPr>
      </w:pPr>
    </w:p>
    <w:p w14:paraId="21A98B03" w14:textId="77777777" w:rsidR="002F225C" w:rsidRPr="007B144B" w:rsidRDefault="00D86D43" w:rsidP="007B14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Así, para la doctrina el sobreseimiento provoca que un procedimiento se suspenda o se resuelva en definitiva </w:t>
      </w:r>
      <w:r w:rsidRPr="007B144B">
        <w:rPr>
          <w:rFonts w:ascii="Palatino Linotype" w:eastAsia="Palatino Linotype" w:hAnsi="Palatino Linotype" w:cs="Palatino Linotype"/>
          <w:b/>
          <w:u w:val="single"/>
        </w:rPr>
        <w:t xml:space="preserve">sin que se entre al estudio de los agravios o motivos de inconformidad. </w:t>
      </w:r>
      <w:r w:rsidRPr="007B144B">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14:paraId="0046AD23" w14:textId="77777777" w:rsidR="002F225C" w:rsidRPr="007B144B" w:rsidRDefault="002F225C" w:rsidP="007B144B">
      <w:pPr>
        <w:pBdr>
          <w:top w:val="nil"/>
          <w:left w:val="nil"/>
          <w:bottom w:val="nil"/>
          <w:right w:val="nil"/>
          <w:between w:val="nil"/>
        </w:pBdr>
        <w:spacing w:line="360" w:lineRule="auto"/>
        <w:ind w:left="708"/>
        <w:rPr>
          <w:rFonts w:ascii="Palatino Linotype" w:eastAsia="Palatino Linotype" w:hAnsi="Palatino Linotype" w:cs="Palatino Linotype"/>
        </w:rPr>
      </w:pPr>
    </w:p>
    <w:p w14:paraId="326CD049" w14:textId="77777777" w:rsidR="002F225C" w:rsidRPr="007B144B" w:rsidRDefault="00D86D43" w:rsidP="007B144B">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sidRPr="007B144B">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p>
    <w:p w14:paraId="137F5FAF" w14:textId="77777777" w:rsidR="002F225C" w:rsidRPr="007B144B" w:rsidRDefault="00D86D43" w:rsidP="007B144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b/>
          <w:i/>
          <w:sz w:val="22"/>
          <w:szCs w:val="22"/>
        </w:rPr>
        <w:t>El sobreseimiento</w:t>
      </w:r>
      <w:r w:rsidRPr="007B144B">
        <w:rPr>
          <w:rFonts w:ascii="Palatino Linotype" w:eastAsia="Palatino Linotype" w:hAnsi="Palatino Linotype" w:cs="Palatino Linotype"/>
          <w:i/>
          <w:sz w:val="22"/>
          <w:szCs w:val="22"/>
        </w:rPr>
        <w:t xml:space="preserve"> en el juicio de amparo directo </w:t>
      </w:r>
      <w:r w:rsidRPr="007B144B">
        <w:rPr>
          <w:rFonts w:ascii="Palatino Linotype" w:eastAsia="Palatino Linotype" w:hAnsi="Palatino Linotype" w:cs="Palatino Linotype"/>
          <w:b/>
          <w:i/>
          <w:sz w:val="22"/>
          <w:szCs w:val="22"/>
        </w:rPr>
        <w:t>provoca la terminación de la controversia planteada</w:t>
      </w:r>
      <w:r w:rsidRPr="007B144B">
        <w:rPr>
          <w:rFonts w:ascii="Palatino Linotype" w:eastAsia="Palatino Linotype" w:hAnsi="Palatino Linotype" w:cs="Palatino Linotype"/>
          <w:i/>
          <w:sz w:val="22"/>
          <w:szCs w:val="22"/>
        </w:rPr>
        <w:t xml:space="preserve"> por el quejoso en la demanda de amparo</w:t>
      </w:r>
      <w:r w:rsidRPr="007B144B">
        <w:rPr>
          <w:rFonts w:ascii="Palatino Linotype" w:eastAsia="Palatino Linotype" w:hAnsi="Palatino Linotype" w:cs="Palatino Linotype"/>
          <w:b/>
          <w:i/>
          <w:sz w:val="22"/>
          <w:szCs w:val="22"/>
        </w:rPr>
        <w:t>, sin hacer un pronunciamiento de fondo sobre la legalidad o ilegalidad de la sentencia reclamada</w:t>
      </w:r>
      <w:r w:rsidRPr="007B144B">
        <w:rPr>
          <w:rFonts w:ascii="Palatino Linotype" w:eastAsia="Palatino Linotype" w:hAnsi="Palatino Linotype" w:cs="Palatino Linotype"/>
          <w:i/>
          <w:sz w:val="22"/>
          <w:szCs w:val="22"/>
        </w:rPr>
        <w:t xml:space="preserve">. </w:t>
      </w:r>
      <w:r w:rsidRPr="007B144B">
        <w:rPr>
          <w:rFonts w:ascii="Palatino Linotype" w:eastAsia="Palatino Linotype" w:hAnsi="Palatino Linotype" w:cs="Palatino Linotype"/>
          <w:b/>
          <w:i/>
          <w:sz w:val="22"/>
          <w:szCs w:val="22"/>
        </w:rPr>
        <w:t xml:space="preserve">Por consiguiente, si al sobreseerse en el juicio de amparo </w:t>
      </w:r>
      <w:r w:rsidRPr="007B144B">
        <w:rPr>
          <w:rFonts w:ascii="Palatino Linotype" w:eastAsia="Palatino Linotype" w:hAnsi="Palatino Linotype" w:cs="Palatino Linotype"/>
          <w:b/>
          <w:i/>
          <w:sz w:val="22"/>
          <w:szCs w:val="22"/>
          <w:u w:val="single"/>
        </w:rPr>
        <w:t xml:space="preserve">no se pueden estudiar los planteamientos que se hacen valer en contra del fallo reclamado, tampoco se deben analizar las violaciones procesales propuestas en </w:t>
      </w:r>
      <w:r w:rsidRPr="007B144B">
        <w:rPr>
          <w:rFonts w:ascii="Palatino Linotype" w:eastAsia="Palatino Linotype" w:hAnsi="Palatino Linotype" w:cs="Palatino Linotype"/>
          <w:b/>
          <w:i/>
          <w:sz w:val="22"/>
          <w:szCs w:val="22"/>
          <w:u w:val="single"/>
        </w:rPr>
        <w:lastRenderedPageBreak/>
        <w:t>los conceptos de violación, dado que, la principal consecuencia del sobreseimiento es poner fin al juicio de amparo sin resolver la controversia en sus méritos</w:t>
      </w:r>
      <w:r w:rsidRPr="007B144B">
        <w:rPr>
          <w:rFonts w:ascii="Palatino Linotype" w:eastAsia="Palatino Linotype" w:hAnsi="Palatino Linotype" w:cs="Palatino Linotype"/>
          <w:i/>
          <w:sz w:val="22"/>
          <w:szCs w:val="22"/>
        </w:rPr>
        <w:t>.</w:t>
      </w:r>
    </w:p>
    <w:p w14:paraId="1886724D" w14:textId="77777777" w:rsidR="002F225C" w:rsidRPr="007B144B" w:rsidRDefault="002F225C" w:rsidP="007B144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78DBB083" w14:textId="77777777" w:rsidR="002F225C" w:rsidRPr="007B144B" w:rsidRDefault="00D86D43" w:rsidP="007B144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7B144B">
        <w:rPr>
          <w:rFonts w:ascii="Palatino Linotype" w:eastAsia="Palatino Linotype" w:hAnsi="Palatino Linotype" w:cs="Palatino Linotype"/>
          <w:i/>
          <w:sz w:val="22"/>
          <w:szCs w:val="22"/>
        </w:rPr>
        <w:t>SÉPTIMO TRIBUNAL COLEGIADO EN MATERIA CIVIL DEL PRIMER CIRCUITO.</w:t>
      </w:r>
    </w:p>
    <w:p w14:paraId="1F0F88CE" w14:textId="77777777" w:rsidR="002F225C" w:rsidRPr="007B144B" w:rsidRDefault="00D86D43" w:rsidP="007B144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7B144B">
        <w:rPr>
          <w:rFonts w:ascii="Palatino Linotype" w:eastAsia="Palatino Linotype" w:hAnsi="Palatino Linotype" w:cs="Palatino Linotype"/>
          <w:i/>
          <w:sz w:val="22"/>
          <w:szCs w:val="22"/>
        </w:rPr>
        <w:t xml:space="preserve">Amparo directo 699/2008. Mariana Leticia González </w:t>
      </w:r>
      <w:proofErr w:type="spellStart"/>
      <w:r w:rsidRPr="007B144B">
        <w:rPr>
          <w:rFonts w:ascii="Palatino Linotype" w:eastAsia="Palatino Linotype" w:hAnsi="Palatino Linotype" w:cs="Palatino Linotype"/>
          <w:i/>
          <w:sz w:val="22"/>
          <w:szCs w:val="22"/>
        </w:rPr>
        <w:t>Steele</w:t>
      </w:r>
      <w:proofErr w:type="spellEnd"/>
      <w:r w:rsidRPr="007B144B">
        <w:rPr>
          <w:rFonts w:ascii="Palatino Linotype" w:eastAsia="Palatino Linotype" w:hAnsi="Palatino Linotype" w:cs="Palatino Linotype"/>
          <w:i/>
          <w:sz w:val="22"/>
          <w:szCs w:val="22"/>
        </w:rPr>
        <w:t>. 13 de noviembre de 2008. Unanimidad de votos. Ponente: Sara Judith Montalvo Trejo. Secretario: Arnulfo Mateos García.”</w:t>
      </w:r>
    </w:p>
    <w:p w14:paraId="31FFFA03" w14:textId="77777777" w:rsidR="002F225C" w:rsidRPr="007B144B" w:rsidRDefault="002F225C" w:rsidP="007B144B">
      <w:pPr>
        <w:pBdr>
          <w:top w:val="nil"/>
          <w:left w:val="nil"/>
          <w:bottom w:val="nil"/>
          <w:right w:val="nil"/>
          <w:between w:val="nil"/>
        </w:pBdr>
        <w:spacing w:line="360" w:lineRule="auto"/>
        <w:ind w:left="567" w:right="616"/>
        <w:jc w:val="both"/>
        <w:rPr>
          <w:rFonts w:ascii="Palatino Linotype" w:eastAsia="Palatino Linotype" w:hAnsi="Palatino Linotype" w:cs="Palatino Linotype"/>
          <w:i/>
        </w:rPr>
      </w:pPr>
    </w:p>
    <w:p w14:paraId="44272140"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 xml:space="preserve">No obstante, se dejan a salvo los derechos del particular para que presente nueva solicitud en caso de ser de su interés; asimismo, es importante hacer del conocimiento de la parte </w:t>
      </w:r>
      <w:r w:rsidR="003505C2" w:rsidRPr="007B144B">
        <w:rPr>
          <w:rFonts w:ascii="Palatino Linotype" w:eastAsia="Palatino Linotype" w:hAnsi="Palatino Linotype" w:cs="Palatino Linotype"/>
          <w:b/>
        </w:rPr>
        <w:t>RECURRENTE</w:t>
      </w:r>
      <w:r w:rsidRPr="007B144B">
        <w:rPr>
          <w:rFonts w:ascii="Palatino Linotype" w:eastAsia="Palatino Linotype" w:hAnsi="Palatino Linotype" w:cs="Palatino Linotype"/>
        </w:rPr>
        <w:t>, que la Ley otorga a los titulares de los datos personales el derecho a acceder, rectificar y cancelar su información personal en posesión de sujetos obligados, recordando que para ejercer esos derechos ante el responsable o el Instituto, deberá demostrar que es el titular de los datos o, en caso de que lo haga a través de un representante, deberá acreditar ésta situación. Esto está pensado para que NADIE más que el titular o el representante, puedan decidir el uso que se le dará a sus datos personales, como una medida de seguridad de la información.</w:t>
      </w:r>
    </w:p>
    <w:p w14:paraId="2C337E20" w14:textId="77777777" w:rsidR="002F225C" w:rsidRPr="007B144B" w:rsidRDefault="002F225C" w:rsidP="007B144B">
      <w:pPr>
        <w:pBdr>
          <w:top w:val="nil"/>
          <w:left w:val="nil"/>
          <w:bottom w:val="nil"/>
          <w:right w:val="nil"/>
          <w:between w:val="nil"/>
        </w:pBdr>
        <w:spacing w:line="360" w:lineRule="auto"/>
        <w:ind w:left="708"/>
        <w:rPr>
          <w:rFonts w:ascii="Palatino Linotype" w:eastAsia="Palatino Linotype" w:hAnsi="Palatino Linotype" w:cs="Palatino Linotype"/>
        </w:rPr>
      </w:pPr>
    </w:p>
    <w:p w14:paraId="4E7A5E5A" w14:textId="77777777" w:rsidR="002F225C" w:rsidRPr="007B144B" w:rsidRDefault="00D86D43" w:rsidP="007B144B">
      <w:pPr>
        <w:pBdr>
          <w:top w:val="nil"/>
          <w:left w:val="nil"/>
          <w:bottom w:val="nil"/>
          <w:right w:val="nil"/>
          <w:between w:val="nil"/>
        </w:pBd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Para lo anterior pueden ser utilizadas diversas identificaciones, por ejemplo: la credencial para votar, pasaporte, o algunas más que puedan acreditar que es el titular de los datos personales y de ésta manera evitar el uso malintencionado que alguien pueda hacer de la información o documentación que le concierne.</w:t>
      </w:r>
    </w:p>
    <w:p w14:paraId="47827C89" w14:textId="3E08C696" w:rsidR="002F225C" w:rsidRPr="007B144B" w:rsidRDefault="00D86D43" w:rsidP="007B144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lastRenderedPageBreak/>
        <w:t xml:space="preserve">Finalmente, se le hace saber al </w:t>
      </w:r>
      <w:r w:rsidR="003505C2" w:rsidRPr="007B144B">
        <w:rPr>
          <w:rFonts w:ascii="Palatino Linotype" w:eastAsia="Palatino Linotype" w:hAnsi="Palatino Linotype" w:cs="Palatino Linotype"/>
          <w:b/>
        </w:rPr>
        <w:t>RECURRENTE</w:t>
      </w:r>
      <w:r w:rsidRPr="007B144B">
        <w:rPr>
          <w:rFonts w:ascii="Palatino Linotype" w:eastAsia="Palatino Linotype" w:hAnsi="Palatino Linotype" w:cs="Palatino Linotype"/>
        </w:rPr>
        <w:t xml:space="preserve">, que existe el sistema denominado Sistema de Acceso, Rectificación, Cancelación y Oposición de Datos Personales del Estado de México (SARCOEM); a través del cual, puede ejercer su derechos ARCO, que se refiere a aquel derecho que tiene un titular de datos personales, para solicitar el acceso, rectificación, cancelación, oposición y portabilidad sobre el tratamiento de sus datos, ante </w:t>
      </w:r>
      <w:r w:rsidR="003505C2" w:rsidRPr="007B144B">
        <w:rPr>
          <w:rFonts w:ascii="Palatino Linotype" w:eastAsia="Palatino Linotype" w:hAnsi="Palatino Linotype" w:cs="Palatino Linotype"/>
          <w:b/>
        </w:rPr>
        <w:t>EL SUJETO OBLIGADO</w:t>
      </w:r>
      <w:r w:rsidR="003505C2"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rPr>
        <w:t>que esté en posesión de los mismos.</w:t>
      </w:r>
    </w:p>
    <w:p w14:paraId="73F06570" w14:textId="77777777" w:rsidR="002F225C" w:rsidRPr="007B144B" w:rsidRDefault="00D86D43" w:rsidP="007B144B">
      <w:pPr>
        <w:spacing w:before="240" w:after="240"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8707970" w14:textId="77777777" w:rsidR="002F225C" w:rsidRPr="007B144B" w:rsidRDefault="00D86D43" w:rsidP="007B144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B144B">
        <w:rPr>
          <w:rFonts w:ascii="Palatino Linotype" w:eastAsia="Palatino Linotype" w:hAnsi="Palatino Linotype" w:cs="Palatino Linotype"/>
          <w:b/>
        </w:rPr>
        <w:t>R E S U E L V E</w:t>
      </w:r>
    </w:p>
    <w:p w14:paraId="3DEFB25A" w14:textId="77777777" w:rsidR="002F225C" w:rsidRPr="007B144B" w:rsidRDefault="00D86D43" w:rsidP="007B144B">
      <w:pPr>
        <w:spacing w:line="360" w:lineRule="auto"/>
        <w:jc w:val="both"/>
        <w:rPr>
          <w:rFonts w:ascii="Palatino Linotype" w:eastAsia="Palatino Linotype" w:hAnsi="Palatino Linotype" w:cs="Palatino Linotype"/>
        </w:rPr>
      </w:pPr>
      <w:r w:rsidRPr="007B144B">
        <w:rPr>
          <w:rFonts w:ascii="Palatino Linotype" w:eastAsia="Palatino Linotype" w:hAnsi="Palatino Linotype" w:cs="Palatino Linotype"/>
          <w:b/>
        </w:rPr>
        <w:t xml:space="preserve">PRIMERO. </w:t>
      </w:r>
      <w:r w:rsidRPr="007B144B">
        <w:rPr>
          <w:rFonts w:ascii="Palatino Linotype" w:eastAsia="Palatino Linotype" w:hAnsi="Palatino Linotype" w:cs="Palatino Linotype"/>
        </w:rPr>
        <w:t xml:space="preserve">Se </w:t>
      </w:r>
      <w:r w:rsidRPr="007B144B">
        <w:rPr>
          <w:rFonts w:ascii="Palatino Linotype" w:eastAsia="Palatino Linotype" w:hAnsi="Palatino Linotype" w:cs="Palatino Linotype"/>
          <w:b/>
        </w:rPr>
        <w:t>sobresee</w:t>
      </w:r>
      <w:r w:rsidRPr="007B144B">
        <w:rPr>
          <w:rFonts w:ascii="Palatino Linotype" w:eastAsia="Palatino Linotype" w:hAnsi="Palatino Linotype" w:cs="Palatino Linotype"/>
        </w:rPr>
        <w:t xml:space="preserve"> por</w:t>
      </w:r>
      <w:r w:rsidRPr="007B144B">
        <w:rPr>
          <w:rFonts w:ascii="Palatino Linotype" w:eastAsia="Palatino Linotype" w:hAnsi="Palatino Linotype" w:cs="Palatino Linotype"/>
          <w:b/>
        </w:rPr>
        <w:t xml:space="preserve"> improcedente </w:t>
      </w:r>
      <w:r w:rsidRPr="007B144B">
        <w:rPr>
          <w:rFonts w:ascii="Palatino Linotype" w:eastAsia="Palatino Linotype" w:hAnsi="Palatino Linotype" w:cs="Palatino Linotype"/>
        </w:rPr>
        <w:t xml:space="preserve">el Recurso de Revisión número </w:t>
      </w:r>
      <w:r w:rsidR="00B514FE" w:rsidRPr="007B144B">
        <w:rPr>
          <w:rFonts w:ascii="Palatino Linotype" w:eastAsia="Palatino Linotype" w:hAnsi="Palatino Linotype" w:cs="Palatino Linotype"/>
          <w:b/>
        </w:rPr>
        <w:t>16732</w:t>
      </w:r>
      <w:r w:rsidRPr="007B144B">
        <w:rPr>
          <w:rFonts w:ascii="Palatino Linotype" w:eastAsia="Palatino Linotype" w:hAnsi="Palatino Linotype" w:cs="Palatino Linotype"/>
          <w:b/>
        </w:rPr>
        <w:t>/INFOEM/IP/RR/2022</w:t>
      </w:r>
      <w:r w:rsidRPr="007B144B">
        <w:rPr>
          <w:rFonts w:ascii="Palatino Linotype" w:eastAsia="Palatino Linotype" w:hAnsi="Palatino Linotype" w:cs="Palatino Linotype"/>
        </w:rPr>
        <w:t xml:space="preserve"> de conformidad con lo dispuesto en el artículo 139 fracción III, en relación con el artículo 138 fracción II de la Ley de Protección de Datos Personales en Posesión de Sujetos Obligados del Estado de México y Municipios, en términos del Considerando Tercero de la presente Resolución.</w:t>
      </w:r>
    </w:p>
    <w:p w14:paraId="2F99F96B" w14:textId="77777777" w:rsidR="002F225C" w:rsidRPr="007B144B" w:rsidRDefault="002F225C" w:rsidP="007B144B">
      <w:pPr>
        <w:spacing w:line="360" w:lineRule="auto"/>
        <w:jc w:val="both"/>
        <w:rPr>
          <w:rFonts w:ascii="Palatino Linotype" w:eastAsia="Palatino Linotype" w:hAnsi="Palatino Linotype" w:cs="Palatino Linotype"/>
          <w:b/>
        </w:rPr>
      </w:pPr>
    </w:p>
    <w:p w14:paraId="410245BA" w14:textId="77777777" w:rsidR="002F225C" w:rsidRPr="007B144B" w:rsidRDefault="00D86D43" w:rsidP="007B144B">
      <w:pPr>
        <w:spacing w:line="360" w:lineRule="auto"/>
        <w:jc w:val="both"/>
        <w:rPr>
          <w:rFonts w:ascii="Palatino Linotype" w:eastAsia="Palatino Linotype" w:hAnsi="Palatino Linotype" w:cs="Palatino Linotype"/>
        </w:rPr>
      </w:pPr>
      <w:bookmarkStart w:id="5" w:name="_heading=h.30j0zll" w:colFirst="0" w:colLast="0"/>
      <w:bookmarkEnd w:id="5"/>
      <w:r w:rsidRPr="007B144B">
        <w:rPr>
          <w:rFonts w:ascii="Palatino Linotype" w:eastAsia="Palatino Linotype" w:hAnsi="Palatino Linotype" w:cs="Palatino Linotype"/>
          <w:b/>
        </w:rPr>
        <w:lastRenderedPageBreak/>
        <w:t>SEGUNDO. Notifíquese vía SAIMEX,</w:t>
      </w:r>
      <w:r w:rsidRPr="007B144B">
        <w:rPr>
          <w:rFonts w:ascii="Palatino Linotype" w:eastAsia="Palatino Linotype" w:hAnsi="Palatino Linotype" w:cs="Palatino Linotype"/>
          <w:b/>
          <w:i/>
        </w:rPr>
        <w:t xml:space="preserve"> </w:t>
      </w:r>
      <w:r w:rsidRPr="007B144B">
        <w:rPr>
          <w:rFonts w:ascii="Palatino Linotype" w:eastAsia="Palatino Linotype" w:hAnsi="Palatino Linotype" w:cs="Palatino Linotype"/>
        </w:rPr>
        <w:t xml:space="preserve">al Responsable de la Unidad de Transparencia del </w:t>
      </w:r>
      <w:r w:rsidR="003505C2" w:rsidRPr="007B144B">
        <w:rPr>
          <w:rFonts w:ascii="Palatino Linotype" w:eastAsia="Palatino Linotype" w:hAnsi="Palatino Linotype" w:cs="Palatino Linotype"/>
          <w:b/>
        </w:rPr>
        <w:t>SUJETO OBLIGADO</w:t>
      </w:r>
      <w:r w:rsidR="003505C2" w:rsidRPr="007B144B">
        <w:rPr>
          <w:rFonts w:ascii="Palatino Linotype" w:eastAsia="Palatino Linotype" w:hAnsi="Palatino Linotype" w:cs="Palatino Linotype"/>
        </w:rPr>
        <w:t xml:space="preserve"> </w:t>
      </w:r>
      <w:r w:rsidRPr="007B144B">
        <w:rPr>
          <w:rFonts w:ascii="Palatino Linotype" w:eastAsia="Palatino Linotype" w:hAnsi="Palatino Linotype" w:cs="Palatino Linotype"/>
        </w:rPr>
        <w:t>la presente resolución, para su conocimiento.</w:t>
      </w:r>
    </w:p>
    <w:p w14:paraId="0F39D1D5" w14:textId="77777777" w:rsidR="002F225C" w:rsidRPr="007B144B" w:rsidRDefault="002F225C" w:rsidP="007B144B">
      <w:pPr>
        <w:spacing w:line="360" w:lineRule="auto"/>
        <w:jc w:val="both"/>
        <w:rPr>
          <w:rFonts w:ascii="Palatino Linotype" w:eastAsia="Palatino Linotype" w:hAnsi="Palatino Linotype" w:cs="Palatino Linotype"/>
        </w:rPr>
      </w:pPr>
    </w:p>
    <w:p w14:paraId="38338304" w14:textId="1431E9CE" w:rsidR="002F225C" w:rsidRPr="007B144B" w:rsidRDefault="00D86D43" w:rsidP="007B144B">
      <w:pPr>
        <w:tabs>
          <w:tab w:val="left" w:pos="4667"/>
        </w:tabs>
        <w:spacing w:line="360" w:lineRule="auto"/>
        <w:jc w:val="both"/>
        <w:rPr>
          <w:rFonts w:ascii="Palatino Linotype" w:eastAsia="Palatino Linotype" w:hAnsi="Palatino Linotype" w:cs="Palatino Linotype"/>
        </w:rPr>
      </w:pPr>
      <w:bookmarkStart w:id="6" w:name="_heading=h.gjdgxs" w:colFirst="0" w:colLast="0"/>
      <w:bookmarkEnd w:id="6"/>
      <w:r w:rsidRPr="007B144B">
        <w:rPr>
          <w:rFonts w:ascii="Palatino Linotype" w:eastAsia="Palatino Linotype" w:hAnsi="Palatino Linotype" w:cs="Palatino Linotype"/>
          <w:b/>
        </w:rPr>
        <w:t>TERCERO. Notifíquese vía SAIMEX,</w:t>
      </w:r>
      <w:r w:rsidRPr="007B144B">
        <w:rPr>
          <w:rFonts w:ascii="Palatino Linotype" w:eastAsia="Palatino Linotype" w:hAnsi="Palatino Linotype" w:cs="Palatino Linotype"/>
          <w:b/>
          <w:i/>
        </w:rPr>
        <w:t xml:space="preserve"> </w:t>
      </w:r>
      <w:r w:rsidRPr="007B144B">
        <w:rPr>
          <w:rFonts w:ascii="Palatino Linotype" w:eastAsia="Palatino Linotype" w:hAnsi="Palatino Linotype" w:cs="Palatino Linotype"/>
        </w:rPr>
        <w:t>al</w:t>
      </w:r>
      <w:r w:rsidR="007B144B">
        <w:rPr>
          <w:rFonts w:ascii="Palatino Linotype" w:eastAsia="Palatino Linotype" w:hAnsi="Palatino Linotype" w:cs="Palatino Linotype"/>
        </w:rPr>
        <w:t xml:space="preserve"> </w:t>
      </w:r>
      <w:r w:rsidR="003505C2" w:rsidRPr="007B144B">
        <w:rPr>
          <w:rFonts w:ascii="Palatino Linotype" w:eastAsia="Palatino Linotype" w:hAnsi="Palatino Linotype" w:cs="Palatino Linotype"/>
          <w:b/>
        </w:rPr>
        <w:t>RECURRENTE</w:t>
      </w:r>
      <w:r w:rsidRPr="007B144B">
        <w:rPr>
          <w:rFonts w:ascii="Palatino Linotype" w:eastAsia="Palatino Linotype" w:hAnsi="Palatino Linotype" w:cs="Palatino Linotype"/>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2B35F17E" w14:textId="77777777" w:rsidR="00B514FE" w:rsidRPr="007B144B" w:rsidRDefault="00B514FE" w:rsidP="007B144B">
      <w:pPr>
        <w:tabs>
          <w:tab w:val="left" w:pos="4667"/>
        </w:tabs>
        <w:spacing w:line="360" w:lineRule="auto"/>
        <w:jc w:val="both"/>
        <w:rPr>
          <w:rFonts w:ascii="Palatino Linotype" w:eastAsia="Palatino Linotype" w:hAnsi="Palatino Linotype" w:cs="Palatino Linotype"/>
        </w:rPr>
      </w:pPr>
    </w:p>
    <w:p w14:paraId="38C616F4" w14:textId="0B13D0C4" w:rsidR="00B514FE" w:rsidRPr="007B144B" w:rsidRDefault="003505C2" w:rsidP="007B144B">
      <w:pPr>
        <w:widowControl w:val="0"/>
        <w:autoSpaceDE w:val="0"/>
        <w:autoSpaceDN w:val="0"/>
        <w:adjustRightInd w:val="0"/>
        <w:spacing w:line="360" w:lineRule="auto"/>
        <w:jc w:val="both"/>
        <w:rPr>
          <w:rFonts w:ascii="Palatino Linotype" w:hAnsi="Palatino Linotype"/>
          <w:sz w:val="20"/>
        </w:rPr>
      </w:pPr>
      <w:r w:rsidRPr="007B144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B0724" w:rsidRPr="007B144B">
        <w:rPr>
          <w:rFonts w:ascii="Palatino Linotype" w:hAnsi="Palatino Linotype" w:cs="Arial"/>
        </w:rPr>
        <w:t>CUADRAGÉSIMA</w:t>
      </w:r>
      <w:r w:rsidR="00872B0C" w:rsidRPr="007B144B">
        <w:rPr>
          <w:rFonts w:ascii="Palatino Linotype" w:hAnsi="Palatino Linotype" w:cs="Arial"/>
        </w:rPr>
        <w:t xml:space="preserve"> PRIMERA</w:t>
      </w:r>
      <w:r w:rsidRPr="007B144B">
        <w:rPr>
          <w:rFonts w:ascii="Palatino Linotype" w:hAnsi="Palatino Linotype" w:cs="Arial"/>
        </w:rPr>
        <w:t xml:space="preserve"> SESIÓN ORDINARIA CELEBRADA EL </w:t>
      </w:r>
      <w:r w:rsidR="00872B0C" w:rsidRPr="007B144B">
        <w:rPr>
          <w:rFonts w:ascii="Palatino Linotype" w:hAnsi="Palatino Linotype" w:cs="Arial"/>
        </w:rPr>
        <w:t xml:space="preserve">QUINCE </w:t>
      </w:r>
      <w:r w:rsidRPr="007B144B">
        <w:rPr>
          <w:rFonts w:ascii="Palatino Linotype" w:hAnsi="Palatino Linotype" w:cs="Arial"/>
        </w:rPr>
        <w:t>DE NOVIEMBRE DE DOS MIL VEINTITRÉS, ANTE EL SECRETARIO TÉCNICO DEL PLENO, ALEXIS TAPIA RAMÍREZ</w:t>
      </w:r>
      <w:r w:rsidR="00B514FE" w:rsidRPr="007B144B">
        <w:rPr>
          <w:rFonts w:ascii="Palatino Linotype" w:hAnsi="Palatino Linotype"/>
          <w:sz w:val="20"/>
        </w:rPr>
        <w:t xml:space="preserve"> SCMM/AGZ/DEMF/JMMO</w:t>
      </w:r>
    </w:p>
    <w:p w14:paraId="226B53F4" w14:textId="77777777" w:rsidR="00F54B5F" w:rsidRPr="007B144B" w:rsidRDefault="00F54B5F" w:rsidP="007B144B">
      <w:pPr>
        <w:rPr>
          <w:rFonts w:ascii="Palatino Linotype" w:eastAsia="Palatino Linotype" w:hAnsi="Palatino Linotype" w:cs="Palatino Linotype"/>
        </w:rPr>
      </w:pPr>
      <w:r w:rsidRPr="007B144B">
        <w:rPr>
          <w:rFonts w:ascii="Palatino Linotype" w:eastAsia="Palatino Linotype" w:hAnsi="Palatino Linotype" w:cs="Palatino Linotype"/>
        </w:rPr>
        <w:br w:type="page"/>
      </w:r>
    </w:p>
    <w:p w14:paraId="0A806BCB" w14:textId="77777777" w:rsidR="002F225C" w:rsidRPr="007B144B" w:rsidRDefault="002F225C" w:rsidP="007B144B">
      <w:pPr>
        <w:spacing w:before="240" w:after="240" w:line="360" w:lineRule="auto"/>
        <w:jc w:val="both"/>
        <w:rPr>
          <w:rFonts w:ascii="Palatino Linotype" w:eastAsia="Palatino Linotype" w:hAnsi="Palatino Linotype" w:cs="Palatino Linotype"/>
        </w:rPr>
      </w:pPr>
    </w:p>
    <w:p w14:paraId="7BB40E67" w14:textId="77777777" w:rsidR="002F225C" w:rsidRPr="007B144B" w:rsidRDefault="002F225C" w:rsidP="007B144B">
      <w:pPr>
        <w:spacing w:before="240" w:after="240" w:line="360" w:lineRule="auto"/>
        <w:jc w:val="both"/>
        <w:rPr>
          <w:rFonts w:ascii="Palatino Linotype" w:eastAsia="Palatino Linotype" w:hAnsi="Palatino Linotype" w:cs="Palatino Linotype"/>
        </w:rPr>
      </w:pPr>
    </w:p>
    <w:p w14:paraId="45998672" w14:textId="77777777" w:rsidR="002F225C" w:rsidRPr="007B144B" w:rsidRDefault="002F225C" w:rsidP="007B144B">
      <w:pPr>
        <w:spacing w:before="240" w:after="240" w:line="360" w:lineRule="auto"/>
        <w:jc w:val="both"/>
        <w:rPr>
          <w:rFonts w:ascii="Palatino Linotype" w:eastAsia="Palatino Linotype" w:hAnsi="Palatino Linotype" w:cs="Palatino Linotype"/>
        </w:rPr>
      </w:pPr>
    </w:p>
    <w:sectPr w:rsidR="002F225C" w:rsidRPr="007B144B">
      <w:headerReference w:type="default" r:id="rId17"/>
      <w:footerReference w:type="default" r:id="rId18"/>
      <w:headerReference w:type="first" r:id="rId19"/>
      <w:footerReference w:type="first" r:id="rId20"/>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D09B7" w14:textId="77777777" w:rsidR="00997F8C" w:rsidRDefault="00997F8C">
      <w:r>
        <w:separator/>
      </w:r>
    </w:p>
  </w:endnote>
  <w:endnote w:type="continuationSeparator" w:id="0">
    <w:p w14:paraId="08E1C3CB" w14:textId="77777777" w:rsidR="00997F8C" w:rsidRDefault="0099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DDB6" w14:textId="77777777" w:rsidR="002F225C" w:rsidRDefault="00D86D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07AF">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07AF">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99E5447" w14:textId="77777777" w:rsidR="002F225C" w:rsidRDefault="002F225C">
    <w:pPr>
      <w:pBdr>
        <w:top w:val="nil"/>
        <w:left w:val="nil"/>
        <w:bottom w:val="nil"/>
        <w:right w:val="nil"/>
        <w:between w:val="nil"/>
      </w:pBdr>
      <w:tabs>
        <w:tab w:val="center" w:pos="4252"/>
        <w:tab w:val="right" w:pos="8504"/>
      </w:tabs>
      <w:rPr>
        <w:color w:val="000000"/>
      </w:rPr>
    </w:pPr>
  </w:p>
  <w:p w14:paraId="3A13F45F" w14:textId="77777777" w:rsidR="002F225C" w:rsidRDefault="002F225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8B14" w14:textId="77777777" w:rsidR="002F225C" w:rsidRDefault="00D86D4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07A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07AF">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723976D3" w14:textId="77777777" w:rsidR="002F225C" w:rsidRDefault="002F225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A541" w14:textId="77777777" w:rsidR="00997F8C" w:rsidRDefault="00997F8C">
      <w:r>
        <w:separator/>
      </w:r>
    </w:p>
  </w:footnote>
  <w:footnote w:type="continuationSeparator" w:id="0">
    <w:p w14:paraId="2DA78B56" w14:textId="77777777" w:rsidR="00997F8C" w:rsidRDefault="00997F8C">
      <w:r>
        <w:continuationSeparator/>
      </w:r>
    </w:p>
  </w:footnote>
  <w:footnote w:id="1">
    <w:p w14:paraId="026FAF19" w14:textId="77777777" w:rsidR="002F225C" w:rsidRDefault="00D86D43">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5886" w14:textId="77777777" w:rsidR="002F225C" w:rsidRDefault="002F225C">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2F225C" w14:paraId="2FAB9847" w14:textId="77777777">
      <w:tc>
        <w:tcPr>
          <w:tcW w:w="2553" w:type="dxa"/>
          <w:vAlign w:val="center"/>
        </w:tcPr>
        <w:p w14:paraId="3E00D775"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r>
            <w:rPr>
              <w:noProof/>
              <w:lang w:val="es-MX"/>
            </w:rPr>
            <w:drawing>
              <wp:anchor distT="0" distB="0" distL="0" distR="0" simplePos="0" relativeHeight="251658240" behindDoc="1" locked="0" layoutInCell="1" hidden="0" allowOverlap="1" wp14:anchorId="089A7F44" wp14:editId="2A110708">
                <wp:simplePos x="0" y="0"/>
                <wp:positionH relativeFrom="column">
                  <wp:posOffset>-3399789</wp:posOffset>
                </wp:positionH>
                <wp:positionV relativeFrom="paragraph">
                  <wp:posOffset>-551814</wp:posOffset>
                </wp:positionV>
                <wp:extent cx="7635240" cy="9942830"/>
                <wp:effectExtent l="0" t="0" r="0" b="0"/>
                <wp:wrapNone/>
                <wp:docPr id="4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c>
        <w:tcPr>
          <w:tcW w:w="3687" w:type="dxa"/>
          <w:vAlign w:val="center"/>
        </w:tcPr>
        <w:p w14:paraId="415687FC" w14:textId="77777777" w:rsidR="002F225C" w:rsidRDefault="007340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16732</w:t>
          </w:r>
          <w:r w:rsidR="00D86D43">
            <w:rPr>
              <w:rFonts w:ascii="Palatino Linotype" w:eastAsia="Palatino Linotype" w:hAnsi="Palatino Linotype" w:cs="Palatino Linotype"/>
              <w:b/>
              <w:sz w:val="22"/>
              <w:szCs w:val="22"/>
            </w:rPr>
            <w:t>/INFOEM/IP/RR/2022</w:t>
          </w:r>
        </w:p>
      </w:tc>
    </w:tr>
    <w:tr w:rsidR="002F225C" w14:paraId="089681F1" w14:textId="77777777">
      <w:trPr>
        <w:trHeight w:val="228"/>
      </w:trPr>
      <w:tc>
        <w:tcPr>
          <w:tcW w:w="2553" w:type="dxa"/>
          <w:vAlign w:val="center"/>
        </w:tcPr>
        <w:p w14:paraId="64FDAB71"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2A6EB1C" w14:textId="77777777" w:rsidR="002F225C" w:rsidRDefault="0073405E">
          <w:pPr>
            <w:rPr>
              <w:rFonts w:ascii="Palatino Linotype" w:eastAsia="Palatino Linotype" w:hAnsi="Palatino Linotype" w:cs="Palatino Linotype"/>
              <w:b/>
              <w:sz w:val="22"/>
              <w:szCs w:val="22"/>
            </w:rPr>
          </w:pPr>
          <w:r w:rsidRPr="0073405E">
            <w:rPr>
              <w:rFonts w:ascii="Palatino Linotype" w:eastAsia="Palatino Linotype" w:hAnsi="Palatino Linotype" w:cs="Palatino Linotype"/>
              <w:b/>
              <w:sz w:val="22"/>
              <w:szCs w:val="22"/>
            </w:rPr>
            <w:t>Ayuntamiento de Tianguistenco</w:t>
          </w:r>
        </w:p>
      </w:tc>
    </w:tr>
    <w:tr w:rsidR="002F225C" w14:paraId="3BAEF299" w14:textId="77777777">
      <w:tc>
        <w:tcPr>
          <w:tcW w:w="2553" w:type="dxa"/>
          <w:vAlign w:val="center"/>
        </w:tcPr>
        <w:p w14:paraId="1103BC44"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75A3BA4" w14:textId="77777777" w:rsidR="002F225C" w:rsidRDefault="0073405E">
          <w:pPr>
            <w:ind w:right="-533"/>
            <w:rPr>
              <w:rFonts w:ascii="Palatino Linotype" w:eastAsia="Palatino Linotype" w:hAnsi="Palatino Linotype" w:cs="Palatino Linotype"/>
              <w:b/>
              <w:sz w:val="22"/>
              <w:szCs w:val="22"/>
            </w:rPr>
          </w:pPr>
          <w:r w:rsidRPr="0073405E">
            <w:rPr>
              <w:rFonts w:ascii="Palatino Linotype" w:eastAsia="Palatino Linotype" w:hAnsi="Palatino Linotype" w:cs="Palatino Linotype"/>
              <w:b/>
              <w:sz w:val="22"/>
              <w:szCs w:val="22"/>
            </w:rPr>
            <w:t>Sharon Cristina Morales Martínez</w:t>
          </w:r>
        </w:p>
      </w:tc>
    </w:tr>
  </w:tbl>
  <w:p w14:paraId="419DA043" w14:textId="3D666267" w:rsidR="002F225C" w:rsidRDefault="00D86D43">
    <w:pPr>
      <w:rPr>
        <w:rFonts w:ascii="Cambria" w:eastAsia="Cambria" w:hAnsi="Cambria" w:cs="Cambria"/>
        <w:color w:val="000000"/>
      </w:rPr>
    </w:pPr>
    <w:r>
      <w:rPr>
        <w:rFonts w:ascii="Cambria" w:eastAsia="Cambria" w:hAnsi="Cambria" w:cs="Cambria"/>
        <w:color w:val="000000"/>
      </w:rPr>
      <w:tab/>
    </w:r>
  </w:p>
  <w:p w14:paraId="1BD9EE33" w14:textId="77777777" w:rsidR="007B144B" w:rsidRDefault="007B144B">
    <w:pP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386C" w14:textId="77777777" w:rsidR="002F225C" w:rsidRDefault="00D86D43">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6A4781A4" wp14:editId="54455235">
          <wp:simplePos x="0" y="0"/>
          <wp:positionH relativeFrom="column">
            <wp:posOffset>-626744</wp:posOffset>
          </wp:positionH>
          <wp:positionV relativeFrom="paragraph">
            <wp:posOffset>-341629</wp:posOffset>
          </wp:positionV>
          <wp:extent cx="7635240" cy="9942830"/>
          <wp:effectExtent l="0" t="0" r="0" b="0"/>
          <wp:wrapNone/>
          <wp:docPr id="4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2F225C" w14:paraId="027C2D8C" w14:textId="77777777">
      <w:tc>
        <w:tcPr>
          <w:tcW w:w="2553" w:type="dxa"/>
          <w:vAlign w:val="center"/>
        </w:tcPr>
        <w:p w14:paraId="429A5FE0"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75CE9A5" w14:textId="77777777" w:rsidR="002F225C" w:rsidRDefault="006A13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16732</w:t>
          </w:r>
          <w:r w:rsidR="00D86D43">
            <w:rPr>
              <w:rFonts w:ascii="Palatino Linotype" w:eastAsia="Palatino Linotype" w:hAnsi="Palatino Linotype" w:cs="Palatino Linotype"/>
              <w:b/>
              <w:sz w:val="22"/>
              <w:szCs w:val="22"/>
            </w:rPr>
            <w:t>/INFOEM/IP/RR/2022</w:t>
          </w:r>
        </w:p>
      </w:tc>
    </w:tr>
    <w:tr w:rsidR="002F225C" w14:paraId="2D17B019" w14:textId="77777777">
      <w:tc>
        <w:tcPr>
          <w:tcW w:w="2553" w:type="dxa"/>
          <w:vAlign w:val="center"/>
        </w:tcPr>
        <w:p w14:paraId="70EBF5B9"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273EBE4F" w14:textId="1B2428FB" w:rsidR="002F225C" w:rsidRDefault="00BC07AF" w:rsidP="006A137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XXXXXXXXXX</w:t>
          </w:r>
        </w:p>
      </w:tc>
    </w:tr>
    <w:tr w:rsidR="002F225C" w14:paraId="0E5AAADD" w14:textId="77777777">
      <w:trPr>
        <w:trHeight w:val="228"/>
      </w:trPr>
      <w:tc>
        <w:tcPr>
          <w:tcW w:w="2553" w:type="dxa"/>
          <w:vAlign w:val="center"/>
        </w:tcPr>
        <w:p w14:paraId="00CB68EE"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6852EA2" w14:textId="77777777" w:rsidR="002F225C" w:rsidRDefault="006A1375">
          <w:pPr>
            <w:jc w:val="both"/>
            <w:rPr>
              <w:rFonts w:ascii="Palatino Linotype" w:eastAsia="Palatino Linotype" w:hAnsi="Palatino Linotype" w:cs="Palatino Linotype"/>
              <w:b/>
              <w:sz w:val="22"/>
              <w:szCs w:val="22"/>
            </w:rPr>
          </w:pPr>
          <w:r w:rsidRPr="006A1375">
            <w:rPr>
              <w:rFonts w:ascii="Palatino Linotype" w:eastAsia="Palatino Linotype" w:hAnsi="Palatino Linotype" w:cs="Palatino Linotype"/>
              <w:b/>
              <w:sz w:val="22"/>
              <w:szCs w:val="22"/>
            </w:rPr>
            <w:t>Ayuntamiento de Tianguistenco</w:t>
          </w:r>
        </w:p>
      </w:tc>
    </w:tr>
    <w:tr w:rsidR="002F225C" w14:paraId="6B65EC9E" w14:textId="77777777">
      <w:tc>
        <w:tcPr>
          <w:tcW w:w="2553" w:type="dxa"/>
          <w:vAlign w:val="center"/>
        </w:tcPr>
        <w:p w14:paraId="47598D21" w14:textId="77777777" w:rsidR="002F225C" w:rsidRDefault="00D86D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1880CF5" w14:textId="77777777" w:rsidR="002F225C" w:rsidRDefault="0073405E">
          <w:pPr>
            <w:ind w:right="-533"/>
            <w:rPr>
              <w:rFonts w:ascii="Palatino Linotype" w:eastAsia="Palatino Linotype" w:hAnsi="Palatino Linotype" w:cs="Palatino Linotype"/>
              <w:b/>
              <w:sz w:val="22"/>
              <w:szCs w:val="22"/>
            </w:rPr>
          </w:pPr>
          <w:r w:rsidRPr="0073405E">
            <w:rPr>
              <w:rFonts w:ascii="Palatino Linotype" w:eastAsia="Palatino Linotype" w:hAnsi="Palatino Linotype" w:cs="Palatino Linotype"/>
              <w:b/>
              <w:sz w:val="22"/>
              <w:szCs w:val="22"/>
            </w:rPr>
            <w:t>Sharon Cristina Morales Martínez</w:t>
          </w:r>
        </w:p>
      </w:tc>
    </w:tr>
  </w:tbl>
  <w:p w14:paraId="40334C87" w14:textId="77777777" w:rsidR="002F225C" w:rsidRDefault="002F225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5A1"/>
    <w:multiLevelType w:val="multilevel"/>
    <w:tmpl w:val="EE8C270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BB7F56"/>
    <w:multiLevelType w:val="multilevel"/>
    <w:tmpl w:val="93CC938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1353" w:hanging="359"/>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5C"/>
    <w:rsid w:val="000D15DC"/>
    <w:rsid w:val="000F59E8"/>
    <w:rsid w:val="00160E4B"/>
    <w:rsid w:val="0016485B"/>
    <w:rsid w:val="002B5EB2"/>
    <w:rsid w:val="002F225C"/>
    <w:rsid w:val="003017D8"/>
    <w:rsid w:val="003505C2"/>
    <w:rsid w:val="00374116"/>
    <w:rsid w:val="00375908"/>
    <w:rsid w:val="003B0C87"/>
    <w:rsid w:val="004235DA"/>
    <w:rsid w:val="00424805"/>
    <w:rsid w:val="004477E8"/>
    <w:rsid w:val="00481BCF"/>
    <w:rsid w:val="0049077A"/>
    <w:rsid w:val="004F3A17"/>
    <w:rsid w:val="005C627D"/>
    <w:rsid w:val="005D730B"/>
    <w:rsid w:val="006538A3"/>
    <w:rsid w:val="006A1375"/>
    <w:rsid w:val="00731B04"/>
    <w:rsid w:val="0073405E"/>
    <w:rsid w:val="00740317"/>
    <w:rsid w:val="00751C61"/>
    <w:rsid w:val="007B144B"/>
    <w:rsid w:val="007B2489"/>
    <w:rsid w:val="007D4604"/>
    <w:rsid w:val="007F790C"/>
    <w:rsid w:val="00804267"/>
    <w:rsid w:val="00831184"/>
    <w:rsid w:val="00872B0C"/>
    <w:rsid w:val="00884FDC"/>
    <w:rsid w:val="008A0781"/>
    <w:rsid w:val="008E22C6"/>
    <w:rsid w:val="0092026E"/>
    <w:rsid w:val="00945A7F"/>
    <w:rsid w:val="009824E0"/>
    <w:rsid w:val="00997F8C"/>
    <w:rsid w:val="009A0E9F"/>
    <w:rsid w:val="00A100D6"/>
    <w:rsid w:val="00B514FE"/>
    <w:rsid w:val="00B74F9A"/>
    <w:rsid w:val="00BC07AF"/>
    <w:rsid w:val="00BC51FC"/>
    <w:rsid w:val="00C33C29"/>
    <w:rsid w:val="00C66B47"/>
    <w:rsid w:val="00C9278C"/>
    <w:rsid w:val="00CA4ED1"/>
    <w:rsid w:val="00CA708F"/>
    <w:rsid w:val="00CB0724"/>
    <w:rsid w:val="00CC54D6"/>
    <w:rsid w:val="00CF3246"/>
    <w:rsid w:val="00D33602"/>
    <w:rsid w:val="00D44692"/>
    <w:rsid w:val="00D86D43"/>
    <w:rsid w:val="00D97A89"/>
    <w:rsid w:val="00DA3775"/>
    <w:rsid w:val="00DB7BF3"/>
    <w:rsid w:val="00DC3E12"/>
    <w:rsid w:val="00E56D2F"/>
    <w:rsid w:val="00E674AD"/>
    <w:rsid w:val="00E74726"/>
    <w:rsid w:val="00ED73E0"/>
    <w:rsid w:val="00F06EA9"/>
    <w:rsid w:val="00F54B5F"/>
    <w:rsid w:val="00FA0CDD"/>
    <w:rsid w:val="00FB1023"/>
    <w:rsid w:val="00FE0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B26F"/>
  <w15:docId w15:val="{304BB94C-D127-4CD8-82DF-0D4274B4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style>
  <w:style w:type="table" w:styleId="Tabladelista1clara-nfasis1">
    <w:name w:val="List Table 1 Light Accent 1"/>
    <w:basedOn w:val="Tablanormal"/>
    <w:uiPriority w:val="46"/>
    <w:rsid w:val="00B1183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5D5B79"/>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481BCF"/>
    <w:rPr>
      <w:sz w:val="16"/>
      <w:szCs w:val="16"/>
    </w:rPr>
  </w:style>
  <w:style w:type="paragraph" w:styleId="Textocomentario">
    <w:name w:val="annotation text"/>
    <w:basedOn w:val="Normal"/>
    <w:link w:val="TextocomentarioCar"/>
    <w:uiPriority w:val="99"/>
    <w:semiHidden/>
    <w:unhideWhenUsed/>
    <w:rsid w:val="00481BCF"/>
    <w:rPr>
      <w:sz w:val="20"/>
      <w:szCs w:val="20"/>
    </w:rPr>
  </w:style>
  <w:style w:type="character" w:customStyle="1" w:styleId="TextocomentarioCar">
    <w:name w:val="Texto comentario Car"/>
    <w:basedOn w:val="Fuentedeprrafopredeter"/>
    <w:link w:val="Textocomentario"/>
    <w:uiPriority w:val="99"/>
    <w:semiHidden/>
    <w:rsid w:val="00481BCF"/>
    <w:rPr>
      <w:sz w:val="20"/>
      <w:szCs w:val="20"/>
    </w:rPr>
  </w:style>
  <w:style w:type="paragraph" w:styleId="Asuntodelcomentario">
    <w:name w:val="annotation subject"/>
    <w:basedOn w:val="Textocomentario"/>
    <w:next w:val="Textocomentario"/>
    <w:link w:val="AsuntodelcomentarioCar"/>
    <w:uiPriority w:val="99"/>
    <w:semiHidden/>
    <w:unhideWhenUsed/>
    <w:rsid w:val="00481BCF"/>
    <w:rPr>
      <w:b/>
      <w:bCs/>
    </w:rPr>
  </w:style>
  <w:style w:type="character" w:customStyle="1" w:styleId="AsuntodelcomentarioCar">
    <w:name w:val="Asunto del comentario Car"/>
    <w:basedOn w:val="TextocomentarioCar"/>
    <w:link w:val="Asuntodelcomentario"/>
    <w:uiPriority w:val="99"/>
    <w:semiHidden/>
    <w:rsid w:val="00481BCF"/>
    <w:rPr>
      <w:b/>
      <w:bCs/>
      <w:sz w:val="20"/>
      <w:szCs w:val="20"/>
    </w:rPr>
  </w:style>
  <w:style w:type="paragraph" w:styleId="Revisin">
    <w:name w:val="Revision"/>
    <w:hidden/>
    <w:uiPriority w:val="99"/>
    <w:semiHidden/>
    <w:rsid w:val="0049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648328.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648331.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aimex.org.mx/saimex/solicitud/downloadAttach/1648331.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48330.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648330.page" TargetMode="External"/><Relationship Id="rId10" Type="http://schemas.openxmlformats.org/officeDocument/2006/relationships/hyperlink" Target="https://saimex.org.mx/saimex/solicitud/downloadAttach/164832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648328.page" TargetMode="External"/><Relationship Id="rId14" Type="http://schemas.openxmlformats.org/officeDocument/2006/relationships/hyperlink" Target="https://saimex.org.mx/saimex/solicitud/downloadAttach/1648329.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82lCEottlhZIq13/O3U/ZnUOg==">CgMxLjAyCWguMzBqMHpsbDIIaC5namRneHM4AHIhMWVKR24zS3F1VUIxZzdUZ3Z6bGhLb1piRERYSmJsSXhk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7022</Words>
  <Characters>38627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INFOEM381</cp:lastModifiedBy>
  <cp:revision>6</cp:revision>
  <cp:lastPrinted>2023-11-17T17:02:00Z</cp:lastPrinted>
  <dcterms:created xsi:type="dcterms:W3CDTF">2023-11-09T20:50:00Z</dcterms:created>
  <dcterms:modified xsi:type="dcterms:W3CDTF">2023-12-06T00:39:00Z</dcterms:modified>
</cp:coreProperties>
</file>