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D37588" w:rsidP="00884387" w:rsidRDefault="00D37588" w14:paraId="20511F7D" w14:textId="77777777">
      <w:pPr>
        <w:spacing w:after="0" w:line="360" w:lineRule="auto"/>
        <w:rPr>
          <w:rFonts w:eastAsia="Calibri" w:cs="Tahoma"/>
          <w:bCs/>
          <w:color w:val="000000"/>
        </w:rPr>
      </w:pPr>
    </w:p>
    <w:p w:rsidRPr="00823DDB" w:rsidR="00C853D1" w:rsidP="00884387" w:rsidRDefault="00C853D1" w14:paraId="1DF6BBF6" w14:textId="67C4BEF7">
      <w:pPr>
        <w:spacing w:after="0" w:line="360" w:lineRule="auto"/>
        <w:rPr>
          <w:rFonts w:eastAsia="Times New Roman" w:cs="Tahoma"/>
          <w:bCs/>
          <w:color w:val="auto"/>
          <w:lang w:eastAsia="es-ES"/>
        </w:rPr>
      </w:pPr>
      <w:r w:rsidRPr="00823DDB">
        <w:rPr>
          <w:rFonts w:eastAsia="Calibri" w:cs="Tahoma"/>
          <w:bCs/>
          <w:color w:val="000000"/>
        </w:rPr>
        <w:t xml:space="preserve">Resolución del Pleno del Instituto de Transparencia, Acceso a la Información Pública y </w:t>
      </w:r>
      <w:r w:rsidRPr="00823DDB">
        <w:rPr>
          <w:rFonts w:eastAsia="Times New Roman" w:cs="Tahoma"/>
          <w:bCs/>
          <w:color w:val="auto"/>
          <w:lang w:eastAsia="es-ES"/>
        </w:rPr>
        <w:t xml:space="preserve">Protección de Datos Personales del Estado de México y Municipios, con domicilio en Metepec, Estado de México, de fecha </w:t>
      </w:r>
      <w:r w:rsidRPr="00823DDB" w:rsidR="00CA5A9E">
        <w:rPr>
          <w:rFonts w:eastAsia="Times New Roman" w:cs="Tahoma"/>
          <w:bCs/>
          <w:color w:val="auto"/>
          <w:lang w:eastAsia="es-ES"/>
        </w:rPr>
        <w:t>treinta y uno de mayo de dos mil veintitrés.</w:t>
      </w:r>
    </w:p>
    <w:p w:rsidRPr="00823DDB" w:rsidR="00C17F80" w:rsidP="00C853D1" w:rsidRDefault="00C17F80" w14:paraId="059F463C" w14:textId="77777777">
      <w:pPr>
        <w:spacing w:after="0" w:line="360" w:lineRule="auto"/>
        <w:rPr>
          <w:rFonts w:eastAsia="Times New Roman" w:cs="Tahoma"/>
          <w:b/>
          <w:bCs/>
          <w:color w:val="auto"/>
          <w:lang w:eastAsia="es-ES"/>
        </w:rPr>
      </w:pPr>
    </w:p>
    <w:p w:rsidRPr="00823DDB" w:rsidR="00C853D1" w:rsidP="00C853D1" w:rsidRDefault="00C853D1" w14:paraId="1066B8D1" w14:textId="4C62D051">
      <w:pPr>
        <w:spacing w:after="0" w:line="360" w:lineRule="auto"/>
        <w:rPr>
          <w:rFonts w:eastAsia="Calibri" w:cs="Tahoma"/>
          <w:color w:val="0D0D0D"/>
        </w:rPr>
      </w:pPr>
      <w:r w:rsidRPr="73E2F03A" w:rsidR="73E2F03A">
        <w:rPr>
          <w:rFonts w:eastAsia="Times New Roman" w:cs="Tahoma"/>
          <w:b w:val="1"/>
          <w:bCs w:val="1"/>
          <w:color w:val="auto"/>
          <w:lang w:eastAsia="es-ES"/>
        </w:rPr>
        <w:t>VISTO</w:t>
      </w:r>
      <w:r w:rsidRPr="73E2F03A" w:rsidR="73E2F03A">
        <w:rPr>
          <w:rFonts w:eastAsia="Calibri" w:cs="Tahoma"/>
          <w:color w:val="0D0D0D" w:themeColor="text1" w:themeTint="F2" w:themeShade="FF"/>
        </w:rPr>
        <w:t xml:space="preserve"> el expediente conformado con motivo del Recurso de Revisión </w:t>
      </w:r>
      <w:r w:rsidRPr="73E2F03A" w:rsidR="73E2F03A">
        <w:rPr>
          <w:rFonts w:eastAsia="Calibri" w:cs="Tahoma"/>
          <w:color w:val="000000" w:themeColor="text1" w:themeTint="FF" w:themeShade="FF"/>
        </w:rPr>
        <w:t xml:space="preserve">17386/INFOEM/IP/RR/2022, interpuesto por </w:t>
      </w:r>
      <w:r w:rsidRPr="73E2F03A" w:rsidR="73E2F03A">
        <w:rPr>
          <w:rFonts w:eastAsia="Calibri" w:cs="Tahoma"/>
          <w:color w:val="000000" w:themeColor="text1" w:themeTint="FF" w:themeShade="FF"/>
          <w:highlight w:val="black"/>
        </w:rPr>
        <w:t>XXXXXXXXXXXXXXXXX</w:t>
      </w:r>
      <w:r w:rsidRPr="73E2F03A" w:rsidR="73E2F03A">
        <w:rPr>
          <w:rFonts w:eastAsia="Calibri" w:cs="Tahoma"/>
          <w:color w:val="000000" w:themeColor="text1" w:themeTint="FF" w:themeShade="FF"/>
        </w:rPr>
        <w:t xml:space="preserve">, en lo sucesivo, el </w:t>
      </w:r>
      <w:r w:rsidRPr="73E2F03A" w:rsidR="73E2F03A">
        <w:rPr>
          <w:rFonts w:eastAsia="Calibri" w:cs="Tahoma"/>
          <w:color w:val="0D0D0D" w:themeColor="text1" w:themeTint="F2" w:themeShade="FF"/>
        </w:rPr>
        <w:t>Recurrente o Particular, en contra de la respuesta del Sujeto Obligado,</w:t>
      </w:r>
      <w:r w:rsidRPr="73E2F03A" w:rsidR="73E2F03A">
        <w:rPr>
          <w:rFonts w:eastAsia="Calibri" w:cs="Tahoma"/>
          <w:color w:val="000000" w:themeColor="text1" w:themeTint="FF" w:themeShade="FF"/>
        </w:rPr>
        <w:t xml:space="preserve"> Ayuntamiento de Naucalpan de Juárez, a la solicitud de acceso a la información 00977/NAUCALPA/IP/2022, se emite la presente Resolución, con base en los Antecedentes y Considerandos que se exponen a continuación:</w:t>
      </w:r>
    </w:p>
    <w:p w:rsidRPr="00823DDB" w:rsidR="00C853D1" w:rsidP="00C853D1" w:rsidRDefault="00C853D1" w14:paraId="4FCCF228" w14:textId="77777777">
      <w:pPr>
        <w:spacing w:after="0" w:line="360" w:lineRule="auto"/>
        <w:rPr>
          <w:rFonts w:eastAsia="Calibri" w:cs="Tahoma"/>
          <w:color w:val="000000"/>
        </w:rPr>
      </w:pPr>
    </w:p>
    <w:p w:rsidRPr="00823DDB" w:rsidR="00C853D1" w:rsidP="00C853D1" w:rsidRDefault="00C853D1" w14:paraId="0472C645" w14:textId="77777777">
      <w:pPr>
        <w:tabs>
          <w:tab w:val="center" w:pos="4522"/>
          <w:tab w:val="left" w:pos="7245"/>
        </w:tabs>
        <w:spacing w:after="0" w:line="360" w:lineRule="auto"/>
        <w:jc w:val="center"/>
        <w:rPr>
          <w:rFonts w:eastAsia="Calibri" w:cs="Tahoma"/>
          <w:b/>
          <w:color w:val="000000"/>
        </w:rPr>
      </w:pPr>
      <w:r w:rsidRPr="00823DDB">
        <w:rPr>
          <w:rFonts w:eastAsia="Calibri" w:cs="Tahoma"/>
          <w:b/>
          <w:color w:val="000000"/>
        </w:rPr>
        <w:t>A N T E C E D E N T E S:</w:t>
      </w:r>
    </w:p>
    <w:p w:rsidRPr="00823DDB" w:rsidR="00C853D1" w:rsidP="00C853D1" w:rsidRDefault="00C853D1" w14:paraId="422D0175" w14:textId="77777777">
      <w:pPr>
        <w:spacing w:after="0" w:line="360" w:lineRule="auto"/>
      </w:pPr>
    </w:p>
    <w:p w:rsidRPr="00823DDB" w:rsidR="00C853D1" w:rsidP="00C853D1" w:rsidRDefault="00C853D1" w14:paraId="539DCEC7" w14:textId="77777777">
      <w:pPr>
        <w:tabs>
          <w:tab w:val="left" w:pos="567"/>
        </w:tabs>
        <w:spacing w:after="0" w:line="360" w:lineRule="auto"/>
        <w:rPr>
          <w:rFonts w:eastAsia="Times New Roman" w:cs="Tahoma"/>
          <w:b/>
          <w:color w:val="auto"/>
          <w:lang w:eastAsia="es-ES"/>
        </w:rPr>
      </w:pPr>
      <w:r w:rsidRPr="00823DDB">
        <w:rPr>
          <w:rFonts w:eastAsia="Times New Roman" w:cs="Tahoma"/>
          <w:b/>
          <w:color w:val="auto"/>
          <w:lang w:eastAsia="es-ES"/>
        </w:rPr>
        <w:t>I. Presentación de la solicitud de información:</w:t>
      </w:r>
    </w:p>
    <w:p w:rsidRPr="00823DDB" w:rsidR="00C853D1" w:rsidP="00C853D1" w:rsidRDefault="00C853D1" w14:paraId="681289FF" w14:textId="77777777">
      <w:pPr>
        <w:tabs>
          <w:tab w:val="left" w:pos="567"/>
        </w:tabs>
        <w:spacing w:after="0" w:line="360" w:lineRule="auto"/>
        <w:rPr>
          <w:rFonts w:eastAsia="Times New Roman" w:cs="Tahoma"/>
          <w:color w:val="auto"/>
          <w:lang w:eastAsia="es-ES"/>
        </w:rPr>
      </w:pPr>
    </w:p>
    <w:p w:rsidRPr="00823DDB" w:rsidR="00C853D1" w:rsidP="00C853D1" w:rsidRDefault="00C853D1" w14:paraId="2A44F672" w14:textId="20CDDBD3">
      <w:pPr>
        <w:spacing w:after="0" w:line="360" w:lineRule="auto"/>
        <w:rPr>
          <w:rFonts w:eastAsia="Times New Roman" w:cs="Tahoma"/>
          <w:color w:val="auto"/>
          <w:lang w:eastAsia="es-ES"/>
        </w:rPr>
      </w:pPr>
      <w:r w:rsidRPr="00823DDB">
        <w:rPr>
          <w:rFonts w:eastAsia="Times New Roman" w:cs="Tahoma"/>
          <w:color w:val="auto"/>
          <w:lang w:eastAsia="es-ES"/>
        </w:rPr>
        <w:t>Con fecha</w:t>
      </w:r>
      <w:r w:rsidRPr="00823DDB" w:rsidR="00806179">
        <w:rPr>
          <w:rFonts w:eastAsia="Times New Roman" w:cs="Tahoma"/>
          <w:color w:val="auto"/>
          <w:lang w:eastAsia="es-ES"/>
        </w:rPr>
        <w:t xml:space="preserve"> catorce de noviembre de dos mil veintidós, </w:t>
      </w:r>
      <w:r w:rsidRPr="00823DDB">
        <w:rPr>
          <w:rFonts w:eastAsia="Times New Roman" w:cs="Tahoma"/>
          <w:color w:val="auto"/>
          <w:lang w:eastAsia="es-ES"/>
        </w:rPr>
        <w:t xml:space="preserve">el Particular presentó una solicitud de acceso a la información pública, a través del Sistema de Acceso a la Información Mexiquense (SAIMEX), ante el </w:t>
      </w:r>
      <w:r w:rsidRPr="00823DDB" w:rsidR="005622BA">
        <w:rPr>
          <w:rFonts w:eastAsia="Calibri" w:cs="Tahoma"/>
        </w:rPr>
        <w:t>Ayuntamiento de Naucalpan de Juárez</w:t>
      </w:r>
      <w:r w:rsidRPr="00823DDB">
        <w:rPr>
          <w:rFonts w:eastAsia="Calibri" w:cs="Tahoma"/>
        </w:rPr>
        <w:t xml:space="preserve">, en los siguientes términos: </w:t>
      </w:r>
    </w:p>
    <w:p w:rsidRPr="00823DDB" w:rsidR="00C853D1" w:rsidP="00C853D1" w:rsidRDefault="00C853D1" w14:paraId="32AF4217" w14:textId="77777777">
      <w:pPr>
        <w:spacing w:after="0" w:line="360" w:lineRule="auto"/>
        <w:rPr>
          <w:rFonts w:eastAsia="Calibri" w:cs="Tahoma"/>
        </w:rPr>
      </w:pPr>
    </w:p>
    <w:p w:rsidRPr="00823DDB" w:rsidR="00C853D1" w:rsidP="00C853D1"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823DDB">
        <w:rPr>
          <w:rFonts w:eastAsia="Times New Roman" w:cs="Tahoma"/>
          <w:b/>
          <w:i/>
          <w:iCs/>
          <w:color w:val="auto"/>
          <w:sz w:val="20"/>
          <w:szCs w:val="20"/>
          <w:lang w:eastAsia="es-ES"/>
        </w:rPr>
        <w:t>“DESCRIPCIÓN CLARA Y PRECISA DE LA INFORMACIÓN SOLICITADA.</w:t>
      </w:r>
    </w:p>
    <w:p w:rsidRPr="00823DDB" w:rsidR="00C853D1" w:rsidP="00C853D1" w:rsidRDefault="007F74F7" w14:paraId="47049033" w14:textId="732DA508">
      <w:pPr>
        <w:tabs>
          <w:tab w:val="left" w:pos="4667"/>
        </w:tabs>
        <w:spacing w:after="0" w:line="360" w:lineRule="auto"/>
        <w:ind w:left="567" w:right="567"/>
        <w:rPr>
          <w:rFonts w:eastAsia="Times New Roman" w:cs="Tahoma"/>
          <w:bCs/>
          <w:i/>
          <w:iCs/>
          <w:color w:val="auto"/>
          <w:sz w:val="20"/>
          <w:szCs w:val="20"/>
          <w:lang w:eastAsia="es-ES"/>
        </w:rPr>
      </w:pPr>
      <w:r w:rsidRPr="00823DDB">
        <w:rPr>
          <w:rFonts w:eastAsia="Times New Roman" w:cs="Tahoma"/>
          <w:bCs/>
          <w:i/>
          <w:iCs/>
          <w:color w:val="auto"/>
          <w:sz w:val="20"/>
          <w:szCs w:val="20"/>
          <w:lang w:eastAsia="es-ES"/>
        </w:rPr>
        <w:t xml:space="preserve">En términos de los artículos 1 y 8 Constitucionales, solicita se informe detalladamente porque la dirección de desarrollo urbano del municipio de </w:t>
      </w:r>
      <w:proofErr w:type="spellStart"/>
      <w:r w:rsidRPr="00823DDB">
        <w:rPr>
          <w:rFonts w:eastAsia="Times New Roman" w:cs="Tahoma"/>
          <w:bCs/>
          <w:i/>
          <w:iCs/>
          <w:color w:val="auto"/>
          <w:sz w:val="20"/>
          <w:szCs w:val="20"/>
          <w:lang w:eastAsia="es-ES"/>
        </w:rPr>
        <w:t>naucalpan</w:t>
      </w:r>
      <w:proofErr w:type="spellEnd"/>
      <w:r w:rsidRPr="00823DDB">
        <w:rPr>
          <w:rFonts w:eastAsia="Times New Roman" w:cs="Tahoma"/>
          <w:bCs/>
          <w:i/>
          <w:iCs/>
          <w:color w:val="auto"/>
          <w:sz w:val="20"/>
          <w:szCs w:val="20"/>
          <w:lang w:eastAsia="es-ES"/>
        </w:rPr>
        <w:t xml:space="preserve">, en el estado de México, expidió el cambio de uso de suelo y la licencia de construcción para realizar una obra de construcción del todo irregular en el: Lote 56 y 57, manzana XXXIV, correspondiente al número 124, de la calle Fuente de Pirámides, fraccionamiento Lomas de Tecamachalco, municipio de Naucalpan de Juárez, Estado de México, Así </w:t>
      </w:r>
      <w:r w:rsidRPr="00823DDB">
        <w:rPr>
          <w:rFonts w:eastAsia="Times New Roman" w:cs="Tahoma"/>
          <w:bCs/>
          <w:i/>
          <w:iCs/>
          <w:color w:val="auto"/>
          <w:sz w:val="20"/>
          <w:szCs w:val="20"/>
          <w:lang w:eastAsia="es-ES"/>
        </w:rPr>
        <w:lastRenderedPageBreak/>
        <w:t>mismo se solicita se nos anexe a su respuesta la autorización de cambio de uso de suelo vigente y de la licencia de construcción también vigente, por ser de mi interés</w:t>
      </w:r>
      <w:r w:rsidRPr="00823DDB" w:rsidR="00BC2DAE">
        <w:rPr>
          <w:rFonts w:eastAsia="Times New Roman" w:cs="Tahoma"/>
          <w:bCs/>
          <w:i/>
          <w:iCs/>
          <w:color w:val="auto"/>
          <w:sz w:val="20"/>
          <w:szCs w:val="20"/>
          <w:lang w:eastAsia="es-ES"/>
        </w:rPr>
        <w:t>.</w:t>
      </w:r>
      <w:r w:rsidRPr="00823DDB" w:rsidR="00C853D1">
        <w:rPr>
          <w:rFonts w:eastAsia="Times New Roman" w:cs="Tahoma"/>
          <w:bCs/>
          <w:i/>
          <w:iCs/>
          <w:color w:val="auto"/>
          <w:sz w:val="20"/>
          <w:szCs w:val="20"/>
          <w:lang w:eastAsia="es-ES"/>
        </w:rPr>
        <w:t xml:space="preserve">” (Sic) </w:t>
      </w:r>
    </w:p>
    <w:p w:rsidRPr="00823DDB" w:rsidR="00C853D1" w:rsidP="00C853D1"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823DDB" w:rsidR="00C853D1" w:rsidP="00C853D1"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823DDB">
        <w:rPr>
          <w:rFonts w:eastAsia="Times New Roman" w:cs="Tahoma"/>
          <w:b/>
          <w:bCs/>
          <w:i/>
          <w:iCs/>
          <w:color w:val="auto"/>
          <w:sz w:val="20"/>
          <w:lang w:eastAsia="es-ES"/>
        </w:rPr>
        <w:t>“MODALIDAD DE ENTREGA</w:t>
      </w:r>
    </w:p>
    <w:p w:rsidRPr="00823DDB" w:rsidR="00C853D1" w:rsidP="00682222" w:rsidRDefault="00C853D1" w14:paraId="59678C94" w14:textId="1E32CB35">
      <w:pPr>
        <w:spacing w:after="0" w:line="360" w:lineRule="auto"/>
        <w:ind w:left="567" w:right="567"/>
        <w:rPr>
          <w:rFonts w:eastAsia="Times New Roman" w:cs="Arial"/>
          <w:bCs/>
          <w:i/>
          <w:iCs/>
          <w:color w:val="auto"/>
          <w:sz w:val="20"/>
          <w:lang w:eastAsia="es-ES"/>
        </w:rPr>
      </w:pPr>
      <w:r w:rsidRPr="00823DDB">
        <w:rPr>
          <w:rFonts w:eastAsia="Times New Roman" w:cs="Arial"/>
          <w:bCs/>
          <w:i/>
          <w:iCs/>
          <w:color w:val="auto"/>
          <w:sz w:val="20"/>
          <w:lang w:eastAsia="es-ES"/>
        </w:rPr>
        <w:t>A través del SAIMEX”</w:t>
      </w:r>
    </w:p>
    <w:p w:rsidRPr="00823DDB" w:rsidR="00B500F6" w:rsidP="00C853D1" w:rsidRDefault="00B500F6" w14:paraId="2561720B" w14:textId="77777777">
      <w:pPr>
        <w:autoSpaceDE w:val="0"/>
        <w:autoSpaceDN w:val="0"/>
        <w:adjustRightInd w:val="0"/>
        <w:spacing w:after="0" w:line="360" w:lineRule="auto"/>
        <w:rPr>
          <w:rFonts w:cs="Tahoma"/>
          <w:b/>
        </w:rPr>
      </w:pPr>
    </w:p>
    <w:p w:rsidRPr="00823DDB" w:rsidR="00B500F6" w:rsidP="00C853D1" w:rsidRDefault="00B500F6" w14:paraId="6AC1AFE9" w14:textId="2E51900F">
      <w:pPr>
        <w:autoSpaceDE w:val="0"/>
        <w:autoSpaceDN w:val="0"/>
        <w:adjustRightInd w:val="0"/>
        <w:spacing w:after="0" w:line="360" w:lineRule="auto"/>
        <w:rPr>
          <w:rFonts w:cs="Tahoma"/>
          <w:b/>
        </w:rPr>
      </w:pPr>
      <w:r w:rsidRPr="00823DDB">
        <w:rPr>
          <w:rFonts w:cs="Tahoma"/>
          <w:b/>
        </w:rPr>
        <w:t xml:space="preserve">II. </w:t>
      </w:r>
      <w:r w:rsidRPr="00823DDB" w:rsidR="0011183E">
        <w:rPr>
          <w:rFonts w:cs="Tahoma"/>
          <w:b/>
        </w:rPr>
        <w:t>Prórroga para notificar la respuesta a la solicitud de información.</w:t>
      </w:r>
    </w:p>
    <w:p w:rsidRPr="00823DDB" w:rsidR="00B500F6" w:rsidP="00C853D1" w:rsidRDefault="00B500F6" w14:paraId="79CA7D2C" w14:textId="77777777">
      <w:pPr>
        <w:autoSpaceDE w:val="0"/>
        <w:autoSpaceDN w:val="0"/>
        <w:adjustRightInd w:val="0"/>
        <w:spacing w:after="0" w:line="360" w:lineRule="auto"/>
        <w:rPr>
          <w:rFonts w:cs="Tahoma"/>
          <w:bCs/>
        </w:rPr>
      </w:pPr>
    </w:p>
    <w:p w:rsidRPr="00823DDB" w:rsidR="00B500F6" w:rsidP="00C853D1" w:rsidRDefault="00D37588" w14:paraId="3B57DC90" w14:textId="158CFF1A">
      <w:pPr>
        <w:autoSpaceDE w:val="0"/>
        <w:autoSpaceDN w:val="0"/>
        <w:adjustRightInd w:val="0"/>
        <w:spacing w:after="0" w:line="360" w:lineRule="auto"/>
        <w:rPr>
          <w:rFonts w:eastAsia="Times New Roman" w:cs="Tahoma"/>
          <w:color w:val="auto"/>
          <w:lang w:eastAsia="es-ES"/>
        </w:rPr>
      </w:pPr>
      <w:r w:rsidRPr="00823DDB">
        <w:rPr>
          <w:rFonts w:cs="Tahoma"/>
          <w:bCs/>
        </w:rPr>
        <w:t>Con fecha</w:t>
      </w:r>
      <w:r w:rsidRPr="00823DDB" w:rsidR="0011183E">
        <w:rPr>
          <w:rFonts w:cs="Tahoma"/>
          <w:bCs/>
        </w:rPr>
        <w:t xml:space="preserve"> cinco de diciembre de dos mil veintidós, el Sujeto Obligado, notificó mediante el </w:t>
      </w:r>
      <w:r w:rsidRPr="00823DDB" w:rsidR="001305A8">
        <w:rPr>
          <w:rFonts w:eastAsia="Times New Roman" w:cs="Tahoma"/>
          <w:color w:val="auto"/>
          <w:lang w:eastAsia="es-ES"/>
        </w:rPr>
        <w:t>Sistema de Acceso a la Información Mexiquense (SAIMEX), la prórroga para notificar la respuesta a la solicitud de información en los términos siguientes:</w:t>
      </w:r>
    </w:p>
    <w:p w:rsidRPr="00823DDB" w:rsidR="008E0D9A" w:rsidP="00C853D1" w:rsidRDefault="008E0D9A" w14:paraId="609889E7" w14:textId="77777777">
      <w:pPr>
        <w:autoSpaceDE w:val="0"/>
        <w:autoSpaceDN w:val="0"/>
        <w:adjustRightInd w:val="0"/>
        <w:spacing w:after="0" w:line="360" w:lineRule="auto"/>
        <w:rPr>
          <w:rFonts w:eastAsia="Times New Roman" w:cs="Tahoma"/>
          <w:color w:val="auto"/>
          <w:lang w:eastAsia="es-ES"/>
        </w:rPr>
      </w:pPr>
    </w:p>
    <w:p w:rsidRPr="00823DDB" w:rsidR="008E0D9A" w:rsidP="008E0D9A" w:rsidRDefault="008E0D9A" w14:paraId="25601711" w14:textId="5CAA0976">
      <w:pPr>
        <w:autoSpaceDE w:val="0"/>
        <w:autoSpaceDN w:val="0"/>
        <w:adjustRightInd w:val="0"/>
        <w:spacing w:after="0" w:line="360" w:lineRule="auto"/>
        <w:ind w:left="567" w:right="567"/>
        <w:rPr>
          <w:rFonts w:eastAsia="Times New Roman" w:cs="Tahoma"/>
          <w:i/>
          <w:iCs/>
          <w:color w:val="auto"/>
          <w:sz w:val="20"/>
          <w:szCs w:val="20"/>
          <w:lang w:eastAsia="es-ES"/>
        </w:rPr>
      </w:pPr>
      <w:r w:rsidRPr="00823DDB">
        <w:rPr>
          <w:rFonts w:eastAsia="Times New Roman" w:cs="Tahoma"/>
          <w:i/>
          <w:iCs/>
          <w:color w:val="auto"/>
          <w:sz w:val="20"/>
          <w:szCs w:val="20"/>
          <w:lang w:eastAsia="es-ES"/>
        </w:rPr>
        <w:t>“…</w:t>
      </w:r>
    </w:p>
    <w:p w:rsidRPr="00823DDB" w:rsidR="008E0D9A" w:rsidP="008E0D9A" w:rsidRDefault="008E0D9A" w14:paraId="3E873E9C" w14:textId="77777777">
      <w:pPr>
        <w:autoSpaceDE w:val="0"/>
        <w:autoSpaceDN w:val="0"/>
        <w:adjustRightInd w:val="0"/>
        <w:spacing w:after="0" w:line="360" w:lineRule="auto"/>
        <w:ind w:left="567" w:right="567"/>
        <w:rPr>
          <w:rFonts w:cs="Tahoma"/>
          <w:bCs/>
          <w:i/>
          <w:iCs/>
          <w:sz w:val="20"/>
          <w:szCs w:val="20"/>
        </w:rPr>
      </w:pPr>
      <w:r w:rsidRPr="00823DDB">
        <w:rPr>
          <w:rFonts w:cs="Tahoma"/>
          <w:bCs/>
          <w:i/>
          <w:iCs/>
          <w:sz w:val="20"/>
          <w:szCs w:val="2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Pr="00823DDB" w:rsidR="008E0D9A" w:rsidP="008E0D9A" w:rsidRDefault="008E0D9A" w14:paraId="0136232C" w14:textId="77777777">
      <w:pPr>
        <w:autoSpaceDE w:val="0"/>
        <w:autoSpaceDN w:val="0"/>
        <w:adjustRightInd w:val="0"/>
        <w:spacing w:after="0" w:line="360" w:lineRule="auto"/>
        <w:ind w:left="567" w:right="567"/>
        <w:rPr>
          <w:rFonts w:cs="Tahoma"/>
          <w:bCs/>
          <w:i/>
          <w:iCs/>
          <w:sz w:val="20"/>
          <w:szCs w:val="20"/>
        </w:rPr>
      </w:pPr>
    </w:p>
    <w:p w:rsidRPr="00823DDB" w:rsidR="008E0D9A" w:rsidP="008E0D9A" w:rsidRDefault="008E0D9A" w14:paraId="33456CC9" w14:textId="5179A458">
      <w:pPr>
        <w:autoSpaceDE w:val="0"/>
        <w:autoSpaceDN w:val="0"/>
        <w:adjustRightInd w:val="0"/>
        <w:spacing w:after="0" w:line="360" w:lineRule="auto"/>
        <w:ind w:left="567" w:right="567"/>
        <w:rPr>
          <w:rFonts w:cs="Tahoma"/>
          <w:bCs/>
          <w:i/>
          <w:iCs/>
          <w:sz w:val="20"/>
          <w:szCs w:val="20"/>
        </w:rPr>
      </w:pPr>
      <w:r w:rsidRPr="00823DDB">
        <w:rPr>
          <w:rFonts w:cs="Tahoma"/>
          <w:bCs/>
          <w:i/>
          <w:iCs/>
          <w:sz w:val="20"/>
          <w:szCs w:val="20"/>
        </w:rPr>
        <w:t xml:space="preserve">se solicita </w:t>
      </w:r>
      <w:r w:rsidRPr="00823DDB" w:rsidR="00EE5C75">
        <w:rPr>
          <w:rFonts w:cs="Tahoma"/>
          <w:bCs/>
          <w:i/>
          <w:iCs/>
          <w:sz w:val="20"/>
          <w:szCs w:val="20"/>
        </w:rPr>
        <w:t>prórroga</w:t>
      </w:r>
      <w:r w:rsidRPr="00823DDB">
        <w:rPr>
          <w:rFonts w:cs="Tahoma"/>
          <w:bCs/>
          <w:i/>
          <w:iCs/>
          <w:sz w:val="20"/>
          <w:szCs w:val="20"/>
        </w:rPr>
        <w:t xml:space="preserve"> para seguir con la busque da la información requerida y poder proteger los datos personales que se deriven de ella para poder sesionar ante el comité de transparencia</w:t>
      </w:r>
    </w:p>
    <w:p w:rsidRPr="00823DDB" w:rsidR="00B500F6" w:rsidP="008E0D9A" w:rsidRDefault="008E0D9A" w14:paraId="2D3EF11B" w14:textId="2F68F150">
      <w:pPr>
        <w:autoSpaceDE w:val="0"/>
        <w:autoSpaceDN w:val="0"/>
        <w:adjustRightInd w:val="0"/>
        <w:spacing w:after="0" w:line="360" w:lineRule="auto"/>
        <w:ind w:left="567" w:right="567"/>
        <w:rPr>
          <w:rFonts w:cs="Tahoma"/>
          <w:bCs/>
          <w:i/>
          <w:iCs/>
          <w:sz w:val="20"/>
          <w:szCs w:val="20"/>
        </w:rPr>
      </w:pPr>
      <w:r w:rsidRPr="00823DDB">
        <w:rPr>
          <w:rFonts w:cs="Tahoma"/>
          <w:bCs/>
          <w:i/>
          <w:iCs/>
          <w:sz w:val="20"/>
          <w:szCs w:val="20"/>
        </w:rPr>
        <w:t>…” (Sic)</w:t>
      </w:r>
    </w:p>
    <w:p w:rsidRPr="00823DDB" w:rsidR="00B500F6" w:rsidP="00C853D1" w:rsidRDefault="00B500F6" w14:paraId="7E1EC057" w14:textId="77777777">
      <w:pPr>
        <w:autoSpaceDE w:val="0"/>
        <w:autoSpaceDN w:val="0"/>
        <w:adjustRightInd w:val="0"/>
        <w:spacing w:after="0" w:line="360" w:lineRule="auto"/>
        <w:rPr>
          <w:rFonts w:cs="Tahoma"/>
          <w:bCs/>
        </w:rPr>
      </w:pPr>
    </w:p>
    <w:p w:rsidRPr="00823DDB" w:rsidR="00C853D1" w:rsidP="00C853D1" w:rsidRDefault="00B500F6" w14:paraId="7488ED31" w14:textId="462E6D2A">
      <w:pPr>
        <w:autoSpaceDE w:val="0"/>
        <w:autoSpaceDN w:val="0"/>
        <w:adjustRightInd w:val="0"/>
        <w:spacing w:after="0" w:line="360" w:lineRule="auto"/>
        <w:rPr>
          <w:rFonts w:cs="Tahoma"/>
          <w:b/>
        </w:rPr>
      </w:pPr>
      <w:r w:rsidRPr="00823DDB">
        <w:rPr>
          <w:rFonts w:cs="Tahoma"/>
          <w:b/>
        </w:rPr>
        <w:t>I</w:t>
      </w:r>
      <w:r w:rsidRPr="00823DDB" w:rsidR="00C853D1">
        <w:rPr>
          <w:rFonts w:cs="Tahoma"/>
          <w:b/>
        </w:rPr>
        <w:t>II.</w:t>
      </w:r>
      <w:r w:rsidRPr="00823DDB" w:rsidR="00C853D1">
        <w:rPr>
          <w:b/>
          <w:bCs/>
        </w:rPr>
        <w:t xml:space="preserve"> Respuesta del Sujeto Obligado. </w:t>
      </w:r>
    </w:p>
    <w:p w:rsidRPr="00823DDB" w:rsidR="00C853D1" w:rsidP="00C853D1" w:rsidRDefault="00C853D1" w14:paraId="4400726D" w14:textId="77777777">
      <w:pPr>
        <w:spacing w:after="0" w:line="360" w:lineRule="auto"/>
      </w:pPr>
    </w:p>
    <w:p w:rsidRPr="00823DDB" w:rsidR="00DA6EE8" w:rsidP="00C853D1" w:rsidRDefault="00D37588" w14:paraId="426DE082" w14:textId="64A16FF6">
      <w:pPr>
        <w:spacing w:after="0" w:line="360" w:lineRule="auto"/>
      </w:pPr>
      <w:r w:rsidRPr="00823DDB">
        <w:t>Con fecha</w:t>
      </w:r>
      <w:r w:rsidRPr="00823DDB" w:rsidR="00482887">
        <w:t xml:space="preserve"> quince de diciembre de dos mil veintidós</w:t>
      </w:r>
      <w:r w:rsidRPr="00823DDB" w:rsidR="00BC2DAE">
        <w:t xml:space="preserve">, </w:t>
      </w:r>
      <w:r w:rsidRPr="00823DDB" w:rsidR="00252EF3">
        <w:t>el Sujeto Obligado notificó, a través del Sistema de Acceso a la Información Mexiquense (SAIMEX), la respuesta a la solicitud</w:t>
      </w:r>
      <w:r w:rsidRPr="00823DDB" w:rsidR="006441E1">
        <w:t xml:space="preserve"> de acceso a la información pública</w:t>
      </w:r>
      <w:r w:rsidRPr="00823DDB" w:rsidR="00252EF3">
        <w:t xml:space="preserve">, </w:t>
      </w:r>
      <w:r w:rsidRPr="00823DDB" w:rsidR="00DA6EE8">
        <w:t>señalando lo siguiente:</w:t>
      </w:r>
    </w:p>
    <w:p w:rsidRPr="00823DDB" w:rsidR="00DA6EE8" w:rsidP="00C853D1" w:rsidRDefault="00DA6EE8" w14:paraId="23B615E6" w14:textId="77777777">
      <w:pPr>
        <w:spacing w:after="0" w:line="360" w:lineRule="auto"/>
      </w:pPr>
    </w:p>
    <w:p w:rsidRPr="00823DDB" w:rsidR="00DA6EE8" w:rsidP="00DA6EE8" w:rsidRDefault="00DA6EE8" w14:paraId="20BEE16A" w14:textId="6F210716">
      <w:pPr>
        <w:spacing w:after="0" w:line="360" w:lineRule="auto"/>
        <w:ind w:left="567" w:right="567"/>
        <w:rPr>
          <w:i/>
          <w:iCs/>
          <w:sz w:val="20"/>
          <w:szCs w:val="20"/>
        </w:rPr>
      </w:pPr>
      <w:r w:rsidRPr="00823DDB">
        <w:rPr>
          <w:i/>
          <w:iCs/>
          <w:sz w:val="20"/>
          <w:szCs w:val="20"/>
        </w:rPr>
        <w:t>“…</w:t>
      </w:r>
    </w:p>
    <w:p w:rsidRPr="00823DDB" w:rsidR="00DA6EE8" w:rsidP="00DA6EE8" w:rsidRDefault="00DA6EE8" w14:paraId="2B58A499" w14:textId="378E3372">
      <w:pPr>
        <w:spacing w:after="0" w:line="360" w:lineRule="auto"/>
        <w:ind w:left="567" w:right="567"/>
        <w:rPr>
          <w:i/>
          <w:iCs/>
          <w:sz w:val="20"/>
          <w:szCs w:val="20"/>
        </w:rPr>
      </w:pPr>
      <w:r w:rsidRPr="00823DDB">
        <w:rPr>
          <w:i/>
          <w:iCs/>
          <w:sz w:val="20"/>
          <w:szCs w:val="20"/>
        </w:rPr>
        <w:lastRenderedPageBreak/>
        <w:t xml:space="preserve">En atención a la solicitud de acceso a la información pública ingresada mediante el Sistema de Acceso a la Información Mexiquense (SAIMEX), Al respecto y con fundamento en lo dispuesto por los artículo 6 de la Constitución Política de los Estados Unidos Mexicanos; 5 de la Constitución Política del Estado Libre y Soberano de México; 1, 2 fracciones II, V, y VIII, 3, 4, 11, 41 y 46 de la Ley de Transparencia y Acceso a la Información Pública del Estado de México; me permito informarle lo siguiente: Al respecto se considera que lo solicitado no es atendible a través de una solicitud de acceso a la información pública, en tanto que la respuesta a dicho requerimiento representa un ejercicio de valoración respecto de un documento específico, pues pretende que este sujeto Obligado emita un pronunciamiento sobre los efectos y los alcances que puede tener un instrumento en particular.   En ese sentido, es importante tener en cuenta que el Derecho de Acceso a la Información Pública está directamente vinculado con el principio de documentación, descrito en la parte final de la fracción I del Aparato A del Artículo 6º de la Constitución Política de los Estados Unidos Mexicanos, que es del tenor siguiente:   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 A.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-El énfasis es nuestro- El principio antes descrito incluso encuentra refuerzo en la fracción V del mismo apartado referido del artículo constitucional en comento, mismo que señala lo siguiente:   V. Los sujetos obligados deberán </w:t>
      </w:r>
      <w:r w:rsidRPr="00823DDB">
        <w:rPr>
          <w:i/>
          <w:iCs/>
          <w:sz w:val="20"/>
          <w:szCs w:val="20"/>
        </w:rPr>
        <w:lastRenderedPageBreak/>
        <w:t xml:space="preserve">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-El énfasis es nuestro_   En ese orden de ideas, la Ley de Transparencia y Acceso a la Información Pública del Estado de México y Municipios (en adelante Ley de Transparencia), define el concepto de “documento” de la siguiente manera:   Artículo 3. Para los efectos de la presente Ley se entenderá por: … 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Como puede observarse hasta este punto, lo requerido en el punto 1 de su solicitud no corresponde a información en posesión de este Sujeto Obligado, sino que representa la emisión de un pronunciamiento respecto de los alcances o posibles efectos que puede tener un documento en específico; es decir, que no se corresponde con información en posesión de este municipio.   Asimismo, se considera importante resaltar el contenido del artículo 12 de la Ley de Transparencia, el cual señala lo siguiente: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Lo anterior refuerza lo dicho hasta hora en el sentido de que el Derecho de Acceso a la Información Pública está delimitado por el Principio de Documentación; es decir, por la obligación a cargo de los sujetos Obligados de permitir el conocimiento de aquello que generan y, por lo tanto, de lo que disponen en sus archivos tal cual obra en ellos.   </w:t>
      </w:r>
      <w:r w:rsidRPr="00823DDB">
        <w:rPr>
          <w:i/>
          <w:iCs/>
          <w:sz w:val="20"/>
          <w:szCs w:val="20"/>
          <w:u w:val="single"/>
        </w:rPr>
        <w:t xml:space="preserve">De tal forma que podemos concluir que el Derecho de Acceso a la Información Pública está supeditado por un principio de Pre existencia de la información, pues no hay disposición que obligue a las entidades públicas a generar información, </w:t>
      </w:r>
      <w:r w:rsidRPr="00823DDB">
        <w:rPr>
          <w:i/>
          <w:iCs/>
          <w:sz w:val="20"/>
          <w:szCs w:val="20"/>
          <w:u w:val="single"/>
        </w:rPr>
        <w:lastRenderedPageBreak/>
        <w:t>ni mucho menos, valoraciones u opiniones de ningún tipo respecto de los alcances de un documento en específico, como en el presente caso</w:t>
      </w:r>
    </w:p>
    <w:p w:rsidRPr="00823DDB" w:rsidR="00DA6EE8" w:rsidP="00DA6EE8" w:rsidRDefault="00DA6EE8" w14:paraId="0BFA2198" w14:textId="16724C52">
      <w:pPr>
        <w:spacing w:after="0" w:line="360" w:lineRule="auto"/>
        <w:ind w:left="567" w:right="567"/>
        <w:rPr>
          <w:i/>
          <w:iCs/>
          <w:sz w:val="20"/>
          <w:szCs w:val="20"/>
        </w:rPr>
      </w:pPr>
      <w:r w:rsidRPr="00823DDB">
        <w:rPr>
          <w:i/>
          <w:iCs/>
          <w:sz w:val="20"/>
          <w:szCs w:val="20"/>
        </w:rPr>
        <w:t>…” (Sic)</w:t>
      </w:r>
    </w:p>
    <w:p w:rsidRPr="00823DDB" w:rsidR="00DA6EE8" w:rsidP="00C853D1" w:rsidRDefault="00DA6EE8" w14:paraId="179EA619" w14:textId="77777777">
      <w:pPr>
        <w:spacing w:after="0" w:line="360" w:lineRule="auto"/>
      </w:pPr>
    </w:p>
    <w:p w:rsidRPr="00823DDB" w:rsidR="00C853D1" w:rsidP="00C853D1" w:rsidRDefault="00C853D1" w14:paraId="2B803E22" w14:textId="2545A933">
      <w:pPr>
        <w:spacing w:after="0" w:line="360" w:lineRule="auto"/>
        <w:rPr>
          <w:b/>
        </w:rPr>
      </w:pPr>
      <w:r w:rsidRPr="00823DDB">
        <w:rPr>
          <w:b/>
        </w:rPr>
        <w:t>I</w:t>
      </w:r>
      <w:r w:rsidRPr="00823DDB" w:rsidR="005D65D8">
        <w:rPr>
          <w:b/>
        </w:rPr>
        <w:t>V</w:t>
      </w:r>
      <w:r w:rsidRPr="00823DDB">
        <w:rPr>
          <w:b/>
        </w:rPr>
        <w:t xml:space="preserve">. Interposición del Recurso de Revisión. </w:t>
      </w:r>
    </w:p>
    <w:p w:rsidRPr="00823DDB" w:rsidR="00C853D1" w:rsidP="000039BC" w:rsidRDefault="00C853D1" w14:paraId="71DC67DA" w14:textId="77777777">
      <w:pPr>
        <w:spacing w:after="0" w:line="240" w:lineRule="auto"/>
        <w:rPr>
          <w:bCs/>
        </w:rPr>
      </w:pPr>
    </w:p>
    <w:p w:rsidRPr="00823DDB" w:rsidR="00C853D1" w:rsidP="00C853D1" w:rsidRDefault="00C853D1" w14:paraId="2F891DAB" w14:textId="5D17FA34">
      <w:pPr>
        <w:spacing w:after="0" w:line="360" w:lineRule="auto"/>
        <w:rPr>
          <w:bCs/>
        </w:rPr>
      </w:pPr>
      <w:r w:rsidRPr="00823DDB">
        <w:rPr>
          <w:bCs/>
        </w:rPr>
        <w:t>Con fecha</w:t>
      </w:r>
      <w:r w:rsidRPr="00823DDB" w:rsidR="001D0E45">
        <w:rPr>
          <w:bCs/>
        </w:rPr>
        <w:t xml:space="preserve"> dieciséis de diciembre de dos mil veintidós, </w:t>
      </w:r>
      <w:r w:rsidRPr="00823DDB">
        <w:rPr>
          <w:bCs/>
        </w:rPr>
        <w:t xml:space="preserve">se recibió en este Instituto, a través del </w:t>
      </w:r>
      <w:r w:rsidRPr="00823DDB">
        <w:rPr>
          <w:bCs/>
          <w:lang w:val="es-ES"/>
        </w:rPr>
        <w:t>Sistema de Acceso a la Información Mexiquense (SAIMEX)</w:t>
      </w:r>
      <w:r w:rsidRPr="00823DDB">
        <w:rPr>
          <w:bCs/>
        </w:rPr>
        <w:t>, Recurso de Revisión interpuesto por la parte Recurrente, en contra de la respuesta por el Sujeto Obligado, a la solicitud de información, en los siguientes términos:</w:t>
      </w:r>
    </w:p>
    <w:p w:rsidRPr="00823DDB" w:rsidR="00C853D1" w:rsidP="00C853D1" w:rsidRDefault="00C853D1" w14:paraId="3A43EC2F" w14:textId="77777777">
      <w:pPr>
        <w:spacing w:after="0" w:line="360" w:lineRule="auto"/>
        <w:rPr>
          <w:bCs/>
        </w:rPr>
      </w:pPr>
    </w:p>
    <w:p w:rsidRPr="00823DDB" w:rsidR="00C853D1" w:rsidP="00C853D1" w:rsidRDefault="00C853D1" w14:paraId="5AC8905A" w14:textId="77777777">
      <w:pPr>
        <w:spacing w:after="0" w:line="360" w:lineRule="auto"/>
        <w:ind w:left="567" w:right="567"/>
        <w:rPr>
          <w:bCs/>
          <w:i/>
          <w:sz w:val="20"/>
          <w:szCs w:val="20"/>
        </w:rPr>
      </w:pPr>
      <w:r w:rsidRPr="00823DDB">
        <w:rPr>
          <w:b/>
          <w:bCs/>
          <w:i/>
          <w:sz w:val="20"/>
          <w:szCs w:val="20"/>
        </w:rPr>
        <w:t>“ACTO IMPUGNADO</w:t>
      </w:r>
    </w:p>
    <w:p w:rsidRPr="00823DDB" w:rsidR="00C853D1" w:rsidP="00C853D1" w:rsidRDefault="003D5AF6" w14:paraId="5B56BF42" w14:textId="7D1FC492">
      <w:pPr>
        <w:spacing w:after="0" w:line="360" w:lineRule="auto"/>
        <w:ind w:left="567" w:right="567"/>
        <w:rPr>
          <w:i/>
          <w:sz w:val="20"/>
          <w:szCs w:val="20"/>
        </w:rPr>
      </w:pPr>
      <w:r w:rsidRPr="00823DDB">
        <w:rPr>
          <w:i/>
          <w:sz w:val="20"/>
          <w:szCs w:val="20"/>
        </w:rPr>
        <w:t>La supuesta respuesta recaída a mi solicitud de información recibida por este medio el 15 de diciembre de 2022</w:t>
      </w:r>
      <w:r w:rsidRPr="00823DDB" w:rsidR="00C853D1">
        <w:rPr>
          <w:i/>
          <w:sz w:val="20"/>
          <w:szCs w:val="20"/>
        </w:rPr>
        <w:t>.” (Sic.)</w:t>
      </w:r>
    </w:p>
    <w:p w:rsidRPr="00823DDB" w:rsidR="00C853D1" w:rsidP="00C853D1" w:rsidRDefault="00C853D1" w14:paraId="29F43CC4" w14:textId="77777777">
      <w:pPr>
        <w:spacing w:after="0" w:line="360" w:lineRule="auto"/>
        <w:ind w:left="567" w:right="567"/>
        <w:rPr>
          <w:i/>
          <w:sz w:val="20"/>
          <w:szCs w:val="20"/>
        </w:rPr>
      </w:pPr>
    </w:p>
    <w:p w:rsidRPr="00823DDB" w:rsidR="00C853D1" w:rsidP="00C853D1" w:rsidRDefault="00C853D1" w14:paraId="19CBF35D" w14:textId="77777777">
      <w:pPr>
        <w:spacing w:after="0" w:line="360" w:lineRule="auto"/>
        <w:ind w:left="567" w:right="567"/>
        <w:rPr>
          <w:b/>
          <w:i/>
          <w:sz w:val="20"/>
          <w:szCs w:val="20"/>
        </w:rPr>
      </w:pPr>
      <w:r w:rsidRPr="00823DDB">
        <w:rPr>
          <w:b/>
          <w:i/>
          <w:sz w:val="20"/>
          <w:szCs w:val="20"/>
        </w:rPr>
        <w:t>“RAZONES O MOTIVOS DE LA INCONFORMIDAD</w:t>
      </w:r>
    </w:p>
    <w:p w:rsidRPr="00823DDB" w:rsidR="00682222" w:rsidP="00534F4D" w:rsidRDefault="00C47EA0" w14:paraId="08852F84" w14:textId="62930B61">
      <w:pPr>
        <w:spacing w:after="0" w:line="360" w:lineRule="auto"/>
        <w:ind w:left="567" w:right="567"/>
        <w:rPr>
          <w:i/>
          <w:sz w:val="20"/>
          <w:szCs w:val="20"/>
        </w:rPr>
      </w:pPr>
      <w:r w:rsidRPr="00823DDB">
        <w:rPr>
          <w:i/>
          <w:sz w:val="20"/>
          <w:szCs w:val="20"/>
        </w:rPr>
        <w:t xml:space="preserve">La supuesta respuesta recaída a mi solicitud de información recibida por este medio el 15 de diciembre de 2022, es del todo ilegal y violatoria de lo dispuesto en los artículos 1, 6 y 8 de la Constitución </w:t>
      </w:r>
      <w:proofErr w:type="spellStart"/>
      <w:r w:rsidRPr="00823DDB">
        <w:rPr>
          <w:i/>
          <w:sz w:val="20"/>
          <w:szCs w:val="20"/>
        </w:rPr>
        <w:t>Politica</w:t>
      </w:r>
      <w:proofErr w:type="spellEnd"/>
      <w:r w:rsidRPr="00823DDB">
        <w:rPr>
          <w:i/>
          <w:sz w:val="20"/>
          <w:szCs w:val="20"/>
        </w:rPr>
        <w:t xml:space="preserve"> de los Estados Unidos Mexicanos, en razón de que la autoridad de manera evasiva niega lo solicitado, interpretando a su favor disposiciones legales que todos conocemos, para tener un pretexto de no dar cuentas de su actuación y mucho menos anexo la documentación solicitada en mi petición, como la autorización de cambio de uso de suelo y la licencia de construcción, siendo omisa sin justificación alguna a proporcionarme dichas documentales</w:t>
      </w:r>
      <w:r w:rsidRPr="00823DDB" w:rsidR="00827B0C">
        <w:rPr>
          <w:i/>
          <w:sz w:val="20"/>
          <w:szCs w:val="20"/>
        </w:rPr>
        <w:t>.</w:t>
      </w:r>
      <w:r w:rsidRPr="00823DDB" w:rsidR="00C853D1">
        <w:rPr>
          <w:i/>
          <w:sz w:val="20"/>
          <w:szCs w:val="20"/>
        </w:rPr>
        <w:t>” (Sic.)</w:t>
      </w:r>
    </w:p>
    <w:p w:rsidRPr="00823DDB" w:rsidR="00534F4D" w:rsidP="00534F4D" w:rsidRDefault="00534F4D" w14:paraId="32499CC5" w14:textId="77777777">
      <w:pPr>
        <w:spacing w:after="0" w:line="360" w:lineRule="auto"/>
        <w:ind w:left="567" w:right="567"/>
        <w:rPr>
          <w:iCs/>
          <w:sz w:val="20"/>
          <w:szCs w:val="20"/>
        </w:rPr>
      </w:pPr>
    </w:p>
    <w:p w:rsidRPr="00823DDB" w:rsidR="00C853D1" w:rsidP="00C853D1" w:rsidRDefault="00C853D1" w14:paraId="5CD0FCF6" w14:textId="4D0FFD8B">
      <w:pPr>
        <w:spacing w:after="0" w:line="360" w:lineRule="auto"/>
        <w:rPr>
          <w:b/>
          <w:bCs/>
        </w:rPr>
      </w:pPr>
      <w:r w:rsidRPr="00823DDB">
        <w:rPr>
          <w:b/>
        </w:rPr>
        <w:t xml:space="preserve">V. </w:t>
      </w:r>
      <w:r w:rsidRPr="00823DDB">
        <w:rPr>
          <w:b/>
          <w:bCs/>
        </w:rPr>
        <w:t xml:space="preserve">Trámite del </w:t>
      </w:r>
      <w:r w:rsidRPr="00823DDB">
        <w:rPr>
          <w:b/>
        </w:rPr>
        <w:t xml:space="preserve">Recurso de Revisión </w:t>
      </w:r>
      <w:r w:rsidRPr="00823DDB">
        <w:rPr>
          <w:b/>
          <w:bCs/>
        </w:rPr>
        <w:t>ante este Instituto.</w:t>
      </w:r>
    </w:p>
    <w:p w:rsidRPr="00823DDB" w:rsidR="00C853D1" w:rsidP="00C853D1" w:rsidRDefault="00C853D1" w14:paraId="58854E98" w14:textId="77777777">
      <w:pPr>
        <w:spacing w:after="0" w:line="360" w:lineRule="auto"/>
        <w:rPr>
          <w:b/>
          <w:bCs/>
        </w:rPr>
      </w:pPr>
    </w:p>
    <w:p w:rsidRPr="00823DDB" w:rsidR="00C853D1" w:rsidP="00C853D1" w:rsidRDefault="00C853D1" w14:paraId="0D250646" w14:textId="2DEE29DB">
      <w:pPr>
        <w:spacing w:after="0" w:line="360" w:lineRule="auto"/>
        <w:rPr>
          <w:b/>
          <w:bCs/>
        </w:rPr>
      </w:pPr>
      <w:r w:rsidRPr="00823DDB">
        <w:rPr>
          <w:b/>
          <w:bCs/>
        </w:rPr>
        <w:t xml:space="preserve">a) Turno del Medio de Impugnación. </w:t>
      </w:r>
      <w:r w:rsidRPr="00823DDB">
        <w:rPr>
          <w:bCs/>
        </w:rPr>
        <w:t xml:space="preserve">El </w:t>
      </w:r>
      <w:r w:rsidRPr="00823DDB" w:rsidR="00F815C8">
        <w:rPr>
          <w:bCs/>
        </w:rPr>
        <w:t>dieciséis de diciembre de dos mil veintidós</w:t>
      </w:r>
      <w:r w:rsidRPr="00823DDB">
        <w:rPr>
          <w:bCs/>
        </w:rPr>
        <w:t xml:space="preserve">, el </w:t>
      </w:r>
      <w:r w:rsidRPr="00823DDB">
        <w:rPr>
          <w:lang w:val="es-ES"/>
        </w:rPr>
        <w:t>Sistema de Acceso a la Información Mexiquense (SAIMEX),</w:t>
      </w:r>
      <w:r w:rsidRPr="00823DDB">
        <w:rPr>
          <w:bCs/>
        </w:rPr>
        <w:t xml:space="preserve"> asignó el número de expediente </w:t>
      </w:r>
      <w:r w:rsidRPr="00823DDB" w:rsidR="005622BA">
        <w:rPr>
          <w:b/>
          <w:bCs/>
        </w:rPr>
        <w:lastRenderedPageBreak/>
        <w:t>17386/INFOEM/IP/RR/2022</w:t>
      </w:r>
      <w:r w:rsidRPr="00823DDB">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823DDB" w:rsidR="00C853D1" w:rsidP="00C853D1" w:rsidRDefault="00C853D1" w14:paraId="606E51DE" w14:textId="77777777">
      <w:pPr>
        <w:spacing w:after="0" w:line="360" w:lineRule="auto"/>
        <w:rPr>
          <w:bCs/>
        </w:rPr>
      </w:pPr>
    </w:p>
    <w:p w:rsidRPr="00823DDB" w:rsidR="00C853D1" w:rsidP="00C853D1" w:rsidRDefault="00C853D1" w14:paraId="03479276" w14:textId="19F80C25">
      <w:pPr>
        <w:spacing w:after="0" w:line="360" w:lineRule="auto"/>
      </w:pPr>
      <w:r w:rsidRPr="00823DDB">
        <w:rPr>
          <w:b/>
          <w:bCs/>
        </w:rPr>
        <w:t>b) Admisión del Recurso de Revisión</w:t>
      </w:r>
      <w:r w:rsidRPr="00823DDB">
        <w:rPr>
          <w:b/>
          <w:bCs/>
          <w:lang w:val="es-ES_tradnl"/>
        </w:rPr>
        <w:t xml:space="preserve">. </w:t>
      </w:r>
      <w:r w:rsidRPr="00823DDB">
        <w:rPr>
          <w:bCs/>
          <w:lang w:val="es-ES_tradnl"/>
        </w:rPr>
        <w:t xml:space="preserve">El </w:t>
      </w:r>
      <w:r w:rsidRPr="00823DDB" w:rsidR="002854F3">
        <w:rPr>
          <w:bCs/>
          <w:lang w:val="es-ES_tradnl"/>
        </w:rPr>
        <w:t>veintiuno de diciembre de dos mil veintidós</w:t>
      </w:r>
      <w:r w:rsidRPr="00823DDB">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823DDB" w:rsidR="00C853D1" w:rsidP="00C853D1" w:rsidRDefault="00C853D1" w14:paraId="6BCA600D" w14:textId="77777777">
      <w:pPr>
        <w:spacing w:after="0" w:line="360" w:lineRule="auto"/>
      </w:pPr>
    </w:p>
    <w:p w:rsidRPr="00823DDB" w:rsidR="008D093A" w:rsidP="00C853D1" w:rsidRDefault="00C853D1" w14:paraId="2D1C38A7" w14:textId="79254204">
      <w:pPr>
        <w:spacing w:after="0" w:line="360" w:lineRule="auto"/>
        <w:rPr>
          <w:bCs/>
          <w:lang w:val="es-ES_tradnl"/>
        </w:rPr>
      </w:pPr>
      <w:r w:rsidRPr="00823DDB">
        <w:rPr>
          <w:b/>
        </w:rPr>
        <w:t xml:space="preserve">c) Informe Justificado. </w:t>
      </w:r>
      <w:r w:rsidRPr="00823DDB" w:rsidR="006507ED">
        <w:rPr>
          <w:bCs/>
        </w:rPr>
        <w:t>El</w:t>
      </w:r>
      <w:r w:rsidRPr="00823DDB" w:rsidR="008D093A">
        <w:rPr>
          <w:bCs/>
        </w:rPr>
        <w:t xml:space="preserve"> dieciséis de enero de dos mil veintitrés, </w:t>
      </w:r>
      <w:r w:rsidRPr="00823DDB" w:rsidR="00E8346C">
        <w:rPr>
          <w:bCs/>
        </w:rPr>
        <w:t>el Sujeto Obligado rindió su Informe Justificado,</w:t>
      </w:r>
      <w:r w:rsidRPr="00823DDB" w:rsidR="008D093A">
        <w:rPr>
          <w:bCs/>
        </w:rPr>
        <w:t xml:space="preserve"> el cual fue notificado </w:t>
      </w:r>
      <w:r w:rsidRPr="00823DDB" w:rsidR="001F2D62">
        <w:rPr>
          <w:bCs/>
        </w:rPr>
        <w:t xml:space="preserve">mediante el </w:t>
      </w:r>
      <w:r w:rsidRPr="00823DDB" w:rsidR="008D093A">
        <w:rPr>
          <w:bCs/>
          <w:lang w:val="es-ES_tradnl"/>
        </w:rPr>
        <w:t>Sistema de Acceso a la Información Mexiquense (SAIMEX)</w:t>
      </w:r>
      <w:r w:rsidRPr="00823DDB" w:rsidR="001F2D62">
        <w:rPr>
          <w:bCs/>
          <w:lang w:val="es-ES_tradnl"/>
        </w:rPr>
        <w:t xml:space="preserve">, a través </w:t>
      </w:r>
      <w:r w:rsidRPr="00823DDB" w:rsidR="0076796D">
        <w:rPr>
          <w:bCs/>
          <w:lang w:val="es-ES_tradnl"/>
        </w:rPr>
        <w:t>del oficio con número de referencia: D</w:t>
      </w:r>
      <w:r w:rsidRPr="00823DDB" w:rsidR="00DB51EB">
        <w:rPr>
          <w:bCs/>
          <w:lang w:val="es-ES_tradnl"/>
        </w:rPr>
        <w:t>GDU/070/2023, de fecha diez de enero de dos mil veintitrés, emitido y rubricado por el Director de General de Desarrollo Urbano</w:t>
      </w:r>
      <w:r w:rsidRPr="00823DDB" w:rsidR="00D0456C">
        <w:rPr>
          <w:bCs/>
          <w:lang w:val="es-ES_tradnl"/>
        </w:rPr>
        <w:t xml:space="preserve">, el cual es dirigido al Titular de la Unidad de Transparencia, </w:t>
      </w:r>
      <w:r w:rsidRPr="00823DDB" w:rsidR="00761BD8">
        <w:rPr>
          <w:bCs/>
          <w:lang w:val="es-ES_tradnl"/>
        </w:rPr>
        <w:t>mediante el cual manifiesta y expone:</w:t>
      </w:r>
    </w:p>
    <w:p w:rsidRPr="00823DDB" w:rsidR="00761BD8" w:rsidP="00C853D1" w:rsidRDefault="00761BD8" w14:paraId="521DA1E6" w14:textId="77777777">
      <w:pPr>
        <w:spacing w:after="0" w:line="360" w:lineRule="auto"/>
        <w:rPr>
          <w:bCs/>
          <w:lang w:val="es-ES_tradnl"/>
        </w:rPr>
      </w:pPr>
    </w:p>
    <w:p w:rsidRPr="00823DDB" w:rsidR="001F2D62" w:rsidP="00A650D4" w:rsidRDefault="00761BD8" w14:paraId="4ACE7BAD" w14:textId="5CD31DB6">
      <w:pPr>
        <w:spacing w:after="0" w:line="360" w:lineRule="auto"/>
        <w:ind w:left="567" w:right="567"/>
        <w:rPr>
          <w:bCs/>
          <w:i/>
          <w:iCs/>
          <w:sz w:val="20"/>
          <w:szCs w:val="20"/>
          <w:lang w:val="es-ES_tradnl"/>
        </w:rPr>
      </w:pPr>
      <w:r w:rsidRPr="00823DDB">
        <w:rPr>
          <w:bCs/>
          <w:i/>
          <w:iCs/>
          <w:sz w:val="20"/>
          <w:szCs w:val="20"/>
          <w:lang w:val="es-ES_tradnl"/>
        </w:rPr>
        <w:t>“…</w:t>
      </w:r>
    </w:p>
    <w:p w:rsidRPr="00823DDB" w:rsidR="00761BD8" w:rsidP="00A650D4" w:rsidRDefault="00F81B21" w14:paraId="4DF9D724" w14:textId="64C52A85">
      <w:pPr>
        <w:spacing w:after="0" w:line="360" w:lineRule="auto"/>
        <w:ind w:left="567" w:right="567"/>
        <w:rPr>
          <w:bCs/>
          <w:i/>
          <w:iCs/>
          <w:sz w:val="20"/>
          <w:szCs w:val="20"/>
          <w:lang w:val="es-ES_tradnl"/>
        </w:rPr>
      </w:pPr>
      <w:r w:rsidRPr="00823DDB">
        <w:rPr>
          <w:bCs/>
          <w:i/>
          <w:iCs/>
          <w:sz w:val="20"/>
          <w:szCs w:val="20"/>
          <w:lang w:val="es-ES_tradnl"/>
        </w:rPr>
        <w:t xml:space="preserve">Por lo anterior le informo que se envía proyecto de acuerdo de versión pública sobre, clasificar como confidencial los datos personales que se encuentren </w:t>
      </w:r>
      <w:r w:rsidRPr="00823DDB" w:rsidR="00AE264D">
        <w:rPr>
          <w:bCs/>
          <w:i/>
          <w:iCs/>
          <w:sz w:val="20"/>
          <w:szCs w:val="20"/>
          <w:lang w:val="es-ES_tradnl"/>
        </w:rPr>
        <w:t>plasmados licencia municipal de construcción prorroga licencia de obra nueva DGDU/D</w:t>
      </w:r>
      <w:r w:rsidRPr="00823DDB" w:rsidR="00112439">
        <w:rPr>
          <w:bCs/>
          <w:i/>
          <w:iCs/>
          <w:sz w:val="20"/>
          <w:szCs w:val="20"/>
          <w:lang w:val="es-ES_tradnl"/>
        </w:rPr>
        <w:t>LC/0502A y constancia de terminación de obra (</w:t>
      </w:r>
      <w:r w:rsidRPr="00823DDB" w:rsidR="006807CA">
        <w:rPr>
          <w:bCs/>
          <w:i/>
          <w:iCs/>
          <w:sz w:val="20"/>
          <w:szCs w:val="20"/>
          <w:lang w:val="es-ES_tradnl"/>
        </w:rPr>
        <w:t>constancia de terminación de modificación ampliación y excavación) DGDU/DLC</w:t>
      </w:r>
      <w:r w:rsidRPr="00823DDB" w:rsidR="00917D34">
        <w:rPr>
          <w:bCs/>
          <w:i/>
          <w:iCs/>
          <w:sz w:val="20"/>
          <w:szCs w:val="20"/>
          <w:lang w:val="es-ES_tradnl"/>
        </w:rPr>
        <w:t xml:space="preserve">/0502B ya que para dar respuesta de dicha información </w:t>
      </w:r>
      <w:r w:rsidRPr="00823DDB" w:rsidR="00CD2A4C">
        <w:rPr>
          <w:bCs/>
          <w:i/>
          <w:iCs/>
          <w:sz w:val="20"/>
          <w:szCs w:val="20"/>
          <w:lang w:val="es-ES_tradnl"/>
        </w:rPr>
        <w:t xml:space="preserve">contienen datos personales, sensibles y confidenciales dignos </w:t>
      </w:r>
      <w:r w:rsidRPr="00823DDB" w:rsidR="00CD2A4C">
        <w:rPr>
          <w:bCs/>
          <w:i/>
          <w:iCs/>
          <w:sz w:val="20"/>
          <w:szCs w:val="20"/>
          <w:lang w:val="es-ES_tradnl"/>
        </w:rPr>
        <w:lastRenderedPageBreak/>
        <w:t>de ser suprimidos, lo anterior a fin de solicitar al Comité de Transparencia la aprobación de dicho acuerdo para no incurrir en responsabilidad.</w:t>
      </w:r>
    </w:p>
    <w:p w:rsidRPr="00823DDB" w:rsidR="00CD2A4C" w:rsidP="00A650D4" w:rsidRDefault="00CD2A4C" w14:paraId="5DFBF2D5" w14:textId="77777777">
      <w:pPr>
        <w:spacing w:after="0" w:line="360" w:lineRule="auto"/>
        <w:ind w:left="567" w:right="567"/>
        <w:rPr>
          <w:bCs/>
          <w:i/>
          <w:iCs/>
          <w:sz w:val="20"/>
          <w:szCs w:val="20"/>
          <w:lang w:val="es-ES_tradnl"/>
        </w:rPr>
      </w:pPr>
    </w:p>
    <w:p w:rsidRPr="00823DDB" w:rsidR="00CD2A4C" w:rsidP="00A650D4" w:rsidRDefault="001A5251" w14:paraId="7C1731BC" w14:textId="7E964F80">
      <w:pPr>
        <w:spacing w:after="0" w:line="360" w:lineRule="auto"/>
        <w:ind w:left="567" w:right="567"/>
        <w:rPr>
          <w:bCs/>
          <w:i/>
          <w:iCs/>
          <w:sz w:val="20"/>
          <w:szCs w:val="20"/>
          <w:lang w:val="es-ES_tradnl"/>
        </w:rPr>
      </w:pPr>
      <w:r w:rsidRPr="00823DDB">
        <w:rPr>
          <w:bCs/>
          <w:i/>
          <w:iCs/>
          <w:sz w:val="20"/>
          <w:szCs w:val="20"/>
          <w:lang w:val="es-ES_tradnl"/>
        </w:rPr>
        <w:t xml:space="preserve">En lo que respecta al informe detallado de porque la Dirección de Desarrollo Urbano del Municipio de Naucalpan de Juárez, Estado de México, expido el cambio de uso de suelo y la licencia de construcción para realizar </w:t>
      </w:r>
      <w:r w:rsidRPr="00823DDB" w:rsidR="00751ECC">
        <w:rPr>
          <w:bCs/>
          <w:i/>
          <w:iCs/>
          <w:sz w:val="20"/>
          <w:szCs w:val="20"/>
          <w:lang w:val="es-ES_tradnl"/>
        </w:rPr>
        <w:t xml:space="preserve">dicha obra. Al respecto se considera que lo solicitado no es atendible a través de una solicitud </w:t>
      </w:r>
      <w:r w:rsidRPr="00823DDB" w:rsidR="00873FD0">
        <w:rPr>
          <w:bCs/>
          <w:i/>
          <w:iCs/>
          <w:sz w:val="20"/>
          <w:szCs w:val="20"/>
          <w:lang w:val="es-ES_tradnl"/>
        </w:rPr>
        <w:t>de acceso a la información pública, en tanto que la respuesta a dicho requerimiento representa un ejercicio de valoración respecto de un documento especifico</w:t>
      </w:r>
      <w:r w:rsidRPr="00823DDB" w:rsidR="009B2397">
        <w:rPr>
          <w:bCs/>
          <w:i/>
          <w:iCs/>
          <w:sz w:val="20"/>
          <w:szCs w:val="20"/>
          <w:lang w:val="es-ES_tradnl"/>
        </w:rPr>
        <w:t>, pues pretende que este Sujeto Obligado emita un pronunciamiento sobre los efectos y los alcances que pueden tener un instrumento en particular.</w:t>
      </w:r>
    </w:p>
    <w:p w:rsidRPr="00823DDB" w:rsidR="009B2397" w:rsidP="00A650D4" w:rsidRDefault="009B2397" w14:paraId="07C781CD" w14:textId="77777777">
      <w:pPr>
        <w:spacing w:after="0" w:line="360" w:lineRule="auto"/>
        <w:ind w:left="567" w:right="567"/>
        <w:rPr>
          <w:bCs/>
          <w:i/>
          <w:iCs/>
          <w:sz w:val="20"/>
          <w:szCs w:val="20"/>
          <w:lang w:val="es-ES_tradnl"/>
        </w:rPr>
      </w:pPr>
    </w:p>
    <w:p w:rsidRPr="00823DDB" w:rsidR="00C1337A" w:rsidP="00A650D4" w:rsidRDefault="00C1337A" w14:paraId="0E3ABA25" w14:textId="425578DC">
      <w:pPr>
        <w:spacing w:after="0" w:line="360" w:lineRule="auto"/>
        <w:ind w:left="567" w:right="567"/>
        <w:rPr>
          <w:bCs/>
          <w:i/>
          <w:iCs/>
          <w:sz w:val="20"/>
          <w:szCs w:val="20"/>
          <w:lang w:val="es-ES_tradnl"/>
        </w:rPr>
      </w:pPr>
      <w:r w:rsidRPr="00823DDB">
        <w:rPr>
          <w:bCs/>
          <w:i/>
          <w:iCs/>
          <w:sz w:val="20"/>
          <w:szCs w:val="20"/>
          <w:lang w:val="es-ES_tradnl"/>
        </w:rPr>
        <w:t xml:space="preserve">Tercera. – Derivado de la búsqueda se </w:t>
      </w:r>
      <w:proofErr w:type="spellStart"/>
      <w:r w:rsidRPr="00823DDB">
        <w:rPr>
          <w:bCs/>
          <w:i/>
          <w:iCs/>
          <w:sz w:val="20"/>
          <w:szCs w:val="20"/>
          <w:lang w:val="es-ES_tradnl"/>
        </w:rPr>
        <w:t>detecto</w:t>
      </w:r>
      <w:proofErr w:type="spellEnd"/>
      <w:r w:rsidRPr="00823DDB">
        <w:rPr>
          <w:bCs/>
          <w:i/>
          <w:iCs/>
          <w:sz w:val="20"/>
          <w:szCs w:val="20"/>
          <w:lang w:val="es-ES_tradnl"/>
        </w:rPr>
        <w:t xml:space="preserve"> la prorroga licencia de obra nueva DGDU/D</w:t>
      </w:r>
      <w:r w:rsidRPr="00823DDB" w:rsidR="00771CC7">
        <w:rPr>
          <w:bCs/>
          <w:i/>
          <w:iCs/>
          <w:sz w:val="20"/>
          <w:szCs w:val="20"/>
          <w:lang w:val="es-ES_tradnl"/>
        </w:rPr>
        <w:t xml:space="preserve">LC/0502A y constancia de terminación de obra (Constancia de terminación de </w:t>
      </w:r>
      <w:r w:rsidRPr="00823DDB" w:rsidR="00D74D73">
        <w:rPr>
          <w:bCs/>
          <w:i/>
          <w:iCs/>
          <w:sz w:val="20"/>
          <w:szCs w:val="20"/>
          <w:lang w:val="es-ES_tradnl"/>
        </w:rPr>
        <w:t xml:space="preserve">modificación, ampliación y </w:t>
      </w:r>
      <w:r w:rsidRPr="00823DDB" w:rsidR="00466BB7">
        <w:rPr>
          <w:bCs/>
          <w:i/>
          <w:iCs/>
          <w:sz w:val="20"/>
          <w:szCs w:val="20"/>
          <w:lang w:val="es-ES_tradnl"/>
        </w:rPr>
        <w:t>excavación) DGDU/DLC/0502B, emitida por la Dirección General de Desarrollo Urbano.</w:t>
      </w:r>
    </w:p>
    <w:p w:rsidRPr="00823DDB" w:rsidR="00466BB7" w:rsidP="00A650D4" w:rsidRDefault="00466BB7" w14:paraId="7F12294D" w14:textId="77777777">
      <w:pPr>
        <w:spacing w:after="0" w:line="360" w:lineRule="auto"/>
        <w:ind w:left="567" w:right="567"/>
        <w:rPr>
          <w:bCs/>
          <w:i/>
          <w:iCs/>
          <w:sz w:val="20"/>
          <w:szCs w:val="20"/>
          <w:lang w:val="es-ES_tradnl"/>
        </w:rPr>
      </w:pPr>
    </w:p>
    <w:p w:rsidRPr="00823DDB" w:rsidR="00466BB7" w:rsidP="00A650D4" w:rsidRDefault="00D94A1D" w14:paraId="5B09AE37" w14:textId="5B8C1E8D">
      <w:pPr>
        <w:spacing w:after="0" w:line="360" w:lineRule="auto"/>
        <w:ind w:left="567" w:right="567"/>
        <w:rPr>
          <w:bCs/>
          <w:i/>
          <w:iCs/>
          <w:sz w:val="20"/>
          <w:szCs w:val="20"/>
          <w:lang w:val="es-ES_tradnl"/>
        </w:rPr>
      </w:pPr>
      <w:r w:rsidRPr="00823DDB">
        <w:rPr>
          <w:bCs/>
          <w:i/>
          <w:iCs/>
          <w:sz w:val="20"/>
          <w:szCs w:val="20"/>
          <w:lang w:val="es-ES_tradnl"/>
        </w:rPr>
        <w:t>Cuarta. –</w:t>
      </w:r>
      <w:r w:rsidRPr="00823DDB" w:rsidR="00466BB7">
        <w:rPr>
          <w:bCs/>
          <w:i/>
          <w:iCs/>
          <w:sz w:val="20"/>
          <w:szCs w:val="20"/>
          <w:lang w:val="es-ES_tradnl"/>
        </w:rPr>
        <w:t xml:space="preserve"> </w:t>
      </w:r>
      <w:r w:rsidRPr="00823DDB">
        <w:rPr>
          <w:bCs/>
          <w:i/>
          <w:iCs/>
          <w:sz w:val="20"/>
          <w:szCs w:val="20"/>
          <w:lang w:val="es-ES_tradnl"/>
        </w:rPr>
        <w:t xml:space="preserve">Ahora bien, por las consideraciones vertidas, en la solicitud y de conformidad al artículo 12 y 158 </w:t>
      </w:r>
      <w:r w:rsidRPr="00823DDB" w:rsidR="00F830D5">
        <w:rPr>
          <w:bCs/>
          <w:i/>
          <w:iCs/>
          <w:sz w:val="20"/>
          <w:szCs w:val="20"/>
          <w:lang w:val="es-ES_tradnl"/>
        </w:rPr>
        <w:t>de la Ley de Transparencia y Acceso a la Información Pública del Estado de México y Municipios</w:t>
      </w:r>
      <w:r w:rsidRPr="00823DDB" w:rsidR="003D0E52">
        <w:rPr>
          <w:bCs/>
          <w:i/>
          <w:iCs/>
          <w:sz w:val="20"/>
          <w:szCs w:val="20"/>
          <w:lang w:val="es-ES_tradnl"/>
        </w:rPr>
        <w:t xml:space="preserve">, se </w:t>
      </w:r>
      <w:proofErr w:type="spellStart"/>
      <w:r w:rsidRPr="00823DDB" w:rsidR="003D0E52">
        <w:rPr>
          <w:bCs/>
          <w:i/>
          <w:iCs/>
          <w:sz w:val="20"/>
          <w:szCs w:val="20"/>
          <w:lang w:val="es-ES_tradnl"/>
        </w:rPr>
        <w:t>determino</w:t>
      </w:r>
      <w:proofErr w:type="spellEnd"/>
      <w:r w:rsidRPr="00823DDB" w:rsidR="003D0E52">
        <w:rPr>
          <w:bCs/>
          <w:i/>
          <w:iCs/>
          <w:sz w:val="20"/>
          <w:szCs w:val="20"/>
          <w:lang w:val="es-ES_tradnl"/>
        </w:rPr>
        <w:t xml:space="preserve"> hacer entrega de la licencia municipal </w:t>
      </w:r>
      <w:r w:rsidRPr="00823DDB" w:rsidR="003B7E84">
        <w:rPr>
          <w:bCs/>
          <w:i/>
          <w:iCs/>
          <w:sz w:val="20"/>
          <w:szCs w:val="20"/>
          <w:lang w:val="es-ES_tradnl"/>
        </w:rPr>
        <w:t>de construcción prorroga licencia de obra nueva DLC</w:t>
      </w:r>
      <w:r w:rsidRPr="00823DDB" w:rsidR="002867A3">
        <w:rPr>
          <w:bCs/>
          <w:i/>
          <w:iCs/>
          <w:sz w:val="20"/>
          <w:szCs w:val="20"/>
          <w:lang w:val="es-ES_tradnl"/>
        </w:rPr>
        <w:t>/0502A Y constancia de terminación de obra (constancia de</w:t>
      </w:r>
      <w:r w:rsidRPr="00823DDB" w:rsidR="005E4376">
        <w:rPr>
          <w:bCs/>
          <w:i/>
          <w:iCs/>
          <w:sz w:val="20"/>
          <w:szCs w:val="20"/>
          <w:lang w:val="es-ES_tradnl"/>
        </w:rPr>
        <w:t xml:space="preserve"> modificación ampliación y excavación) DGDU</w:t>
      </w:r>
      <w:r w:rsidRPr="00823DDB" w:rsidR="00F63277">
        <w:rPr>
          <w:bCs/>
          <w:i/>
          <w:iCs/>
          <w:sz w:val="20"/>
          <w:szCs w:val="20"/>
          <w:lang w:val="es-ES_tradnl"/>
        </w:rPr>
        <w:t>/DLC</w:t>
      </w:r>
      <w:r w:rsidRPr="00823DDB" w:rsidR="0001496F">
        <w:rPr>
          <w:bCs/>
          <w:i/>
          <w:iCs/>
          <w:sz w:val="20"/>
          <w:szCs w:val="20"/>
          <w:lang w:val="es-ES_tradnl"/>
        </w:rPr>
        <w:t xml:space="preserve">/0502B. </w:t>
      </w:r>
    </w:p>
    <w:p w:rsidRPr="00823DDB" w:rsidR="0001496F" w:rsidP="00A650D4" w:rsidRDefault="0001496F" w14:paraId="3B2E424E" w14:textId="77777777">
      <w:pPr>
        <w:spacing w:after="0" w:line="360" w:lineRule="auto"/>
        <w:ind w:left="567" w:right="567"/>
        <w:rPr>
          <w:bCs/>
          <w:i/>
          <w:iCs/>
          <w:sz w:val="20"/>
          <w:szCs w:val="20"/>
          <w:lang w:val="es-ES_tradnl"/>
        </w:rPr>
      </w:pPr>
    </w:p>
    <w:p w:rsidRPr="00823DDB" w:rsidR="0001496F" w:rsidP="00A650D4" w:rsidRDefault="0001496F" w14:paraId="754BAF95" w14:textId="45AA9BA5">
      <w:pPr>
        <w:spacing w:after="0" w:line="360" w:lineRule="auto"/>
        <w:ind w:left="567" w:right="567"/>
        <w:rPr>
          <w:bCs/>
          <w:i/>
          <w:iCs/>
          <w:sz w:val="20"/>
          <w:szCs w:val="20"/>
          <w:lang w:val="es-ES_tradnl"/>
        </w:rPr>
      </w:pPr>
      <w:r w:rsidRPr="00823DDB">
        <w:rPr>
          <w:bCs/>
          <w:i/>
          <w:iCs/>
          <w:sz w:val="20"/>
          <w:szCs w:val="20"/>
          <w:lang w:val="es-ES_tradnl"/>
        </w:rPr>
        <w:t xml:space="preserve">Por lo que, se </w:t>
      </w:r>
      <w:proofErr w:type="spellStart"/>
      <w:r w:rsidRPr="00823DDB">
        <w:rPr>
          <w:bCs/>
          <w:i/>
          <w:iCs/>
          <w:sz w:val="20"/>
          <w:szCs w:val="20"/>
          <w:lang w:val="es-ES_tradnl"/>
        </w:rPr>
        <w:t>determino</w:t>
      </w:r>
      <w:proofErr w:type="spellEnd"/>
      <w:r w:rsidRPr="00823DDB">
        <w:rPr>
          <w:bCs/>
          <w:i/>
          <w:iCs/>
          <w:sz w:val="20"/>
          <w:szCs w:val="20"/>
          <w:lang w:val="es-ES_tradnl"/>
        </w:rPr>
        <w:t xml:space="preserve"> que existe información que de acuerdo a la Ley de </w:t>
      </w:r>
      <w:r w:rsidRPr="00823DDB" w:rsidR="00D45400">
        <w:rPr>
          <w:bCs/>
          <w:i/>
          <w:iCs/>
          <w:sz w:val="20"/>
          <w:szCs w:val="20"/>
          <w:lang w:val="es-ES_tradnl"/>
        </w:rPr>
        <w:t>Transparencia y Acceso a la Información Pública del Estado de México y Municipios,</w:t>
      </w:r>
      <w:r w:rsidRPr="00823DDB" w:rsidR="00074FD8">
        <w:rPr>
          <w:bCs/>
          <w:i/>
          <w:iCs/>
          <w:sz w:val="20"/>
          <w:szCs w:val="20"/>
          <w:lang w:val="es-ES_tradnl"/>
        </w:rPr>
        <w:t xml:space="preserve"> es considerada como DATOS PERSONALES Y CONFIDENCIALES. Concernientes en:</w:t>
      </w:r>
    </w:p>
    <w:p w:rsidRPr="00823DDB" w:rsidR="00074FD8" w:rsidP="00A650D4" w:rsidRDefault="00074FD8" w14:paraId="56623735" w14:textId="77777777">
      <w:pPr>
        <w:spacing w:after="0" w:line="360" w:lineRule="auto"/>
        <w:ind w:left="567" w:right="567"/>
        <w:rPr>
          <w:bCs/>
          <w:i/>
          <w:iCs/>
          <w:sz w:val="20"/>
          <w:szCs w:val="20"/>
          <w:lang w:val="es-ES_tradnl"/>
        </w:rPr>
      </w:pPr>
    </w:p>
    <w:p w:rsidRPr="00823DDB" w:rsidR="00C1337A" w:rsidP="00A650D4" w:rsidRDefault="00A650D4" w14:paraId="69D6E629" w14:textId="69782F1C">
      <w:pPr>
        <w:spacing w:after="0" w:line="360" w:lineRule="auto"/>
        <w:ind w:left="567" w:right="567"/>
        <w:jc w:val="center"/>
        <w:rPr>
          <w:bCs/>
          <w:i/>
          <w:iCs/>
          <w:sz w:val="20"/>
          <w:szCs w:val="20"/>
          <w:lang w:val="es-ES_tradnl"/>
        </w:rPr>
      </w:pPr>
      <w:r w:rsidRPr="00823DDB">
        <w:rPr>
          <w:bCs/>
          <w:i/>
          <w:iCs/>
          <w:noProof/>
          <w:sz w:val="20"/>
          <w:szCs w:val="20"/>
          <w:lang w:eastAsia="es-MX"/>
        </w:rPr>
        <w:drawing>
          <wp:inline distT="0" distB="0" distL="0" distR="0" wp14:anchorId="0A0F33F0" wp14:editId="2EEB1331">
            <wp:extent cx="3162414" cy="942975"/>
            <wp:effectExtent l="0" t="0" r="0" b="0"/>
            <wp:docPr id="79864900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49004"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194017" cy="952398"/>
                    </a:xfrm>
                    <a:prstGeom prst="rect">
                      <a:avLst/>
                    </a:prstGeom>
                  </pic:spPr>
                </pic:pic>
              </a:graphicData>
            </a:graphic>
          </wp:inline>
        </w:drawing>
      </w:r>
    </w:p>
    <w:p w:rsidRPr="00823DDB" w:rsidR="00A650D4" w:rsidP="00A650D4" w:rsidRDefault="00A650D4" w14:paraId="14695C7E" w14:textId="77777777">
      <w:pPr>
        <w:spacing w:after="0" w:line="360" w:lineRule="auto"/>
        <w:ind w:left="567" w:right="567"/>
        <w:jc w:val="center"/>
        <w:rPr>
          <w:bCs/>
          <w:i/>
          <w:iCs/>
          <w:sz w:val="20"/>
          <w:szCs w:val="20"/>
          <w:lang w:val="es-ES_tradnl"/>
        </w:rPr>
      </w:pPr>
    </w:p>
    <w:p w:rsidRPr="00823DDB" w:rsidR="009B2397" w:rsidP="00A650D4" w:rsidRDefault="00A650D4" w14:paraId="12D3EBC5" w14:textId="1ACE34DA">
      <w:pPr>
        <w:spacing w:after="0" w:line="360" w:lineRule="auto"/>
        <w:ind w:left="567" w:right="567"/>
        <w:jc w:val="center"/>
        <w:rPr>
          <w:bCs/>
          <w:i/>
          <w:iCs/>
          <w:sz w:val="20"/>
          <w:szCs w:val="20"/>
          <w:lang w:val="es-ES_tradnl"/>
        </w:rPr>
      </w:pPr>
      <w:r w:rsidRPr="00823DDB">
        <w:rPr>
          <w:bCs/>
          <w:i/>
          <w:iCs/>
          <w:sz w:val="20"/>
          <w:szCs w:val="20"/>
          <w:lang w:val="es-ES_tradnl"/>
        </w:rPr>
        <w:t>ACUERDO</w:t>
      </w:r>
    </w:p>
    <w:p w:rsidRPr="00823DDB" w:rsidR="00E32F19" w:rsidP="00A650D4" w:rsidRDefault="00E32F19" w14:paraId="7C7097C0" w14:textId="77777777">
      <w:pPr>
        <w:spacing w:after="0" w:line="360" w:lineRule="auto"/>
        <w:ind w:left="567" w:right="567"/>
        <w:rPr>
          <w:bCs/>
          <w:i/>
          <w:iCs/>
          <w:sz w:val="20"/>
          <w:szCs w:val="20"/>
          <w:lang w:val="es-ES_tradnl"/>
        </w:rPr>
      </w:pPr>
    </w:p>
    <w:p w:rsidRPr="00823DDB" w:rsidR="008D64AC" w:rsidP="00A650D4" w:rsidRDefault="00E32F19" w14:paraId="7A1CB307" w14:textId="2C283C09">
      <w:pPr>
        <w:spacing w:after="0" w:line="360" w:lineRule="auto"/>
        <w:ind w:left="567" w:right="567"/>
        <w:rPr>
          <w:bCs/>
          <w:i/>
          <w:iCs/>
          <w:sz w:val="20"/>
          <w:szCs w:val="20"/>
          <w:lang w:val="es-ES_tradnl"/>
        </w:rPr>
      </w:pPr>
      <w:r w:rsidRPr="00823DDB">
        <w:rPr>
          <w:bCs/>
          <w:i/>
          <w:iCs/>
          <w:sz w:val="20"/>
          <w:szCs w:val="20"/>
          <w:lang w:val="es-ES_tradnl"/>
        </w:rPr>
        <w:t xml:space="preserve">Primero. - Con fundamento en lo previsto en los numerales 6.23, fracción IV, 24, fracción XIV, 52 y 143, fracción </w:t>
      </w:r>
      <w:r w:rsidRPr="00823DDB" w:rsidR="00617D55">
        <w:rPr>
          <w:bCs/>
          <w:i/>
          <w:iCs/>
          <w:sz w:val="20"/>
          <w:szCs w:val="20"/>
          <w:lang w:val="es-ES_tradnl"/>
        </w:rPr>
        <w:t xml:space="preserve">I de la Ley de Transparencia y Acceso a la Información Pública del Estado de México y Municipios, el Comité de Transparencia </w:t>
      </w:r>
      <w:r w:rsidRPr="00823DDB" w:rsidR="008D64AC">
        <w:rPr>
          <w:bCs/>
          <w:i/>
          <w:iCs/>
          <w:sz w:val="20"/>
          <w:szCs w:val="20"/>
          <w:lang w:val="es-ES_tradnl"/>
        </w:rPr>
        <w:t xml:space="preserve">declare clasificar como confidencial los datos personales que se </w:t>
      </w:r>
      <w:r w:rsidRPr="00823DDB" w:rsidR="00D55462">
        <w:rPr>
          <w:bCs/>
          <w:i/>
          <w:iCs/>
          <w:sz w:val="20"/>
          <w:szCs w:val="20"/>
          <w:lang w:val="es-ES_tradnl"/>
        </w:rPr>
        <w:t xml:space="preserve">encuentren plasmados en la licencia municipal de construcción prórroga licencia de obra nueva </w:t>
      </w:r>
      <w:r w:rsidRPr="00823DDB" w:rsidR="00B418B0">
        <w:rPr>
          <w:bCs/>
          <w:i/>
          <w:iCs/>
          <w:sz w:val="20"/>
          <w:szCs w:val="20"/>
          <w:lang w:val="es-ES_tradnl"/>
        </w:rPr>
        <w:t>DGDU/DLC/0502A y constancia de terminación de obra (constancia de terminación de modificación</w:t>
      </w:r>
      <w:r w:rsidRPr="00823DDB" w:rsidR="008E2797">
        <w:rPr>
          <w:bCs/>
          <w:i/>
          <w:iCs/>
          <w:sz w:val="20"/>
          <w:szCs w:val="20"/>
          <w:lang w:val="es-ES_tradnl"/>
        </w:rPr>
        <w:t>, ampliación y excavación) DGDU/DLC/0502B</w:t>
      </w:r>
      <w:r w:rsidRPr="00823DDB" w:rsidR="006C1916">
        <w:rPr>
          <w:bCs/>
          <w:i/>
          <w:iCs/>
          <w:sz w:val="20"/>
          <w:szCs w:val="20"/>
          <w:lang w:val="es-ES_tradnl"/>
        </w:rPr>
        <w:t xml:space="preserve">, así como reservada las especificaciones técnicas y datos personales de la persona física que se encuentran en </w:t>
      </w:r>
      <w:r w:rsidRPr="00823DDB" w:rsidR="002A725C">
        <w:rPr>
          <w:bCs/>
          <w:i/>
          <w:iCs/>
          <w:sz w:val="20"/>
          <w:szCs w:val="20"/>
          <w:lang w:val="es-ES_tradnl"/>
        </w:rPr>
        <w:t>cada una de ellas</w:t>
      </w:r>
    </w:p>
    <w:p w:rsidRPr="00823DDB" w:rsidR="00A650D4" w:rsidP="00A650D4" w:rsidRDefault="00A650D4" w14:paraId="2C9ADEC5" w14:textId="66BE4627">
      <w:pPr>
        <w:spacing w:after="0" w:line="360" w:lineRule="auto"/>
        <w:ind w:left="567" w:right="567"/>
        <w:rPr>
          <w:bCs/>
          <w:i/>
          <w:iCs/>
          <w:sz w:val="20"/>
          <w:szCs w:val="20"/>
          <w:lang w:val="es-ES_tradnl"/>
        </w:rPr>
      </w:pPr>
      <w:r w:rsidRPr="00823DDB">
        <w:rPr>
          <w:bCs/>
          <w:i/>
          <w:iCs/>
          <w:sz w:val="20"/>
          <w:szCs w:val="20"/>
          <w:lang w:val="es-ES_tradnl"/>
        </w:rPr>
        <w:t>…” (Sic)</w:t>
      </w:r>
    </w:p>
    <w:p w:rsidRPr="00823DDB" w:rsidR="008D64AC" w:rsidP="00C853D1" w:rsidRDefault="008D64AC" w14:paraId="21DE022B" w14:textId="77777777">
      <w:pPr>
        <w:spacing w:after="0" w:line="360" w:lineRule="auto"/>
        <w:rPr>
          <w:bCs/>
          <w:lang w:val="es-ES_tradnl"/>
        </w:rPr>
      </w:pPr>
    </w:p>
    <w:p w:rsidRPr="00823DDB" w:rsidR="008F69B6" w:rsidP="008F69B6" w:rsidRDefault="008F69B6" w14:paraId="632E5FA0" w14:textId="73E09700">
      <w:pPr>
        <w:spacing w:after="0" w:line="360" w:lineRule="auto"/>
        <w:rPr>
          <w:rFonts w:eastAsia="Palatino Linotype" w:cs="Palatino Linotype"/>
          <w:lang w:val="es-ES"/>
        </w:rPr>
      </w:pPr>
      <w:r w:rsidRPr="00823DDB">
        <w:rPr>
          <w:rFonts w:eastAsia="Palatino Linotype" w:cs="Palatino Linotype"/>
          <w:b/>
          <w:bCs/>
          <w:lang w:val="es-ES"/>
        </w:rPr>
        <w:t xml:space="preserve">d) Ampliación de plazo para resolver. </w:t>
      </w:r>
      <w:r w:rsidRPr="00823DDB">
        <w:rPr>
          <w:rFonts w:eastAsia="Palatino Linotype" w:cs="Palatino Linotype"/>
          <w:lang w:val="es-ES"/>
        </w:rPr>
        <w:t xml:space="preserve">El </w:t>
      </w:r>
      <w:r w:rsidRPr="00823DDB" w:rsidR="006F20C4">
        <w:rPr>
          <w:rFonts w:eastAsia="Palatino Linotype" w:cs="Palatino Linotype"/>
          <w:lang w:val="es-ES"/>
        </w:rPr>
        <w:t>veinte de febrero de dos mil veintitrés</w:t>
      </w:r>
      <w:r w:rsidRPr="00823DDB">
        <w:rPr>
          <w:rFonts w:eastAsia="Palatino Linotype" w:cs="Palatino Linotype"/>
          <w:lang w:val="es-ES"/>
        </w:rPr>
        <w:t xml:space="preserve">, </w:t>
      </w:r>
      <w:r w:rsidRPr="00823DDB">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823DDB" w:rsidR="008F69B6" w:rsidP="008F69B6" w:rsidRDefault="008F69B6" w14:paraId="0517753D" w14:textId="77777777">
      <w:pPr>
        <w:spacing w:after="0" w:line="360" w:lineRule="auto"/>
        <w:rPr>
          <w:rFonts w:eastAsia="Palatino Linotype" w:cs="Palatino Linotype"/>
          <w:b/>
          <w:bCs/>
          <w:color w:val="auto"/>
          <w:lang w:val="es-ES" w:eastAsia="es-MX"/>
        </w:rPr>
      </w:pPr>
    </w:p>
    <w:p w:rsidRPr="00823DDB" w:rsidR="008F69B6" w:rsidP="008F69B6" w:rsidRDefault="008F69B6" w14:paraId="6FF95F27" w14:textId="77777777">
      <w:pPr>
        <w:spacing w:after="0" w:line="360" w:lineRule="auto"/>
        <w:rPr>
          <w:rFonts w:eastAsia="Palatino Linotype" w:cs="Palatino Linotype"/>
          <w:color w:val="auto"/>
          <w:lang w:eastAsia="es-MX"/>
        </w:rPr>
      </w:pPr>
      <w:r w:rsidRPr="00823DDB">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823DDB" w:rsidR="008F69B6" w:rsidP="008F69B6" w:rsidRDefault="008F69B6" w14:paraId="4CC44BA3" w14:textId="77777777">
      <w:pPr>
        <w:spacing w:after="0" w:line="360" w:lineRule="auto"/>
        <w:rPr>
          <w:rFonts w:eastAsia="Palatino Linotype" w:cs="Palatino Linotype"/>
          <w:color w:val="auto"/>
          <w:lang w:eastAsia="es-MX"/>
        </w:rPr>
      </w:pPr>
    </w:p>
    <w:p w:rsidRPr="00823DDB" w:rsidR="008F69B6" w:rsidP="008F69B6" w:rsidRDefault="008F69B6" w14:paraId="2196786B" w14:textId="77777777">
      <w:pPr>
        <w:spacing w:after="0" w:line="360" w:lineRule="auto"/>
        <w:rPr>
          <w:rFonts w:eastAsia="Palatino Linotype" w:cs="Palatino Linotype"/>
          <w:color w:val="auto"/>
          <w:lang w:eastAsia="es-MX"/>
        </w:rPr>
      </w:pPr>
      <w:r w:rsidRPr="00823DDB">
        <w:rPr>
          <w:rFonts w:eastAsia="Palatino Linotype" w:cs="Palatino Linotype"/>
          <w:color w:val="auto"/>
          <w:lang w:eastAsia="es-MX"/>
        </w:rPr>
        <w:t xml:space="preserve">Por ello, es menester precisar que, si bien se ha excedido el plazo para resolver el presente medio de impugnación, de conformidad con la ley de la materia, el plazo para emitir resolución </w:t>
      </w:r>
      <w:r w:rsidRPr="00823DDB">
        <w:rPr>
          <w:rFonts w:eastAsia="Palatino Linotype" w:cs="Palatino Linotype"/>
          <w:color w:val="auto"/>
          <w:lang w:eastAsia="es-MX"/>
        </w:rPr>
        <w:lastRenderedPageBreak/>
        <w:t>se encuentra justificado en los elementos para medir su razonabilidad de asuntos conforme a los parámetros establecidos por diversos órganos jurisdiccionales federales, aplicables también en procedimientos análogos, como el que nos ocupa.</w:t>
      </w:r>
    </w:p>
    <w:p w:rsidRPr="00823DDB" w:rsidR="008F69B6" w:rsidP="008F69B6" w:rsidRDefault="008F69B6" w14:paraId="2496704C" w14:textId="77777777">
      <w:pPr>
        <w:spacing w:after="0" w:line="360" w:lineRule="auto"/>
        <w:rPr>
          <w:rFonts w:eastAsia="Palatino Linotype" w:cs="Palatino Linotype"/>
          <w:color w:val="auto"/>
          <w:lang w:eastAsia="es-MX"/>
        </w:rPr>
      </w:pPr>
    </w:p>
    <w:p w:rsidRPr="00823DDB" w:rsidR="008F69B6" w:rsidP="008F69B6" w:rsidRDefault="008F69B6" w14:paraId="3A5EDBC4" w14:textId="77777777">
      <w:pPr>
        <w:spacing w:after="0" w:line="360" w:lineRule="auto"/>
        <w:rPr>
          <w:rFonts w:eastAsia="Palatino Linotype" w:cs="Palatino Linotype"/>
          <w:color w:val="auto"/>
          <w:lang w:eastAsia="es-MX"/>
        </w:rPr>
      </w:pPr>
      <w:r w:rsidRPr="00823DDB">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823DDB" w:rsidR="008F69B6" w:rsidP="008F69B6" w:rsidRDefault="008F69B6" w14:paraId="6421C4F8" w14:textId="77777777">
      <w:pPr>
        <w:spacing w:after="0" w:line="360" w:lineRule="auto"/>
        <w:rPr>
          <w:rFonts w:eastAsia="Palatino Linotype" w:cs="Palatino Linotype"/>
          <w:color w:val="auto"/>
          <w:lang w:eastAsia="es-MX"/>
        </w:rPr>
      </w:pPr>
    </w:p>
    <w:p w:rsidRPr="00823DDB" w:rsidR="008F69B6" w:rsidP="008F69B6" w:rsidRDefault="008F69B6" w14:paraId="7E8E44F8" w14:textId="77777777">
      <w:pPr>
        <w:spacing w:after="0" w:line="360" w:lineRule="auto"/>
        <w:rPr>
          <w:rFonts w:eastAsia="Palatino Linotype" w:cs="Palatino Linotype"/>
          <w:color w:val="auto"/>
          <w:lang w:eastAsia="es-MX"/>
        </w:rPr>
      </w:pPr>
      <w:r w:rsidRPr="00823DDB">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823DDB" w:rsidR="008F69B6" w:rsidP="008F69B6" w:rsidRDefault="008F69B6" w14:paraId="32F8C6FF" w14:textId="77777777">
      <w:pPr>
        <w:spacing w:after="0" w:line="360" w:lineRule="auto"/>
        <w:rPr>
          <w:rFonts w:eastAsia="Palatino Linotype" w:cs="Palatino Linotype"/>
          <w:color w:val="auto"/>
          <w:lang w:eastAsia="es-MX"/>
        </w:rPr>
      </w:pPr>
    </w:p>
    <w:p w:rsidRPr="00823DDB" w:rsidR="008F69B6" w:rsidP="008F69B6" w:rsidRDefault="008F69B6" w14:paraId="0CF6E381" w14:textId="77777777">
      <w:pPr>
        <w:spacing w:after="0" w:line="360" w:lineRule="auto"/>
        <w:rPr>
          <w:rFonts w:eastAsia="Palatino Linotype" w:cs="Palatino Linotype"/>
          <w:color w:val="auto"/>
          <w:lang w:eastAsia="es-MX"/>
        </w:rPr>
      </w:pPr>
      <w:r w:rsidRPr="00823DDB">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823DDB" w:rsidR="008F69B6" w:rsidP="008F69B6" w:rsidRDefault="008F69B6" w14:paraId="76828E8C" w14:textId="77777777">
      <w:pPr>
        <w:spacing w:after="0" w:line="360" w:lineRule="auto"/>
        <w:rPr>
          <w:rFonts w:eastAsia="Palatino Linotype" w:cs="Palatino Linotype"/>
          <w:color w:val="auto"/>
          <w:lang w:eastAsia="es-MX"/>
        </w:rPr>
      </w:pPr>
    </w:p>
    <w:p w:rsidRPr="00823DDB" w:rsidR="008F69B6" w:rsidP="008F69B6" w:rsidRDefault="008F69B6" w14:paraId="09A38407" w14:textId="77777777">
      <w:pPr>
        <w:numPr>
          <w:ilvl w:val="0"/>
          <w:numId w:val="23"/>
        </w:numPr>
        <w:spacing w:after="0" w:line="360" w:lineRule="auto"/>
        <w:jc w:val="left"/>
        <w:rPr>
          <w:rFonts w:eastAsia="Palatino Linotype" w:cs="Palatino Linotype"/>
          <w:color w:val="auto"/>
          <w:lang w:eastAsia="es-MX"/>
        </w:rPr>
      </w:pPr>
      <w:r w:rsidRPr="00823DDB">
        <w:rPr>
          <w:rFonts w:eastAsia="Palatino Linotype" w:cs="Palatino Linotype"/>
          <w:b/>
          <w:bCs/>
          <w:color w:val="auto"/>
          <w:lang w:eastAsia="es-MX"/>
        </w:rPr>
        <w:t>Complejidad del asunto:</w:t>
      </w:r>
      <w:r w:rsidRPr="00823DDB">
        <w:rPr>
          <w:rFonts w:eastAsia="Palatino Linotype" w:cs="Palatino Linotype"/>
          <w:color w:val="auto"/>
          <w:lang w:eastAsia="es-MX"/>
        </w:rPr>
        <w:t xml:space="preserve"> La complejidad de la prueba, la pluralidad de sujetos procesales, el tiempo transcurrido, las características y contexto del recurso.</w:t>
      </w:r>
    </w:p>
    <w:p w:rsidRPr="00823DDB" w:rsidR="008F69B6" w:rsidP="008F69B6" w:rsidRDefault="008F69B6" w14:paraId="610CBB0F" w14:textId="77777777">
      <w:pPr>
        <w:spacing w:after="0" w:line="360" w:lineRule="auto"/>
        <w:rPr>
          <w:rFonts w:eastAsia="Palatino Linotype" w:cs="Palatino Linotype"/>
          <w:color w:val="auto"/>
          <w:lang w:eastAsia="es-MX"/>
        </w:rPr>
      </w:pPr>
    </w:p>
    <w:p w:rsidRPr="00823DDB" w:rsidR="008F69B6" w:rsidP="008F69B6" w:rsidRDefault="008F69B6" w14:paraId="40712955" w14:textId="77777777">
      <w:pPr>
        <w:numPr>
          <w:ilvl w:val="0"/>
          <w:numId w:val="23"/>
        </w:numPr>
        <w:spacing w:after="0" w:line="360" w:lineRule="auto"/>
        <w:jc w:val="left"/>
        <w:rPr>
          <w:rFonts w:eastAsia="Palatino Linotype" w:cs="Palatino Linotype"/>
          <w:color w:val="auto"/>
          <w:lang w:eastAsia="es-MX"/>
        </w:rPr>
      </w:pPr>
      <w:r w:rsidRPr="00823DDB">
        <w:rPr>
          <w:rFonts w:eastAsia="Palatino Linotype" w:cs="Palatino Linotype"/>
          <w:b/>
          <w:bCs/>
          <w:color w:val="auto"/>
          <w:lang w:eastAsia="es-MX"/>
        </w:rPr>
        <w:t>Actividad Procesal del interesado:</w:t>
      </w:r>
      <w:r w:rsidRPr="00823DDB">
        <w:rPr>
          <w:rFonts w:eastAsia="Palatino Linotype" w:cs="Palatino Linotype"/>
          <w:color w:val="auto"/>
          <w:lang w:eastAsia="es-MX"/>
        </w:rPr>
        <w:t xml:space="preserve"> Acciones u omisiones del interesado.</w:t>
      </w:r>
    </w:p>
    <w:p w:rsidRPr="00823DDB" w:rsidR="008F69B6" w:rsidP="008F69B6" w:rsidRDefault="008F69B6" w14:paraId="504B7785" w14:textId="77777777">
      <w:pPr>
        <w:spacing w:after="0" w:line="360" w:lineRule="auto"/>
        <w:rPr>
          <w:rFonts w:eastAsia="Palatino Linotype" w:cs="Palatino Linotype"/>
          <w:color w:val="auto"/>
          <w:lang w:eastAsia="es-MX"/>
        </w:rPr>
      </w:pPr>
    </w:p>
    <w:p w:rsidRPr="00823DDB" w:rsidR="008F69B6" w:rsidP="008F69B6" w:rsidRDefault="008F69B6" w14:paraId="7A351AC1" w14:textId="77777777">
      <w:pPr>
        <w:numPr>
          <w:ilvl w:val="0"/>
          <w:numId w:val="23"/>
        </w:numPr>
        <w:spacing w:after="0" w:line="360" w:lineRule="auto"/>
        <w:jc w:val="left"/>
        <w:rPr>
          <w:rFonts w:eastAsia="Palatino Linotype" w:cs="Palatino Linotype"/>
          <w:color w:val="auto"/>
          <w:lang w:eastAsia="es-MX"/>
        </w:rPr>
      </w:pPr>
      <w:r w:rsidRPr="00823DDB">
        <w:rPr>
          <w:rFonts w:eastAsia="Palatino Linotype" w:cs="Palatino Linotype"/>
          <w:b/>
          <w:bCs/>
          <w:color w:val="auto"/>
          <w:lang w:eastAsia="es-MX"/>
        </w:rPr>
        <w:t>Conducta de la Autoridad:</w:t>
      </w:r>
      <w:r w:rsidRPr="00823DDB">
        <w:rPr>
          <w:rFonts w:eastAsia="Palatino Linotype" w:cs="Palatino Linotype"/>
          <w:color w:val="auto"/>
          <w:lang w:eastAsia="es-MX"/>
        </w:rPr>
        <w:t xml:space="preserve"> Las Acciones u omisiones realizadas en el procedimiento. Así como si la autoridad actuó con la debida diligencia.</w:t>
      </w:r>
    </w:p>
    <w:p w:rsidRPr="00823DDB" w:rsidR="008F69B6" w:rsidP="008F69B6" w:rsidRDefault="008F69B6" w14:paraId="62505E77" w14:textId="77777777">
      <w:pPr>
        <w:spacing w:after="0" w:line="360" w:lineRule="auto"/>
        <w:rPr>
          <w:rFonts w:eastAsia="Palatino Linotype" w:cs="Palatino Linotype"/>
          <w:color w:val="auto"/>
          <w:lang w:eastAsia="es-MX"/>
        </w:rPr>
      </w:pPr>
    </w:p>
    <w:p w:rsidRPr="00823DDB" w:rsidR="008F69B6" w:rsidP="008F69B6" w:rsidRDefault="008F69B6" w14:paraId="4044DAEA" w14:textId="77777777">
      <w:pPr>
        <w:numPr>
          <w:ilvl w:val="0"/>
          <w:numId w:val="23"/>
        </w:numPr>
        <w:spacing w:after="0" w:line="360" w:lineRule="auto"/>
        <w:jc w:val="left"/>
        <w:rPr>
          <w:rFonts w:eastAsia="Palatino Linotype" w:cs="Palatino Linotype"/>
          <w:color w:val="auto"/>
          <w:lang w:eastAsia="es-MX"/>
        </w:rPr>
      </w:pPr>
      <w:r w:rsidRPr="00823DDB">
        <w:rPr>
          <w:rFonts w:eastAsia="Palatino Linotype" w:cs="Palatino Linotype"/>
          <w:b/>
          <w:bCs/>
          <w:color w:val="auto"/>
          <w:lang w:eastAsia="es-MX"/>
        </w:rPr>
        <w:t>La afectación generada en la situación jurídica de la persona involucrada en el proceso:</w:t>
      </w:r>
      <w:r w:rsidRPr="00823DDB">
        <w:rPr>
          <w:rFonts w:eastAsia="Palatino Linotype" w:cs="Palatino Linotype"/>
          <w:color w:val="auto"/>
          <w:lang w:eastAsia="es-MX"/>
        </w:rPr>
        <w:t xml:space="preserve"> Violación a sus derechos humanos.</w:t>
      </w:r>
    </w:p>
    <w:p w:rsidRPr="00823DDB" w:rsidR="008F69B6" w:rsidP="008F69B6" w:rsidRDefault="008F69B6" w14:paraId="2C8F1B20" w14:textId="77777777">
      <w:pPr>
        <w:spacing w:after="0" w:line="360" w:lineRule="auto"/>
        <w:rPr>
          <w:rFonts w:eastAsia="Palatino Linotype" w:cs="Palatino Linotype"/>
          <w:color w:val="auto"/>
          <w:lang w:eastAsia="es-MX"/>
        </w:rPr>
      </w:pPr>
    </w:p>
    <w:p w:rsidRPr="00823DDB" w:rsidR="008F69B6" w:rsidP="008F69B6" w:rsidRDefault="008F69B6" w14:paraId="0910657B" w14:textId="77777777">
      <w:pPr>
        <w:spacing w:after="0" w:line="360" w:lineRule="auto"/>
        <w:rPr>
          <w:rFonts w:eastAsia="Palatino Linotype" w:cs="Palatino Linotype"/>
          <w:color w:val="auto"/>
          <w:lang w:eastAsia="es-MX"/>
        </w:rPr>
      </w:pPr>
      <w:r w:rsidRPr="00823DDB">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823DDB" w:rsidR="008F69B6" w:rsidP="008F69B6" w:rsidRDefault="008F69B6" w14:paraId="5511E4C4" w14:textId="77777777">
      <w:pPr>
        <w:spacing w:after="0" w:line="360" w:lineRule="auto"/>
        <w:rPr>
          <w:rFonts w:eastAsia="Palatino Linotype" w:cs="Palatino Linotype"/>
          <w:color w:val="auto"/>
          <w:lang w:eastAsia="es-MX"/>
        </w:rPr>
      </w:pPr>
    </w:p>
    <w:p w:rsidRPr="00823DDB" w:rsidR="008F69B6" w:rsidP="008F69B6" w:rsidRDefault="008F69B6" w14:paraId="2A821F2D" w14:textId="77777777">
      <w:pPr>
        <w:spacing w:after="0" w:line="360" w:lineRule="auto"/>
        <w:rPr>
          <w:rFonts w:eastAsia="Palatino Linotype" w:cs="Palatino Linotype"/>
          <w:color w:val="auto"/>
          <w:lang w:eastAsia="es-MX"/>
        </w:rPr>
      </w:pPr>
      <w:r w:rsidRPr="00823DDB">
        <w:rPr>
          <w:rFonts w:eastAsia="Palatino Linotype" w:cs="Palatino Linotype"/>
          <w:color w:val="auto"/>
          <w:lang w:eastAsia="es-MX"/>
        </w:rPr>
        <w:t>Argumento que encuentra sustento en la jurisprudencia P./J. 32/92 emitida por el Pleno de la Suprema Corte de Justicia de la Nación de rubro “</w:t>
      </w:r>
      <w:r w:rsidRPr="00823DDB">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823DDB">
        <w:rPr>
          <w:rFonts w:eastAsia="Palatino Linotype" w:cs="Palatino Linotype"/>
          <w:color w:val="auto"/>
          <w:lang w:eastAsia="es-MX"/>
        </w:rPr>
        <w:t>.”, visible en la Gaceta del Seminario Judicial de la Federación con el registro digital 205635.</w:t>
      </w:r>
    </w:p>
    <w:p w:rsidRPr="00823DDB" w:rsidR="008F69B6" w:rsidP="008F69B6" w:rsidRDefault="008F69B6" w14:paraId="5CF2D15F" w14:textId="77777777">
      <w:pPr>
        <w:spacing w:after="0" w:line="360" w:lineRule="auto"/>
        <w:rPr>
          <w:rFonts w:eastAsia="Palatino Linotype" w:cs="Palatino Linotype"/>
          <w:color w:val="auto"/>
          <w:lang w:eastAsia="es-MX"/>
        </w:rPr>
      </w:pPr>
    </w:p>
    <w:p w:rsidRPr="00823DDB" w:rsidR="008F69B6" w:rsidP="008F69B6" w:rsidRDefault="008F69B6" w14:paraId="6A57030C" w14:textId="77777777">
      <w:pPr>
        <w:spacing w:after="0" w:line="360" w:lineRule="auto"/>
        <w:rPr>
          <w:rFonts w:eastAsia="Palatino Linotype" w:cs="Palatino Linotype"/>
          <w:color w:val="auto"/>
          <w:lang w:eastAsia="es-MX"/>
        </w:rPr>
      </w:pPr>
      <w:r w:rsidRPr="00823DDB">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823DDB" w:rsidR="008F69B6" w:rsidP="008F69B6" w:rsidRDefault="008F69B6" w14:paraId="271CE5E3" w14:textId="77777777">
      <w:pPr>
        <w:spacing w:after="0" w:line="360" w:lineRule="auto"/>
        <w:rPr>
          <w:rFonts w:eastAsia="Palatino Linotype" w:cs="Palatino Linotype"/>
          <w:color w:val="auto"/>
          <w:lang w:eastAsia="es-MX"/>
        </w:rPr>
      </w:pPr>
    </w:p>
    <w:p w:rsidRPr="00823DDB" w:rsidR="008F69B6" w:rsidP="008F69B6" w:rsidRDefault="008F69B6" w14:paraId="1AABF8FA" w14:textId="77777777">
      <w:pPr>
        <w:spacing w:after="0" w:line="360" w:lineRule="auto"/>
        <w:rPr>
          <w:rFonts w:eastAsia="Palatino Linotype" w:cs="Palatino Linotype"/>
          <w:color w:val="auto"/>
          <w:lang w:eastAsia="es-MX"/>
        </w:rPr>
      </w:pPr>
      <w:r w:rsidRPr="00823DDB">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823DDB" w:rsidR="008F69B6" w:rsidP="008F69B6" w:rsidRDefault="008F69B6" w14:paraId="527B5B8C" w14:textId="77777777">
      <w:pPr>
        <w:spacing w:after="0" w:line="360" w:lineRule="auto"/>
        <w:rPr>
          <w:rFonts w:eastAsia="Palatino Linotype" w:cs="Palatino Linotype"/>
          <w:color w:val="auto"/>
          <w:lang w:eastAsia="es-MX"/>
        </w:rPr>
      </w:pPr>
    </w:p>
    <w:p w:rsidRPr="00823DDB" w:rsidR="008F69B6" w:rsidP="008F69B6" w:rsidRDefault="008F69B6" w14:paraId="6173E3B2" w14:textId="77777777">
      <w:pPr>
        <w:spacing w:after="0" w:line="360" w:lineRule="auto"/>
        <w:rPr>
          <w:rFonts w:eastAsia="Palatino Linotype" w:cs="Palatino Linotype"/>
          <w:color w:val="auto"/>
          <w:lang w:eastAsia="es-MX"/>
        </w:rPr>
      </w:pPr>
      <w:r w:rsidRPr="00823DDB">
        <w:rPr>
          <w:rFonts w:eastAsia="Palatino Linotype" w:cs="Palatino Linotype"/>
          <w:color w:val="auto"/>
          <w:lang w:eastAsia="es-MX"/>
        </w:rPr>
        <w:t>“</w:t>
      </w:r>
      <w:r w:rsidRPr="00823DDB">
        <w:rPr>
          <w:rFonts w:eastAsia="Palatino Linotype" w:cs="Palatino Linotype"/>
          <w:b/>
          <w:bCs/>
          <w:color w:val="auto"/>
          <w:lang w:eastAsia="es-MX"/>
        </w:rPr>
        <w:t>PLAZO RAZONABLE PARA RESOLVER. DIMENSIÓN Y EFECTOS DE ESTE CONCEPTO CUANDO SE ADUCE EXCESIVA CARGA DE TRABAJO</w:t>
      </w:r>
      <w:r w:rsidRPr="00823DDB">
        <w:rPr>
          <w:rFonts w:eastAsia="Palatino Linotype" w:cs="Palatino Linotype"/>
          <w:color w:val="auto"/>
          <w:lang w:eastAsia="es-MX"/>
        </w:rPr>
        <w:t>.” consultable en el Seminario Judicial de la Federación y su gaceta, con el registro digital 2002351.</w:t>
      </w:r>
    </w:p>
    <w:p w:rsidRPr="00823DDB" w:rsidR="008F69B6" w:rsidP="008F69B6" w:rsidRDefault="008F69B6" w14:paraId="35F31BB3" w14:textId="77777777">
      <w:pPr>
        <w:spacing w:after="0" w:line="360" w:lineRule="auto"/>
        <w:rPr>
          <w:rFonts w:eastAsia="Palatino Linotype" w:cs="Palatino Linotype"/>
          <w:color w:val="auto"/>
          <w:lang w:eastAsia="es-MX"/>
        </w:rPr>
      </w:pPr>
    </w:p>
    <w:p w:rsidRPr="00823DDB" w:rsidR="008F69B6" w:rsidP="008F69B6" w:rsidRDefault="008F69B6" w14:paraId="4A7A7B6B" w14:textId="77777777">
      <w:pPr>
        <w:spacing w:after="0" w:line="360" w:lineRule="auto"/>
        <w:rPr>
          <w:rFonts w:eastAsia="Palatino Linotype" w:cs="Palatino Linotype"/>
          <w:color w:val="auto"/>
          <w:lang w:eastAsia="es-MX"/>
        </w:rPr>
      </w:pPr>
      <w:r w:rsidRPr="00823DDB">
        <w:rPr>
          <w:rFonts w:eastAsia="Palatino Linotype" w:cs="Palatino Linotype"/>
          <w:color w:val="auto"/>
          <w:lang w:eastAsia="es-MX"/>
        </w:rPr>
        <w:t>“</w:t>
      </w:r>
      <w:r w:rsidRPr="00823DDB">
        <w:rPr>
          <w:rFonts w:eastAsia="Palatino Linotype" w:cs="Palatino Linotype"/>
          <w:b/>
          <w:bCs/>
          <w:color w:val="auto"/>
          <w:lang w:eastAsia="es-MX"/>
        </w:rPr>
        <w:t>PLAZO RAZONABLE PARA RESOLVER. CONCEPTO Y ELEMENTOS QUE LO INTEGRAN A LA LUZ DEL DERECHO INTERNACIONAL DE LOS DERECHOS HUMANOS</w:t>
      </w:r>
      <w:r w:rsidRPr="00823DDB">
        <w:rPr>
          <w:rFonts w:eastAsia="Palatino Linotype" w:cs="Palatino Linotype"/>
          <w:color w:val="auto"/>
          <w:lang w:eastAsia="es-MX"/>
        </w:rPr>
        <w:t>.”, visible en el Seminario Judicial de la Federación y su gaceta, con el registro digital 2002350.</w:t>
      </w:r>
    </w:p>
    <w:p w:rsidRPr="00823DDB" w:rsidR="008F69B6" w:rsidP="008F69B6" w:rsidRDefault="008F69B6" w14:paraId="57DD8618" w14:textId="77777777">
      <w:pPr>
        <w:spacing w:after="0" w:line="360" w:lineRule="auto"/>
        <w:rPr>
          <w:rFonts w:eastAsia="Palatino Linotype" w:cs="Palatino Linotype"/>
          <w:color w:val="auto"/>
          <w:lang w:eastAsia="es-MX"/>
        </w:rPr>
      </w:pPr>
    </w:p>
    <w:p w:rsidRPr="00823DDB" w:rsidR="008F69B6" w:rsidP="008F69B6" w:rsidRDefault="008F69B6" w14:paraId="686E38D5" w14:textId="77777777">
      <w:pPr>
        <w:spacing w:after="0" w:line="360" w:lineRule="auto"/>
        <w:rPr>
          <w:rFonts w:eastAsia="Palatino Linotype" w:cs="Palatino Linotype"/>
          <w:color w:val="auto"/>
          <w:lang w:eastAsia="es-MX"/>
        </w:rPr>
      </w:pPr>
      <w:r w:rsidRPr="00823DDB">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823DDB" w:rsidR="004548CD" w:rsidP="00B43451" w:rsidRDefault="004548CD" w14:paraId="35EA4B6F" w14:textId="503D76C8">
      <w:pPr>
        <w:spacing w:after="0" w:line="360" w:lineRule="auto"/>
        <w:rPr>
          <w:rFonts w:eastAsia="Palatino Linotype" w:cs="Palatino Linotype"/>
          <w:b/>
          <w:bCs/>
        </w:rPr>
      </w:pPr>
    </w:p>
    <w:p w:rsidRPr="00823DDB" w:rsidR="004122A9" w:rsidP="004122A9" w:rsidRDefault="003C3D2C" w14:paraId="6C1B7DFE" w14:textId="0FB06486">
      <w:pPr>
        <w:spacing w:after="0" w:line="360" w:lineRule="auto"/>
        <w:rPr>
          <w:rFonts w:cs="Tahoma"/>
        </w:rPr>
      </w:pPr>
      <w:r w:rsidRPr="00823DDB">
        <w:rPr>
          <w:rFonts w:cs="Tahoma"/>
          <w:b/>
          <w:bCs/>
        </w:rPr>
        <w:t>e</w:t>
      </w:r>
      <w:r w:rsidRPr="00823DDB" w:rsidR="00C21871">
        <w:rPr>
          <w:rFonts w:cs="Tahoma"/>
          <w:b/>
          <w:bCs/>
        </w:rPr>
        <w:t xml:space="preserve">) Vista del Informe Justificado: </w:t>
      </w:r>
      <w:r w:rsidRPr="00823DDB" w:rsidR="00C21871">
        <w:rPr>
          <w:rFonts w:cs="Tahoma"/>
        </w:rPr>
        <w:t xml:space="preserve">El </w:t>
      </w:r>
      <w:r w:rsidRPr="00823DDB" w:rsidR="00572F99">
        <w:rPr>
          <w:rFonts w:cs="Tahoma"/>
        </w:rPr>
        <w:t>veintitrés de marzo de dos mil veintitrés</w:t>
      </w:r>
      <w:r w:rsidRPr="00823DDB" w:rsidR="00C21871">
        <w:rPr>
          <w:rFonts w:cs="Tahoma"/>
        </w:rPr>
        <w:t xml:space="preserve">, se dictó acuerdo, por medio del cual </w:t>
      </w:r>
      <w:r w:rsidRPr="00823DDB" w:rsidR="00C21871">
        <w:rPr>
          <w:rFonts w:cs="Tahoma"/>
          <w:b/>
        </w:rPr>
        <w:t>se pu</w:t>
      </w:r>
      <w:r w:rsidRPr="00823DDB" w:rsidR="00682222">
        <w:rPr>
          <w:rFonts w:cs="Tahoma"/>
          <w:b/>
        </w:rPr>
        <w:t>s</w:t>
      </w:r>
      <w:r w:rsidRPr="00823DDB" w:rsidR="00C21871">
        <w:rPr>
          <w:rFonts w:cs="Tahoma"/>
          <w:b/>
        </w:rPr>
        <w:t>o a la vista del Recurrente el Informe Justificado y sus anexos</w:t>
      </w:r>
      <w:r w:rsidRPr="00823DDB" w:rsidR="00C21871">
        <w:rPr>
          <w:rFonts w:cs="Tahoma"/>
        </w:rPr>
        <w:t>, entregados por el Sujeto Obligado, a fin de que en un término no mayor a tres días hábiles manifestará lo que a derecho corresponda, acto que fue notificado</w:t>
      </w:r>
      <w:r w:rsidRPr="00823DDB" w:rsidR="004122A9">
        <w:rPr>
          <w:rFonts w:eastAsia="Palatino Linotype" w:cs="Palatino Linotype"/>
          <w:lang w:val="es-ES"/>
        </w:rPr>
        <w:t xml:space="preserve"> mediante el Sistema de Acceso a la Información Mexiquense (SAIMEX)</w:t>
      </w:r>
      <w:r w:rsidRPr="00823DDB" w:rsidR="00726A94">
        <w:rPr>
          <w:rFonts w:eastAsia="Palatino Linotype" w:cs="Palatino Linotype"/>
          <w:lang w:val="es-ES"/>
        </w:rPr>
        <w:t>.</w:t>
      </w:r>
    </w:p>
    <w:p w:rsidRPr="00823DDB" w:rsidR="00C21871" w:rsidP="00B43451" w:rsidRDefault="00C21871" w14:paraId="7BB2ECE6" w14:textId="77777777">
      <w:pPr>
        <w:spacing w:after="0" w:line="360" w:lineRule="auto"/>
        <w:rPr>
          <w:rFonts w:eastAsia="Palatino Linotype" w:cs="Palatino Linotype"/>
          <w:b/>
          <w:bCs/>
        </w:rPr>
      </w:pPr>
    </w:p>
    <w:p w:rsidRPr="00823DDB" w:rsidR="004548CD" w:rsidP="000B7029" w:rsidRDefault="003C3D2C" w14:paraId="39328222" w14:textId="16563EB7">
      <w:pPr>
        <w:spacing w:after="0" w:line="360" w:lineRule="auto"/>
        <w:rPr>
          <w:rFonts w:eastAsia="Palatino Linotype" w:cs="Palatino Linotype"/>
          <w:b/>
          <w:bCs/>
        </w:rPr>
      </w:pPr>
      <w:r w:rsidRPr="00823DDB">
        <w:rPr>
          <w:rFonts w:eastAsia="Times New Roman" w:cs="Tahoma"/>
          <w:b/>
          <w:color w:val="auto"/>
          <w:szCs w:val="24"/>
          <w:lang w:eastAsia="es-ES"/>
        </w:rPr>
        <w:t>f</w:t>
      </w:r>
      <w:r w:rsidRPr="00823DDB" w:rsidR="004548CD">
        <w:rPr>
          <w:rFonts w:eastAsia="Times New Roman" w:cs="Tahoma"/>
          <w:b/>
          <w:color w:val="auto"/>
          <w:szCs w:val="24"/>
          <w:lang w:eastAsia="es-ES"/>
        </w:rPr>
        <w:t>) Cierre de instrucción.</w:t>
      </w:r>
      <w:r w:rsidRPr="00823DDB" w:rsidR="004548CD">
        <w:rPr>
          <w:rFonts w:eastAsia="Times New Roman" w:cs="Tahoma"/>
          <w:color w:val="auto"/>
          <w:szCs w:val="24"/>
          <w:lang w:eastAsia="es-ES"/>
        </w:rPr>
        <w:t xml:space="preserve"> </w:t>
      </w:r>
      <w:r w:rsidRPr="00823DDB" w:rsidR="00572F99">
        <w:rPr>
          <w:rFonts w:eastAsia="Times New Roman" w:cs="Tahoma"/>
          <w:color w:val="auto"/>
          <w:szCs w:val="24"/>
          <w:lang w:eastAsia="es-ES"/>
        </w:rPr>
        <w:t>El veinticinco de mayo de dos mil veintitrés</w:t>
      </w:r>
      <w:r w:rsidRPr="00823DDB"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823DDB" w:rsidR="004548CD">
        <w:rPr>
          <w:rFonts w:eastAsia="Palatino Linotype" w:cs="Palatino Linotype"/>
          <w:lang w:val="es-ES"/>
        </w:rPr>
        <w:t>acto que fue notificado a las partes, mediante el Sistema de Acceso a la Información Mexiquense (SAIMEX), el mismo día.</w:t>
      </w:r>
    </w:p>
    <w:p w:rsidRPr="00823DDB" w:rsidR="004548CD" w:rsidP="004548CD" w:rsidRDefault="004548CD" w14:paraId="61B73302" w14:textId="77777777">
      <w:pPr>
        <w:spacing w:after="0" w:line="360" w:lineRule="auto"/>
        <w:rPr>
          <w:rFonts w:eastAsia="Times New Roman" w:cs="Tahoma"/>
          <w:color w:val="auto"/>
          <w:szCs w:val="24"/>
          <w:lang w:eastAsia="es-ES"/>
        </w:rPr>
      </w:pPr>
    </w:p>
    <w:p w:rsidRPr="00823DDB" w:rsidR="00C853D1" w:rsidP="00C853D1" w:rsidRDefault="00C853D1" w14:paraId="5795BBB6" w14:textId="77777777">
      <w:pPr>
        <w:spacing w:after="0" w:line="360" w:lineRule="auto"/>
        <w:rPr>
          <w:rFonts w:eastAsia="Times New Roman" w:cs="Tahoma"/>
          <w:color w:val="auto"/>
          <w:szCs w:val="24"/>
          <w:lang w:eastAsia="es-ES"/>
        </w:rPr>
      </w:pPr>
      <w:r w:rsidRPr="00823DDB">
        <w:rPr>
          <w:rFonts w:eastAsia="Times New Roman" w:cs="Tahoma"/>
          <w:color w:val="auto"/>
          <w:szCs w:val="24"/>
          <w:lang w:eastAsia="es-ES"/>
        </w:rPr>
        <w:lastRenderedPageBreak/>
        <w:t xml:space="preserve">En razón de que fue debidamente sustanciado e integrado el expediente electrónico y no existe diligencia pendiente de desahogo, se emite la resolución que conforme a Derecho proceda, de acuerdo a los siguientes: </w:t>
      </w:r>
    </w:p>
    <w:p w:rsidRPr="00823DDB" w:rsidR="00C853D1" w:rsidP="00C853D1" w:rsidRDefault="00C853D1" w14:paraId="264F2B95" w14:textId="77777777">
      <w:pPr>
        <w:spacing w:after="0" w:line="360" w:lineRule="auto"/>
        <w:rPr>
          <w:rFonts w:eastAsia="Times New Roman" w:cs="Tahoma"/>
          <w:bCs/>
          <w:iCs/>
          <w:color w:val="auto"/>
          <w:lang w:val="es-ES" w:eastAsia="es-ES"/>
        </w:rPr>
      </w:pPr>
    </w:p>
    <w:p w:rsidRPr="00823DDB" w:rsidR="00C853D1" w:rsidP="00C853D1" w:rsidRDefault="00C853D1" w14:paraId="4647AD46" w14:textId="77777777">
      <w:pPr>
        <w:spacing w:after="0" w:line="360" w:lineRule="auto"/>
        <w:jc w:val="center"/>
        <w:rPr>
          <w:rFonts w:eastAsia="Times New Roman" w:cs="Tahoma"/>
          <w:b/>
          <w:color w:val="auto"/>
          <w:lang w:val="es-ES" w:eastAsia="es-ES"/>
        </w:rPr>
      </w:pPr>
      <w:r w:rsidRPr="00823DDB">
        <w:rPr>
          <w:rFonts w:eastAsia="Times New Roman" w:cs="Tahoma"/>
          <w:b/>
          <w:color w:val="auto"/>
          <w:lang w:val="es-ES" w:eastAsia="es-ES"/>
        </w:rPr>
        <w:t>C O N S I D E R A N D O S:</w:t>
      </w:r>
    </w:p>
    <w:p w:rsidRPr="00823DDB" w:rsidR="00C853D1" w:rsidP="00C853D1" w:rsidRDefault="00C853D1" w14:paraId="46CF2E78" w14:textId="77777777">
      <w:pPr>
        <w:spacing w:after="0" w:line="360" w:lineRule="auto"/>
        <w:rPr>
          <w:b/>
        </w:rPr>
      </w:pPr>
    </w:p>
    <w:p w:rsidRPr="00823DDB" w:rsidR="00C853D1" w:rsidP="00C853D1"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823DDB">
        <w:rPr>
          <w:rFonts w:eastAsia="Calibri" w:cs="Tahoma"/>
          <w:b/>
          <w:color w:val="000000"/>
          <w:szCs w:val="24"/>
          <w:lang w:val="es-ES" w:eastAsia="es-MX"/>
        </w:rPr>
        <w:t>PRIMERO</w:t>
      </w:r>
      <w:r w:rsidRPr="00823DDB">
        <w:rPr>
          <w:rFonts w:eastAsia="Calibri" w:cs="Tahoma"/>
          <w:color w:val="000000"/>
          <w:szCs w:val="24"/>
          <w:lang w:val="es-ES" w:eastAsia="es-MX"/>
        </w:rPr>
        <w:t xml:space="preserve">. </w:t>
      </w:r>
      <w:r w:rsidRPr="00823DDB">
        <w:rPr>
          <w:rFonts w:eastAsia="Times New Roman" w:cs="Tahoma"/>
          <w:b/>
          <w:color w:val="auto"/>
          <w:szCs w:val="24"/>
          <w:lang w:val="es-ES" w:eastAsia="es-ES"/>
        </w:rPr>
        <w:t>Competencia.</w:t>
      </w:r>
    </w:p>
    <w:p w:rsidRPr="00823DDB" w:rsidR="00C853D1" w:rsidP="00C853D1"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823DDB" w:rsidR="00C853D1" w:rsidP="00C853D1" w:rsidRDefault="00C853D1" w14:paraId="4BA69015" w14:textId="35F4A5AE">
      <w:pPr>
        <w:spacing w:after="0" w:line="360" w:lineRule="auto"/>
        <w:rPr>
          <w:rFonts w:eastAsia="Times New Roman" w:cs="Tahoma"/>
          <w:bCs/>
          <w:color w:val="auto"/>
          <w:lang w:eastAsia="es-ES"/>
        </w:rPr>
      </w:pPr>
      <w:r w:rsidRPr="00823DDB">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823DDB" w:rsidR="00682222">
        <w:rPr>
          <w:rFonts w:eastAsia="Times New Roman" w:cs="Tahoma"/>
          <w:bCs/>
          <w:color w:val="auto"/>
          <w:lang w:eastAsia="es-ES"/>
        </w:rPr>
        <w:t>trig</w:t>
      </w:r>
      <w:r w:rsidRPr="00823DDB" w:rsidR="00682222">
        <w:rPr>
          <w:rFonts w:eastAsia="Times New Roman" w:cs="Tahoma"/>
          <w:bCs/>
          <w:color w:val="auto"/>
          <w:lang w:val="x-none" w:eastAsia="es-ES"/>
        </w:rPr>
        <w:t>ésimo</w:t>
      </w:r>
      <w:proofErr w:type="spellEnd"/>
      <w:r w:rsidRPr="00823DDB" w:rsidR="00682222">
        <w:rPr>
          <w:rFonts w:eastAsia="Times New Roman" w:cs="Tahoma"/>
          <w:bCs/>
          <w:color w:val="auto"/>
          <w:lang w:val="x-none" w:eastAsia="es-ES"/>
        </w:rPr>
        <w:t>, trigésimo primero</w:t>
      </w:r>
      <w:r w:rsidRPr="00823DDB">
        <w:rPr>
          <w:rFonts w:eastAsia="Times New Roman" w:cs="Tahoma"/>
          <w:bCs/>
          <w:color w:val="auto"/>
          <w:lang w:eastAsia="es-ES"/>
        </w:rPr>
        <w:t xml:space="preserve"> y trigésimo </w:t>
      </w:r>
      <w:r w:rsidRPr="00823DDB" w:rsidR="00682222">
        <w:rPr>
          <w:rFonts w:eastAsia="Times New Roman" w:cs="Tahoma"/>
          <w:bCs/>
          <w:color w:val="auto"/>
          <w:lang w:eastAsia="es-ES"/>
        </w:rPr>
        <w:t>segundo</w:t>
      </w:r>
      <w:r w:rsidRPr="00823DDB">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23DDB">
        <w:rPr>
          <w:rFonts w:eastAsia="Times New Roman" w:cs="Times New Roman"/>
          <w:bCs/>
          <w:color w:val="auto"/>
          <w:lang w:eastAsia="es-ES"/>
        </w:rPr>
        <w:t xml:space="preserve"> 7°, </w:t>
      </w:r>
      <w:r w:rsidRPr="00823DDB">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823DDB" w:rsidR="00C853D1" w:rsidP="00C853D1" w:rsidRDefault="00C853D1" w14:paraId="4FF2492C" w14:textId="77777777">
      <w:pPr>
        <w:spacing w:after="0" w:line="360" w:lineRule="auto"/>
        <w:rPr>
          <w:rFonts w:eastAsia="Times New Roman" w:cs="Tahoma"/>
          <w:bCs/>
          <w:color w:val="auto"/>
          <w:lang w:eastAsia="es-ES"/>
        </w:rPr>
      </w:pPr>
    </w:p>
    <w:p w:rsidRPr="00823DDB" w:rsidR="00C853D1" w:rsidP="00C853D1"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823DDB">
        <w:rPr>
          <w:rFonts w:eastAsia="Calibri" w:cs="Tahoma"/>
          <w:b/>
          <w:color w:val="000000"/>
          <w:szCs w:val="24"/>
          <w:lang w:val="es-ES" w:eastAsia="es-MX"/>
        </w:rPr>
        <w:t>SEGUNDO</w:t>
      </w:r>
      <w:r w:rsidRPr="00823DDB">
        <w:rPr>
          <w:rFonts w:eastAsia="Calibri" w:cs="Tahoma"/>
          <w:color w:val="000000"/>
          <w:szCs w:val="24"/>
          <w:lang w:val="es-ES" w:eastAsia="es-MX"/>
        </w:rPr>
        <w:t xml:space="preserve">. </w:t>
      </w:r>
      <w:r w:rsidRPr="00823DDB">
        <w:rPr>
          <w:rFonts w:eastAsia="Times New Roman" w:cs="Tahoma"/>
          <w:b/>
          <w:color w:val="auto"/>
          <w:szCs w:val="24"/>
          <w:lang w:val="es-ES" w:eastAsia="es-ES"/>
        </w:rPr>
        <w:t>Causales de improcedencia y sobreseimiento.</w:t>
      </w:r>
      <w:r w:rsidRPr="00823DDB">
        <w:rPr>
          <w:rFonts w:eastAsia="Times New Roman" w:cs="Tahoma"/>
          <w:color w:val="auto"/>
          <w:szCs w:val="24"/>
          <w:lang w:val="es-ES" w:eastAsia="es-ES"/>
        </w:rPr>
        <w:t xml:space="preserve"> </w:t>
      </w:r>
    </w:p>
    <w:p w:rsidRPr="00823DDB" w:rsidR="00C853D1" w:rsidP="00C853D1"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823DDB" w:rsidR="00C853D1" w:rsidP="00C853D1"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823DDB">
        <w:rPr>
          <w:rFonts w:eastAsia="Times New Roman" w:cs="Tahoma"/>
          <w:color w:val="auto"/>
          <w:szCs w:val="24"/>
          <w:lang w:val="es-ES" w:eastAsia="es-ES"/>
        </w:rPr>
        <w:t xml:space="preserve">De las constancias que forma parte del Recurso de Revisión que se analiza, se advierte que previo al estudio del fondo de la </w:t>
      </w:r>
      <w:r w:rsidRPr="00823DDB">
        <w:rPr>
          <w:rFonts w:eastAsia="Times New Roman" w:cs="Tahoma"/>
          <w:i/>
          <w:color w:val="auto"/>
          <w:szCs w:val="24"/>
          <w:lang w:val="es-ES" w:eastAsia="es-ES"/>
        </w:rPr>
        <w:t>litis</w:t>
      </w:r>
      <w:r w:rsidRPr="00823DDB">
        <w:rPr>
          <w:rFonts w:eastAsia="Times New Roman" w:cs="Tahoma"/>
          <w:color w:val="auto"/>
          <w:szCs w:val="24"/>
          <w:lang w:val="es-ES" w:eastAsia="es-ES"/>
        </w:rPr>
        <w:t>, es necesario estudiar las causales de improcedencia y sobreseimiento que se adviertan, para determinar lo que en Derecho proceda.</w:t>
      </w:r>
    </w:p>
    <w:p w:rsidRPr="00823DDB" w:rsidR="00C853D1" w:rsidP="00C853D1"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823DDB" w:rsidR="00C853D1" w:rsidP="00C853D1"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823DDB">
        <w:rPr>
          <w:rFonts w:eastAsia="Calibri" w:cs="Tahoma"/>
          <w:b/>
          <w:color w:val="000000"/>
          <w:szCs w:val="24"/>
          <w:lang w:val="es-ES" w:eastAsia="es-MX"/>
        </w:rPr>
        <w:t>Causales de improcedencia.</w:t>
      </w:r>
      <w:r w:rsidRPr="00823DDB">
        <w:rPr>
          <w:rFonts w:eastAsia="Calibri" w:cs="Tahoma"/>
          <w:color w:val="000000"/>
          <w:szCs w:val="24"/>
          <w:lang w:val="es-ES" w:eastAsia="es-MX"/>
        </w:rPr>
        <w:t xml:space="preserve"> </w:t>
      </w:r>
    </w:p>
    <w:p w:rsidRPr="00823DDB" w:rsidR="00C853D1" w:rsidP="00C853D1"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823DDB" w:rsidR="00C853D1" w:rsidP="00C853D1" w:rsidRDefault="00C853D1" w14:paraId="0231FCB7" w14:textId="77777777">
      <w:pPr>
        <w:autoSpaceDE w:val="0"/>
        <w:autoSpaceDN w:val="0"/>
        <w:adjustRightInd w:val="0"/>
        <w:spacing w:after="0" w:line="360" w:lineRule="auto"/>
        <w:rPr>
          <w:rFonts w:eastAsia="Calibri" w:cs="Tahoma"/>
          <w:color w:val="000000"/>
          <w:lang w:val="es-ES" w:eastAsia="es-MX"/>
        </w:rPr>
      </w:pPr>
      <w:r w:rsidRPr="00823DDB">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823DDB">
        <w:rPr>
          <w:rFonts w:eastAsia="Calibri" w:cs="Tahoma"/>
          <w:b/>
          <w:bCs/>
          <w:color w:val="000000"/>
          <w:lang w:eastAsia="es-MX"/>
        </w:rPr>
        <w:t xml:space="preserve"> </w:t>
      </w:r>
      <w:r w:rsidRPr="00823DDB">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823DDB" w:rsidR="00C853D1" w:rsidP="00C853D1" w:rsidRDefault="00C853D1" w14:paraId="52B897E0" w14:textId="77777777">
      <w:pPr>
        <w:autoSpaceDE w:val="0"/>
        <w:autoSpaceDN w:val="0"/>
        <w:adjustRightInd w:val="0"/>
        <w:spacing w:after="0" w:line="360" w:lineRule="auto"/>
        <w:rPr>
          <w:rFonts w:eastAsia="Calibri" w:cs="Tahoma"/>
          <w:color w:val="000000"/>
          <w:lang w:eastAsia="es-MX"/>
        </w:rPr>
      </w:pPr>
    </w:p>
    <w:p w:rsidRPr="00823DDB" w:rsidR="00C853D1" w:rsidP="00C853D1" w:rsidRDefault="00C853D1" w14:paraId="0EA74A57" w14:textId="77777777">
      <w:pPr>
        <w:autoSpaceDE w:val="0"/>
        <w:autoSpaceDN w:val="0"/>
        <w:adjustRightInd w:val="0"/>
        <w:spacing w:after="0" w:line="360" w:lineRule="auto"/>
        <w:rPr>
          <w:rFonts w:eastAsia="Calibri" w:cs="Tahoma"/>
          <w:color w:val="000000"/>
          <w:lang w:eastAsia="es-MX"/>
        </w:rPr>
      </w:pPr>
      <w:r w:rsidRPr="00823DDB">
        <w:rPr>
          <w:rFonts w:eastAsia="Calibri" w:cs="Tahoma"/>
          <w:color w:val="000000"/>
          <w:lang w:eastAsia="es-MX"/>
        </w:rPr>
        <w:t xml:space="preserve">En el presente caso, </w:t>
      </w:r>
      <w:r w:rsidRPr="00823DDB">
        <w:rPr>
          <w:rFonts w:eastAsia="Calibri" w:cs="Tahoma"/>
          <w:b/>
          <w:color w:val="000000"/>
          <w:lang w:eastAsia="es-MX"/>
        </w:rPr>
        <w:t>no se actualiza ninguna de las causales de improcedencia</w:t>
      </w:r>
      <w:r w:rsidRPr="00823DDB">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823DDB" w:rsidR="00C853D1" w:rsidP="00C853D1" w:rsidRDefault="00C853D1" w14:paraId="42DBAD8B" w14:textId="77777777">
      <w:pPr>
        <w:spacing w:after="0" w:line="360" w:lineRule="auto"/>
        <w:rPr>
          <w:rFonts w:eastAsia="Times New Roman" w:cs="Tahoma"/>
          <w:b/>
          <w:bCs/>
          <w:color w:val="auto"/>
          <w:lang w:eastAsia="es-ES"/>
        </w:rPr>
      </w:pPr>
    </w:p>
    <w:p w:rsidRPr="00823DDB" w:rsidR="00164EDE" w:rsidP="00C853D1" w:rsidRDefault="00DD116F" w14:paraId="72D61E1E" w14:textId="44813E42">
      <w:pPr>
        <w:spacing w:after="0" w:line="360" w:lineRule="auto"/>
        <w:rPr>
          <w:rFonts w:eastAsia="Times New Roman" w:cs="Tahoma"/>
          <w:color w:val="auto"/>
          <w:lang w:eastAsia="es-ES"/>
        </w:rPr>
      </w:pPr>
      <w:r w:rsidRPr="00823DDB">
        <w:rPr>
          <w:rFonts w:eastAsia="Times New Roman" w:cs="Tahoma"/>
          <w:color w:val="auto"/>
          <w:lang w:eastAsia="es-ES"/>
        </w:rPr>
        <w:t xml:space="preserve">Asimismo, </w:t>
      </w:r>
      <w:r w:rsidRPr="00823DDB" w:rsidR="00C853D1">
        <w:rPr>
          <w:rFonts w:eastAsia="Times New Roman" w:cs="Tahoma"/>
          <w:color w:val="auto"/>
          <w:lang w:eastAsia="es-ES"/>
        </w:rPr>
        <w:t>se actualiza la causal de procedencia del Recurso de Revisión</w:t>
      </w:r>
      <w:r w:rsidRPr="00823DDB" w:rsidR="00D622C4">
        <w:rPr>
          <w:rFonts w:eastAsia="Times New Roman" w:cs="Tahoma"/>
          <w:color w:val="auto"/>
          <w:lang w:eastAsia="es-ES"/>
        </w:rPr>
        <w:t xml:space="preserve"> prevista en la fracción </w:t>
      </w:r>
      <w:r w:rsidRPr="00823DDB" w:rsidR="00247E83">
        <w:rPr>
          <w:rFonts w:eastAsia="Times New Roman" w:cs="Tahoma"/>
          <w:color w:val="auto"/>
          <w:lang w:eastAsia="es-ES"/>
        </w:rPr>
        <w:t>XII</w:t>
      </w:r>
      <w:r w:rsidRPr="00823DDB" w:rsidR="00662969">
        <w:rPr>
          <w:rFonts w:eastAsia="Times New Roman" w:cs="Tahoma"/>
          <w:color w:val="auto"/>
          <w:lang w:eastAsia="es-ES"/>
        </w:rPr>
        <w:t>I</w:t>
      </w:r>
      <w:r w:rsidRPr="00823DDB" w:rsidR="00B17B3B">
        <w:rPr>
          <w:rFonts w:eastAsia="Times New Roman" w:cs="Tahoma"/>
          <w:color w:val="auto"/>
          <w:lang w:eastAsia="es-ES"/>
        </w:rPr>
        <w:t>, del artículo 179, de la Ley de la Materia, ya que el agravio del hoy Recurrente consiste en</w:t>
      </w:r>
      <w:r w:rsidRPr="00823DDB" w:rsidR="004461BD">
        <w:rPr>
          <w:rFonts w:eastAsia="Times New Roman" w:cs="Tahoma"/>
          <w:color w:val="auto"/>
          <w:lang w:eastAsia="es-ES"/>
        </w:rPr>
        <w:t xml:space="preserve"> la </w:t>
      </w:r>
      <w:r w:rsidRPr="00823DDB" w:rsidR="00FD6038">
        <w:rPr>
          <w:rFonts w:eastAsia="Times New Roman" w:cs="Tahoma"/>
          <w:color w:val="auto"/>
          <w:lang w:eastAsia="es-ES"/>
        </w:rPr>
        <w:t xml:space="preserve">deficiencia de </w:t>
      </w:r>
      <w:r w:rsidRPr="00823DDB" w:rsidR="004353F2">
        <w:rPr>
          <w:rFonts w:eastAsia="Times New Roman" w:cs="Tahoma"/>
          <w:color w:val="auto"/>
          <w:lang w:eastAsia="es-ES"/>
        </w:rPr>
        <w:t>fundamentación y motivación de la respuesta del Sujeto Obligado.</w:t>
      </w:r>
    </w:p>
    <w:p w:rsidRPr="00823DDB" w:rsidR="00C853D1" w:rsidP="00C853D1" w:rsidRDefault="00C853D1" w14:paraId="3577CA43" w14:textId="77777777">
      <w:pPr>
        <w:spacing w:after="0" w:line="360" w:lineRule="auto"/>
        <w:rPr>
          <w:rFonts w:eastAsia="Times New Roman" w:cs="Tahoma"/>
          <w:bCs/>
          <w:color w:val="auto"/>
          <w:lang w:eastAsia="es-ES"/>
        </w:rPr>
      </w:pPr>
    </w:p>
    <w:p w:rsidRPr="00823DDB" w:rsidR="00D018EA" w:rsidP="00D018EA" w:rsidRDefault="00D018EA" w14:paraId="14D8C227" w14:textId="77777777">
      <w:pPr>
        <w:spacing w:after="0" w:line="360" w:lineRule="auto"/>
        <w:rPr>
          <w:rFonts w:eastAsia="Times New Roman" w:cs="Tahoma"/>
          <w:bCs/>
          <w:color w:val="0D0D0D"/>
          <w:lang w:eastAsia="es-ES"/>
        </w:rPr>
      </w:pPr>
      <w:r w:rsidRPr="00823DDB">
        <w:rPr>
          <w:rFonts w:eastAsia="Times New Roman" w:cs="Tahoma"/>
          <w:b/>
          <w:bCs/>
          <w:color w:val="0D0D0D"/>
          <w:lang w:eastAsia="es-ES"/>
        </w:rPr>
        <w:t>Causales de sobreseimiento.</w:t>
      </w:r>
    </w:p>
    <w:p w:rsidRPr="00823DDB" w:rsidR="00D018EA" w:rsidP="00D018EA" w:rsidRDefault="00D018EA" w14:paraId="5A9D0DA9" w14:textId="77777777">
      <w:pPr>
        <w:spacing w:after="0" w:line="360" w:lineRule="auto"/>
        <w:rPr>
          <w:rFonts w:eastAsia="Times New Roman" w:cs="Tahoma"/>
          <w:bCs/>
          <w:color w:val="0D0D0D"/>
          <w:lang w:eastAsia="es-ES"/>
        </w:rPr>
      </w:pPr>
    </w:p>
    <w:p w:rsidRPr="00823DDB" w:rsidR="002F4FAE" w:rsidP="002F4FAE" w:rsidRDefault="002F4FAE" w14:paraId="75397F20" w14:textId="77777777">
      <w:pPr>
        <w:spacing w:after="0" w:line="360" w:lineRule="auto"/>
        <w:rPr>
          <w:rFonts w:eastAsia="Times New Roman" w:cs="Times New Roman"/>
          <w:color w:val="000000"/>
          <w:lang w:eastAsia="es-MX"/>
        </w:rPr>
      </w:pPr>
      <w:r w:rsidRPr="00823DDB">
        <w:rPr>
          <w:rFonts w:eastAsia="Times New Roman" w:cs="Times New Roman"/>
          <w:color w:val="0D0D0D"/>
          <w:lang w:eastAsia="es-MX"/>
        </w:rPr>
        <w:t>Por ser de previo y especial pronunciamiento, este Instituto analiza si se actualiza alguna causal de sobreseimiento.</w:t>
      </w:r>
    </w:p>
    <w:p w:rsidRPr="00823DDB" w:rsidR="002F4FAE" w:rsidP="002F4FAE" w:rsidRDefault="002F4FAE" w14:paraId="39CED86D" w14:textId="77777777">
      <w:pPr>
        <w:spacing w:after="0" w:line="360" w:lineRule="auto"/>
        <w:rPr>
          <w:rFonts w:eastAsia="Times New Roman" w:cs="Times New Roman"/>
          <w:color w:val="000000"/>
          <w:lang w:eastAsia="es-MX"/>
        </w:rPr>
      </w:pPr>
    </w:p>
    <w:p w:rsidRPr="00823DDB" w:rsidR="002F4FAE" w:rsidP="002F4FAE" w:rsidRDefault="002F4FAE" w14:paraId="4F51AA6F" w14:textId="77777777">
      <w:pPr>
        <w:spacing w:after="0" w:line="360" w:lineRule="auto"/>
        <w:rPr>
          <w:rFonts w:eastAsia="Times New Roman" w:cs="Times New Roman"/>
          <w:color w:val="000000"/>
          <w:lang w:eastAsia="es-MX"/>
        </w:rPr>
      </w:pPr>
      <w:r w:rsidRPr="00823DDB">
        <w:rPr>
          <w:rFonts w:eastAsia="Times New Roman" w:cs="Times New Roman"/>
          <w:color w:val="0D0D0D"/>
          <w:lang w:eastAsia="es-MX"/>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823DDB">
        <w:rPr>
          <w:rFonts w:eastAsia="Times New Roman" w:cs="Times New Roman"/>
          <w:b/>
          <w:bCs/>
          <w:color w:val="0D0D0D"/>
          <w:lang w:eastAsia="es-MX"/>
        </w:rPr>
        <w:t xml:space="preserve"> no se configuran las causales establecidas en las fracciones I, II, III, y V, </w:t>
      </w:r>
      <w:r w:rsidRPr="00823DDB">
        <w:rPr>
          <w:rFonts w:eastAsia="Times New Roman" w:cs="Times New Roman"/>
          <w:color w:val="0D0D0D"/>
          <w:lang w:eastAsia="es-MX"/>
        </w:rPr>
        <w:t>toda vez que no hay constancias en el expediente en que se actúa, de que la Recurrente se haya desistido, fallecido, que el Sujeto Obligado hubiese modificado o revocado el acto impugnado o bien, haya quedado sin materia.</w:t>
      </w:r>
    </w:p>
    <w:p w:rsidRPr="00823DDB" w:rsidR="002F4FAE" w:rsidP="002F4FAE" w:rsidRDefault="002F4FAE" w14:paraId="0B044031" w14:textId="77777777">
      <w:pPr>
        <w:spacing w:after="0" w:line="360" w:lineRule="auto"/>
        <w:rPr>
          <w:rFonts w:eastAsia="Times New Roman" w:cs="Times New Roman"/>
          <w:color w:val="auto"/>
          <w:lang w:eastAsia="es-MX"/>
        </w:rPr>
      </w:pPr>
    </w:p>
    <w:p w:rsidRPr="00823DDB" w:rsidR="002F4FAE" w:rsidP="002F4FAE" w:rsidRDefault="002F4FAE" w14:paraId="3D1F3F70" w14:textId="77777777">
      <w:pPr>
        <w:spacing w:after="0" w:line="360" w:lineRule="auto"/>
        <w:rPr>
          <w:rFonts w:eastAsia="Times New Roman" w:cs="Times New Roman"/>
          <w:color w:val="auto"/>
          <w:lang w:eastAsia="es-MX"/>
        </w:rPr>
      </w:pPr>
      <w:r w:rsidRPr="00823DDB">
        <w:rPr>
          <w:rFonts w:eastAsia="Times New Roman" w:cs="Times New Roman"/>
          <w:color w:val="auto"/>
          <w:lang w:eastAsia="es-MX"/>
        </w:rPr>
        <w:t xml:space="preserve">En principio, resulta necesario hacer referencia a la hipótesis prevista en la </w:t>
      </w:r>
      <w:r w:rsidRPr="00823DDB">
        <w:rPr>
          <w:rFonts w:eastAsia="Times New Roman" w:cs="Times New Roman"/>
          <w:b/>
          <w:bCs/>
          <w:color w:val="auto"/>
          <w:lang w:eastAsia="es-MX"/>
        </w:rPr>
        <w:t>fracción IV</w:t>
      </w:r>
      <w:r w:rsidRPr="00823DDB">
        <w:rPr>
          <w:rFonts w:eastAsia="Times New Roman" w:cs="Times New Roman"/>
          <w:color w:val="auto"/>
          <w:lang w:eastAsia="es-MX"/>
        </w:rPr>
        <w:t>, a saber, que admitido una vez admitido el Recurso de Revisión, aparezca alguna causal de improcedencia en términos de la presente Ley, resulta necesario traer a colación</w:t>
      </w:r>
      <w:r w:rsidRPr="00823DDB">
        <w:rPr>
          <w:rFonts w:eastAsia="Times New Roman" w:cs="Times New Roman"/>
          <w:color w:val="auto"/>
          <w:lang w:val="es-ES" w:eastAsia="es-MX"/>
        </w:rPr>
        <w:t xml:space="preserve"> el artículo 191, fracción VI, de la Ley de la materia, que establece que el Recurso de Revisión será desechado por improcedente, cuando </w:t>
      </w:r>
      <w:r w:rsidRPr="00823DDB">
        <w:rPr>
          <w:rFonts w:eastAsia="Times New Roman" w:cs="Times New Roman"/>
          <w:b/>
          <w:bCs/>
          <w:color w:val="auto"/>
          <w:lang w:val="es-ES" w:eastAsia="es-MX"/>
        </w:rPr>
        <w:t>la solicitud de información se trate de una consulta.</w:t>
      </w:r>
    </w:p>
    <w:p w:rsidRPr="00823DDB" w:rsidR="002F4FAE" w:rsidP="002F4FAE" w:rsidRDefault="002F4FAE" w14:paraId="72D188E5" w14:textId="77777777">
      <w:pPr>
        <w:spacing w:after="0" w:line="360" w:lineRule="auto"/>
        <w:rPr>
          <w:rFonts w:eastAsia="Times New Roman" w:cs="Times New Roman"/>
          <w:color w:val="auto"/>
          <w:lang w:eastAsia="es-MX"/>
        </w:rPr>
      </w:pPr>
    </w:p>
    <w:p w:rsidRPr="00823DDB" w:rsidR="002F4FAE" w:rsidP="002F4FAE" w:rsidRDefault="002F4FAE" w14:paraId="6B7DB7E5" w14:textId="77777777">
      <w:pPr>
        <w:spacing w:after="0" w:line="360" w:lineRule="auto"/>
        <w:rPr>
          <w:rFonts w:eastAsia="Times New Roman" w:cs="Times New Roman"/>
          <w:color w:val="auto"/>
          <w:lang w:eastAsia="es-MX"/>
        </w:rPr>
      </w:pPr>
      <w:r w:rsidRPr="00823DDB">
        <w:rPr>
          <w:rFonts w:eastAsia="Times New Roman" w:cs="Times New Roman"/>
          <w:color w:val="auto"/>
          <w:lang w:eastAsia="es-MX"/>
        </w:rPr>
        <w:t xml:space="preserve">No obstante, con el fin de verificar si se actualiza la causal de improcedencia, es necesario precisar que el </w:t>
      </w:r>
      <w:r w:rsidRPr="00823DDB">
        <w:rPr>
          <w:rFonts w:eastAsia="Times New Roman" w:cs="Times New Roman"/>
          <w:color w:val="000000"/>
          <w:lang w:val="es-ES" w:eastAsia="es-MX"/>
        </w:rPr>
        <w:t>Recurrente requirió “</w:t>
      </w:r>
      <w:r w:rsidRPr="00823DDB">
        <w:rPr>
          <w:rFonts w:eastAsia="Times New Roman" w:cs="Times New Roman"/>
          <w:i/>
          <w:iCs/>
          <w:color w:val="auto"/>
          <w:lang w:eastAsia="es-MX"/>
        </w:rPr>
        <w:t xml:space="preserve">En términos de los artículos 1 y 8 Constitucionales, solicita se informe detalladamente porque la dirección de desarrollo urbano del municipio de </w:t>
      </w:r>
      <w:proofErr w:type="spellStart"/>
      <w:r w:rsidRPr="00823DDB">
        <w:rPr>
          <w:rFonts w:eastAsia="Times New Roman" w:cs="Times New Roman"/>
          <w:i/>
          <w:iCs/>
          <w:color w:val="auto"/>
          <w:lang w:eastAsia="es-MX"/>
        </w:rPr>
        <w:t>naucalpan</w:t>
      </w:r>
      <w:proofErr w:type="spellEnd"/>
      <w:r w:rsidRPr="00823DDB">
        <w:rPr>
          <w:rFonts w:eastAsia="Times New Roman" w:cs="Times New Roman"/>
          <w:i/>
          <w:iCs/>
          <w:color w:val="auto"/>
          <w:lang w:eastAsia="es-MX"/>
        </w:rPr>
        <w:t>, en el estado de México, expidió el cambio de uso de suelo y la licencia de construcción para realizar una obra de construcción del todo irregular en el: Lote 56 y 57, manzana XXXIV, correspondiente al número 124, de la calle Fuente de Pirámides, fraccionamiento Lomas de Tecamachalco, municipio de Naucalpan de Juárez, Estado de México.” (Sic)</w:t>
      </w:r>
    </w:p>
    <w:p w:rsidRPr="00823DDB" w:rsidR="002F4FAE" w:rsidP="002F4FAE" w:rsidRDefault="002F4FAE" w14:paraId="5104AC06" w14:textId="77777777">
      <w:pPr>
        <w:spacing w:after="0" w:line="360" w:lineRule="auto"/>
        <w:rPr>
          <w:rFonts w:eastAsia="Times New Roman" w:cs="Times New Roman"/>
          <w:color w:val="auto"/>
          <w:lang w:eastAsia="es-MX"/>
        </w:rPr>
      </w:pPr>
    </w:p>
    <w:p w:rsidRPr="00823DDB" w:rsidR="002F4FAE" w:rsidP="002F4FAE" w:rsidRDefault="002F4FAE" w14:paraId="3B48484F" w14:textId="77777777">
      <w:pPr>
        <w:spacing w:after="0" w:line="360" w:lineRule="auto"/>
        <w:rPr>
          <w:rFonts w:eastAsia="Times New Roman" w:cs="Times New Roman"/>
          <w:color w:val="auto"/>
          <w:lang w:eastAsia="es-MX"/>
        </w:rPr>
      </w:pPr>
      <w:r w:rsidRPr="00823DDB">
        <w:rPr>
          <w:rFonts w:eastAsia="Times New Roman" w:cs="Times New Roman"/>
          <w:color w:val="auto"/>
          <w:lang w:eastAsia="es-MX"/>
        </w:rPr>
        <w:t xml:space="preserve">Conforme a lo anterior, se logra vislumbrar que el Particular quiere conocer el por qué </w:t>
      </w:r>
      <w:r w:rsidRPr="00823DDB">
        <w:rPr>
          <w:rFonts w:eastAsia="Times New Roman" w:cs="Times New Roman"/>
          <w:iCs/>
          <w:color w:val="auto"/>
          <w:lang w:eastAsia="es-MX"/>
        </w:rPr>
        <w:t xml:space="preserve">la dirección de desarrollo urbano del Ayuntamiento de Naucalpan de Juárez, expidió el cambio de uso de suelo y la licencia de construcción para realizar una obra de construcción irregular, por lo que a decir de lo anterior, </w:t>
      </w:r>
      <w:r w:rsidRPr="00823DDB">
        <w:rPr>
          <w:rFonts w:eastAsia="Times New Roman" w:cs="Times New Roman"/>
          <w:color w:val="auto"/>
          <w:lang w:eastAsia="es-MX"/>
        </w:rPr>
        <w:t xml:space="preserve">implicaría que el Sujeto Obligado elaborara una expresión documental específica; sobre dicha situación, es necesario </w:t>
      </w:r>
      <w:r w:rsidRPr="00823DDB">
        <w:rPr>
          <w:rFonts w:eastAsia="Times New Roman" w:cs="Times New Roman"/>
          <w:color w:val="auto"/>
          <w:lang w:val="es-ES" w:eastAsia="es-MX"/>
        </w:rPr>
        <w:t xml:space="preserve">colación los artículos 2°, fracción </w:t>
      </w:r>
      <w:r w:rsidRPr="00823DDB">
        <w:rPr>
          <w:rFonts w:eastAsia="Times New Roman" w:cs="Times New Roman"/>
          <w:color w:val="auto"/>
          <w:lang w:val="es-ES" w:eastAsia="es-MX"/>
        </w:rPr>
        <w:lastRenderedPageBreak/>
        <w:t>II; </w:t>
      </w:r>
      <w:r w:rsidRPr="00823DDB">
        <w:rPr>
          <w:rFonts w:eastAsia="Times New Roman" w:cs="Times New Roman"/>
          <w:color w:val="auto"/>
          <w:lang w:eastAsia="es-MX"/>
        </w:rPr>
        <w:t xml:space="preserve">3°, fracción XI y 18 de </w:t>
      </w:r>
      <w:r w:rsidRPr="00823DDB">
        <w:rPr>
          <w:rFonts w:eastAsia="Times New Roman" w:cs="Times New Roman"/>
          <w:color w:val="auto"/>
          <w:lang w:val="es-ES" w:eastAsia="es-MX"/>
        </w:rPr>
        <w:t>la Ley de Transparencia y Acceso a la Información Pública del Estado de México y Municipios, los cuales disponen lo siguiente:</w:t>
      </w:r>
    </w:p>
    <w:p w:rsidRPr="00823DDB" w:rsidR="002F4FAE" w:rsidP="002F4FAE" w:rsidRDefault="002F4FAE" w14:paraId="5F0AC847" w14:textId="77777777">
      <w:pPr>
        <w:spacing w:after="0" w:line="360" w:lineRule="auto"/>
        <w:rPr>
          <w:rFonts w:eastAsia="Times New Roman" w:cs="Times New Roman"/>
          <w:color w:val="auto"/>
          <w:lang w:eastAsia="es-MX"/>
        </w:rPr>
      </w:pPr>
      <w:r w:rsidRPr="00823DDB">
        <w:rPr>
          <w:rFonts w:eastAsia="Times New Roman" w:cs="Times New Roman"/>
          <w:color w:val="auto"/>
          <w:lang w:eastAsia="es-MX"/>
        </w:rPr>
        <w:t> </w:t>
      </w:r>
    </w:p>
    <w:p w:rsidRPr="00823DDB" w:rsidR="002F4FAE" w:rsidP="002F4FAE" w:rsidRDefault="002F4FAE" w14:paraId="3BB233DE" w14:textId="77777777">
      <w:pPr>
        <w:numPr>
          <w:ilvl w:val="0"/>
          <w:numId w:val="25"/>
        </w:numPr>
        <w:spacing w:after="0" w:line="360" w:lineRule="auto"/>
        <w:jc w:val="left"/>
        <w:rPr>
          <w:rFonts w:eastAsia="Times New Roman" w:cs="Times New Roman"/>
          <w:color w:val="auto"/>
          <w:lang w:eastAsia="es-MX"/>
        </w:rPr>
      </w:pPr>
      <w:r w:rsidRPr="00823DDB">
        <w:rPr>
          <w:rFonts w:eastAsia="Times New Roman" w:cs="Times New Roman"/>
          <w:color w:val="auto"/>
          <w:lang w:eastAsia="es-MX"/>
        </w:rPr>
        <w:t>Que uno de los objetivos de la Ley es proveer lo necesario para garantizar a toda persona el derecho de acceso a la información pública, y</w:t>
      </w:r>
    </w:p>
    <w:p w:rsidRPr="00823DDB" w:rsidR="002F4FAE" w:rsidP="002F4FAE" w:rsidRDefault="002F4FAE" w14:paraId="3E7CB0F4" w14:textId="77777777">
      <w:pPr>
        <w:spacing w:after="0" w:line="360" w:lineRule="auto"/>
        <w:rPr>
          <w:rFonts w:eastAsia="Times New Roman" w:cs="Times New Roman"/>
          <w:color w:val="auto"/>
          <w:lang w:eastAsia="es-MX"/>
        </w:rPr>
      </w:pPr>
      <w:r w:rsidRPr="00823DDB">
        <w:rPr>
          <w:rFonts w:eastAsia="Times New Roman" w:cs="Times New Roman"/>
          <w:color w:val="auto"/>
          <w:lang w:eastAsia="es-MX"/>
        </w:rPr>
        <w:t> </w:t>
      </w:r>
    </w:p>
    <w:p w:rsidRPr="00823DDB" w:rsidR="002F4FAE" w:rsidP="002F4FAE" w:rsidRDefault="002F4FAE" w14:paraId="509D4A4B" w14:textId="77777777">
      <w:pPr>
        <w:numPr>
          <w:ilvl w:val="0"/>
          <w:numId w:val="26"/>
        </w:numPr>
        <w:spacing w:after="0" w:line="360" w:lineRule="auto"/>
        <w:jc w:val="left"/>
        <w:rPr>
          <w:rFonts w:eastAsia="Times New Roman" w:cs="Times New Roman"/>
          <w:color w:val="auto"/>
          <w:lang w:eastAsia="es-MX"/>
        </w:rPr>
      </w:pPr>
      <w:r w:rsidRPr="00823DDB">
        <w:rPr>
          <w:rFonts w:eastAsia="Times New Roman" w:cs="Times New Roman"/>
          <w:color w:val="auto"/>
          <w:lang w:eastAsia="es-MX"/>
        </w:rPr>
        <w:t xml:space="preserve">Que los </w:t>
      </w:r>
      <w:r w:rsidRPr="00823DDB">
        <w:rPr>
          <w:rFonts w:eastAsia="Times New Roman" w:cs="Times New Roman"/>
          <w:b/>
          <w:bCs/>
          <w:color w:val="auto"/>
          <w:lang w:eastAsia="es-MX"/>
        </w:rPr>
        <w:t xml:space="preserve">documentos </w:t>
      </w:r>
      <w:r w:rsidRPr="00823DDB">
        <w:rPr>
          <w:rFonts w:eastAsia="Times New Roman" w:cs="Times New Roman"/>
          <w:color w:val="auto"/>
          <w:lang w:eastAsia="es-MX"/>
        </w:rPr>
        <w:t xml:space="preserve">son los expedientes, reportes, estudios, actas, resoluciones, contratos, convenios, instructivos, notas, memorandos, estadísticas o </w:t>
      </w:r>
      <w:r w:rsidRPr="00823DDB">
        <w:rPr>
          <w:rFonts w:eastAsia="Times New Roman" w:cs="Times New Roman"/>
          <w:b/>
          <w:bCs/>
          <w:color w:val="auto"/>
          <w:lang w:eastAsia="es-MX"/>
        </w:rPr>
        <w:t>cualquier registro que documente el ejercicio de facultades, funciones y competencia</w:t>
      </w:r>
      <w:r w:rsidRPr="00823DDB">
        <w:rPr>
          <w:rFonts w:eastAsia="Times New Roman" w:cs="Times New Roman"/>
          <w:color w:val="auto"/>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rsidRPr="00823DDB" w:rsidR="002F4FAE" w:rsidP="002F4FAE" w:rsidRDefault="002F4FAE" w14:paraId="3D380E4A" w14:textId="77777777">
      <w:pPr>
        <w:spacing w:after="0" w:line="360" w:lineRule="auto"/>
        <w:rPr>
          <w:rFonts w:eastAsia="Times New Roman" w:cs="Times New Roman"/>
          <w:color w:val="auto"/>
          <w:lang w:eastAsia="es-MX"/>
        </w:rPr>
      </w:pPr>
    </w:p>
    <w:p w:rsidRPr="00823DDB" w:rsidR="002F4FAE" w:rsidP="002F4FAE" w:rsidRDefault="002F4FAE" w14:paraId="2A890E11" w14:textId="77777777">
      <w:pPr>
        <w:spacing w:after="0" w:line="360" w:lineRule="auto"/>
        <w:rPr>
          <w:rFonts w:eastAsia="Times New Roman" w:cs="Times New Roman"/>
          <w:color w:val="auto"/>
          <w:lang w:eastAsia="es-MX"/>
        </w:rPr>
      </w:pPr>
      <w:r w:rsidRPr="00823DDB">
        <w:rPr>
          <w:rFonts w:eastAsia="Times New Roman" w:cs="Times New Roman"/>
          <w:color w:val="auto"/>
          <w:lang w:eastAsia="es-MX"/>
        </w:rPr>
        <w:t xml:space="preserve">En razón de lo anterior, es necesario señalar que del análisis del requerimiento de información presentado ante el Ayuntamiento de Naucalpan de Juárez se logra colegir que el Particular requiere un pronunciamiento específico, a una situación concreta y determinada, lo cual implicaría que el Sujeto Obligado elaborara una respuesta delimitada y </w:t>
      </w:r>
      <w:r w:rsidRPr="00823DDB">
        <w:rPr>
          <w:rFonts w:eastAsia="Times New Roman" w:cs="Times New Roman"/>
          <w:i/>
          <w:iCs/>
          <w:color w:val="auto"/>
          <w:lang w:eastAsia="es-MX"/>
        </w:rPr>
        <w:t>ad hoc.</w:t>
      </w:r>
      <w:r w:rsidRPr="00823DDB">
        <w:rPr>
          <w:rFonts w:eastAsia="Times New Roman" w:cs="Times New Roman"/>
          <w:color w:val="auto"/>
          <w:lang w:eastAsia="es-MX"/>
        </w:rPr>
        <w:t> </w:t>
      </w:r>
    </w:p>
    <w:p w:rsidRPr="00823DDB" w:rsidR="002F4FAE" w:rsidP="002F4FAE" w:rsidRDefault="002F4FAE" w14:paraId="66ED6C34" w14:textId="77777777">
      <w:pPr>
        <w:spacing w:after="0" w:line="360" w:lineRule="auto"/>
        <w:rPr>
          <w:rFonts w:eastAsia="Times New Roman" w:cs="Times New Roman"/>
          <w:color w:val="auto"/>
          <w:lang w:eastAsia="es-MX"/>
        </w:rPr>
      </w:pPr>
    </w:p>
    <w:p w:rsidRPr="00823DDB" w:rsidR="002F4FAE" w:rsidP="002F4FAE" w:rsidRDefault="002F4FAE" w14:paraId="3D5CF26A" w14:textId="77777777">
      <w:pPr>
        <w:spacing w:after="0" w:line="360" w:lineRule="auto"/>
        <w:rPr>
          <w:rFonts w:eastAsia="Times New Roman" w:cs="Times New Roman"/>
          <w:color w:val="auto"/>
          <w:lang w:eastAsia="es-MX"/>
        </w:rPr>
      </w:pPr>
      <w:r w:rsidRPr="00823DDB">
        <w:rPr>
          <w:rFonts w:eastAsia="Times New Roman" w:cs="Times New Roman"/>
          <w:color w:val="auto"/>
          <w:lang w:eastAsia="es-MX"/>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w:t>
      </w:r>
      <w:r w:rsidRPr="00823DDB">
        <w:rPr>
          <w:rFonts w:eastAsia="Times New Roman" w:cs="Times New Roman"/>
          <w:b/>
          <w:bCs/>
          <w:color w:val="auto"/>
          <w:lang w:eastAsia="es-MX"/>
        </w:rPr>
        <w:t xml:space="preserve">generada, obtenida, adquirida, transformada </w:t>
      </w:r>
      <w:r w:rsidRPr="00823DDB">
        <w:rPr>
          <w:rFonts w:eastAsia="Times New Roman" w:cs="Times New Roman"/>
          <w:color w:val="auto"/>
          <w:lang w:eastAsia="es-MX"/>
        </w:rPr>
        <w:t xml:space="preserve">por los sujetos obligados, o en su caso, </w:t>
      </w:r>
      <w:r w:rsidRPr="00823DDB">
        <w:rPr>
          <w:rFonts w:eastAsia="Times New Roman" w:cs="Times New Roman"/>
          <w:b/>
          <w:bCs/>
          <w:color w:val="auto"/>
          <w:lang w:eastAsia="es-MX"/>
        </w:rPr>
        <w:t xml:space="preserve">la tengan en su posesión, será pública y accesible para cualquier persona. </w:t>
      </w:r>
      <w:r w:rsidRPr="00823DDB">
        <w:rPr>
          <w:rFonts w:eastAsia="Times New Roman" w:cs="Times New Roman"/>
          <w:color w:val="auto"/>
          <w:lang w:eastAsia="es-MX"/>
        </w:rPr>
        <w:t>A</w:t>
      </w:r>
      <w:r w:rsidRPr="00823DDB">
        <w:rPr>
          <w:rFonts w:eastAsia="Times New Roman" w:cs="Times New Roman"/>
          <w:color w:val="auto"/>
          <w:lang w:val="es-ES" w:eastAsia="es-MX"/>
        </w:rPr>
        <w:t xml:space="preserve">sí, se advierte que el derecho de acceso a la información, </w:t>
      </w:r>
      <w:r w:rsidRPr="00823DDB">
        <w:rPr>
          <w:rFonts w:eastAsia="Times New Roman" w:cs="Times New Roman"/>
          <w:color w:val="auto"/>
          <w:lang w:val="es-ES" w:eastAsia="es-MX"/>
        </w:rPr>
        <w:lastRenderedPageBreak/>
        <w:t xml:space="preserve">consiste en una prerrogativa de cualquier persona, a solicitar información pública que conste en </w:t>
      </w:r>
      <w:r w:rsidRPr="00823DDB">
        <w:rPr>
          <w:rFonts w:eastAsia="Times New Roman" w:cs="Times New Roman"/>
          <w:b/>
          <w:bCs/>
          <w:color w:val="auto"/>
          <w:lang w:val="es-ES" w:eastAsia="es-MX"/>
        </w:rPr>
        <w:t>documentos generados, obtenidos, adquiridos, transformados o que tengan en posesión los sujetos obligados.</w:t>
      </w:r>
    </w:p>
    <w:p w:rsidRPr="00823DDB" w:rsidR="002F4FAE" w:rsidP="002F4FAE" w:rsidRDefault="002F4FAE" w14:paraId="31CC9916" w14:textId="77777777">
      <w:pPr>
        <w:spacing w:after="0" w:line="360" w:lineRule="auto"/>
        <w:rPr>
          <w:rFonts w:eastAsia="Times New Roman" w:cs="Times New Roman"/>
          <w:color w:val="auto"/>
          <w:lang w:eastAsia="es-MX"/>
        </w:rPr>
      </w:pPr>
    </w:p>
    <w:p w:rsidRPr="00823DDB" w:rsidR="002F4FAE" w:rsidP="002F4FAE" w:rsidRDefault="002F4FAE" w14:paraId="1119ACE6" w14:textId="77777777">
      <w:pPr>
        <w:spacing w:after="0" w:line="360" w:lineRule="auto"/>
        <w:rPr>
          <w:rFonts w:eastAsia="Times New Roman" w:cs="Times New Roman"/>
          <w:color w:val="auto"/>
          <w:lang w:eastAsia="es-MX"/>
        </w:rPr>
      </w:pPr>
      <w:r w:rsidRPr="00823DDB">
        <w:rPr>
          <w:rFonts w:eastAsia="Times New Roman" w:cs="Times New Roman"/>
          <w:color w:val="auto"/>
          <w:lang w:eastAsia="es-MX"/>
        </w:rPr>
        <w:t>En ese orden de ideas, el artículo 3°, fracción VII, de la Ley General Transparencia, con</w:t>
      </w:r>
      <w:r w:rsidRPr="00823DDB">
        <w:rPr>
          <w:rFonts w:eastAsia="Times New Roman" w:cs="Times New Roman"/>
          <w:color w:val="000000"/>
          <w:lang w:eastAsia="es-MX"/>
        </w:rPr>
        <w:t xml:space="preserve"> </w:t>
      </w:r>
      <w:r w:rsidRPr="00823DDB">
        <w:rPr>
          <w:rFonts w:eastAsia="Times New Roman" w:cs="Times New Roman"/>
          <w:color w:val="000000"/>
          <w:lang w:val="es-ES" w:eastAsia="es-MX"/>
        </w:rPr>
        <w:t xml:space="preserve">relación al 3°, fracción XI, de la Ley Local de Transparencia, establecen que los documentos son los </w:t>
      </w:r>
      <w:r w:rsidRPr="00823DDB">
        <w:rPr>
          <w:rFonts w:eastAsia="Times New Roman" w:cs="Times New Roman"/>
          <w:color w:val="000000"/>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Pr="00823DDB" w:rsidR="002F4FAE" w:rsidP="002F4FAE" w:rsidRDefault="002F4FAE" w14:paraId="210AA71C" w14:textId="77777777">
      <w:pPr>
        <w:spacing w:after="0" w:line="360" w:lineRule="auto"/>
        <w:rPr>
          <w:rFonts w:eastAsia="Times New Roman" w:cs="Times New Roman"/>
          <w:color w:val="auto"/>
          <w:lang w:eastAsia="es-MX"/>
        </w:rPr>
      </w:pPr>
    </w:p>
    <w:p w:rsidRPr="00823DDB" w:rsidR="002F4FAE" w:rsidP="002F4FAE" w:rsidRDefault="002F4FAE" w14:paraId="30B98F73" w14:textId="77777777">
      <w:pPr>
        <w:spacing w:after="0" w:line="360" w:lineRule="auto"/>
        <w:rPr>
          <w:rFonts w:eastAsia="Times New Roman" w:cs="Times New Roman"/>
          <w:color w:val="auto"/>
          <w:lang w:eastAsia="es-MX"/>
        </w:rPr>
      </w:pPr>
      <w:r w:rsidRPr="00823DDB">
        <w:rPr>
          <w:rFonts w:eastAsia="Times New Roman" w:cs="Times New Roman"/>
          <w:color w:val="auto"/>
          <w:lang w:eastAsia="es-MX"/>
        </w:rPr>
        <w:t xml:space="preserve">Además, el artículo 3°, fracción XII, de la Ley de Transparencia y Acceso a la Información Pública del Estado de México y Municipio, establece que un documento electrónico es aquel </w:t>
      </w:r>
      <w:r w:rsidRPr="00823DDB">
        <w:rPr>
          <w:rFonts w:eastAsia="Times New Roman" w:cs="Times New Roman"/>
          <w:b/>
          <w:bCs/>
          <w:color w:val="auto"/>
          <w:lang w:eastAsia="es-MX"/>
        </w:rPr>
        <w:t xml:space="preserve">soporte escrito con caracteres alfanuméricos, archivo de imagen, video, audio o cualquier otro formato tecnológicamente disponible, que contenga información.  </w:t>
      </w:r>
    </w:p>
    <w:p w:rsidRPr="00823DDB" w:rsidR="002F4FAE" w:rsidP="002F4FAE" w:rsidRDefault="002F4FAE" w14:paraId="59C1040B" w14:textId="77777777">
      <w:pPr>
        <w:spacing w:after="0" w:line="360" w:lineRule="auto"/>
        <w:rPr>
          <w:rFonts w:eastAsia="Times New Roman" w:cs="Times New Roman"/>
          <w:color w:val="auto"/>
          <w:lang w:eastAsia="es-MX"/>
        </w:rPr>
      </w:pPr>
    </w:p>
    <w:p w:rsidRPr="00823DDB" w:rsidR="002F4FAE" w:rsidP="002F4FAE" w:rsidRDefault="002F4FAE" w14:paraId="5CC50EF5" w14:textId="77777777">
      <w:pPr>
        <w:spacing w:after="0" w:line="360" w:lineRule="auto"/>
        <w:rPr>
          <w:rFonts w:eastAsia="Times New Roman" w:cs="Times New Roman"/>
          <w:color w:val="auto"/>
          <w:lang w:eastAsia="es-MX"/>
        </w:rPr>
      </w:pPr>
      <w:r w:rsidRPr="00823DDB">
        <w:rPr>
          <w:rFonts w:eastAsia="Times New Roman" w:cs="Times New Roman"/>
          <w:color w:val="auto"/>
          <w:lang w:eastAsia="es-MX"/>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w:t>
      </w:r>
    </w:p>
    <w:p w:rsidRPr="00823DDB" w:rsidR="002F4FAE" w:rsidP="002F4FAE" w:rsidRDefault="002F4FAE" w14:paraId="0EDBBB9A" w14:textId="77777777">
      <w:pPr>
        <w:spacing w:after="0" w:line="360" w:lineRule="auto"/>
        <w:rPr>
          <w:rFonts w:eastAsia="Times New Roman" w:cs="Times New Roman"/>
          <w:color w:val="auto"/>
          <w:lang w:eastAsia="es-MX"/>
        </w:rPr>
      </w:pPr>
    </w:p>
    <w:p w:rsidRPr="00823DDB" w:rsidR="002F4FAE" w:rsidP="002F4FAE" w:rsidRDefault="002F4FAE" w14:paraId="1EB8BA52" w14:textId="77777777">
      <w:pPr>
        <w:spacing w:after="0" w:line="360" w:lineRule="auto"/>
        <w:rPr>
          <w:rFonts w:eastAsia="Times New Roman" w:cs="Times New Roman"/>
          <w:color w:val="auto"/>
          <w:lang w:eastAsia="es-MX"/>
        </w:rPr>
      </w:pPr>
      <w:r w:rsidRPr="00823DDB">
        <w:rPr>
          <w:rFonts w:eastAsia="Times New Roman" w:cs="Times New Roman"/>
          <w:color w:val="auto"/>
          <w:lang w:val="es-ES" w:eastAsia="es-MX"/>
        </w:rPr>
        <w:t>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rsidRPr="00823DDB" w:rsidR="002F4FAE" w:rsidP="002F4FAE" w:rsidRDefault="002F4FAE" w14:paraId="2FD0982F" w14:textId="77777777">
      <w:pPr>
        <w:spacing w:after="0" w:line="360" w:lineRule="auto"/>
        <w:rPr>
          <w:rFonts w:eastAsia="Times New Roman" w:cs="Times New Roman"/>
          <w:color w:val="auto"/>
          <w:lang w:eastAsia="es-MX"/>
        </w:rPr>
      </w:pPr>
    </w:p>
    <w:p w:rsidRPr="00823DDB" w:rsidR="002F4FAE" w:rsidP="002F4FAE" w:rsidRDefault="002F4FAE" w14:paraId="706B05FC" w14:textId="77777777">
      <w:pPr>
        <w:spacing w:after="0" w:line="360" w:lineRule="auto"/>
        <w:rPr>
          <w:rFonts w:eastAsia="Times New Roman" w:cs="Times New Roman"/>
          <w:color w:val="auto"/>
          <w:lang w:eastAsia="es-MX"/>
        </w:rPr>
      </w:pPr>
      <w:r w:rsidRPr="00823DDB">
        <w:rPr>
          <w:rFonts w:eastAsia="Times New Roman" w:cs="Times New Roman"/>
          <w:color w:val="auto"/>
          <w:lang w:val="es-ES" w:eastAsia="es-MX"/>
        </w:rPr>
        <w:t xml:space="preserve">De tales circunstancias, se colige que los sujetos obligados únicamente están constreñidos a proporcionar </w:t>
      </w:r>
      <w:r w:rsidRPr="00823DDB">
        <w:rPr>
          <w:rFonts w:eastAsia="Times New Roman" w:cs="Times New Roman"/>
          <w:b/>
          <w:bCs/>
          <w:color w:val="auto"/>
          <w:lang w:val="es-ES" w:eastAsia="es-MX"/>
        </w:rPr>
        <w:t>la documentación que obre en sus archivos</w:t>
      </w:r>
      <w:r w:rsidRPr="00823DDB">
        <w:rPr>
          <w:rFonts w:eastAsia="Times New Roman" w:cs="Times New Roman"/>
          <w:color w:val="auto"/>
          <w:lang w:val="es-ES" w:eastAsia="es-MX"/>
        </w:rPr>
        <w:t>; por lo que, no están obligados a generar o elaborar documentos </w:t>
      </w:r>
      <w:r w:rsidRPr="00823DDB">
        <w:rPr>
          <w:rFonts w:eastAsia="Times New Roman" w:cs="Times New Roman"/>
          <w:i/>
          <w:iCs/>
          <w:color w:val="auto"/>
          <w:lang w:val="es-ES" w:eastAsia="es-MX"/>
        </w:rPr>
        <w:t>ad hoc, </w:t>
      </w:r>
      <w:r w:rsidRPr="00823DDB">
        <w:rPr>
          <w:rFonts w:eastAsia="Times New Roman" w:cs="Times New Roman"/>
          <w:color w:val="auto"/>
          <w:lang w:val="es-ES" w:eastAsia="es-MX"/>
        </w:rPr>
        <w:t xml:space="preserve">como es el caso de proporcionar respuesta a un cuestionamiento. Robustece lo anterior el Criterio de Interpretación, con clave de control </w:t>
      </w:r>
      <w:r w:rsidRPr="00823DDB">
        <w:rPr>
          <w:rFonts w:eastAsia="Times New Roman" w:cs="Times New Roman"/>
          <w:color w:val="auto"/>
          <w:lang w:eastAsia="es-MX"/>
        </w:rPr>
        <w:t>SO/013/2017</w:t>
      </w:r>
      <w:r w:rsidRPr="00823DDB">
        <w:rPr>
          <w:rFonts w:eastAsia="Times New Roman" w:cs="Times New Roman"/>
          <w:color w:val="auto"/>
          <w:lang w:val="es-ES" w:eastAsia="es-MX"/>
        </w:rPr>
        <w:t>, de la Segunda Época, emitido por el Instituto Nacional de Transparencia, Acceso a la Información y Protección de Datos Personales, que a continuación se cita:</w:t>
      </w:r>
    </w:p>
    <w:p w:rsidRPr="00823DDB" w:rsidR="002F4FAE" w:rsidP="002F4FAE" w:rsidRDefault="002F4FAE" w14:paraId="54D17641" w14:textId="77777777">
      <w:pPr>
        <w:spacing w:after="0" w:line="360" w:lineRule="auto"/>
        <w:rPr>
          <w:rFonts w:eastAsia="Times New Roman" w:cs="Times New Roman"/>
          <w:color w:val="auto"/>
          <w:lang w:eastAsia="es-MX"/>
        </w:rPr>
      </w:pPr>
    </w:p>
    <w:p w:rsidRPr="00823DDB" w:rsidR="002F4FAE" w:rsidP="002F4FAE" w:rsidRDefault="002F4FAE" w14:paraId="02B27010" w14:textId="77777777">
      <w:pPr>
        <w:spacing w:after="0" w:line="360" w:lineRule="auto"/>
        <w:ind w:left="567" w:right="567"/>
        <w:rPr>
          <w:rFonts w:eastAsia="Times New Roman" w:cs="Times New Roman"/>
          <w:color w:val="auto"/>
          <w:sz w:val="20"/>
          <w:szCs w:val="20"/>
          <w:lang w:eastAsia="es-MX"/>
        </w:rPr>
      </w:pPr>
      <w:r w:rsidRPr="00823DDB">
        <w:rPr>
          <w:rFonts w:eastAsia="Times New Roman" w:cs="Times New Roman"/>
          <w:b/>
          <w:bCs/>
          <w:i/>
          <w:iCs/>
          <w:color w:val="auto"/>
          <w:sz w:val="20"/>
          <w:szCs w:val="20"/>
          <w:lang w:eastAsia="es-MX"/>
        </w:rPr>
        <w:t xml:space="preserve">“No existe obligación de elaborar documentos ad hoc para atender las solicitudes de acceso a la información. </w:t>
      </w:r>
      <w:r w:rsidRPr="00823DDB">
        <w:rPr>
          <w:rFonts w:eastAsia="Times New Roman" w:cs="Times New Roman"/>
          <w:i/>
          <w:iCs/>
          <w:color w:val="auto"/>
          <w:sz w:val="20"/>
          <w:szCs w:val="20"/>
          <w:lang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Pr="00823DDB" w:rsidR="002F4FAE" w:rsidP="002F4FAE" w:rsidRDefault="002F4FAE" w14:paraId="1281BE21" w14:textId="77777777">
      <w:pPr>
        <w:spacing w:after="0" w:line="360" w:lineRule="auto"/>
        <w:rPr>
          <w:rFonts w:eastAsia="Times New Roman" w:cs="Times New Roman"/>
          <w:color w:val="auto"/>
          <w:lang w:eastAsia="es-MX"/>
        </w:rPr>
      </w:pPr>
    </w:p>
    <w:p w:rsidRPr="00823DDB" w:rsidR="002F4FAE" w:rsidP="002F4FAE" w:rsidRDefault="002F4FAE" w14:paraId="1667A0D4" w14:textId="77777777">
      <w:pPr>
        <w:spacing w:after="0" w:line="360" w:lineRule="auto"/>
        <w:rPr>
          <w:rFonts w:eastAsia="Times New Roman" w:cs="Times New Roman"/>
          <w:color w:val="auto"/>
          <w:lang w:eastAsia="es-MX"/>
        </w:rPr>
      </w:pPr>
      <w:r w:rsidRPr="00823DDB">
        <w:rPr>
          <w:rFonts w:eastAsia="Times New Roman" w:cs="Times New Roman"/>
          <w:color w:val="auto"/>
          <w:lang w:val="es-ES" w:eastAsia="es-MX"/>
        </w:rPr>
        <w:t xml:space="preserve">Conforme a lo anterior, </w:t>
      </w:r>
      <w:r w:rsidRPr="00823DDB">
        <w:rPr>
          <w:rFonts w:eastAsia="Times New Roman" w:cs="Times New Roman"/>
          <w:b/>
          <w:bCs/>
          <w:color w:val="auto"/>
          <w:lang w:val="es-ES" w:eastAsia="es-MX"/>
        </w:rPr>
        <w:t>se advierte que la respuesta al cuestionamiento previamente referido constituye una consulta</w:t>
      </w:r>
      <w:r w:rsidRPr="00823DDB">
        <w:rPr>
          <w:rFonts w:eastAsia="Times New Roman" w:cs="Times New Roman"/>
          <w:color w:val="auto"/>
          <w:lang w:val="es-ES" w:eastAsia="es-MX"/>
        </w:rPr>
        <w:t xml:space="preserve"> y no así una solicitud de acceso a información pública que pueda ser atendida mediante una expresión documental; pues corresponde a una pregunta que implicaría elaborar un documento </w:t>
      </w:r>
      <w:r w:rsidRPr="00823DDB">
        <w:rPr>
          <w:rFonts w:eastAsia="Times New Roman" w:cs="Times New Roman"/>
          <w:i/>
          <w:iCs/>
          <w:color w:val="auto"/>
          <w:lang w:val="es-ES" w:eastAsia="es-MX"/>
        </w:rPr>
        <w:t>ad hoc</w:t>
      </w:r>
      <w:r w:rsidRPr="00823DDB">
        <w:rPr>
          <w:rFonts w:eastAsia="Times New Roman" w:cs="Times New Roman"/>
          <w:color w:val="auto"/>
          <w:lang w:val="es-ES" w:eastAsia="es-MX"/>
        </w:rPr>
        <w:t>, pues el Recurrente requiere que el Sujeto Obligado se manifieste sobre una situación específica y determinada, lo cual no obra en un documento generado previamente.</w:t>
      </w:r>
    </w:p>
    <w:p w:rsidRPr="00823DDB" w:rsidR="002F4FAE" w:rsidP="002F4FAE" w:rsidRDefault="002F4FAE" w14:paraId="2091AF46" w14:textId="77777777">
      <w:pPr>
        <w:spacing w:after="0" w:line="360" w:lineRule="auto"/>
        <w:rPr>
          <w:rFonts w:eastAsia="Times New Roman" w:cs="Times New Roman"/>
          <w:color w:val="auto"/>
          <w:lang w:eastAsia="es-MX"/>
        </w:rPr>
      </w:pPr>
    </w:p>
    <w:p w:rsidRPr="00823DDB" w:rsidR="002F4FAE" w:rsidP="002F4FAE" w:rsidRDefault="002F4FAE" w14:paraId="0FFDC422" w14:textId="77777777">
      <w:pPr>
        <w:spacing w:after="0" w:line="360" w:lineRule="auto"/>
        <w:rPr>
          <w:rFonts w:eastAsia="Times New Roman" w:cs="Times New Roman"/>
          <w:color w:val="auto"/>
          <w:lang w:eastAsia="es-MX"/>
        </w:rPr>
      </w:pPr>
      <w:r w:rsidRPr="00823DDB">
        <w:rPr>
          <w:rFonts w:eastAsia="Times New Roman" w:cs="Times New Roman"/>
          <w:color w:val="auto"/>
          <w:lang w:eastAsia="es-MX"/>
        </w:rPr>
        <w:t xml:space="preserve">Lo anterior toma relevancia, pues según Trujillo, Humberto (2019), en el “Diccionario de Transparencia y Acceso a la Información Pública” (p. 122), el derecho de petición, es un </w:t>
      </w:r>
      <w:r w:rsidRPr="00823DDB">
        <w:rPr>
          <w:rFonts w:eastAsia="Times New Roman" w:cs="Times New Roman"/>
          <w:color w:val="auto"/>
          <w:lang w:eastAsia="es-MX"/>
        </w:rPr>
        <w:lastRenderedPageBreak/>
        <w:t>prerrogativa constitucional que tienen las personas para solicitar o reclamar a las autoridades públicas; por lo que, las instancias deben recibirlas y realizar una respuesta. </w:t>
      </w:r>
    </w:p>
    <w:p w:rsidRPr="00823DDB" w:rsidR="002F4FAE" w:rsidP="002F4FAE" w:rsidRDefault="002F4FAE" w14:paraId="155A0C91" w14:textId="77777777">
      <w:pPr>
        <w:spacing w:after="0" w:line="360" w:lineRule="auto"/>
        <w:rPr>
          <w:rFonts w:eastAsia="Times New Roman" w:cs="Times New Roman"/>
          <w:color w:val="auto"/>
          <w:lang w:eastAsia="es-MX"/>
        </w:rPr>
      </w:pPr>
    </w:p>
    <w:p w:rsidRPr="00823DDB" w:rsidR="002F4FAE" w:rsidP="002F4FAE" w:rsidRDefault="002F4FAE" w14:paraId="3AA0E3B4" w14:textId="77777777">
      <w:pPr>
        <w:spacing w:after="0" w:line="360" w:lineRule="auto"/>
        <w:rPr>
          <w:rFonts w:eastAsia="Times New Roman" w:cs="Times New Roman"/>
          <w:color w:val="auto"/>
          <w:lang w:eastAsia="es-MX"/>
        </w:rPr>
      </w:pPr>
      <w:r w:rsidRPr="00823DDB">
        <w:rPr>
          <w:rFonts w:eastAsia="Times New Roman" w:cs="Times New Roman"/>
          <w:color w:val="auto"/>
          <w:lang w:val="es-ES" w:eastAsia="es-MX"/>
        </w:rPr>
        <w:t xml:space="preserve">Además, </w:t>
      </w:r>
      <w:r w:rsidRPr="00823DDB">
        <w:rPr>
          <w:rFonts w:eastAsia="Times New Roman" w:cs="Times New Roman"/>
          <w:color w:val="auto"/>
          <w:lang w:eastAsia="es-MX"/>
        </w:rPr>
        <w:t xml:space="preserve">la Jurisprudencia XXI.1o.P.A. J/27, de los Tribunales Colegiados de Circuito, localizada en la página 1406, del Semanario Judicial de la Federación y su Gaceta, Tomo </w:t>
      </w:r>
      <w:r w:rsidRPr="00823DDB">
        <w:rPr>
          <w:rFonts w:eastAsia="Times New Roman" w:cs="Times New Roman"/>
          <w:color w:val="auto"/>
          <w:lang w:val="es-ES" w:eastAsia="es-MX"/>
        </w:rPr>
        <w:t>XXXIII</w:t>
      </w:r>
      <w:r w:rsidRPr="00823DDB">
        <w:rPr>
          <w:rFonts w:eastAsia="Times New Roman" w:cs="Times New Roman"/>
          <w:color w:val="auto"/>
          <w:lang w:eastAsia="es-MX"/>
        </w:rPr>
        <w:t>, marzo 2011, Novena Época, que establece lo siguiente:</w:t>
      </w:r>
    </w:p>
    <w:p w:rsidRPr="00823DDB" w:rsidR="002F4FAE" w:rsidP="002F4FAE" w:rsidRDefault="002F4FAE" w14:paraId="494C3FBD" w14:textId="77777777">
      <w:pPr>
        <w:spacing w:after="0" w:line="360" w:lineRule="auto"/>
        <w:rPr>
          <w:rFonts w:eastAsia="Times New Roman" w:cs="Times New Roman"/>
          <w:color w:val="auto"/>
          <w:lang w:eastAsia="es-MX"/>
        </w:rPr>
      </w:pPr>
    </w:p>
    <w:p w:rsidRPr="00823DDB" w:rsidR="002F4FAE" w:rsidP="002F4FAE" w:rsidRDefault="002F4FAE" w14:paraId="0D361D37" w14:textId="77777777">
      <w:pPr>
        <w:spacing w:after="0" w:line="360" w:lineRule="auto"/>
        <w:ind w:left="567" w:right="567"/>
        <w:rPr>
          <w:rFonts w:eastAsia="Times New Roman" w:cs="Times New Roman"/>
          <w:color w:val="auto"/>
          <w:sz w:val="20"/>
          <w:szCs w:val="20"/>
          <w:lang w:eastAsia="es-MX"/>
        </w:rPr>
      </w:pPr>
      <w:r w:rsidRPr="00823DDB">
        <w:rPr>
          <w:rFonts w:eastAsia="Times New Roman" w:cs="Times New Roman"/>
          <w:b/>
          <w:bCs/>
          <w:i/>
          <w:iCs/>
          <w:color w:val="auto"/>
          <w:sz w:val="20"/>
          <w:szCs w:val="20"/>
          <w:lang w:val="es-ES" w:eastAsia="es-MX"/>
        </w:rPr>
        <w:t xml:space="preserve">“DERECHO DE PETICIÓN. SUS ELEMENTOS. </w:t>
      </w:r>
      <w:r w:rsidRPr="00823DDB">
        <w:rPr>
          <w:rFonts w:eastAsia="Times New Roman" w:cs="Times New Roman"/>
          <w:i/>
          <w:iCs/>
          <w:color w:val="auto"/>
          <w:sz w:val="20"/>
          <w:szCs w:val="20"/>
          <w:lang w:val="es-ES" w:eastAsia="es-MX"/>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Pr="00823DDB" w:rsidR="002F4FAE" w:rsidP="002F4FAE" w:rsidRDefault="002F4FAE" w14:paraId="700B7B81" w14:textId="77777777">
      <w:pPr>
        <w:spacing w:after="0" w:line="360" w:lineRule="auto"/>
        <w:rPr>
          <w:rFonts w:eastAsia="Times New Roman" w:cs="Times New Roman"/>
          <w:color w:val="auto"/>
          <w:lang w:eastAsia="es-MX"/>
        </w:rPr>
      </w:pPr>
    </w:p>
    <w:p w:rsidRPr="00823DDB" w:rsidR="002F4FAE" w:rsidP="002F4FAE" w:rsidRDefault="002F4FAE" w14:paraId="038DEA5F" w14:textId="77777777">
      <w:pPr>
        <w:spacing w:after="0" w:line="360" w:lineRule="auto"/>
        <w:rPr>
          <w:rFonts w:eastAsia="Times New Roman" w:cs="Times New Roman"/>
          <w:color w:val="auto"/>
          <w:lang w:val="es-ES" w:eastAsia="es-MX"/>
        </w:rPr>
      </w:pPr>
      <w:r w:rsidRPr="00823DDB">
        <w:rPr>
          <w:rFonts w:eastAsia="Times New Roman" w:cs="Times New Roman"/>
          <w:color w:val="auto"/>
          <w:lang w:val="es-ES" w:eastAsia="es-MX"/>
        </w:rPr>
        <w:t xml:space="preserve">De la Jurisprudencia citada, se advierte que el derecho de petición, es una prerrogativa individual consagrada en el artículo 8° de la Constitución Política de los Estados Unidos Mexicanos, con el fin de que cualquier ciudadano o persona, presente una petición de manera </w:t>
      </w:r>
      <w:r w:rsidRPr="00823DDB">
        <w:rPr>
          <w:rFonts w:eastAsia="Times New Roman" w:cs="Times New Roman"/>
          <w:color w:val="auto"/>
          <w:lang w:val="es-ES" w:eastAsia="es-MX"/>
        </w:rPr>
        <w:lastRenderedPageBreak/>
        <w:t>pacífica y respetuosa (pregunta, consulta, duda, acción, entre otros), ante una autoridad, por lo que, tiene derecho de recibir una respuesta.</w:t>
      </w:r>
    </w:p>
    <w:p w:rsidRPr="00823DDB" w:rsidR="002F4FAE" w:rsidP="002F4FAE" w:rsidRDefault="002F4FAE" w14:paraId="63A2244C" w14:textId="77777777">
      <w:pPr>
        <w:spacing w:after="0" w:line="360" w:lineRule="auto"/>
        <w:rPr>
          <w:rFonts w:eastAsia="Times New Roman" w:cs="Times New Roman"/>
          <w:color w:val="auto"/>
          <w:lang w:eastAsia="es-MX"/>
        </w:rPr>
      </w:pPr>
    </w:p>
    <w:p w:rsidRPr="00823DDB" w:rsidR="002F4FAE" w:rsidP="002F4FAE" w:rsidRDefault="002F4FAE" w14:paraId="457492C9" w14:textId="28F54196">
      <w:pPr>
        <w:spacing w:after="0" w:line="360" w:lineRule="auto"/>
        <w:rPr>
          <w:rFonts w:eastAsia="Times New Roman" w:cs="Tahoma"/>
          <w:bCs/>
          <w:color w:val="0D0D0D"/>
          <w:lang w:val="es-ES" w:eastAsia="es-ES"/>
        </w:rPr>
      </w:pPr>
      <w:r w:rsidRPr="00823DDB">
        <w:rPr>
          <w:rFonts w:eastAsia="Times New Roman" w:cs="Tahoma"/>
          <w:bCs/>
          <w:color w:val="0D0D0D"/>
          <w:lang w:val="es-ES" w:eastAsia="es-ES"/>
        </w:rPr>
        <w:t xml:space="preserve">De tal circunstancia, se puede colegir que el requerimiento de información realizado por el Recurrente, se trata de una consulta y derecho de petición que implicaría la generación de un documento </w:t>
      </w:r>
      <w:r w:rsidRPr="00823DDB">
        <w:rPr>
          <w:rFonts w:eastAsia="Times New Roman" w:cs="Tahoma"/>
          <w:bCs/>
          <w:i/>
          <w:iCs/>
          <w:color w:val="0D0D0D"/>
          <w:lang w:val="es-ES" w:eastAsia="es-ES"/>
        </w:rPr>
        <w:t>ad hoc</w:t>
      </w:r>
      <w:r w:rsidRPr="00823DDB">
        <w:rPr>
          <w:rFonts w:eastAsia="Times New Roman" w:cs="Tahoma"/>
          <w:bCs/>
          <w:color w:val="0D0D0D"/>
          <w:lang w:val="es-ES" w:eastAsia="es-ES"/>
        </w:rPr>
        <w:t>, y, por lo tanto, no es procedente la vía del derecho de acceso a la información</w:t>
      </w:r>
    </w:p>
    <w:p w:rsidRPr="00823DDB" w:rsidR="00D37588" w:rsidP="002F4FAE" w:rsidRDefault="00D37588" w14:paraId="63E1DDB3" w14:textId="77777777">
      <w:pPr>
        <w:spacing w:after="0" w:line="360" w:lineRule="auto"/>
        <w:rPr>
          <w:rFonts w:eastAsia="Times New Roman" w:cs="Tahoma"/>
          <w:bCs/>
          <w:color w:val="0D0D0D"/>
          <w:lang w:val="es-ES" w:eastAsia="es-ES"/>
        </w:rPr>
      </w:pPr>
    </w:p>
    <w:p w:rsidRPr="00823DDB" w:rsidR="00D37588" w:rsidP="00D37588" w:rsidRDefault="00D37588" w14:paraId="6CC16A42" w14:textId="77777777">
      <w:pPr>
        <w:spacing w:after="0" w:line="360" w:lineRule="auto"/>
        <w:rPr>
          <w:rFonts w:eastAsia="Times New Roman" w:cs="Tahoma"/>
          <w:bCs/>
          <w:color w:val="auto"/>
          <w:lang w:val="es-ES" w:eastAsia="es-ES"/>
        </w:rPr>
      </w:pPr>
      <w:r w:rsidRPr="00823DDB">
        <w:rPr>
          <w:rFonts w:eastAsia="Times New Roman" w:cs="Tahoma"/>
          <w:bCs/>
          <w:color w:val="auto"/>
          <w:lang w:val="es-ES" w:eastAsia="es-ES"/>
        </w:rPr>
        <w:t xml:space="preserve">En consecuencia, en virtud de que parte de la solicitud de acceso a la información se trata de una consulta, que implicaría que el Sujeto Obligado realizará un pronunciamiento especifico a diversas preguntas y elaborara un documento que de contestación estas, parte del Recurso de Revisión </w:t>
      </w:r>
      <w:r w:rsidRPr="00823DDB">
        <w:rPr>
          <w:rFonts w:eastAsia="Times New Roman" w:cs="Tahoma"/>
          <w:b/>
          <w:bCs/>
          <w:color w:val="auto"/>
          <w:lang w:val="es-ES" w:eastAsia="es-ES"/>
        </w:rPr>
        <w:t xml:space="preserve">actualiza la causal de </w:t>
      </w:r>
      <w:proofErr w:type="spellStart"/>
      <w:r w:rsidRPr="00823DDB">
        <w:rPr>
          <w:rFonts w:eastAsia="Times New Roman" w:cs="Tahoma"/>
          <w:b/>
          <w:bCs/>
          <w:color w:val="auto"/>
          <w:lang w:val="es-ES" w:eastAsia="es-ES"/>
        </w:rPr>
        <w:t>desechamiento</w:t>
      </w:r>
      <w:proofErr w:type="spellEnd"/>
      <w:r w:rsidRPr="00823DDB">
        <w:rPr>
          <w:rFonts w:eastAsia="Times New Roman" w:cs="Tahoma"/>
          <w:b/>
          <w:bCs/>
          <w:color w:val="auto"/>
          <w:lang w:val="es-ES" w:eastAsia="es-ES"/>
        </w:rPr>
        <w:t xml:space="preserve"> establecida en el artículo 191, fracción VI, de la Ley de Transparencia y Acceso a la Información Pública del Estado de México y Municipios, únicamente por lo que, hace a dichos pedimentos; </w:t>
      </w:r>
      <w:r w:rsidRPr="00823DDB">
        <w:rPr>
          <w:rFonts w:eastAsia="Times New Roman" w:cs="Tahoma"/>
          <w:bCs/>
          <w:color w:val="auto"/>
          <w:lang w:val="es-ES" w:eastAsia="es-ES"/>
        </w:rPr>
        <w:t xml:space="preserve">no obstante toda vez que, fue necesario admitir el Medio de Impugnación, en virtud de que el ahora Recurrente se inconformó con la falta de respuesta,  lo procedente es </w:t>
      </w:r>
      <w:r w:rsidRPr="00823DDB">
        <w:rPr>
          <w:rFonts w:eastAsia="Times New Roman" w:cs="Tahoma"/>
          <w:b/>
          <w:bCs/>
          <w:color w:val="auto"/>
          <w:lang w:val="es-ES" w:eastAsia="es-ES"/>
        </w:rPr>
        <w:t xml:space="preserve">SOBRESEER PARCIALMENTE </w:t>
      </w:r>
      <w:r w:rsidRPr="00823DDB">
        <w:rPr>
          <w:rFonts w:eastAsia="Times New Roman" w:cs="Tahoma"/>
          <w:bCs/>
          <w:color w:val="auto"/>
          <w:lang w:val="es-ES" w:eastAsia="es-ES"/>
        </w:rPr>
        <w:t>el presente Recurso de Revisión, al actualizarse el supuesto previsto en el artículo 192, fracción IV, en relación con el diverso 186, fracción I, de ese ordenamiento legal.</w:t>
      </w:r>
    </w:p>
    <w:p w:rsidRPr="00823DDB" w:rsidR="00D37588" w:rsidP="002F4FAE" w:rsidRDefault="00D37588" w14:paraId="6B02FD6F" w14:textId="77777777">
      <w:pPr>
        <w:spacing w:after="0" w:line="360" w:lineRule="auto"/>
        <w:rPr>
          <w:rFonts w:eastAsia="Times New Roman" w:cs="Tahoma"/>
          <w:bCs/>
          <w:color w:val="0D0D0D"/>
          <w:lang w:val="es-ES" w:eastAsia="es-ES"/>
        </w:rPr>
      </w:pPr>
    </w:p>
    <w:p w:rsidRPr="00823DDB" w:rsidR="00C853D1" w:rsidP="00C853D1" w:rsidRDefault="00C853D1" w14:paraId="554D6B44" w14:textId="77777777">
      <w:pPr>
        <w:spacing w:after="0" w:line="360" w:lineRule="auto"/>
        <w:rPr>
          <w:rFonts w:eastAsia="Times New Roman" w:cs="Tahoma"/>
          <w:b/>
          <w:bCs/>
          <w:iCs/>
          <w:color w:val="auto"/>
          <w:lang w:val="es-ES" w:eastAsia="es-ES"/>
        </w:rPr>
      </w:pPr>
      <w:r w:rsidRPr="00823DDB">
        <w:rPr>
          <w:rFonts w:eastAsia="Times New Roman" w:cs="Tahoma"/>
          <w:b/>
          <w:bCs/>
          <w:iCs/>
          <w:color w:val="auto"/>
          <w:lang w:val="es-ES" w:eastAsia="es-ES"/>
        </w:rPr>
        <w:t xml:space="preserve">TERCERO. Determinación de la Controversia. </w:t>
      </w:r>
    </w:p>
    <w:p w:rsidRPr="00823DDB" w:rsidR="00C853D1" w:rsidP="00C853D1"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823DDB" w:rsidR="0014603F" w:rsidP="001262EE" w:rsidRDefault="00A822CB" w14:paraId="28740019" w14:textId="0021AEC8">
      <w:pPr>
        <w:autoSpaceDE w:val="0"/>
        <w:autoSpaceDN w:val="0"/>
        <w:adjustRightInd w:val="0"/>
        <w:spacing w:after="0" w:line="360" w:lineRule="auto"/>
        <w:rPr>
          <w:rFonts w:eastAsia="Calibri" w:cs="Tahoma"/>
          <w:color w:val="000000"/>
          <w:lang w:val="es-ES" w:eastAsia="es-MX"/>
        </w:rPr>
      </w:pPr>
      <w:r w:rsidRPr="00823DDB">
        <w:rPr>
          <w:rFonts w:eastAsia="Calibri" w:cs="Tahoma"/>
          <w:color w:val="000000"/>
          <w:szCs w:val="24"/>
          <w:lang w:val="es-ES" w:eastAsia="es-MX"/>
        </w:rPr>
        <w:t>Atendiendo a los antecedentes expuestos en párrafos anteriores, a efectos de fijar la materia a dilucidar se advierte que el Particular solicitó</w:t>
      </w:r>
      <w:r w:rsidRPr="00823DDB" w:rsidR="00EF399A">
        <w:rPr>
          <w:rFonts w:eastAsia="Calibri" w:cs="Tahoma"/>
          <w:color w:val="000000"/>
          <w:szCs w:val="24"/>
          <w:lang w:val="es-ES" w:eastAsia="es-MX"/>
        </w:rPr>
        <w:t xml:space="preserve"> al </w:t>
      </w:r>
      <w:r w:rsidRPr="00823DDB" w:rsidR="00EF399A">
        <w:rPr>
          <w:rFonts w:eastAsia="Calibri" w:cs="Tahoma"/>
          <w:color w:val="000000"/>
          <w:szCs w:val="24"/>
          <w:lang w:eastAsia="es-MX"/>
        </w:rPr>
        <w:t>Ayuntamiento de Naucalpan de Juárez</w:t>
      </w:r>
      <w:r w:rsidRPr="00823DDB" w:rsidR="001262EE">
        <w:rPr>
          <w:rFonts w:eastAsia="Calibri" w:cs="Tahoma"/>
          <w:color w:val="000000"/>
          <w:szCs w:val="24"/>
          <w:lang w:eastAsia="es-MX"/>
        </w:rPr>
        <w:t xml:space="preserve"> la </w:t>
      </w:r>
      <w:r w:rsidRPr="00823DDB" w:rsidR="001B0181">
        <w:rPr>
          <w:rFonts w:eastAsia="Calibri" w:cs="Tahoma"/>
          <w:color w:val="000000"/>
          <w:lang w:val="es-ES" w:eastAsia="es-MX"/>
        </w:rPr>
        <w:t>autorización de cambio de uso de suelo vigente y de la licencia de construcción</w:t>
      </w:r>
      <w:r w:rsidRPr="00823DDB" w:rsidR="001262EE">
        <w:rPr>
          <w:rFonts w:eastAsia="Calibri" w:cs="Tahoma"/>
          <w:color w:val="000000"/>
          <w:lang w:val="es-ES" w:eastAsia="es-MX"/>
        </w:rPr>
        <w:t xml:space="preserve"> del Lote 56 y 57, manzana XXXIV, correspondiente al número 124, de la calle Fuente de Pirámides, fraccionamiento Lomas de Tecamachalco</w:t>
      </w:r>
      <w:r w:rsidRPr="00823DDB" w:rsidR="001D3F10">
        <w:rPr>
          <w:rFonts w:eastAsia="Calibri" w:cs="Tahoma"/>
          <w:color w:val="000000"/>
          <w:lang w:val="es-ES" w:eastAsia="es-MX"/>
        </w:rPr>
        <w:t>.</w:t>
      </w:r>
    </w:p>
    <w:p w:rsidRPr="00823DDB" w:rsidR="005715C8" w:rsidP="00C853D1" w:rsidRDefault="005715C8" w14:paraId="2273C12C" w14:textId="77777777">
      <w:pPr>
        <w:autoSpaceDE w:val="0"/>
        <w:autoSpaceDN w:val="0"/>
        <w:adjustRightInd w:val="0"/>
        <w:spacing w:after="0" w:line="360" w:lineRule="auto"/>
        <w:rPr>
          <w:rFonts w:eastAsia="Calibri" w:cs="Tahoma"/>
          <w:color w:val="000000"/>
          <w:szCs w:val="24"/>
          <w:lang w:val="es-ES" w:eastAsia="es-MX"/>
        </w:rPr>
      </w:pPr>
    </w:p>
    <w:p w:rsidRPr="00823DDB" w:rsidR="000B2842" w:rsidP="00C853D1" w:rsidRDefault="0061164D" w14:paraId="6E950398" w14:textId="42FD438A">
      <w:pPr>
        <w:autoSpaceDE w:val="0"/>
        <w:autoSpaceDN w:val="0"/>
        <w:adjustRightInd w:val="0"/>
        <w:spacing w:after="0" w:line="360" w:lineRule="auto"/>
        <w:rPr>
          <w:rFonts w:eastAsia="Calibri" w:cs="Tahoma"/>
          <w:color w:val="000000"/>
          <w:szCs w:val="24"/>
          <w:lang w:eastAsia="es-MX"/>
        </w:rPr>
      </w:pPr>
      <w:r w:rsidRPr="00823DDB">
        <w:rPr>
          <w:rFonts w:eastAsia="Calibri" w:cs="Tahoma"/>
          <w:color w:val="000000"/>
          <w:szCs w:val="24"/>
          <w:lang w:val="es-ES" w:eastAsia="es-MX"/>
        </w:rPr>
        <w:lastRenderedPageBreak/>
        <w:t xml:space="preserve">En respuesta, el Sujeto Obligado a través de su Titular de la Unidad de Transparencia, </w:t>
      </w:r>
      <w:r w:rsidRPr="00823DDB" w:rsidR="004D4218">
        <w:rPr>
          <w:rFonts w:eastAsia="Calibri" w:cs="Tahoma"/>
          <w:color w:val="000000"/>
          <w:szCs w:val="24"/>
          <w:lang w:val="es-ES" w:eastAsia="es-MX"/>
        </w:rPr>
        <w:t xml:space="preserve">hizo del conocimiento </w:t>
      </w:r>
      <w:r w:rsidRPr="00823DDB" w:rsidR="005050F1">
        <w:rPr>
          <w:rFonts w:eastAsia="Calibri" w:cs="Tahoma"/>
          <w:color w:val="000000"/>
          <w:szCs w:val="24"/>
          <w:lang w:val="es-ES" w:eastAsia="es-MX"/>
        </w:rPr>
        <w:t xml:space="preserve">del Solicitante que el derecho de acceso a la información pública </w:t>
      </w:r>
      <w:r w:rsidRPr="00823DDB" w:rsidR="005050F1">
        <w:rPr>
          <w:rFonts w:eastAsia="Calibri" w:cs="Tahoma"/>
          <w:color w:val="000000"/>
          <w:szCs w:val="24"/>
          <w:lang w:eastAsia="es-MX"/>
        </w:rPr>
        <w:t>está supeditado por un principio de</w:t>
      </w:r>
      <w:r w:rsidRPr="00823DDB" w:rsidR="00FB63E6">
        <w:rPr>
          <w:rFonts w:eastAsia="Calibri" w:cs="Tahoma"/>
          <w:color w:val="000000"/>
          <w:szCs w:val="24"/>
          <w:lang w:eastAsia="es-MX"/>
        </w:rPr>
        <w:t xml:space="preserve"> preexistencia</w:t>
      </w:r>
      <w:r w:rsidRPr="00823DDB" w:rsidR="005050F1">
        <w:rPr>
          <w:rFonts w:eastAsia="Calibri" w:cs="Tahoma"/>
          <w:color w:val="000000"/>
          <w:szCs w:val="24"/>
          <w:lang w:eastAsia="es-MX"/>
        </w:rPr>
        <w:t xml:space="preserve"> de la información, pues no hay disposición que obligue a las entidades públicas a generar información, ni mucho menos, </w:t>
      </w:r>
      <w:r w:rsidRPr="00823DDB" w:rsidR="00FB63E6">
        <w:rPr>
          <w:rFonts w:eastAsia="Calibri" w:cs="Tahoma"/>
          <w:color w:val="000000"/>
          <w:szCs w:val="24"/>
          <w:lang w:eastAsia="es-MX"/>
        </w:rPr>
        <w:t>valoración.</w:t>
      </w:r>
      <w:r w:rsidRPr="00823DDB" w:rsidR="005050F1">
        <w:rPr>
          <w:rFonts w:eastAsia="Calibri" w:cs="Tahoma"/>
          <w:color w:val="000000"/>
          <w:szCs w:val="24"/>
          <w:lang w:eastAsia="es-MX"/>
        </w:rPr>
        <w:t>es u opiniones de ningún tipo respecto de los alcances de un documento en específico</w:t>
      </w:r>
      <w:r w:rsidRPr="00823DDB" w:rsidR="00E92574">
        <w:rPr>
          <w:rFonts w:eastAsia="Calibri" w:cs="Tahoma"/>
          <w:color w:val="000000"/>
          <w:szCs w:val="24"/>
          <w:lang w:eastAsia="es-MX"/>
        </w:rPr>
        <w:t xml:space="preserve">. </w:t>
      </w:r>
    </w:p>
    <w:p w:rsidRPr="00823DDB" w:rsidR="00E92574" w:rsidP="00C853D1" w:rsidRDefault="00E92574" w14:paraId="02477649" w14:textId="77777777">
      <w:pPr>
        <w:autoSpaceDE w:val="0"/>
        <w:autoSpaceDN w:val="0"/>
        <w:adjustRightInd w:val="0"/>
        <w:spacing w:after="0" w:line="360" w:lineRule="auto"/>
        <w:rPr>
          <w:rFonts w:eastAsia="Calibri" w:cs="Tahoma"/>
          <w:color w:val="000000"/>
          <w:szCs w:val="24"/>
          <w:lang w:eastAsia="es-MX"/>
        </w:rPr>
      </w:pPr>
    </w:p>
    <w:p w:rsidRPr="00823DDB" w:rsidR="00E92574" w:rsidP="00C853D1" w:rsidRDefault="00E92574" w14:paraId="0C265A73" w14:textId="6B94B400">
      <w:pPr>
        <w:autoSpaceDE w:val="0"/>
        <w:autoSpaceDN w:val="0"/>
        <w:adjustRightInd w:val="0"/>
        <w:spacing w:after="0" w:line="360" w:lineRule="auto"/>
        <w:rPr>
          <w:rFonts w:eastAsia="Calibri" w:cs="Tahoma"/>
          <w:color w:val="000000"/>
          <w:szCs w:val="24"/>
          <w:lang w:eastAsia="es-MX"/>
        </w:rPr>
      </w:pPr>
      <w:r w:rsidRPr="00823DDB">
        <w:rPr>
          <w:rFonts w:eastAsia="Calibri" w:cs="Tahoma"/>
          <w:color w:val="000000"/>
          <w:szCs w:val="24"/>
          <w:lang w:eastAsia="es-MX"/>
        </w:rPr>
        <w:t>Hecho del conocimiento lo anterior al Particular, este,</w:t>
      </w:r>
      <w:r w:rsidRPr="00823DDB" w:rsidR="00937E47">
        <w:rPr>
          <w:rFonts w:eastAsia="Calibri" w:cs="Tahoma"/>
          <w:color w:val="000000"/>
          <w:szCs w:val="24"/>
          <w:lang w:eastAsia="es-MX"/>
        </w:rPr>
        <w:t xml:space="preserve"> presentó Recurso de Revisión, a través del cual </w:t>
      </w:r>
      <w:r w:rsidRPr="00823DDB" w:rsidR="002F0325">
        <w:rPr>
          <w:rFonts w:eastAsia="Calibri" w:cs="Tahoma"/>
          <w:color w:val="000000"/>
          <w:szCs w:val="24"/>
          <w:lang w:eastAsia="es-MX"/>
        </w:rPr>
        <w:t xml:space="preserve">se agravio de </w:t>
      </w:r>
      <w:r w:rsidRPr="00823DDB">
        <w:rPr>
          <w:rFonts w:eastAsia="Calibri" w:cs="Tahoma"/>
          <w:color w:val="000000"/>
          <w:szCs w:val="24"/>
          <w:lang w:eastAsia="es-MX"/>
        </w:rPr>
        <w:t xml:space="preserve">la </w:t>
      </w:r>
      <w:r w:rsidRPr="00823DDB" w:rsidR="00C55F0A">
        <w:rPr>
          <w:rFonts w:eastAsia="Calibri" w:cs="Tahoma"/>
          <w:color w:val="000000"/>
          <w:szCs w:val="24"/>
          <w:lang w:eastAsia="es-MX"/>
        </w:rPr>
        <w:t xml:space="preserve">deficiencia de fundamentación </w:t>
      </w:r>
      <w:r w:rsidRPr="00823DDB" w:rsidR="00937E47">
        <w:rPr>
          <w:rFonts w:eastAsia="Calibri" w:cs="Tahoma"/>
          <w:color w:val="000000"/>
          <w:szCs w:val="24"/>
          <w:lang w:eastAsia="es-MX"/>
        </w:rPr>
        <w:t xml:space="preserve">y </w:t>
      </w:r>
      <w:r w:rsidRPr="00823DDB" w:rsidR="00C55F0A">
        <w:rPr>
          <w:rFonts w:eastAsia="Calibri" w:cs="Tahoma"/>
          <w:color w:val="000000"/>
          <w:szCs w:val="24"/>
          <w:lang w:eastAsia="es-MX"/>
        </w:rPr>
        <w:t xml:space="preserve">motivación </w:t>
      </w:r>
      <w:r w:rsidRPr="00823DDB" w:rsidR="002F0325">
        <w:rPr>
          <w:rFonts w:eastAsia="Calibri" w:cs="Tahoma"/>
          <w:color w:val="000000"/>
          <w:szCs w:val="24"/>
          <w:lang w:eastAsia="es-MX"/>
        </w:rPr>
        <w:t>de la respuesta del Sujeto Obligado, circunstancia que actualiza la causal de procedencia prevista en la fracción XIII, del artículo 179 de la Ley de Transparencia y Acceso a la Información Pública del Estado de México y Municipios.</w:t>
      </w:r>
    </w:p>
    <w:p w:rsidRPr="00823DDB" w:rsidR="00701997" w:rsidP="00C853D1" w:rsidRDefault="00701997" w14:paraId="5BE855E9" w14:textId="77777777">
      <w:pPr>
        <w:autoSpaceDE w:val="0"/>
        <w:autoSpaceDN w:val="0"/>
        <w:adjustRightInd w:val="0"/>
        <w:spacing w:after="0" w:line="360" w:lineRule="auto"/>
        <w:rPr>
          <w:rFonts w:eastAsia="Calibri" w:cs="Tahoma"/>
          <w:color w:val="000000"/>
          <w:szCs w:val="24"/>
          <w:lang w:eastAsia="es-MX"/>
        </w:rPr>
      </w:pPr>
    </w:p>
    <w:p w:rsidRPr="00823DDB" w:rsidR="00687709" w:rsidP="00687709" w:rsidRDefault="00701997" w14:paraId="06BA4BB8" w14:textId="0B47261D">
      <w:pPr>
        <w:autoSpaceDE w:val="0"/>
        <w:autoSpaceDN w:val="0"/>
        <w:adjustRightInd w:val="0"/>
        <w:spacing w:after="0" w:line="360" w:lineRule="auto"/>
        <w:rPr>
          <w:rFonts w:eastAsia="Calibri" w:cs="Tahoma"/>
          <w:color w:val="000000"/>
          <w:szCs w:val="24"/>
          <w:lang w:eastAsia="es-MX"/>
        </w:rPr>
      </w:pPr>
      <w:r w:rsidRPr="00823DDB">
        <w:rPr>
          <w:rFonts w:eastAsia="Calibri" w:cs="Tahoma"/>
          <w:color w:val="000000"/>
          <w:szCs w:val="24"/>
          <w:lang w:eastAsia="es-MX"/>
        </w:rPr>
        <w:t>Así las cosas, una vez admitido y notificado el Recurso de Re</w:t>
      </w:r>
      <w:r w:rsidRPr="00823DDB" w:rsidR="00325E2E">
        <w:rPr>
          <w:rFonts w:eastAsia="Calibri" w:cs="Tahoma"/>
          <w:color w:val="000000"/>
          <w:szCs w:val="24"/>
          <w:lang w:eastAsia="es-MX"/>
        </w:rPr>
        <w:t xml:space="preserve">visión a las partes, el Ente Recurrido </w:t>
      </w:r>
      <w:r w:rsidRPr="00823DDB" w:rsidR="006114B6">
        <w:rPr>
          <w:rFonts w:eastAsia="Calibri" w:cs="Tahoma"/>
          <w:color w:val="000000"/>
          <w:szCs w:val="24"/>
          <w:lang w:eastAsia="es-MX"/>
        </w:rPr>
        <w:t xml:space="preserve">a </w:t>
      </w:r>
      <w:r w:rsidRPr="00823DDB" w:rsidR="000247EE">
        <w:rPr>
          <w:rFonts w:eastAsia="Calibri" w:cs="Tahoma"/>
          <w:color w:val="000000"/>
          <w:szCs w:val="24"/>
          <w:lang w:eastAsia="es-MX"/>
        </w:rPr>
        <w:t>través</w:t>
      </w:r>
      <w:r w:rsidRPr="00823DDB" w:rsidR="006114B6">
        <w:rPr>
          <w:rFonts w:eastAsia="Calibri" w:cs="Tahoma"/>
          <w:color w:val="000000"/>
          <w:szCs w:val="24"/>
          <w:lang w:eastAsia="es-MX"/>
        </w:rPr>
        <w:t xml:space="preserve"> de su Informe </w:t>
      </w:r>
      <w:r w:rsidRPr="00823DDB" w:rsidR="000247EE">
        <w:rPr>
          <w:rFonts w:eastAsia="Calibri" w:cs="Tahoma"/>
          <w:color w:val="000000"/>
          <w:szCs w:val="24"/>
          <w:lang w:eastAsia="es-MX"/>
        </w:rPr>
        <w:t>Justificado</w:t>
      </w:r>
      <w:r w:rsidRPr="00823DDB" w:rsidR="006114B6">
        <w:rPr>
          <w:rFonts w:eastAsia="Calibri" w:cs="Tahoma"/>
          <w:color w:val="000000"/>
          <w:szCs w:val="24"/>
          <w:lang w:eastAsia="es-MX"/>
        </w:rPr>
        <w:t xml:space="preserve"> </w:t>
      </w:r>
      <w:r w:rsidRPr="00823DDB" w:rsidR="003577D3">
        <w:rPr>
          <w:rFonts w:eastAsia="Calibri" w:cs="Tahoma"/>
          <w:color w:val="000000"/>
          <w:szCs w:val="24"/>
          <w:lang w:eastAsia="es-MX"/>
        </w:rPr>
        <w:t xml:space="preserve">proporcionó </w:t>
      </w:r>
      <w:r w:rsidRPr="00823DDB" w:rsidR="00911F41">
        <w:rPr>
          <w:rFonts w:eastAsia="Calibri" w:cs="Tahoma"/>
          <w:color w:val="000000"/>
          <w:szCs w:val="24"/>
          <w:lang w:eastAsia="es-MX"/>
        </w:rPr>
        <w:t xml:space="preserve">el proyecto de versión </w:t>
      </w:r>
      <w:r w:rsidRPr="00823DDB" w:rsidR="003577D3">
        <w:rPr>
          <w:rFonts w:eastAsia="Calibri" w:cs="Tahoma"/>
          <w:color w:val="000000"/>
          <w:szCs w:val="24"/>
          <w:lang w:eastAsia="es-MX"/>
        </w:rPr>
        <w:t xml:space="preserve">pública ya que </w:t>
      </w:r>
      <w:r w:rsidRPr="00823DDB" w:rsidR="000247EE">
        <w:rPr>
          <w:rFonts w:eastAsia="Calibri" w:cs="Tahoma"/>
          <w:color w:val="000000"/>
          <w:szCs w:val="24"/>
          <w:lang w:eastAsia="es-MX"/>
        </w:rPr>
        <w:t>la información que d</w:t>
      </w:r>
      <w:r w:rsidRPr="00823DDB" w:rsidR="003E0B93">
        <w:rPr>
          <w:rFonts w:eastAsia="Calibri" w:cs="Tahoma"/>
          <w:color w:val="000000"/>
          <w:szCs w:val="24"/>
          <w:lang w:eastAsia="es-MX"/>
        </w:rPr>
        <w:t>a</w:t>
      </w:r>
      <w:r w:rsidRPr="00823DDB" w:rsidR="000247EE">
        <w:rPr>
          <w:rFonts w:eastAsia="Calibri" w:cs="Tahoma"/>
          <w:color w:val="000000"/>
          <w:szCs w:val="24"/>
          <w:lang w:eastAsia="es-MX"/>
        </w:rPr>
        <w:t xml:space="preserve"> cuenta de lo solicitado </w:t>
      </w:r>
      <w:r w:rsidRPr="00823DDB" w:rsidR="003E0B93">
        <w:rPr>
          <w:rFonts w:eastAsia="Calibri" w:cs="Tahoma"/>
          <w:color w:val="000000"/>
          <w:szCs w:val="24"/>
          <w:lang w:eastAsia="es-MX"/>
        </w:rPr>
        <w:t xml:space="preserve">por el Recurrente </w:t>
      </w:r>
      <w:r w:rsidRPr="00823DDB" w:rsidR="000247EE">
        <w:rPr>
          <w:rFonts w:eastAsia="Calibri" w:cs="Tahoma"/>
          <w:color w:val="000000"/>
          <w:szCs w:val="24"/>
          <w:lang w:eastAsia="es-MX"/>
        </w:rPr>
        <w:t xml:space="preserve">consistía en </w:t>
      </w:r>
      <w:r w:rsidRPr="00823DDB" w:rsidR="00F03359">
        <w:rPr>
          <w:rFonts w:eastAsia="Calibri" w:cs="Tahoma"/>
          <w:color w:val="000000"/>
          <w:szCs w:val="24"/>
          <w:lang w:eastAsia="es-MX"/>
        </w:rPr>
        <w:t xml:space="preserve">la </w:t>
      </w:r>
      <w:r w:rsidRPr="00823DDB" w:rsidR="00687709">
        <w:rPr>
          <w:rFonts w:eastAsia="Calibri" w:cs="Tahoma"/>
          <w:bCs/>
          <w:color w:val="000000"/>
          <w:szCs w:val="24"/>
          <w:lang w:val="es-ES_tradnl" w:eastAsia="es-MX"/>
        </w:rPr>
        <w:t xml:space="preserve">licencia de obra nueva </w:t>
      </w:r>
      <w:r w:rsidRPr="00823DDB" w:rsidR="00687709">
        <w:rPr>
          <w:rFonts w:eastAsia="Calibri" w:cs="Tahoma"/>
          <w:b/>
          <w:color w:val="000000"/>
          <w:szCs w:val="24"/>
          <w:lang w:val="es-ES_tradnl" w:eastAsia="es-MX"/>
        </w:rPr>
        <w:t>DGDU/DLC/0502A</w:t>
      </w:r>
      <w:r w:rsidRPr="00823DDB" w:rsidR="00687709">
        <w:rPr>
          <w:rFonts w:eastAsia="Calibri" w:cs="Tahoma"/>
          <w:bCs/>
          <w:color w:val="000000"/>
          <w:szCs w:val="24"/>
          <w:lang w:val="es-ES_tradnl" w:eastAsia="es-MX"/>
        </w:rPr>
        <w:t xml:space="preserve"> y constancia de terminación de obra (Constancia de terminación de modificación, ampliación y excavación) </w:t>
      </w:r>
      <w:r w:rsidRPr="00823DDB" w:rsidR="00687709">
        <w:rPr>
          <w:rFonts w:eastAsia="Calibri" w:cs="Tahoma"/>
          <w:b/>
          <w:color w:val="000000"/>
          <w:szCs w:val="24"/>
          <w:lang w:val="es-ES_tradnl" w:eastAsia="es-MX"/>
        </w:rPr>
        <w:t>DGDU/DLC/0502B</w:t>
      </w:r>
      <w:r w:rsidRPr="00823DDB" w:rsidR="00687709">
        <w:rPr>
          <w:rFonts w:eastAsia="Calibri" w:cs="Tahoma"/>
          <w:bCs/>
          <w:color w:val="000000"/>
          <w:szCs w:val="24"/>
          <w:lang w:val="es-ES_tradnl" w:eastAsia="es-MX"/>
        </w:rPr>
        <w:t>, emitida por la Dirección General de Desarrollo Urbano</w:t>
      </w:r>
      <w:r w:rsidRPr="00823DDB" w:rsidR="003E0B93">
        <w:rPr>
          <w:rFonts w:eastAsia="Calibri" w:cs="Tahoma"/>
          <w:bCs/>
          <w:color w:val="000000"/>
          <w:szCs w:val="24"/>
          <w:lang w:val="es-ES_tradnl" w:eastAsia="es-MX"/>
        </w:rPr>
        <w:t xml:space="preserve">. </w:t>
      </w:r>
      <w:r w:rsidRPr="00823DDB" w:rsidR="00394378">
        <w:rPr>
          <w:rFonts w:eastAsia="Calibri" w:cs="Tahoma"/>
          <w:bCs/>
          <w:color w:val="000000"/>
          <w:szCs w:val="24"/>
          <w:lang w:val="es-ES_tradnl" w:eastAsia="es-MX"/>
        </w:rPr>
        <w:t>Por su parte, el Recurrente fue omiso en realizar manifestaciones que a su derecho conviniera y asistiera.</w:t>
      </w:r>
    </w:p>
    <w:p w:rsidRPr="00823DDB" w:rsidR="00687709" w:rsidP="00687709" w:rsidRDefault="00687709" w14:paraId="33F789D1" w14:textId="77777777">
      <w:pPr>
        <w:autoSpaceDE w:val="0"/>
        <w:autoSpaceDN w:val="0"/>
        <w:adjustRightInd w:val="0"/>
        <w:spacing w:after="0" w:line="360" w:lineRule="auto"/>
        <w:rPr>
          <w:rFonts w:eastAsia="Calibri" w:cs="Tahoma"/>
          <w:bCs/>
          <w:color w:val="000000"/>
          <w:szCs w:val="24"/>
          <w:lang w:val="es-ES_tradnl" w:eastAsia="es-MX"/>
        </w:rPr>
      </w:pPr>
    </w:p>
    <w:p w:rsidRPr="00823DDB" w:rsidR="00C853D1" w:rsidP="00C853D1" w:rsidRDefault="00C853D1" w14:paraId="47A7D7E9" w14:textId="77777777">
      <w:pPr>
        <w:spacing w:after="0" w:line="360" w:lineRule="auto"/>
      </w:pPr>
      <w:r w:rsidRPr="00823DDB">
        <w:t xml:space="preserve">Lo anterior, se desprende de las documentales que obran en el expediente de referencia, materia de la presente Resolución, consistentes en: la solicitud de acceso a la información; la respuesta del Sujeto Obligado; </w:t>
      </w:r>
      <w:r w:rsidRPr="00823DDB">
        <w:rPr>
          <w:bCs/>
        </w:rPr>
        <w:t xml:space="preserve">el </w:t>
      </w:r>
      <w:r w:rsidRPr="00823DDB">
        <w:t xml:space="preserve">escrito </w:t>
      </w:r>
      <w:proofErr w:type="spellStart"/>
      <w:r w:rsidRPr="00823DDB">
        <w:t>recursal</w:t>
      </w:r>
      <w:proofErr w:type="spellEnd"/>
      <w:r w:rsidRPr="00823DDB">
        <w:t xml:space="preserve">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823DDB" w:rsidR="00C853D1" w:rsidP="00C853D1" w:rsidRDefault="00C853D1" w14:paraId="5796AF7E" w14:textId="77777777">
      <w:pPr>
        <w:spacing w:after="0" w:line="360" w:lineRule="auto"/>
      </w:pPr>
    </w:p>
    <w:p w:rsidRPr="00823DDB" w:rsidR="00C853D1" w:rsidP="00C853D1" w:rsidRDefault="00C853D1" w14:paraId="4AD760E5" w14:textId="77777777">
      <w:pPr>
        <w:spacing w:after="0" w:line="360" w:lineRule="auto"/>
        <w:rPr>
          <w:rFonts w:eastAsia="Times New Roman" w:cs="Tahoma"/>
          <w:b/>
          <w:bCs/>
          <w:iCs/>
          <w:color w:val="auto"/>
          <w:lang w:eastAsia="es-ES"/>
        </w:rPr>
      </w:pPr>
      <w:r w:rsidRPr="00823DDB">
        <w:rPr>
          <w:rFonts w:eastAsia="Times New Roman" w:cs="Tahoma"/>
          <w:b/>
          <w:bCs/>
          <w:iCs/>
          <w:color w:val="auto"/>
          <w:lang w:val="es-ES" w:eastAsia="es-ES"/>
        </w:rPr>
        <w:lastRenderedPageBreak/>
        <w:t xml:space="preserve">CUARTO. </w:t>
      </w:r>
      <w:r w:rsidRPr="00823DDB">
        <w:rPr>
          <w:rFonts w:eastAsia="Times New Roman" w:cs="Tahoma"/>
          <w:b/>
          <w:bCs/>
          <w:iCs/>
          <w:color w:val="auto"/>
          <w:lang w:eastAsia="es-ES"/>
        </w:rPr>
        <w:t>Marco normativo aplicable en materia de transparencia y acceso a la información pública.</w:t>
      </w:r>
    </w:p>
    <w:p w:rsidRPr="00823DDB" w:rsidR="00C853D1" w:rsidP="00C853D1" w:rsidRDefault="00C853D1" w14:paraId="43AD0F27" w14:textId="77777777">
      <w:pPr>
        <w:spacing w:after="0" w:line="360" w:lineRule="auto"/>
        <w:rPr>
          <w:rFonts w:eastAsia="Times New Roman" w:cs="Tahoma"/>
          <w:b/>
          <w:bCs/>
          <w:iCs/>
          <w:color w:val="auto"/>
          <w:lang w:eastAsia="es-ES"/>
        </w:rPr>
      </w:pPr>
    </w:p>
    <w:p w:rsidRPr="00823DDB" w:rsidR="00C853D1" w:rsidP="00C853D1" w:rsidRDefault="00C853D1" w14:paraId="612B1C77" w14:textId="77777777">
      <w:pPr>
        <w:spacing w:after="0" w:line="360" w:lineRule="auto"/>
        <w:rPr>
          <w:rFonts w:eastAsia="Times New Roman" w:cs="Tahoma"/>
          <w:bCs/>
          <w:iCs/>
          <w:color w:val="auto"/>
          <w:lang w:eastAsia="es-ES"/>
        </w:rPr>
      </w:pPr>
      <w:r w:rsidRPr="00823DDB">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23DDB" w:rsidR="00C853D1" w:rsidP="00C853D1" w:rsidRDefault="00C853D1" w14:paraId="4DEFDE24" w14:textId="77777777">
      <w:pPr>
        <w:spacing w:after="0" w:line="360" w:lineRule="auto"/>
        <w:rPr>
          <w:rFonts w:eastAsia="Times New Roman" w:cs="Tahoma"/>
          <w:bCs/>
          <w:iCs/>
          <w:color w:val="auto"/>
          <w:lang w:eastAsia="es-ES"/>
        </w:rPr>
      </w:pPr>
    </w:p>
    <w:p w:rsidRPr="00823DDB" w:rsidR="00C853D1" w:rsidP="00C853D1" w:rsidRDefault="00C853D1" w14:paraId="0629EDEA" w14:textId="77777777">
      <w:pPr>
        <w:spacing w:after="0" w:line="360" w:lineRule="auto"/>
        <w:rPr>
          <w:rFonts w:eastAsia="Times New Roman" w:cs="Tahoma"/>
          <w:bCs/>
          <w:iCs/>
          <w:color w:val="auto"/>
          <w:lang w:eastAsia="es-ES"/>
        </w:rPr>
      </w:pPr>
      <w:r w:rsidRPr="00823DDB">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23DDB" w:rsidR="00C853D1" w:rsidP="00C853D1" w:rsidRDefault="00C853D1" w14:paraId="1198CD87" w14:textId="77777777">
      <w:pPr>
        <w:spacing w:after="0" w:line="360" w:lineRule="auto"/>
        <w:rPr>
          <w:rFonts w:eastAsia="Times New Roman" w:cs="Tahoma"/>
          <w:bCs/>
          <w:iCs/>
          <w:color w:val="auto"/>
          <w:lang w:eastAsia="es-ES"/>
        </w:rPr>
      </w:pPr>
    </w:p>
    <w:p w:rsidRPr="00823DDB" w:rsidR="00C853D1" w:rsidP="00C853D1" w:rsidRDefault="00C853D1" w14:paraId="2E116B44" w14:textId="77777777">
      <w:pPr>
        <w:spacing w:after="0" w:line="360" w:lineRule="auto"/>
        <w:rPr>
          <w:rFonts w:eastAsia="Times New Roman" w:cs="Tahoma"/>
          <w:bCs/>
          <w:iCs/>
          <w:color w:val="auto"/>
          <w:lang w:eastAsia="es-ES"/>
        </w:rPr>
      </w:pPr>
      <w:r w:rsidRPr="00823DDB">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23DDB" w:rsidR="00C853D1" w:rsidP="00C853D1" w:rsidRDefault="00C853D1" w14:paraId="6D4CE485" w14:textId="77777777">
      <w:pPr>
        <w:spacing w:after="0" w:line="360" w:lineRule="auto"/>
        <w:rPr>
          <w:rFonts w:eastAsia="Times New Roman" w:cs="Tahoma"/>
          <w:bCs/>
          <w:iCs/>
          <w:color w:val="auto"/>
          <w:lang w:eastAsia="es-ES"/>
        </w:rPr>
      </w:pPr>
    </w:p>
    <w:p w:rsidRPr="00823DDB" w:rsidR="00C853D1" w:rsidP="00C853D1" w:rsidRDefault="00C853D1" w14:paraId="39E7B3D5" w14:textId="77777777">
      <w:pPr>
        <w:spacing w:after="0" w:line="360" w:lineRule="auto"/>
        <w:rPr>
          <w:rFonts w:eastAsia="Times New Roman" w:cs="Tahoma"/>
          <w:bCs/>
          <w:iCs/>
          <w:color w:val="auto"/>
          <w:lang w:eastAsia="es-ES"/>
        </w:rPr>
      </w:pPr>
      <w:r w:rsidRPr="00823DDB">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823DDB" w:rsidR="00C853D1" w:rsidP="00C853D1" w:rsidRDefault="00C853D1" w14:paraId="08EAD36A" w14:textId="77777777">
      <w:pPr>
        <w:spacing w:after="0" w:line="360" w:lineRule="auto"/>
        <w:rPr>
          <w:rFonts w:eastAsia="Times New Roman" w:cs="Tahoma"/>
          <w:bCs/>
          <w:iCs/>
          <w:color w:val="auto"/>
          <w:lang w:eastAsia="es-ES"/>
        </w:rPr>
      </w:pPr>
    </w:p>
    <w:p w:rsidRPr="00823DDB" w:rsidR="00C853D1" w:rsidP="00C853D1" w:rsidRDefault="00C853D1" w14:paraId="33BD459A" w14:textId="77777777">
      <w:pPr>
        <w:spacing w:after="0" w:line="360" w:lineRule="auto"/>
        <w:rPr>
          <w:rFonts w:eastAsia="Times New Roman" w:cs="Tahoma"/>
          <w:bCs/>
          <w:iCs/>
          <w:color w:val="auto"/>
          <w:lang w:eastAsia="es-ES"/>
        </w:rPr>
      </w:pPr>
      <w:r w:rsidRPr="00823DDB">
        <w:rPr>
          <w:rFonts w:eastAsia="Times New Roman" w:cs="Tahoma"/>
          <w:bCs/>
          <w:iCs/>
          <w:color w:val="auto"/>
          <w:lang w:eastAsia="es-ES"/>
        </w:rPr>
        <w:t>El artículo 12, que, quienes generen, recopilen, administren, manejen, procesen, archiven o conserven información pública serán responsables de la misma.</w:t>
      </w:r>
    </w:p>
    <w:p w:rsidRPr="00823DDB" w:rsidR="00C853D1" w:rsidP="00C853D1" w:rsidRDefault="00C853D1" w14:paraId="7F23F258" w14:textId="77777777">
      <w:pPr>
        <w:spacing w:after="0" w:line="360" w:lineRule="auto"/>
        <w:rPr>
          <w:rFonts w:eastAsia="Times New Roman" w:cs="Tahoma"/>
          <w:bCs/>
          <w:iCs/>
          <w:color w:val="auto"/>
          <w:lang w:eastAsia="es-ES"/>
        </w:rPr>
      </w:pPr>
    </w:p>
    <w:p w:rsidRPr="00823DDB" w:rsidR="00C853D1" w:rsidP="00C853D1" w:rsidRDefault="00C853D1" w14:paraId="21150C29" w14:textId="77777777">
      <w:pPr>
        <w:spacing w:after="0" w:line="360" w:lineRule="auto"/>
        <w:rPr>
          <w:rFonts w:eastAsia="Times New Roman" w:cs="Tahoma"/>
          <w:bCs/>
          <w:iCs/>
          <w:color w:val="auto"/>
          <w:lang w:eastAsia="es-ES"/>
        </w:rPr>
      </w:pPr>
      <w:r w:rsidRPr="00823DDB">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823DDB" w:rsidR="00C853D1" w:rsidP="00C853D1" w:rsidRDefault="00C853D1" w14:paraId="3F8053D7" w14:textId="77777777">
      <w:pPr>
        <w:spacing w:after="0" w:line="360" w:lineRule="auto"/>
        <w:rPr>
          <w:rFonts w:eastAsia="Times New Roman" w:cs="Tahoma"/>
          <w:bCs/>
          <w:iCs/>
          <w:color w:val="auto"/>
          <w:lang w:eastAsia="es-ES"/>
        </w:rPr>
      </w:pPr>
    </w:p>
    <w:p w:rsidRPr="00823DDB" w:rsidR="00C853D1" w:rsidP="00C853D1" w:rsidRDefault="00C853D1" w14:paraId="391D3BDE" w14:textId="77777777">
      <w:pPr>
        <w:spacing w:after="0" w:line="360" w:lineRule="auto"/>
        <w:rPr>
          <w:rFonts w:eastAsia="Times New Roman" w:cs="Tahoma"/>
          <w:bCs/>
          <w:iCs/>
          <w:color w:val="auto"/>
          <w:lang w:eastAsia="es-ES"/>
        </w:rPr>
      </w:pPr>
      <w:r w:rsidRPr="00823DDB">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823DDB" w:rsidR="00C853D1" w:rsidP="00C853D1" w:rsidRDefault="00C853D1" w14:paraId="318E888B" w14:textId="77777777">
      <w:pPr>
        <w:spacing w:after="0" w:line="360" w:lineRule="auto"/>
        <w:rPr>
          <w:rFonts w:eastAsia="Times New Roman" w:cs="Tahoma"/>
          <w:color w:val="auto"/>
          <w:lang w:eastAsia="es-ES"/>
        </w:rPr>
      </w:pPr>
    </w:p>
    <w:p w:rsidRPr="00823DDB" w:rsidR="002C44F5" w:rsidP="002C44F5" w:rsidRDefault="002C44F5" w14:paraId="3A63DC30" w14:textId="77777777">
      <w:pPr>
        <w:spacing w:after="0" w:line="360" w:lineRule="auto"/>
        <w:rPr>
          <w:rFonts w:eastAsia="Times New Roman" w:cs="Tahoma"/>
          <w:color w:val="auto"/>
          <w:lang w:eastAsia="es-ES"/>
        </w:rPr>
      </w:pPr>
      <w:r w:rsidRPr="00823DDB">
        <w:rPr>
          <w:rFonts w:eastAsia="Times New Roman" w:cs="Tahoma"/>
          <w:color w:val="auto"/>
          <w:lang w:eastAsia="es-ES"/>
        </w:rPr>
        <w:t>El artículo 92, fracción XXXII, de la Ley de la Materia, dispone que la información consistente en licencias o autorizaciones otorgados, especificando los titulares de aquéllos, debiendo publicarse su objeto, nombre o razón social del titular</w:t>
      </w:r>
      <w:r w:rsidRPr="00823DDB">
        <w:rPr>
          <w:rFonts w:eastAsia="Times New Roman" w:cs="Tahoma"/>
          <w:color w:val="auto"/>
          <w:lang w:val="x-none" w:eastAsia="es-ES"/>
        </w:rPr>
        <w:t>, corresponde a una obligación común de Transparencia</w:t>
      </w:r>
      <w:r w:rsidRPr="00823DDB">
        <w:rPr>
          <w:rFonts w:eastAsia="Times New Roman" w:cs="Tahoma"/>
          <w:color w:val="auto"/>
          <w:lang w:val="es-ES" w:eastAsia="es-ES"/>
        </w:rPr>
        <w:t xml:space="preserve"> </w:t>
      </w:r>
      <w:r w:rsidRPr="00823DDB">
        <w:rPr>
          <w:rFonts w:eastAsia="Times New Roman" w:cs="Tahoma"/>
          <w:color w:val="auto"/>
          <w:lang w:val="x-none" w:eastAsia="es-ES"/>
        </w:rPr>
        <w:t>de los sujetos obligados.</w:t>
      </w:r>
    </w:p>
    <w:p w:rsidRPr="00823DDB" w:rsidR="00C853D1" w:rsidP="00C853D1" w:rsidRDefault="00C853D1" w14:paraId="1052A03D" w14:textId="77777777">
      <w:pPr>
        <w:spacing w:after="0" w:line="360" w:lineRule="auto"/>
        <w:rPr>
          <w:rFonts w:eastAsia="Times New Roman" w:cs="Tahoma"/>
          <w:b/>
          <w:bCs/>
          <w:iCs/>
          <w:color w:val="auto"/>
          <w:lang w:eastAsia="es-ES"/>
        </w:rPr>
      </w:pPr>
    </w:p>
    <w:p w:rsidRPr="00823DDB" w:rsidR="00C853D1" w:rsidP="00C853D1" w:rsidRDefault="002C44F5" w14:paraId="4CD9F9A9" w14:textId="1AB89020">
      <w:pPr>
        <w:spacing w:after="0" w:line="360" w:lineRule="auto"/>
        <w:rPr>
          <w:rFonts w:eastAsia="Times New Roman" w:cs="Tahoma"/>
          <w:b/>
          <w:bCs/>
          <w:iCs/>
          <w:color w:val="auto"/>
          <w:lang w:val="es-ES" w:eastAsia="es-ES"/>
        </w:rPr>
      </w:pPr>
      <w:r w:rsidRPr="00823DDB">
        <w:rPr>
          <w:rFonts w:eastAsia="Times New Roman" w:cs="Tahoma"/>
          <w:b/>
          <w:bCs/>
          <w:iCs/>
          <w:color w:val="auto"/>
          <w:lang w:val="es-ES" w:eastAsia="es-ES"/>
        </w:rPr>
        <w:t>QUINTO</w:t>
      </w:r>
      <w:r w:rsidRPr="00823DDB" w:rsidR="00C853D1">
        <w:rPr>
          <w:rFonts w:eastAsia="Times New Roman" w:cs="Tahoma"/>
          <w:b/>
          <w:bCs/>
          <w:iCs/>
          <w:color w:val="auto"/>
          <w:lang w:val="es-ES" w:eastAsia="es-ES"/>
        </w:rPr>
        <w:t>. Estudio de Fondo.</w:t>
      </w:r>
    </w:p>
    <w:p w:rsidRPr="00823DDB" w:rsidR="00C853D1" w:rsidP="00C853D1" w:rsidRDefault="00C853D1" w14:paraId="614B9665" w14:textId="5578038A">
      <w:pPr>
        <w:spacing w:after="0" w:line="360" w:lineRule="auto"/>
        <w:rPr>
          <w:rFonts w:eastAsia="Times New Roman" w:cs="Tahoma"/>
          <w:bCs/>
          <w:iCs/>
          <w:color w:val="auto"/>
          <w:lang w:eastAsia="es-ES"/>
        </w:rPr>
      </w:pPr>
    </w:p>
    <w:p w:rsidRPr="00823DDB" w:rsidR="00B76191" w:rsidP="00C853D1" w:rsidRDefault="009A2BE1" w14:paraId="40C916C2" w14:textId="38B81844">
      <w:pPr>
        <w:spacing w:after="0" w:line="360" w:lineRule="auto"/>
        <w:rPr>
          <w:rFonts w:eastAsia="Times New Roman" w:cs="Tahoma"/>
          <w:bCs/>
          <w:iCs/>
          <w:color w:val="auto"/>
          <w:lang w:eastAsia="es-ES"/>
        </w:rPr>
      </w:pPr>
      <w:r w:rsidRPr="00823DDB">
        <w:rPr>
          <w:rFonts w:eastAsia="Times New Roman" w:cs="Tahoma"/>
          <w:bCs/>
          <w:iCs/>
          <w:color w:val="auto"/>
          <w:lang w:eastAsia="es-ES"/>
        </w:rPr>
        <w:t xml:space="preserve">Atendiendo a los antecedentes expuestos, se procede a analizar el agravio hecho valer por el </w:t>
      </w:r>
      <w:r w:rsidRPr="00823DDB" w:rsidR="00C123E3">
        <w:rPr>
          <w:rFonts w:eastAsia="Times New Roman" w:cs="Tahoma"/>
          <w:bCs/>
          <w:iCs/>
          <w:color w:val="auto"/>
          <w:lang w:eastAsia="es-ES"/>
        </w:rPr>
        <w:t>hoy Recurrente consistente en la deficiencia de fundamentación y motivación de la respuesta del Sujeto Obligado</w:t>
      </w:r>
      <w:r w:rsidRPr="00823DDB" w:rsidR="00515F74">
        <w:rPr>
          <w:rFonts w:eastAsia="Times New Roman" w:cs="Tahoma"/>
          <w:bCs/>
          <w:iCs/>
          <w:color w:val="auto"/>
          <w:lang w:eastAsia="es-ES"/>
        </w:rPr>
        <w:t xml:space="preserve">, no obstante a lo anterior, inicialmente es necesario contextualizar </w:t>
      </w:r>
      <w:r w:rsidRPr="00823DDB" w:rsidR="00DA2899">
        <w:rPr>
          <w:rFonts w:eastAsia="Times New Roman" w:cs="Tahoma"/>
          <w:bCs/>
          <w:iCs/>
          <w:color w:val="auto"/>
          <w:lang w:eastAsia="es-ES"/>
        </w:rPr>
        <w:t xml:space="preserve">la </w:t>
      </w:r>
      <w:r w:rsidRPr="00823DDB" w:rsidR="00E60FB0">
        <w:rPr>
          <w:rFonts w:eastAsia="Times New Roman" w:cs="Tahoma"/>
          <w:bCs/>
          <w:iCs/>
          <w:color w:val="auto"/>
          <w:lang w:eastAsia="es-ES"/>
        </w:rPr>
        <w:t>información de interés del Particular.</w:t>
      </w:r>
    </w:p>
    <w:p w:rsidRPr="00823DDB" w:rsidR="00E60FB0" w:rsidP="00C853D1" w:rsidRDefault="00E60FB0" w14:paraId="368D13B2" w14:textId="77777777">
      <w:pPr>
        <w:spacing w:after="0" w:line="360" w:lineRule="auto"/>
        <w:rPr>
          <w:rFonts w:eastAsia="Times New Roman" w:cs="Tahoma"/>
          <w:bCs/>
          <w:iCs/>
          <w:color w:val="auto"/>
          <w:lang w:eastAsia="es-ES"/>
        </w:rPr>
      </w:pPr>
    </w:p>
    <w:p w:rsidRPr="00823DDB" w:rsidR="00BB7A78" w:rsidP="00E60FB0" w:rsidRDefault="00E60FB0" w14:paraId="6B527215" w14:textId="33417234">
      <w:pPr>
        <w:spacing w:after="0" w:line="360" w:lineRule="auto"/>
        <w:rPr>
          <w:rFonts w:eastAsia="Times New Roman" w:cs="Times New Roman"/>
          <w:noProof/>
          <w:color w:val="auto"/>
          <w:lang w:eastAsia="es-MX"/>
        </w:rPr>
      </w:pPr>
      <w:r w:rsidRPr="00823DDB">
        <w:rPr>
          <w:rFonts w:eastAsia="Times New Roman" w:cs="Tahoma"/>
          <w:bCs/>
          <w:iCs/>
          <w:color w:val="auto"/>
          <w:lang w:eastAsia="es-ES"/>
        </w:rPr>
        <w:t xml:space="preserve">Sobre </w:t>
      </w:r>
      <w:proofErr w:type="spellStart"/>
      <w:r w:rsidRPr="00823DDB">
        <w:rPr>
          <w:rFonts w:eastAsia="Times New Roman" w:cs="Tahoma"/>
          <w:bCs/>
          <w:iCs/>
          <w:color w:val="auto"/>
          <w:lang w:eastAsia="es-ES"/>
        </w:rPr>
        <w:t>le</w:t>
      </w:r>
      <w:proofErr w:type="spellEnd"/>
      <w:r w:rsidRPr="00823DDB">
        <w:rPr>
          <w:rFonts w:eastAsia="Times New Roman" w:cs="Tahoma"/>
          <w:bCs/>
          <w:iCs/>
          <w:color w:val="auto"/>
          <w:lang w:eastAsia="es-ES"/>
        </w:rPr>
        <w:t xml:space="preserve"> tema, </w:t>
      </w:r>
      <w:r w:rsidRPr="00823DDB" w:rsidR="00BB7A78">
        <w:rPr>
          <w:rFonts w:eastAsia="Calibri" w:cs="Tahoma"/>
          <w:iCs/>
          <w:color w:val="auto"/>
          <w:lang w:eastAsia="es-ES_tradnl"/>
        </w:rPr>
        <w:t xml:space="preserve">las </w:t>
      </w:r>
      <w:r w:rsidRPr="00823DDB" w:rsidR="00BB7A78">
        <w:rPr>
          <w:rFonts w:eastAsia="Times New Roman" w:cs="Tahoma"/>
          <w:b/>
          <w:color w:val="auto"/>
          <w:u w:val="single"/>
          <w:lang w:val="es-ES" w:eastAsia="es-ES"/>
        </w:rPr>
        <w:t>licencias de construcción</w:t>
      </w:r>
      <w:r w:rsidRPr="00823DDB" w:rsidR="00BB7A78">
        <w:rPr>
          <w:rFonts w:eastAsia="Times New Roman" w:cs="Tahoma"/>
          <w:color w:val="auto"/>
          <w:lang w:val="es-ES" w:eastAsia="es-ES"/>
        </w:rPr>
        <w:t xml:space="preserve">, </w:t>
      </w:r>
      <w:r w:rsidRPr="00823DDB" w:rsidR="00BB7A78">
        <w:rPr>
          <w:rFonts w:eastAsia="Times New Roman" w:cs="Times New Roman"/>
          <w:noProof/>
          <w:color w:val="auto"/>
          <w:lang w:eastAsia="es-MX"/>
        </w:rPr>
        <w:t>se trae a colación lo establecido por el Código Administrativo del Estado de México el cual establece lo siguiente:</w:t>
      </w:r>
    </w:p>
    <w:p w:rsidRPr="00823DDB" w:rsidR="00BB7A78" w:rsidP="00BB7A78" w:rsidRDefault="00BB7A78" w14:paraId="54EF8CD5" w14:textId="77777777">
      <w:pPr>
        <w:spacing w:after="0" w:line="360" w:lineRule="auto"/>
        <w:rPr>
          <w:rFonts w:eastAsia="Times New Roman" w:cs="Times New Roman"/>
          <w:noProof/>
          <w:color w:val="auto"/>
          <w:lang w:eastAsia="es-MX"/>
        </w:rPr>
      </w:pPr>
    </w:p>
    <w:p w:rsidRPr="00823DDB" w:rsidR="00BB7A78" w:rsidP="00BB7A78" w:rsidRDefault="00BB7A78" w14:paraId="04FAB54D"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b/>
          <w:i/>
          <w:noProof/>
          <w:color w:val="auto"/>
          <w:sz w:val="20"/>
          <w:lang w:eastAsia="es-MX"/>
        </w:rPr>
        <w:t>Artículo 18.20.-</w:t>
      </w:r>
      <w:r w:rsidRPr="00823DDB">
        <w:rPr>
          <w:rFonts w:eastAsia="Times New Roman" w:cs="Times New Roman"/>
          <w:i/>
          <w:noProof/>
          <w:color w:val="auto"/>
          <w:sz w:val="20"/>
          <w:lang w:eastAsia="es-MX"/>
        </w:rPr>
        <w:t xml:space="preserve"> La licencia de construcción tiene por objeto autorizar:</w:t>
      </w:r>
    </w:p>
    <w:p w:rsidRPr="00823DDB" w:rsidR="00BB7A78" w:rsidP="00BB7A78" w:rsidRDefault="00BB7A78" w14:paraId="210A105C"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t>I. Obra nueva;</w:t>
      </w:r>
    </w:p>
    <w:p w:rsidRPr="00823DDB" w:rsidR="00BB7A78" w:rsidP="00BB7A78" w:rsidRDefault="00BB7A78" w14:paraId="1A22548B"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t>II. Ampliación, modificación o reparación que afecte elementos estructurales de la obra existente;</w:t>
      </w:r>
    </w:p>
    <w:p w:rsidRPr="00823DDB" w:rsidR="00BB7A78" w:rsidP="00BB7A78" w:rsidRDefault="00BB7A78" w14:paraId="32121809"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t>III. Demolición parcial o total;</w:t>
      </w:r>
    </w:p>
    <w:p w:rsidRPr="00823DDB" w:rsidR="00BB7A78" w:rsidP="00BB7A78" w:rsidRDefault="00BB7A78" w14:paraId="7B30EC4E"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t>IV. Excavación o relleno;</w:t>
      </w:r>
    </w:p>
    <w:p w:rsidRPr="00823DDB" w:rsidR="00BB7A78" w:rsidP="00BB7A78" w:rsidRDefault="00BB7A78" w14:paraId="1EE660C7"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t>V. Construcción de bardas;</w:t>
      </w:r>
    </w:p>
    <w:p w:rsidRPr="00823DDB" w:rsidR="00BB7A78" w:rsidP="00BB7A78" w:rsidRDefault="00BB7A78" w14:paraId="071B7043"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t>VI. Obras de conexión a las redes de agua potable y drenaje;</w:t>
      </w:r>
    </w:p>
    <w:p w:rsidRPr="00823DDB" w:rsidR="00BB7A78" w:rsidP="00BB7A78" w:rsidRDefault="00BB7A78" w14:paraId="42AE7622"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lastRenderedPageBreak/>
        <w:t>VII. Modificación del proyecto de una obra autorizada;</w:t>
      </w:r>
    </w:p>
    <w:p w:rsidRPr="00823DDB" w:rsidR="00BB7A78" w:rsidP="00BB7A78" w:rsidRDefault="00BB7A78" w14:paraId="39F6CE3E"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t>VIII. Construcción e instalación de estaciones repetidoras y antenas para radiotelecomunicaciones;</w:t>
      </w:r>
    </w:p>
    <w:p w:rsidRPr="00823DDB" w:rsidR="00BB7A78" w:rsidP="00BB7A78" w:rsidRDefault="00BB7A78" w14:paraId="4C52FCD6"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t>IX. Anuncios publicitarios que requieran de elementos estructurales; y</w:t>
      </w:r>
    </w:p>
    <w:p w:rsidRPr="00823DDB" w:rsidR="00BB7A78" w:rsidP="00BB7A78" w:rsidRDefault="00BB7A78" w14:paraId="26BA6F31"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t>X. Instalaciones o modificaciones de ascensores para personas, montacargas, escaleras mecánicas o cualquier otro mecanismo de transporte electromecánico.</w:t>
      </w:r>
    </w:p>
    <w:p w:rsidRPr="00823DDB" w:rsidR="00BB7A78" w:rsidP="00BB7A78" w:rsidRDefault="00BB7A78" w14:paraId="59486F49"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t>La licencia de construcción tendrá vigencia de un año y podrá autorizar, además del uso de la vía pública, uno o más de los rubros señalados, conforme a la solicitud que se presente.</w:t>
      </w:r>
    </w:p>
    <w:p w:rsidRPr="00823DDB" w:rsidR="00BB7A78" w:rsidP="00BB7A78" w:rsidRDefault="00BB7A78" w14:paraId="4AE21E1C" w14:textId="77777777">
      <w:pPr>
        <w:spacing w:after="0" w:line="360" w:lineRule="auto"/>
        <w:ind w:left="567" w:right="539"/>
        <w:rPr>
          <w:rFonts w:eastAsia="Times New Roman" w:cs="Times New Roman"/>
          <w:i/>
          <w:noProof/>
          <w:color w:val="auto"/>
          <w:sz w:val="20"/>
          <w:lang w:eastAsia="es-MX"/>
        </w:rPr>
      </w:pPr>
    </w:p>
    <w:p w:rsidRPr="00823DDB" w:rsidR="00BB7A78" w:rsidP="00BB7A78" w:rsidRDefault="00BB7A78" w14:paraId="5FA9E2CD"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t>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w:t>
      </w:r>
    </w:p>
    <w:p w:rsidRPr="00823DDB" w:rsidR="00BB7A78" w:rsidP="00BB7A78" w:rsidRDefault="00BB7A78" w14:paraId="136EA905" w14:textId="77777777">
      <w:pPr>
        <w:spacing w:after="0" w:line="360" w:lineRule="auto"/>
        <w:ind w:left="567" w:right="539"/>
        <w:rPr>
          <w:rFonts w:eastAsia="Times New Roman" w:cs="Times New Roman"/>
          <w:i/>
          <w:noProof/>
          <w:color w:val="auto"/>
          <w:sz w:val="20"/>
          <w:lang w:eastAsia="es-MX"/>
        </w:rPr>
      </w:pPr>
      <w:r w:rsidRPr="00823DDB">
        <w:rPr>
          <w:rFonts w:eastAsia="Times New Roman" w:cs="Times New Roman"/>
          <w:i/>
          <w:noProof/>
          <w:color w:val="auto"/>
          <w:sz w:val="20"/>
          <w:lang w:eastAsia="es-MX"/>
        </w:rPr>
        <w:t>…</w:t>
      </w:r>
    </w:p>
    <w:p w:rsidRPr="00823DDB" w:rsidR="00BB7A78" w:rsidP="00BB7A78" w:rsidRDefault="00BB7A78" w14:paraId="1756D06D" w14:textId="77777777">
      <w:pPr>
        <w:spacing w:after="0" w:line="360" w:lineRule="auto"/>
        <w:ind w:left="567" w:right="539"/>
        <w:rPr>
          <w:rFonts w:eastAsia="Times New Roman" w:cs="Times New Roman"/>
          <w:i/>
          <w:noProof/>
          <w:color w:val="auto"/>
          <w:sz w:val="20"/>
          <w:lang w:eastAsia="es-MX"/>
        </w:rPr>
      </w:pPr>
    </w:p>
    <w:p w:rsidRPr="00823DDB" w:rsidR="00BB7A78" w:rsidP="00BB7A78" w:rsidRDefault="00BB7A78" w14:paraId="7886B47E" w14:textId="77777777">
      <w:pPr>
        <w:spacing w:after="0" w:line="360" w:lineRule="auto"/>
        <w:rPr>
          <w:rFonts w:eastAsia="Calibri" w:cs="Tahoma"/>
          <w:iCs/>
          <w:color w:val="auto"/>
          <w:lang w:eastAsia="es-ES_tradnl"/>
        </w:rPr>
      </w:pPr>
      <w:r w:rsidRPr="00823DDB">
        <w:rPr>
          <w:rFonts w:eastAsia="Times New Roman" w:cs="Times New Roman"/>
          <w:noProof/>
          <w:color w:val="auto"/>
          <w:lang w:eastAsia="es-MX"/>
        </w:rPr>
        <w:t xml:space="preserve">Con la normatividad transcrita, se concluye que el Sujeto Obligado tiene la facultad para emitir licencias de construcción, mismas que son interes del Particular, por lo que debe tener en sus archivos los documentos de los que se desprenda lo que el Recurrente solicita; respecto las licencias de construcción. Ahora bien, por lo que hace a las </w:t>
      </w:r>
      <w:r w:rsidRPr="00823DDB">
        <w:rPr>
          <w:rFonts w:eastAsia="Times New Roman" w:cs="Times New Roman"/>
          <w:b/>
          <w:noProof/>
          <w:color w:val="auto"/>
          <w:u w:val="single"/>
          <w:lang w:eastAsia="es-MX"/>
        </w:rPr>
        <w:t>licencias de uso de suelo</w:t>
      </w:r>
      <w:r w:rsidRPr="00823DDB">
        <w:rPr>
          <w:rFonts w:eastAsia="Times New Roman" w:cs="Times New Roman"/>
          <w:noProof/>
          <w:color w:val="auto"/>
          <w:lang w:eastAsia="es-MX"/>
        </w:rPr>
        <w:t xml:space="preserve"> </w:t>
      </w:r>
      <w:r w:rsidRPr="00823DDB">
        <w:rPr>
          <w:rFonts w:eastAsia="Calibri" w:cs="Tahoma"/>
          <w:iCs/>
          <w:color w:val="auto"/>
          <w:lang w:eastAsia="es-ES_tradnl"/>
        </w:rPr>
        <w:t>es necesario señalar que la Ley Orgánica Municipal del Estado de México en su artículo 114 señala que cada Ayuntamiento elaborará su plan de desarrollo municipal y los programas de trabajo necesarios para su ejecución en forma democrática y participativa. Aunado a lo anterior, respecto el Plan de Desarrollo Municipal, la Ley Orgánica Municipal del Estado de México, establece lo siguiente:</w:t>
      </w:r>
    </w:p>
    <w:p w:rsidRPr="00823DDB" w:rsidR="00BB7A78" w:rsidP="00BB7A78" w:rsidRDefault="00BB7A78" w14:paraId="62C7503D" w14:textId="77777777">
      <w:pPr>
        <w:spacing w:after="0" w:line="360" w:lineRule="auto"/>
        <w:rPr>
          <w:rFonts w:eastAsia="Calibri" w:cs="Tahoma"/>
          <w:iCs/>
          <w:color w:val="auto"/>
          <w:lang w:eastAsia="es-ES_tradnl"/>
        </w:rPr>
      </w:pPr>
    </w:p>
    <w:p w:rsidRPr="00823DDB" w:rsidR="00BB7A78" w:rsidP="00BB7A78" w:rsidRDefault="00BB7A78" w14:paraId="135E27C7" w14:textId="77777777">
      <w:pPr>
        <w:spacing w:after="0" w:line="360" w:lineRule="auto"/>
        <w:ind w:left="567" w:right="539"/>
        <w:rPr>
          <w:rFonts w:eastAsia="Calibri" w:cs="Tahoma"/>
          <w:i/>
          <w:iCs/>
          <w:color w:val="auto"/>
          <w:sz w:val="20"/>
          <w:lang w:eastAsia="es-ES_tradnl"/>
        </w:rPr>
      </w:pPr>
      <w:r w:rsidRPr="00823DDB">
        <w:rPr>
          <w:rFonts w:eastAsia="Calibri" w:cs="Tahoma"/>
          <w:b/>
          <w:i/>
          <w:iCs/>
          <w:color w:val="auto"/>
          <w:sz w:val="20"/>
          <w:lang w:eastAsia="es-ES_tradnl"/>
        </w:rPr>
        <w:t>Artículo 116.-</w:t>
      </w:r>
      <w:r w:rsidRPr="00823DDB">
        <w:rPr>
          <w:rFonts w:eastAsia="Calibri" w:cs="Tahoma"/>
          <w:i/>
          <w:iCs/>
          <w:color w:val="auto"/>
          <w:sz w:val="20"/>
          <w:lang w:eastAsia="es-ES_tradnl"/>
        </w:rPr>
        <w:t xml:space="preserve"> El Plan de Desarrollo Municipal deberá ser elaborado, aprobado y publicado, dentro de los primeros tres meses de la gestión municipal. Su evaluación deberá realizarse anualmente; y en </w:t>
      </w:r>
      <w:r w:rsidRPr="00823DDB">
        <w:rPr>
          <w:rFonts w:eastAsia="Calibri" w:cs="Tahoma"/>
          <w:i/>
          <w:iCs/>
          <w:color w:val="auto"/>
          <w:sz w:val="20"/>
          <w:lang w:eastAsia="es-ES_tradnl"/>
        </w:rPr>
        <w:lastRenderedPageBreak/>
        <w:t>caso de no hacerse se hará acreedor a las sanciones de las dependencias normativas en el ámbito de su competencia.</w:t>
      </w:r>
    </w:p>
    <w:p w:rsidRPr="00823DDB" w:rsidR="00BB7A78" w:rsidP="00BB7A78" w:rsidRDefault="00BB7A78" w14:paraId="1E28BB30" w14:textId="77777777">
      <w:pPr>
        <w:spacing w:after="0" w:line="360" w:lineRule="auto"/>
        <w:ind w:left="567" w:right="539"/>
        <w:rPr>
          <w:rFonts w:eastAsia="Calibri" w:cs="Tahoma"/>
          <w:i/>
          <w:iCs/>
          <w:color w:val="auto"/>
          <w:sz w:val="20"/>
          <w:lang w:eastAsia="es-ES_tradnl"/>
        </w:rPr>
      </w:pPr>
    </w:p>
    <w:p w:rsidRPr="00823DDB" w:rsidR="00BB7A78" w:rsidP="00BB7A78" w:rsidRDefault="00BB7A78" w14:paraId="1BA1D544" w14:textId="77777777">
      <w:pPr>
        <w:spacing w:after="0" w:line="360" w:lineRule="auto"/>
        <w:ind w:left="567" w:right="539"/>
        <w:rPr>
          <w:rFonts w:eastAsia="Calibri" w:cs="Tahoma"/>
          <w:i/>
          <w:iCs/>
          <w:color w:val="auto"/>
          <w:sz w:val="20"/>
          <w:lang w:eastAsia="es-ES_tradnl"/>
        </w:rPr>
      </w:pPr>
      <w:r w:rsidRPr="00823DDB">
        <w:rPr>
          <w:rFonts w:eastAsia="Calibri" w:cs="Tahoma"/>
          <w:b/>
          <w:i/>
          <w:iCs/>
          <w:color w:val="auto"/>
          <w:sz w:val="20"/>
          <w:lang w:eastAsia="es-ES_tradnl"/>
        </w:rPr>
        <w:t>Artículo 117</w:t>
      </w:r>
      <w:r w:rsidRPr="00823DDB">
        <w:rPr>
          <w:rFonts w:eastAsia="Calibri" w:cs="Tahoma"/>
          <w:i/>
          <w:iCs/>
          <w:color w:val="auto"/>
          <w:sz w:val="20"/>
          <w:lang w:eastAsia="es-ES_tradnl"/>
        </w:rPr>
        <w:t>.- El Plan de Desarrollo Municipal tendrá los objetivos siguientes:</w:t>
      </w:r>
    </w:p>
    <w:p w:rsidRPr="00823DDB" w:rsidR="00BB7A78" w:rsidP="00BB7A78" w:rsidRDefault="00BB7A78" w14:paraId="2A7F475A" w14:textId="77777777">
      <w:pPr>
        <w:spacing w:after="0" w:line="360" w:lineRule="auto"/>
        <w:ind w:left="567" w:right="539"/>
        <w:rPr>
          <w:rFonts w:eastAsia="Calibri" w:cs="Tahoma"/>
          <w:i/>
          <w:iCs/>
          <w:color w:val="auto"/>
          <w:sz w:val="20"/>
          <w:lang w:eastAsia="es-ES_tradnl"/>
        </w:rPr>
      </w:pPr>
      <w:r w:rsidRPr="00823DDB">
        <w:rPr>
          <w:rFonts w:eastAsia="Calibri" w:cs="Tahoma"/>
          <w:i/>
          <w:iCs/>
          <w:color w:val="auto"/>
          <w:sz w:val="20"/>
          <w:lang w:eastAsia="es-ES_tradnl"/>
        </w:rPr>
        <w:t>I. Atender las demandas prioritarias de la población;</w:t>
      </w:r>
    </w:p>
    <w:p w:rsidRPr="00823DDB" w:rsidR="00BB7A78" w:rsidP="00BB7A78" w:rsidRDefault="00BB7A78" w14:paraId="6FE123A1" w14:textId="77777777">
      <w:pPr>
        <w:spacing w:after="0" w:line="360" w:lineRule="auto"/>
        <w:ind w:left="567" w:right="539"/>
        <w:rPr>
          <w:rFonts w:eastAsia="Calibri" w:cs="Tahoma"/>
          <w:i/>
          <w:iCs/>
          <w:color w:val="auto"/>
          <w:sz w:val="20"/>
          <w:lang w:eastAsia="es-ES_tradnl"/>
        </w:rPr>
      </w:pPr>
      <w:r w:rsidRPr="00823DDB">
        <w:rPr>
          <w:rFonts w:eastAsia="Calibri" w:cs="Tahoma"/>
          <w:i/>
          <w:iCs/>
          <w:color w:val="auto"/>
          <w:sz w:val="20"/>
          <w:lang w:eastAsia="es-ES_tradnl"/>
        </w:rPr>
        <w:t>II. Propiciar el desarrollo armónico del municipio;</w:t>
      </w:r>
    </w:p>
    <w:p w:rsidRPr="00823DDB" w:rsidR="00BB7A78" w:rsidP="00BB7A78" w:rsidRDefault="00BB7A78" w14:paraId="2B20D2D2" w14:textId="77777777">
      <w:pPr>
        <w:spacing w:after="0" w:line="360" w:lineRule="auto"/>
        <w:ind w:left="567" w:right="539"/>
        <w:rPr>
          <w:rFonts w:eastAsia="Calibri" w:cs="Tahoma"/>
          <w:i/>
          <w:iCs/>
          <w:color w:val="auto"/>
          <w:sz w:val="20"/>
          <w:lang w:eastAsia="es-ES_tradnl"/>
        </w:rPr>
      </w:pPr>
      <w:r w:rsidRPr="00823DDB">
        <w:rPr>
          <w:rFonts w:eastAsia="Calibri" w:cs="Tahoma"/>
          <w:i/>
          <w:iCs/>
          <w:color w:val="auto"/>
          <w:sz w:val="20"/>
          <w:lang w:eastAsia="es-ES_tradnl"/>
        </w:rPr>
        <w:t>III. Asegurar la participación de la sociedad en las acciones del gobierno municipal;</w:t>
      </w:r>
    </w:p>
    <w:p w:rsidRPr="00823DDB" w:rsidR="00BB7A78" w:rsidP="00BB7A78" w:rsidRDefault="00BB7A78" w14:paraId="25449B88" w14:textId="77777777">
      <w:pPr>
        <w:spacing w:after="0" w:line="360" w:lineRule="auto"/>
        <w:ind w:left="567" w:right="539"/>
        <w:rPr>
          <w:rFonts w:eastAsia="Calibri" w:cs="Tahoma"/>
          <w:i/>
          <w:iCs/>
          <w:color w:val="auto"/>
          <w:sz w:val="20"/>
          <w:lang w:eastAsia="es-ES_tradnl"/>
        </w:rPr>
      </w:pPr>
      <w:r w:rsidRPr="00823DDB">
        <w:rPr>
          <w:rFonts w:eastAsia="Calibri" w:cs="Tahoma"/>
          <w:i/>
          <w:iCs/>
          <w:color w:val="auto"/>
          <w:sz w:val="20"/>
          <w:lang w:eastAsia="es-ES_tradnl"/>
        </w:rPr>
        <w:t>IV. Vincular el Plan de Desarrollo Municipal con los planes de desarrollo federal y estatal;</w:t>
      </w:r>
    </w:p>
    <w:p w:rsidRPr="00823DDB" w:rsidR="00BB7A78" w:rsidP="00BB7A78" w:rsidRDefault="00BB7A78" w14:paraId="540F70B2" w14:textId="77777777">
      <w:pPr>
        <w:spacing w:after="0" w:line="360" w:lineRule="auto"/>
        <w:ind w:left="567" w:right="539"/>
        <w:rPr>
          <w:rFonts w:eastAsia="Calibri" w:cs="Tahoma"/>
          <w:i/>
          <w:iCs/>
          <w:color w:val="auto"/>
          <w:sz w:val="20"/>
          <w:lang w:eastAsia="es-ES_tradnl"/>
        </w:rPr>
      </w:pPr>
      <w:r w:rsidRPr="00823DDB">
        <w:rPr>
          <w:rFonts w:eastAsia="Calibri" w:cs="Tahoma"/>
          <w:i/>
          <w:iCs/>
          <w:color w:val="auto"/>
          <w:sz w:val="20"/>
          <w:lang w:eastAsia="es-ES_tradnl"/>
        </w:rPr>
        <w:t>V. Aplicar de manera racional los recursos financieros para el cumplimiento del plan y los programas de desarrollo.</w:t>
      </w:r>
    </w:p>
    <w:p w:rsidRPr="00823DDB" w:rsidR="00BB7A78" w:rsidP="00BB7A78" w:rsidRDefault="00BB7A78" w14:paraId="6F6330A8" w14:textId="77777777">
      <w:pPr>
        <w:spacing w:after="0" w:line="360" w:lineRule="auto"/>
        <w:ind w:left="567" w:right="539"/>
        <w:rPr>
          <w:rFonts w:eastAsia="Calibri" w:cs="Tahoma"/>
          <w:i/>
          <w:iCs/>
          <w:color w:val="auto"/>
          <w:sz w:val="20"/>
          <w:lang w:eastAsia="es-ES_tradnl"/>
        </w:rPr>
      </w:pPr>
    </w:p>
    <w:p w:rsidRPr="00823DDB" w:rsidR="00BB7A78" w:rsidP="00BB7A78" w:rsidRDefault="00BB7A78" w14:paraId="4B4E8E9F" w14:textId="77777777">
      <w:pPr>
        <w:spacing w:after="0" w:line="360" w:lineRule="auto"/>
        <w:ind w:left="567" w:right="539"/>
        <w:rPr>
          <w:rFonts w:eastAsia="Calibri" w:cs="Tahoma"/>
          <w:i/>
          <w:iCs/>
          <w:color w:val="auto"/>
          <w:sz w:val="20"/>
          <w:lang w:eastAsia="es-ES_tradnl"/>
        </w:rPr>
      </w:pPr>
      <w:r w:rsidRPr="00823DDB">
        <w:rPr>
          <w:rFonts w:eastAsia="Calibri" w:cs="Tahoma"/>
          <w:b/>
          <w:i/>
          <w:iCs/>
          <w:color w:val="auto"/>
          <w:sz w:val="20"/>
          <w:lang w:eastAsia="es-ES_tradnl"/>
        </w:rPr>
        <w:t>Artículo 118.-</w:t>
      </w:r>
      <w:r w:rsidRPr="00823DDB">
        <w:rPr>
          <w:rFonts w:eastAsia="Calibri" w:cs="Tahoma"/>
          <w:i/>
          <w:iCs/>
          <w:color w:val="auto"/>
          <w:sz w:val="20"/>
          <w:lang w:eastAsia="es-ES_tradnl"/>
        </w:rPr>
        <w:t xml:space="preserve"> El Plan de Desarrollo Municipal contendrá al menos, un diagnóstico sobre las condiciones económicas y sociales del municipio, las metas a alcanzar, las estrategias a seguir, los plazos de ejecución, las dependencias y organismos responsables de su cumplimiento y las bases de coordinación y concertación que se requieren para su cumplimiento.</w:t>
      </w:r>
    </w:p>
    <w:p w:rsidRPr="00823DDB" w:rsidR="00BB7A78" w:rsidP="00BB7A78" w:rsidRDefault="00BB7A78" w14:paraId="1FC251B1" w14:textId="77777777">
      <w:pPr>
        <w:spacing w:after="0" w:line="360" w:lineRule="auto"/>
        <w:ind w:left="567" w:right="539"/>
        <w:rPr>
          <w:rFonts w:eastAsia="Calibri" w:cs="Tahoma"/>
          <w:i/>
          <w:iCs/>
          <w:color w:val="auto"/>
          <w:sz w:val="20"/>
          <w:lang w:eastAsia="es-ES_tradnl"/>
        </w:rPr>
      </w:pPr>
    </w:p>
    <w:p w:rsidRPr="00823DDB" w:rsidR="00BB7A78" w:rsidP="00BB7A78" w:rsidRDefault="00BB7A78" w14:paraId="7CC4A44D" w14:textId="77777777">
      <w:pPr>
        <w:spacing w:after="0" w:line="360" w:lineRule="auto"/>
        <w:ind w:left="567" w:right="539"/>
        <w:rPr>
          <w:rFonts w:eastAsia="Calibri" w:cs="Tahoma"/>
          <w:i/>
          <w:iCs/>
          <w:color w:val="auto"/>
          <w:sz w:val="20"/>
          <w:lang w:eastAsia="es-ES_tradnl"/>
        </w:rPr>
      </w:pPr>
      <w:r w:rsidRPr="00823DDB">
        <w:rPr>
          <w:rFonts w:eastAsia="Calibri" w:cs="Tahoma"/>
          <w:b/>
          <w:i/>
          <w:iCs/>
          <w:color w:val="auto"/>
          <w:sz w:val="20"/>
          <w:lang w:eastAsia="es-ES_tradnl"/>
        </w:rPr>
        <w:t>Artículo 121</w:t>
      </w:r>
      <w:r w:rsidRPr="00823DDB">
        <w:rPr>
          <w:rFonts w:eastAsia="Calibri" w:cs="Tahoma"/>
          <w:i/>
          <w:iCs/>
          <w:color w:val="auto"/>
          <w:sz w:val="20"/>
          <w:lang w:eastAsia="es-ES_tradnl"/>
        </w:rPr>
        <w:t>.- Los ayuntamientos publicarán su Plan de Desarrollo Municipal a través de la Gaceta Municipal y de los estrados de los Ayuntamientos durante el primer año de gestión y lo difundirán en forma extensa.</w:t>
      </w:r>
    </w:p>
    <w:p w:rsidRPr="00823DDB" w:rsidR="00BB7A78" w:rsidP="00BB7A78" w:rsidRDefault="00BB7A78" w14:paraId="1EE0163C" w14:textId="77777777">
      <w:pPr>
        <w:spacing w:after="0" w:line="360" w:lineRule="auto"/>
        <w:ind w:left="567" w:right="539"/>
        <w:rPr>
          <w:rFonts w:eastAsia="Calibri" w:cs="Tahoma"/>
          <w:i/>
          <w:iCs/>
          <w:color w:val="auto"/>
          <w:sz w:val="20"/>
          <w:lang w:eastAsia="es-ES_tradnl"/>
        </w:rPr>
      </w:pPr>
    </w:p>
    <w:p w:rsidRPr="00823DDB" w:rsidR="00BB7A78" w:rsidP="00BB7A78" w:rsidRDefault="00BB7A78" w14:paraId="15C1C3CE" w14:textId="77777777">
      <w:pPr>
        <w:tabs>
          <w:tab w:val="left" w:pos="4962"/>
        </w:tabs>
        <w:spacing w:after="0" w:line="360" w:lineRule="auto"/>
        <w:rPr>
          <w:rFonts w:eastAsia="Calibri" w:cs="Tahoma"/>
          <w:iCs/>
          <w:color w:val="auto"/>
          <w:lang w:val="es-ES" w:eastAsia="es-ES_tradnl"/>
        </w:rPr>
      </w:pPr>
      <w:r w:rsidRPr="00823DDB">
        <w:rPr>
          <w:rFonts w:eastAsia="Calibri" w:cs="Tahoma"/>
          <w:iCs/>
          <w:color w:val="auto"/>
          <w:lang w:eastAsia="es-ES_tradnl"/>
        </w:rPr>
        <w:t xml:space="preserve">Así de lo anterior, se advierte que el Plan de Desarrollo Municipal es el instrumento de planeación que tiene la capacidad de asignar recursos para la ejecución y el </w:t>
      </w:r>
      <w:r w:rsidRPr="00823DDB">
        <w:rPr>
          <w:rFonts w:eastAsia="Calibri" w:cs="Tahoma"/>
          <w:bCs/>
          <w:iCs/>
          <w:color w:val="auto"/>
          <w:lang w:eastAsia="es-ES_tradnl"/>
        </w:rPr>
        <w:t xml:space="preserve">desarrollo </w:t>
      </w:r>
      <w:r w:rsidRPr="00823DDB">
        <w:rPr>
          <w:rFonts w:eastAsia="Calibri" w:cs="Tahoma"/>
          <w:iCs/>
          <w:color w:val="auto"/>
          <w:lang w:eastAsia="es-ES_tradnl"/>
        </w:rPr>
        <w:t xml:space="preserve">de los proyectos relacionados con el </w:t>
      </w:r>
      <w:r w:rsidRPr="00823DDB">
        <w:rPr>
          <w:rFonts w:eastAsia="Calibri" w:cs="Tahoma"/>
          <w:bCs/>
          <w:iCs/>
          <w:color w:val="auto"/>
          <w:lang w:eastAsia="es-ES_tradnl"/>
        </w:rPr>
        <w:t>objetivo</w:t>
      </w:r>
      <w:r w:rsidRPr="00823DDB">
        <w:rPr>
          <w:rFonts w:eastAsia="Calibri" w:cs="Tahoma"/>
          <w:b/>
          <w:bCs/>
          <w:iCs/>
          <w:color w:val="auto"/>
          <w:lang w:eastAsia="es-ES_tradnl"/>
        </w:rPr>
        <w:t xml:space="preserve"> </w:t>
      </w:r>
      <w:r w:rsidRPr="00823DDB">
        <w:rPr>
          <w:rFonts w:eastAsia="Calibri" w:cs="Tahoma"/>
          <w:iCs/>
          <w:color w:val="auto"/>
          <w:lang w:eastAsia="es-ES_tradnl"/>
        </w:rPr>
        <w:t xml:space="preserve">de </w:t>
      </w:r>
      <w:r w:rsidRPr="00823DDB">
        <w:rPr>
          <w:rFonts w:eastAsia="Calibri" w:cs="Tahoma"/>
          <w:bCs/>
          <w:iCs/>
          <w:color w:val="auto"/>
          <w:lang w:eastAsia="es-ES_tradnl"/>
        </w:rPr>
        <w:t xml:space="preserve">desarrollo </w:t>
      </w:r>
      <w:r w:rsidRPr="00823DDB">
        <w:rPr>
          <w:rFonts w:eastAsia="Calibri" w:cs="Tahoma"/>
          <w:iCs/>
          <w:color w:val="auto"/>
          <w:lang w:eastAsia="es-ES_tradnl"/>
        </w:rPr>
        <w:t xml:space="preserve">territorial durante la vigencia de un periodo de gobierno, dentro del cual se encuentra el uso de suelo, además </w:t>
      </w:r>
      <w:r w:rsidRPr="00823DDB">
        <w:rPr>
          <w:rFonts w:eastAsia="Calibri" w:cs="Tahoma"/>
          <w:iCs/>
          <w:color w:val="auto"/>
          <w:lang w:val="es-ES" w:eastAsia="es-ES_tradnl"/>
        </w:rPr>
        <w:t xml:space="preserve">el Código Administrativo del Estado de México en su artículo 5.10, fracción VI señala que los municipios tendrán la atribución de expedir cédulas informativas de zonificación, </w:t>
      </w:r>
      <w:r w:rsidRPr="00823DDB">
        <w:rPr>
          <w:rFonts w:eastAsia="Calibri" w:cs="Tahoma"/>
          <w:iCs/>
          <w:color w:val="auto"/>
          <w:u w:val="single"/>
          <w:lang w:val="es-ES" w:eastAsia="es-ES_tradnl"/>
        </w:rPr>
        <w:t>licencias de uso de suelo y licencias de construcción</w:t>
      </w:r>
      <w:r w:rsidRPr="00823DDB">
        <w:rPr>
          <w:rFonts w:eastAsia="Calibri" w:cs="Tahoma"/>
          <w:iCs/>
          <w:color w:val="auto"/>
          <w:lang w:val="es-ES" w:eastAsia="es-ES_tradnl"/>
        </w:rPr>
        <w:t>.</w:t>
      </w:r>
    </w:p>
    <w:p w:rsidRPr="00823DDB" w:rsidR="00BB7A78" w:rsidP="00BB7A78" w:rsidRDefault="00BB7A78" w14:paraId="45817EAB" w14:textId="77777777">
      <w:pPr>
        <w:tabs>
          <w:tab w:val="left" w:pos="4962"/>
        </w:tabs>
        <w:spacing w:after="0" w:line="360" w:lineRule="auto"/>
        <w:rPr>
          <w:rFonts w:eastAsia="Calibri" w:cs="Tahoma"/>
          <w:iCs/>
          <w:color w:val="auto"/>
          <w:lang w:val="es-ES" w:eastAsia="es-ES_tradnl"/>
        </w:rPr>
      </w:pPr>
    </w:p>
    <w:p w:rsidRPr="00823DDB" w:rsidR="00BB7A78" w:rsidP="00BB7A78" w:rsidRDefault="00BB7A78" w14:paraId="13E52EE1" w14:textId="77777777">
      <w:pPr>
        <w:tabs>
          <w:tab w:val="left" w:pos="4962"/>
        </w:tabs>
        <w:spacing w:after="0" w:line="360" w:lineRule="auto"/>
        <w:rPr>
          <w:rFonts w:eastAsia="Calibri" w:cs="Tahoma"/>
          <w:iCs/>
          <w:color w:val="auto"/>
          <w:lang w:val="es-ES" w:eastAsia="es-ES_tradnl"/>
        </w:rPr>
      </w:pPr>
      <w:r w:rsidRPr="00823DDB">
        <w:rPr>
          <w:rFonts w:eastAsia="Calibri" w:cs="Tahoma"/>
          <w:iCs/>
          <w:color w:val="auto"/>
          <w:lang w:val="es-ES" w:eastAsia="es-ES_tradnl"/>
        </w:rPr>
        <w:lastRenderedPageBreak/>
        <w:t>Por su parte el Reglamento del Libro Quinto del Código Administrativo del Estado de México, sobre las licencias de uso de suelo señala lo siguiente:</w:t>
      </w:r>
    </w:p>
    <w:p w:rsidRPr="00823DDB" w:rsidR="00BB7A78" w:rsidP="00BB7A78" w:rsidRDefault="00BB7A78" w14:paraId="5A442F86" w14:textId="77777777">
      <w:pPr>
        <w:tabs>
          <w:tab w:val="left" w:pos="4962"/>
        </w:tabs>
        <w:spacing w:after="0" w:line="360" w:lineRule="auto"/>
        <w:rPr>
          <w:rFonts w:eastAsia="Calibri" w:cs="Tahoma"/>
          <w:iCs/>
          <w:color w:val="auto"/>
          <w:lang w:val="es-ES" w:eastAsia="es-ES_tradnl"/>
        </w:rPr>
      </w:pPr>
    </w:p>
    <w:p w:rsidRPr="00823DDB" w:rsidR="00BB7A78" w:rsidP="00BB7A78" w:rsidRDefault="00BB7A78" w14:paraId="04E013F4" w14:textId="77777777">
      <w:pPr>
        <w:tabs>
          <w:tab w:val="left" w:pos="4962"/>
        </w:tabs>
        <w:spacing w:after="0" w:line="360" w:lineRule="auto"/>
        <w:ind w:left="567" w:right="539"/>
        <w:rPr>
          <w:rFonts w:eastAsia="Calibri" w:cs="Tahoma"/>
          <w:b/>
          <w:i/>
          <w:iCs/>
          <w:color w:val="auto"/>
          <w:sz w:val="20"/>
          <w:lang w:eastAsia="es-ES_tradnl"/>
        </w:rPr>
      </w:pPr>
      <w:r w:rsidRPr="00823DDB">
        <w:rPr>
          <w:rFonts w:eastAsia="Calibri" w:cs="Tahoma"/>
          <w:b/>
          <w:i/>
          <w:iCs/>
          <w:color w:val="auto"/>
          <w:sz w:val="20"/>
          <w:lang w:eastAsia="es-ES_tradnl"/>
        </w:rPr>
        <w:t>DEL OBJETO DE LA LICENCIA DE USO DEL SUELO</w:t>
      </w:r>
    </w:p>
    <w:p w:rsidRPr="00823DDB" w:rsidR="00BB7A78" w:rsidP="00BB7A78" w:rsidRDefault="00BB7A78" w14:paraId="236A3D2D" w14:textId="77777777">
      <w:pPr>
        <w:tabs>
          <w:tab w:val="left" w:pos="4962"/>
        </w:tabs>
        <w:spacing w:after="0" w:line="360" w:lineRule="auto"/>
        <w:ind w:left="567" w:right="539"/>
        <w:rPr>
          <w:rFonts w:eastAsia="Calibri" w:cs="Tahoma"/>
          <w:i/>
          <w:iCs/>
          <w:color w:val="auto"/>
          <w:sz w:val="20"/>
          <w:lang w:eastAsia="es-ES_tradnl"/>
        </w:rPr>
      </w:pPr>
      <w:r w:rsidRPr="00823DDB">
        <w:rPr>
          <w:rFonts w:eastAsia="Calibri" w:cs="Tahoma"/>
          <w:b/>
          <w:i/>
          <w:iCs/>
          <w:color w:val="auto"/>
          <w:sz w:val="20"/>
          <w:lang w:eastAsia="es-ES_tradnl"/>
        </w:rPr>
        <w:t>Artículo 135.</w:t>
      </w:r>
      <w:r w:rsidRPr="00823DDB">
        <w:rPr>
          <w:rFonts w:eastAsia="Calibri" w:cs="Tahoma"/>
          <w:i/>
          <w:iCs/>
          <w:color w:val="auto"/>
          <w:sz w:val="20"/>
          <w:lang w:eastAsia="es-ES_tradnl"/>
        </w:rPr>
        <w:t xml:space="preserve"> La licencia de uso del suelo tendrá por objeto autorizar las normas para el uso y aprovechamiento de un determinado predio tales como: el coeficiente de ocupación del suelo, el coeficiente de utilización del suelo, la altura máxima de edificación, el número de cajones de estacionamiento, y en su caso el alineamiento y número oficial, además de señalar las restricciones correspondientes del Plan Municipal de Desarrollo Urbano correspondiente. A solicitud del interesado la licencia de uso del suelo podrá contener también el alineamiento y número oficial.</w:t>
      </w:r>
    </w:p>
    <w:p w:rsidRPr="00823DDB" w:rsidR="00BB7A78" w:rsidP="00BB7A78" w:rsidRDefault="00BB7A78" w14:paraId="3DB9B067" w14:textId="77777777">
      <w:pPr>
        <w:tabs>
          <w:tab w:val="left" w:pos="4962"/>
        </w:tabs>
        <w:spacing w:after="0" w:line="360" w:lineRule="auto"/>
        <w:ind w:left="567" w:right="539"/>
        <w:rPr>
          <w:rFonts w:eastAsia="Calibri" w:cs="Tahoma"/>
          <w:b/>
          <w:i/>
          <w:iCs/>
          <w:color w:val="auto"/>
          <w:sz w:val="20"/>
          <w:lang w:eastAsia="es-ES_tradnl"/>
        </w:rPr>
      </w:pPr>
    </w:p>
    <w:p w:rsidRPr="00823DDB" w:rsidR="00BB7A78" w:rsidP="00BB7A78" w:rsidRDefault="00BB7A78" w14:paraId="17B13D15" w14:textId="77777777">
      <w:pPr>
        <w:tabs>
          <w:tab w:val="left" w:pos="4962"/>
        </w:tabs>
        <w:spacing w:after="0" w:line="360" w:lineRule="auto"/>
        <w:ind w:left="567" w:right="539"/>
        <w:rPr>
          <w:rFonts w:eastAsia="Calibri" w:cs="Tahoma"/>
          <w:i/>
          <w:iCs/>
          <w:color w:val="auto"/>
          <w:sz w:val="20"/>
          <w:lang w:eastAsia="es-ES_tradnl"/>
        </w:rPr>
      </w:pPr>
      <w:r w:rsidRPr="00823DDB">
        <w:rPr>
          <w:rFonts w:eastAsia="Calibri" w:cs="Tahoma"/>
          <w:b/>
          <w:i/>
          <w:iCs/>
          <w:color w:val="auto"/>
          <w:sz w:val="20"/>
          <w:lang w:eastAsia="es-ES_tradnl"/>
        </w:rPr>
        <w:t>DEL PROCEDIMIENTO PARA OBTENER LICENCIA DE USO DEL SUELO</w:t>
      </w:r>
      <w:r w:rsidRPr="00823DDB">
        <w:rPr>
          <w:rFonts w:eastAsia="Calibri" w:cs="Tahoma"/>
          <w:i/>
          <w:iCs/>
          <w:color w:val="auto"/>
          <w:sz w:val="20"/>
          <w:lang w:eastAsia="es-ES_tradnl"/>
        </w:rPr>
        <w:t xml:space="preserve"> </w:t>
      </w:r>
    </w:p>
    <w:p w:rsidRPr="00823DDB" w:rsidR="00BB7A78" w:rsidP="00BB7A78" w:rsidRDefault="00BB7A78" w14:paraId="0581040F" w14:textId="77777777">
      <w:pPr>
        <w:tabs>
          <w:tab w:val="left" w:pos="4962"/>
        </w:tabs>
        <w:spacing w:after="0" w:line="360" w:lineRule="auto"/>
        <w:ind w:left="567" w:right="539"/>
        <w:rPr>
          <w:rFonts w:eastAsia="Calibri" w:cs="Tahoma"/>
          <w:i/>
          <w:iCs/>
          <w:color w:val="auto"/>
          <w:sz w:val="20"/>
          <w:lang w:eastAsia="es-ES_tradnl"/>
        </w:rPr>
      </w:pPr>
      <w:r w:rsidRPr="00823DDB">
        <w:rPr>
          <w:rFonts w:eastAsia="Calibri" w:cs="Tahoma"/>
          <w:b/>
          <w:i/>
          <w:iCs/>
          <w:color w:val="auto"/>
          <w:sz w:val="20"/>
          <w:lang w:eastAsia="es-ES_tradnl"/>
        </w:rPr>
        <w:t>Artículo 136.</w:t>
      </w:r>
      <w:r w:rsidRPr="00823DDB">
        <w:rPr>
          <w:rFonts w:eastAsia="Calibri" w:cs="Tahoma"/>
          <w:i/>
          <w:iCs/>
          <w:color w:val="auto"/>
          <w:sz w:val="20"/>
          <w:lang w:eastAsia="es-ES_tradnl"/>
        </w:rPr>
        <w:t xml:space="preserve"> El procedimiento para obtener licencia de uso del suelo se sujetará a lo siguiente:</w:t>
      </w:r>
    </w:p>
    <w:p w:rsidRPr="00823DDB" w:rsidR="00BB7A78" w:rsidP="00BB7A78" w:rsidRDefault="00BB7A78" w14:paraId="4185541E"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I. El interesado presentará solicitud ante la autoridad competente, en la que señalará lo siguiente:</w:t>
      </w:r>
    </w:p>
    <w:p w:rsidRPr="00823DDB" w:rsidR="00BB7A78" w:rsidP="00BB7A78" w:rsidRDefault="00BB7A78" w14:paraId="32F8E43B"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A) Uso actual y pretendido del suelo;</w:t>
      </w:r>
    </w:p>
    <w:p w:rsidRPr="00823DDB" w:rsidR="00BB7A78" w:rsidP="00BB7A78" w:rsidRDefault="00BB7A78" w14:paraId="11588367"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B) Superficie total del predio;</w:t>
      </w:r>
    </w:p>
    <w:p w:rsidRPr="00823DDB" w:rsidR="00BB7A78" w:rsidP="00BB7A78" w:rsidRDefault="00BB7A78" w14:paraId="0BB5C357"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C) Superficie construida o por construir;</w:t>
      </w:r>
    </w:p>
    <w:p w:rsidRPr="00823DDB" w:rsidR="00BB7A78" w:rsidP="00BB7A78" w:rsidRDefault="00BB7A78" w14:paraId="57138791"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D) Clave catastral, si la hubiere;</w:t>
      </w:r>
    </w:p>
    <w:p w:rsidRPr="00823DDB" w:rsidR="00BB7A78" w:rsidP="00BB7A78" w:rsidRDefault="00BB7A78" w14:paraId="2344B0E6"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E) Localización del inmueble, a través de representación gráfica (croquis);</w:t>
      </w:r>
    </w:p>
    <w:p w:rsidRPr="00823DDB" w:rsidR="00BB7A78" w:rsidP="00BB7A78" w:rsidRDefault="00BB7A78" w14:paraId="1D433EA0"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II. A la solicitud se acompañarán los documentos siguientes:</w:t>
      </w:r>
    </w:p>
    <w:p w:rsidRPr="00823DDB" w:rsidR="00BB7A78" w:rsidP="00BB7A78" w:rsidRDefault="00BB7A78" w14:paraId="37C63626"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A) Título de propiedad y certificado de inscripción en el Instituto de la Función Registral del Estado de México;</w:t>
      </w:r>
    </w:p>
    <w:p w:rsidRPr="00823DDB" w:rsidR="00BB7A78" w:rsidP="00BB7A78" w:rsidRDefault="00BB7A78" w14:paraId="4A182838"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B) En caso de posesión del inmueble o predio, podrá acreditarse con alguno de los documentos siguientes:</w:t>
      </w:r>
      <w:r w:rsidRPr="00823DDB">
        <w:rPr>
          <w:rFonts w:eastAsia="Calibri" w:cs="Tahoma"/>
          <w:i/>
          <w:iCs/>
          <w:color w:val="auto"/>
          <w:sz w:val="20"/>
          <w:lang w:val="es-ES" w:eastAsia="es-ES_tradnl"/>
        </w:rPr>
        <w:cr/>
      </w:r>
      <w:r w:rsidRPr="00823DDB">
        <w:rPr>
          <w:rFonts w:ascii="Times New Roman" w:hAnsi="Times New Roman" w:eastAsia="Times New Roman" w:cs="Times New Roman"/>
          <w:color w:val="auto"/>
          <w:sz w:val="20"/>
          <w:szCs w:val="20"/>
          <w:lang w:eastAsia="es-ES"/>
        </w:rPr>
        <w:t xml:space="preserve"> </w:t>
      </w:r>
      <w:r w:rsidRPr="00823DDB">
        <w:rPr>
          <w:rFonts w:eastAsia="Calibri" w:cs="Tahoma"/>
          <w:i/>
          <w:iCs/>
          <w:color w:val="auto"/>
          <w:sz w:val="20"/>
          <w:lang w:val="es-ES" w:eastAsia="es-ES_tradnl"/>
        </w:rPr>
        <w:t>1. Contrato de compra-venta, usufructo, comodato o arrendamiento vigente sobre el inmueble;</w:t>
      </w:r>
    </w:p>
    <w:p w:rsidRPr="00823DDB" w:rsidR="00BB7A78" w:rsidP="00BB7A78" w:rsidRDefault="00BB7A78" w14:paraId="1BCBD313"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2. Resolución judicial firme que constituya o declare la propiedad o posesión o cualquier otro derecho real o personal vigente a favor del solicitante sobre el inmueble;</w:t>
      </w:r>
    </w:p>
    <w:p w:rsidRPr="00823DDB" w:rsidR="00BB7A78" w:rsidP="00BB7A78" w:rsidRDefault="00BB7A78" w14:paraId="756D3480"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3. Inmatriculación administrativa;</w:t>
      </w:r>
    </w:p>
    <w:p w:rsidRPr="00823DDB" w:rsidR="00BB7A78" w:rsidP="00BB7A78" w:rsidRDefault="00BB7A78" w14:paraId="7983FFF8"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4. Recibo de pago del impuesto sobre traslación de dominio;</w:t>
      </w:r>
    </w:p>
    <w:p w:rsidRPr="00823DDB" w:rsidR="00BB7A78" w:rsidP="00BB7A78" w:rsidRDefault="00BB7A78" w14:paraId="57FFB578"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lastRenderedPageBreak/>
        <w:t>5. Acta de entrega de la posesión, en caso de viviendas;</w:t>
      </w:r>
    </w:p>
    <w:p w:rsidRPr="00823DDB" w:rsidR="00BB7A78" w:rsidP="00BB7A78" w:rsidRDefault="00BB7A78" w14:paraId="07E1977C"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6. Cédula de contratación con el Instituto;</w:t>
      </w:r>
    </w:p>
    <w:p w:rsidRPr="00823DDB" w:rsidR="00BB7A78" w:rsidP="00BB7A78" w:rsidRDefault="00BB7A78" w14:paraId="747D302F"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7. En el caso de terrenos ejidales o comunales, certificado parcelario, certificado de derechos agrarios o resolución agraria, cédula de contratación con el Instituto de Suelo Sustentable, y</w:t>
      </w:r>
    </w:p>
    <w:p w:rsidRPr="00823DDB" w:rsidR="00BB7A78" w:rsidP="00BB7A78" w:rsidRDefault="00BB7A78" w14:paraId="01AE6780"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C) Dictamen Único, en el caso de usos del suelo de impacto urbano a que se refiere el artículo 5.35 del Código.</w:t>
      </w:r>
    </w:p>
    <w:p w:rsidRPr="00823DDB" w:rsidR="00BB7A78" w:rsidP="00BB7A78" w:rsidRDefault="00BB7A78" w14:paraId="1AC546AF"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 xml:space="preserve">La autoridad competente expedirá la licencia de uso del suelo dentro de los cinco días siguientes a la presentación de la solicitud y de los documentos que deben acompañarla, previo el pago de los derechos correspondientes, salvo que se solicite la opinión de la Secretaría, cuando no se cuente con plan de desarrollo urbano, en cuyo caso el plazo se extenderá hasta en cinco días </w:t>
      </w:r>
      <w:proofErr w:type="spellStart"/>
      <w:r w:rsidRPr="00823DDB">
        <w:rPr>
          <w:rFonts w:eastAsia="Calibri" w:cs="Tahoma"/>
          <w:i/>
          <w:iCs/>
          <w:color w:val="auto"/>
          <w:sz w:val="20"/>
          <w:lang w:val="es-ES" w:eastAsia="es-ES_tradnl"/>
        </w:rPr>
        <w:t>mas</w:t>
      </w:r>
      <w:proofErr w:type="spellEnd"/>
      <w:r w:rsidRPr="00823DDB">
        <w:rPr>
          <w:rFonts w:eastAsia="Calibri" w:cs="Tahoma"/>
          <w:i/>
          <w:iCs/>
          <w:color w:val="auto"/>
          <w:sz w:val="20"/>
          <w:lang w:val="es-ES" w:eastAsia="es-ES_tradnl"/>
        </w:rPr>
        <w:t>.</w:t>
      </w:r>
    </w:p>
    <w:p w:rsidRPr="00823DDB" w:rsidR="00BB7A78" w:rsidP="00BB7A78" w:rsidRDefault="00BB7A78" w14:paraId="1D356F5C" w14:textId="77777777">
      <w:pPr>
        <w:tabs>
          <w:tab w:val="left" w:pos="4962"/>
        </w:tabs>
        <w:spacing w:after="0" w:line="360" w:lineRule="auto"/>
        <w:ind w:left="567" w:right="539"/>
        <w:rPr>
          <w:rFonts w:eastAsia="Calibri" w:cs="Tahoma"/>
          <w:b/>
          <w:i/>
          <w:iCs/>
          <w:color w:val="auto"/>
          <w:sz w:val="20"/>
          <w:lang w:val="es-ES" w:eastAsia="es-ES_tradnl"/>
        </w:rPr>
      </w:pPr>
    </w:p>
    <w:p w:rsidRPr="00823DDB" w:rsidR="00BB7A78" w:rsidP="00BB7A78" w:rsidRDefault="00BB7A78" w14:paraId="25FDE75A" w14:textId="77777777">
      <w:pPr>
        <w:tabs>
          <w:tab w:val="left" w:pos="4962"/>
        </w:tabs>
        <w:spacing w:after="0" w:line="360" w:lineRule="auto"/>
        <w:ind w:left="567" w:right="539"/>
        <w:rPr>
          <w:rFonts w:eastAsia="Calibri" w:cs="Tahoma"/>
          <w:b/>
          <w:i/>
          <w:iCs/>
          <w:color w:val="auto"/>
          <w:sz w:val="20"/>
          <w:lang w:val="es-ES" w:eastAsia="es-ES_tradnl"/>
        </w:rPr>
      </w:pPr>
      <w:r w:rsidRPr="00823DDB">
        <w:rPr>
          <w:rFonts w:eastAsia="Calibri" w:cs="Tahoma"/>
          <w:b/>
          <w:i/>
          <w:iCs/>
          <w:color w:val="auto"/>
          <w:sz w:val="20"/>
          <w:lang w:val="es-ES" w:eastAsia="es-ES_tradnl"/>
        </w:rPr>
        <w:t>DEL CONTENIDO DE LA LICENCIA DE USO DEL SUELO</w:t>
      </w:r>
    </w:p>
    <w:p w:rsidRPr="00823DDB" w:rsidR="00BB7A78" w:rsidP="00BB7A78" w:rsidRDefault="00BB7A78" w14:paraId="18A133C0"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b/>
          <w:i/>
          <w:iCs/>
          <w:color w:val="auto"/>
          <w:sz w:val="20"/>
          <w:lang w:val="es-ES" w:eastAsia="es-ES_tradnl"/>
        </w:rPr>
        <w:t>Artículo 137</w:t>
      </w:r>
      <w:r w:rsidRPr="00823DDB">
        <w:rPr>
          <w:rFonts w:eastAsia="Calibri" w:cs="Tahoma"/>
          <w:i/>
          <w:iCs/>
          <w:color w:val="auto"/>
          <w:sz w:val="20"/>
          <w:lang w:val="es-ES" w:eastAsia="es-ES_tradnl"/>
        </w:rPr>
        <w:t>. La licencia de uso del suelo deberá contener, cuando menos, lo siguiente:</w:t>
      </w:r>
    </w:p>
    <w:p w:rsidRPr="00823DDB" w:rsidR="00BB7A78" w:rsidP="00BB7A78" w:rsidRDefault="00BB7A78" w14:paraId="7B4B0E3C"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I. Número de la licencia;</w:t>
      </w:r>
    </w:p>
    <w:p w:rsidRPr="00823DDB" w:rsidR="00BB7A78" w:rsidP="00BB7A78" w:rsidRDefault="00BB7A78" w14:paraId="096E0A90"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II. Ubicación del predio o inmueble y en su caso, clave catastral;</w:t>
      </w:r>
    </w:p>
    <w:p w:rsidRPr="00823DDB" w:rsidR="00BB7A78" w:rsidP="00BB7A78" w:rsidRDefault="00BB7A78" w14:paraId="5D97E60A"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III. Nombre y domicilio del solicitante;</w:t>
      </w:r>
    </w:p>
    <w:p w:rsidRPr="00823DDB" w:rsidR="00BB7A78" w:rsidP="00BB7A78" w:rsidRDefault="00BB7A78" w14:paraId="27610286"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IV. Uso o usos del suelo que se autorizan;</w:t>
      </w:r>
    </w:p>
    <w:p w:rsidRPr="00823DDB" w:rsidR="00BB7A78" w:rsidP="00BB7A78" w:rsidRDefault="00BB7A78" w14:paraId="4FAA8FF1"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V. Densidad de vivienda, en su caso;</w:t>
      </w:r>
    </w:p>
    <w:p w:rsidRPr="00823DDB" w:rsidR="00BB7A78" w:rsidP="00BB7A78" w:rsidRDefault="00BB7A78" w14:paraId="5D60F268"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VI. Coeficiente de ocupación del suelo y coeficiente de utilización del suelo;</w:t>
      </w:r>
    </w:p>
    <w:p w:rsidRPr="00823DDB" w:rsidR="00BB7A78" w:rsidP="00BB7A78" w:rsidRDefault="00BB7A78" w14:paraId="6B406229"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VII. Altura máxima de edificación;</w:t>
      </w:r>
    </w:p>
    <w:p w:rsidRPr="00823DDB" w:rsidR="00BB7A78" w:rsidP="00BB7A78" w:rsidRDefault="00BB7A78" w14:paraId="2002ABB1"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VIII. Número obligatorio de cajones de estacionamiento;</w:t>
      </w:r>
    </w:p>
    <w:p w:rsidRPr="00823DDB" w:rsidR="00BB7A78" w:rsidP="00BB7A78" w:rsidRDefault="00BB7A78" w14:paraId="21817540"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IX. Alineamiento y número oficial;</w:t>
      </w:r>
    </w:p>
    <w:p w:rsidRPr="00823DDB" w:rsidR="00BB7A78" w:rsidP="00BB7A78" w:rsidRDefault="00BB7A78" w14:paraId="7E7BEAD1"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X. La normatividad, y obligaciones que deriven del Dictamen Único y las Evaluaciones Técnicas</w:t>
      </w:r>
    </w:p>
    <w:p w:rsidRPr="00823DDB" w:rsidR="00BB7A78" w:rsidP="00BB7A78" w:rsidRDefault="00BB7A78" w14:paraId="72EC5A92"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de Factibilidad, en su caso;</w:t>
      </w:r>
    </w:p>
    <w:p w:rsidRPr="00823DDB" w:rsidR="00BB7A78" w:rsidP="00BB7A78" w:rsidRDefault="00BB7A78" w14:paraId="705B7C9C"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XI. Restricciones federales, estatales y municipales;</w:t>
      </w:r>
    </w:p>
    <w:p w:rsidRPr="00823DDB" w:rsidR="00BB7A78" w:rsidP="00BB7A78" w:rsidRDefault="00BB7A78" w14:paraId="00C86A55"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XII. La normatividad y obligaciones que deriven de los dictámenes en materia de conservación</w:t>
      </w:r>
    </w:p>
    <w:p w:rsidRPr="00823DDB" w:rsidR="00BB7A78" w:rsidP="00BB7A78" w:rsidRDefault="00BB7A78" w14:paraId="23A3E385"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del patrimonio histórico, artístico y cultural, en su caso;</w:t>
      </w:r>
    </w:p>
    <w:p w:rsidRPr="00823DDB" w:rsidR="00BB7A78" w:rsidP="00BB7A78" w:rsidRDefault="00BB7A78" w14:paraId="615C3856"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XIII. Vigencia de la licencia;</w:t>
      </w:r>
    </w:p>
    <w:p w:rsidRPr="00823DDB" w:rsidR="00BB7A78" w:rsidP="00BB7A78" w:rsidRDefault="00BB7A78" w14:paraId="29EA2A7A"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XIV. Lugar y fecha en que se expide, y</w:t>
      </w:r>
    </w:p>
    <w:p w:rsidRPr="00823DDB" w:rsidR="00BB7A78" w:rsidP="00BB7A78" w:rsidRDefault="00BB7A78" w14:paraId="176C436B"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lastRenderedPageBreak/>
        <w:t>XV. Nombre, cargo y firma de quien la autoriza.</w:t>
      </w:r>
    </w:p>
    <w:p w:rsidRPr="00823DDB" w:rsidR="00BB7A78" w:rsidP="00BB7A78" w:rsidRDefault="00BB7A78" w14:paraId="2F632315"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Cuando el interesado únicamente solicite alineamiento y número oficial, la licencia de uso de</w:t>
      </w:r>
    </w:p>
    <w:p w:rsidRPr="00823DDB" w:rsidR="00BB7A78" w:rsidP="00BB7A78" w:rsidRDefault="00BB7A78" w14:paraId="0945B3D9" w14:textId="77777777">
      <w:pPr>
        <w:tabs>
          <w:tab w:val="left" w:pos="4962"/>
        </w:tabs>
        <w:spacing w:after="0" w:line="360" w:lineRule="auto"/>
        <w:ind w:left="567" w:right="539"/>
        <w:rPr>
          <w:rFonts w:eastAsia="Calibri" w:cs="Tahoma"/>
          <w:iCs/>
          <w:color w:val="auto"/>
          <w:lang w:eastAsia="es-ES_tradnl"/>
        </w:rPr>
      </w:pPr>
      <w:r w:rsidRPr="00823DDB">
        <w:rPr>
          <w:rFonts w:eastAsia="Calibri" w:cs="Tahoma"/>
          <w:i/>
          <w:iCs/>
          <w:color w:val="auto"/>
          <w:sz w:val="20"/>
          <w:lang w:val="es-ES" w:eastAsia="es-ES_tradnl"/>
        </w:rPr>
        <w:t>suelo solo contendrá los datos a que refieren las fracciones I, II, III y XI de este artículo.</w:t>
      </w:r>
      <w:r w:rsidRPr="00823DDB">
        <w:rPr>
          <w:rFonts w:eastAsia="Calibri" w:cs="Tahoma"/>
          <w:i/>
          <w:iCs/>
          <w:color w:val="auto"/>
          <w:sz w:val="20"/>
          <w:lang w:val="es-ES" w:eastAsia="es-ES_tradnl"/>
        </w:rPr>
        <w:cr/>
      </w:r>
    </w:p>
    <w:p w:rsidRPr="00823DDB" w:rsidR="00BB7A78" w:rsidP="00BB7A78" w:rsidRDefault="00BB7A78" w14:paraId="52114FCB" w14:textId="77777777">
      <w:pPr>
        <w:spacing w:after="0" w:line="360" w:lineRule="auto"/>
        <w:ind w:right="-93"/>
        <w:rPr>
          <w:rFonts w:eastAsia="Calibri" w:cs="Tahoma"/>
          <w:iCs/>
          <w:color w:val="auto"/>
          <w:lang w:eastAsia="es-ES_tradnl"/>
        </w:rPr>
      </w:pPr>
      <w:r w:rsidRPr="00823DDB">
        <w:rPr>
          <w:rFonts w:eastAsia="Calibri" w:cs="Tahoma"/>
          <w:iCs/>
          <w:color w:val="auto"/>
          <w:lang w:eastAsia="es-ES_tradnl"/>
        </w:rPr>
        <w:t>De la normatividad anteriormente mencionada se advierte que el Sujeto Obligado cuenta con atribuciones para emitir los documentos solicitados por el Particular, además de que la información requerida no solo es información pública, sino que también una obligación de transparencia como se muestra a continuación:</w:t>
      </w:r>
    </w:p>
    <w:p w:rsidRPr="00823DDB" w:rsidR="00BB7A78" w:rsidP="00BB7A78" w:rsidRDefault="00BB7A78" w14:paraId="7D2EEEEA" w14:textId="77777777">
      <w:pPr>
        <w:spacing w:after="0" w:line="360" w:lineRule="auto"/>
        <w:ind w:right="-93"/>
        <w:rPr>
          <w:rFonts w:eastAsia="Calibri" w:cs="Tahoma"/>
          <w:iCs/>
          <w:color w:val="auto"/>
          <w:lang w:eastAsia="es-ES_tradnl"/>
        </w:rPr>
      </w:pPr>
    </w:p>
    <w:p w:rsidRPr="00823DDB" w:rsidR="00BB7A78" w:rsidP="00BB7A78" w:rsidRDefault="00BB7A78" w14:paraId="0C9094DA"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b/>
          <w:i/>
          <w:iCs/>
          <w:color w:val="auto"/>
          <w:sz w:val="20"/>
          <w:lang w:val="es-ES" w:eastAsia="es-ES_tradnl"/>
        </w:rPr>
        <w:t>Artículo 94</w:t>
      </w:r>
      <w:r w:rsidRPr="00823DDB">
        <w:rPr>
          <w:rFonts w:eastAsia="Calibri" w:cs="Tahoma"/>
          <w:i/>
          <w:iCs/>
          <w:color w:val="auto"/>
          <w:sz w:val="20"/>
          <w:lang w:val="es-ES" w:eastAsia="es-ES_tradnl"/>
        </w:rPr>
        <w:t>. Además de las obligaciones de transparencia común a que se refiere el Capítulo II de este Título, los sujetos obligados del Poder Ejecutivo Local y municipales, deberán poner a disposición del público y actualizar la siguiente información:</w:t>
      </w:r>
    </w:p>
    <w:p w:rsidRPr="00823DDB" w:rsidR="00BB7A78" w:rsidP="00BB7A78" w:rsidRDefault="00BB7A78" w14:paraId="21AB1CD4" w14:textId="77777777">
      <w:pPr>
        <w:tabs>
          <w:tab w:val="left" w:pos="4962"/>
        </w:tabs>
        <w:spacing w:after="0" w:line="360" w:lineRule="auto"/>
        <w:ind w:left="567" w:right="539"/>
        <w:rPr>
          <w:rFonts w:eastAsia="Calibri" w:cs="Tahoma"/>
          <w:i/>
          <w:iCs/>
          <w:color w:val="auto"/>
          <w:sz w:val="20"/>
          <w:lang w:eastAsia="es-ES_tradnl"/>
        </w:rPr>
      </w:pPr>
      <w:r w:rsidRPr="00823DDB">
        <w:rPr>
          <w:rFonts w:eastAsia="Calibri" w:cs="Tahoma"/>
          <w:i/>
          <w:iCs/>
          <w:color w:val="auto"/>
          <w:sz w:val="20"/>
          <w:lang w:eastAsia="es-ES_tradnl"/>
        </w:rPr>
        <w:t>I. En el caso del Poder Ejecutivo y los Municipios, en el ámbito de su competencia:</w:t>
      </w:r>
    </w:p>
    <w:p w:rsidRPr="00823DDB" w:rsidR="00BB7A78" w:rsidP="00BB7A78" w:rsidRDefault="00BB7A78" w14:paraId="3C7DBC3F"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a) a e) …</w:t>
      </w:r>
    </w:p>
    <w:p w:rsidRPr="00823DDB" w:rsidR="00BB7A78" w:rsidP="00BB7A78" w:rsidRDefault="00BB7A78" w14:paraId="3EAB7E73" w14:textId="77777777">
      <w:pPr>
        <w:tabs>
          <w:tab w:val="left" w:pos="4962"/>
        </w:tabs>
        <w:spacing w:after="0" w:line="360" w:lineRule="auto"/>
        <w:ind w:left="567" w:right="539"/>
        <w:rPr>
          <w:rFonts w:eastAsia="Calibri" w:cs="Tahoma"/>
          <w:i/>
          <w:iCs/>
          <w:color w:val="auto"/>
          <w:sz w:val="20"/>
          <w:lang w:eastAsia="es-ES_tradnl"/>
        </w:rPr>
      </w:pPr>
      <w:r w:rsidRPr="00823DDB">
        <w:rPr>
          <w:rFonts w:eastAsia="Calibri" w:cs="Tahoma"/>
          <w:i/>
          <w:iCs/>
          <w:color w:val="auto"/>
          <w:sz w:val="20"/>
          <w:lang w:eastAsia="es-ES_tradnl"/>
        </w:rPr>
        <w:t xml:space="preserve">f) La información detallada que contengan los planes de desarrollo urbano, ordenamiento territorial y ecológico, los tipos y usos de suelo, </w:t>
      </w:r>
      <w:r w:rsidRPr="00823DDB">
        <w:rPr>
          <w:rFonts w:eastAsia="Calibri" w:cs="Tahoma"/>
          <w:b/>
          <w:i/>
          <w:iCs/>
          <w:color w:val="auto"/>
          <w:sz w:val="20"/>
          <w:u w:val="single"/>
          <w:lang w:eastAsia="es-ES_tradnl"/>
        </w:rPr>
        <w:t>licencias de uso y construcción</w:t>
      </w:r>
      <w:r w:rsidRPr="00823DDB">
        <w:rPr>
          <w:rFonts w:eastAsia="Calibri" w:cs="Tahoma"/>
          <w:i/>
          <w:iCs/>
          <w:color w:val="auto"/>
          <w:sz w:val="20"/>
          <w:lang w:eastAsia="es-ES_tradnl"/>
        </w:rPr>
        <w:t xml:space="preserve"> otorgadas por los gobiernos municipales;</w:t>
      </w:r>
    </w:p>
    <w:p w:rsidRPr="00823DDB" w:rsidR="00BB7A78" w:rsidP="00BB7A78" w:rsidRDefault="00BB7A78" w14:paraId="541ED925" w14:textId="77777777">
      <w:pPr>
        <w:tabs>
          <w:tab w:val="left" w:pos="4962"/>
        </w:tabs>
        <w:spacing w:after="0" w:line="360" w:lineRule="auto"/>
        <w:ind w:left="567" w:right="539"/>
        <w:rPr>
          <w:rFonts w:eastAsia="Calibri" w:cs="Tahoma"/>
          <w:i/>
          <w:iCs/>
          <w:color w:val="auto"/>
          <w:sz w:val="20"/>
          <w:lang w:eastAsia="es-ES_tradnl"/>
        </w:rPr>
      </w:pPr>
      <w:r w:rsidRPr="00823DDB">
        <w:rPr>
          <w:rFonts w:eastAsia="Calibri" w:cs="Tahoma"/>
          <w:i/>
          <w:iCs/>
          <w:color w:val="auto"/>
          <w:sz w:val="20"/>
          <w:lang w:eastAsia="es-ES_tradnl"/>
        </w:rPr>
        <w:t>g) a k) …</w:t>
      </w:r>
    </w:p>
    <w:p w:rsidRPr="00823DDB" w:rsidR="00BB7A78" w:rsidP="00BB7A78" w:rsidRDefault="00BB7A78" w14:paraId="3E7D3257" w14:textId="77777777">
      <w:pPr>
        <w:tabs>
          <w:tab w:val="left" w:pos="4962"/>
        </w:tabs>
        <w:spacing w:after="0" w:line="360" w:lineRule="auto"/>
        <w:ind w:left="567" w:right="539"/>
        <w:rPr>
          <w:rFonts w:eastAsia="Calibri" w:cs="Tahoma"/>
          <w:i/>
          <w:iCs/>
          <w:color w:val="auto"/>
          <w:sz w:val="20"/>
          <w:lang w:val="es-ES" w:eastAsia="es-ES_tradnl"/>
        </w:rPr>
      </w:pPr>
      <w:r w:rsidRPr="00823DDB">
        <w:rPr>
          <w:rFonts w:eastAsia="Calibri" w:cs="Tahoma"/>
          <w:i/>
          <w:iCs/>
          <w:color w:val="auto"/>
          <w:sz w:val="20"/>
          <w:lang w:val="es-ES" w:eastAsia="es-ES_tradnl"/>
        </w:rPr>
        <w:t>II…</w:t>
      </w:r>
    </w:p>
    <w:p w:rsidRPr="00823DDB" w:rsidR="00BB7A78" w:rsidP="00BB7A78" w:rsidRDefault="00BB7A78" w14:paraId="6400FB89" w14:textId="77777777">
      <w:pPr>
        <w:spacing w:after="0" w:line="360" w:lineRule="auto"/>
        <w:ind w:right="-93"/>
        <w:rPr>
          <w:rFonts w:eastAsia="Calibri" w:cs="Tahoma"/>
          <w:iCs/>
          <w:color w:val="auto"/>
          <w:lang w:eastAsia="es-ES_tradnl"/>
        </w:rPr>
      </w:pPr>
    </w:p>
    <w:p w:rsidRPr="00823DDB" w:rsidR="00725B8D" w:rsidP="00725B8D" w:rsidRDefault="00AE189D" w14:paraId="34C1C672" w14:textId="3BDA27F9">
      <w:pPr>
        <w:spacing w:after="0" w:line="360" w:lineRule="auto"/>
        <w:ind w:right="-93"/>
        <w:rPr>
          <w:rFonts w:eastAsia="Calibri" w:cs="Tahoma"/>
          <w:iCs/>
          <w:color w:val="auto"/>
          <w:lang w:eastAsia="es-ES_tradnl"/>
        </w:rPr>
      </w:pPr>
      <w:r w:rsidRPr="00823DDB">
        <w:rPr>
          <w:rFonts w:eastAsia="Calibri" w:cs="Tahoma"/>
          <w:iCs/>
          <w:color w:val="auto"/>
          <w:lang w:eastAsia="es-ES_tradnl"/>
        </w:rPr>
        <w:t xml:space="preserve">Con base en lo anterior, se procede a analizar la </w:t>
      </w:r>
      <w:r w:rsidRPr="00823DDB" w:rsidR="003D7D85">
        <w:rPr>
          <w:rFonts w:eastAsia="Calibri" w:cs="Tahoma"/>
          <w:iCs/>
          <w:color w:val="auto"/>
          <w:lang w:eastAsia="es-ES_tradnl"/>
        </w:rPr>
        <w:t xml:space="preserve">respuesta del Sujeto Obligado con la finalidad de verificar si esta da cuenta de lo solicitado por el Particular, en ese sentido, se advierte que fue hasta la presentación del Informe Justificado que el Ente Recurrido turno del requerimiento de información </w:t>
      </w:r>
      <w:r w:rsidRPr="00823DDB" w:rsidR="0063178C">
        <w:rPr>
          <w:rFonts w:eastAsia="Calibri" w:cs="Tahoma"/>
          <w:iCs/>
          <w:color w:val="auto"/>
          <w:lang w:eastAsia="es-ES_tradnl"/>
        </w:rPr>
        <w:t>a la</w:t>
      </w:r>
      <w:r w:rsidRPr="00823DDB" w:rsidR="00253784">
        <w:rPr>
          <w:rFonts w:eastAsia="Calibri" w:cs="Tahoma"/>
          <w:iCs/>
          <w:color w:val="auto"/>
          <w:lang w:eastAsia="es-ES_tradnl"/>
        </w:rPr>
        <w:t xml:space="preserve"> </w:t>
      </w:r>
      <w:r w:rsidRPr="00823DDB" w:rsidR="00253784">
        <w:rPr>
          <w:rFonts w:eastAsia="Calibri" w:cs="Tahoma"/>
          <w:b/>
          <w:iCs/>
          <w:color w:val="auto"/>
          <w:lang w:val="es-ES_tradnl" w:eastAsia="es-ES_tradnl"/>
        </w:rPr>
        <w:t>Dirección de General de Desarrollo Urbano</w:t>
      </w:r>
      <w:r w:rsidRPr="00823DDB" w:rsidR="00ED0BE6">
        <w:rPr>
          <w:rFonts w:eastAsia="Calibri" w:cs="Tahoma"/>
          <w:bCs/>
          <w:iCs/>
          <w:color w:val="auto"/>
          <w:lang w:val="es-ES_tradnl" w:eastAsia="es-ES_tradnl"/>
        </w:rPr>
        <w:t xml:space="preserve">, </w:t>
      </w:r>
      <w:r w:rsidRPr="00823DDB" w:rsidR="00725B8D">
        <w:rPr>
          <w:rFonts w:eastAsia="Calibri" w:cs="Tahoma"/>
          <w:bCs/>
          <w:iCs/>
          <w:color w:val="auto"/>
          <w:lang w:val="es-ES_tradnl" w:eastAsia="es-ES_tradnl"/>
        </w:rPr>
        <w:t>razón</w:t>
      </w:r>
      <w:r w:rsidRPr="00823DDB" w:rsidR="00ED0BE6">
        <w:rPr>
          <w:rFonts w:eastAsia="Calibri" w:cs="Tahoma"/>
          <w:bCs/>
          <w:iCs/>
          <w:color w:val="auto"/>
          <w:lang w:val="es-ES_tradnl" w:eastAsia="es-ES_tradnl"/>
        </w:rPr>
        <w:t xml:space="preserve"> por la cual, es </w:t>
      </w:r>
      <w:r w:rsidRPr="00823DDB" w:rsidR="00725B8D">
        <w:rPr>
          <w:rFonts w:eastAsia="Calibri" w:cs="Tahoma"/>
          <w:bCs/>
          <w:iCs/>
          <w:color w:val="auto"/>
          <w:lang w:eastAsia="es-ES_tradnl"/>
        </w:rPr>
        <w:t xml:space="preserve">necesario hacer referencia </w:t>
      </w:r>
      <w:r w:rsidRPr="00823DDB" w:rsidR="00725B8D">
        <w:rPr>
          <w:rFonts w:eastAsia="Calibri" w:cs="Tahoma"/>
          <w:iCs/>
          <w:color w:val="auto"/>
          <w:lang w:eastAsia="es-ES_tradnl"/>
        </w:rPr>
        <w:t xml:space="preserve">al </w:t>
      </w:r>
      <w:r w:rsidRPr="00823DDB" w:rsidR="00725B8D">
        <w:rPr>
          <w:rFonts w:eastAsia="Calibri" w:cs="Tahoma"/>
          <w:b/>
          <w:iCs/>
          <w:color w:val="auto"/>
          <w:lang w:eastAsia="es-ES_tradnl"/>
        </w:rPr>
        <w:t>procedimiento de búsqueda que deben de seguir los Sujetos Obligados para localizar la información</w:t>
      </w:r>
      <w:r w:rsidRPr="00823DDB" w:rsidR="00725B8D">
        <w:rPr>
          <w:rFonts w:eastAsia="Calibri" w:cs="Tahoma"/>
          <w:iCs/>
          <w:color w:val="auto"/>
          <w:lang w:eastAsia="es-ES_tradnl"/>
        </w:rPr>
        <w:t>, el cual se encuentra previsto en los artículos</w:t>
      </w:r>
      <w:r w:rsidRPr="00823DDB" w:rsidR="00725B8D">
        <w:rPr>
          <w:rFonts w:eastAsia="Calibri" w:cs="Tahoma"/>
          <w:bCs/>
          <w:iCs/>
          <w:color w:val="auto"/>
          <w:lang w:eastAsia="es-ES_tradnl"/>
        </w:rPr>
        <w:t xml:space="preserve"> 160 y 162 de la Ley de Transparencia y Acceso a la Información Pública del Estado de México y Municipios, mismo que es el siguiente:</w:t>
      </w:r>
    </w:p>
    <w:p w:rsidRPr="00823DDB" w:rsidR="00725B8D" w:rsidP="00725B8D" w:rsidRDefault="00725B8D" w14:paraId="08E6D085" w14:textId="77777777">
      <w:pPr>
        <w:spacing w:after="0" w:line="360" w:lineRule="auto"/>
        <w:ind w:right="-93"/>
        <w:rPr>
          <w:rFonts w:eastAsia="Calibri" w:cs="Tahoma"/>
          <w:iCs/>
          <w:color w:val="auto"/>
          <w:lang w:val="es-ES" w:eastAsia="es-ES_tradnl"/>
        </w:rPr>
      </w:pPr>
    </w:p>
    <w:p w:rsidRPr="00823DDB" w:rsidR="00725B8D" w:rsidP="00725B8D" w:rsidRDefault="00725B8D" w14:paraId="19DA2E46" w14:textId="77777777">
      <w:pPr>
        <w:numPr>
          <w:ilvl w:val="0"/>
          <w:numId w:val="1"/>
        </w:numPr>
        <w:spacing w:after="0" w:line="360" w:lineRule="auto"/>
        <w:ind w:right="-93"/>
        <w:rPr>
          <w:rFonts w:eastAsia="Calibri" w:cs="Tahoma"/>
          <w:bCs/>
          <w:iCs/>
          <w:color w:val="auto"/>
          <w:lang w:val="es-ES" w:eastAsia="es-ES_tradnl"/>
        </w:rPr>
      </w:pPr>
      <w:r w:rsidRPr="00823DDB">
        <w:rPr>
          <w:rFonts w:eastAsia="Calibri" w:cs="Tahoma"/>
          <w:bCs/>
          <w:iCs/>
          <w:color w:val="auto"/>
          <w:lang w:val="es-ES" w:eastAsia="es-ES_tradnl"/>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823DDB" w:rsidR="00725B8D" w:rsidP="00725B8D" w:rsidRDefault="00725B8D" w14:paraId="622DF07F" w14:textId="77777777">
      <w:pPr>
        <w:spacing w:after="0" w:line="360" w:lineRule="auto"/>
        <w:ind w:right="-93"/>
        <w:rPr>
          <w:rFonts w:eastAsia="Calibri" w:cs="Tahoma"/>
          <w:bCs/>
          <w:iCs/>
          <w:color w:val="auto"/>
          <w:lang w:val="es-ES" w:eastAsia="es-ES_tradnl"/>
        </w:rPr>
      </w:pPr>
    </w:p>
    <w:p w:rsidRPr="00823DDB" w:rsidR="00725B8D" w:rsidP="00725B8D" w:rsidRDefault="00725B8D" w14:paraId="17701367" w14:textId="77777777">
      <w:pPr>
        <w:numPr>
          <w:ilvl w:val="0"/>
          <w:numId w:val="1"/>
        </w:numPr>
        <w:spacing w:after="0" w:line="360" w:lineRule="auto"/>
        <w:ind w:right="-93"/>
        <w:rPr>
          <w:rFonts w:eastAsia="Calibri" w:cs="Tahoma"/>
          <w:bCs/>
          <w:iCs/>
          <w:color w:val="auto"/>
          <w:lang w:val="es-ES" w:eastAsia="es-ES_tradnl"/>
        </w:rPr>
      </w:pPr>
      <w:r w:rsidRPr="00823DDB">
        <w:rPr>
          <w:rFonts w:eastAsia="Calibri" w:cs="Tahoma"/>
          <w:bCs/>
          <w:iCs/>
          <w:color w:val="auto"/>
          <w:lang w:val="es-ES" w:eastAsia="es-ES_tradnl"/>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823DDB" w:rsidR="00725B8D" w:rsidP="00725B8D" w:rsidRDefault="00725B8D" w14:paraId="41A51309" w14:textId="77777777">
      <w:pPr>
        <w:spacing w:after="0" w:line="360" w:lineRule="auto"/>
        <w:ind w:right="-93"/>
        <w:rPr>
          <w:rFonts w:eastAsia="Calibri" w:cs="Tahoma"/>
          <w:iCs/>
          <w:color w:val="auto"/>
          <w:lang w:eastAsia="es-ES_tradnl"/>
        </w:rPr>
      </w:pPr>
    </w:p>
    <w:p w:rsidRPr="00823DDB" w:rsidR="00945EE6" w:rsidP="00725B8D" w:rsidRDefault="003403F8" w14:paraId="4C1DD066" w14:textId="228D77EE">
      <w:pPr>
        <w:spacing w:after="0" w:line="360" w:lineRule="auto"/>
        <w:ind w:right="-93"/>
        <w:rPr>
          <w:rFonts w:eastAsia="Calibri" w:cs="Tahoma"/>
          <w:iCs/>
          <w:color w:val="auto"/>
          <w:lang w:eastAsia="es-ES_tradnl"/>
        </w:rPr>
      </w:pPr>
      <w:r w:rsidRPr="00823DDB">
        <w:rPr>
          <w:rFonts w:eastAsia="Calibri" w:cs="Tahoma"/>
          <w:iCs/>
          <w:color w:val="auto"/>
          <w:lang w:eastAsia="es-ES_tradnl"/>
        </w:rPr>
        <w:t xml:space="preserve">Atendiendo </w:t>
      </w:r>
      <w:r w:rsidRPr="00823DDB" w:rsidR="003E12FC">
        <w:rPr>
          <w:rFonts w:eastAsia="Calibri" w:cs="Tahoma"/>
          <w:iCs/>
          <w:color w:val="auto"/>
          <w:lang w:eastAsia="es-ES_tradnl"/>
        </w:rPr>
        <w:t xml:space="preserve">al procedimiento de búsqueda previamente referido, es necesario </w:t>
      </w:r>
      <w:r w:rsidRPr="00823DDB" w:rsidR="00431FAE">
        <w:rPr>
          <w:rFonts w:eastAsia="Calibri" w:cs="Tahoma"/>
          <w:iCs/>
          <w:color w:val="auto"/>
          <w:lang w:eastAsia="es-ES_tradnl"/>
        </w:rPr>
        <w:t xml:space="preserve">traer al presente estudio lo previsto </w:t>
      </w:r>
      <w:r w:rsidRPr="00823DDB" w:rsidR="00EF04DE">
        <w:rPr>
          <w:rFonts w:eastAsia="Calibri" w:cs="Tahoma"/>
          <w:iCs/>
          <w:color w:val="auto"/>
          <w:lang w:eastAsia="es-ES_tradnl"/>
        </w:rPr>
        <w:t xml:space="preserve">en los artículos </w:t>
      </w:r>
      <w:r w:rsidRPr="00823DDB" w:rsidR="00431FAE">
        <w:rPr>
          <w:rFonts w:eastAsia="Calibri" w:cs="Tahoma"/>
          <w:iCs/>
          <w:color w:val="auto"/>
          <w:lang w:eastAsia="es-ES_tradnl"/>
        </w:rPr>
        <w:t xml:space="preserve">43, inciso a), fracción IX, </w:t>
      </w:r>
      <w:r w:rsidRPr="00823DDB" w:rsidR="00EF04DE">
        <w:rPr>
          <w:rFonts w:eastAsia="Calibri" w:cs="Tahoma"/>
          <w:iCs/>
          <w:color w:val="auto"/>
          <w:lang w:eastAsia="es-ES_tradnl"/>
        </w:rPr>
        <w:t xml:space="preserve">81, </w:t>
      </w:r>
      <w:r w:rsidRPr="00823DDB" w:rsidR="006B31A9">
        <w:rPr>
          <w:rFonts w:eastAsia="Calibri" w:cs="Tahoma"/>
          <w:iCs/>
          <w:color w:val="auto"/>
          <w:lang w:eastAsia="es-ES_tradnl"/>
        </w:rPr>
        <w:t xml:space="preserve">del Bando Municipal del </w:t>
      </w:r>
      <w:r w:rsidRPr="00823DDB" w:rsidR="006B31A9">
        <w:rPr>
          <w:rFonts w:eastAsia="Calibri" w:cs="Tahoma"/>
        </w:rPr>
        <w:t>Ayuntamiento de Naucalpan de Juárez</w:t>
      </w:r>
      <w:r w:rsidRPr="00823DDB" w:rsidR="00404D24">
        <w:rPr>
          <w:rFonts w:eastAsia="Calibri" w:cs="Tahoma"/>
        </w:rPr>
        <w:t xml:space="preserve">, </w:t>
      </w:r>
      <w:r w:rsidRPr="00823DDB" w:rsidR="00852D72">
        <w:rPr>
          <w:rFonts w:eastAsia="Calibri" w:cs="Tahoma"/>
        </w:rPr>
        <w:t xml:space="preserve">el cual establece que la </w:t>
      </w:r>
      <w:r w:rsidRPr="00823DDB" w:rsidR="008213ED">
        <w:rPr>
          <w:rFonts w:eastAsia="Calibri" w:cs="Tahoma"/>
          <w:iCs/>
          <w:color w:val="auto"/>
          <w:lang w:eastAsia="es-ES_tradnl"/>
        </w:rPr>
        <w:t>Dirección General de Desarrollo Urbano, es la dependencia de la Administración Pública Municipal, encargada de planear, ordenar y regular, los asentamientos humanos en el territorio municipal</w:t>
      </w:r>
      <w:r w:rsidRPr="00823DDB" w:rsidR="00971809">
        <w:rPr>
          <w:rFonts w:eastAsia="Calibri" w:cs="Tahoma"/>
          <w:iCs/>
          <w:color w:val="auto"/>
          <w:lang w:eastAsia="es-ES_tradnl"/>
        </w:rPr>
        <w:t xml:space="preserve">. Aunado a lo anterior, los artículos </w:t>
      </w:r>
      <w:r w:rsidRPr="00823DDB" w:rsidR="00E8063D">
        <w:rPr>
          <w:rFonts w:eastAsia="Calibri" w:cs="Tahoma"/>
          <w:iCs/>
          <w:color w:val="auto"/>
          <w:lang w:eastAsia="es-ES_tradnl"/>
        </w:rPr>
        <w:t xml:space="preserve">1.18, fracción, IX, </w:t>
      </w:r>
      <w:r w:rsidRPr="00823DDB" w:rsidR="0084275D">
        <w:rPr>
          <w:rFonts w:eastAsia="Calibri" w:cs="Tahoma"/>
          <w:iCs/>
          <w:color w:val="auto"/>
          <w:lang w:eastAsia="es-ES_tradnl"/>
        </w:rPr>
        <w:t xml:space="preserve">10.1, 10.9, </w:t>
      </w:r>
      <w:r w:rsidRPr="00823DDB" w:rsidR="00C02195">
        <w:rPr>
          <w:rFonts w:eastAsia="Calibri" w:cs="Tahoma"/>
          <w:iCs/>
          <w:color w:val="auto"/>
          <w:lang w:eastAsia="es-ES_tradnl"/>
        </w:rPr>
        <w:t>10.10, confieren atribuciones a la Dirección General en comento para la expedición de licencias de construcción y de uso de suelo.</w:t>
      </w:r>
    </w:p>
    <w:p w:rsidRPr="00823DDB" w:rsidR="00E8063D" w:rsidP="00725B8D" w:rsidRDefault="00E8063D" w14:paraId="07E26FB2" w14:textId="77777777">
      <w:pPr>
        <w:spacing w:after="0" w:line="360" w:lineRule="auto"/>
        <w:ind w:right="-93"/>
        <w:rPr>
          <w:rFonts w:eastAsia="Calibri" w:cs="Tahoma"/>
          <w:iCs/>
          <w:color w:val="auto"/>
          <w:lang w:eastAsia="es-ES_tradnl"/>
        </w:rPr>
      </w:pPr>
    </w:p>
    <w:p w:rsidRPr="00823DDB" w:rsidR="00E8063D" w:rsidP="00725B8D" w:rsidRDefault="00D432EA" w14:paraId="7CF7CDC8" w14:textId="3AE723F7">
      <w:pPr>
        <w:spacing w:after="0" w:line="360" w:lineRule="auto"/>
        <w:ind w:right="-93"/>
        <w:rPr>
          <w:rFonts w:eastAsia="Calibri" w:cs="Tahoma"/>
          <w:iCs/>
          <w:color w:val="auto"/>
          <w:lang w:eastAsia="es-ES_tradnl"/>
        </w:rPr>
      </w:pPr>
      <w:r w:rsidRPr="00823DDB">
        <w:rPr>
          <w:rFonts w:eastAsia="Calibri" w:cs="Tahoma"/>
          <w:iCs/>
          <w:color w:val="auto"/>
          <w:lang w:eastAsia="es-ES_tradnl"/>
        </w:rPr>
        <w:t xml:space="preserve">Tomando en consideración lo anterior, se logra advertir que el Sujeto Obligado dio cumplimiento </w:t>
      </w:r>
      <w:r w:rsidRPr="00823DDB" w:rsidR="00CD14F1">
        <w:rPr>
          <w:rFonts w:eastAsia="Calibri" w:cs="Tahoma"/>
          <w:iCs/>
          <w:color w:val="auto"/>
          <w:lang w:eastAsia="es-ES_tradnl"/>
        </w:rPr>
        <w:t>al procedimiento de búsqueda previsto en el artícul</w:t>
      </w:r>
      <w:r w:rsidRPr="00823DDB" w:rsidR="005856CD">
        <w:rPr>
          <w:rFonts w:eastAsia="Calibri" w:cs="Tahoma"/>
          <w:iCs/>
          <w:color w:val="auto"/>
          <w:lang w:eastAsia="es-ES_tradnl"/>
        </w:rPr>
        <w:t xml:space="preserve">o 162 de la Ley de Transparencia y Acceso a la Información </w:t>
      </w:r>
      <w:r w:rsidRPr="00823DDB" w:rsidR="00931C9D">
        <w:rPr>
          <w:rFonts w:eastAsia="Calibri" w:cs="Tahoma"/>
          <w:iCs/>
          <w:color w:val="auto"/>
          <w:lang w:eastAsia="es-ES_tradnl"/>
        </w:rPr>
        <w:t xml:space="preserve">Pública del Estado de México y Municipios, </w:t>
      </w:r>
      <w:r w:rsidRPr="00823DDB" w:rsidR="003F7439">
        <w:rPr>
          <w:rFonts w:eastAsia="Calibri" w:cs="Tahoma"/>
          <w:iCs/>
          <w:color w:val="auto"/>
          <w:lang w:eastAsia="es-ES_tradnl"/>
        </w:rPr>
        <w:t xml:space="preserve">al turnar el requerimiento de información en Informe Justificado a la Dirección General de Desarrollo Urbano, área que tiene atribuciones para expedir licencias de construcción y uso de suelo en las demarcaciones territoriales del </w:t>
      </w:r>
      <w:r w:rsidRPr="00823DDB" w:rsidR="003F7439">
        <w:rPr>
          <w:rFonts w:eastAsia="Calibri" w:cs="Tahoma"/>
        </w:rPr>
        <w:t>Ayuntamiento de Naucalpan de Juárez.</w:t>
      </w:r>
    </w:p>
    <w:p w:rsidRPr="00823DDB" w:rsidR="00725B8D" w:rsidP="00BB7A78" w:rsidRDefault="00725B8D" w14:paraId="7B7AE575" w14:textId="77777777">
      <w:pPr>
        <w:spacing w:after="0" w:line="360" w:lineRule="auto"/>
        <w:ind w:right="-93"/>
        <w:rPr>
          <w:rFonts w:eastAsia="Calibri" w:cs="Tahoma"/>
          <w:iCs/>
          <w:color w:val="auto"/>
          <w:lang w:eastAsia="es-ES_tradnl"/>
        </w:rPr>
      </w:pPr>
    </w:p>
    <w:p w:rsidRPr="00823DDB" w:rsidR="007C44A8" w:rsidP="007C44A8" w:rsidRDefault="00454B67" w14:paraId="4A3E93D9" w14:textId="16C9385E">
      <w:pPr>
        <w:spacing w:after="0" w:line="360" w:lineRule="auto"/>
        <w:rPr>
          <w:rFonts w:eastAsia="Times New Roman" w:cs="Tahoma"/>
          <w:bCs/>
          <w:iCs/>
          <w:color w:val="auto"/>
          <w:lang w:eastAsia="es-ES"/>
        </w:rPr>
      </w:pPr>
      <w:r w:rsidRPr="00823DDB">
        <w:rPr>
          <w:rFonts w:eastAsia="Times New Roman" w:cs="Tahoma"/>
          <w:bCs/>
          <w:iCs/>
          <w:color w:val="auto"/>
          <w:lang w:eastAsia="es-ES"/>
        </w:rPr>
        <w:lastRenderedPageBreak/>
        <w:t xml:space="preserve">En los términos anteriores, </w:t>
      </w:r>
      <w:r w:rsidRPr="00823DDB" w:rsidR="00FA6C74">
        <w:rPr>
          <w:rFonts w:eastAsia="Times New Roman" w:cs="Tahoma"/>
          <w:bCs/>
          <w:iCs/>
          <w:color w:val="auto"/>
          <w:lang w:eastAsia="es-ES"/>
        </w:rPr>
        <w:t xml:space="preserve">de la lectura de la solicitud de información de colige que </w:t>
      </w:r>
      <w:r w:rsidRPr="00823DDB">
        <w:rPr>
          <w:rFonts w:eastAsia="Times New Roman" w:cs="Tahoma"/>
          <w:bCs/>
          <w:iCs/>
          <w:color w:val="auto"/>
          <w:lang w:eastAsia="es-ES"/>
        </w:rPr>
        <w:t xml:space="preserve">la pretensión del Particular </w:t>
      </w:r>
      <w:r w:rsidRPr="00823DDB" w:rsidR="000E3781">
        <w:rPr>
          <w:rFonts w:eastAsia="Times New Roman" w:cs="Tahoma"/>
          <w:bCs/>
          <w:iCs/>
          <w:color w:val="auto"/>
          <w:lang w:eastAsia="es-ES"/>
        </w:rPr>
        <w:t xml:space="preserve">consiente </w:t>
      </w:r>
      <w:r w:rsidRPr="00823DDB" w:rsidR="00604C31">
        <w:rPr>
          <w:rFonts w:eastAsia="Times New Roman" w:cs="Tahoma"/>
          <w:b/>
          <w:bCs/>
          <w:iCs/>
          <w:color w:val="auto"/>
          <w:lang w:eastAsia="es-ES"/>
        </w:rPr>
        <w:t xml:space="preserve">la </w:t>
      </w:r>
      <w:r w:rsidRPr="00823DDB" w:rsidR="00604C31">
        <w:rPr>
          <w:rFonts w:eastAsia="Times New Roman" w:cs="Tahoma"/>
          <w:b/>
          <w:bCs/>
          <w:iCs/>
          <w:color w:val="auto"/>
          <w:lang w:val="es-ES" w:eastAsia="es-ES"/>
        </w:rPr>
        <w:t>autorización de cambio de uso de suelo vigente y de la licencia de construcción</w:t>
      </w:r>
      <w:r w:rsidRPr="00823DDB" w:rsidR="00604C31">
        <w:rPr>
          <w:rFonts w:eastAsia="Times New Roman" w:cs="Tahoma"/>
          <w:bCs/>
          <w:iCs/>
          <w:color w:val="auto"/>
          <w:lang w:val="es-ES" w:eastAsia="es-ES"/>
        </w:rPr>
        <w:t xml:space="preserve"> del Lote 56 y 57, manzana XXXIV, correspondiente al número 124, de la calle Fuente de Pirámides, fraccionamiento Lomas de Tecamachalco, municipio de </w:t>
      </w:r>
      <w:r w:rsidRPr="00823DDB" w:rsidR="00604C31">
        <w:rPr>
          <w:rFonts w:eastAsia="Calibri" w:cs="Tahoma"/>
        </w:rPr>
        <w:t>Naucalpan de Juárez.</w:t>
      </w:r>
    </w:p>
    <w:p w:rsidRPr="00823DDB" w:rsidR="00604C31" w:rsidP="007C44A8" w:rsidRDefault="00604C31" w14:paraId="443B1E6B" w14:textId="77777777">
      <w:pPr>
        <w:spacing w:after="0" w:line="360" w:lineRule="auto"/>
        <w:rPr>
          <w:rFonts w:eastAsia="Times New Roman" w:cs="Tahoma"/>
          <w:bCs/>
          <w:iCs/>
          <w:color w:val="auto"/>
          <w:lang w:eastAsia="es-ES"/>
        </w:rPr>
      </w:pPr>
    </w:p>
    <w:p w:rsidRPr="00823DDB" w:rsidR="00B919C6" w:rsidP="007C44A8" w:rsidRDefault="007C26D4" w14:paraId="5467BEC9" w14:textId="2C133F56">
      <w:pPr>
        <w:spacing w:after="0" w:line="360" w:lineRule="auto"/>
        <w:rPr>
          <w:rFonts w:eastAsia="Calibri" w:cs="Tahoma"/>
          <w:color w:val="000000"/>
          <w:szCs w:val="24"/>
          <w:lang w:eastAsia="es-MX"/>
        </w:rPr>
      </w:pPr>
      <w:r w:rsidRPr="00823DDB">
        <w:rPr>
          <w:rFonts w:eastAsia="Times New Roman" w:cs="Tahoma"/>
          <w:bCs/>
          <w:iCs/>
          <w:color w:val="auto"/>
          <w:lang w:eastAsia="es-ES"/>
        </w:rPr>
        <w:t xml:space="preserve">En ese sentido, el Sujeto Obligado en respuesta señaló que </w:t>
      </w:r>
      <w:r w:rsidRPr="00823DDB" w:rsidR="00F62D13">
        <w:rPr>
          <w:rFonts w:eastAsia="Times New Roman" w:cs="Tahoma"/>
          <w:bCs/>
          <w:iCs/>
          <w:color w:val="auto"/>
          <w:lang w:eastAsia="es-ES"/>
        </w:rPr>
        <w:t xml:space="preserve">a través del </w:t>
      </w:r>
      <w:r w:rsidRPr="00823DDB" w:rsidR="00F62D13">
        <w:rPr>
          <w:rFonts w:eastAsia="Calibri" w:cs="Tahoma"/>
          <w:color w:val="000000"/>
          <w:szCs w:val="24"/>
          <w:lang w:val="es-ES" w:eastAsia="es-MX"/>
        </w:rPr>
        <w:t xml:space="preserve">Titular de la Unidad de Transparencia, </w:t>
      </w:r>
      <w:r w:rsidRPr="00823DDB" w:rsidR="009C2A30">
        <w:rPr>
          <w:rFonts w:eastAsia="Calibri" w:cs="Tahoma"/>
          <w:color w:val="000000"/>
          <w:szCs w:val="24"/>
          <w:lang w:val="es-ES" w:eastAsia="es-MX"/>
        </w:rPr>
        <w:t>que el</w:t>
      </w:r>
      <w:r w:rsidRPr="00823DDB" w:rsidR="00F62D13">
        <w:rPr>
          <w:rFonts w:eastAsia="Calibri" w:cs="Tahoma"/>
          <w:color w:val="000000"/>
          <w:szCs w:val="24"/>
          <w:lang w:val="es-ES" w:eastAsia="es-MX"/>
        </w:rPr>
        <w:t xml:space="preserve"> derecho de acceso a la información pública </w:t>
      </w:r>
      <w:r w:rsidRPr="00823DDB" w:rsidR="00F62D13">
        <w:rPr>
          <w:rFonts w:eastAsia="Calibri" w:cs="Tahoma"/>
          <w:color w:val="000000"/>
          <w:szCs w:val="24"/>
          <w:lang w:eastAsia="es-MX"/>
        </w:rPr>
        <w:t>está supeditado por un principio de preexistencia de la información, pues no hay disposición que obligue a las entidades públicas a generar información, ni mucho menos, valoración.es u opiniones de ningún tipo respecto de los alcances de un documento en específico.</w:t>
      </w:r>
    </w:p>
    <w:p w:rsidRPr="00823DDB" w:rsidR="009C2A30" w:rsidP="007C44A8" w:rsidRDefault="009C2A30" w14:paraId="16A9ED71" w14:textId="77777777">
      <w:pPr>
        <w:spacing w:after="0" w:line="360" w:lineRule="auto"/>
        <w:rPr>
          <w:rFonts w:eastAsia="Times New Roman" w:cs="Tahoma"/>
          <w:bCs/>
          <w:iCs/>
          <w:color w:val="auto"/>
          <w:lang w:eastAsia="es-ES"/>
        </w:rPr>
      </w:pPr>
    </w:p>
    <w:p w:rsidRPr="00823DDB" w:rsidR="00EB7BE7" w:rsidP="007C44A8" w:rsidRDefault="00A47659" w14:paraId="26C9DACF" w14:textId="518FBC85">
      <w:pPr>
        <w:spacing w:after="0" w:line="360" w:lineRule="auto"/>
        <w:rPr>
          <w:rFonts w:eastAsia="Times New Roman" w:cs="Tahoma"/>
          <w:bCs/>
          <w:iCs/>
          <w:color w:val="auto"/>
          <w:lang w:eastAsia="es-ES"/>
        </w:rPr>
      </w:pPr>
      <w:r w:rsidRPr="00823DDB">
        <w:rPr>
          <w:rFonts w:eastAsia="Times New Roman" w:cs="Tahoma"/>
          <w:bCs/>
          <w:iCs/>
          <w:color w:val="auto"/>
          <w:lang w:eastAsia="es-ES"/>
        </w:rPr>
        <w:t xml:space="preserve">A decir de lo anterior, </w:t>
      </w:r>
      <w:r w:rsidRPr="00823DDB" w:rsidR="00455065">
        <w:rPr>
          <w:rFonts w:eastAsia="Times New Roman" w:cs="Tahoma"/>
          <w:bCs/>
          <w:iCs/>
          <w:color w:val="auto"/>
          <w:lang w:eastAsia="es-ES"/>
        </w:rPr>
        <w:t xml:space="preserve">es necesario señalar </w:t>
      </w:r>
      <w:r w:rsidRPr="00823DDB" w:rsidR="00EB7BE7">
        <w:rPr>
          <w:rFonts w:eastAsia="Times New Roman" w:cs="Tahoma"/>
          <w:bCs/>
          <w:iCs/>
          <w:color w:val="auto"/>
          <w:lang w:eastAsia="es-ES"/>
        </w:rPr>
        <w:t xml:space="preserve">que en el caso de que </w:t>
      </w:r>
      <w:r w:rsidRPr="00823DDB" w:rsidR="009964EB">
        <w:rPr>
          <w:rFonts w:eastAsia="Times New Roman" w:cs="Tahoma"/>
          <w:bCs/>
          <w:iCs/>
          <w:color w:val="auto"/>
          <w:lang w:eastAsia="es-ES"/>
        </w:rPr>
        <w:t xml:space="preserve">si una solicitud se presenta a modo de consulta, </w:t>
      </w:r>
      <w:r w:rsidRPr="00823DDB" w:rsidR="005D7988">
        <w:rPr>
          <w:rFonts w:eastAsia="Times New Roman" w:cs="Tahoma"/>
          <w:bCs/>
          <w:iCs/>
          <w:color w:val="auto"/>
          <w:lang w:eastAsia="es-ES"/>
        </w:rPr>
        <w:t xml:space="preserve">sin embargo, la respuesta a esta consulta </w:t>
      </w:r>
      <w:r w:rsidRPr="00823DDB" w:rsidR="00EB7BE7">
        <w:rPr>
          <w:rFonts w:eastAsia="Times New Roman" w:cs="Tahoma"/>
          <w:bCs/>
          <w:iCs/>
          <w:color w:val="auto"/>
          <w:lang w:eastAsia="es-ES"/>
        </w:rPr>
        <w:t>pudiera obrar en algún documento en poder de los sujetos obligados, éstos deben dar a dichas solicitudes una interpretación que les otorgue una expresión documental</w:t>
      </w:r>
      <w:r w:rsidRPr="00823DDB" w:rsidR="005D7988">
        <w:rPr>
          <w:rFonts w:eastAsia="Times New Roman" w:cs="Tahoma"/>
          <w:bCs/>
          <w:iCs/>
          <w:color w:val="auto"/>
          <w:lang w:eastAsia="es-ES"/>
        </w:rPr>
        <w:t xml:space="preserve">, esta circunstancia se robustece en lo previsto en el </w:t>
      </w:r>
      <w:r w:rsidRPr="00823DDB" w:rsidR="008A200F">
        <w:rPr>
          <w:rFonts w:eastAsia="Times New Roman" w:cs="Tahoma"/>
          <w:bCs/>
          <w:iCs/>
          <w:color w:val="auto"/>
          <w:lang w:eastAsia="es-ES"/>
        </w:rPr>
        <w:t xml:space="preserve">Criterio de Interpretación: SO/016/2017, del </w:t>
      </w:r>
      <w:r w:rsidRPr="00823DDB" w:rsidR="006648EB">
        <w:rPr>
          <w:rFonts w:eastAsia="Times New Roman" w:cs="Tahoma"/>
          <w:bCs/>
          <w:iCs/>
          <w:color w:val="auto"/>
          <w:lang w:eastAsia="es-ES"/>
        </w:rPr>
        <w:t xml:space="preserve">Instituto de </w:t>
      </w:r>
      <w:r w:rsidRPr="00823DDB" w:rsidR="000861B4">
        <w:rPr>
          <w:rFonts w:eastAsia="Times New Roman" w:cs="Tahoma"/>
          <w:bCs/>
          <w:iCs/>
          <w:color w:val="auto"/>
          <w:lang w:eastAsia="es-ES"/>
        </w:rPr>
        <w:t>Transparen</w:t>
      </w:r>
      <w:r w:rsidRPr="00823DDB" w:rsidR="009E13DD">
        <w:rPr>
          <w:rFonts w:eastAsia="Times New Roman" w:cs="Tahoma"/>
          <w:bCs/>
          <w:iCs/>
          <w:color w:val="auto"/>
          <w:lang w:eastAsia="es-ES"/>
        </w:rPr>
        <w:t>cia</w:t>
      </w:r>
      <w:r w:rsidRPr="00823DDB" w:rsidR="00CA297B">
        <w:rPr>
          <w:rFonts w:eastAsia="Times New Roman" w:cs="Tahoma"/>
          <w:bCs/>
          <w:iCs/>
          <w:color w:val="auto"/>
          <w:lang w:eastAsia="es-ES"/>
        </w:rPr>
        <w:t xml:space="preserve">, Acceso a la Información Pública </w:t>
      </w:r>
      <w:r w:rsidRPr="00823DDB" w:rsidR="00D0764C">
        <w:rPr>
          <w:rFonts w:eastAsia="Times New Roman" w:cs="Tahoma"/>
          <w:bCs/>
          <w:iCs/>
          <w:color w:val="auto"/>
          <w:lang w:eastAsia="es-ES"/>
        </w:rPr>
        <w:t xml:space="preserve">y Protección de Datos </w:t>
      </w:r>
      <w:r w:rsidRPr="00823DDB" w:rsidR="00BD1CBA">
        <w:rPr>
          <w:rFonts w:eastAsia="Times New Roman" w:cs="Tahoma"/>
          <w:bCs/>
          <w:iCs/>
          <w:color w:val="auto"/>
          <w:lang w:eastAsia="es-ES"/>
        </w:rPr>
        <w:t>Personales</w:t>
      </w:r>
      <w:r w:rsidRPr="00823DDB" w:rsidR="00BE04C3">
        <w:rPr>
          <w:rFonts w:eastAsia="Times New Roman" w:cs="Tahoma"/>
          <w:bCs/>
          <w:iCs/>
          <w:color w:val="auto"/>
          <w:lang w:eastAsia="es-ES"/>
        </w:rPr>
        <w:t>, cuyo texto y rubro es el siguiente:</w:t>
      </w:r>
    </w:p>
    <w:p w:rsidRPr="00823DDB" w:rsidR="00BE04C3" w:rsidP="007C44A8" w:rsidRDefault="00BE04C3" w14:paraId="3DF363FB" w14:textId="77777777">
      <w:pPr>
        <w:spacing w:after="0" w:line="360" w:lineRule="auto"/>
        <w:rPr>
          <w:rFonts w:eastAsia="Times New Roman" w:cs="Tahoma"/>
          <w:bCs/>
          <w:iCs/>
          <w:color w:val="auto"/>
          <w:lang w:eastAsia="es-ES"/>
        </w:rPr>
      </w:pPr>
    </w:p>
    <w:p w:rsidRPr="00823DDB" w:rsidR="00876DFA" w:rsidP="00876DFA" w:rsidRDefault="00876DFA" w14:paraId="4C124290" w14:textId="77777777">
      <w:pPr>
        <w:spacing w:after="0" w:line="360" w:lineRule="auto"/>
        <w:ind w:left="567" w:right="567"/>
        <w:rPr>
          <w:rFonts w:eastAsia="Times New Roman" w:cs="Tahoma"/>
          <w:bCs/>
          <w:i/>
          <w:color w:val="auto"/>
          <w:sz w:val="20"/>
          <w:szCs w:val="20"/>
          <w:lang w:eastAsia="es-ES"/>
        </w:rPr>
      </w:pPr>
      <w:r w:rsidRPr="00823DDB">
        <w:rPr>
          <w:rFonts w:eastAsia="Times New Roman" w:cs="Tahoma"/>
          <w:b/>
          <w:bCs/>
          <w:i/>
          <w:color w:val="auto"/>
          <w:sz w:val="20"/>
          <w:szCs w:val="20"/>
          <w:lang w:eastAsia="es-ES"/>
        </w:rPr>
        <w:t xml:space="preserve">Expresión documental. </w:t>
      </w:r>
      <w:r w:rsidRPr="00823DDB">
        <w:rPr>
          <w:rFonts w:eastAsia="Times New Roman" w:cs="Tahoma"/>
          <w:bCs/>
          <w:i/>
          <w:color w:val="auto"/>
          <w:sz w:val="20"/>
          <w:szCs w:val="20"/>
          <w:lang w:eastAsia="es-ES"/>
        </w:rPr>
        <w:t>Cuando</w:t>
      </w:r>
      <w:r w:rsidRPr="00823DDB">
        <w:rPr>
          <w:rFonts w:eastAsia="Times New Roman" w:cs="Tahoma"/>
          <w:bCs/>
          <w:i/>
          <w:color w:val="auto"/>
          <w:sz w:val="20"/>
          <w:szCs w:val="20"/>
          <w:lang w:val="es-ES" w:eastAsia="es-ES"/>
        </w:rPr>
        <w:t xml:space="preserve"> los particulares presenten solicitudes de acceso a la información sin identificar de forma precisa la documentación que pudiera contener la información de su interés, </w:t>
      </w:r>
      <w:r w:rsidRPr="00823DDB">
        <w:rPr>
          <w:rFonts w:eastAsia="Times New Roman" w:cs="Tahoma"/>
          <w:bCs/>
          <w:i/>
          <w:color w:val="auto"/>
          <w:sz w:val="20"/>
          <w:szCs w:val="20"/>
          <w:lang w:eastAsia="es-ES"/>
        </w:rPr>
        <w:t>o bien, la solicitud constituya una consulta,</w:t>
      </w:r>
      <w:r w:rsidRPr="00823DDB">
        <w:rPr>
          <w:rFonts w:eastAsia="Times New Roman" w:cs="Tahoma"/>
          <w:bCs/>
          <w:i/>
          <w:color w:val="auto"/>
          <w:sz w:val="20"/>
          <w:szCs w:val="20"/>
          <w:lang w:val="es-ES" w:eastAsia="es-ES"/>
        </w:rPr>
        <w:t xml:space="preserve"> pero la respuesta pudiera obrar en algún documento en poder de los sujetos obligados, éstos deben dar a dichas solicitudes una interpretación que les otorgue una expresión documental. </w:t>
      </w:r>
    </w:p>
    <w:p w:rsidRPr="00823DDB" w:rsidR="00BE04C3" w:rsidP="007C44A8" w:rsidRDefault="00BE04C3" w14:paraId="2BC6A7A5" w14:textId="77777777">
      <w:pPr>
        <w:spacing w:after="0" w:line="360" w:lineRule="auto"/>
        <w:rPr>
          <w:rFonts w:eastAsia="Times New Roman" w:cs="Tahoma"/>
          <w:bCs/>
          <w:iCs/>
          <w:color w:val="auto"/>
          <w:lang w:eastAsia="es-ES"/>
        </w:rPr>
      </w:pPr>
    </w:p>
    <w:p w:rsidRPr="00823DDB" w:rsidR="00B92EF7" w:rsidP="00B92EF7" w:rsidRDefault="00F4242A" w14:paraId="01407FC0" w14:textId="5B0D5B94">
      <w:pPr>
        <w:spacing w:after="0" w:line="360" w:lineRule="auto"/>
        <w:rPr>
          <w:rFonts w:eastAsia="Times New Roman" w:cs="Tahoma"/>
          <w:iCs/>
          <w:color w:val="auto"/>
          <w:lang w:eastAsia="es-ES"/>
        </w:rPr>
      </w:pPr>
      <w:r w:rsidRPr="00823DDB">
        <w:rPr>
          <w:rFonts w:eastAsia="Times New Roman" w:cs="Tahoma"/>
          <w:bCs/>
          <w:iCs/>
          <w:color w:val="auto"/>
          <w:lang w:eastAsia="es-ES"/>
        </w:rPr>
        <w:t>En consecuencia a lo anterior,</w:t>
      </w:r>
      <w:r w:rsidRPr="00823DDB" w:rsidR="00DB7FE6">
        <w:rPr>
          <w:rFonts w:eastAsia="Times New Roman" w:cs="Tahoma"/>
          <w:bCs/>
          <w:iCs/>
          <w:color w:val="auto"/>
          <w:lang w:eastAsia="es-ES"/>
        </w:rPr>
        <w:t xml:space="preserve"> la respuesta la Ente Recurrido no puede darse por validada ya que de la lectura del requerimiento de información del Particular se advierten elementos </w:t>
      </w:r>
      <w:r w:rsidRPr="00823DDB" w:rsidR="00DB7FE6">
        <w:rPr>
          <w:rFonts w:eastAsia="Times New Roman" w:cs="Tahoma"/>
          <w:bCs/>
          <w:iCs/>
          <w:color w:val="auto"/>
          <w:lang w:eastAsia="es-ES"/>
        </w:rPr>
        <w:lastRenderedPageBreak/>
        <w:t xml:space="preserve">suficientes </w:t>
      </w:r>
      <w:r w:rsidRPr="00823DDB" w:rsidR="00B66E9A">
        <w:rPr>
          <w:rFonts w:eastAsia="Times New Roman" w:cs="Tahoma"/>
          <w:bCs/>
          <w:iCs/>
          <w:color w:val="auto"/>
          <w:lang w:eastAsia="es-ES"/>
        </w:rPr>
        <w:t xml:space="preserve">del soporte documental al cual pretende acceder el Recurrente. </w:t>
      </w:r>
      <w:r w:rsidRPr="00823DDB" w:rsidR="009B0DEE">
        <w:rPr>
          <w:rFonts w:eastAsia="Times New Roman" w:cs="Tahoma"/>
          <w:bCs/>
          <w:iCs/>
          <w:color w:val="auto"/>
          <w:lang w:eastAsia="es-ES"/>
        </w:rPr>
        <w:t xml:space="preserve">En esos términos, </w:t>
      </w:r>
      <w:r w:rsidRPr="00823DDB" w:rsidR="00B92EF7">
        <w:rPr>
          <w:rFonts w:eastAsia="Times New Roman" w:cs="Tahoma"/>
          <w:bCs/>
          <w:iCs/>
          <w:color w:val="auto"/>
          <w:lang w:eastAsia="es-ES"/>
        </w:rPr>
        <w:t xml:space="preserve">del </w:t>
      </w:r>
      <w:r w:rsidRPr="00823DDB" w:rsidR="00B92EF7">
        <w:rPr>
          <w:rFonts w:eastAsia="Times New Roman" w:cs="Tahoma"/>
          <w:iCs/>
          <w:color w:val="auto"/>
          <w:lang w:eastAsia="es-ES"/>
        </w:rPr>
        <w:t xml:space="preserve">artículo </w:t>
      </w:r>
      <w:r w:rsidRPr="00823DDB" w:rsidR="00B92EF7">
        <w:rPr>
          <w:rFonts w:eastAsia="Times New Roman" w:cs="Tahoma"/>
          <w:iCs/>
          <w:color w:val="auto"/>
          <w:lang w:val="es-ES" w:eastAsia="es-ES"/>
        </w:rPr>
        <w:t>1.8, fracción IX, del Código Administrativo del Estado de México, establece que para que un acto administrativo tenga validez, deberá guardar congruencia con lo solicitado; asimismo,</w:t>
      </w:r>
      <w:r w:rsidRPr="00823DDB" w:rsidR="00B92EF7">
        <w:rPr>
          <w:rFonts w:eastAsia="Times New Roman" w:cs="Tahoma"/>
          <w:iCs/>
          <w:color w:val="auto"/>
          <w:lang w:eastAsia="es-ES"/>
        </w:rPr>
        <w:t xml:space="preserve"> resulta necesario traer</w:t>
      </w:r>
      <w:r w:rsidRPr="00823DDB" w:rsidR="00B92EF7">
        <w:rPr>
          <w:rFonts w:eastAsia="Times New Roman" w:cs="Tahoma"/>
          <w:bCs/>
          <w:iCs/>
          <w:color w:val="auto"/>
          <w:lang w:val="es-ES" w:eastAsia="es-ES"/>
        </w:rPr>
        <w:t xml:space="preserve"> a colación, el Criterio con clave de control SO/002/2017, de la Segunda Época, emitido por el Instituto Nacional de Transparencia, Acceso a la Información y Protección de Datos Personales, que señala lo siguiente:</w:t>
      </w:r>
    </w:p>
    <w:p w:rsidRPr="00823DDB" w:rsidR="00B92EF7" w:rsidP="00B92EF7" w:rsidRDefault="00B92EF7" w14:paraId="22718C1E" w14:textId="77777777">
      <w:pPr>
        <w:spacing w:after="0" w:line="360" w:lineRule="auto"/>
        <w:rPr>
          <w:rFonts w:eastAsia="Times New Roman" w:cs="Tahoma"/>
          <w:bCs/>
          <w:iCs/>
          <w:color w:val="auto"/>
          <w:lang w:val="es-ES" w:eastAsia="es-ES"/>
        </w:rPr>
      </w:pPr>
    </w:p>
    <w:p w:rsidRPr="00823DDB" w:rsidR="00B92EF7" w:rsidP="00B92EF7" w:rsidRDefault="00B92EF7" w14:paraId="79192A8C" w14:textId="77777777">
      <w:pPr>
        <w:spacing w:after="0" w:line="360" w:lineRule="auto"/>
        <w:ind w:left="567" w:right="567"/>
        <w:rPr>
          <w:rFonts w:eastAsia="Times New Roman" w:cs="Tahoma"/>
          <w:i/>
          <w:iCs/>
          <w:color w:val="auto"/>
          <w:sz w:val="20"/>
          <w:szCs w:val="20"/>
          <w:lang w:eastAsia="es-ES"/>
        </w:rPr>
      </w:pPr>
      <w:r w:rsidRPr="00823DDB">
        <w:rPr>
          <w:rFonts w:eastAsia="Times New Roman" w:cs="Tahoma"/>
          <w:b/>
          <w:bCs/>
          <w:i/>
          <w:iCs/>
          <w:color w:val="auto"/>
          <w:sz w:val="20"/>
          <w:szCs w:val="20"/>
          <w:lang w:eastAsia="es-ES"/>
        </w:rPr>
        <w:t xml:space="preserve">“Congruencia y exhaustividad. Sus alcances para garantizar el derecho de acceso a la información. </w:t>
      </w:r>
      <w:r w:rsidRPr="00823DDB">
        <w:rPr>
          <w:rFonts w:eastAsia="Times New Roman" w:cs="Tahoma"/>
          <w:bCs/>
          <w:i/>
          <w:iCs/>
          <w:color w:val="auto"/>
          <w:sz w:val="20"/>
          <w:szCs w:val="20"/>
          <w:lang w:eastAsia="es-ES"/>
        </w:rPr>
        <w:t xml:space="preserve">De conformidad con el artículo </w:t>
      </w:r>
      <w:r w:rsidRPr="00823DDB">
        <w:rPr>
          <w:rFonts w:eastAsia="Times New Roman" w:cs="Tahoma"/>
          <w:bCs/>
          <w:i/>
          <w:iCs/>
          <w:color w:val="auto"/>
          <w:sz w:val="20"/>
          <w:szCs w:val="20"/>
          <w:lang w:val="es-ES_tradnl" w:eastAsia="es-ES"/>
        </w:rPr>
        <w:t>3 de la Ley Federal de Procedimiento Administrativo</w:t>
      </w:r>
      <w:r w:rsidRPr="00823DDB">
        <w:rPr>
          <w:rFonts w:eastAsia="Times New Roman" w:cs="Tahoma"/>
          <w:bCs/>
          <w:i/>
          <w:iCs/>
          <w:color w:val="auto"/>
          <w:sz w:val="20"/>
          <w:szCs w:val="20"/>
          <w:lang w:eastAsia="es-E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823DDB">
        <w:rPr>
          <w:rFonts w:eastAsia="Times New Roman" w:cs="Tahoma"/>
          <w:bCs/>
          <w:i/>
          <w:iCs/>
          <w:color w:val="auto"/>
          <w:sz w:val="20"/>
          <w:szCs w:val="20"/>
          <w:u w:val="single"/>
          <w:lang w:eastAsia="es-ES"/>
        </w:rPr>
        <w:t>a congruencia implica que exista concordancia entre el requerimiento formulado por el particular y la respuesta proporcionada por el sujeto obligado</w:t>
      </w:r>
      <w:r w:rsidRPr="00823DDB">
        <w:rPr>
          <w:rFonts w:eastAsia="Times New Roman" w:cs="Tahoma"/>
          <w:bCs/>
          <w:i/>
          <w:iCs/>
          <w:color w:val="auto"/>
          <w:sz w:val="20"/>
          <w:szCs w:val="20"/>
          <w:lang w:eastAsia="es-ES"/>
        </w:rPr>
        <w:t xml:space="preserve">; mientras que </w:t>
      </w:r>
      <w:r w:rsidRPr="00823DDB">
        <w:rPr>
          <w:rFonts w:eastAsia="Times New Roman" w:cs="Tahoma"/>
          <w:i/>
          <w:iCs/>
          <w:color w:val="auto"/>
          <w:sz w:val="20"/>
          <w:szCs w:val="20"/>
          <w:lang w:eastAsia="es-E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823DDB" w:rsidR="00B92EF7" w:rsidP="00B92EF7" w:rsidRDefault="00B92EF7" w14:paraId="5582256C" w14:textId="77777777">
      <w:pPr>
        <w:spacing w:after="0" w:line="360" w:lineRule="auto"/>
        <w:rPr>
          <w:rFonts w:eastAsia="Times New Roman" w:cs="Tahoma"/>
          <w:iCs/>
          <w:color w:val="auto"/>
          <w:lang w:eastAsia="es-ES"/>
        </w:rPr>
      </w:pPr>
    </w:p>
    <w:p w:rsidRPr="00823DDB" w:rsidR="00B92EF7" w:rsidP="00B92EF7" w:rsidRDefault="00B92EF7" w14:paraId="7CE27952" w14:textId="77777777">
      <w:pPr>
        <w:spacing w:after="0" w:line="360" w:lineRule="auto"/>
        <w:rPr>
          <w:rFonts w:eastAsia="Times New Roman" w:cs="Tahoma"/>
          <w:b/>
          <w:bCs/>
          <w:iCs/>
          <w:color w:val="auto"/>
          <w:lang w:val="es-ES" w:eastAsia="es-ES"/>
        </w:rPr>
      </w:pPr>
      <w:r w:rsidRPr="00823DDB">
        <w:rPr>
          <w:rFonts w:eastAsia="Times New Roman" w:cs="Tahoma"/>
          <w:iCs/>
          <w:color w:val="auto"/>
          <w:lang w:eastAsia="es-ES"/>
        </w:rPr>
        <w:t xml:space="preserve">Del citado criterio, se desprende que </w:t>
      </w:r>
      <w:r w:rsidRPr="00823DDB">
        <w:rPr>
          <w:rFonts w:eastAsia="Times New Roman" w:cs="Tahoma"/>
          <w:bCs/>
          <w:iCs/>
          <w:color w:val="auto"/>
          <w:lang w:eastAsia="es-ES"/>
        </w:rPr>
        <w:t>todo acto administrativo debe apegarse al</w:t>
      </w:r>
      <w:r w:rsidRPr="00823DDB">
        <w:rPr>
          <w:rFonts w:eastAsia="Times New Roman" w:cs="Tahoma"/>
          <w:iCs/>
          <w:color w:val="auto"/>
          <w:lang w:val="es-ES" w:eastAsia="es-ES"/>
        </w:rPr>
        <w:t xml:space="preserve"> </w:t>
      </w:r>
      <w:r w:rsidRPr="00823DDB">
        <w:rPr>
          <w:rFonts w:eastAsia="Times New Roman" w:cs="Tahoma"/>
          <w:b/>
          <w:iCs/>
          <w:color w:val="auto"/>
          <w:lang w:val="es-ES" w:eastAsia="es-ES"/>
        </w:rPr>
        <w:t xml:space="preserve">Principio de Congruencia, </w:t>
      </w:r>
      <w:r w:rsidRPr="00823DDB">
        <w:rPr>
          <w:rFonts w:eastAsia="Times New Roman" w:cs="Tahoma"/>
          <w:iCs/>
          <w:color w:val="auto"/>
          <w:lang w:val="es-ES" w:eastAsia="es-ES"/>
        </w:rPr>
        <w:t>el cual</w:t>
      </w:r>
      <w:r w:rsidRPr="00823DDB">
        <w:rPr>
          <w:rFonts w:eastAsia="Times New Roman" w:cs="Tahoma"/>
          <w:b/>
          <w:iCs/>
          <w:color w:val="auto"/>
          <w:lang w:val="es-ES" w:eastAsia="es-ES"/>
        </w:rPr>
        <w:t xml:space="preserve"> </w:t>
      </w:r>
      <w:r w:rsidRPr="00823DDB">
        <w:rPr>
          <w:rFonts w:eastAsia="Times New Roman" w:cs="Tahoma"/>
          <w:iCs/>
          <w:color w:val="auto"/>
          <w:lang w:val="es-ES" w:eastAsia="es-ES"/>
        </w:rPr>
        <w:t xml:space="preserve">implica que exista concordancia entre el requerimiento formulado y la respuesta entregada; el cual incumplió el Sujeto Obligado, en esos términos, el agravio hecho valer por el hoy Recurrente deviene de </w:t>
      </w:r>
      <w:r w:rsidRPr="00823DDB">
        <w:rPr>
          <w:rFonts w:eastAsia="Times New Roman" w:cs="Tahoma"/>
          <w:b/>
          <w:bCs/>
          <w:iCs/>
          <w:color w:val="auto"/>
          <w:lang w:val="es-ES" w:eastAsia="es-ES"/>
        </w:rPr>
        <w:t>FUNDADO.</w:t>
      </w:r>
    </w:p>
    <w:p w:rsidRPr="00823DDB" w:rsidR="00A47659" w:rsidP="007C44A8" w:rsidRDefault="00A47659" w14:paraId="2DC3B1E1" w14:textId="77777777">
      <w:pPr>
        <w:spacing w:after="0" w:line="360" w:lineRule="auto"/>
        <w:rPr>
          <w:rFonts w:eastAsia="Times New Roman" w:cs="Tahoma"/>
          <w:bCs/>
          <w:iCs/>
          <w:color w:val="auto"/>
          <w:lang w:val="es-ES" w:eastAsia="es-ES"/>
        </w:rPr>
      </w:pPr>
    </w:p>
    <w:p w:rsidRPr="00823DDB" w:rsidR="00A47659" w:rsidP="007C44A8" w:rsidRDefault="000C548C" w14:paraId="592944FE" w14:textId="0A16855D">
      <w:pPr>
        <w:spacing w:after="0" w:line="360" w:lineRule="auto"/>
        <w:rPr>
          <w:rFonts w:eastAsia="Times New Roman" w:cs="Tahoma"/>
          <w:bCs/>
          <w:iCs/>
          <w:color w:val="auto"/>
          <w:lang w:val="es-ES_tradnl" w:eastAsia="es-ES"/>
        </w:rPr>
      </w:pPr>
      <w:r w:rsidRPr="00823DDB">
        <w:rPr>
          <w:rFonts w:eastAsia="Times New Roman" w:cs="Tahoma"/>
          <w:bCs/>
          <w:iCs/>
          <w:color w:val="auto"/>
          <w:lang w:val="es-ES" w:eastAsia="es-ES"/>
        </w:rPr>
        <w:t xml:space="preserve">Sin embargo, durante la sustanciación del presente Recurso de Revisión el Sujeto Obligado </w:t>
      </w:r>
      <w:r w:rsidRPr="00823DDB" w:rsidR="00A705DF">
        <w:rPr>
          <w:rFonts w:eastAsia="Times New Roman" w:cs="Tahoma"/>
          <w:bCs/>
          <w:iCs/>
          <w:color w:val="auto"/>
          <w:lang w:eastAsia="es-ES"/>
        </w:rPr>
        <w:t xml:space="preserve">a través de su Informe Justificado proporcionó el proyecto de versión pública ya que la información que da cuenta de lo solicitado por el Recurrente consistía en la </w:t>
      </w:r>
      <w:r w:rsidRPr="00823DDB" w:rsidR="00A705DF">
        <w:rPr>
          <w:rFonts w:eastAsia="Times New Roman" w:cs="Tahoma"/>
          <w:bCs/>
          <w:iCs/>
          <w:color w:val="auto"/>
          <w:lang w:val="es-ES_tradnl" w:eastAsia="es-ES"/>
        </w:rPr>
        <w:t xml:space="preserve">licencia de obra nueva </w:t>
      </w:r>
      <w:r w:rsidRPr="00823DDB" w:rsidR="00A705DF">
        <w:rPr>
          <w:rFonts w:eastAsia="Times New Roman" w:cs="Tahoma"/>
          <w:b/>
          <w:bCs/>
          <w:iCs/>
          <w:color w:val="auto"/>
          <w:lang w:val="es-ES_tradnl" w:eastAsia="es-ES"/>
        </w:rPr>
        <w:t>DGDU/DLC/0502A</w:t>
      </w:r>
      <w:r w:rsidRPr="00823DDB" w:rsidR="00A705DF">
        <w:rPr>
          <w:rFonts w:eastAsia="Times New Roman" w:cs="Tahoma"/>
          <w:bCs/>
          <w:iCs/>
          <w:color w:val="auto"/>
          <w:lang w:val="es-ES_tradnl" w:eastAsia="es-ES"/>
        </w:rPr>
        <w:t xml:space="preserve"> y constancia de terminación de obra (Constancia de terminación de </w:t>
      </w:r>
      <w:r w:rsidRPr="00823DDB" w:rsidR="00A705DF">
        <w:rPr>
          <w:rFonts w:eastAsia="Times New Roman" w:cs="Tahoma"/>
          <w:bCs/>
          <w:iCs/>
          <w:color w:val="auto"/>
          <w:lang w:val="es-ES_tradnl" w:eastAsia="es-ES"/>
        </w:rPr>
        <w:lastRenderedPageBreak/>
        <w:t xml:space="preserve">modificación, ampliación y excavación) </w:t>
      </w:r>
      <w:r w:rsidRPr="00823DDB" w:rsidR="00A705DF">
        <w:rPr>
          <w:rFonts w:eastAsia="Times New Roman" w:cs="Tahoma"/>
          <w:b/>
          <w:bCs/>
          <w:iCs/>
          <w:color w:val="auto"/>
          <w:lang w:val="es-ES_tradnl" w:eastAsia="es-ES"/>
        </w:rPr>
        <w:t>DGDU/DLC/0502B</w:t>
      </w:r>
      <w:r w:rsidRPr="00823DDB" w:rsidR="00A705DF">
        <w:rPr>
          <w:rFonts w:eastAsia="Times New Roman" w:cs="Tahoma"/>
          <w:bCs/>
          <w:iCs/>
          <w:color w:val="auto"/>
          <w:lang w:val="es-ES_tradnl" w:eastAsia="es-ES"/>
        </w:rPr>
        <w:t>, emitida por la Dirección General de Desarrollo Urbano</w:t>
      </w:r>
      <w:r w:rsidRPr="00823DDB" w:rsidR="00D054D6">
        <w:rPr>
          <w:rFonts w:eastAsia="Times New Roman" w:cs="Tahoma"/>
          <w:bCs/>
          <w:iCs/>
          <w:color w:val="auto"/>
          <w:lang w:val="es-ES_tradnl" w:eastAsia="es-ES"/>
        </w:rPr>
        <w:t xml:space="preserve">, no obstante, el soporte documental de estas </w:t>
      </w:r>
      <w:r w:rsidRPr="00823DDB" w:rsidR="00F75A20">
        <w:rPr>
          <w:rFonts w:eastAsia="Times New Roman" w:cs="Tahoma"/>
          <w:bCs/>
          <w:iCs/>
          <w:color w:val="auto"/>
          <w:lang w:val="es-ES_tradnl" w:eastAsia="es-ES"/>
        </w:rPr>
        <w:t xml:space="preserve">licencias no fueron proporcionadas por el Sujeto Obligado. </w:t>
      </w:r>
      <w:r w:rsidRPr="00823DDB" w:rsidR="004A7EA5">
        <w:rPr>
          <w:rFonts w:eastAsia="Times New Roman" w:cs="Tahoma"/>
          <w:bCs/>
          <w:iCs/>
          <w:color w:val="auto"/>
          <w:lang w:val="es-ES_tradnl" w:eastAsia="es-ES"/>
        </w:rPr>
        <w:t>Sin embargo, se hace la precisión de que el Sujeto Obligado no se pronunció respecto de la licencia de uso de suelo solicitada por el Recurrente.</w:t>
      </w:r>
    </w:p>
    <w:p w:rsidRPr="00823DDB" w:rsidR="00134952" w:rsidP="007C44A8" w:rsidRDefault="00134952" w14:paraId="28C1EE37" w14:textId="77777777">
      <w:pPr>
        <w:spacing w:after="0" w:line="360" w:lineRule="auto"/>
        <w:rPr>
          <w:rFonts w:eastAsia="Times New Roman" w:cs="Tahoma"/>
          <w:bCs/>
          <w:iCs/>
          <w:color w:val="auto"/>
          <w:lang w:val="es-ES_tradnl" w:eastAsia="es-ES"/>
        </w:rPr>
      </w:pPr>
    </w:p>
    <w:p w:rsidRPr="00823DDB" w:rsidR="00134952" w:rsidP="007C44A8" w:rsidRDefault="009F79C3" w14:paraId="51566D2D" w14:textId="38BB2900">
      <w:pPr>
        <w:spacing w:after="0" w:line="360" w:lineRule="auto"/>
        <w:rPr>
          <w:rFonts w:eastAsia="Times New Roman" w:cs="Tahoma"/>
          <w:bCs/>
          <w:iCs/>
          <w:color w:val="auto"/>
          <w:lang w:val="es-ES_tradnl" w:eastAsia="es-ES"/>
        </w:rPr>
      </w:pPr>
      <w:r w:rsidRPr="00823DDB">
        <w:rPr>
          <w:rFonts w:eastAsia="Times New Roman" w:cs="Tahoma"/>
          <w:bCs/>
          <w:iCs/>
          <w:color w:val="auto"/>
          <w:lang w:val="es-ES_tradnl" w:eastAsia="es-ES"/>
        </w:rPr>
        <w:t xml:space="preserve">En lo términos anteriores, este Instituto determina procedente ordenar al Sujeto Obligado a que previa búsqueda exhaustiva y razonable en todas las áreas que estime pertinentes, de entre las cuales no podrá omitir a la Dirección General de Desarrollo Urbano, a efectos de que haga </w:t>
      </w:r>
      <w:r w:rsidRPr="00823DDB" w:rsidR="00E95733">
        <w:rPr>
          <w:rFonts w:eastAsia="Times New Roman" w:cs="Tahoma"/>
          <w:bCs/>
          <w:iCs/>
          <w:color w:val="auto"/>
          <w:lang w:val="es-ES_tradnl" w:eastAsia="es-ES"/>
        </w:rPr>
        <w:t xml:space="preserve">entrega de </w:t>
      </w:r>
      <w:r w:rsidRPr="00823DDB" w:rsidR="00E95733">
        <w:rPr>
          <w:rFonts w:eastAsia="Times New Roman" w:cs="Tahoma"/>
          <w:bCs/>
          <w:iCs/>
          <w:color w:val="auto"/>
          <w:lang w:eastAsia="es-ES"/>
        </w:rPr>
        <w:t xml:space="preserve">de la </w:t>
      </w:r>
      <w:r w:rsidRPr="00823DDB" w:rsidR="00E95733">
        <w:rPr>
          <w:rFonts w:eastAsia="Times New Roman" w:cs="Tahoma"/>
          <w:bCs/>
          <w:iCs/>
          <w:color w:val="auto"/>
          <w:lang w:val="es-ES_tradnl" w:eastAsia="es-ES"/>
        </w:rPr>
        <w:t xml:space="preserve">licencia de obra nueva </w:t>
      </w:r>
      <w:r w:rsidRPr="00823DDB" w:rsidR="00E95733">
        <w:rPr>
          <w:rFonts w:eastAsia="Times New Roman" w:cs="Tahoma"/>
          <w:b/>
          <w:bCs/>
          <w:iCs/>
          <w:color w:val="auto"/>
          <w:lang w:val="es-ES_tradnl" w:eastAsia="es-ES"/>
        </w:rPr>
        <w:t>DGDU/DLC/0502A</w:t>
      </w:r>
      <w:r w:rsidRPr="00823DDB" w:rsidR="00E95733">
        <w:rPr>
          <w:rFonts w:eastAsia="Times New Roman" w:cs="Tahoma"/>
          <w:bCs/>
          <w:iCs/>
          <w:color w:val="auto"/>
          <w:lang w:val="es-ES_tradnl" w:eastAsia="es-ES"/>
        </w:rPr>
        <w:t xml:space="preserve"> y constancia de terminación de obra (Constancia de terminación de modificación, ampliación y excavación) </w:t>
      </w:r>
      <w:r w:rsidRPr="00823DDB" w:rsidR="00E95733">
        <w:rPr>
          <w:rFonts w:eastAsia="Times New Roman" w:cs="Tahoma"/>
          <w:b/>
          <w:bCs/>
          <w:iCs/>
          <w:color w:val="auto"/>
          <w:lang w:val="es-ES_tradnl" w:eastAsia="es-ES"/>
        </w:rPr>
        <w:t xml:space="preserve">DGDU/DLC/0502B, </w:t>
      </w:r>
      <w:r w:rsidRPr="00823DDB" w:rsidR="00E95733">
        <w:rPr>
          <w:rFonts w:eastAsia="Times New Roman" w:cs="Tahoma"/>
          <w:bCs/>
          <w:iCs/>
          <w:color w:val="auto"/>
          <w:lang w:val="es-ES_tradnl" w:eastAsia="es-ES"/>
        </w:rPr>
        <w:t xml:space="preserve">a las que hace referencia el Sujeto Obligado en Informe Justificado, al ser esta la información que el </w:t>
      </w:r>
      <w:r w:rsidRPr="00823DDB" w:rsidR="00E95733">
        <w:rPr>
          <w:rFonts w:eastAsia="Calibri" w:cs="Tahoma"/>
        </w:rPr>
        <w:t>Ayuntamiento de Naucalpan de Juárez ha señalado da cuenta de lo solicitado por el Particular.</w:t>
      </w:r>
    </w:p>
    <w:p w:rsidRPr="00823DDB" w:rsidR="00A47659" w:rsidP="007C44A8" w:rsidRDefault="00A47659" w14:paraId="410BC304" w14:textId="77777777">
      <w:pPr>
        <w:spacing w:after="0" w:line="360" w:lineRule="auto"/>
        <w:rPr>
          <w:rFonts w:eastAsia="Times New Roman" w:cs="Tahoma"/>
          <w:bCs/>
          <w:iCs/>
          <w:color w:val="auto"/>
          <w:lang w:eastAsia="es-ES"/>
        </w:rPr>
      </w:pPr>
    </w:p>
    <w:p w:rsidRPr="00823DDB" w:rsidR="00956673" w:rsidP="00956673" w:rsidRDefault="001309AA" w14:paraId="750A4F43" w14:textId="7D905172">
      <w:pPr>
        <w:spacing w:after="0" w:line="360" w:lineRule="auto"/>
        <w:rPr>
          <w:rFonts w:eastAsia="Times New Roman" w:cs="Tahoma"/>
          <w:bCs/>
          <w:iCs/>
          <w:color w:val="auto"/>
          <w:lang w:val="es-ES" w:eastAsia="es-ES"/>
        </w:rPr>
      </w:pPr>
      <w:r w:rsidRPr="00823DDB">
        <w:rPr>
          <w:rFonts w:eastAsia="Times New Roman" w:cs="Tahoma"/>
          <w:bCs/>
          <w:iCs/>
          <w:color w:val="auto"/>
          <w:lang w:eastAsia="es-ES"/>
        </w:rPr>
        <w:t xml:space="preserve">Dicha </w:t>
      </w:r>
      <w:r w:rsidRPr="00823DDB" w:rsidR="00956673">
        <w:rPr>
          <w:rFonts w:eastAsia="Times New Roman" w:cs="Tahoma"/>
          <w:bCs/>
          <w:iCs/>
          <w:color w:val="auto"/>
          <w:lang w:val="es-ES_tradnl" w:eastAsia="es-ES"/>
        </w:rPr>
        <w:t>situación, toma sustento en el</w:t>
      </w:r>
      <w:r w:rsidRPr="00823DDB" w:rsidR="00956673">
        <w:rPr>
          <w:rFonts w:eastAsia="Times New Roman" w:cs="Tahoma"/>
          <w:bCs/>
          <w:iCs/>
          <w:color w:val="auto"/>
          <w:lang w:val="es-ES" w:eastAsia="es-ES"/>
        </w:rPr>
        <w:t xml:space="preserve"> </w:t>
      </w:r>
      <w:r w:rsidRPr="00823DDB" w:rsidR="00956673">
        <w:rPr>
          <w:rFonts w:eastAsia="Times New Roman" w:cs="Tahoma"/>
          <w:bCs/>
          <w:iCs/>
          <w:color w:val="auto"/>
          <w:lang w:eastAsia="es-ES"/>
        </w:rPr>
        <w:t>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823DDB" w:rsidR="00956673" w:rsidP="00956673" w:rsidRDefault="00956673" w14:paraId="278FB873" w14:textId="77777777">
      <w:pPr>
        <w:spacing w:after="0" w:line="360" w:lineRule="auto"/>
        <w:rPr>
          <w:rFonts w:eastAsia="Times New Roman" w:cs="Tahoma"/>
          <w:bCs/>
          <w:iCs/>
          <w:color w:val="auto"/>
          <w:lang w:eastAsia="es-ES"/>
        </w:rPr>
      </w:pPr>
    </w:p>
    <w:p w:rsidRPr="00823DDB" w:rsidR="00956673" w:rsidP="00956673" w:rsidRDefault="00956673" w14:paraId="4FA3D809" w14:textId="77777777">
      <w:pPr>
        <w:spacing w:after="0" w:line="360" w:lineRule="auto"/>
        <w:rPr>
          <w:rFonts w:eastAsia="Times New Roman" w:cs="Tahoma"/>
          <w:bCs/>
          <w:iCs/>
          <w:color w:val="auto"/>
          <w:lang w:val="es-ES" w:eastAsia="es-ES"/>
        </w:rPr>
      </w:pPr>
      <w:r w:rsidRPr="00823DDB">
        <w:rPr>
          <w:rFonts w:eastAsia="Times New Roman" w:cs="Tahoma"/>
          <w:bCs/>
          <w:iCs/>
          <w:color w:val="auto"/>
          <w:lang w:eastAsia="es-ES"/>
        </w:rPr>
        <w:t xml:space="preserve">De esta manera, </w:t>
      </w:r>
      <w:r w:rsidRPr="00823DDB">
        <w:rPr>
          <w:rFonts w:eastAsia="Times New Roman" w:cs="Tahoma"/>
          <w:bCs/>
          <w:iCs/>
          <w:color w:val="auto"/>
          <w:lang w:val="es-ES" w:eastAsia="es-ES"/>
        </w:rPr>
        <w:t xml:space="preserve">el derecho de acceso a la información pública se satisface en aquellos casos en que se entregue el soporte documental en el que conste la información solicitada, sin necesidad de elaborar documentos </w:t>
      </w:r>
      <w:r w:rsidRPr="00823DDB">
        <w:rPr>
          <w:rFonts w:eastAsia="Times New Roman" w:cs="Tahoma"/>
          <w:bCs/>
          <w:i/>
          <w:iCs/>
          <w:color w:val="auto"/>
          <w:lang w:eastAsia="es-ES"/>
        </w:rPr>
        <w:t>ad hoc</w:t>
      </w:r>
      <w:r w:rsidRPr="00823DDB">
        <w:rPr>
          <w:rFonts w:eastAsia="Times New Roman" w:cs="Tahoma"/>
          <w:bCs/>
          <w:iCs/>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823DDB" w:rsidR="00956673" w:rsidP="00956673" w:rsidRDefault="00956673" w14:paraId="5BA3BD51" w14:textId="77777777">
      <w:pPr>
        <w:spacing w:after="0" w:line="360" w:lineRule="auto"/>
        <w:rPr>
          <w:rFonts w:eastAsia="Times New Roman" w:cs="Tahoma"/>
          <w:bCs/>
          <w:iCs/>
          <w:color w:val="auto"/>
          <w:lang w:val="es-ES" w:eastAsia="es-ES"/>
        </w:rPr>
      </w:pPr>
    </w:p>
    <w:p w:rsidRPr="00823DDB" w:rsidR="00956673" w:rsidP="00956673" w:rsidRDefault="00956673" w14:paraId="33A2A36B" w14:textId="76499F64">
      <w:pPr>
        <w:spacing w:after="0" w:line="360" w:lineRule="auto"/>
        <w:rPr>
          <w:rFonts w:eastAsia="Times New Roman" w:cs="Tahoma"/>
          <w:bCs/>
          <w:iCs/>
          <w:color w:val="auto"/>
          <w:lang w:val="es-ES" w:eastAsia="es-ES"/>
        </w:rPr>
      </w:pPr>
      <w:r w:rsidRPr="00823DDB">
        <w:rPr>
          <w:rFonts w:eastAsia="Times New Roman" w:cs="Tahoma"/>
          <w:bCs/>
          <w:iCs/>
          <w:color w:val="auto"/>
          <w:lang w:val="es-ES" w:eastAsia="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los contratos que daban cuenta de lo solicitado. No obstante, </w:t>
      </w:r>
      <w:r w:rsidRPr="00823DDB" w:rsidR="0005679E">
        <w:rPr>
          <w:rFonts w:eastAsia="Times New Roman" w:cs="Tahoma"/>
          <w:bCs/>
          <w:iCs/>
          <w:color w:val="auto"/>
          <w:lang w:val="es-ES" w:eastAsia="es-ES"/>
        </w:rPr>
        <w:t>no pasa desapercibido para este Instituto que la información que se ordena pudiera contener información</w:t>
      </w:r>
      <w:r w:rsidRPr="00823DDB" w:rsidR="00217B0B">
        <w:rPr>
          <w:rFonts w:eastAsia="Times New Roman" w:cs="Tahoma"/>
          <w:bCs/>
          <w:iCs/>
          <w:color w:val="auto"/>
          <w:lang w:val="es-ES" w:eastAsia="es-ES"/>
        </w:rPr>
        <w:t xml:space="preserve"> tal como el Registro Federal de Contribuyentes (RFC), la Clave Única de Registro de Población (CURP) y el domicilio particular, de persona física y de Persona Jurídico Colectiva.</w:t>
      </w:r>
    </w:p>
    <w:p w:rsidRPr="00823DDB" w:rsidR="00956673" w:rsidP="007C44A8" w:rsidRDefault="00956673" w14:paraId="31BE2A19" w14:textId="77777777">
      <w:pPr>
        <w:spacing w:after="0" w:line="360" w:lineRule="auto"/>
        <w:rPr>
          <w:rFonts w:eastAsia="Times New Roman" w:cs="Tahoma"/>
          <w:bCs/>
          <w:iCs/>
          <w:color w:val="auto"/>
          <w:lang w:eastAsia="es-ES"/>
        </w:rPr>
      </w:pPr>
    </w:p>
    <w:p w:rsidRPr="00823DDB" w:rsidR="004E4FD3" w:rsidP="004E4FD3" w:rsidRDefault="004E4FD3" w14:paraId="47DAE41F" w14:textId="77777777">
      <w:pPr>
        <w:spacing w:after="0" w:line="360" w:lineRule="auto"/>
        <w:rPr>
          <w:rFonts w:eastAsia="Calibri" w:cs="Tahoma"/>
          <w:bCs/>
        </w:rPr>
      </w:pPr>
      <w:r w:rsidRPr="00823DDB">
        <w:rPr>
          <w:rFonts w:eastAsia="Calibri" w:cs="Tahoma"/>
          <w:bC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823DDB" w:rsidR="004E4FD3" w:rsidP="004E4FD3" w:rsidRDefault="004E4FD3" w14:paraId="336E42D8" w14:textId="77777777">
      <w:pPr>
        <w:spacing w:after="0" w:line="360" w:lineRule="auto"/>
        <w:rPr>
          <w:rFonts w:eastAsia="Calibri" w:cs="Tahoma"/>
          <w:bCs/>
          <w:color w:val="auto"/>
        </w:rPr>
      </w:pPr>
    </w:p>
    <w:p w:rsidRPr="00823DDB" w:rsidR="004E4FD3" w:rsidP="004E4FD3" w:rsidRDefault="004E4FD3" w14:paraId="28071A2F" w14:textId="77777777">
      <w:pPr>
        <w:spacing w:after="0" w:line="360" w:lineRule="auto"/>
        <w:rPr>
          <w:rFonts w:eastAsia="Calibri" w:cs="Tahoma"/>
          <w:bCs/>
          <w:color w:val="auto"/>
        </w:rPr>
      </w:pPr>
      <w:r w:rsidRPr="00823DDB">
        <w:rPr>
          <w:rFonts w:eastAsia="Calibri" w:cs="Tahoma"/>
          <w:bCs/>
          <w:color w:val="auto"/>
        </w:rPr>
        <w:t>Acorde con lo anterior, la Ley General de Transparencia y Acceso a la Información Pública, en su artículo 116, dispone que se considera información confidencial la que contenga datos personales concernientes a una persona física identificada o identificable o bien, la que presenten los particulares con dicho carácter.</w:t>
      </w:r>
    </w:p>
    <w:p w:rsidRPr="00823DDB" w:rsidR="004E4FD3" w:rsidP="004E4FD3" w:rsidRDefault="004E4FD3" w14:paraId="33843C04" w14:textId="77777777">
      <w:pPr>
        <w:spacing w:after="0" w:line="360" w:lineRule="auto"/>
        <w:rPr>
          <w:rFonts w:eastAsia="Calibri" w:cs="Tahoma"/>
          <w:bCs/>
          <w:color w:val="auto"/>
        </w:rPr>
      </w:pPr>
    </w:p>
    <w:p w:rsidRPr="00823DDB" w:rsidR="004E4FD3" w:rsidP="004E4FD3" w:rsidRDefault="004E4FD3" w14:paraId="72FF2F1B" w14:textId="77777777">
      <w:pPr>
        <w:spacing w:after="0" w:line="360" w:lineRule="auto"/>
        <w:rPr>
          <w:rFonts w:eastAsia="Calibri" w:cs="Tahoma"/>
          <w:bCs/>
          <w:color w:val="auto"/>
        </w:rPr>
      </w:pPr>
      <w:r w:rsidRPr="00823DDB">
        <w:rPr>
          <w:rFonts w:eastAsia="Calibri" w:cs="Tahoma"/>
          <w:bCs/>
          <w:color w:val="auto"/>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w:t>
      </w:r>
      <w:r w:rsidRPr="00823DDB">
        <w:rPr>
          <w:rFonts w:eastAsia="Calibri" w:cs="Tahoma"/>
          <w:bCs/>
          <w:color w:val="auto"/>
        </w:rPr>
        <w:lastRenderedPageBreak/>
        <w:t>personas, será protegida a través de un marco jurídico rígido, de tratamiento y manejo de datos personales.</w:t>
      </w:r>
    </w:p>
    <w:p w:rsidRPr="00823DDB" w:rsidR="004E4FD3" w:rsidP="004E4FD3" w:rsidRDefault="004E4FD3" w14:paraId="42BF0DDA" w14:textId="77777777">
      <w:pPr>
        <w:spacing w:after="0" w:line="360" w:lineRule="auto"/>
        <w:rPr>
          <w:rFonts w:eastAsia="Calibri" w:cs="Tahoma"/>
          <w:bCs/>
          <w:color w:val="auto"/>
        </w:rPr>
      </w:pPr>
    </w:p>
    <w:p w:rsidRPr="00823DDB" w:rsidR="004E4FD3" w:rsidP="004E4FD3" w:rsidRDefault="004E4FD3" w14:paraId="36834587" w14:textId="77777777">
      <w:pPr>
        <w:spacing w:after="0" w:line="360" w:lineRule="auto"/>
        <w:rPr>
          <w:rFonts w:eastAsia="Calibri" w:cs="Tahoma"/>
          <w:bCs/>
          <w:color w:val="auto"/>
        </w:rPr>
      </w:pPr>
      <w:r w:rsidRPr="00823DDB">
        <w:rPr>
          <w:rFonts w:eastAsia="Calibri" w:cs="Tahoma"/>
          <w:bCs/>
          <w:color w:val="auto"/>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823DDB" w:rsidR="004E4FD3" w:rsidP="004E4FD3" w:rsidRDefault="004E4FD3" w14:paraId="650F2402" w14:textId="77777777">
      <w:pPr>
        <w:spacing w:after="0" w:line="360" w:lineRule="auto"/>
        <w:rPr>
          <w:rFonts w:eastAsia="Calibri" w:cs="Tahoma"/>
          <w:bCs/>
          <w:color w:val="auto"/>
        </w:rPr>
      </w:pPr>
    </w:p>
    <w:p w:rsidRPr="00823DDB" w:rsidR="004E4FD3" w:rsidP="004E4FD3" w:rsidRDefault="004E4FD3" w14:paraId="10E54402" w14:textId="77777777">
      <w:pPr>
        <w:spacing w:after="0" w:line="360" w:lineRule="auto"/>
        <w:rPr>
          <w:rFonts w:eastAsia="Calibri" w:cs="Tahoma"/>
          <w:bCs/>
          <w:color w:val="auto"/>
        </w:rPr>
      </w:pPr>
      <w:r w:rsidRPr="00823DDB">
        <w:rPr>
          <w:rFonts w:eastAsia="Calibri" w:cs="Tahoma"/>
          <w:bCs/>
          <w:color w:val="auto"/>
        </w:rPr>
        <w:t>En concordancia con lo previo, el artículo 143, fracciones I y III, de la Ley previamente citada, establece que la información privada y los datos personales, concernientes a una persona física o jurídica colectiva identificada o identificables, son confidenciales; as</w:t>
      </w:r>
      <w:r w:rsidRPr="00823DDB">
        <w:rPr>
          <w:rFonts w:eastAsia="Calibri" w:cs="Tahoma"/>
          <w:bCs/>
          <w:color w:val="auto"/>
          <w:lang w:val="x-none"/>
        </w:rPr>
        <w:t>í como, aquella presentada por los particulares con dicho carácter.</w:t>
      </w:r>
    </w:p>
    <w:p w:rsidRPr="00823DDB" w:rsidR="004E4FD3" w:rsidP="004E4FD3" w:rsidRDefault="004E4FD3" w14:paraId="466ECE0D" w14:textId="77777777">
      <w:pPr>
        <w:spacing w:after="0" w:line="360" w:lineRule="auto"/>
        <w:rPr>
          <w:rFonts w:eastAsia="Calibri" w:cs="Tahoma"/>
          <w:bCs/>
          <w:color w:val="auto"/>
        </w:rPr>
      </w:pPr>
    </w:p>
    <w:p w:rsidRPr="00823DDB" w:rsidR="004E4FD3" w:rsidP="004E4FD3" w:rsidRDefault="004E4FD3" w14:paraId="23E3B3F2" w14:textId="77777777">
      <w:pPr>
        <w:spacing w:after="0" w:line="360" w:lineRule="auto"/>
        <w:rPr>
          <w:rFonts w:eastAsia="Calibri" w:cs="Tahoma"/>
          <w:bCs/>
          <w:color w:val="auto"/>
        </w:rPr>
      </w:pPr>
      <w:r w:rsidRPr="00823DDB">
        <w:rPr>
          <w:rFonts w:eastAsia="Calibri" w:cs="Tahoma"/>
          <w:bCs/>
          <w:color w:val="auto"/>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823DDB" w:rsidR="004E4FD3" w:rsidP="004E4FD3" w:rsidRDefault="004E4FD3" w14:paraId="717B21FA" w14:textId="77777777">
      <w:pPr>
        <w:spacing w:after="0" w:line="360" w:lineRule="auto"/>
        <w:rPr>
          <w:rFonts w:eastAsia="Calibri" w:cs="Tahoma"/>
          <w:bCs/>
          <w:color w:val="auto"/>
        </w:rPr>
      </w:pPr>
    </w:p>
    <w:p w:rsidRPr="00823DDB" w:rsidR="004E4FD3" w:rsidP="004E4FD3" w:rsidRDefault="004E4FD3" w14:paraId="1BD37693" w14:textId="77777777">
      <w:pPr>
        <w:spacing w:after="0" w:line="360" w:lineRule="auto"/>
        <w:rPr>
          <w:rFonts w:eastAsia="Calibri" w:cs="Tahoma"/>
          <w:bCs/>
          <w:color w:val="auto"/>
        </w:rPr>
      </w:pPr>
      <w:r w:rsidRPr="00823DDB">
        <w:rPr>
          <w:rFonts w:eastAsia="Calibri" w:cs="Tahoma"/>
          <w:bCs/>
          <w:color w:val="auto"/>
        </w:rPr>
        <w:t>En términos de lo expuesto, la documentación y aquellos datos que se consideren confidenciales, serán una limitante del derecho de acceso a la información, siempre y cuando:</w:t>
      </w:r>
    </w:p>
    <w:p w:rsidRPr="00823DDB" w:rsidR="004E4FD3" w:rsidP="004E4FD3" w:rsidRDefault="004E4FD3" w14:paraId="1A789788" w14:textId="77777777">
      <w:pPr>
        <w:spacing w:after="0" w:line="360" w:lineRule="auto"/>
        <w:rPr>
          <w:rFonts w:eastAsia="Calibri" w:cs="Tahoma"/>
          <w:bCs/>
          <w:color w:val="auto"/>
        </w:rPr>
      </w:pPr>
    </w:p>
    <w:p w:rsidRPr="00823DDB" w:rsidR="004E4FD3" w:rsidP="004E4FD3" w:rsidRDefault="004E4FD3" w14:paraId="1F5A03BE" w14:textId="77777777">
      <w:pPr>
        <w:numPr>
          <w:ilvl w:val="0"/>
          <w:numId w:val="7"/>
        </w:numPr>
        <w:spacing w:after="0" w:line="360" w:lineRule="auto"/>
        <w:contextualSpacing/>
        <w:rPr>
          <w:rFonts w:eastAsia="Calibri" w:cs="Tahoma"/>
          <w:bCs/>
          <w:color w:val="auto"/>
        </w:rPr>
      </w:pPr>
      <w:r w:rsidRPr="00823DDB">
        <w:rPr>
          <w:rFonts w:eastAsia="Calibri" w:cs="Tahoma"/>
          <w:bCs/>
          <w:color w:val="auto"/>
        </w:rPr>
        <w:t xml:space="preserve">Se trate de datos personales o información privada; esto es, información concerniente a una persona física o jurídico colectiva y que esta sea identificada o identificable. </w:t>
      </w:r>
    </w:p>
    <w:p w:rsidRPr="00823DDB" w:rsidR="004E4FD3" w:rsidP="004E4FD3" w:rsidRDefault="004E4FD3" w14:paraId="5B4E4080" w14:textId="77777777">
      <w:pPr>
        <w:spacing w:after="0" w:line="360" w:lineRule="auto"/>
        <w:ind w:left="720"/>
        <w:contextualSpacing/>
        <w:rPr>
          <w:rFonts w:eastAsia="Calibri" w:cs="Tahoma"/>
          <w:bCs/>
          <w:color w:val="auto"/>
        </w:rPr>
      </w:pPr>
    </w:p>
    <w:p w:rsidRPr="00823DDB" w:rsidR="004E4FD3" w:rsidP="004E4FD3" w:rsidRDefault="004E4FD3" w14:paraId="640D5C58" w14:textId="77777777">
      <w:pPr>
        <w:numPr>
          <w:ilvl w:val="0"/>
          <w:numId w:val="7"/>
        </w:numPr>
        <w:spacing w:after="0" w:line="360" w:lineRule="auto"/>
        <w:contextualSpacing/>
        <w:rPr>
          <w:rFonts w:eastAsia="Calibri" w:cs="Tahoma"/>
          <w:bCs/>
          <w:color w:val="auto"/>
        </w:rPr>
      </w:pPr>
      <w:r w:rsidRPr="00823DDB">
        <w:rPr>
          <w:rFonts w:eastAsia="Calibri" w:cs="Tahoma"/>
          <w:bCs/>
          <w:color w:val="auto"/>
        </w:rPr>
        <w:t xml:space="preserve">Para la difusión de los datos, se requiera el consentimiento del titular. </w:t>
      </w:r>
    </w:p>
    <w:p w:rsidRPr="00823DDB" w:rsidR="004E4FD3" w:rsidP="004E4FD3" w:rsidRDefault="004E4FD3" w14:paraId="6F9C80BF" w14:textId="77777777">
      <w:pPr>
        <w:spacing w:after="0" w:line="360" w:lineRule="auto"/>
        <w:rPr>
          <w:rFonts w:eastAsia="Calibri" w:cs="Tahoma"/>
          <w:bCs/>
          <w:color w:val="auto"/>
        </w:rPr>
      </w:pPr>
    </w:p>
    <w:p w:rsidRPr="00823DDB" w:rsidR="004E4FD3" w:rsidP="004E4FD3" w:rsidRDefault="004E4FD3" w14:paraId="620404FD" w14:textId="77777777">
      <w:pPr>
        <w:spacing w:after="0" w:line="360" w:lineRule="auto"/>
        <w:rPr>
          <w:rFonts w:eastAsia="Calibri" w:cs="Tahoma"/>
          <w:bCs/>
          <w:color w:val="auto"/>
        </w:rPr>
      </w:pPr>
      <w:r w:rsidRPr="00823DDB">
        <w:rPr>
          <w:rFonts w:eastAsia="Calibri" w:cs="Tahoma"/>
          <w:b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823DDB" w:rsidR="004E4FD3" w:rsidP="004E4FD3" w:rsidRDefault="004E4FD3" w14:paraId="4F404370" w14:textId="77777777">
      <w:pPr>
        <w:spacing w:after="0" w:line="360" w:lineRule="auto"/>
        <w:rPr>
          <w:rFonts w:eastAsia="Calibri" w:cs="Tahoma"/>
          <w:bCs/>
          <w:color w:val="auto"/>
        </w:rPr>
      </w:pPr>
    </w:p>
    <w:p w:rsidRPr="00823DDB" w:rsidR="004E4FD3" w:rsidP="004E4FD3" w:rsidRDefault="004E4FD3" w14:paraId="6F67FE3F" w14:textId="77777777">
      <w:pPr>
        <w:spacing w:after="0" w:line="360" w:lineRule="auto"/>
        <w:rPr>
          <w:rFonts w:eastAsia="Calibri" w:cs="Tahoma"/>
          <w:bCs/>
          <w:color w:val="auto"/>
        </w:rPr>
      </w:pPr>
      <w:r w:rsidRPr="00823DDB">
        <w:rPr>
          <w:rFonts w:eastAsia="Calibri" w:cs="Tahoma"/>
          <w:bCs/>
          <w:color w:val="auto"/>
        </w:rPr>
        <w:t>Además, en el artículo 5° de dicho ordenamiento jurídico, establece que es la Ley aplicable para todo tratamiento de datos personales.</w:t>
      </w:r>
    </w:p>
    <w:p w:rsidRPr="00823DDB" w:rsidR="004E4FD3" w:rsidP="004E4FD3" w:rsidRDefault="004E4FD3" w14:paraId="03919992" w14:textId="77777777">
      <w:pPr>
        <w:spacing w:after="0" w:line="360" w:lineRule="auto"/>
        <w:rPr>
          <w:rFonts w:eastAsia="Calibri" w:cs="Tahoma"/>
          <w:bCs/>
          <w:color w:val="auto"/>
        </w:rPr>
      </w:pPr>
    </w:p>
    <w:p w:rsidRPr="00823DDB" w:rsidR="004E4FD3" w:rsidP="004E4FD3" w:rsidRDefault="004E4FD3" w14:paraId="03BD3210" w14:textId="77777777">
      <w:pPr>
        <w:spacing w:after="0" w:line="360" w:lineRule="auto"/>
        <w:rPr>
          <w:rFonts w:eastAsia="Calibri" w:cs="Tahoma"/>
          <w:bCs/>
          <w:color w:val="auto"/>
        </w:rPr>
      </w:pPr>
      <w:r w:rsidRPr="00823DDB">
        <w:rPr>
          <w:rFonts w:eastAsia="Calibri" w:cs="Tahoma"/>
          <w:bCs/>
          <w:color w:val="auto"/>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823DDB" w:rsidR="004E4FD3" w:rsidP="004E4FD3" w:rsidRDefault="004E4FD3" w14:paraId="0C362FE3" w14:textId="77777777">
      <w:pPr>
        <w:spacing w:after="0" w:line="360" w:lineRule="auto"/>
        <w:rPr>
          <w:rFonts w:eastAsia="Calibri" w:cs="Tahoma"/>
          <w:bCs/>
          <w:color w:val="auto"/>
        </w:rPr>
      </w:pPr>
    </w:p>
    <w:p w:rsidRPr="00823DDB" w:rsidR="004E4FD3" w:rsidP="004E4FD3" w:rsidRDefault="004E4FD3" w14:paraId="15D7C10E" w14:textId="77777777">
      <w:pPr>
        <w:spacing w:after="0" w:line="360" w:lineRule="auto"/>
        <w:rPr>
          <w:rFonts w:eastAsia="Calibri" w:cs="Tahoma"/>
          <w:bCs/>
          <w:color w:val="auto"/>
        </w:rPr>
      </w:pPr>
      <w:r w:rsidRPr="00823DDB">
        <w:rPr>
          <w:rFonts w:eastAsia="Calibri" w:cs="Tahoma"/>
          <w:bCs/>
          <w:color w:val="auto"/>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w:t>
      </w:r>
      <w:r w:rsidRPr="00823DDB">
        <w:rPr>
          <w:rFonts w:eastAsia="Calibri" w:cs="Tahoma"/>
          <w:bCs/>
          <w:color w:val="auto"/>
        </w:rPr>
        <w:lastRenderedPageBreak/>
        <w:t>cualquier información que por sí sola o relacionada con otra permita hacer identificable a una persona, es un dato personal, susceptible de ser clasificado.</w:t>
      </w:r>
    </w:p>
    <w:p w:rsidRPr="00823DDB" w:rsidR="004E4FD3" w:rsidP="004E4FD3" w:rsidRDefault="004E4FD3" w14:paraId="1115E24C" w14:textId="77777777">
      <w:pPr>
        <w:spacing w:after="0" w:line="360" w:lineRule="auto"/>
        <w:rPr>
          <w:rFonts w:eastAsia="Calibri" w:cs="Tahoma"/>
          <w:bCs/>
          <w:color w:val="auto"/>
        </w:rPr>
      </w:pPr>
    </w:p>
    <w:p w:rsidRPr="00823DDB" w:rsidR="004E4FD3" w:rsidP="004E4FD3" w:rsidRDefault="004E4FD3" w14:paraId="0F973788" w14:textId="77777777">
      <w:pPr>
        <w:spacing w:after="0" w:line="360" w:lineRule="auto"/>
        <w:rPr>
          <w:rFonts w:eastAsia="Calibri" w:cs="Tahoma"/>
          <w:bCs/>
          <w:color w:val="auto"/>
        </w:rPr>
      </w:pPr>
      <w:r w:rsidRPr="00823DDB">
        <w:rPr>
          <w:rFonts w:eastAsia="Calibri" w:cs="Tahoma"/>
          <w:bCs/>
          <w:color w:val="auto"/>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823DDB" w:rsidR="004E4FD3" w:rsidP="004E4FD3" w:rsidRDefault="004E4FD3" w14:paraId="373A1F8B" w14:textId="77777777">
      <w:pPr>
        <w:spacing w:after="0" w:line="360" w:lineRule="auto"/>
        <w:rPr>
          <w:rFonts w:eastAsia="Calibri" w:cs="Tahoma"/>
          <w:bCs/>
          <w:color w:val="auto"/>
        </w:rPr>
      </w:pPr>
    </w:p>
    <w:p w:rsidRPr="00823DDB" w:rsidR="004E4FD3" w:rsidP="004E4FD3" w:rsidRDefault="004E4FD3" w14:paraId="4BD8E7BE" w14:textId="77777777">
      <w:pPr>
        <w:spacing w:after="0" w:line="360" w:lineRule="auto"/>
        <w:rPr>
          <w:rFonts w:eastAsia="Calibri" w:cs="Tahoma"/>
          <w:bCs/>
          <w:color w:val="auto"/>
        </w:rPr>
      </w:pPr>
      <w:r w:rsidRPr="00823DDB">
        <w:rPr>
          <w:rFonts w:eastAsia="Calibri" w:cs="Tahoma"/>
          <w:bCs/>
          <w:color w:val="auto"/>
        </w:rPr>
        <w:t>De tal suerte, las instituciones públicas tienen la doble responsabilidad, por un lado, de proteger los datos personales y por otro, darles publicidad cuando la relevancia de esos datos sea de interés público.</w:t>
      </w:r>
    </w:p>
    <w:p w:rsidRPr="00823DDB" w:rsidR="004E4FD3" w:rsidP="004E4FD3" w:rsidRDefault="004E4FD3" w14:paraId="5B3F5277" w14:textId="77777777">
      <w:pPr>
        <w:spacing w:after="0" w:line="360" w:lineRule="auto"/>
        <w:rPr>
          <w:rFonts w:eastAsia="Calibri" w:cs="Tahoma"/>
          <w:bCs/>
          <w:color w:val="auto"/>
        </w:rPr>
      </w:pPr>
    </w:p>
    <w:p w:rsidRPr="00823DDB" w:rsidR="004E4FD3" w:rsidP="004E4FD3" w:rsidRDefault="004E4FD3" w14:paraId="274B9565" w14:textId="77777777">
      <w:pPr>
        <w:spacing w:after="0" w:line="360" w:lineRule="auto"/>
        <w:rPr>
          <w:rFonts w:eastAsia="Calibri" w:cs="Tahoma"/>
          <w:bCs/>
          <w:color w:val="auto"/>
        </w:rPr>
      </w:pPr>
      <w:r w:rsidRPr="00823DDB">
        <w:rPr>
          <w:rFonts w:eastAsia="Calibri" w:cs="Tahoma"/>
          <w:bCs/>
          <w:color w:val="auto"/>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823DDB" w:rsidR="004E4FD3" w:rsidP="004E4FD3" w:rsidRDefault="004E4FD3" w14:paraId="19AF0854" w14:textId="77777777">
      <w:pPr>
        <w:spacing w:after="0" w:line="360" w:lineRule="auto"/>
        <w:rPr>
          <w:rFonts w:eastAsia="Calibri" w:cs="Tahoma"/>
          <w:bCs/>
          <w:color w:val="auto"/>
        </w:rPr>
      </w:pPr>
    </w:p>
    <w:p w:rsidRPr="00823DDB" w:rsidR="004E4FD3" w:rsidP="004E4FD3" w:rsidRDefault="004E4FD3" w14:paraId="6ADF40AD" w14:textId="77777777">
      <w:pPr>
        <w:spacing w:after="0" w:line="360" w:lineRule="auto"/>
        <w:rPr>
          <w:rFonts w:eastAsia="Calibri" w:cs="Tahoma"/>
          <w:bCs/>
          <w:color w:val="auto"/>
        </w:rPr>
      </w:pPr>
      <w:r w:rsidRPr="00823DDB">
        <w:rPr>
          <w:rFonts w:eastAsia="Calibri" w:cs="Tahoma"/>
          <w:bCs/>
          <w:color w:val="auto"/>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823DDB">
        <w:rPr>
          <w:rFonts w:eastAsia="Calibri" w:cs="Tahoma"/>
          <w:bCs/>
          <w:color w:val="auto"/>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823DDB" w:rsidR="004E4FD3" w:rsidP="004E4FD3" w:rsidRDefault="004E4FD3" w14:paraId="11C1159A" w14:textId="77777777">
      <w:pPr>
        <w:spacing w:after="0" w:line="360" w:lineRule="auto"/>
        <w:rPr>
          <w:rFonts w:eastAsia="Calibri" w:cs="Tahoma"/>
          <w:bCs/>
          <w:color w:val="auto"/>
        </w:rPr>
      </w:pPr>
    </w:p>
    <w:p w:rsidRPr="00823DDB" w:rsidR="004E4FD3" w:rsidP="004E4FD3" w:rsidRDefault="004E4FD3" w14:paraId="37666606" w14:textId="77777777">
      <w:pPr>
        <w:spacing w:after="0" w:line="360" w:lineRule="auto"/>
        <w:rPr>
          <w:rFonts w:eastAsia="Calibri" w:cs="Tahoma"/>
          <w:bCs/>
          <w:color w:val="auto"/>
        </w:rPr>
      </w:pPr>
      <w:r w:rsidRPr="00823DDB">
        <w:rPr>
          <w:rFonts w:eastAsia="Calibri" w:cs="Tahoma"/>
          <w:bCs/>
          <w:color w:val="auto"/>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823DDB" w:rsidR="00217B0B" w:rsidP="00217B0B" w:rsidRDefault="00217B0B" w14:paraId="2CAD2369" w14:textId="77777777">
      <w:pPr>
        <w:spacing w:after="0" w:line="360" w:lineRule="auto"/>
        <w:contextualSpacing/>
        <w:rPr>
          <w:rFonts w:eastAsia="Times New Roman" w:cs="Tahoma"/>
          <w:bCs/>
          <w:iCs/>
          <w:color w:val="auto"/>
          <w:lang w:val="es-ES" w:eastAsia="es-MX"/>
        </w:rPr>
      </w:pPr>
    </w:p>
    <w:p w:rsidRPr="00823DDB" w:rsidR="00217B0B" w:rsidP="00217B0B" w:rsidRDefault="00217B0B" w14:paraId="0934329D" w14:textId="77777777">
      <w:pPr>
        <w:numPr>
          <w:ilvl w:val="0"/>
          <w:numId w:val="8"/>
        </w:numPr>
        <w:spacing w:after="0" w:line="360" w:lineRule="auto"/>
        <w:contextualSpacing/>
        <w:jc w:val="left"/>
        <w:rPr>
          <w:rFonts w:eastAsia="Times New Roman" w:cs="Tahoma"/>
          <w:b/>
          <w:bCs/>
          <w:iCs/>
          <w:color w:val="auto"/>
          <w:lang w:val="es-ES_tradnl" w:eastAsia="es-MX"/>
        </w:rPr>
      </w:pPr>
      <w:r w:rsidRPr="00823DDB">
        <w:rPr>
          <w:rFonts w:eastAsia="Times New Roman" w:cs="Tahoma"/>
          <w:b/>
          <w:bCs/>
          <w:iCs/>
          <w:color w:val="auto"/>
          <w:lang w:val="es-ES_tradnl" w:eastAsia="es-MX"/>
        </w:rPr>
        <w:t>Registro Federal de Contribuyentes (RFC).</w:t>
      </w:r>
    </w:p>
    <w:p w:rsidRPr="00823DDB" w:rsidR="00217B0B" w:rsidP="00217B0B" w:rsidRDefault="00217B0B" w14:paraId="32865EBE" w14:textId="77777777">
      <w:pPr>
        <w:spacing w:after="0" w:line="360" w:lineRule="auto"/>
        <w:contextualSpacing/>
        <w:rPr>
          <w:rFonts w:eastAsia="Times New Roman" w:cs="Tahoma"/>
          <w:bCs/>
          <w:iCs/>
          <w:color w:val="auto"/>
          <w:lang w:eastAsia="es-MX"/>
        </w:rPr>
      </w:pPr>
    </w:p>
    <w:p w:rsidRPr="00823DDB" w:rsidR="00217B0B" w:rsidP="00217B0B" w:rsidRDefault="00217B0B" w14:paraId="67ED7138" w14:textId="77777777">
      <w:pPr>
        <w:spacing w:after="0" w:line="360" w:lineRule="auto"/>
        <w:contextualSpacing/>
        <w:rPr>
          <w:rFonts w:eastAsia="Times New Roman" w:cs="Tahoma"/>
          <w:bCs/>
          <w:iCs/>
          <w:color w:val="auto"/>
          <w:lang w:eastAsia="es-MX"/>
        </w:rPr>
      </w:pPr>
      <w:r w:rsidRPr="00823DDB">
        <w:rPr>
          <w:rFonts w:eastAsia="Times New Roman" w:cs="Tahoma"/>
          <w:bCs/>
          <w:iCs/>
          <w:color w:val="auto"/>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823DDB" w:rsidR="00217B0B" w:rsidP="00217B0B" w:rsidRDefault="00217B0B" w14:paraId="1B1D5527" w14:textId="77777777">
      <w:pPr>
        <w:spacing w:after="0" w:line="360" w:lineRule="auto"/>
        <w:contextualSpacing/>
        <w:rPr>
          <w:rFonts w:eastAsia="Times New Roman" w:cs="Tahoma"/>
          <w:bCs/>
          <w:iCs/>
          <w:color w:val="auto"/>
          <w:lang w:eastAsia="es-MX"/>
        </w:rPr>
      </w:pPr>
    </w:p>
    <w:p w:rsidRPr="00823DDB" w:rsidR="00217B0B" w:rsidP="00217B0B" w:rsidRDefault="00217B0B" w14:paraId="4F586A8C" w14:textId="77777777">
      <w:pPr>
        <w:spacing w:after="0" w:line="360" w:lineRule="auto"/>
        <w:contextualSpacing/>
        <w:rPr>
          <w:rFonts w:eastAsia="Times New Roman" w:cs="Tahoma"/>
          <w:bCs/>
          <w:iCs/>
          <w:color w:val="auto"/>
          <w:lang w:eastAsia="es-MX"/>
        </w:rPr>
      </w:pPr>
      <w:r w:rsidRPr="00823DDB">
        <w:rPr>
          <w:rFonts w:eastAsia="Times New Roman" w:cs="Tahoma"/>
          <w:bCs/>
          <w:iCs/>
          <w:color w:val="auto"/>
          <w:lang w:eastAsia="es-MX"/>
        </w:rPr>
        <w:t xml:space="preserve">De acuerdo a lo establecido en el artículo en comento, esta clave se compone de trece caracteres alfanuméricos, con datos obtenidos de los apellidos, nombre(s), fecha de nacimiento del titular, </w:t>
      </w:r>
      <w:r w:rsidRPr="00823DDB">
        <w:rPr>
          <w:rFonts w:eastAsia="Times New Roman" w:cs="Tahoma"/>
          <w:bCs/>
          <w:iCs/>
          <w:color w:val="auto"/>
          <w:lang w:eastAsia="es-MX"/>
        </w:rPr>
        <w:lastRenderedPageBreak/>
        <w:t>más una homoclave que establece el sistema automático del Servicio de Administración Tributaria.</w:t>
      </w:r>
    </w:p>
    <w:p w:rsidRPr="00823DDB" w:rsidR="00217B0B" w:rsidP="00217B0B" w:rsidRDefault="00217B0B" w14:paraId="0DFC4B3D" w14:textId="77777777">
      <w:pPr>
        <w:spacing w:after="0" w:line="360" w:lineRule="auto"/>
        <w:contextualSpacing/>
        <w:rPr>
          <w:rFonts w:eastAsia="Times New Roman" w:cs="Tahoma"/>
          <w:bCs/>
          <w:iCs/>
          <w:color w:val="auto"/>
          <w:lang w:eastAsia="es-MX"/>
        </w:rPr>
      </w:pPr>
    </w:p>
    <w:p w:rsidRPr="00823DDB" w:rsidR="00217B0B" w:rsidP="00217B0B" w:rsidRDefault="00217B0B" w14:paraId="22DF167D" w14:textId="77777777">
      <w:pPr>
        <w:spacing w:after="0" w:line="360" w:lineRule="auto"/>
        <w:contextualSpacing/>
        <w:rPr>
          <w:rFonts w:eastAsia="Times New Roman" w:cs="Tahoma"/>
          <w:bCs/>
          <w:iCs/>
          <w:color w:val="auto"/>
          <w:lang w:eastAsia="es-MX"/>
        </w:rPr>
      </w:pPr>
      <w:r w:rsidRPr="00823DDB">
        <w:rPr>
          <w:rFonts w:eastAsia="Times New Roman" w:cs="Tahoma"/>
          <w:bCs/>
          <w:iCs/>
          <w:color w:val="auto"/>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823DDB" w:rsidR="00217B0B" w:rsidP="00217B0B" w:rsidRDefault="00217B0B" w14:paraId="636E7D25" w14:textId="77777777">
      <w:pPr>
        <w:spacing w:after="0" w:line="360" w:lineRule="auto"/>
        <w:contextualSpacing/>
        <w:rPr>
          <w:rFonts w:eastAsia="Times New Roman" w:cs="Tahoma"/>
          <w:bCs/>
          <w:iCs/>
          <w:color w:val="auto"/>
          <w:lang w:eastAsia="es-MX"/>
        </w:rPr>
      </w:pPr>
    </w:p>
    <w:p w:rsidRPr="00823DDB" w:rsidR="00217B0B" w:rsidP="00217B0B" w:rsidRDefault="00217B0B" w14:paraId="20C3D613" w14:textId="77777777">
      <w:pPr>
        <w:spacing w:after="0" w:line="360" w:lineRule="auto"/>
        <w:contextualSpacing/>
        <w:rPr>
          <w:rFonts w:eastAsia="Times New Roman" w:cs="Tahoma"/>
          <w:bCs/>
          <w:iCs/>
          <w:color w:val="auto"/>
          <w:lang w:eastAsia="es-MX"/>
        </w:rPr>
      </w:pPr>
      <w:r w:rsidRPr="00823DDB">
        <w:rPr>
          <w:rFonts w:eastAsia="Times New Roman" w:cs="Tahoma"/>
          <w:bCs/>
          <w:iCs/>
          <w:color w:val="auto"/>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823DDB" w:rsidR="00217B0B" w:rsidP="00217B0B" w:rsidRDefault="00217B0B" w14:paraId="13F86462" w14:textId="77777777">
      <w:pPr>
        <w:spacing w:after="0" w:line="360" w:lineRule="auto"/>
        <w:contextualSpacing/>
        <w:rPr>
          <w:rFonts w:eastAsia="Times New Roman" w:cs="Tahoma"/>
          <w:bCs/>
          <w:iCs/>
          <w:color w:val="auto"/>
          <w:lang w:eastAsia="es-MX"/>
        </w:rPr>
      </w:pPr>
    </w:p>
    <w:p w:rsidRPr="00823DDB" w:rsidR="00217B0B" w:rsidP="00217B0B" w:rsidRDefault="00217B0B" w14:paraId="3B2FB009" w14:textId="77777777">
      <w:pPr>
        <w:spacing w:after="0" w:line="360" w:lineRule="auto"/>
        <w:contextualSpacing/>
        <w:rPr>
          <w:rFonts w:eastAsia="Times New Roman" w:cs="Tahoma"/>
          <w:bCs/>
          <w:iCs/>
          <w:color w:val="auto"/>
          <w:lang w:eastAsia="es-MX"/>
        </w:rPr>
      </w:pPr>
      <w:r w:rsidRPr="00823DDB">
        <w:rPr>
          <w:rFonts w:eastAsia="Times New Roman" w:cs="Tahoma"/>
          <w:bCs/>
          <w:iCs/>
          <w:color w:val="auto"/>
          <w:lang w:eastAsia="es-MX"/>
        </w:rPr>
        <w:t xml:space="preserve">Lo anterior, resulta congruente con el </w:t>
      </w:r>
      <w:r w:rsidRPr="00823DDB">
        <w:rPr>
          <w:rFonts w:eastAsia="Calibri" w:cs="Tahoma"/>
          <w:bCs/>
          <w:iCs/>
          <w:color w:val="auto"/>
          <w:lang w:val="es-ES"/>
        </w:rPr>
        <w:t xml:space="preserve">Criterio de Interpretación, de la Segunda Época, con número de registro </w:t>
      </w:r>
      <w:r w:rsidRPr="00823DDB">
        <w:rPr>
          <w:rFonts w:eastAsia="Calibri" w:cs="Tahoma"/>
          <w:bCs/>
          <w:iCs/>
          <w:color w:val="auto"/>
        </w:rPr>
        <w:t xml:space="preserve">SO/019/2017, </w:t>
      </w:r>
      <w:r w:rsidRPr="00823DDB">
        <w:rPr>
          <w:rFonts w:eastAsia="Times New Roman" w:cs="Tahoma"/>
          <w:bCs/>
          <w:iCs/>
          <w:color w:val="auto"/>
          <w:lang w:eastAsia="es-MX"/>
        </w:rPr>
        <w:t>emitido por el Instituto Nacional de Transparencia, Acceso a la Información y Protección de Datos Personales, en el cual se señala lo siguiente:</w:t>
      </w:r>
    </w:p>
    <w:p w:rsidRPr="00823DDB" w:rsidR="00217B0B" w:rsidP="00217B0B" w:rsidRDefault="00217B0B" w14:paraId="2F811818" w14:textId="77777777">
      <w:pPr>
        <w:spacing w:after="0" w:line="360" w:lineRule="auto"/>
        <w:contextualSpacing/>
        <w:rPr>
          <w:rFonts w:eastAsia="Times New Roman" w:cs="Tahoma"/>
          <w:bCs/>
          <w:iCs/>
          <w:color w:val="auto"/>
          <w:lang w:eastAsia="es-MX"/>
        </w:rPr>
      </w:pPr>
    </w:p>
    <w:p w:rsidRPr="00823DDB" w:rsidR="00217B0B" w:rsidP="00217B0B" w:rsidRDefault="00217B0B" w14:paraId="06862DDC" w14:textId="77777777">
      <w:pPr>
        <w:spacing w:after="0" w:line="360" w:lineRule="auto"/>
        <w:ind w:left="567" w:right="567"/>
        <w:contextualSpacing/>
        <w:rPr>
          <w:rFonts w:eastAsia="Times New Roman" w:cs="Tahoma"/>
          <w:bCs/>
          <w:i/>
          <w:iCs/>
          <w:color w:val="auto"/>
          <w:sz w:val="20"/>
          <w:szCs w:val="20"/>
          <w:lang w:eastAsia="es-MX"/>
        </w:rPr>
      </w:pPr>
      <w:r w:rsidRPr="00823DDB">
        <w:rPr>
          <w:rFonts w:eastAsia="Times New Roman" w:cs="Tahoma"/>
          <w:b/>
          <w:bCs/>
          <w:i/>
          <w:iCs/>
          <w:color w:val="auto"/>
          <w:sz w:val="20"/>
          <w:szCs w:val="20"/>
          <w:lang w:eastAsia="es-MX"/>
        </w:rPr>
        <w:t>“Registro Federal de Contribuyentes (RFC) de personas físicas.</w:t>
      </w:r>
      <w:r w:rsidRPr="00823DDB">
        <w:rPr>
          <w:rFonts w:eastAsia="Times New Roman" w:cs="Tahoma"/>
          <w:bCs/>
          <w:i/>
          <w:iCs/>
          <w:color w:val="auto"/>
          <w:sz w:val="20"/>
          <w:szCs w:val="20"/>
          <w:lang w:eastAsia="es-MX"/>
        </w:rPr>
        <w:t xml:space="preserve"> El RFC es una clave de carácter fiscal, única e irrepetible, que permite identificar al titular, su edad y fecha de nacimiento, por lo que es un dato personal de carácter confidencial.”</w:t>
      </w:r>
    </w:p>
    <w:p w:rsidRPr="00823DDB" w:rsidR="00217B0B" w:rsidP="00217B0B" w:rsidRDefault="00217B0B" w14:paraId="6499FBEE" w14:textId="77777777">
      <w:pPr>
        <w:spacing w:after="0" w:line="360" w:lineRule="auto"/>
        <w:contextualSpacing/>
        <w:rPr>
          <w:rFonts w:eastAsia="Times New Roman" w:cs="Tahoma"/>
          <w:bCs/>
          <w:iCs/>
          <w:color w:val="auto"/>
          <w:lang w:eastAsia="es-MX"/>
        </w:rPr>
      </w:pPr>
    </w:p>
    <w:p w:rsidRPr="00823DDB" w:rsidR="00217B0B" w:rsidP="00217B0B" w:rsidRDefault="00217B0B" w14:paraId="0262BD58" w14:textId="77777777">
      <w:pPr>
        <w:spacing w:after="0" w:line="360" w:lineRule="auto"/>
        <w:contextualSpacing/>
        <w:rPr>
          <w:rFonts w:eastAsia="Times New Roman" w:cs="Tahoma"/>
          <w:bCs/>
          <w:iCs/>
          <w:color w:val="auto"/>
          <w:lang w:eastAsia="es-MX"/>
        </w:rPr>
      </w:pPr>
      <w:r w:rsidRPr="00823DDB">
        <w:rPr>
          <w:rFonts w:eastAsia="Times New Roman" w:cs="Tahoma"/>
          <w:bCs/>
          <w:iCs/>
          <w:color w:val="auto"/>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823DDB">
        <w:rPr>
          <w:rFonts w:eastAsia="Times New Roman" w:cs="Tahoma"/>
          <w:bCs/>
          <w:iCs/>
          <w:color w:val="auto"/>
          <w:lang w:eastAsia="es-MX"/>
        </w:rPr>
        <w:lastRenderedPageBreak/>
        <w:t>actualizar el supuesto normativo del artículo 143, fracción I, de la Ley de Transparencia y Acceso a la Información Pública del Estado de México y Municipios.</w:t>
      </w:r>
    </w:p>
    <w:p w:rsidRPr="00823DDB" w:rsidR="00217B0B" w:rsidP="004E4FD3" w:rsidRDefault="00217B0B" w14:paraId="5C6BBFE2" w14:textId="77777777">
      <w:pPr>
        <w:spacing w:after="0" w:line="360" w:lineRule="auto"/>
        <w:rPr>
          <w:rFonts w:eastAsia="Calibri" w:cs="Tahoma"/>
          <w:b/>
          <w:color w:val="auto"/>
        </w:rPr>
      </w:pPr>
    </w:p>
    <w:p w:rsidRPr="00823DDB" w:rsidR="004E4FD3" w:rsidP="004E4FD3" w:rsidRDefault="004E4FD3" w14:paraId="408ED429" w14:textId="77777777">
      <w:pPr>
        <w:pStyle w:val="Prrafodelista"/>
        <w:numPr>
          <w:ilvl w:val="0"/>
          <w:numId w:val="27"/>
        </w:numPr>
        <w:spacing w:line="360" w:lineRule="auto"/>
        <w:rPr>
          <w:rFonts w:eastAsia="Calibri" w:cs="Tahoma"/>
          <w:b/>
          <w:color w:val="auto"/>
        </w:rPr>
      </w:pPr>
      <w:r w:rsidRPr="00823DDB">
        <w:rPr>
          <w:b/>
          <w:bCs/>
        </w:rPr>
        <w:t>C</w:t>
      </w:r>
      <w:r w:rsidRPr="00823DDB">
        <w:rPr>
          <w:rFonts w:eastAsia="Calibri"/>
          <w:b/>
          <w:bCs/>
          <w:lang w:val="es-ES_tradnl"/>
        </w:rPr>
        <w:t>lave Única de Registro de Población (CURP).</w:t>
      </w:r>
    </w:p>
    <w:p w:rsidRPr="00823DDB" w:rsidR="004E4FD3" w:rsidP="004E4FD3" w:rsidRDefault="004E4FD3" w14:paraId="426DF027" w14:textId="77777777">
      <w:pPr>
        <w:spacing w:after="0" w:line="360" w:lineRule="auto"/>
        <w:rPr>
          <w:rFonts w:eastAsia="Times New Roman" w:cs="Tahoma"/>
          <w:color w:val="auto"/>
          <w:lang w:eastAsia="es-ES"/>
        </w:rPr>
      </w:pPr>
    </w:p>
    <w:p w:rsidRPr="00823DDB" w:rsidR="004E4FD3" w:rsidP="004E4FD3" w:rsidRDefault="004E4FD3" w14:paraId="0EA2D80B" w14:textId="77777777">
      <w:pPr>
        <w:spacing w:after="0" w:line="360" w:lineRule="auto"/>
        <w:contextualSpacing/>
        <w:rPr>
          <w:rFonts w:eastAsia="Times New Roman" w:cs="Tahoma"/>
          <w:color w:val="auto"/>
          <w:lang w:eastAsia="es-MX"/>
        </w:rPr>
      </w:pPr>
      <w:r w:rsidRPr="00823DDB">
        <w:rPr>
          <w:rFonts w:eastAsia="Times New Roman" w:cs="Tahoma"/>
          <w:color w:val="auto"/>
          <w:lang w:eastAsia="es-MX"/>
        </w:rPr>
        <w:t xml:space="preserve">El artículo 36 de la Constitución Política de los Estados Unidos Mexicanos, dispone la obligación de los ciudadanos de inscribirse en el Registro Nacional de Ciudadanos. </w:t>
      </w:r>
    </w:p>
    <w:p w:rsidRPr="00823DDB" w:rsidR="004E4FD3" w:rsidP="004E4FD3" w:rsidRDefault="004E4FD3" w14:paraId="1846E99A" w14:textId="77777777">
      <w:pPr>
        <w:spacing w:after="0" w:line="360" w:lineRule="auto"/>
        <w:contextualSpacing/>
        <w:rPr>
          <w:rFonts w:eastAsia="Times New Roman" w:cs="Tahoma"/>
          <w:color w:val="auto"/>
          <w:lang w:eastAsia="es-MX"/>
        </w:rPr>
      </w:pPr>
    </w:p>
    <w:p w:rsidRPr="00823DDB" w:rsidR="004E4FD3" w:rsidP="004E4FD3" w:rsidRDefault="004E4FD3" w14:paraId="737C76FC" w14:textId="77777777">
      <w:pPr>
        <w:spacing w:after="0" w:line="360" w:lineRule="auto"/>
        <w:contextualSpacing/>
        <w:rPr>
          <w:rFonts w:eastAsia="Times New Roman" w:cs="Tahoma"/>
          <w:color w:val="auto"/>
          <w:lang w:eastAsia="es-MX"/>
        </w:rPr>
      </w:pPr>
      <w:r w:rsidRPr="00823DDB">
        <w:rPr>
          <w:rFonts w:eastAsia="Times New Roman" w:cs="Tahoma"/>
          <w:color w:val="auto"/>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823DDB" w:rsidR="004E4FD3" w:rsidP="004E4FD3" w:rsidRDefault="004E4FD3" w14:paraId="08ED8AAD" w14:textId="77777777">
      <w:pPr>
        <w:spacing w:after="0" w:line="360" w:lineRule="auto"/>
        <w:contextualSpacing/>
        <w:rPr>
          <w:rFonts w:eastAsia="Times New Roman" w:cs="Tahoma"/>
          <w:color w:val="auto"/>
          <w:lang w:eastAsia="es-MX"/>
        </w:rPr>
      </w:pPr>
    </w:p>
    <w:p w:rsidRPr="00823DDB" w:rsidR="004E4FD3" w:rsidP="004E4FD3" w:rsidRDefault="004E4FD3" w14:paraId="1BEDBC55" w14:textId="77777777">
      <w:pPr>
        <w:spacing w:after="0" w:line="360" w:lineRule="auto"/>
        <w:contextualSpacing/>
        <w:rPr>
          <w:rFonts w:eastAsia="Times New Roman" w:cs="Tahoma"/>
          <w:color w:val="auto"/>
          <w:lang w:eastAsia="es-MX"/>
        </w:rPr>
      </w:pPr>
      <w:r w:rsidRPr="00823DDB">
        <w:rPr>
          <w:rFonts w:eastAsia="Times New Roman" w:cs="Tahoma"/>
          <w:color w:val="auto"/>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823DDB" w:rsidR="004E4FD3" w:rsidP="004E4FD3" w:rsidRDefault="004E4FD3" w14:paraId="0A5EC62D" w14:textId="0BCA8475">
      <w:pPr>
        <w:spacing w:after="0" w:line="360" w:lineRule="auto"/>
        <w:contextualSpacing/>
        <w:rPr>
          <w:rFonts w:eastAsia="Times New Roman" w:cs="Tahoma"/>
          <w:color w:val="auto"/>
          <w:lang w:eastAsia="es-MX"/>
        </w:rPr>
      </w:pPr>
      <w:r w:rsidRPr="00823DDB">
        <w:rPr>
          <w:rFonts w:eastAsia="Times New Roman" w:cs="Tahoma"/>
          <w:color w:val="auto"/>
          <w:lang w:eastAsia="es-MX"/>
        </w:rPr>
        <w:t xml:space="preserve">De conformidad con lo precisado por la propia Secretaría de Gobernación en la dirección </w:t>
      </w:r>
      <w:hyperlink w:history="1" r:id="rId9">
        <w:r w:rsidRPr="00823DDB">
          <w:rPr>
            <w:rFonts w:eastAsia="Times New Roman" w:cs="Tahoma"/>
            <w:color w:val="0563C1" w:themeColor="hyperlink"/>
            <w:u w:val="single"/>
            <w:lang w:eastAsia="es-MX"/>
          </w:rPr>
          <w:t>https://consultas.curp.gob.mx/CurpSP/html/informacionecurpPS.html</w:t>
        </w:r>
      </w:hyperlink>
      <w:r w:rsidRPr="00823DDB">
        <w:rPr>
          <w:rFonts w:eastAsia="Times New Roman" w:cs="Tahoma"/>
          <w:color w:val="0563C1" w:themeColor="hyperlink"/>
          <w:u w:val="single"/>
          <w:lang w:eastAsia="es-MX"/>
        </w:rPr>
        <w:t xml:space="preserve"> </w:t>
      </w:r>
      <w:r w:rsidRPr="00823DDB">
        <w:rPr>
          <w:rFonts w:eastAsia="Times New Roman" w:cs="Tahoma"/>
          <w:color w:val="auto"/>
          <w:lang w:eastAsia="es-MX"/>
        </w:rPr>
        <w:t xml:space="preserve">(consultada el veinticinco de mayo de dos mil veintitrés),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23DDB">
        <w:rPr>
          <w:rFonts w:eastAsia="Times New Roman" w:cs="Tahoma"/>
          <w:b/>
          <w:color w:val="auto"/>
          <w:lang w:eastAsia="es-MX"/>
        </w:rPr>
        <w:t>se generan a partir de los datos contenidos en el documento probatorio de la identidad</w:t>
      </w:r>
      <w:r w:rsidRPr="00823DDB">
        <w:rPr>
          <w:rFonts w:eastAsia="Times New Roman" w:cs="Tahoma"/>
          <w:color w:val="auto"/>
          <w:lang w:eastAsia="es-MX"/>
        </w:rPr>
        <w:t xml:space="preserve"> </w:t>
      </w:r>
      <w:r w:rsidRPr="00823DDB">
        <w:rPr>
          <w:rFonts w:eastAsia="Times New Roman" w:cs="Tahoma"/>
          <w:b/>
          <w:color w:val="auto"/>
          <w:lang w:eastAsia="es-MX"/>
        </w:rPr>
        <w:t xml:space="preserve">del interesado </w:t>
      </w:r>
      <w:r w:rsidRPr="00823DDB">
        <w:rPr>
          <w:rFonts w:eastAsia="Times New Roman" w:cs="Tahoma"/>
          <w:color w:val="auto"/>
          <w:lang w:eastAsia="es-MX"/>
        </w:rPr>
        <w:t>(acta de nacimiento, carta de naturalización o documento migratorio) de la siguiente forma:</w:t>
      </w:r>
    </w:p>
    <w:p w:rsidRPr="00823DDB" w:rsidR="004E4FD3" w:rsidP="004E4FD3" w:rsidRDefault="004E4FD3" w14:paraId="70E54FC9" w14:textId="77777777">
      <w:pPr>
        <w:spacing w:after="0" w:line="360" w:lineRule="auto"/>
        <w:contextualSpacing/>
        <w:rPr>
          <w:rFonts w:eastAsia="Times New Roman" w:cs="Tahoma"/>
          <w:color w:val="auto"/>
          <w:lang w:eastAsia="es-MX"/>
        </w:rPr>
      </w:pPr>
    </w:p>
    <w:p w:rsidRPr="00823DDB" w:rsidR="004E4FD3" w:rsidP="004E4FD3" w:rsidRDefault="004E4FD3" w14:paraId="2832CF00" w14:textId="77777777">
      <w:pPr>
        <w:spacing w:after="0" w:line="360" w:lineRule="auto"/>
        <w:ind w:left="284"/>
        <w:contextualSpacing/>
        <w:rPr>
          <w:rFonts w:eastAsia="Times New Roman" w:cs="Tahoma"/>
          <w:color w:val="auto"/>
          <w:lang w:eastAsia="es-MX"/>
        </w:rPr>
      </w:pPr>
      <w:r w:rsidRPr="00823DDB">
        <w:rPr>
          <w:rFonts w:eastAsia="Times New Roman" w:cs="Tahoma"/>
          <w:color w:val="auto"/>
          <w:lang w:eastAsia="es-MX"/>
        </w:rPr>
        <w:t xml:space="preserve"> • El primero y segundo apellidos, así como al nombre de pila.</w:t>
      </w:r>
    </w:p>
    <w:p w:rsidRPr="00823DDB" w:rsidR="004E4FD3" w:rsidP="004E4FD3" w:rsidRDefault="004E4FD3" w14:paraId="403C0BF1" w14:textId="77777777">
      <w:pPr>
        <w:spacing w:after="0" w:line="360" w:lineRule="auto"/>
        <w:ind w:left="284"/>
        <w:contextualSpacing/>
        <w:rPr>
          <w:rFonts w:eastAsia="Times New Roman" w:cs="Tahoma"/>
          <w:color w:val="auto"/>
          <w:lang w:eastAsia="es-MX"/>
        </w:rPr>
      </w:pPr>
      <w:r w:rsidRPr="00823DDB">
        <w:rPr>
          <w:rFonts w:eastAsia="Times New Roman" w:cs="Tahoma"/>
          <w:color w:val="auto"/>
          <w:lang w:eastAsia="es-MX"/>
        </w:rPr>
        <w:lastRenderedPageBreak/>
        <w:t xml:space="preserve"> • La fecha de nacimiento.</w:t>
      </w:r>
    </w:p>
    <w:p w:rsidRPr="00823DDB" w:rsidR="004E4FD3" w:rsidP="004E4FD3" w:rsidRDefault="004E4FD3" w14:paraId="5AA2E754" w14:textId="77777777">
      <w:pPr>
        <w:spacing w:after="0" w:line="360" w:lineRule="auto"/>
        <w:ind w:left="284"/>
        <w:contextualSpacing/>
        <w:rPr>
          <w:rFonts w:eastAsia="Times New Roman" w:cs="Tahoma"/>
          <w:color w:val="auto"/>
          <w:lang w:eastAsia="es-MX"/>
        </w:rPr>
      </w:pPr>
      <w:r w:rsidRPr="00823DDB">
        <w:rPr>
          <w:rFonts w:eastAsia="Times New Roman" w:cs="Tahoma"/>
          <w:color w:val="auto"/>
          <w:lang w:eastAsia="es-MX"/>
        </w:rPr>
        <w:t xml:space="preserve"> • El sexo.</w:t>
      </w:r>
    </w:p>
    <w:p w:rsidRPr="00823DDB" w:rsidR="004E4FD3" w:rsidP="004E4FD3" w:rsidRDefault="004E4FD3" w14:paraId="369165FF" w14:textId="77777777">
      <w:pPr>
        <w:spacing w:after="0" w:line="360" w:lineRule="auto"/>
        <w:ind w:left="284"/>
        <w:contextualSpacing/>
        <w:rPr>
          <w:rFonts w:eastAsia="Times New Roman" w:cs="Tahoma"/>
          <w:color w:val="auto"/>
          <w:lang w:eastAsia="es-MX"/>
        </w:rPr>
      </w:pPr>
      <w:r w:rsidRPr="00823DDB">
        <w:rPr>
          <w:rFonts w:eastAsia="Times New Roman" w:cs="Tahoma"/>
          <w:color w:val="auto"/>
          <w:lang w:eastAsia="es-MX"/>
        </w:rPr>
        <w:t xml:space="preserve"> • La entidad federativa de nacimiento.</w:t>
      </w:r>
    </w:p>
    <w:p w:rsidRPr="00823DDB" w:rsidR="004E4FD3" w:rsidP="004E4FD3" w:rsidRDefault="004E4FD3" w14:paraId="0302B15F" w14:textId="77777777">
      <w:pPr>
        <w:spacing w:after="0" w:line="360" w:lineRule="auto"/>
        <w:contextualSpacing/>
        <w:rPr>
          <w:rFonts w:eastAsia="Times New Roman" w:cs="Tahoma"/>
          <w:color w:val="auto"/>
          <w:lang w:eastAsia="es-MX"/>
        </w:rPr>
      </w:pPr>
    </w:p>
    <w:p w:rsidRPr="00823DDB" w:rsidR="004E4FD3" w:rsidP="004E4FD3" w:rsidRDefault="004E4FD3" w14:paraId="195B32CD" w14:textId="77777777">
      <w:pPr>
        <w:spacing w:after="0" w:line="360" w:lineRule="auto"/>
        <w:contextualSpacing/>
        <w:rPr>
          <w:rFonts w:eastAsia="Times New Roman" w:cs="Tahoma"/>
          <w:color w:val="auto"/>
          <w:lang w:eastAsia="es-MX"/>
        </w:rPr>
      </w:pPr>
      <w:r w:rsidRPr="00823DDB">
        <w:rPr>
          <w:rFonts w:eastAsia="Times New Roman" w:cs="Tahoma"/>
          <w:color w:val="auto"/>
          <w:lang w:eastAsia="es-MX"/>
        </w:rPr>
        <w:t>Los dos últimos elementos de la Clave Única de Registro de Población evitan la duplicidad de la Clave y garantizan su correcta integración.</w:t>
      </w:r>
    </w:p>
    <w:p w:rsidRPr="00823DDB" w:rsidR="004E4FD3" w:rsidP="004E4FD3" w:rsidRDefault="004E4FD3" w14:paraId="5AB8992C" w14:textId="77777777">
      <w:pPr>
        <w:spacing w:after="0" w:line="360" w:lineRule="auto"/>
        <w:contextualSpacing/>
        <w:rPr>
          <w:rFonts w:eastAsia="Times New Roman" w:cs="Tahoma"/>
          <w:color w:val="auto"/>
          <w:lang w:eastAsia="es-MX"/>
        </w:rPr>
      </w:pPr>
    </w:p>
    <w:p w:rsidRPr="00823DDB" w:rsidR="004E4FD3" w:rsidP="004E4FD3" w:rsidRDefault="004E4FD3" w14:paraId="76D90E63" w14:textId="77777777">
      <w:pPr>
        <w:spacing w:after="0" w:line="360" w:lineRule="auto"/>
        <w:contextualSpacing/>
        <w:rPr>
          <w:rFonts w:eastAsia="Times New Roman" w:cs="Tahoma"/>
          <w:color w:val="auto"/>
          <w:lang w:eastAsia="es-ES"/>
        </w:rPr>
      </w:pPr>
      <w:r w:rsidRPr="00823DDB">
        <w:rPr>
          <w:rFonts w:eastAsia="Times New Roman" w:cs="Tahoma"/>
          <w:color w:val="auto"/>
          <w:lang w:eastAsia="es-E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823DDB" w:rsidR="004E4FD3" w:rsidP="004E4FD3" w:rsidRDefault="004E4FD3" w14:paraId="0009F144" w14:textId="77777777">
      <w:pPr>
        <w:spacing w:after="0" w:line="360" w:lineRule="auto"/>
        <w:contextualSpacing/>
        <w:rPr>
          <w:rFonts w:eastAsia="Times New Roman" w:cs="Tahoma"/>
          <w:color w:val="auto"/>
          <w:lang w:eastAsia="es-ES"/>
        </w:rPr>
      </w:pPr>
    </w:p>
    <w:p w:rsidRPr="00823DDB" w:rsidR="004E4FD3" w:rsidP="004E4FD3" w:rsidRDefault="004E4FD3" w14:paraId="18797694" w14:textId="77777777">
      <w:pPr>
        <w:spacing w:after="0" w:line="360" w:lineRule="auto"/>
        <w:contextualSpacing/>
        <w:rPr>
          <w:rFonts w:eastAsia="Times New Roman" w:cs="Tahoma"/>
          <w:color w:val="auto"/>
          <w:lang w:eastAsia="es-MX"/>
        </w:rPr>
      </w:pPr>
      <w:r w:rsidRPr="00823DDB">
        <w:rPr>
          <w:rFonts w:eastAsia="Times New Roman" w:cs="Tahoma"/>
          <w:color w:val="auto"/>
          <w:lang w:eastAsia="es-MX"/>
        </w:rPr>
        <w:t xml:space="preserve">Resulta aplicable en la especie, como argumento orientador, el Criterio de interpretación, con clave de control con número </w:t>
      </w:r>
      <w:r w:rsidRPr="00823DDB">
        <w:rPr>
          <w:rFonts w:eastAsia="Calibri" w:cs="Tahoma"/>
          <w:bCs/>
          <w:color w:val="auto"/>
        </w:rPr>
        <w:t>SO/018/2017</w:t>
      </w:r>
      <w:r w:rsidRPr="00823DDB">
        <w:rPr>
          <w:rFonts w:eastAsia="Times New Roman" w:cs="Tahoma"/>
          <w:color w:val="auto"/>
          <w:lang w:eastAsia="es-MX"/>
        </w:rPr>
        <w:t xml:space="preserve"> 18/17, de la Segunda Época, emitido por el Instituto Nacional de Transparencia, Acceso a la Información y Protección de Datos Personales, que establece lo siguiente:</w:t>
      </w:r>
    </w:p>
    <w:p w:rsidRPr="00823DDB" w:rsidR="004E4FD3" w:rsidP="004E4FD3" w:rsidRDefault="004E4FD3" w14:paraId="06C6BA14" w14:textId="77777777">
      <w:pPr>
        <w:spacing w:after="0" w:line="360" w:lineRule="auto"/>
        <w:contextualSpacing/>
        <w:rPr>
          <w:rFonts w:eastAsia="Times New Roman" w:cs="Tahoma"/>
          <w:color w:val="auto"/>
          <w:lang w:eastAsia="es-ES"/>
        </w:rPr>
      </w:pPr>
    </w:p>
    <w:p w:rsidRPr="00823DDB" w:rsidR="004E4FD3" w:rsidP="004E4FD3" w:rsidRDefault="004E4FD3" w14:paraId="10DD35C7" w14:textId="77777777">
      <w:pPr>
        <w:autoSpaceDE w:val="0"/>
        <w:autoSpaceDN w:val="0"/>
        <w:adjustRightInd w:val="0"/>
        <w:spacing w:after="0" w:line="360" w:lineRule="auto"/>
        <w:ind w:left="567" w:right="567"/>
        <w:rPr>
          <w:rFonts w:eastAsia="Calibri" w:cs="Tahoma"/>
          <w:i/>
          <w:color w:val="000000"/>
          <w:sz w:val="20"/>
          <w:lang w:eastAsia="es-ES"/>
        </w:rPr>
      </w:pPr>
      <w:r w:rsidRPr="00823DDB">
        <w:rPr>
          <w:rFonts w:eastAsia="Calibri" w:cs="Tahoma"/>
          <w:b/>
          <w:bCs/>
          <w:i/>
          <w:color w:val="000000"/>
          <w:sz w:val="20"/>
          <w:lang w:eastAsia="es-ES"/>
        </w:rPr>
        <w:t xml:space="preserve">“Clave Única de Registro de Población (CURP). </w:t>
      </w:r>
      <w:r w:rsidRPr="00823DDB">
        <w:rPr>
          <w:rFonts w:eastAsia="Calibri" w:cs="Tahoma"/>
          <w:bCs/>
          <w:i/>
          <w:color w:val="000000"/>
          <w:sz w:val="20"/>
          <w:lang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823DDB">
        <w:rPr>
          <w:rFonts w:eastAsia="Calibri" w:cs="Tahoma"/>
          <w:i/>
          <w:color w:val="000000"/>
          <w:sz w:val="20"/>
          <w:lang w:eastAsia="es-ES"/>
        </w:rPr>
        <w:t xml:space="preserve">” </w:t>
      </w:r>
    </w:p>
    <w:p w:rsidRPr="00823DDB" w:rsidR="004E4FD3" w:rsidP="004E4FD3" w:rsidRDefault="004E4FD3" w14:paraId="1164D088" w14:textId="77777777">
      <w:pPr>
        <w:spacing w:after="0" w:line="360" w:lineRule="auto"/>
        <w:rPr>
          <w:rFonts w:eastAsia="Times New Roman" w:cs="Tahoma"/>
          <w:color w:val="auto"/>
          <w:lang w:eastAsia="es-ES"/>
        </w:rPr>
      </w:pPr>
    </w:p>
    <w:p w:rsidRPr="00823DDB" w:rsidR="004E4FD3" w:rsidP="004E4FD3" w:rsidRDefault="004E4FD3" w14:paraId="63A0AC64" w14:textId="77777777">
      <w:pPr>
        <w:spacing w:after="0" w:line="360" w:lineRule="auto"/>
        <w:rPr>
          <w:rFonts w:eastAsia="Times New Roman" w:cs="Tahoma"/>
          <w:color w:val="auto"/>
          <w:lang w:eastAsia="es-ES"/>
        </w:rPr>
      </w:pPr>
      <w:r w:rsidRPr="00823DDB">
        <w:rPr>
          <w:rFonts w:eastAsia="Times New Roman" w:cs="Tahoma"/>
          <w:color w:val="auto"/>
          <w:lang w:eastAsia="es-ES"/>
        </w:rPr>
        <w:t xml:space="preserve">De acuerdo con lo anterior, se confirma la clasificación de la Clave Única de Registro de Población, por tratarse de un dato personal confidencial, en términos del artículo 143, fracción </w:t>
      </w:r>
      <w:r w:rsidRPr="00823DDB">
        <w:rPr>
          <w:rFonts w:eastAsia="Times New Roman" w:cs="Tahoma"/>
          <w:color w:val="auto"/>
          <w:lang w:eastAsia="es-ES"/>
        </w:rPr>
        <w:lastRenderedPageBreak/>
        <w:t xml:space="preserve">I de la Ley de Transparencia y Acceso a la Información Pública del Estado de México y Municipios. </w:t>
      </w:r>
    </w:p>
    <w:p w:rsidRPr="00823DDB" w:rsidR="004E4FD3" w:rsidP="004E4FD3" w:rsidRDefault="004E4FD3" w14:paraId="4ABDCB5F" w14:textId="77777777">
      <w:pPr>
        <w:spacing w:after="0" w:line="360" w:lineRule="auto"/>
        <w:rPr>
          <w:rFonts w:eastAsia="Times New Roman" w:cs="Tahoma"/>
          <w:bCs/>
          <w:iCs/>
          <w:color w:val="auto"/>
          <w:lang w:eastAsia="es-ES"/>
        </w:rPr>
      </w:pPr>
    </w:p>
    <w:p w:rsidRPr="00823DDB" w:rsidR="004E4FD3" w:rsidP="004E4FD3" w:rsidRDefault="004E4FD3" w14:paraId="6E2FEA67" w14:textId="77777777">
      <w:pPr>
        <w:numPr>
          <w:ilvl w:val="0"/>
          <w:numId w:val="8"/>
        </w:numPr>
        <w:spacing w:after="0" w:line="360" w:lineRule="auto"/>
        <w:rPr>
          <w:rFonts w:eastAsia="Times New Roman" w:cs="Tahoma"/>
          <w:bCs/>
          <w:iCs/>
          <w:color w:val="auto"/>
          <w:lang w:eastAsia="es-ES"/>
        </w:rPr>
      </w:pPr>
      <w:r w:rsidRPr="00823DDB">
        <w:rPr>
          <w:rFonts w:eastAsia="Times New Roman" w:cs="Tahoma"/>
          <w:b/>
          <w:bCs/>
          <w:iCs/>
          <w:color w:val="auto"/>
          <w:lang w:eastAsia="es-ES"/>
        </w:rPr>
        <w:t>Domicilio particular.</w:t>
      </w:r>
    </w:p>
    <w:p w:rsidRPr="00823DDB" w:rsidR="004E4FD3" w:rsidP="004E4FD3" w:rsidRDefault="004E4FD3" w14:paraId="3F406B07" w14:textId="77777777">
      <w:pPr>
        <w:spacing w:after="0" w:line="360" w:lineRule="auto"/>
        <w:rPr>
          <w:rFonts w:eastAsia="Times New Roman" w:cs="Tahoma"/>
          <w:bCs/>
          <w:iCs/>
          <w:color w:val="auto"/>
          <w:lang w:val="es-ES" w:eastAsia="es-ES"/>
        </w:rPr>
      </w:pPr>
    </w:p>
    <w:p w:rsidRPr="00823DDB" w:rsidR="004E4FD3" w:rsidP="004E4FD3" w:rsidRDefault="004E4FD3" w14:paraId="2556BDE4" w14:textId="77777777">
      <w:pPr>
        <w:spacing w:after="0" w:line="360" w:lineRule="auto"/>
        <w:rPr>
          <w:rFonts w:eastAsia="Times New Roman" w:cs="Tahoma"/>
          <w:bCs/>
          <w:iCs/>
          <w:color w:val="auto"/>
          <w:lang w:val="es-ES" w:eastAsia="es-ES"/>
        </w:rPr>
      </w:pPr>
      <w:r w:rsidRPr="00823DDB">
        <w:rPr>
          <w:rFonts w:eastAsia="Times New Roman" w:cs="Tahoma"/>
          <w:bCs/>
          <w:iCs/>
          <w:color w:val="auto"/>
          <w:lang w:val="es-ES" w:eastAsia="es-ES"/>
        </w:rPr>
        <w:t xml:space="preserve">En principio, resulta necesario aclarar que en las Licencias de Uso de Suelo y de Construcción hay dos tipos de domicilio, uno que corresponde al del solicitante, correspondiente a su residencia o donde comúnmente habita, en caso de persona jurídico colectiva, donde realiza su actividad, mientras que también está la ubicación del predio o inmueble que se autoriza para realizar una construcción, modificación u obra; por lo que, necesariamente no corresponden al mismo dato. </w:t>
      </w:r>
    </w:p>
    <w:p w:rsidRPr="00823DDB" w:rsidR="004E4FD3" w:rsidP="004E4FD3" w:rsidRDefault="004E4FD3" w14:paraId="0BBF9F36" w14:textId="77777777">
      <w:pPr>
        <w:spacing w:after="0" w:line="360" w:lineRule="auto"/>
        <w:rPr>
          <w:rFonts w:eastAsia="Times New Roman" w:cs="Tahoma"/>
          <w:bCs/>
          <w:iCs/>
          <w:color w:val="auto"/>
          <w:lang w:val="es-ES" w:eastAsia="es-ES"/>
        </w:rPr>
      </w:pPr>
    </w:p>
    <w:p w:rsidRPr="00823DDB" w:rsidR="004E4FD3" w:rsidP="004E4FD3" w:rsidRDefault="004E4FD3" w14:paraId="514B83C1" w14:textId="77777777">
      <w:pPr>
        <w:spacing w:after="0" w:line="360" w:lineRule="auto"/>
        <w:rPr>
          <w:rFonts w:eastAsia="Times New Roman" w:cs="Tahoma"/>
          <w:bCs/>
          <w:iCs/>
          <w:color w:val="auto"/>
          <w:lang w:val="es-ES" w:eastAsia="es-ES"/>
        </w:rPr>
      </w:pPr>
      <w:r w:rsidRPr="00823DDB">
        <w:rPr>
          <w:rFonts w:eastAsia="Times New Roman" w:cs="Tahoma"/>
          <w:bCs/>
          <w:iCs/>
          <w:color w:val="auto"/>
          <w:lang w:val="es-ES" w:eastAsia="es-ES"/>
        </w:rPr>
        <w:t>En ese sentido, en el caso en concreto, se considera que el domicilio del solicitante (persona física o jurídico colectiva), no corresponde a la ubicación del predio autorizado en las Licencias de Uso de Suelo y Construcción, pues este corresponde para el Proyecto “Centro de Integración Para Jóvenes Con Discapacidad Intelectual” y por lo tanto es público.</w:t>
      </w:r>
    </w:p>
    <w:p w:rsidRPr="00823DDB" w:rsidR="004E4FD3" w:rsidP="004E4FD3" w:rsidRDefault="004E4FD3" w14:paraId="590A523D" w14:textId="77777777">
      <w:pPr>
        <w:spacing w:after="0" w:line="360" w:lineRule="auto"/>
        <w:rPr>
          <w:rFonts w:eastAsia="Times New Roman" w:cs="Tahoma"/>
          <w:bCs/>
          <w:iCs/>
          <w:color w:val="auto"/>
          <w:lang w:val="es-ES" w:eastAsia="es-ES"/>
        </w:rPr>
      </w:pPr>
    </w:p>
    <w:p w:rsidRPr="00823DDB" w:rsidR="004E4FD3" w:rsidP="004E4FD3" w:rsidRDefault="004E4FD3" w14:paraId="7C01C0CD" w14:textId="77777777">
      <w:pPr>
        <w:spacing w:after="0" w:line="360" w:lineRule="auto"/>
        <w:rPr>
          <w:rFonts w:eastAsia="Times New Roman" w:cs="Tahoma"/>
          <w:bCs/>
          <w:iCs/>
          <w:color w:val="auto"/>
          <w:lang w:val="es-ES" w:eastAsia="es-ES"/>
        </w:rPr>
      </w:pPr>
      <w:r w:rsidRPr="00823DDB">
        <w:rPr>
          <w:rFonts w:eastAsia="Times New Roman" w:cs="Tahoma"/>
          <w:bCs/>
          <w:iCs/>
          <w:color w:val="auto"/>
          <w:lang w:val="es-ES" w:eastAsia="es-ES"/>
        </w:rPr>
        <w:t>No obstante, se procede analizar si el domicilio particular es un dato confidencial:</w:t>
      </w:r>
    </w:p>
    <w:p w:rsidRPr="00823DDB" w:rsidR="004E4FD3" w:rsidP="004E4FD3" w:rsidRDefault="004E4FD3" w14:paraId="6A4E8616" w14:textId="77777777">
      <w:pPr>
        <w:spacing w:after="0" w:line="360" w:lineRule="auto"/>
        <w:rPr>
          <w:rFonts w:eastAsia="Times New Roman" w:cs="Tahoma"/>
          <w:bCs/>
          <w:iCs/>
          <w:color w:val="auto"/>
          <w:lang w:val="es-ES" w:eastAsia="es-ES"/>
        </w:rPr>
      </w:pPr>
    </w:p>
    <w:p w:rsidRPr="00823DDB" w:rsidR="004E4FD3" w:rsidP="004E4FD3" w:rsidRDefault="004E4FD3" w14:paraId="617ADF85" w14:textId="77777777">
      <w:pPr>
        <w:pStyle w:val="Prrafodelista"/>
        <w:numPr>
          <w:ilvl w:val="0"/>
          <w:numId w:val="29"/>
        </w:numPr>
        <w:spacing w:line="360" w:lineRule="auto"/>
        <w:rPr>
          <w:rFonts w:cs="Tahoma"/>
          <w:bCs/>
          <w:iCs/>
          <w:color w:val="auto"/>
        </w:rPr>
      </w:pPr>
      <w:r w:rsidRPr="00823DDB">
        <w:rPr>
          <w:rFonts w:cs="Tahoma"/>
          <w:b/>
          <w:bCs/>
          <w:iCs/>
          <w:color w:val="auto"/>
        </w:rPr>
        <w:t>Persona física.</w:t>
      </w:r>
    </w:p>
    <w:p w:rsidRPr="00823DDB" w:rsidR="004E4FD3" w:rsidP="004E4FD3" w:rsidRDefault="004E4FD3" w14:paraId="41DDCFE0" w14:textId="77777777">
      <w:pPr>
        <w:spacing w:after="0" w:line="360" w:lineRule="auto"/>
        <w:rPr>
          <w:rFonts w:eastAsia="Times New Roman" w:cs="Tahoma"/>
          <w:bCs/>
          <w:iCs/>
          <w:color w:val="auto"/>
          <w:lang w:val="es-ES" w:eastAsia="es-ES"/>
        </w:rPr>
      </w:pPr>
    </w:p>
    <w:p w:rsidRPr="00823DDB" w:rsidR="004E4FD3" w:rsidP="004E4FD3" w:rsidRDefault="004E4FD3" w14:paraId="757CA70D" w14:textId="77777777">
      <w:pPr>
        <w:spacing w:after="0" w:line="360" w:lineRule="auto"/>
        <w:rPr>
          <w:rFonts w:eastAsia="Times New Roman" w:cs="Tahoma"/>
          <w:bCs/>
          <w:iCs/>
          <w:color w:val="auto"/>
          <w:lang w:val="es-ES" w:eastAsia="es-ES"/>
        </w:rPr>
      </w:pPr>
      <w:r w:rsidRPr="00823DDB">
        <w:rPr>
          <w:rFonts w:eastAsia="Times New Roman" w:cs="Tahoma"/>
          <w:bCs/>
          <w:iCs/>
          <w:color w:val="auto"/>
          <w:lang w:val="es-ES" w:eastAsia="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Pr="00823DDB" w:rsidR="004E4FD3" w:rsidP="004E4FD3" w:rsidRDefault="004E4FD3" w14:paraId="4A21A664" w14:textId="77777777">
      <w:pPr>
        <w:spacing w:after="0" w:line="360" w:lineRule="auto"/>
        <w:rPr>
          <w:rFonts w:eastAsia="Times New Roman" w:cs="Tahoma"/>
          <w:bCs/>
          <w:iCs/>
          <w:color w:val="auto"/>
          <w:lang w:val="es-ES" w:eastAsia="es-ES"/>
        </w:rPr>
      </w:pPr>
    </w:p>
    <w:p w:rsidRPr="00823DDB" w:rsidR="00406021" w:rsidP="004E4FD3" w:rsidRDefault="00406021" w14:paraId="1EC03D37" w14:textId="77777777">
      <w:pPr>
        <w:spacing w:after="0" w:line="360" w:lineRule="auto"/>
        <w:rPr>
          <w:rFonts w:eastAsia="Times New Roman" w:cs="Tahoma"/>
          <w:bCs/>
          <w:iCs/>
          <w:color w:val="auto"/>
          <w:lang w:val="es-ES" w:eastAsia="es-ES"/>
        </w:rPr>
      </w:pPr>
    </w:p>
    <w:p w:rsidRPr="00823DDB" w:rsidR="00406021" w:rsidP="004E4FD3" w:rsidRDefault="00406021" w14:paraId="4FF93594" w14:textId="77777777">
      <w:pPr>
        <w:spacing w:after="0" w:line="360" w:lineRule="auto"/>
        <w:rPr>
          <w:rFonts w:eastAsia="Times New Roman" w:cs="Tahoma"/>
          <w:bCs/>
          <w:iCs/>
          <w:color w:val="auto"/>
          <w:lang w:val="es-ES" w:eastAsia="es-ES"/>
        </w:rPr>
      </w:pPr>
    </w:p>
    <w:p w:rsidRPr="00823DDB" w:rsidR="004E4FD3" w:rsidP="004E4FD3" w:rsidRDefault="004E4FD3" w14:paraId="07F93029" w14:textId="77777777">
      <w:pPr>
        <w:spacing w:after="0" w:line="360" w:lineRule="auto"/>
        <w:rPr>
          <w:rFonts w:eastAsia="Times New Roman" w:cs="Tahoma"/>
          <w:bCs/>
          <w:iCs/>
          <w:color w:val="auto"/>
          <w:lang w:val="es-ES" w:eastAsia="es-ES"/>
        </w:rPr>
      </w:pPr>
      <w:r w:rsidRPr="00823DDB">
        <w:rPr>
          <w:rFonts w:eastAsia="Times New Roman" w:cs="Tahoma"/>
          <w:bCs/>
          <w:iCs/>
          <w:color w:val="auto"/>
          <w:lang w:val="es-ES" w:eastAsia="es-ES"/>
        </w:rPr>
        <w:t>De la misma manera, lo establece el artículo 29 del Código Civil Federal, al precisar que el domicilio de personas físicas, es el lugar donde residen habitualmente, el lugar del centro principal de sus negocios, donde residan o el lugar donde se encuentren.</w:t>
      </w:r>
    </w:p>
    <w:p w:rsidRPr="00823DDB" w:rsidR="004E4FD3" w:rsidP="004E4FD3" w:rsidRDefault="004E4FD3" w14:paraId="7DB94299" w14:textId="77777777">
      <w:pPr>
        <w:spacing w:after="0" w:line="360" w:lineRule="auto"/>
        <w:rPr>
          <w:rFonts w:eastAsia="Times New Roman" w:cs="Tahoma"/>
          <w:bCs/>
          <w:iCs/>
          <w:color w:val="auto"/>
          <w:lang w:val="es-ES" w:eastAsia="es-ES"/>
        </w:rPr>
      </w:pPr>
    </w:p>
    <w:p w:rsidRPr="00823DDB" w:rsidR="004E4FD3" w:rsidP="004E4FD3" w:rsidRDefault="004E4FD3" w14:paraId="473CE024" w14:textId="77777777">
      <w:pPr>
        <w:spacing w:after="0" w:line="360" w:lineRule="auto"/>
        <w:rPr>
          <w:rFonts w:eastAsia="Times New Roman" w:cs="Tahoma"/>
          <w:bCs/>
          <w:iCs/>
          <w:color w:val="auto"/>
          <w:lang w:val="es-ES" w:eastAsia="es-ES"/>
        </w:rPr>
      </w:pPr>
      <w:r w:rsidRPr="00823DDB">
        <w:rPr>
          <w:rFonts w:eastAsia="Times New Roman" w:cs="Tahoma"/>
          <w:bCs/>
          <w:iCs/>
          <w:color w:val="auto"/>
          <w:lang w:val="es-ES" w:eastAsia="es-ES"/>
        </w:rPr>
        <w:t>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Pr="00823DDB" w:rsidR="004E4FD3" w:rsidP="004E4FD3" w:rsidRDefault="004E4FD3" w14:paraId="056FA8F6" w14:textId="77777777">
      <w:pPr>
        <w:spacing w:after="0" w:line="360" w:lineRule="auto"/>
        <w:rPr>
          <w:rFonts w:eastAsia="Times New Roman" w:cs="Tahoma"/>
          <w:bCs/>
          <w:iCs/>
          <w:color w:val="auto"/>
          <w:lang w:val="es-ES" w:eastAsia="es-ES"/>
        </w:rPr>
      </w:pPr>
    </w:p>
    <w:p w:rsidRPr="00823DDB" w:rsidR="004E4FD3" w:rsidP="004C1CC8" w:rsidRDefault="004E4FD3" w14:paraId="27B19DB7" w14:textId="77777777">
      <w:pPr>
        <w:pStyle w:val="Prrafodelista"/>
        <w:numPr>
          <w:ilvl w:val="0"/>
          <w:numId w:val="29"/>
        </w:numPr>
        <w:spacing w:line="360" w:lineRule="auto"/>
        <w:rPr>
          <w:rFonts w:cs="Tahoma"/>
          <w:bCs/>
          <w:iCs/>
          <w:color w:val="auto"/>
        </w:rPr>
      </w:pPr>
      <w:r w:rsidRPr="00823DDB">
        <w:rPr>
          <w:rFonts w:cs="Tahoma"/>
          <w:b/>
          <w:bCs/>
          <w:iCs/>
          <w:color w:val="auto"/>
        </w:rPr>
        <w:t>Persona Jurídico Colectiva.</w:t>
      </w:r>
    </w:p>
    <w:p w:rsidRPr="00823DDB" w:rsidR="004E4FD3" w:rsidP="004E4FD3" w:rsidRDefault="004E4FD3" w14:paraId="63FC3FBC" w14:textId="77777777">
      <w:pPr>
        <w:spacing w:after="0" w:line="360" w:lineRule="auto"/>
        <w:rPr>
          <w:rFonts w:eastAsia="Times New Roman" w:cs="Tahoma"/>
          <w:bCs/>
          <w:iCs/>
          <w:color w:val="auto"/>
          <w:lang w:val="es-ES" w:eastAsia="es-ES"/>
        </w:rPr>
      </w:pPr>
    </w:p>
    <w:p w:rsidRPr="00823DDB" w:rsidR="004E4FD3" w:rsidP="004E4FD3" w:rsidRDefault="004E4FD3" w14:paraId="5F25E95C" w14:textId="77777777">
      <w:pPr>
        <w:spacing w:after="0" w:line="360" w:lineRule="auto"/>
        <w:rPr>
          <w:rFonts w:eastAsia="Times New Roman" w:cs="Tahoma"/>
          <w:bCs/>
          <w:iCs/>
          <w:color w:val="auto"/>
          <w:lang w:val="es-ES" w:eastAsia="es-ES"/>
        </w:rPr>
      </w:pPr>
      <w:r w:rsidRPr="00823DDB">
        <w:rPr>
          <w:rFonts w:eastAsia="Times New Roman" w:cs="Tahoma"/>
          <w:bCs/>
          <w:iCs/>
          <w:color w:val="auto"/>
          <w:lang w:val="es-ES" w:eastAsia="es-ES"/>
        </w:rPr>
        <w:t xml:space="preserve">En principio, cabe señalar, la información entregada a las autoridades por parte de las personas jurídicas colectivas, debe ser confidencial cuando tenga el carácter de privada por contener datos que pudieran equipararse a los de las personas físicas. </w:t>
      </w:r>
    </w:p>
    <w:p w:rsidRPr="00823DDB" w:rsidR="004E4FD3" w:rsidP="004E4FD3" w:rsidRDefault="004E4FD3" w14:paraId="4C765500" w14:textId="77777777">
      <w:pPr>
        <w:spacing w:after="0" w:line="360" w:lineRule="auto"/>
        <w:rPr>
          <w:rFonts w:eastAsia="Times New Roman" w:cs="Tahoma"/>
          <w:bCs/>
          <w:iCs/>
          <w:color w:val="auto"/>
          <w:lang w:val="es-ES" w:eastAsia="es-ES"/>
        </w:rPr>
      </w:pPr>
    </w:p>
    <w:p w:rsidRPr="00823DDB" w:rsidR="004E4FD3" w:rsidP="004E4FD3" w:rsidRDefault="004E4FD3" w14:paraId="72A7AE06" w14:textId="77777777">
      <w:pPr>
        <w:spacing w:after="0" w:line="360" w:lineRule="auto"/>
        <w:rPr>
          <w:rFonts w:eastAsia="Times New Roman" w:cs="Tahoma"/>
          <w:bCs/>
          <w:iCs/>
          <w:color w:val="auto"/>
          <w:lang w:val="es-ES" w:eastAsia="es-ES"/>
        </w:rPr>
      </w:pPr>
      <w:r w:rsidRPr="00823DDB">
        <w:rPr>
          <w:rFonts w:eastAsia="Times New Roman" w:cs="Tahoma"/>
          <w:bCs/>
          <w:iCs/>
          <w:color w:val="auto"/>
          <w:lang w:val="es-ES" w:eastAsia="es-ES"/>
        </w:rPr>
        <w:t xml:space="preserve">Lo anterior, encuentra sustento en la Tesis Aislada con número P. II/2014 (10a.), publicada en febrero de dos mil catorce, en la Gaceta del Semanario Judicial de la Federación, en su Libro 3, Tomo I, que precisa que los bienes protegidos por el derecho a la privacidad y de protección de datos de las personas morales, comprenden aquellos documentos e información que les son inherentes, que deben permanecer ajenos al conocimiento de terceros; por lo que, la </w:t>
      </w:r>
      <w:r w:rsidRPr="00823DDB">
        <w:rPr>
          <w:rFonts w:eastAsia="Times New Roman" w:cs="Tahoma"/>
          <w:b/>
          <w:bCs/>
          <w:iCs/>
          <w:color w:val="auto"/>
          <w:lang w:val="es-ES" w:eastAsia="es-ES"/>
        </w:rPr>
        <w:t xml:space="preserve">información entregada a las autoridades por parte de personas morales, será confidencial cuando tenga el carácter de privada por contener datos que pudieran equipararse a los </w:t>
      </w:r>
      <w:r w:rsidRPr="00823DDB">
        <w:rPr>
          <w:rFonts w:eastAsia="Times New Roman" w:cs="Tahoma"/>
          <w:b/>
          <w:bCs/>
          <w:iCs/>
          <w:color w:val="auto"/>
          <w:lang w:val="es-ES" w:eastAsia="es-ES"/>
        </w:rPr>
        <w:lastRenderedPageBreak/>
        <w:t>personales,</w:t>
      </w:r>
      <w:r w:rsidRPr="00823DDB">
        <w:rPr>
          <w:rFonts w:eastAsia="Times New Roman" w:cs="Tahoma"/>
          <w:bCs/>
          <w:iCs/>
          <w:color w:val="auto"/>
          <w:lang w:val="es-ES" w:eastAsia="es-ES"/>
        </w:rPr>
        <w:t xml:space="preserve"> o bien, reservada temporalmente, si actualiza alguno de los supuestos previstos legalmente.</w:t>
      </w:r>
    </w:p>
    <w:p w:rsidRPr="00823DDB" w:rsidR="004E4FD3" w:rsidP="004E4FD3" w:rsidRDefault="004E4FD3" w14:paraId="25CC11E5" w14:textId="77777777">
      <w:pPr>
        <w:spacing w:after="0" w:line="360" w:lineRule="auto"/>
        <w:rPr>
          <w:rFonts w:eastAsia="Times New Roman" w:cs="Tahoma"/>
          <w:bCs/>
          <w:iCs/>
          <w:color w:val="auto"/>
          <w:lang w:val="es-ES" w:eastAsia="es-ES"/>
        </w:rPr>
      </w:pPr>
    </w:p>
    <w:p w:rsidRPr="00823DDB" w:rsidR="004E4FD3" w:rsidP="004E4FD3" w:rsidRDefault="004E4FD3" w14:paraId="20D73F75" w14:textId="77777777">
      <w:pPr>
        <w:spacing w:after="0" w:line="360" w:lineRule="auto"/>
        <w:rPr>
          <w:rFonts w:eastAsia="Times New Roman" w:cs="Tahoma"/>
          <w:bCs/>
          <w:iCs/>
          <w:color w:val="auto"/>
          <w:lang w:eastAsia="es-ES"/>
        </w:rPr>
      </w:pPr>
      <w:r w:rsidRPr="00823DDB">
        <w:rPr>
          <w:rFonts w:eastAsia="Times New Roman" w:cs="Tahoma"/>
          <w:bCs/>
          <w:iCs/>
          <w:color w:val="auto"/>
          <w:lang w:eastAsia="es-ES"/>
        </w:rPr>
        <w:t xml:space="preserve">En cuanto al domicilio, este Instituto advierte que se trata de un dato personal, pues como se precisó en párrafos anteriores, da cuenta del lugar donde está asentado el negocio de la persona jurídica colectiva indicada en respuesta; además, debe tomarse en cuenta que dicha empresa o asociación atendiendo a sus intereses personales, decide entregarlo a terceros o no, con el propósito de cumplir los fines para los cuales fue constituida, o las inherentes obligaciones a la que se encuentra constreñido, conforme a la legislación que le es aplicable, y por ende, debe resguardarse en la especie. </w:t>
      </w:r>
    </w:p>
    <w:p w:rsidRPr="00823DDB" w:rsidR="004E4FD3" w:rsidP="004E4FD3" w:rsidRDefault="004E4FD3" w14:paraId="7CAA26FE" w14:textId="77777777">
      <w:pPr>
        <w:spacing w:after="0" w:line="360" w:lineRule="auto"/>
        <w:rPr>
          <w:rFonts w:eastAsia="Times New Roman" w:cs="Tahoma"/>
          <w:bCs/>
          <w:iCs/>
          <w:color w:val="auto"/>
          <w:lang w:eastAsia="es-ES"/>
        </w:rPr>
      </w:pPr>
    </w:p>
    <w:p w:rsidRPr="00823DDB" w:rsidR="004E4FD3" w:rsidP="004E4FD3" w:rsidRDefault="004E4FD3" w14:paraId="26A6E705" w14:textId="77777777">
      <w:pPr>
        <w:spacing w:after="0" w:line="360" w:lineRule="auto"/>
        <w:rPr>
          <w:rFonts w:eastAsia="Times New Roman" w:cs="Tahoma"/>
          <w:bCs/>
          <w:iCs/>
          <w:color w:val="auto"/>
          <w:lang w:eastAsia="es-ES"/>
        </w:rPr>
      </w:pPr>
      <w:r w:rsidRPr="00823DDB">
        <w:rPr>
          <w:rFonts w:eastAsia="Times New Roman" w:cs="Tahoma"/>
          <w:bCs/>
          <w:iCs/>
          <w:color w:val="auto"/>
          <w:lang w:eastAsia="es-ES"/>
        </w:rPr>
        <w:t>De tales circunstancias, se considera que el domicilio de la persona jurídico colectiva es considero confidencial, por lo que, se actualiza la causal de clasificación establecida en el artículo 143, fracción I de la Ley de Transparencia y Acceso a la Información Pública del Estado de México y Municipios.</w:t>
      </w:r>
    </w:p>
    <w:p w:rsidRPr="00823DDB" w:rsidR="00956673" w:rsidP="007C44A8" w:rsidRDefault="00956673" w14:paraId="784B1FA7" w14:textId="77777777">
      <w:pPr>
        <w:spacing w:after="0" w:line="360" w:lineRule="auto"/>
        <w:rPr>
          <w:rFonts w:eastAsia="Times New Roman" w:cs="Tahoma"/>
          <w:bCs/>
          <w:iCs/>
          <w:color w:val="auto"/>
          <w:lang w:eastAsia="es-ES"/>
        </w:rPr>
      </w:pPr>
    </w:p>
    <w:p w:rsidRPr="00823DDB" w:rsidR="00AB7F80" w:rsidP="00AB7F80" w:rsidRDefault="00AB7F80" w14:paraId="676651D4" w14:textId="77777777">
      <w:pPr>
        <w:numPr>
          <w:ilvl w:val="0"/>
          <w:numId w:val="31"/>
        </w:numPr>
        <w:spacing w:after="0" w:line="360" w:lineRule="auto"/>
        <w:ind w:right="-93"/>
        <w:contextualSpacing/>
        <w:jc w:val="left"/>
        <w:rPr>
          <w:rFonts w:eastAsia="Times New Roman" w:cs="Times New Roman"/>
          <w:b/>
          <w:color w:val="auto"/>
          <w:lang w:eastAsia="es-ES"/>
        </w:rPr>
      </w:pPr>
      <w:r w:rsidRPr="00823DDB">
        <w:rPr>
          <w:rFonts w:eastAsia="Times New Roman" w:cs="Times New Roman"/>
          <w:b/>
          <w:color w:val="auto"/>
          <w:lang w:eastAsia="es-ES"/>
        </w:rPr>
        <w:t xml:space="preserve">Clave catastral </w:t>
      </w:r>
    </w:p>
    <w:p w:rsidRPr="00823DDB" w:rsidR="00AB7F80" w:rsidP="00AB7F80" w:rsidRDefault="00AB7F80" w14:paraId="5B5E16A5" w14:textId="77777777">
      <w:pPr>
        <w:spacing w:after="0" w:line="360" w:lineRule="auto"/>
        <w:ind w:right="-93"/>
        <w:rPr>
          <w:rFonts w:eastAsia="Times New Roman" w:cs="Times New Roman"/>
          <w:b/>
          <w:color w:val="auto"/>
          <w:sz w:val="20"/>
          <w:lang w:eastAsia="es-ES"/>
        </w:rPr>
      </w:pPr>
    </w:p>
    <w:p w:rsidRPr="00823DDB" w:rsidR="00AB7F80" w:rsidP="00AB7F80" w:rsidRDefault="00AB7F80" w14:paraId="43978F9C" w14:textId="77777777">
      <w:pPr>
        <w:spacing w:after="0" w:line="360" w:lineRule="auto"/>
        <w:ind w:right="-93"/>
        <w:rPr>
          <w:rFonts w:eastAsia="Calibri" w:cs="Tahoma"/>
          <w:bCs/>
          <w:color w:val="auto"/>
          <w:lang w:val="es-ES"/>
        </w:rPr>
      </w:pPr>
      <w:r w:rsidRPr="00823DDB">
        <w:rPr>
          <w:rFonts w:eastAsia="Calibri" w:cs="Tahoma"/>
          <w:bCs/>
          <w:color w:val="auto"/>
          <w:lang w:val="es-ES"/>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rsidRPr="00823DDB" w:rsidR="00406021" w:rsidP="00AB7F80" w:rsidRDefault="00406021" w14:paraId="770E9149" w14:textId="77777777">
      <w:pPr>
        <w:spacing w:after="0" w:line="360" w:lineRule="auto"/>
        <w:ind w:right="-93"/>
        <w:rPr>
          <w:rFonts w:eastAsia="Calibri" w:cs="Tahoma"/>
          <w:bCs/>
          <w:color w:val="auto"/>
          <w:lang w:val="es-ES"/>
        </w:rPr>
      </w:pPr>
      <w:bookmarkStart w:name="_GoBack" w:id="0"/>
      <w:bookmarkEnd w:id="0"/>
    </w:p>
    <w:p w:rsidRPr="00823DDB" w:rsidR="00AB7F80" w:rsidP="00AB7F80" w:rsidRDefault="00AB7F80" w14:paraId="7CB4AC13" w14:textId="77777777">
      <w:pPr>
        <w:spacing w:after="0" w:line="360" w:lineRule="auto"/>
        <w:ind w:right="-93"/>
        <w:rPr>
          <w:rFonts w:eastAsia="Calibri" w:cs="Tahoma"/>
          <w:bCs/>
          <w:color w:val="auto"/>
          <w:lang w:val="es-ES"/>
        </w:rPr>
      </w:pPr>
      <w:r w:rsidRPr="00823DDB">
        <w:rPr>
          <w:rFonts w:eastAsia="Calibri" w:cs="Tahoma"/>
          <w:bCs/>
          <w:color w:val="auto"/>
          <w:lang w:val="es-ES"/>
        </w:rPr>
        <w:lastRenderedPageBreak/>
        <w:t>El diccionario de Datos catastrales Escala 1:1000 del Instituto Nacional de Estadística y Geografía (INEGI), contempla en su glosario la definición de clave catastral, la cual, es la siguiente:</w:t>
      </w:r>
    </w:p>
    <w:p w:rsidRPr="00823DDB" w:rsidR="00AB7F80" w:rsidP="00AB7F80" w:rsidRDefault="00AB7F80" w14:paraId="3A3A3EA0" w14:textId="77777777">
      <w:pPr>
        <w:spacing w:after="0" w:line="360" w:lineRule="auto"/>
        <w:ind w:right="-93"/>
        <w:rPr>
          <w:rFonts w:eastAsia="Calibri" w:cs="Tahoma"/>
          <w:bCs/>
          <w:color w:val="auto"/>
          <w:lang w:val="es-ES"/>
        </w:rPr>
      </w:pPr>
    </w:p>
    <w:p w:rsidRPr="00823DDB" w:rsidR="00AB7F80" w:rsidP="00AB7F80" w:rsidRDefault="00AB7F80" w14:paraId="6781655A" w14:textId="77777777">
      <w:pPr>
        <w:spacing w:after="0" w:line="360" w:lineRule="auto"/>
        <w:ind w:left="567" w:right="539"/>
        <w:rPr>
          <w:rFonts w:eastAsia="Calibri" w:cs="Tahoma"/>
          <w:bCs/>
          <w:i/>
          <w:color w:val="auto"/>
          <w:sz w:val="20"/>
          <w:lang w:val="es-ES"/>
        </w:rPr>
      </w:pPr>
      <w:r w:rsidRPr="00823DDB">
        <w:rPr>
          <w:rFonts w:eastAsia="Calibri" w:cs="Tahoma"/>
          <w:bCs/>
          <w:i/>
          <w:color w:val="auto"/>
          <w:sz w:val="20"/>
          <w:lang w:val="es-ES"/>
        </w:rPr>
        <w:t>“</w:t>
      </w:r>
      <w:r w:rsidRPr="00823DDB">
        <w:rPr>
          <w:rFonts w:eastAsia="Calibri" w:cs="Tahoma"/>
          <w:b/>
          <w:bCs/>
          <w:i/>
          <w:color w:val="auto"/>
          <w:sz w:val="20"/>
          <w:lang w:val="es-ES"/>
        </w:rPr>
        <w:t xml:space="preserve">Clave catastral: </w:t>
      </w:r>
      <w:r w:rsidRPr="00823DDB">
        <w:rPr>
          <w:rFonts w:eastAsia="Calibri" w:cs="Tahoma"/>
          <w:bCs/>
          <w:i/>
          <w:color w:val="auto"/>
          <w:sz w:val="20"/>
          <w:lang w:val="es-ES"/>
        </w:rPr>
        <w:t>El código que identifica al predio de forma única para su localización geográfica, mismo que es asignado a cada uno de ellos en el momento de su inscripción en el padrón catastral por las Unidades del estado con atribuciones catastrales”</w:t>
      </w:r>
    </w:p>
    <w:p w:rsidRPr="00823DDB" w:rsidR="00AB7F80" w:rsidP="00AB7F80" w:rsidRDefault="00AB7F80" w14:paraId="6A1A16BE" w14:textId="77777777">
      <w:pPr>
        <w:spacing w:after="0" w:line="360" w:lineRule="auto"/>
        <w:ind w:right="-93"/>
        <w:rPr>
          <w:rFonts w:eastAsia="Calibri" w:cs="Tahoma"/>
          <w:bCs/>
          <w:color w:val="auto"/>
          <w:lang w:val="es-ES"/>
        </w:rPr>
      </w:pPr>
    </w:p>
    <w:p w:rsidRPr="00823DDB" w:rsidR="00AB7F80" w:rsidP="00AB7F80" w:rsidRDefault="00AB7F80" w14:paraId="05E76A31" w14:textId="77777777">
      <w:pPr>
        <w:spacing w:after="0" w:line="360" w:lineRule="auto"/>
        <w:ind w:right="-93"/>
        <w:rPr>
          <w:rFonts w:eastAsia="Calibri" w:cs="Tahoma"/>
          <w:bCs/>
          <w:color w:val="auto"/>
          <w:lang w:val="es-ES"/>
        </w:rPr>
      </w:pPr>
      <w:r w:rsidRPr="00823DDB">
        <w:rPr>
          <w:rFonts w:eastAsia="Calibri" w:cs="Tahoma"/>
          <w:bCs/>
          <w:color w:val="auto"/>
          <w:lang w:val="es-ES"/>
        </w:rPr>
        <w:t>Así mismo, dicho diccionario estipula dos tipos de Claves catastrales, siendo estas la Estándar y la Original, cuyo diccionario de datos catastrales Escala 1:1000 del INEGI, las define como</w:t>
      </w:r>
    </w:p>
    <w:p w:rsidRPr="00823DDB" w:rsidR="00AB7F80" w:rsidP="00AB7F80" w:rsidRDefault="00AB7F80" w14:paraId="19E1943F" w14:textId="77777777">
      <w:pPr>
        <w:spacing w:after="0" w:line="360" w:lineRule="auto"/>
        <w:ind w:right="-93"/>
        <w:rPr>
          <w:rFonts w:eastAsia="Calibri" w:cs="Tahoma"/>
          <w:bCs/>
          <w:color w:val="auto"/>
          <w:lang w:val="es-ES"/>
        </w:rPr>
      </w:pPr>
    </w:p>
    <w:p w:rsidRPr="00823DDB" w:rsidR="00AB7F80" w:rsidP="00AB7F80" w:rsidRDefault="00AB7F80" w14:paraId="7E01026F" w14:textId="77777777">
      <w:pPr>
        <w:spacing w:after="0" w:line="360" w:lineRule="auto"/>
        <w:ind w:left="567" w:right="539"/>
        <w:rPr>
          <w:rFonts w:eastAsia="Calibri" w:cs="Tahoma"/>
          <w:bCs/>
          <w:i/>
          <w:color w:val="auto"/>
          <w:sz w:val="20"/>
          <w:lang w:val="es-ES"/>
        </w:rPr>
      </w:pPr>
      <w:r w:rsidRPr="00823DDB">
        <w:rPr>
          <w:rFonts w:eastAsia="Calibri" w:cs="Tahoma"/>
          <w:bCs/>
          <w:i/>
          <w:color w:val="auto"/>
          <w:sz w:val="20"/>
          <w:lang w:val="es-ES"/>
        </w:rPr>
        <w:t>“</w:t>
      </w:r>
      <w:r w:rsidRPr="00823DDB">
        <w:rPr>
          <w:rFonts w:eastAsia="Calibri" w:cs="Tahoma"/>
          <w:b/>
          <w:bCs/>
          <w:i/>
          <w:color w:val="auto"/>
          <w:sz w:val="20"/>
          <w:lang w:val="es-ES"/>
        </w:rPr>
        <w:t xml:space="preserve">CLAVE CATASTRAL ESTÁNDAR: </w:t>
      </w:r>
      <w:r w:rsidRPr="00823DDB">
        <w:rPr>
          <w:rFonts w:eastAsia="Calibri" w:cs="Tahoma"/>
          <w:bCs/>
          <w:i/>
          <w:color w:val="auto"/>
          <w:sz w:val="20"/>
          <w:lang w:val="es-ES"/>
        </w:rPr>
        <w:t xml:space="preserve">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sidRPr="00823DDB">
        <w:rPr>
          <w:rFonts w:eastAsia="Calibri" w:cs="Tahoma"/>
          <w:bCs/>
          <w:i/>
          <w:color w:val="auto"/>
          <w:sz w:val="20"/>
          <w:lang w:val="es-ES"/>
        </w:rPr>
        <w:t>Manzana(</w:t>
      </w:r>
      <w:proofErr w:type="gramEnd"/>
      <w:r w:rsidRPr="00823DDB">
        <w:rPr>
          <w:rFonts w:eastAsia="Calibri" w:cs="Tahoma"/>
          <w:bCs/>
          <w:i/>
          <w:color w:val="auto"/>
          <w:sz w:val="20"/>
          <w:lang w:val="es-ES"/>
        </w:rPr>
        <w:t>3) + Predio (5) +  Condominio: edificio (2) y unidad (4).</w:t>
      </w:r>
    </w:p>
    <w:p w:rsidRPr="00823DDB" w:rsidR="00AB7F80" w:rsidP="00AB7F80" w:rsidRDefault="00AB7F80" w14:paraId="07C75C75" w14:textId="77777777">
      <w:pPr>
        <w:spacing w:after="0" w:line="360" w:lineRule="auto"/>
        <w:ind w:left="567" w:right="539"/>
        <w:rPr>
          <w:rFonts w:eastAsia="Calibri" w:cs="Tahoma"/>
          <w:bCs/>
          <w:i/>
          <w:color w:val="auto"/>
          <w:sz w:val="20"/>
          <w:lang w:val="es-ES"/>
        </w:rPr>
      </w:pPr>
    </w:p>
    <w:p w:rsidRPr="00823DDB" w:rsidR="00AB7F80" w:rsidP="00AB7F80" w:rsidRDefault="00AB7F80" w14:paraId="063298FF" w14:textId="77777777">
      <w:pPr>
        <w:spacing w:after="0" w:line="360" w:lineRule="auto"/>
        <w:ind w:left="567" w:right="539"/>
        <w:rPr>
          <w:rFonts w:eastAsia="Calibri" w:cs="Tahoma"/>
          <w:b/>
          <w:bCs/>
          <w:i/>
          <w:color w:val="auto"/>
          <w:sz w:val="20"/>
          <w:lang w:val="es-ES"/>
        </w:rPr>
      </w:pPr>
      <w:r w:rsidRPr="00823DDB">
        <w:rPr>
          <w:rFonts w:eastAsia="Calibri" w:cs="Tahoma"/>
          <w:b/>
          <w:bCs/>
          <w:i/>
          <w:color w:val="auto"/>
          <w:sz w:val="20"/>
          <w:lang w:val="es-ES"/>
        </w:rPr>
        <w:t xml:space="preserve">CLAVE CATASTRAL ORIGINAL: </w:t>
      </w:r>
      <w:r w:rsidRPr="00823DDB">
        <w:rPr>
          <w:rFonts w:eastAsia="Calibri" w:cs="Tahoma"/>
          <w:bCs/>
          <w:i/>
          <w:color w:val="auto"/>
          <w:sz w:val="20"/>
          <w:lang w:val="es-ES"/>
        </w:rPr>
        <w:t>Código que identifica al objeto espacial el cual es asignado, por el Catastro Estatal, Municipal o por el registro Agrario Nacional”</w:t>
      </w:r>
      <w:r w:rsidRPr="00823DDB">
        <w:rPr>
          <w:rFonts w:eastAsia="Calibri" w:cs="Tahoma"/>
          <w:b/>
          <w:bCs/>
          <w:i/>
          <w:color w:val="auto"/>
          <w:sz w:val="20"/>
          <w:lang w:val="es-ES"/>
        </w:rPr>
        <w:t xml:space="preserve"> </w:t>
      </w:r>
    </w:p>
    <w:p w:rsidRPr="00823DDB" w:rsidR="00AB7F80" w:rsidP="00AB7F80" w:rsidRDefault="00AB7F80" w14:paraId="5E2433B8" w14:textId="77777777">
      <w:pPr>
        <w:spacing w:after="0" w:line="360" w:lineRule="auto"/>
        <w:ind w:right="-93"/>
        <w:rPr>
          <w:rFonts w:eastAsia="Calibri" w:cs="Tahoma"/>
          <w:bCs/>
          <w:color w:val="auto"/>
          <w:lang w:val="es-ES"/>
        </w:rPr>
      </w:pPr>
    </w:p>
    <w:p w:rsidRPr="00823DDB" w:rsidR="00DC492C" w:rsidP="00AF364C" w:rsidRDefault="00AB7F80" w14:paraId="7937671F" w14:textId="25A76E11">
      <w:pPr>
        <w:spacing w:after="0" w:line="360" w:lineRule="auto"/>
        <w:ind w:right="-93"/>
        <w:rPr>
          <w:rFonts w:eastAsia="Times New Roman" w:cs="Tahoma"/>
          <w:bCs/>
          <w:iCs/>
          <w:color w:val="auto"/>
          <w:lang w:eastAsia="es-ES"/>
        </w:rPr>
      </w:pPr>
      <w:r w:rsidRPr="00823DDB">
        <w:rPr>
          <w:rFonts w:eastAsia="Calibri" w:cs="Tahoma"/>
          <w:bCs/>
          <w:color w:val="auto"/>
          <w:lang w:val="es-E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823DDB">
        <w:rPr>
          <w:rFonts w:eastAsia="Calibri" w:cs="Tahoma"/>
          <w:b/>
          <w:bCs/>
          <w:color w:val="auto"/>
          <w:lang w:val="es-ES"/>
        </w:rPr>
        <w:t>procede a clasificar dicho dato como confidencial</w:t>
      </w:r>
      <w:r w:rsidRPr="00823DDB" w:rsidR="00AF364C">
        <w:rPr>
          <w:rFonts w:eastAsia="Calibri" w:cs="Tahoma"/>
          <w:b/>
          <w:bCs/>
          <w:color w:val="auto"/>
          <w:lang w:val="es-ES"/>
        </w:rPr>
        <w:t xml:space="preserve">, en </w:t>
      </w:r>
      <w:r w:rsidRPr="00823DDB" w:rsidR="00AF364C">
        <w:rPr>
          <w:rFonts w:eastAsia="Times New Roman" w:cs="Tahoma"/>
          <w:b/>
          <w:bCs/>
          <w:iCs/>
          <w:color w:val="auto"/>
          <w:lang w:eastAsia="es-ES"/>
        </w:rPr>
        <w:t>términos del artículo 143, fracción I de la Ley de Transparencia y Acceso a la Información Pública del Estado de México y Municipios.</w:t>
      </w:r>
    </w:p>
    <w:p w:rsidRPr="00823DDB" w:rsidR="00DC492C" w:rsidP="007C44A8" w:rsidRDefault="00DC492C" w14:paraId="77F000AC" w14:textId="77777777">
      <w:pPr>
        <w:spacing w:after="0" w:line="360" w:lineRule="auto"/>
        <w:rPr>
          <w:rFonts w:eastAsia="Times New Roman" w:cs="Tahoma"/>
          <w:bCs/>
          <w:iCs/>
          <w:color w:val="auto"/>
          <w:lang w:eastAsia="es-ES"/>
        </w:rPr>
      </w:pPr>
    </w:p>
    <w:p w:rsidRPr="00823DDB" w:rsidR="00406021" w:rsidP="007C44A8" w:rsidRDefault="00406021" w14:paraId="04E886F3" w14:textId="77777777">
      <w:pPr>
        <w:spacing w:after="0" w:line="360" w:lineRule="auto"/>
        <w:rPr>
          <w:rFonts w:eastAsia="Times New Roman" w:cs="Tahoma"/>
          <w:bCs/>
          <w:iCs/>
          <w:color w:val="auto"/>
          <w:lang w:eastAsia="es-ES"/>
        </w:rPr>
      </w:pPr>
    </w:p>
    <w:p w:rsidRPr="00823DDB" w:rsidR="00406021" w:rsidP="007C44A8" w:rsidRDefault="00406021" w14:paraId="678DBB44" w14:textId="77777777">
      <w:pPr>
        <w:spacing w:after="0" w:line="360" w:lineRule="auto"/>
        <w:rPr>
          <w:rFonts w:eastAsia="Times New Roman" w:cs="Tahoma"/>
          <w:bCs/>
          <w:iCs/>
          <w:color w:val="auto"/>
          <w:lang w:eastAsia="es-ES"/>
        </w:rPr>
      </w:pPr>
    </w:p>
    <w:p w:rsidRPr="00823DDB" w:rsidR="0006759C" w:rsidP="0006759C" w:rsidRDefault="0006759C" w14:paraId="47E49077" w14:textId="77777777">
      <w:pPr>
        <w:spacing w:after="0" w:line="360" w:lineRule="auto"/>
        <w:ind w:right="-28"/>
        <w:rPr>
          <w:rFonts w:eastAsia="Times New Roman" w:cs="Tahoma"/>
          <w:bCs/>
          <w:iCs/>
          <w:color w:val="auto"/>
          <w:lang w:eastAsia="es-ES"/>
        </w:rPr>
      </w:pPr>
      <w:r w:rsidRPr="00823DDB">
        <w:rPr>
          <w:rFonts w:eastAsia="Times New Roman" w:cs="Tahoma"/>
          <w:bCs/>
          <w:iCs/>
          <w:color w:val="auto"/>
          <w:lang w:eastAsia="es-ES"/>
        </w:rPr>
        <w:lastRenderedPageBreak/>
        <w:t xml:space="preserve">Conforme a la naturaleza de la información analizada, el Sujeto Obligado </w:t>
      </w:r>
      <w:r w:rsidRPr="00823DDB">
        <w:rPr>
          <w:rFonts w:eastAsia="Times New Roman" w:cs="Tahoma"/>
          <w:bCs/>
          <w:color w:val="auto"/>
          <w:lang w:val="es-ES_tradnl" w:eastAsia="es-ES"/>
        </w:rPr>
        <w:t>deberá elaborar la versión pública respectiva; a</w:t>
      </w:r>
      <w:r w:rsidRPr="00823DDB">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823DDB" w:rsidR="0006759C" w:rsidP="0006759C" w:rsidRDefault="0006759C" w14:paraId="26870EBB" w14:textId="77777777">
      <w:pPr>
        <w:spacing w:after="0" w:line="360" w:lineRule="auto"/>
        <w:rPr>
          <w:rFonts w:eastAsia="Times New Roman" w:cs="Tahoma"/>
          <w:bCs/>
          <w:color w:val="auto"/>
          <w:lang w:val="es-ES" w:eastAsia="es-ES"/>
        </w:rPr>
      </w:pPr>
    </w:p>
    <w:p w:rsidRPr="00823DDB" w:rsidR="0006759C" w:rsidP="0006759C" w:rsidRDefault="0006759C" w14:paraId="264CEC2F" w14:textId="77777777">
      <w:pPr>
        <w:spacing w:after="0" w:line="360" w:lineRule="auto"/>
        <w:rPr>
          <w:rFonts w:eastAsia="Times New Roman" w:cs="Tahoma"/>
          <w:bCs/>
          <w:color w:val="auto"/>
          <w:lang w:val="es-ES" w:eastAsia="es-ES"/>
        </w:rPr>
      </w:pPr>
      <w:r w:rsidRPr="00823DDB">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823DDB" w:rsidR="007C44A8" w:rsidP="007C44A8" w:rsidRDefault="007C44A8" w14:paraId="602195F5" w14:textId="77777777">
      <w:pPr>
        <w:spacing w:after="0" w:line="360" w:lineRule="auto"/>
        <w:rPr>
          <w:rFonts w:eastAsia="Times New Roman" w:cs="Tahoma"/>
          <w:bCs/>
          <w:iCs/>
          <w:color w:val="auto"/>
          <w:lang w:eastAsia="es-ES"/>
        </w:rPr>
      </w:pPr>
    </w:p>
    <w:p w:rsidRPr="00823DDB" w:rsidR="001900B4" w:rsidP="001900B4" w:rsidRDefault="001900B4" w14:paraId="1C5A2A33" w14:textId="5DBABE40">
      <w:pPr>
        <w:spacing w:after="0"/>
        <w:rPr>
          <w:rFonts w:cs="Tahoma"/>
          <w:b/>
        </w:rPr>
      </w:pPr>
      <w:r w:rsidRPr="00823DDB">
        <w:rPr>
          <w:rFonts w:cs="Tahoma"/>
          <w:b/>
        </w:rPr>
        <w:t xml:space="preserve">SEXTO. Decisión. </w:t>
      </w:r>
    </w:p>
    <w:p w:rsidRPr="00823DDB" w:rsidR="001900B4" w:rsidP="001900B4" w:rsidRDefault="001900B4" w14:paraId="4A11B667" w14:textId="77777777">
      <w:pPr>
        <w:spacing w:after="0"/>
        <w:rPr>
          <w:rFonts w:cs="Tahoma"/>
          <w:b/>
        </w:rPr>
      </w:pPr>
    </w:p>
    <w:p w:rsidRPr="00823DDB" w:rsidR="004D1B7A" w:rsidP="00682222" w:rsidRDefault="001900B4" w14:paraId="3DA06C56" w14:textId="48EAD147">
      <w:pPr>
        <w:widowControl w:val="0"/>
        <w:spacing w:after="0" w:line="360" w:lineRule="auto"/>
        <w:rPr>
          <w:rFonts w:eastAsia="Calibri" w:cs="Tahoma"/>
          <w:iCs/>
          <w:lang w:eastAsia="es-ES_tradnl"/>
        </w:rPr>
      </w:pPr>
      <w:r w:rsidRPr="00823DDB">
        <w:rPr>
          <w:rFonts w:cs="Tahoma"/>
        </w:rPr>
        <w:t xml:space="preserve">Con fundamento en el artículo 186, fracción III, de la Ley de Transparencia y Acceso a la Información Pública del Estado de México y Municipios, este Instituto considera procedente </w:t>
      </w:r>
      <w:r w:rsidRPr="00823DDB" w:rsidR="004D1B7A">
        <w:rPr>
          <w:rFonts w:cs="Tahoma"/>
          <w:b/>
        </w:rPr>
        <w:t>REVOCAR</w:t>
      </w:r>
      <w:r w:rsidRPr="00823DDB">
        <w:rPr>
          <w:rFonts w:cs="Tahoma"/>
          <w:b/>
        </w:rPr>
        <w:t xml:space="preserve"> </w:t>
      </w:r>
      <w:r w:rsidRPr="00823DDB">
        <w:rPr>
          <w:rFonts w:cs="Tahoma"/>
          <w:bCs/>
        </w:rPr>
        <w:t>la</w:t>
      </w:r>
      <w:r w:rsidRPr="00823DDB">
        <w:rPr>
          <w:rFonts w:cs="Tahoma"/>
        </w:rPr>
        <w:t xml:space="preserve"> respuesta otorgada por el</w:t>
      </w:r>
      <w:r w:rsidRPr="00823DDB" w:rsidR="00EF0D39">
        <w:rPr>
          <w:rFonts w:cs="Tahoma"/>
        </w:rPr>
        <w:t xml:space="preserve"> </w:t>
      </w:r>
      <w:r w:rsidRPr="00823DDB" w:rsidR="005622BA">
        <w:rPr>
          <w:rFonts w:eastAsia="Calibri" w:cs="Tahoma"/>
        </w:rPr>
        <w:t>Ayuntamiento de Naucalpan de Juárez</w:t>
      </w:r>
      <w:r w:rsidRPr="00823DDB" w:rsidR="00EF0D39">
        <w:rPr>
          <w:rFonts w:eastAsia="Calibri" w:cs="Tahoma"/>
        </w:rPr>
        <w:t xml:space="preserve">, </w:t>
      </w:r>
      <w:r w:rsidRPr="00823DDB" w:rsidR="00DD2536">
        <w:rPr>
          <w:rFonts w:eastAsia="Calibri" w:cs="Tahoma"/>
        </w:rPr>
        <w:t xml:space="preserve">e instruye al Sujeto Obligado </w:t>
      </w:r>
      <w:r w:rsidRPr="00823DDB">
        <w:rPr>
          <w:rFonts w:cs="Tahoma"/>
        </w:rPr>
        <w:t>a efecto de que</w:t>
      </w:r>
      <w:r w:rsidRPr="00823DDB" w:rsidR="006A0781">
        <w:rPr>
          <w:rFonts w:cs="Tahoma"/>
        </w:rPr>
        <w:t xml:space="preserve"> </w:t>
      </w:r>
      <w:r w:rsidRPr="00823DDB">
        <w:rPr>
          <w:rFonts w:cs="Tahoma"/>
        </w:rPr>
        <w:t xml:space="preserve">entregue, </w:t>
      </w:r>
      <w:r w:rsidRPr="00823DDB">
        <w:rPr>
          <w:rFonts w:eastAsia="Calibri" w:cs="Tahoma"/>
          <w:iCs/>
          <w:lang w:eastAsia="es-ES_tradnl"/>
        </w:rPr>
        <w:t>a través del Sistema de Acceso a la Información Mexiquense (SAIMEX),</w:t>
      </w:r>
      <w:r w:rsidRPr="00823DDB" w:rsidR="00682222">
        <w:rPr>
          <w:rFonts w:eastAsia="Calibri" w:cs="Tahoma"/>
          <w:iCs/>
          <w:lang w:eastAsia="es-ES_tradnl"/>
        </w:rPr>
        <w:t xml:space="preserve"> l</w:t>
      </w:r>
      <w:r w:rsidRPr="00823DDB" w:rsidR="00311811">
        <w:rPr>
          <w:rFonts w:eastAsia="Calibri" w:cs="Tahoma"/>
          <w:iCs/>
          <w:lang w:eastAsia="es-ES_tradnl"/>
        </w:rPr>
        <w:t xml:space="preserve">a </w:t>
      </w:r>
      <w:r w:rsidRPr="00823DDB" w:rsidR="0019678D">
        <w:rPr>
          <w:rFonts w:eastAsia="Calibri" w:cs="Tahoma"/>
          <w:iCs/>
          <w:lang w:eastAsia="es-ES_tradnl"/>
        </w:rPr>
        <w:t xml:space="preserve">versión pública </w:t>
      </w:r>
      <w:r w:rsidRPr="00823DDB" w:rsidR="004D1B7A">
        <w:rPr>
          <w:rFonts w:eastAsia="Calibri" w:cs="Tahoma"/>
          <w:iCs/>
          <w:lang w:eastAsia="es-ES_tradnl"/>
        </w:rPr>
        <w:t xml:space="preserve">de </w:t>
      </w:r>
      <w:r w:rsidRPr="00823DDB" w:rsidR="00C03894">
        <w:rPr>
          <w:rFonts w:eastAsia="Calibri" w:cs="Tahoma"/>
          <w:iCs/>
          <w:lang w:eastAsia="es-ES_tradnl"/>
        </w:rPr>
        <w:t xml:space="preserve">la </w:t>
      </w:r>
      <w:r w:rsidRPr="00823DDB" w:rsidR="004D1B7A">
        <w:rPr>
          <w:rFonts w:eastAsia="Calibri" w:cs="Tahoma"/>
          <w:bCs/>
          <w:iCs/>
          <w:lang w:val="es-ES_tradnl" w:eastAsia="es-ES_tradnl"/>
        </w:rPr>
        <w:t xml:space="preserve">licencia de obra nueva </w:t>
      </w:r>
      <w:r w:rsidRPr="00823DDB" w:rsidR="004D1B7A">
        <w:rPr>
          <w:rFonts w:eastAsia="Calibri" w:cs="Tahoma"/>
          <w:b/>
          <w:bCs/>
          <w:iCs/>
          <w:lang w:val="es-ES_tradnl" w:eastAsia="es-ES_tradnl"/>
        </w:rPr>
        <w:t>DGDU/DLC/0502A</w:t>
      </w:r>
      <w:r w:rsidRPr="00823DDB" w:rsidR="004D1B7A">
        <w:rPr>
          <w:rFonts w:eastAsia="Calibri" w:cs="Tahoma"/>
          <w:bCs/>
          <w:iCs/>
          <w:lang w:val="es-ES_tradnl" w:eastAsia="es-ES_tradnl"/>
        </w:rPr>
        <w:t xml:space="preserve"> y constancia de terminación de obra (Constancia de terminación de modificación, ampliación y excavación) </w:t>
      </w:r>
      <w:r w:rsidRPr="00823DDB" w:rsidR="004D1B7A">
        <w:rPr>
          <w:rFonts w:eastAsia="Calibri" w:cs="Tahoma"/>
          <w:b/>
          <w:bCs/>
          <w:iCs/>
          <w:lang w:val="es-ES_tradnl" w:eastAsia="es-ES_tradnl"/>
        </w:rPr>
        <w:t xml:space="preserve">DGDU/DLC/0502B, </w:t>
      </w:r>
      <w:r w:rsidRPr="00823DDB" w:rsidR="004D1B7A">
        <w:rPr>
          <w:rFonts w:eastAsia="Calibri" w:cs="Tahoma"/>
          <w:iCs/>
          <w:lang w:val="es-ES_tradnl" w:eastAsia="es-ES_tradnl"/>
        </w:rPr>
        <w:t xml:space="preserve">a las que hace referencia el Sujeto </w:t>
      </w:r>
      <w:r w:rsidRPr="00823DDB" w:rsidR="005B301B">
        <w:rPr>
          <w:rFonts w:eastAsia="Calibri" w:cs="Tahoma"/>
          <w:iCs/>
          <w:lang w:val="es-ES_tradnl" w:eastAsia="es-ES_tradnl"/>
        </w:rPr>
        <w:t xml:space="preserve">Obligado en Informe Justificado y de la licencia de uso de suelo del bien inmueble identificado en la solicitud </w:t>
      </w:r>
      <w:r w:rsidRPr="00823DDB" w:rsidR="00A2409D">
        <w:rPr>
          <w:rFonts w:eastAsia="Calibri" w:cs="Tahoma"/>
          <w:iCs/>
          <w:lang w:val="es-ES_tradnl" w:eastAsia="es-ES_tradnl"/>
        </w:rPr>
        <w:t>inicial</w:t>
      </w:r>
      <w:r w:rsidRPr="00823DDB" w:rsidR="005B301B">
        <w:rPr>
          <w:rFonts w:eastAsia="Calibri" w:cs="Tahoma"/>
          <w:iCs/>
          <w:lang w:val="es-ES_tradnl" w:eastAsia="es-ES_tradnl"/>
        </w:rPr>
        <w:t xml:space="preserve"> por el Particular.</w:t>
      </w:r>
    </w:p>
    <w:p w:rsidRPr="00823DDB" w:rsidR="00682222" w:rsidP="00682222" w:rsidRDefault="00682222" w14:paraId="18B3D0B6" w14:textId="77777777">
      <w:pPr>
        <w:widowControl w:val="0"/>
        <w:spacing w:after="0" w:line="360" w:lineRule="auto"/>
        <w:rPr>
          <w:rFonts w:eastAsia="Calibri" w:cs="Tahoma"/>
          <w:iCs/>
          <w:lang w:eastAsia="es-ES_tradnl"/>
        </w:rPr>
      </w:pPr>
    </w:p>
    <w:p w:rsidRPr="00823DDB" w:rsidR="00406021" w:rsidP="00682222" w:rsidRDefault="00406021" w14:paraId="27BD5F0B" w14:textId="77777777">
      <w:pPr>
        <w:widowControl w:val="0"/>
        <w:spacing w:after="0" w:line="360" w:lineRule="auto"/>
        <w:rPr>
          <w:rFonts w:eastAsia="Calibri" w:cs="Tahoma"/>
          <w:iCs/>
          <w:lang w:eastAsia="es-ES_tradnl"/>
        </w:rPr>
      </w:pPr>
    </w:p>
    <w:p w:rsidRPr="00823DDB" w:rsidR="00406021" w:rsidP="00682222" w:rsidRDefault="00406021" w14:paraId="26F3EF5B" w14:textId="77777777">
      <w:pPr>
        <w:widowControl w:val="0"/>
        <w:spacing w:after="0" w:line="360" w:lineRule="auto"/>
        <w:rPr>
          <w:rFonts w:eastAsia="Calibri" w:cs="Tahoma"/>
          <w:iCs/>
          <w:lang w:eastAsia="es-ES_tradnl"/>
        </w:rPr>
      </w:pPr>
    </w:p>
    <w:p w:rsidRPr="00823DDB" w:rsidR="00C853D1" w:rsidP="00682222" w:rsidRDefault="00682222" w14:paraId="3C441B25" w14:textId="6DDA772F">
      <w:pPr>
        <w:tabs>
          <w:tab w:val="left" w:pos="4962"/>
        </w:tabs>
        <w:spacing w:after="0" w:line="360" w:lineRule="auto"/>
        <w:rPr>
          <w:rFonts w:eastAsia="Calibri" w:cs="Tahoma"/>
          <w:bCs/>
          <w:iCs/>
          <w:color w:val="auto"/>
          <w:lang w:val="es-ES"/>
        </w:rPr>
      </w:pPr>
      <w:r w:rsidRPr="00823DDB">
        <w:rPr>
          <w:rFonts w:eastAsia="Calibri" w:cs="Tahoma"/>
          <w:bCs/>
          <w:iCs/>
          <w:color w:val="auto"/>
          <w:lang w:val="es-ES"/>
        </w:rPr>
        <w:lastRenderedPageBreak/>
        <w:t xml:space="preserve">Además, </w:t>
      </w:r>
      <w:r w:rsidRPr="00823DDB" w:rsidR="004D1B7A">
        <w:rPr>
          <w:rFonts w:eastAsia="Calibri" w:cs="Tahoma"/>
          <w:bCs/>
          <w:iCs/>
          <w:color w:val="auto"/>
          <w:lang w:val="es-ES"/>
        </w:rPr>
        <w:t xml:space="preserve">de ser necesario </w:t>
      </w:r>
      <w:r w:rsidRPr="00823DDB">
        <w:rPr>
          <w:rFonts w:eastAsia="Calibri" w:cs="Tahoma"/>
          <w:bCs/>
          <w:iCs/>
          <w:color w:val="auto"/>
          <w:lang w:val="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823DDB" w:rsidR="00682222" w:rsidP="00C853D1" w:rsidRDefault="00682222" w14:paraId="3CF302AD" w14:textId="77777777">
      <w:pPr>
        <w:spacing w:after="0" w:line="360" w:lineRule="auto"/>
      </w:pPr>
    </w:p>
    <w:p w:rsidRPr="00823DDB" w:rsidR="00C853D1" w:rsidP="00C853D1" w:rsidRDefault="00C853D1" w14:paraId="1BD24118" w14:textId="77777777">
      <w:pPr>
        <w:spacing w:after="0" w:line="360" w:lineRule="auto"/>
        <w:rPr>
          <w:b/>
          <w:bCs/>
        </w:rPr>
      </w:pPr>
      <w:r w:rsidRPr="00823DDB">
        <w:rPr>
          <w:b/>
          <w:bCs/>
        </w:rPr>
        <w:t>Términos de la Resolución.</w:t>
      </w:r>
    </w:p>
    <w:p w:rsidRPr="00823DDB" w:rsidR="00C853D1" w:rsidP="000223B0" w:rsidRDefault="00C853D1" w14:paraId="6C1809B6" w14:textId="3933B954">
      <w:pPr>
        <w:spacing w:after="0" w:line="360" w:lineRule="auto"/>
      </w:pPr>
    </w:p>
    <w:p w:rsidRPr="00823DDB" w:rsidR="00E34150" w:rsidP="00682222" w:rsidRDefault="000223B0" w14:paraId="175FE249" w14:textId="1DF97CA2">
      <w:pPr>
        <w:spacing w:after="0" w:line="360" w:lineRule="auto"/>
        <w:ind w:right="-28"/>
        <w:rPr>
          <w:rFonts w:eastAsia="Calibri" w:cs="Tahoma"/>
        </w:rPr>
      </w:pPr>
      <w:r w:rsidRPr="00823DDB">
        <w:rPr>
          <w:rFonts w:eastAsia="Times New Roman" w:cs="Times New Roman"/>
          <w:lang w:eastAsia="es-MX"/>
        </w:rPr>
        <w:t xml:space="preserve">Se le hace del conocimiento al Particular, que, en el presente caso, se le concede la razón, pues el </w:t>
      </w:r>
      <w:r w:rsidRPr="00823DDB" w:rsidR="005622BA">
        <w:rPr>
          <w:rFonts w:eastAsia="Calibri" w:cs="Tahoma"/>
        </w:rPr>
        <w:t>Ayuntamiento de Naucalpan de Juárez</w:t>
      </w:r>
      <w:r w:rsidRPr="00823DDB">
        <w:rPr>
          <w:rFonts w:eastAsia="Calibri" w:cs="Tahoma"/>
        </w:rPr>
        <w:t xml:space="preserve">, </w:t>
      </w:r>
      <w:r w:rsidRPr="00823DDB" w:rsidR="00E34150">
        <w:rPr>
          <w:rFonts w:eastAsia="Calibri" w:cs="Tahoma"/>
        </w:rPr>
        <w:t xml:space="preserve">no proporciono la información que es de su interés, no </w:t>
      </w:r>
      <w:r w:rsidRPr="00823DDB" w:rsidR="005D25ED">
        <w:rPr>
          <w:rFonts w:eastAsia="Calibri" w:cs="Tahoma"/>
        </w:rPr>
        <w:t>obstante</w:t>
      </w:r>
      <w:r w:rsidRPr="00823DDB" w:rsidR="00E34150">
        <w:rPr>
          <w:rFonts w:eastAsia="Calibri" w:cs="Tahoma"/>
        </w:rPr>
        <w:t>, durante la susta</w:t>
      </w:r>
      <w:r w:rsidRPr="00823DDB" w:rsidR="005D25ED">
        <w:rPr>
          <w:rFonts w:eastAsia="Calibri" w:cs="Tahoma"/>
        </w:rPr>
        <w:t xml:space="preserve">nciación del presente Medio de Impugnación el Sujeto Obligado identifico los documentos que dan cuenta de </w:t>
      </w:r>
      <w:r w:rsidRPr="00823DDB" w:rsidR="00DC3DEF">
        <w:rPr>
          <w:rFonts w:eastAsia="Calibri" w:cs="Tahoma"/>
        </w:rPr>
        <w:t xml:space="preserve">lo solicitado, sin embargo, no le fueron proporcionados, en ese sentido, los efectos de esta Resolución son ordenar al Ente Recurrido a que le haga entrega de </w:t>
      </w:r>
      <w:r w:rsidRPr="00823DDB" w:rsidR="000244FF">
        <w:rPr>
          <w:rFonts w:eastAsia="Calibri" w:cs="Tahoma"/>
        </w:rPr>
        <w:t>los documentos identificados por el Ayuntamiento de Naucalpan de Juárez al presentar su Informe Justificado.</w:t>
      </w:r>
    </w:p>
    <w:p w:rsidRPr="00823DDB" w:rsidR="00682222" w:rsidP="00682222" w:rsidRDefault="00682222" w14:paraId="7726842E" w14:textId="77777777">
      <w:pPr>
        <w:spacing w:after="0" w:line="360" w:lineRule="auto"/>
        <w:ind w:right="-28"/>
        <w:rPr>
          <w:rFonts w:eastAsia="Calibri" w:cs="Tahoma"/>
          <w:bCs/>
          <w:iCs/>
          <w:color w:val="auto"/>
        </w:rPr>
      </w:pPr>
    </w:p>
    <w:p w:rsidRPr="00823DDB" w:rsidR="000223B0" w:rsidP="00682222" w:rsidRDefault="000223B0" w14:paraId="1FB30D36" w14:textId="38E441CE">
      <w:pPr>
        <w:spacing w:after="0" w:line="360" w:lineRule="auto"/>
        <w:ind w:right="-28"/>
        <w:rPr>
          <w:rFonts w:eastAsia="Calibri" w:cs="Tahoma"/>
        </w:rPr>
      </w:pPr>
      <w:r w:rsidRPr="00823DDB">
        <w:rPr>
          <w:rFonts w:eastAsia="Calibri" w:cs="Tahoma"/>
          <w:bCs/>
          <w:iCs/>
          <w:color w:val="auto"/>
        </w:rPr>
        <w:t>Finalmente,</w:t>
      </w:r>
      <w:r w:rsidRPr="00823DDB" w:rsidR="00406021">
        <w:rPr>
          <w:rFonts w:eastAsia="Calibri" w:cs="Tahoma"/>
          <w:bCs/>
          <w:iCs/>
          <w:color w:val="auto"/>
        </w:rPr>
        <w:t xml:space="preserve"> se le informa que</w:t>
      </w:r>
      <w:r w:rsidRPr="00823DDB">
        <w:rPr>
          <w:rFonts w:eastAsia="Calibri" w:cs="Tahoma"/>
          <w:bCs/>
          <w:iCs/>
          <w:color w:val="auto"/>
        </w:rPr>
        <w:t xml:space="preserve"> la labor de este Instituto</w:t>
      </w:r>
      <w:r w:rsidRPr="00823DDB" w:rsidR="00406021">
        <w:rPr>
          <w:rFonts w:eastAsia="Calibri" w:cs="Tahoma"/>
          <w:bCs/>
          <w:iCs/>
          <w:color w:val="auto"/>
        </w:rPr>
        <w:t xml:space="preserve"> de Transparencia, Acceso a la Información Pública y Protección de Datos Personales del Estado de México y Municipios</w:t>
      </w:r>
      <w:r w:rsidRPr="00823DDB">
        <w:rPr>
          <w:rFonts w:eastAsia="Calibri" w:cs="Tahoma"/>
          <w:bCs/>
          <w:iCs/>
          <w:color w:val="auto"/>
        </w:rPr>
        <w:t>, es apoyar a la población a acceder a la información pública y garantizar la protección de los datos personales.</w:t>
      </w:r>
    </w:p>
    <w:p w:rsidRPr="00823DDB" w:rsidR="00C853D1" w:rsidP="00C853D1" w:rsidRDefault="00C853D1" w14:paraId="457213AE" w14:textId="77777777">
      <w:pPr>
        <w:spacing w:after="0" w:line="360" w:lineRule="auto"/>
      </w:pPr>
    </w:p>
    <w:p w:rsidRPr="00823DDB" w:rsidR="00C853D1" w:rsidP="00C853D1" w:rsidRDefault="00C853D1" w14:paraId="4469D1A7" w14:textId="77777777">
      <w:pPr>
        <w:spacing w:after="0" w:line="360" w:lineRule="auto"/>
        <w:rPr>
          <w:rFonts w:eastAsia="Calibri" w:cs="Tahoma"/>
          <w:bCs/>
          <w:color w:val="auto"/>
        </w:rPr>
      </w:pPr>
      <w:r w:rsidRPr="00823DDB">
        <w:t>Por</w:t>
      </w:r>
      <w:r w:rsidRPr="00823DDB">
        <w:rPr>
          <w:rFonts w:eastAsia="Calibri" w:cs="Tahoma"/>
          <w:bCs/>
          <w:color w:val="auto"/>
        </w:rPr>
        <w:t xml:space="preserve"> lo expuesto y fundado, este Pleno:</w:t>
      </w:r>
    </w:p>
    <w:p w:rsidRPr="00823DDB" w:rsidR="00C853D1" w:rsidP="00C853D1" w:rsidRDefault="00C853D1" w14:paraId="2A9CCC89" w14:textId="77777777">
      <w:pPr>
        <w:spacing w:after="0" w:line="360" w:lineRule="auto"/>
        <w:ind w:right="-28"/>
        <w:rPr>
          <w:rFonts w:eastAsia="Calibri" w:cs="Tahoma"/>
          <w:bCs/>
          <w:color w:val="auto"/>
        </w:rPr>
      </w:pPr>
    </w:p>
    <w:p w:rsidRPr="00823DDB" w:rsidR="00C853D1" w:rsidP="00C853D1" w:rsidRDefault="00C853D1" w14:paraId="5C5F6794" w14:textId="77777777">
      <w:pPr>
        <w:spacing w:after="0" w:line="360" w:lineRule="auto"/>
        <w:ind w:right="-28"/>
        <w:jc w:val="center"/>
        <w:rPr>
          <w:rFonts w:eastAsia="Calibri" w:cs="Tahoma"/>
          <w:b/>
          <w:bCs/>
          <w:color w:val="auto"/>
        </w:rPr>
      </w:pPr>
      <w:r w:rsidRPr="00823DDB">
        <w:rPr>
          <w:rFonts w:eastAsia="Calibri" w:cs="Tahoma"/>
          <w:b/>
          <w:bCs/>
          <w:color w:val="auto"/>
        </w:rPr>
        <w:t>R E S U E L V E:</w:t>
      </w:r>
    </w:p>
    <w:p w:rsidRPr="00823DDB" w:rsidR="00C853D1" w:rsidP="00C853D1" w:rsidRDefault="00C853D1" w14:paraId="5315815D" w14:textId="77777777">
      <w:pPr>
        <w:spacing w:after="0" w:line="360" w:lineRule="auto"/>
        <w:rPr>
          <w:lang w:val="es-ES" w:eastAsia="es-ES_tradnl"/>
        </w:rPr>
      </w:pPr>
    </w:p>
    <w:p w:rsidRPr="00823DDB" w:rsidR="00782132" w:rsidP="00782132" w:rsidRDefault="00782132" w14:paraId="3F37601B" w14:textId="7C2FF740">
      <w:pPr>
        <w:spacing w:after="0" w:line="360" w:lineRule="auto"/>
        <w:contextualSpacing/>
        <w:rPr>
          <w:rFonts w:eastAsia="Calibri" w:cs="Tahoma"/>
          <w:bCs/>
        </w:rPr>
      </w:pPr>
      <w:r w:rsidRPr="00823DDB">
        <w:rPr>
          <w:rFonts w:cs="Tahoma"/>
          <w:b/>
          <w:bCs/>
        </w:rPr>
        <w:t xml:space="preserve">PRIMERO. </w:t>
      </w:r>
      <w:r w:rsidRPr="00823DDB">
        <w:rPr>
          <w:rFonts w:cs="Tahoma"/>
          <w:bCs/>
        </w:rPr>
        <w:t xml:space="preserve">Se </w:t>
      </w:r>
      <w:r w:rsidRPr="00823DDB" w:rsidR="00682A40">
        <w:rPr>
          <w:rFonts w:cs="Tahoma"/>
          <w:b/>
          <w:bCs/>
        </w:rPr>
        <w:t>REVOCA</w:t>
      </w:r>
      <w:r w:rsidRPr="00823DDB">
        <w:rPr>
          <w:rFonts w:cs="Tahoma"/>
          <w:bCs/>
        </w:rPr>
        <w:t xml:space="preserve"> la respuesta entregada por el </w:t>
      </w:r>
      <w:r w:rsidRPr="00823DDB" w:rsidR="005622BA">
        <w:rPr>
          <w:rFonts w:eastAsia="Calibri" w:cs="Tahoma"/>
        </w:rPr>
        <w:t>Ayuntamiento de Naucalpan de Juárez</w:t>
      </w:r>
      <w:r w:rsidRPr="00823DDB" w:rsidR="00F060A2">
        <w:rPr>
          <w:rFonts w:cs="Tahoma"/>
          <w:bCs/>
        </w:rPr>
        <w:t xml:space="preserve"> </w:t>
      </w:r>
      <w:r w:rsidRPr="00823DDB">
        <w:rPr>
          <w:rFonts w:cs="Tahoma"/>
          <w:bCs/>
        </w:rPr>
        <w:t xml:space="preserve">a la solicitud de </w:t>
      </w:r>
      <w:r w:rsidRPr="00823DDB">
        <w:rPr>
          <w:rFonts w:eastAsia="Calibri" w:cs="Tahoma"/>
        </w:rPr>
        <w:t xml:space="preserve">información </w:t>
      </w:r>
      <w:r w:rsidRPr="00823DDB" w:rsidR="00E8428A">
        <w:rPr>
          <w:rFonts w:eastAsia="Calibri" w:cs="Tahoma"/>
          <w:b/>
          <w:bCs/>
        </w:rPr>
        <w:t>00977/NAUCALPA/IP/2022</w:t>
      </w:r>
      <w:r w:rsidRPr="00823DDB" w:rsidR="00E92B4A">
        <w:t xml:space="preserve"> </w:t>
      </w:r>
      <w:r w:rsidRPr="00823DDB">
        <w:t xml:space="preserve">por resultar </w:t>
      </w:r>
      <w:r w:rsidRPr="00823DDB">
        <w:rPr>
          <w:b/>
        </w:rPr>
        <w:t>FUNDADAS</w:t>
      </w:r>
      <w:r w:rsidRPr="00823DDB">
        <w:rPr>
          <w:rFonts w:cs="Tahoma"/>
        </w:rPr>
        <w:t xml:space="preserve"> </w:t>
      </w:r>
      <w:r w:rsidRPr="00823DDB">
        <w:rPr>
          <w:rFonts w:eastAsia="Calibri" w:cs="Tahoma"/>
        </w:rPr>
        <w:t xml:space="preserve">las razones </w:t>
      </w:r>
      <w:r w:rsidRPr="00823DDB">
        <w:rPr>
          <w:rFonts w:eastAsia="Calibri" w:cs="Tahoma"/>
        </w:rPr>
        <w:lastRenderedPageBreak/>
        <w:t>o motivos de inconformidad hechos valer por el Particular, en</w:t>
      </w:r>
      <w:r w:rsidRPr="00823DDB">
        <w:rPr>
          <w:rFonts w:eastAsia="Calibri" w:cs="Tahoma"/>
          <w:bCs/>
        </w:rPr>
        <w:t xml:space="preserve"> términos de los considerandos QUINTO </w:t>
      </w:r>
      <w:r w:rsidRPr="00823DDB">
        <w:rPr>
          <w:rFonts w:eastAsia="Calibri" w:cs="Tahoma"/>
        </w:rPr>
        <w:t xml:space="preserve">y </w:t>
      </w:r>
      <w:r w:rsidRPr="00823DDB">
        <w:rPr>
          <w:rFonts w:eastAsia="Calibri" w:cs="Tahoma"/>
          <w:bCs/>
        </w:rPr>
        <w:t>SEXTO de la presente Resolución.</w:t>
      </w:r>
    </w:p>
    <w:p w:rsidRPr="00823DDB" w:rsidR="00782132" w:rsidP="00782132" w:rsidRDefault="00782132" w14:paraId="4A6EB131" w14:textId="77777777">
      <w:pPr>
        <w:spacing w:after="0" w:line="360" w:lineRule="auto"/>
        <w:contextualSpacing/>
        <w:rPr>
          <w:rFonts w:eastAsia="Calibri" w:cs="Tahoma"/>
          <w:bCs/>
        </w:rPr>
      </w:pPr>
    </w:p>
    <w:p w:rsidRPr="00823DDB" w:rsidR="00D37588" w:rsidP="009A0DA6" w:rsidRDefault="00782132" w14:paraId="23F9CF20" w14:textId="77777777">
      <w:pPr>
        <w:spacing w:after="0" w:line="360" w:lineRule="auto"/>
        <w:contextualSpacing/>
        <w:rPr>
          <w:rFonts w:eastAsia="Calibri" w:cs="Tahoma"/>
          <w:iCs/>
          <w:lang w:eastAsia="es-ES_tradnl"/>
        </w:rPr>
      </w:pPr>
      <w:r w:rsidRPr="00823DDB">
        <w:rPr>
          <w:rFonts w:cs="Tahoma"/>
          <w:b/>
          <w:bCs/>
        </w:rPr>
        <w:t xml:space="preserve">SEGUNDO. </w:t>
      </w:r>
      <w:r w:rsidRPr="00823DDB">
        <w:rPr>
          <w:rFonts w:cs="Tahoma"/>
        </w:rPr>
        <w:t xml:space="preserve">Se </w:t>
      </w:r>
      <w:r w:rsidRPr="00823DDB">
        <w:rPr>
          <w:rFonts w:cs="Tahoma"/>
          <w:b/>
        </w:rPr>
        <w:t xml:space="preserve">ORDENA </w:t>
      </w:r>
      <w:r w:rsidRPr="00823DDB">
        <w:rPr>
          <w:rFonts w:cs="Tahoma"/>
          <w:bCs/>
        </w:rPr>
        <w:t xml:space="preserve">al </w:t>
      </w:r>
      <w:r w:rsidRPr="00823DDB">
        <w:rPr>
          <w:rFonts w:cs="Tahoma"/>
        </w:rPr>
        <w:t>Ente Recurrido, a efecto de</w:t>
      </w:r>
      <w:r w:rsidRPr="00823DDB">
        <w:rPr>
          <w:rFonts w:eastAsia="Calibri" w:cs="Tahoma"/>
          <w:lang w:eastAsia="es-MX"/>
        </w:rPr>
        <w:t xml:space="preserve"> que</w:t>
      </w:r>
      <w:r w:rsidRPr="00823DDB" w:rsidR="00D37588">
        <w:rPr>
          <w:rFonts w:eastAsia="Calibri" w:cs="Tahoma"/>
          <w:lang w:eastAsia="es-MX"/>
        </w:rPr>
        <w:t xml:space="preserve"> previa búsqueda exhaustiva y razonable en los archivos de las unidades administrativas competentes, </w:t>
      </w:r>
      <w:r w:rsidRPr="00823DDB">
        <w:rPr>
          <w:rFonts w:eastAsia="Calibri" w:cs="Tahoma"/>
          <w:lang w:eastAsia="es-MX"/>
        </w:rPr>
        <w:t xml:space="preserve"> entregue</w:t>
      </w:r>
      <w:r w:rsidRPr="00823DDB">
        <w:rPr>
          <w:rFonts w:cs="Tahoma"/>
        </w:rPr>
        <w:t xml:space="preserve">, a través del Sistema de Acceso a la Información Mexiquense (SAIMEX), </w:t>
      </w:r>
      <w:r w:rsidRPr="00823DDB" w:rsidR="00D37588">
        <w:rPr>
          <w:rFonts w:eastAsia="Calibri" w:cs="Tahoma"/>
          <w:iCs/>
          <w:lang w:eastAsia="es-ES_tradnl"/>
        </w:rPr>
        <w:t>la versión pública, de lo siguiente:</w:t>
      </w:r>
    </w:p>
    <w:p w:rsidRPr="00823DDB" w:rsidR="00D37588" w:rsidP="009A0DA6" w:rsidRDefault="00D37588" w14:paraId="29A0A593" w14:textId="77777777">
      <w:pPr>
        <w:spacing w:after="0" w:line="360" w:lineRule="auto"/>
        <w:contextualSpacing/>
        <w:rPr>
          <w:rFonts w:eastAsia="Calibri" w:cs="Tahoma"/>
          <w:iCs/>
          <w:lang w:eastAsia="es-ES_tradnl"/>
        </w:rPr>
      </w:pPr>
    </w:p>
    <w:p w:rsidRPr="00823DDB" w:rsidR="00D37588" w:rsidP="00D37588" w:rsidRDefault="00D37588" w14:paraId="6662311F" w14:textId="77777777">
      <w:pPr>
        <w:pStyle w:val="Prrafodelista"/>
        <w:numPr>
          <w:ilvl w:val="0"/>
          <w:numId w:val="30"/>
        </w:numPr>
        <w:spacing w:line="360" w:lineRule="auto"/>
        <w:rPr>
          <w:rFonts w:eastAsia="Calibri" w:cs="Tahoma"/>
          <w:iCs/>
          <w:lang w:val="es-ES_tradnl" w:eastAsia="es-ES_tradnl"/>
        </w:rPr>
      </w:pPr>
      <w:r w:rsidRPr="00823DDB">
        <w:rPr>
          <w:rFonts w:eastAsia="Calibri" w:cs="Tahoma"/>
          <w:iCs/>
          <w:lang w:eastAsia="es-ES_tradnl"/>
        </w:rPr>
        <w:t>L</w:t>
      </w:r>
      <w:r w:rsidRPr="00823DDB" w:rsidR="009A0DA6">
        <w:rPr>
          <w:rFonts w:eastAsia="Calibri" w:cs="Tahoma"/>
          <w:iCs/>
          <w:lang w:eastAsia="es-ES_tradnl"/>
        </w:rPr>
        <w:t xml:space="preserve">a </w:t>
      </w:r>
      <w:r w:rsidRPr="00823DDB" w:rsidR="009A0DA6">
        <w:rPr>
          <w:rFonts w:eastAsia="Calibri" w:cs="Tahoma"/>
          <w:bCs/>
          <w:iCs/>
          <w:lang w:val="es-ES_tradnl" w:eastAsia="es-ES_tradnl"/>
        </w:rPr>
        <w:t>licencia de obra nueva DGDU/DLC/0502A y constancia de terminación de obra DGDU/DLC/0502B</w:t>
      </w:r>
      <w:r w:rsidRPr="00823DDB" w:rsidR="009A0DA6">
        <w:rPr>
          <w:rFonts w:eastAsia="Calibri" w:cs="Tahoma"/>
          <w:b/>
          <w:bCs/>
          <w:iCs/>
          <w:lang w:val="es-ES_tradnl" w:eastAsia="es-ES_tradnl"/>
        </w:rPr>
        <w:t xml:space="preserve">, </w:t>
      </w:r>
      <w:r w:rsidRPr="00823DDB" w:rsidR="009A0DA6">
        <w:rPr>
          <w:rFonts w:eastAsia="Calibri" w:cs="Tahoma"/>
          <w:iCs/>
          <w:lang w:val="es-ES_tradnl" w:eastAsia="es-ES_tradnl"/>
        </w:rPr>
        <w:t xml:space="preserve">a las que hace referencia el Sujeto </w:t>
      </w:r>
      <w:r w:rsidRPr="00823DDB" w:rsidR="00A2409D">
        <w:rPr>
          <w:rFonts w:eastAsia="Calibri" w:cs="Tahoma"/>
          <w:iCs/>
          <w:lang w:val="es-ES_tradnl" w:eastAsia="es-ES_tradnl"/>
        </w:rPr>
        <w:t>Obligado en Informe Justificado</w:t>
      </w:r>
      <w:r w:rsidRPr="00823DDB">
        <w:rPr>
          <w:rFonts w:eastAsia="Calibri" w:cs="Tahoma"/>
          <w:iCs/>
          <w:lang w:val="es-ES_tradnl" w:eastAsia="es-ES_tradnl"/>
        </w:rPr>
        <w:t>, y</w:t>
      </w:r>
    </w:p>
    <w:p w:rsidRPr="00823DDB" w:rsidR="00406021" w:rsidP="00406021" w:rsidRDefault="00406021" w14:paraId="4356193D" w14:textId="77777777">
      <w:pPr>
        <w:pStyle w:val="Prrafodelista"/>
        <w:spacing w:line="360" w:lineRule="auto"/>
        <w:rPr>
          <w:rFonts w:eastAsia="Calibri" w:cs="Tahoma"/>
          <w:iCs/>
          <w:lang w:val="es-ES_tradnl" w:eastAsia="es-ES_tradnl"/>
        </w:rPr>
      </w:pPr>
    </w:p>
    <w:p w:rsidRPr="00823DDB" w:rsidR="00682222" w:rsidP="00D37588" w:rsidRDefault="00D37588" w14:paraId="52925707" w14:textId="6B1F3667">
      <w:pPr>
        <w:pStyle w:val="Prrafodelista"/>
        <w:numPr>
          <w:ilvl w:val="0"/>
          <w:numId w:val="30"/>
        </w:numPr>
        <w:spacing w:line="360" w:lineRule="auto"/>
        <w:rPr>
          <w:rFonts w:eastAsia="Calibri" w:cs="Tahoma"/>
          <w:iCs/>
          <w:lang w:val="es-ES_tradnl" w:eastAsia="es-ES_tradnl"/>
        </w:rPr>
      </w:pPr>
      <w:r w:rsidRPr="00823DDB">
        <w:rPr>
          <w:rFonts w:eastAsia="Calibri" w:cs="Tahoma"/>
          <w:iCs/>
          <w:lang w:val="es-ES_tradnl" w:eastAsia="es-ES_tradnl"/>
        </w:rPr>
        <w:t>L</w:t>
      </w:r>
      <w:r w:rsidRPr="00823DDB" w:rsidR="00A2409D">
        <w:rPr>
          <w:rFonts w:eastAsia="Calibri" w:cs="Tahoma"/>
          <w:iCs/>
          <w:lang w:val="es-ES_tradnl" w:eastAsia="es-ES_tradnl"/>
        </w:rPr>
        <w:t>a licencia de uso de suelo del bien inmueble identificado en la solicitud inicial por el Particular.</w:t>
      </w:r>
    </w:p>
    <w:p w:rsidRPr="00823DDB" w:rsidR="009A0DA6" w:rsidP="009A0DA6" w:rsidRDefault="009A0DA6" w14:paraId="097895B1" w14:textId="77777777">
      <w:pPr>
        <w:spacing w:after="0" w:line="360" w:lineRule="auto"/>
        <w:contextualSpacing/>
        <w:rPr>
          <w:rFonts w:eastAsia="Calibri" w:cs="Tahoma"/>
          <w:iCs/>
          <w:lang w:eastAsia="es-ES_tradnl"/>
        </w:rPr>
      </w:pPr>
    </w:p>
    <w:p w:rsidRPr="00823DDB" w:rsidR="00682222" w:rsidP="00682222" w:rsidRDefault="00682222" w14:paraId="2AB062C2" w14:textId="2819E8DC">
      <w:pPr>
        <w:tabs>
          <w:tab w:val="left" w:pos="4962"/>
        </w:tabs>
        <w:spacing w:after="0" w:line="360" w:lineRule="auto"/>
        <w:rPr>
          <w:rFonts w:eastAsia="Calibri" w:cs="Tahoma"/>
          <w:bCs/>
          <w:iCs/>
          <w:color w:val="auto"/>
          <w:lang w:val="es-ES"/>
        </w:rPr>
      </w:pPr>
      <w:r w:rsidRPr="00823DDB">
        <w:rPr>
          <w:rFonts w:eastAsia="Calibri" w:cs="Tahoma"/>
          <w:bCs/>
          <w:iCs/>
          <w:color w:val="auto"/>
          <w:lang w:val="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823DDB" w:rsidR="00782132" w:rsidP="00782132" w:rsidRDefault="00782132" w14:paraId="2D33E7EA" w14:textId="77777777">
      <w:pPr>
        <w:spacing w:after="0" w:line="360" w:lineRule="auto"/>
        <w:rPr>
          <w:rFonts w:eastAsia="Times New Roman" w:cs="Tahoma"/>
          <w:bCs/>
          <w:color w:val="auto"/>
          <w:lang w:eastAsia="es-ES"/>
        </w:rPr>
      </w:pPr>
    </w:p>
    <w:p w:rsidRPr="00823DDB" w:rsidR="007C0E27" w:rsidP="007C0E27" w:rsidRDefault="00782132" w14:paraId="15FA8B4D" w14:textId="77777777">
      <w:pPr>
        <w:spacing w:line="360" w:lineRule="auto"/>
        <w:contextualSpacing/>
        <w:rPr>
          <w:rFonts w:eastAsia="Calibri" w:cs="Tahoma"/>
          <w:bCs/>
        </w:rPr>
      </w:pPr>
      <w:r w:rsidRPr="00823DDB">
        <w:rPr>
          <w:rFonts w:cs="Arial"/>
          <w:b/>
          <w:lang w:val="es-ES_tradnl"/>
        </w:rPr>
        <w:t>TERCERO.</w:t>
      </w:r>
      <w:r w:rsidRPr="00823DDB">
        <w:rPr>
          <w:rFonts w:cs="Tahoma"/>
          <w:b/>
        </w:rPr>
        <w:t xml:space="preserve"> NOTIFÍQUESE </w:t>
      </w:r>
      <w:r w:rsidRPr="00823DDB">
        <w:rPr>
          <w:rFonts w:cs="Tahoma"/>
        </w:rPr>
        <w:t xml:space="preserve">la </w:t>
      </w:r>
      <w:r w:rsidRPr="00823DDB" w:rsidR="007C0E27">
        <w:rPr>
          <w:rFonts w:eastAsia="Calibri" w:cs="Tahoma"/>
          <w:bCs/>
        </w:rPr>
        <w:t>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rsidRPr="00823DDB" w:rsidR="007C0E27" w:rsidP="007C0E27" w:rsidRDefault="007C0E27" w14:paraId="47BED0D4" w14:textId="77777777">
      <w:pPr>
        <w:spacing w:line="360" w:lineRule="auto"/>
        <w:contextualSpacing/>
        <w:rPr>
          <w:rFonts w:cs="Tahoma"/>
        </w:rPr>
      </w:pPr>
    </w:p>
    <w:p w:rsidRPr="00823DDB" w:rsidR="007C0E27" w:rsidP="007C0E27" w:rsidRDefault="007C0E27" w14:paraId="7E5E3645" w14:textId="77777777">
      <w:pPr>
        <w:spacing w:line="360" w:lineRule="auto"/>
        <w:contextualSpacing/>
        <w:rPr>
          <w:rFonts w:cs="Tahoma"/>
          <w:iCs/>
        </w:rPr>
      </w:pPr>
      <w:r w:rsidRPr="00823DDB">
        <w:rPr>
          <w:rFonts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23DDB" w:rsidR="00682222" w:rsidP="007C0E27" w:rsidRDefault="00682222" w14:paraId="5AAB16D7" w14:textId="7F54EC6C">
      <w:pPr>
        <w:spacing w:after="0" w:line="360" w:lineRule="auto"/>
        <w:rPr>
          <w:rFonts w:cs="Tahoma"/>
        </w:rPr>
      </w:pPr>
    </w:p>
    <w:p w:rsidRPr="00823DDB" w:rsidR="00782132" w:rsidP="00782132" w:rsidRDefault="00782132" w14:paraId="2C0ACFAC" w14:textId="77777777">
      <w:pPr>
        <w:spacing w:after="0" w:line="360" w:lineRule="auto"/>
        <w:rPr>
          <w:rFonts w:cs="Tahoma"/>
        </w:rPr>
      </w:pPr>
      <w:r w:rsidRPr="00823DDB">
        <w:rPr>
          <w:rFonts w:cs="Tahoma"/>
          <w:b/>
        </w:rPr>
        <w:t>CUARTO. NOTIFÍQUESE</w:t>
      </w:r>
      <w:r w:rsidRPr="00823DDB">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23DDB" w:rsidR="00782132" w:rsidP="00C853D1" w:rsidRDefault="00782132" w14:paraId="42C8D564" w14:textId="77777777">
      <w:pPr>
        <w:spacing w:after="0" w:line="360" w:lineRule="auto"/>
        <w:rPr>
          <w:rFonts w:eastAsia="Calibri" w:cs="Tahoma"/>
          <w:bCs/>
          <w:lang w:val="es-ES"/>
        </w:rPr>
      </w:pPr>
    </w:p>
    <w:p w:rsidR="00C853D1" w:rsidP="00C853D1" w:rsidRDefault="005830BA" w14:paraId="61493576" w14:textId="522BC687">
      <w:pPr>
        <w:spacing w:after="0" w:line="360" w:lineRule="auto"/>
        <w:rPr>
          <w:rFonts w:eastAsia="Calibri" w:cs="Tahoma"/>
          <w:bCs/>
        </w:rPr>
      </w:pPr>
      <w:r w:rsidRPr="00823DDB">
        <w:rPr>
          <w:rFonts w:eastAsia="Calibri" w:cs="Tahoma"/>
          <w:bCs/>
        </w:rPr>
        <w:t xml:space="preserve">ASÍ LO RESUELVE, POR </w:t>
      </w:r>
      <w:r w:rsidRPr="00823DDB">
        <w:rPr>
          <w:rFonts w:eastAsia="Calibri" w:cs="Tahoma"/>
          <w:b/>
        </w:rPr>
        <w:t>UNANIMIDAD</w:t>
      </w:r>
      <w:r w:rsidRPr="00823DDB">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CON VOTO PARTICULAR Y GUADALUPE RAMÍREZ PEÑA, EN LA VIGÉSIMA SESIÓN ORDINARIA, CELEBRA EL </w:t>
      </w:r>
      <w:r w:rsidRPr="00823DDB">
        <w:rPr>
          <w:rFonts w:eastAsia="Times New Roman" w:cs="Tahoma"/>
          <w:bCs/>
          <w:color w:val="auto"/>
          <w:lang w:eastAsia="es-ES"/>
        </w:rPr>
        <w:t>TREINTA Y UNO DE MAYO DE DOS MIL VEINTITRÉS</w:t>
      </w:r>
      <w:r w:rsidRPr="00823DDB">
        <w:rPr>
          <w:rFonts w:eastAsia="Calibri" w:cs="Tahoma"/>
          <w:bCs/>
        </w:rPr>
        <w:t>, ANTE EL SECRETARIO TÉCNICO DEL PLENO, ALEXIS TAPIA RAMÍREZ.</w:t>
      </w:r>
    </w:p>
    <w:p w:rsidR="00C853D1" w:rsidRDefault="00C853D1" w14:paraId="189BD5D9" w14:textId="5AA6579D">
      <w:pPr>
        <w:jc w:val="left"/>
        <w:rPr>
          <w:rFonts w:eastAsia="Calibri" w:cs="Tahoma"/>
          <w:b/>
          <w:bCs/>
        </w:rPr>
      </w:pPr>
      <w:r>
        <w:rPr>
          <w:rFonts w:eastAsia="Calibri" w:cs="Tahoma"/>
          <w:b/>
          <w:bCs/>
        </w:rPr>
        <w:br w:type="page"/>
      </w:r>
    </w:p>
    <w:p w:rsidR="00A6477D" w:rsidRDefault="00A6477D" w14:paraId="3A7BF8F4" w14:textId="77777777"/>
    <w:sectPr w:rsidR="00A6477D" w:rsidSect="002C59A0">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556" w:rsidP="00C853D1" w:rsidRDefault="00641556" w14:paraId="0662B96D" w14:textId="77777777">
      <w:pPr>
        <w:spacing w:after="0" w:line="240" w:lineRule="auto"/>
      </w:pPr>
      <w:r>
        <w:separator/>
      </w:r>
    </w:p>
  </w:endnote>
  <w:endnote w:type="continuationSeparator" w:id="0">
    <w:p w:rsidR="00641556" w:rsidP="00C853D1" w:rsidRDefault="00641556" w14:paraId="2FE7DD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9E" w:rsidRDefault="0005679E"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05679E" w:rsidRDefault="0005679E" w14:paraId="5F4318B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05679E" w:rsidRDefault="0005679E"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D7D18">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D7D18">
              <w:rPr>
                <w:b/>
                <w:bCs/>
                <w:noProof/>
              </w:rPr>
              <w:t>48</w:t>
            </w:r>
            <w:r>
              <w:rPr>
                <w:b/>
                <w:bCs/>
                <w:sz w:val="24"/>
                <w:szCs w:val="24"/>
              </w:rPr>
              <w:fldChar w:fldCharType="end"/>
            </w:r>
          </w:p>
        </w:sdtContent>
      </w:sdt>
    </w:sdtContent>
  </w:sdt>
  <w:p w:rsidR="0005679E" w:rsidRDefault="0005679E" w14:paraId="3F35B7C0"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9E" w:rsidRDefault="0005679E"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3DD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3DDB">
      <w:rPr>
        <w:b/>
        <w:bCs/>
        <w:noProof/>
      </w:rPr>
      <w:t>48</w:t>
    </w:r>
    <w:r>
      <w:rPr>
        <w:b/>
        <w:bCs/>
        <w:sz w:val="24"/>
        <w:szCs w:val="24"/>
      </w:rPr>
      <w:fldChar w:fldCharType="end"/>
    </w:r>
  </w:p>
  <w:p w:rsidR="0005679E" w:rsidRDefault="0005679E" w14:paraId="1A7218CE"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556" w:rsidP="00C853D1" w:rsidRDefault="00641556" w14:paraId="2BDC81BB" w14:textId="77777777">
      <w:pPr>
        <w:spacing w:after="0" w:line="240" w:lineRule="auto"/>
      </w:pPr>
      <w:r>
        <w:separator/>
      </w:r>
    </w:p>
  </w:footnote>
  <w:footnote w:type="continuationSeparator" w:id="0">
    <w:p w:rsidR="00641556" w:rsidP="00C853D1" w:rsidRDefault="00641556" w14:paraId="037BF51E"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05679E" w:rsidTr="002C59A0" w14:paraId="282B3A75" w14:textId="77777777">
      <w:trPr>
        <w:trHeight w:val="141"/>
      </w:trPr>
      <w:tc>
        <w:tcPr>
          <w:tcW w:w="2404" w:type="dxa"/>
        </w:tcPr>
        <w:p w:rsidRPr="001B5FB6" w:rsidR="0005679E" w:rsidP="002C59A0" w:rsidRDefault="0005679E"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05679E" w:rsidP="002C59A0" w:rsidRDefault="0005679E"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05679E" w:rsidTr="002C59A0" w14:paraId="46AFE2B4" w14:textId="77777777">
      <w:trPr>
        <w:trHeight w:val="276"/>
      </w:trPr>
      <w:tc>
        <w:tcPr>
          <w:tcW w:w="2404" w:type="dxa"/>
        </w:tcPr>
        <w:p w:rsidRPr="001B5FB6" w:rsidR="0005679E" w:rsidP="002C59A0" w:rsidRDefault="0005679E"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05679E" w:rsidP="002C59A0" w:rsidRDefault="0005679E"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05679E" w:rsidTr="002C59A0" w14:paraId="1FA679E9" w14:textId="77777777">
      <w:trPr>
        <w:trHeight w:val="276"/>
      </w:trPr>
      <w:tc>
        <w:tcPr>
          <w:tcW w:w="2404" w:type="dxa"/>
        </w:tcPr>
        <w:p w:rsidRPr="001B5FB6" w:rsidR="0005679E" w:rsidP="002C59A0" w:rsidRDefault="0005679E"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05679E" w:rsidP="002C59A0" w:rsidRDefault="0005679E"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05679E" w:rsidRDefault="00641556"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05679E" w:rsidRDefault="0005679E" w14:paraId="435693B3" w14:textId="77777777">
    <w:pPr>
      <w:rPr>
        <w:sz w:val="18"/>
        <w:szCs w:val="18"/>
      </w:rPr>
    </w:pPr>
  </w:p>
  <w:tbl>
    <w:tblPr>
      <w:tblStyle w:val="Tablaconcuadrcula"/>
      <w:tblW w:w="5953"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49"/>
    </w:tblGrid>
    <w:tr w:rsidR="0005679E" w:rsidTr="0048037E" w14:paraId="1E2FF18B" w14:textId="77777777">
      <w:trPr>
        <w:trHeight w:val="141"/>
      </w:trPr>
      <w:tc>
        <w:tcPr>
          <w:tcW w:w="2404" w:type="dxa"/>
        </w:tcPr>
        <w:p w:rsidRPr="001B5FB6" w:rsidR="0005679E" w:rsidP="00682222" w:rsidRDefault="0005679E"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3549" w:type="dxa"/>
        </w:tcPr>
        <w:p w:rsidRPr="00C853D1" w:rsidR="0005679E" w:rsidP="00682222" w:rsidRDefault="0005679E" w14:paraId="503BB8DE" w14:textId="52A69CD2">
          <w:pPr>
            <w:tabs>
              <w:tab w:val="right" w:pos="8838"/>
            </w:tabs>
            <w:ind w:left="-28" w:right="454"/>
            <w:rPr>
              <w:rFonts w:eastAsia="Calibri" w:cs="Tahoma"/>
            </w:rPr>
          </w:pPr>
          <w:r w:rsidRPr="001D547B">
            <w:rPr>
              <w:rFonts w:eastAsia="Calibri" w:cs="Tahoma"/>
              <w:lang w:val="es-MX"/>
            </w:rPr>
            <w:t>17386/INFOEM/IP/RR/2022</w:t>
          </w:r>
        </w:p>
      </w:tc>
    </w:tr>
    <w:tr w:rsidR="0005679E" w:rsidTr="0048037E" w14:paraId="110906AA" w14:textId="77777777">
      <w:trPr>
        <w:trHeight w:val="276"/>
      </w:trPr>
      <w:tc>
        <w:tcPr>
          <w:tcW w:w="2404" w:type="dxa"/>
        </w:tcPr>
        <w:p w:rsidRPr="001B5FB6" w:rsidR="0005679E" w:rsidP="002C59A0" w:rsidRDefault="0005679E"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3549" w:type="dxa"/>
        </w:tcPr>
        <w:p w:rsidRPr="00A8173F" w:rsidR="0005679E" w:rsidP="0048037E" w:rsidRDefault="0005679E" w14:paraId="5C93113C" w14:textId="05EF940B">
          <w:pPr>
            <w:tabs>
              <w:tab w:val="right" w:pos="8838"/>
            </w:tabs>
            <w:ind w:right="-108"/>
            <w:rPr>
              <w:rFonts w:eastAsia="Calibri" w:cs="Tahoma"/>
              <w:lang w:val="es-MX"/>
            </w:rPr>
          </w:pPr>
          <w:r w:rsidRPr="0048037E">
            <w:rPr>
              <w:rFonts w:eastAsia="Calibri" w:cs="Tahoma"/>
              <w:lang w:val="es-MX"/>
            </w:rPr>
            <w:t>Ayuntamiento de Naucalpan de Juárez</w:t>
          </w:r>
        </w:p>
      </w:tc>
    </w:tr>
    <w:tr w:rsidR="0005679E" w:rsidTr="0048037E" w14:paraId="065F2043" w14:textId="77777777">
      <w:trPr>
        <w:trHeight w:val="276"/>
      </w:trPr>
      <w:tc>
        <w:tcPr>
          <w:tcW w:w="2404" w:type="dxa"/>
        </w:tcPr>
        <w:p w:rsidRPr="001B5FB6" w:rsidR="0005679E" w:rsidP="002C59A0" w:rsidRDefault="0005679E"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3549" w:type="dxa"/>
        </w:tcPr>
        <w:p w:rsidRPr="00A8173F" w:rsidR="0005679E" w:rsidP="00682222" w:rsidRDefault="0005679E"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05679E" w:rsidRDefault="00641556"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05679E" w:rsidTr="73E2F03A" w14:paraId="5D26797B" w14:textId="77777777">
      <w:trPr>
        <w:trHeight w:val="1546"/>
      </w:trPr>
      <w:tc>
        <w:tcPr>
          <w:tcW w:w="2127" w:type="dxa"/>
          <w:shd w:val="clear" w:color="auto" w:fill="auto"/>
          <w:tcMar/>
        </w:tcPr>
        <w:p w:rsidRPr="005C106F" w:rsidR="0005679E" w:rsidP="002C59A0" w:rsidRDefault="0005679E"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5391" w:type="dxa"/>
            <w:tblInd w:w="13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2987"/>
          </w:tblGrid>
          <w:tr w:rsidR="0005679E" w:rsidTr="73E2F03A" w14:paraId="5CB74832" w14:textId="77777777">
            <w:trPr>
              <w:trHeight w:val="141"/>
            </w:trPr>
            <w:tc>
              <w:tcPr>
                <w:tcW w:w="2404" w:type="dxa"/>
                <w:tcMar/>
                <w:vAlign w:val="bottom"/>
              </w:tcPr>
              <w:p w:rsidRPr="001B5FB6" w:rsidR="0005679E" w:rsidP="002C59A0" w:rsidRDefault="0005679E"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2987" w:type="dxa"/>
                <w:tcMar/>
              </w:tcPr>
              <w:p w:rsidR="0005679E" w:rsidP="002C59A0" w:rsidRDefault="0005679E" w14:paraId="0749605A" w14:textId="77777777">
                <w:pPr>
                  <w:tabs>
                    <w:tab w:val="right" w:pos="8838"/>
                  </w:tabs>
                  <w:ind w:left="-28" w:right="-107"/>
                  <w:rPr>
                    <w:rFonts w:eastAsia="Calibri" w:cs="Tahoma"/>
                    <w:lang w:val="es-MX"/>
                  </w:rPr>
                </w:pPr>
              </w:p>
              <w:p w:rsidRPr="00C853D1" w:rsidR="0005679E" w:rsidP="002C59A0" w:rsidRDefault="0005679E" w14:paraId="25021A4A" w14:textId="560A4B76">
                <w:pPr>
                  <w:tabs>
                    <w:tab w:val="right" w:pos="8838"/>
                  </w:tabs>
                  <w:ind w:left="-28" w:right="-107"/>
                  <w:rPr>
                    <w:rFonts w:eastAsia="Calibri" w:cs="Tahoma"/>
                  </w:rPr>
                </w:pPr>
                <w:r w:rsidRPr="001D547B">
                  <w:rPr>
                    <w:rFonts w:eastAsia="Calibri" w:cs="Tahoma"/>
                    <w:lang w:val="es-MX"/>
                  </w:rPr>
                  <w:t>17386/INFOEM/IP/RR/2022</w:t>
                </w:r>
              </w:p>
            </w:tc>
          </w:tr>
          <w:tr w:rsidR="0005679E" w:rsidTr="73E2F03A" w14:paraId="65D6C982" w14:textId="77777777">
            <w:trPr>
              <w:trHeight w:val="141"/>
            </w:trPr>
            <w:tc>
              <w:tcPr>
                <w:tcW w:w="2404" w:type="dxa"/>
                <w:tcMar/>
              </w:tcPr>
              <w:p w:rsidRPr="001B5FB6" w:rsidR="0005679E" w:rsidP="002C59A0" w:rsidRDefault="0005679E"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2987" w:type="dxa"/>
                <w:tcMar/>
              </w:tcPr>
              <w:p w:rsidRPr="003405AF" w:rsidR="0005679E" w:rsidP="73E2F03A" w:rsidRDefault="0005679E" w14:paraId="4D5C37D5" w14:textId="5887DCEB">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73E2F03A" w:rsidR="73E2F03A">
                  <w:rPr>
                    <w:rFonts w:eastAsia="Calibri" w:cs="Tahoma"/>
                    <w:highlight w:val="black"/>
                    <w:lang w:val="es-MX"/>
                  </w:rPr>
                  <w:t>XXXXXXXXXXXXXXXX</w:t>
                </w:r>
              </w:p>
            </w:tc>
          </w:tr>
          <w:tr w:rsidR="0005679E" w:rsidTr="73E2F03A" w14:paraId="40A995EA" w14:textId="77777777">
            <w:trPr>
              <w:trHeight w:val="276"/>
            </w:trPr>
            <w:tc>
              <w:tcPr>
                <w:tcW w:w="2404" w:type="dxa"/>
                <w:tcMar/>
              </w:tcPr>
              <w:p w:rsidRPr="001B5FB6" w:rsidR="0005679E" w:rsidP="002C59A0" w:rsidRDefault="0005679E"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2987" w:type="dxa"/>
                <w:tcMar/>
              </w:tcPr>
              <w:p w:rsidRPr="00C853D1" w:rsidR="0005679E" w:rsidP="002C59A0" w:rsidRDefault="0005679E" w14:paraId="433E1B49" w14:textId="4B74E2F0">
                <w:pPr>
                  <w:tabs>
                    <w:tab w:val="right" w:pos="8838"/>
                  </w:tabs>
                  <w:ind w:right="-107"/>
                  <w:rPr>
                    <w:rFonts w:eastAsia="Calibri" w:cs="Tahoma"/>
                    <w:lang w:val="es-MX"/>
                  </w:rPr>
                </w:pPr>
                <w:r w:rsidRPr="00E17724">
                  <w:rPr>
                    <w:rFonts w:eastAsia="Calibri" w:cs="Tahoma"/>
                    <w:lang w:val="es-MX"/>
                  </w:rPr>
                  <w:t>Ayuntamiento de Naucalpan de Juárez</w:t>
                </w:r>
              </w:p>
            </w:tc>
          </w:tr>
          <w:tr w:rsidR="0005679E" w:rsidTr="73E2F03A" w14:paraId="386AB112" w14:textId="77777777">
            <w:trPr>
              <w:trHeight w:val="276"/>
            </w:trPr>
            <w:tc>
              <w:tcPr>
                <w:tcW w:w="2404" w:type="dxa"/>
                <w:tcMar/>
              </w:tcPr>
              <w:p w:rsidRPr="001B5FB6" w:rsidR="0005679E" w:rsidP="002C59A0" w:rsidRDefault="0005679E"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2987" w:type="dxa"/>
                <w:tcMar/>
              </w:tcPr>
              <w:p w:rsidRPr="00A8173F" w:rsidR="0005679E" w:rsidP="002C59A0" w:rsidRDefault="0005679E"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05679E" w:rsidP="002C59A0" w:rsidRDefault="0005679E" w14:paraId="7017D3D5" w14:textId="77777777">
          <w:pPr>
            <w:tabs>
              <w:tab w:val="right" w:pos="8838"/>
            </w:tabs>
            <w:ind w:left="-28"/>
            <w:rPr>
              <w:rFonts w:ascii="Arial" w:hAnsi="Arial" w:eastAsia="Calibri" w:cs="Arial"/>
              <w:b/>
            </w:rPr>
          </w:pPr>
        </w:p>
      </w:tc>
    </w:tr>
  </w:tbl>
  <w:p w:rsidR="0005679E" w:rsidRDefault="00641556"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0AF746A0"/>
    <w:multiLevelType w:val="multilevel"/>
    <w:tmpl w:val="35C40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F17016"/>
    <w:multiLevelType w:val="hybridMultilevel"/>
    <w:tmpl w:val="7E10C9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817984"/>
    <w:multiLevelType w:val="hybridMultilevel"/>
    <w:tmpl w:val="B22E1BB6"/>
    <w:lvl w:ilvl="0" w:tplc="E494C5D4">
      <w:start w:val="1"/>
      <w:numFmt w:val="bullet"/>
      <w:lvlText w:val="-"/>
      <w:lvlJc w:val="left"/>
      <w:pPr>
        <w:ind w:left="720" w:hanging="360"/>
      </w:pPr>
      <w:rPr>
        <w:rFonts w:hint="default" w:ascii="Courier New" w:hAnsi="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B7F5964"/>
    <w:multiLevelType w:val="multilevel"/>
    <w:tmpl w:val="1BC23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3DC040D1"/>
    <w:multiLevelType w:val="hybridMultilevel"/>
    <w:tmpl w:val="8438C5B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3E5F089B"/>
    <w:multiLevelType w:val="hybridMultilevel"/>
    <w:tmpl w:val="277AEF1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25D06FD"/>
    <w:multiLevelType w:val="hybridMultilevel"/>
    <w:tmpl w:val="94482562"/>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9" w15:restartNumberingAfterBreak="0">
    <w:nsid w:val="54A62714"/>
    <w:multiLevelType w:val="hybridMultilevel"/>
    <w:tmpl w:val="DE0615F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5"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4"/>
  </w:num>
  <w:num w:numId="5">
    <w:abstractNumId w:val="23"/>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8"/>
  </w:num>
  <w:num w:numId="10">
    <w:abstractNumId w:val="5"/>
  </w:num>
  <w:num w:numId="11">
    <w:abstractNumId w:val="20"/>
  </w:num>
  <w:num w:numId="12">
    <w:abstractNumId w:val="16"/>
  </w:num>
  <w:num w:numId="13">
    <w:abstractNumId w:val="29"/>
  </w:num>
  <w:num w:numId="14">
    <w:abstractNumId w:val="22"/>
  </w:num>
  <w:num w:numId="15">
    <w:abstractNumId w:val="17"/>
  </w:num>
  <w:num w:numId="16">
    <w:abstractNumId w:val="25"/>
  </w:num>
  <w:num w:numId="17">
    <w:abstractNumId w:val="15"/>
  </w:num>
  <w:num w:numId="18">
    <w:abstractNumId w:val="26"/>
  </w:num>
  <w:num w:numId="19">
    <w:abstractNumId w:val="10"/>
  </w:num>
  <w:num w:numId="20">
    <w:abstractNumId w:val="0"/>
  </w:num>
  <w:num w:numId="21">
    <w:abstractNumId w:val="24"/>
  </w:num>
  <w:num w:numId="22">
    <w:abstractNumId w:val="11"/>
  </w:num>
  <w:num w:numId="23">
    <w:abstractNumId w:val="6"/>
  </w:num>
  <w:num w:numId="24">
    <w:abstractNumId w:val="19"/>
  </w:num>
  <w:num w:numId="25">
    <w:abstractNumId w:val="1"/>
  </w:num>
  <w:num w:numId="26">
    <w:abstractNumId w:val="9"/>
  </w:num>
  <w:num w:numId="27">
    <w:abstractNumId w:val="13"/>
  </w:num>
  <w:num w:numId="28">
    <w:abstractNumId w:val="18"/>
  </w:num>
  <w:num w:numId="29">
    <w:abstractNumId w:val="7"/>
  </w:num>
  <w:num w:numId="30">
    <w:abstractNumId w:val="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1F87"/>
    <w:rsid w:val="00002E53"/>
    <w:rsid w:val="000039BC"/>
    <w:rsid w:val="000051F1"/>
    <w:rsid w:val="00007008"/>
    <w:rsid w:val="00007EB8"/>
    <w:rsid w:val="00014370"/>
    <w:rsid w:val="0001496F"/>
    <w:rsid w:val="0001499A"/>
    <w:rsid w:val="00017D8C"/>
    <w:rsid w:val="000223B0"/>
    <w:rsid w:val="000244FF"/>
    <w:rsid w:val="000247EE"/>
    <w:rsid w:val="00027FA3"/>
    <w:rsid w:val="00030561"/>
    <w:rsid w:val="000477C6"/>
    <w:rsid w:val="00052A57"/>
    <w:rsid w:val="0005679E"/>
    <w:rsid w:val="00062AAC"/>
    <w:rsid w:val="00062C8B"/>
    <w:rsid w:val="0006759C"/>
    <w:rsid w:val="000705A9"/>
    <w:rsid w:val="00074FD8"/>
    <w:rsid w:val="00081145"/>
    <w:rsid w:val="000861B4"/>
    <w:rsid w:val="000939CD"/>
    <w:rsid w:val="00096694"/>
    <w:rsid w:val="000A2588"/>
    <w:rsid w:val="000A259F"/>
    <w:rsid w:val="000A61A2"/>
    <w:rsid w:val="000A785D"/>
    <w:rsid w:val="000B0EAF"/>
    <w:rsid w:val="000B2842"/>
    <w:rsid w:val="000B7029"/>
    <w:rsid w:val="000C548C"/>
    <w:rsid w:val="000C715C"/>
    <w:rsid w:val="000D1A72"/>
    <w:rsid w:val="000D2522"/>
    <w:rsid w:val="000D45D9"/>
    <w:rsid w:val="000D59F5"/>
    <w:rsid w:val="000D69EB"/>
    <w:rsid w:val="000D6E68"/>
    <w:rsid w:val="000D73F7"/>
    <w:rsid w:val="000E28E6"/>
    <w:rsid w:val="000E3781"/>
    <w:rsid w:val="000E4E10"/>
    <w:rsid w:val="000E76F5"/>
    <w:rsid w:val="000F05A6"/>
    <w:rsid w:val="000F2A9A"/>
    <w:rsid w:val="000F3403"/>
    <w:rsid w:val="000F348F"/>
    <w:rsid w:val="000F45A1"/>
    <w:rsid w:val="001004CE"/>
    <w:rsid w:val="00100EB3"/>
    <w:rsid w:val="0010232F"/>
    <w:rsid w:val="0010413E"/>
    <w:rsid w:val="001059E3"/>
    <w:rsid w:val="00105EF9"/>
    <w:rsid w:val="001105F1"/>
    <w:rsid w:val="0011183E"/>
    <w:rsid w:val="00112439"/>
    <w:rsid w:val="00115309"/>
    <w:rsid w:val="001202DE"/>
    <w:rsid w:val="001262EE"/>
    <w:rsid w:val="001305A8"/>
    <w:rsid w:val="001309AA"/>
    <w:rsid w:val="00134952"/>
    <w:rsid w:val="00134C39"/>
    <w:rsid w:val="00142455"/>
    <w:rsid w:val="0014603F"/>
    <w:rsid w:val="00146731"/>
    <w:rsid w:val="001601CC"/>
    <w:rsid w:val="00161E74"/>
    <w:rsid w:val="00164599"/>
    <w:rsid w:val="00164EDE"/>
    <w:rsid w:val="001675D9"/>
    <w:rsid w:val="0017427D"/>
    <w:rsid w:val="00174F57"/>
    <w:rsid w:val="00175572"/>
    <w:rsid w:val="00180003"/>
    <w:rsid w:val="00184D51"/>
    <w:rsid w:val="001900B4"/>
    <w:rsid w:val="00190EBA"/>
    <w:rsid w:val="001935D3"/>
    <w:rsid w:val="00194DD1"/>
    <w:rsid w:val="0019678D"/>
    <w:rsid w:val="001A5251"/>
    <w:rsid w:val="001A641F"/>
    <w:rsid w:val="001B0181"/>
    <w:rsid w:val="001B231B"/>
    <w:rsid w:val="001B3B40"/>
    <w:rsid w:val="001B77BD"/>
    <w:rsid w:val="001C0FB5"/>
    <w:rsid w:val="001C1007"/>
    <w:rsid w:val="001C3C7E"/>
    <w:rsid w:val="001C3D02"/>
    <w:rsid w:val="001C6764"/>
    <w:rsid w:val="001D02DD"/>
    <w:rsid w:val="001D0E45"/>
    <w:rsid w:val="001D37BB"/>
    <w:rsid w:val="001D3F10"/>
    <w:rsid w:val="001D547B"/>
    <w:rsid w:val="001E386E"/>
    <w:rsid w:val="001E6D1F"/>
    <w:rsid w:val="001F2D62"/>
    <w:rsid w:val="001F7C51"/>
    <w:rsid w:val="00204AF1"/>
    <w:rsid w:val="002111A8"/>
    <w:rsid w:val="00213776"/>
    <w:rsid w:val="00217B0B"/>
    <w:rsid w:val="00220583"/>
    <w:rsid w:val="0022261D"/>
    <w:rsid w:val="00235BA0"/>
    <w:rsid w:val="002402DE"/>
    <w:rsid w:val="002419E9"/>
    <w:rsid w:val="0024313A"/>
    <w:rsid w:val="00247E83"/>
    <w:rsid w:val="00251A4C"/>
    <w:rsid w:val="00252EF3"/>
    <w:rsid w:val="00253784"/>
    <w:rsid w:val="0025433F"/>
    <w:rsid w:val="002557A7"/>
    <w:rsid w:val="00257F3B"/>
    <w:rsid w:val="00260AAA"/>
    <w:rsid w:val="00261807"/>
    <w:rsid w:val="00261BED"/>
    <w:rsid w:val="002634E5"/>
    <w:rsid w:val="002718A0"/>
    <w:rsid w:val="00271D9C"/>
    <w:rsid w:val="00272886"/>
    <w:rsid w:val="00273E3B"/>
    <w:rsid w:val="0028305A"/>
    <w:rsid w:val="002854F3"/>
    <w:rsid w:val="002867A3"/>
    <w:rsid w:val="00296E2A"/>
    <w:rsid w:val="002A725C"/>
    <w:rsid w:val="002B3565"/>
    <w:rsid w:val="002B3FDA"/>
    <w:rsid w:val="002B54AE"/>
    <w:rsid w:val="002C44F5"/>
    <w:rsid w:val="002C514D"/>
    <w:rsid w:val="002C59A0"/>
    <w:rsid w:val="002C6390"/>
    <w:rsid w:val="002C7309"/>
    <w:rsid w:val="002D2E5D"/>
    <w:rsid w:val="002E0552"/>
    <w:rsid w:val="002E05D6"/>
    <w:rsid w:val="002E25E7"/>
    <w:rsid w:val="002E333F"/>
    <w:rsid w:val="002E33E8"/>
    <w:rsid w:val="002E5CED"/>
    <w:rsid w:val="002F0325"/>
    <w:rsid w:val="002F4FAE"/>
    <w:rsid w:val="00300286"/>
    <w:rsid w:val="00311288"/>
    <w:rsid w:val="003114A1"/>
    <w:rsid w:val="00311811"/>
    <w:rsid w:val="003160D6"/>
    <w:rsid w:val="00316C63"/>
    <w:rsid w:val="00320671"/>
    <w:rsid w:val="00320B93"/>
    <w:rsid w:val="00325E2E"/>
    <w:rsid w:val="003265A2"/>
    <w:rsid w:val="003344FB"/>
    <w:rsid w:val="00334B20"/>
    <w:rsid w:val="00336980"/>
    <w:rsid w:val="003403F8"/>
    <w:rsid w:val="0034462A"/>
    <w:rsid w:val="00345528"/>
    <w:rsid w:val="00350D55"/>
    <w:rsid w:val="003537E3"/>
    <w:rsid w:val="00355553"/>
    <w:rsid w:val="003577D3"/>
    <w:rsid w:val="00360690"/>
    <w:rsid w:val="00362DE2"/>
    <w:rsid w:val="00363046"/>
    <w:rsid w:val="003647F7"/>
    <w:rsid w:val="00365075"/>
    <w:rsid w:val="00371DAE"/>
    <w:rsid w:val="00372BAB"/>
    <w:rsid w:val="00376559"/>
    <w:rsid w:val="00380368"/>
    <w:rsid w:val="00381FDE"/>
    <w:rsid w:val="00384A4A"/>
    <w:rsid w:val="0038779D"/>
    <w:rsid w:val="003936D2"/>
    <w:rsid w:val="00394378"/>
    <w:rsid w:val="003955C4"/>
    <w:rsid w:val="003975AD"/>
    <w:rsid w:val="00397660"/>
    <w:rsid w:val="003A1B84"/>
    <w:rsid w:val="003B0BA2"/>
    <w:rsid w:val="003B46DC"/>
    <w:rsid w:val="003B7E84"/>
    <w:rsid w:val="003C2ED7"/>
    <w:rsid w:val="003C3D2C"/>
    <w:rsid w:val="003C470A"/>
    <w:rsid w:val="003C5B59"/>
    <w:rsid w:val="003D0E52"/>
    <w:rsid w:val="003D15D4"/>
    <w:rsid w:val="003D30B4"/>
    <w:rsid w:val="003D4A58"/>
    <w:rsid w:val="003D5AF6"/>
    <w:rsid w:val="003D7D85"/>
    <w:rsid w:val="003D7ED4"/>
    <w:rsid w:val="003E0B93"/>
    <w:rsid w:val="003E12FC"/>
    <w:rsid w:val="003E2FB0"/>
    <w:rsid w:val="003E3C3E"/>
    <w:rsid w:val="003E6425"/>
    <w:rsid w:val="003E7060"/>
    <w:rsid w:val="003F0CE1"/>
    <w:rsid w:val="003F0E14"/>
    <w:rsid w:val="003F0F63"/>
    <w:rsid w:val="003F7439"/>
    <w:rsid w:val="00404D24"/>
    <w:rsid w:val="004059D0"/>
    <w:rsid w:val="00406021"/>
    <w:rsid w:val="004122A9"/>
    <w:rsid w:val="00415A15"/>
    <w:rsid w:val="00417EED"/>
    <w:rsid w:val="0042422A"/>
    <w:rsid w:val="00425CB1"/>
    <w:rsid w:val="00430B0D"/>
    <w:rsid w:val="00431FAE"/>
    <w:rsid w:val="00433CAA"/>
    <w:rsid w:val="004353F2"/>
    <w:rsid w:val="004461BD"/>
    <w:rsid w:val="00450E6E"/>
    <w:rsid w:val="00452038"/>
    <w:rsid w:val="004542DC"/>
    <w:rsid w:val="004548CD"/>
    <w:rsid w:val="00454B67"/>
    <w:rsid w:val="00455065"/>
    <w:rsid w:val="00460EAD"/>
    <w:rsid w:val="00462A63"/>
    <w:rsid w:val="004633F1"/>
    <w:rsid w:val="00463A70"/>
    <w:rsid w:val="00464242"/>
    <w:rsid w:val="00465EC8"/>
    <w:rsid w:val="00466BB7"/>
    <w:rsid w:val="004673C4"/>
    <w:rsid w:val="00467751"/>
    <w:rsid w:val="00470A7A"/>
    <w:rsid w:val="00470AF6"/>
    <w:rsid w:val="00471A6E"/>
    <w:rsid w:val="00474538"/>
    <w:rsid w:val="00474E4C"/>
    <w:rsid w:val="00476ED1"/>
    <w:rsid w:val="0048037E"/>
    <w:rsid w:val="00482887"/>
    <w:rsid w:val="004829B9"/>
    <w:rsid w:val="0048648B"/>
    <w:rsid w:val="0049061B"/>
    <w:rsid w:val="00491C3E"/>
    <w:rsid w:val="00494387"/>
    <w:rsid w:val="004949AC"/>
    <w:rsid w:val="00496426"/>
    <w:rsid w:val="004A1E88"/>
    <w:rsid w:val="004A27DB"/>
    <w:rsid w:val="004A528D"/>
    <w:rsid w:val="004A7EA5"/>
    <w:rsid w:val="004B15BE"/>
    <w:rsid w:val="004B720F"/>
    <w:rsid w:val="004B726A"/>
    <w:rsid w:val="004C1B53"/>
    <w:rsid w:val="004C1CC8"/>
    <w:rsid w:val="004C34C6"/>
    <w:rsid w:val="004C3C1A"/>
    <w:rsid w:val="004D1B7A"/>
    <w:rsid w:val="004D2468"/>
    <w:rsid w:val="004D4218"/>
    <w:rsid w:val="004D4220"/>
    <w:rsid w:val="004D66A3"/>
    <w:rsid w:val="004E1304"/>
    <w:rsid w:val="004E1BF6"/>
    <w:rsid w:val="004E2875"/>
    <w:rsid w:val="004E43D4"/>
    <w:rsid w:val="004E4FD3"/>
    <w:rsid w:val="004E5602"/>
    <w:rsid w:val="004E617D"/>
    <w:rsid w:val="004E6D06"/>
    <w:rsid w:val="004F4445"/>
    <w:rsid w:val="004F6003"/>
    <w:rsid w:val="004F662C"/>
    <w:rsid w:val="004F736C"/>
    <w:rsid w:val="004F7666"/>
    <w:rsid w:val="005050F1"/>
    <w:rsid w:val="00506F24"/>
    <w:rsid w:val="00513F33"/>
    <w:rsid w:val="00515CA2"/>
    <w:rsid w:val="00515F74"/>
    <w:rsid w:val="00517B06"/>
    <w:rsid w:val="00520182"/>
    <w:rsid w:val="00522F3F"/>
    <w:rsid w:val="005230CF"/>
    <w:rsid w:val="005277CB"/>
    <w:rsid w:val="00533C3F"/>
    <w:rsid w:val="00534853"/>
    <w:rsid w:val="00534932"/>
    <w:rsid w:val="00534F4D"/>
    <w:rsid w:val="0054028E"/>
    <w:rsid w:val="00540994"/>
    <w:rsid w:val="00550D10"/>
    <w:rsid w:val="00551230"/>
    <w:rsid w:val="005622BA"/>
    <w:rsid w:val="005706CC"/>
    <w:rsid w:val="005715C8"/>
    <w:rsid w:val="00571737"/>
    <w:rsid w:val="00572AAD"/>
    <w:rsid w:val="00572F99"/>
    <w:rsid w:val="005747FF"/>
    <w:rsid w:val="00581915"/>
    <w:rsid w:val="005830BA"/>
    <w:rsid w:val="00583138"/>
    <w:rsid w:val="005856CD"/>
    <w:rsid w:val="005861E7"/>
    <w:rsid w:val="00587FE6"/>
    <w:rsid w:val="00593E62"/>
    <w:rsid w:val="005949E8"/>
    <w:rsid w:val="0059523B"/>
    <w:rsid w:val="00596883"/>
    <w:rsid w:val="005B301B"/>
    <w:rsid w:val="005C40CA"/>
    <w:rsid w:val="005C6308"/>
    <w:rsid w:val="005C7219"/>
    <w:rsid w:val="005D25ED"/>
    <w:rsid w:val="005D2E05"/>
    <w:rsid w:val="005D3368"/>
    <w:rsid w:val="005D65D8"/>
    <w:rsid w:val="005D7988"/>
    <w:rsid w:val="005E0A33"/>
    <w:rsid w:val="005E1588"/>
    <w:rsid w:val="005E4376"/>
    <w:rsid w:val="005E5646"/>
    <w:rsid w:val="005F0AA5"/>
    <w:rsid w:val="005F0F77"/>
    <w:rsid w:val="005F251F"/>
    <w:rsid w:val="005F2BAD"/>
    <w:rsid w:val="005F4E56"/>
    <w:rsid w:val="006026B5"/>
    <w:rsid w:val="00604C31"/>
    <w:rsid w:val="00604FB9"/>
    <w:rsid w:val="00607213"/>
    <w:rsid w:val="00607F00"/>
    <w:rsid w:val="006114B6"/>
    <w:rsid w:val="0061164D"/>
    <w:rsid w:val="006134B9"/>
    <w:rsid w:val="0061403D"/>
    <w:rsid w:val="00614CDB"/>
    <w:rsid w:val="00617D55"/>
    <w:rsid w:val="00621E91"/>
    <w:rsid w:val="00625925"/>
    <w:rsid w:val="00631373"/>
    <w:rsid w:val="0063178C"/>
    <w:rsid w:val="00631FD1"/>
    <w:rsid w:val="0063438C"/>
    <w:rsid w:val="00635177"/>
    <w:rsid w:val="0063599F"/>
    <w:rsid w:val="00635CD8"/>
    <w:rsid w:val="00641556"/>
    <w:rsid w:val="006441E1"/>
    <w:rsid w:val="00644838"/>
    <w:rsid w:val="00644CE6"/>
    <w:rsid w:val="006473A8"/>
    <w:rsid w:val="006507ED"/>
    <w:rsid w:val="006510F8"/>
    <w:rsid w:val="00652AD2"/>
    <w:rsid w:val="00660363"/>
    <w:rsid w:val="00660E60"/>
    <w:rsid w:val="00662969"/>
    <w:rsid w:val="006631C9"/>
    <w:rsid w:val="006642B4"/>
    <w:rsid w:val="006648EB"/>
    <w:rsid w:val="006673A7"/>
    <w:rsid w:val="006703A5"/>
    <w:rsid w:val="006733E5"/>
    <w:rsid w:val="006807CA"/>
    <w:rsid w:val="00682222"/>
    <w:rsid w:val="00682A40"/>
    <w:rsid w:val="00687641"/>
    <w:rsid w:val="00687709"/>
    <w:rsid w:val="006901C3"/>
    <w:rsid w:val="0069249E"/>
    <w:rsid w:val="00695E03"/>
    <w:rsid w:val="006A0781"/>
    <w:rsid w:val="006A0B45"/>
    <w:rsid w:val="006A4247"/>
    <w:rsid w:val="006A4E8D"/>
    <w:rsid w:val="006B06CA"/>
    <w:rsid w:val="006B31A9"/>
    <w:rsid w:val="006B5B3E"/>
    <w:rsid w:val="006C03ED"/>
    <w:rsid w:val="006C1916"/>
    <w:rsid w:val="006C4D25"/>
    <w:rsid w:val="006D1782"/>
    <w:rsid w:val="006D4AB9"/>
    <w:rsid w:val="006D6F5A"/>
    <w:rsid w:val="006E035D"/>
    <w:rsid w:val="006E0643"/>
    <w:rsid w:val="006E283C"/>
    <w:rsid w:val="006E353E"/>
    <w:rsid w:val="006E5273"/>
    <w:rsid w:val="006F0508"/>
    <w:rsid w:val="006F20C4"/>
    <w:rsid w:val="006F3217"/>
    <w:rsid w:val="006F6104"/>
    <w:rsid w:val="00701997"/>
    <w:rsid w:val="007053D3"/>
    <w:rsid w:val="00706604"/>
    <w:rsid w:val="00721566"/>
    <w:rsid w:val="00723CF2"/>
    <w:rsid w:val="00724A49"/>
    <w:rsid w:val="00725B8D"/>
    <w:rsid w:val="007268C8"/>
    <w:rsid w:val="00726A94"/>
    <w:rsid w:val="00732599"/>
    <w:rsid w:val="007359A2"/>
    <w:rsid w:val="00740CD0"/>
    <w:rsid w:val="007430FE"/>
    <w:rsid w:val="00743657"/>
    <w:rsid w:val="00743B72"/>
    <w:rsid w:val="00744439"/>
    <w:rsid w:val="00745AEC"/>
    <w:rsid w:val="007474FF"/>
    <w:rsid w:val="00750797"/>
    <w:rsid w:val="00751ECC"/>
    <w:rsid w:val="007550F6"/>
    <w:rsid w:val="0075605D"/>
    <w:rsid w:val="0076077F"/>
    <w:rsid w:val="00761BD8"/>
    <w:rsid w:val="00762999"/>
    <w:rsid w:val="0076796D"/>
    <w:rsid w:val="00771CC7"/>
    <w:rsid w:val="007745CA"/>
    <w:rsid w:val="00776E7C"/>
    <w:rsid w:val="00782132"/>
    <w:rsid w:val="0079077D"/>
    <w:rsid w:val="00792748"/>
    <w:rsid w:val="00794A75"/>
    <w:rsid w:val="007A0941"/>
    <w:rsid w:val="007A0978"/>
    <w:rsid w:val="007A0D0B"/>
    <w:rsid w:val="007A5334"/>
    <w:rsid w:val="007A66D1"/>
    <w:rsid w:val="007B18F1"/>
    <w:rsid w:val="007C0E27"/>
    <w:rsid w:val="007C26D4"/>
    <w:rsid w:val="007C44A8"/>
    <w:rsid w:val="007C7F7D"/>
    <w:rsid w:val="007D42C2"/>
    <w:rsid w:val="007D779A"/>
    <w:rsid w:val="007D7AB9"/>
    <w:rsid w:val="007E2548"/>
    <w:rsid w:val="007E38E8"/>
    <w:rsid w:val="007E5D97"/>
    <w:rsid w:val="007E600B"/>
    <w:rsid w:val="007F06F2"/>
    <w:rsid w:val="007F400F"/>
    <w:rsid w:val="007F74F7"/>
    <w:rsid w:val="007F7D92"/>
    <w:rsid w:val="008006C4"/>
    <w:rsid w:val="00800FED"/>
    <w:rsid w:val="00804053"/>
    <w:rsid w:val="00804248"/>
    <w:rsid w:val="00806179"/>
    <w:rsid w:val="00810184"/>
    <w:rsid w:val="0081663D"/>
    <w:rsid w:val="00820C1B"/>
    <w:rsid w:val="008213ED"/>
    <w:rsid w:val="00822BD3"/>
    <w:rsid w:val="00823130"/>
    <w:rsid w:val="00823DDB"/>
    <w:rsid w:val="0082578E"/>
    <w:rsid w:val="008262C2"/>
    <w:rsid w:val="00827B0C"/>
    <w:rsid w:val="00831EAC"/>
    <w:rsid w:val="00834A0C"/>
    <w:rsid w:val="00836F1F"/>
    <w:rsid w:val="00842168"/>
    <w:rsid w:val="0084275D"/>
    <w:rsid w:val="00843AB9"/>
    <w:rsid w:val="00845AB7"/>
    <w:rsid w:val="008508E2"/>
    <w:rsid w:val="00850A5F"/>
    <w:rsid w:val="00852049"/>
    <w:rsid w:val="00852D72"/>
    <w:rsid w:val="008538DF"/>
    <w:rsid w:val="00853ACB"/>
    <w:rsid w:val="00853F28"/>
    <w:rsid w:val="0085649B"/>
    <w:rsid w:val="00857F62"/>
    <w:rsid w:val="008644E3"/>
    <w:rsid w:val="008702B3"/>
    <w:rsid w:val="00873FD0"/>
    <w:rsid w:val="00876DFA"/>
    <w:rsid w:val="00880F6A"/>
    <w:rsid w:val="00884387"/>
    <w:rsid w:val="00884AD3"/>
    <w:rsid w:val="0089165D"/>
    <w:rsid w:val="00892595"/>
    <w:rsid w:val="008934EE"/>
    <w:rsid w:val="008949CD"/>
    <w:rsid w:val="008977F6"/>
    <w:rsid w:val="00897AC3"/>
    <w:rsid w:val="00897D57"/>
    <w:rsid w:val="008A200F"/>
    <w:rsid w:val="008A34BD"/>
    <w:rsid w:val="008A39C0"/>
    <w:rsid w:val="008A43BA"/>
    <w:rsid w:val="008B0792"/>
    <w:rsid w:val="008B2FFC"/>
    <w:rsid w:val="008B42C1"/>
    <w:rsid w:val="008B4F02"/>
    <w:rsid w:val="008B5B74"/>
    <w:rsid w:val="008C1062"/>
    <w:rsid w:val="008C4F3D"/>
    <w:rsid w:val="008C5A8C"/>
    <w:rsid w:val="008D093A"/>
    <w:rsid w:val="008D1382"/>
    <w:rsid w:val="008D4F4A"/>
    <w:rsid w:val="008D64AC"/>
    <w:rsid w:val="008E0D9A"/>
    <w:rsid w:val="008E2797"/>
    <w:rsid w:val="008E2BEA"/>
    <w:rsid w:val="008E3B00"/>
    <w:rsid w:val="008E702E"/>
    <w:rsid w:val="008F5FA0"/>
    <w:rsid w:val="008F619E"/>
    <w:rsid w:val="008F69B6"/>
    <w:rsid w:val="00904433"/>
    <w:rsid w:val="00911857"/>
    <w:rsid w:val="00911F41"/>
    <w:rsid w:val="00912D87"/>
    <w:rsid w:val="009144C6"/>
    <w:rsid w:val="0091790E"/>
    <w:rsid w:val="00917D34"/>
    <w:rsid w:val="009237C1"/>
    <w:rsid w:val="009264DB"/>
    <w:rsid w:val="00927AEA"/>
    <w:rsid w:val="0093192E"/>
    <w:rsid w:val="00931C9D"/>
    <w:rsid w:val="0093249D"/>
    <w:rsid w:val="009366D5"/>
    <w:rsid w:val="00937E47"/>
    <w:rsid w:val="009402FE"/>
    <w:rsid w:val="009418D2"/>
    <w:rsid w:val="00942065"/>
    <w:rsid w:val="00942207"/>
    <w:rsid w:val="009430B1"/>
    <w:rsid w:val="00943E54"/>
    <w:rsid w:val="00945EE6"/>
    <w:rsid w:val="009508A6"/>
    <w:rsid w:val="00951B5E"/>
    <w:rsid w:val="00951F34"/>
    <w:rsid w:val="00956673"/>
    <w:rsid w:val="009608BE"/>
    <w:rsid w:val="0096288F"/>
    <w:rsid w:val="00963588"/>
    <w:rsid w:val="00971809"/>
    <w:rsid w:val="0097775B"/>
    <w:rsid w:val="00977D0A"/>
    <w:rsid w:val="00993F22"/>
    <w:rsid w:val="009964EB"/>
    <w:rsid w:val="009A0DA6"/>
    <w:rsid w:val="009A2BE1"/>
    <w:rsid w:val="009A57DD"/>
    <w:rsid w:val="009A6769"/>
    <w:rsid w:val="009B0DEE"/>
    <w:rsid w:val="009B2397"/>
    <w:rsid w:val="009B2A82"/>
    <w:rsid w:val="009B31FE"/>
    <w:rsid w:val="009B3CF0"/>
    <w:rsid w:val="009B6D75"/>
    <w:rsid w:val="009B772D"/>
    <w:rsid w:val="009C2A30"/>
    <w:rsid w:val="009D6CD2"/>
    <w:rsid w:val="009D7D18"/>
    <w:rsid w:val="009D7F75"/>
    <w:rsid w:val="009E13DD"/>
    <w:rsid w:val="009E3B82"/>
    <w:rsid w:val="009E5AC3"/>
    <w:rsid w:val="009E6313"/>
    <w:rsid w:val="009F508D"/>
    <w:rsid w:val="009F79C3"/>
    <w:rsid w:val="00A0114C"/>
    <w:rsid w:val="00A05BA1"/>
    <w:rsid w:val="00A1044E"/>
    <w:rsid w:val="00A159E8"/>
    <w:rsid w:val="00A17DFE"/>
    <w:rsid w:val="00A203B6"/>
    <w:rsid w:val="00A22D36"/>
    <w:rsid w:val="00A2409D"/>
    <w:rsid w:val="00A26733"/>
    <w:rsid w:val="00A27233"/>
    <w:rsid w:val="00A3342E"/>
    <w:rsid w:val="00A46802"/>
    <w:rsid w:val="00A47659"/>
    <w:rsid w:val="00A477DA"/>
    <w:rsid w:val="00A47DC9"/>
    <w:rsid w:val="00A50618"/>
    <w:rsid w:val="00A519CC"/>
    <w:rsid w:val="00A556D2"/>
    <w:rsid w:val="00A6477D"/>
    <w:rsid w:val="00A650D4"/>
    <w:rsid w:val="00A705DF"/>
    <w:rsid w:val="00A7345F"/>
    <w:rsid w:val="00A760F1"/>
    <w:rsid w:val="00A822CB"/>
    <w:rsid w:val="00A82B69"/>
    <w:rsid w:val="00A91D47"/>
    <w:rsid w:val="00A92676"/>
    <w:rsid w:val="00A944F4"/>
    <w:rsid w:val="00AA484B"/>
    <w:rsid w:val="00AA64FB"/>
    <w:rsid w:val="00AB0C45"/>
    <w:rsid w:val="00AB7F80"/>
    <w:rsid w:val="00AC4743"/>
    <w:rsid w:val="00AC5758"/>
    <w:rsid w:val="00AC6254"/>
    <w:rsid w:val="00AD4CDA"/>
    <w:rsid w:val="00AD546F"/>
    <w:rsid w:val="00AD5B92"/>
    <w:rsid w:val="00AE189D"/>
    <w:rsid w:val="00AE1BEB"/>
    <w:rsid w:val="00AE264D"/>
    <w:rsid w:val="00AE29CA"/>
    <w:rsid w:val="00AE3AE5"/>
    <w:rsid w:val="00AE6E01"/>
    <w:rsid w:val="00AF364C"/>
    <w:rsid w:val="00AF5CDA"/>
    <w:rsid w:val="00B042A0"/>
    <w:rsid w:val="00B125A8"/>
    <w:rsid w:val="00B15379"/>
    <w:rsid w:val="00B17B3B"/>
    <w:rsid w:val="00B20B03"/>
    <w:rsid w:val="00B25B74"/>
    <w:rsid w:val="00B265BF"/>
    <w:rsid w:val="00B30B2A"/>
    <w:rsid w:val="00B30D07"/>
    <w:rsid w:val="00B31157"/>
    <w:rsid w:val="00B332FC"/>
    <w:rsid w:val="00B33A5D"/>
    <w:rsid w:val="00B418B0"/>
    <w:rsid w:val="00B43451"/>
    <w:rsid w:val="00B500F6"/>
    <w:rsid w:val="00B50F7D"/>
    <w:rsid w:val="00B561F9"/>
    <w:rsid w:val="00B57547"/>
    <w:rsid w:val="00B57EC4"/>
    <w:rsid w:val="00B606C3"/>
    <w:rsid w:val="00B65640"/>
    <w:rsid w:val="00B66E9A"/>
    <w:rsid w:val="00B70C84"/>
    <w:rsid w:val="00B76191"/>
    <w:rsid w:val="00B8071B"/>
    <w:rsid w:val="00B808EE"/>
    <w:rsid w:val="00B81498"/>
    <w:rsid w:val="00B85DBE"/>
    <w:rsid w:val="00B919C6"/>
    <w:rsid w:val="00B92EF7"/>
    <w:rsid w:val="00B935E7"/>
    <w:rsid w:val="00BA48D6"/>
    <w:rsid w:val="00BA75B1"/>
    <w:rsid w:val="00BB1C7F"/>
    <w:rsid w:val="00BB672D"/>
    <w:rsid w:val="00BB7A78"/>
    <w:rsid w:val="00BC012A"/>
    <w:rsid w:val="00BC2DAE"/>
    <w:rsid w:val="00BC3F9C"/>
    <w:rsid w:val="00BC6F77"/>
    <w:rsid w:val="00BD1CBA"/>
    <w:rsid w:val="00BD6BDC"/>
    <w:rsid w:val="00BE04C3"/>
    <w:rsid w:val="00BE0C4E"/>
    <w:rsid w:val="00BE2A2E"/>
    <w:rsid w:val="00BE5B32"/>
    <w:rsid w:val="00BF0782"/>
    <w:rsid w:val="00BF27F5"/>
    <w:rsid w:val="00BF548C"/>
    <w:rsid w:val="00BF7714"/>
    <w:rsid w:val="00C00FE4"/>
    <w:rsid w:val="00C02195"/>
    <w:rsid w:val="00C03894"/>
    <w:rsid w:val="00C04DBE"/>
    <w:rsid w:val="00C123E3"/>
    <w:rsid w:val="00C1337A"/>
    <w:rsid w:val="00C160F9"/>
    <w:rsid w:val="00C171B9"/>
    <w:rsid w:val="00C17F80"/>
    <w:rsid w:val="00C21871"/>
    <w:rsid w:val="00C21CEE"/>
    <w:rsid w:val="00C228A9"/>
    <w:rsid w:val="00C252B9"/>
    <w:rsid w:val="00C26F66"/>
    <w:rsid w:val="00C334F1"/>
    <w:rsid w:val="00C35A21"/>
    <w:rsid w:val="00C4152D"/>
    <w:rsid w:val="00C44E8E"/>
    <w:rsid w:val="00C452FF"/>
    <w:rsid w:val="00C47EA0"/>
    <w:rsid w:val="00C546C5"/>
    <w:rsid w:val="00C55F0A"/>
    <w:rsid w:val="00C72970"/>
    <w:rsid w:val="00C72F8C"/>
    <w:rsid w:val="00C74988"/>
    <w:rsid w:val="00C84C2B"/>
    <w:rsid w:val="00C853D1"/>
    <w:rsid w:val="00C85A96"/>
    <w:rsid w:val="00CA0C1D"/>
    <w:rsid w:val="00CA297B"/>
    <w:rsid w:val="00CA2F84"/>
    <w:rsid w:val="00CA5A9E"/>
    <w:rsid w:val="00CB2B7B"/>
    <w:rsid w:val="00CB5A9E"/>
    <w:rsid w:val="00CC12D9"/>
    <w:rsid w:val="00CC2EBD"/>
    <w:rsid w:val="00CC5561"/>
    <w:rsid w:val="00CC7111"/>
    <w:rsid w:val="00CC7EAC"/>
    <w:rsid w:val="00CD14F1"/>
    <w:rsid w:val="00CD2A4C"/>
    <w:rsid w:val="00CD573E"/>
    <w:rsid w:val="00CF1FCE"/>
    <w:rsid w:val="00CF38E2"/>
    <w:rsid w:val="00CF5199"/>
    <w:rsid w:val="00CF7911"/>
    <w:rsid w:val="00D018EA"/>
    <w:rsid w:val="00D02413"/>
    <w:rsid w:val="00D04493"/>
    <w:rsid w:val="00D0456C"/>
    <w:rsid w:val="00D054D6"/>
    <w:rsid w:val="00D060B7"/>
    <w:rsid w:val="00D069DF"/>
    <w:rsid w:val="00D0764C"/>
    <w:rsid w:val="00D104DB"/>
    <w:rsid w:val="00D10BBE"/>
    <w:rsid w:val="00D114F9"/>
    <w:rsid w:val="00D11E84"/>
    <w:rsid w:val="00D121F9"/>
    <w:rsid w:val="00D15032"/>
    <w:rsid w:val="00D16932"/>
    <w:rsid w:val="00D16C0D"/>
    <w:rsid w:val="00D237F3"/>
    <w:rsid w:val="00D2535A"/>
    <w:rsid w:val="00D349C8"/>
    <w:rsid w:val="00D37588"/>
    <w:rsid w:val="00D43062"/>
    <w:rsid w:val="00D432EA"/>
    <w:rsid w:val="00D45400"/>
    <w:rsid w:val="00D5012F"/>
    <w:rsid w:val="00D53A0C"/>
    <w:rsid w:val="00D553B2"/>
    <w:rsid w:val="00D55462"/>
    <w:rsid w:val="00D603BF"/>
    <w:rsid w:val="00D622C4"/>
    <w:rsid w:val="00D62C6E"/>
    <w:rsid w:val="00D63CBE"/>
    <w:rsid w:val="00D6407D"/>
    <w:rsid w:val="00D733EF"/>
    <w:rsid w:val="00D74D73"/>
    <w:rsid w:val="00D752D2"/>
    <w:rsid w:val="00D76975"/>
    <w:rsid w:val="00D772C9"/>
    <w:rsid w:val="00D77542"/>
    <w:rsid w:val="00D8746A"/>
    <w:rsid w:val="00D900F5"/>
    <w:rsid w:val="00D90E06"/>
    <w:rsid w:val="00D93EFD"/>
    <w:rsid w:val="00D94A1D"/>
    <w:rsid w:val="00D94C0C"/>
    <w:rsid w:val="00D96276"/>
    <w:rsid w:val="00DA2899"/>
    <w:rsid w:val="00DA3751"/>
    <w:rsid w:val="00DA6EE8"/>
    <w:rsid w:val="00DA7965"/>
    <w:rsid w:val="00DB10DD"/>
    <w:rsid w:val="00DB268E"/>
    <w:rsid w:val="00DB51EB"/>
    <w:rsid w:val="00DB6D27"/>
    <w:rsid w:val="00DB7FE6"/>
    <w:rsid w:val="00DC3DEF"/>
    <w:rsid w:val="00DC492C"/>
    <w:rsid w:val="00DC6387"/>
    <w:rsid w:val="00DD116F"/>
    <w:rsid w:val="00DD2536"/>
    <w:rsid w:val="00DD5573"/>
    <w:rsid w:val="00DD6442"/>
    <w:rsid w:val="00DE6290"/>
    <w:rsid w:val="00DF2DD7"/>
    <w:rsid w:val="00DF63B1"/>
    <w:rsid w:val="00E00CF7"/>
    <w:rsid w:val="00E010F7"/>
    <w:rsid w:val="00E0369E"/>
    <w:rsid w:val="00E04D30"/>
    <w:rsid w:val="00E06552"/>
    <w:rsid w:val="00E160CE"/>
    <w:rsid w:val="00E17724"/>
    <w:rsid w:val="00E240BC"/>
    <w:rsid w:val="00E278F2"/>
    <w:rsid w:val="00E30E7E"/>
    <w:rsid w:val="00E317EA"/>
    <w:rsid w:val="00E32D11"/>
    <w:rsid w:val="00E32F19"/>
    <w:rsid w:val="00E33E03"/>
    <w:rsid w:val="00E34150"/>
    <w:rsid w:val="00E378A7"/>
    <w:rsid w:val="00E41E5D"/>
    <w:rsid w:val="00E45953"/>
    <w:rsid w:val="00E46DA8"/>
    <w:rsid w:val="00E5473E"/>
    <w:rsid w:val="00E60FB0"/>
    <w:rsid w:val="00E61E5E"/>
    <w:rsid w:val="00E8063D"/>
    <w:rsid w:val="00E8346C"/>
    <w:rsid w:val="00E83494"/>
    <w:rsid w:val="00E8428A"/>
    <w:rsid w:val="00E9186A"/>
    <w:rsid w:val="00E92574"/>
    <w:rsid w:val="00E92B4A"/>
    <w:rsid w:val="00E93EDF"/>
    <w:rsid w:val="00E95733"/>
    <w:rsid w:val="00E966F3"/>
    <w:rsid w:val="00E97929"/>
    <w:rsid w:val="00EA1004"/>
    <w:rsid w:val="00EA2CF6"/>
    <w:rsid w:val="00EA30B1"/>
    <w:rsid w:val="00EA7EFF"/>
    <w:rsid w:val="00EB051B"/>
    <w:rsid w:val="00EB0AEA"/>
    <w:rsid w:val="00EB1E57"/>
    <w:rsid w:val="00EB43DB"/>
    <w:rsid w:val="00EB4A38"/>
    <w:rsid w:val="00EB7BE7"/>
    <w:rsid w:val="00EC01B9"/>
    <w:rsid w:val="00EC023F"/>
    <w:rsid w:val="00EC5D6E"/>
    <w:rsid w:val="00ED0BE6"/>
    <w:rsid w:val="00ED23EB"/>
    <w:rsid w:val="00EE23E5"/>
    <w:rsid w:val="00EE53C5"/>
    <w:rsid w:val="00EE5C75"/>
    <w:rsid w:val="00EE5D9C"/>
    <w:rsid w:val="00EF0402"/>
    <w:rsid w:val="00EF04DE"/>
    <w:rsid w:val="00EF0D39"/>
    <w:rsid w:val="00EF399A"/>
    <w:rsid w:val="00EF639E"/>
    <w:rsid w:val="00EF7C85"/>
    <w:rsid w:val="00F03359"/>
    <w:rsid w:val="00F03666"/>
    <w:rsid w:val="00F04990"/>
    <w:rsid w:val="00F05DDC"/>
    <w:rsid w:val="00F060A2"/>
    <w:rsid w:val="00F121AE"/>
    <w:rsid w:val="00F14A54"/>
    <w:rsid w:val="00F22D82"/>
    <w:rsid w:val="00F30F86"/>
    <w:rsid w:val="00F35A10"/>
    <w:rsid w:val="00F4029B"/>
    <w:rsid w:val="00F4242A"/>
    <w:rsid w:val="00F44120"/>
    <w:rsid w:val="00F516F1"/>
    <w:rsid w:val="00F54246"/>
    <w:rsid w:val="00F561D0"/>
    <w:rsid w:val="00F62D13"/>
    <w:rsid w:val="00F63277"/>
    <w:rsid w:val="00F72F72"/>
    <w:rsid w:val="00F7369F"/>
    <w:rsid w:val="00F75A20"/>
    <w:rsid w:val="00F762D3"/>
    <w:rsid w:val="00F815C8"/>
    <w:rsid w:val="00F81A9B"/>
    <w:rsid w:val="00F81B21"/>
    <w:rsid w:val="00F821C8"/>
    <w:rsid w:val="00F830D5"/>
    <w:rsid w:val="00F926A0"/>
    <w:rsid w:val="00FA3952"/>
    <w:rsid w:val="00FA5759"/>
    <w:rsid w:val="00FA6C74"/>
    <w:rsid w:val="00FB63E6"/>
    <w:rsid w:val="00FC4CB0"/>
    <w:rsid w:val="00FC6454"/>
    <w:rsid w:val="00FC6B3E"/>
    <w:rsid w:val="00FD1A44"/>
    <w:rsid w:val="00FD6038"/>
    <w:rsid w:val="00FE3038"/>
    <w:rsid w:val="00FE53FE"/>
    <w:rsid w:val="00FE5E84"/>
    <w:rsid w:val="00FF69E9"/>
    <w:rsid w:val="73E2F0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4603F"/>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603F"/>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consultas.curp.gob.mx/CurpSP/html/informacionecurpPS.html" TargetMode="External" Id="rId9" /><Relationship Type="http://schemas.openxmlformats.org/officeDocument/2006/relationships/header" Target="header3.xml" Id="rId14" /><Relationship Type="http://schemas.openxmlformats.org/officeDocument/2006/relationships/glossaryDocument" Target="glossary/document.xml" Id="Rea339d7c2f074e5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43d77fe-32c4-46ad-9feb-d6d208ad4c68}"/>
      </w:docPartPr>
      <w:docPartBody>
        <w:p w14:paraId="08D472A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4758C-F899-4F4F-8CAD-F4C2A94ED0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2023-05-29T20:48:00.0000000Z</dcterms:created>
  <dcterms:modified xsi:type="dcterms:W3CDTF">2023-06-12T17:40:12.9254339Z</dcterms:modified>
</coreProperties>
</file>