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8D859"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2D44AF">
        <w:rPr>
          <w:rFonts w:ascii="Palatino Linotype" w:eastAsia="Palatino Linotype" w:hAnsi="Palatino Linotype" w:cs="Palatino Linotype"/>
          <w:b/>
        </w:rPr>
        <w:t>trece de diciembre de dos mil veintitrés</w:t>
      </w:r>
      <w:r w:rsidRPr="002D44AF">
        <w:rPr>
          <w:rFonts w:ascii="Palatino Linotype" w:eastAsia="Palatino Linotype" w:hAnsi="Palatino Linotype" w:cs="Palatino Linotype"/>
        </w:rPr>
        <w:t xml:space="preserve">. </w:t>
      </w:r>
    </w:p>
    <w:p w14:paraId="0F70C579" w14:textId="77777777" w:rsidR="00F6312C" w:rsidRPr="002D44AF" w:rsidRDefault="00B80A2A">
      <w:pPr>
        <w:spacing w:before="240" w:after="240" w:line="360" w:lineRule="auto"/>
        <w:jc w:val="both"/>
        <w:rPr>
          <w:rFonts w:ascii="Palatino Linotype" w:eastAsia="Palatino Linotype" w:hAnsi="Palatino Linotype" w:cs="Palatino Linotype"/>
          <w:b/>
        </w:rPr>
      </w:pPr>
      <w:r w:rsidRPr="002D44AF">
        <w:rPr>
          <w:rFonts w:ascii="Palatino Linotype" w:eastAsia="Palatino Linotype" w:hAnsi="Palatino Linotype" w:cs="Palatino Linotype"/>
          <w:b/>
        </w:rPr>
        <w:t>Visto</w:t>
      </w:r>
      <w:r w:rsidRPr="002D44AF">
        <w:rPr>
          <w:rFonts w:ascii="Palatino Linotype" w:eastAsia="Palatino Linotype" w:hAnsi="Palatino Linotype" w:cs="Palatino Linotype"/>
        </w:rPr>
        <w:t xml:space="preserve"> el expediente formado con motivo del recurso de revisión </w:t>
      </w:r>
      <w:r w:rsidRPr="002D44AF">
        <w:rPr>
          <w:rFonts w:ascii="Palatino Linotype" w:eastAsia="Palatino Linotype" w:hAnsi="Palatino Linotype" w:cs="Palatino Linotype"/>
          <w:b/>
        </w:rPr>
        <w:t>07369/INFOEM/IP/RR/2023</w:t>
      </w:r>
      <w:r w:rsidRPr="002D44AF">
        <w:rPr>
          <w:rFonts w:ascii="Palatino Linotype" w:eastAsia="Palatino Linotype" w:hAnsi="Palatino Linotype" w:cs="Palatino Linotype"/>
        </w:rPr>
        <w:t>, interpuesto por</w:t>
      </w:r>
      <w:r w:rsidRPr="002D44AF">
        <w:rPr>
          <w:rFonts w:ascii="Palatino Linotype" w:eastAsia="Palatino Linotype" w:hAnsi="Palatino Linotype" w:cs="Palatino Linotype"/>
          <w:b/>
        </w:rPr>
        <w:t xml:space="preserve"> un particular de manera anónima</w:t>
      </w:r>
      <w:r w:rsidRPr="002D44AF">
        <w:rPr>
          <w:rFonts w:ascii="Palatino Linotype" w:eastAsia="Palatino Linotype" w:hAnsi="Palatino Linotype" w:cs="Palatino Linotype"/>
        </w:rPr>
        <w:t xml:space="preserve">, en lo sucesivo </w:t>
      </w:r>
      <w:r w:rsidRPr="002D44AF">
        <w:rPr>
          <w:rFonts w:ascii="Palatino Linotype" w:eastAsia="Palatino Linotype" w:hAnsi="Palatino Linotype" w:cs="Palatino Linotype"/>
          <w:b/>
        </w:rPr>
        <w:t>la</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parte</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Recurrente,</w:t>
      </w:r>
      <w:r w:rsidRPr="002D44AF">
        <w:rPr>
          <w:rFonts w:ascii="Palatino Linotype" w:eastAsia="Palatino Linotype" w:hAnsi="Palatino Linotype" w:cs="Palatino Linotype"/>
        </w:rPr>
        <w:t xml:space="preserve"> en contra de la respuesta a su solicitud por parte del </w:t>
      </w:r>
      <w:r w:rsidRPr="002D44AF">
        <w:rPr>
          <w:rFonts w:ascii="Palatino Linotype" w:eastAsia="Palatino Linotype" w:hAnsi="Palatino Linotype" w:cs="Palatino Linotype"/>
          <w:b/>
        </w:rPr>
        <w:t xml:space="preserve">Ayuntamiento de Juchitepec, </w:t>
      </w:r>
      <w:r w:rsidRPr="002D44AF">
        <w:rPr>
          <w:rFonts w:ascii="Palatino Linotype" w:eastAsia="Palatino Linotype" w:hAnsi="Palatino Linotype" w:cs="Palatino Linotype"/>
        </w:rPr>
        <w:t xml:space="preserve">en lo sucesivo el </w:t>
      </w:r>
      <w:r w:rsidRPr="002D44AF">
        <w:rPr>
          <w:rFonts w:ascii="Palatino Linotype" w:eastAsia="Palatino Linotype" w:hAnsi="Palatino Linotype" w:cs="Palatino Linotype"/>
          <w:b/>
        </w:rPr>
        <w:t xml:space="preserve">Sujeto Obligado, </w:t>
      </w:r>
      <w:r w:rsidRPr="002D44AF">
        <w:rPr>
          <w:rFonts w:ascii="Palatino Linotype" w:eastAsia="Palatino Linotype" w:hAnsi="Palatino Linotype" w:cs="Palatino Linotype"/>
        </w:rPr>
        <w:t xml:space="preserve">se procede a dictar la presente resolución con base en los siguientes: </w:t>
      </w:r>
    </w:p>
    <w:p w14:paraId="74545F3D" w14:textId="77777777" w:rsidR="00F6312C" w:rsidRPr="002D44AF" w:rsidRDefault="00B80A2A">
      <w:pPr>
        <w:spacing w:before="240" w:after="240" w:line="360" w:lineRule="auto"/>
        <w:jc w:val="center"/>
        <w:rPr>
          <w:rFonts w:ascii="Palatino Linotype" w:eastAsia="Palatino Linotype" w:hAnsi="Palatino Linotype" w:cs="Palatino Linotype"/>
          <w:b/>
        </w:rPr>
      </w:pPr>
      <w:r w:rsidRPr="002D44AF">
        <w:rPr>
          <w:rFonts w:ascii="Palatino Linotype" w:eastAsia="Palatino Linotype" w:hAnsi="Palatino Linotype" w:cs="Palatino Linotype"/>
          <w:b/>
        </w:rPr>
        <w:t>I. A N T E C E D E N T E S</w:t>
      </w:r>
    </w:p>
    <w:p w14:paraId="63D68E69"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1. Solicitud de acceso a la información.</w:t>
      </w:r>
      <w:r w:rsidRPr="002D44AF">
        <w:rPr>
          <w:rFonts w:ascii="Palatino Linotype" w:eastAsia="Palatino Linotype" w:hAnsi="Palatino Linotype" w:cs="Palatino Linotype"/>
        </w:rPr>
        <w:t xml:space="preserve"> El </w:t>
      </w:r>
      <w:r w:rsidRPr="002D44AF">
        <w:rPr>
          <w:rFonts w:ascii="Palatino Linotype" w:eastAsia="Palatino Linotype" w:hAnsi="Palatino Linotype" w:cs="Palatino Linotype"/>
          <w:b/>
        </w:rPr>
        <w:t>veintidós de septiembre del dos mil veintitrés,</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 xml:space="preserve">la parte Recurrente </w:t>
      </w:r>
      <w:r w:rsidRPr="002D44AF">
        <w:rPr>
          <w:rFonts w:ascii="Palatino Linotype" w:eastAsia="Palatino Linotype" w:hAnsi="Palatino Linotype" w:cs="Palatino Linotype"/>
        </w:rPr>
        <w:t xml:space="preserve">presentó, a través del Sistema de Acceso a la Información Mexiquense, en lo subsecuente el </w:t>
      </w:r>
      <w:r w:rsidRPr="002D44AF">
        <w:rPr>
          <w:rFonts w:ascii="Palatino Linotype" w:eastAsia="Palatino Linotype" w:hAnsi="Palatino Linotype" w:cs="Palatino Linotype"/>
          <w:b/>
        </w:rPr>
        <w:t>SAIMEX,</w:t>
      </w:r>
      <w:r w:rsidRPr="002D44AF">
        <w:rPr>
          <w:rFonts w:ascii="Palatino Linotype" w:eastAsia="Palatino Linotype" w:hAnsi="Palatino Linotype" w:cs="Palatino Linotype"/>
        </w:rPr>
        <w:t xml:space="preserve"> ante el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la solicitud de acceso a la información pública, a la que se le asignó el número</w:t>
      </w:r>
      <w:r w:rsidRPr="002D44AF">
        <w:rPr>
          <w:rFonts w:ascii="Palatino Linotype" w:eastAsia="Palatino Linotype" w:hAnsi="Palatino Linotype" w:cs="Palatino Linotype"/>
          <w:b/>
        </w:rPr>
        <w:t xml:space="preserve"> 00092/JUCHITE/IP/2023, </w:t>
      </w:r>
      <w:r w:rsidRPr="002D44AF">
        <w:rPr>
          <w:rFonts w:ascii="Palatino Linotype" w:eastAsia="Palatino Linotype" w:hAnsi="Palatino Linotype" w:cs="Palatino Linotype"/>
        </w:rPr>
        <w:t xml:space="preserve">mediante la cual requirió la información siguiente: </w:t>
      </w:r>
    </w:p>
    <w:p w14:paraId="392237AC" w14:textId="77777777" w:rsidR="00F6312C" w:rsidRPr="002D44AF" w:rsidRDefault="00B80A2A">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2D44AF">
        <w:rPr>
          <w:rFonts w:ascii="Palatino Linotype" w:eastAsia="Palatino Linotype" w:hAnsi="Palatino Linotype" w:cs="Palatino Linotype"/>
          <w:i/>
          <w:sz w:val="22"/>
          <w:szCs w:val="22"/>
        </w:rPr>
        <w:t xml:space="preserve">“Solicito el </w:t>
      </w:r>
      <w:r w:rsidRPr="002D44AF">
        <w:rPr>
          <w:rFonts w:ascii="Palatino Linotype" w:eastAsia="Palatino Linotype" w:hAnsi="Palatino Linotype" w:cs="Palatino Linotype"/>
          <w:b/>
          <w:i/>
          <w:sz w:val="22"/>
          <w:szCs w:val="22"/>
          <w:u w:val="single"/>
        </w:rPr>
        <w:t>monto aprobado por cabildo y el monto gastado para la realización de las fiestas patrias 2023</w:t>
      </w:r>
      <w:r w:rsidRPr="002D44AF">
        <w:rPr>
          <w:rFonts w:ascii="Palatino Linotype" w:eastAsia="Palatino Linotype" w:hAnsi="Palatino Linotype" w:cs="Palatino Linotype"/>
          <w:i/>
          <w:sz w:val="22"/>
          <w:szCs w:val="22"/>
        </w:rPr>
        <w:t xml:space="preserve">” (Sic) </w:t>
      </w:r>
    </w:p>
    <w:p w14:paraId="70BEA00B" w14:textId="77777777" w:rsidR="00F6312C" w:rsidRPr="002D44AF" w:rsidRDefault="00B80A2A">
      <w:pPr>
        <w:tabs>
          <w:tab w:val="left" w:pos="1080"/>
        </w:tabs>
        <w:spacing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ab/>
      </w:r>
    </w:p>
    <w:p w14:paraId="5C0EA8AD" w14:textId="77777777" w:rsidR="00F6312C" w:rsidRPr="002D44AF" w:rsidRDefault="00B80A2A">
      <w:pPr>
        <w:spacing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Modalidad de Entrega:</w:t>
      </w:r>
      <w:r w:rsidRPr="002D44AF">
        <w:rPr>
          <w:rFonts w:ascii="Palatino Linotype" w:eastAsia="Palatino Linotype" w:hAnsi="Palatino Linotype" w:cs="Palatino Linotype"/>
        </w:rPr>
        <w:t xml:space="preserve"> A través de </w:t>
      </w:r>
      <w:r w:rsidRPr="002D44AF">
        <w:rPr>
          <w:rFonts w:ascii="Palatino Linotype" w:eastAsia="Palatino Linotype" w:hAnsi="Palatino Linotype" w:cs="Palatino Linotype"/>
          <w:b/>
        </w:rPr>
        <w:t>SAIMEX</w:t>
      </w:r>
      <w:r w:rsidRPr="002D44AF">
        <w:rPr>
          <w:rFonts w:ascii="Palatino Linotype" w:eastAsia="Palatino Linotype" w:hAnsi="Palatino Linotype" w:cs="Palatino Linotype"/>
        </w:rPr>
        <w:t>.</w:t>
      </w:r>
    </w:p>
    <w:p w14:paraId="3969D73B" w14:textId="77777777" w:rsidR="00F6312C" w:rsidRPr="002D44AF" w:rsidRDefault="00F6312C">
      <w:pPr>
        <w:spacing w:line="360" w:lineRule="auto"/>
        <w:ind w:right="900"/>
        <w:rPr>
          <w:rFonts w:ascii="Palatino Linotype" w:eastAsia="Palatino Linotype" w:hAnsi="Palatino Linotype" w:cs="Palatino Linotype"/>
          <w:sz w:val="22"/>
          <w:szCs w:val="22"/>
        </w:rPr>
      </w:pPr>
    </w:p>
    <w:p w14:paraId="2C72B8DE" w14:textId="77777777" w:rsidR="00F6312C" w:rsidRPr="002D44AF" w:rsidRDefault="00B80A2A">
      <w:pPr>
        <w:spacing w:after="240" w:line="360" w:lineRule="auto"/>
        <w:jc w:val="both"/>
        <w:rPr>
          <w:rFonts w:ascii="Palatino Linotype" w:eastAsia="Palatino Linotype" w:hAnsi="Palatino Linotype" w:cs="Palatino Linotype"/>
          <w:b/>
        </w:rPr>
      </w:pPr>
      <w:r w:rsidRPr="002D44AF">
        <w:rPr>
          <w:rFonts w:ascii="Palatino Linotype" w:eastAsia="Palatino Linotype" w:hAnsi="Palatino Linotype" w:cs="Palatino Linotype"/>
          <w:b/>
        </w:rPr>
        <w:t xml:space="preserve">2. Respuesta. </w:t>
      </w:r>
      <w:r w:rsidRPr="002D44AF">
        <w:rPr>
          <w:rFonts w:ascii="Palatino Linotype" w:eastAsia="Palatino Linotype" w:hAnsi="Palatino Linotype" w:cs="Palatino Linotype"/>
        </w:rPr>
        <w:t xml:space="preserve">El </w:t>
      </w:r>
      <w:r w:rsidRPr="002D44AF">
        <w:rPr>
          <w:rFonts w:ascii="Palatino Linotype" w:eastAsia="Palatino Linotype" w:hAnsi="Palatino Linotype" w:cs="Palatino Linotype"/>
          <w:b/>
        </w:rPr>
        <w:t>trece de octubre de dos mil veintitrés</w:t>
      </w:r>
      <w:r w:rsidRPr="002D44AF">
        <w:rPr>
          <w:rFonts w:ascii="Palatino Linotype" w:eastAsia="Palatino Linotype" w:hAnsi="Palatino Linotype" w:cs="Palatino Linotype"/>
        </w:rPr>
        <w:t xml:space="preserve">, el </w:t>
      </w:r>
      <w:r w:rsidRPr="002D44AF">
        <w:rPr>
          <w:rFonts w:ascii="Palatino Linotype" w:eastAsia="Palatino Linotype" w:hAnsi="Palatino Linotype" w:cs="Palatino Linotype"/>
          <w:b/>
        </w:rPr>
        <w:t xml:space="preserve">Sujeto Obligado </w:t>
      </w:r>
      <w:r w:rsidRPr="002D44AF">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482AEC99" w14:textId="77777777" w:rsidR="00F6312C" w:rsidRPr="002D44AF" w:rsidRDefault="00B80A2A">
      <w:pPr>
        <w:spacing w:before="240" w:after="24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lastRenderedPageBreak/>
        <w:t>“En cumplimiento a lo que establecen los artículos 1, 2, 11, 12, 15, 23 fracción IV, 24, 53 fracciones II, V y 150 de la Ley de Transparencia y Acceso a la Información Pública del Estado de México y Municipios, le comento a usted, que dicha información la puede consultar en los anexos que se le proporciona a través de la plataforma SAIMEX. Sin otro particular, reciba un cordial saludo.</w:t>
      </w:r>
    </w:p>
    <w:p w14:paraId="31C37C27" w14:textId="77777777" w:rsidR="00F6312C" w:rsidRPr="002D44AF" w:rsidRDefault="00B80A2A">
      <w:pPr>
        <w:spacing w:before="240" w:after="24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ATENTAMENTE</w:t>
      </w:r>
    </w:p>
    <w:p w14:paraId="337EC474" w14:textId="77777777" w:rsidR="00F6312C" w:rsidRPr="002D44AF" w:rsidRDefault="00B80A2A">
      <w:pPr>
        <w:spacing w:before="240" w:after="24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Maestro Néstor Uriel Hernández Quiroz” (Sic) </w:t>
      </w:r>
    </w:p>
    <w:p w14:paraId="21435947" w14:textId="77777777" w:rsidR="00F6312C" w:rsidRPr="002D44AF" w:rsidRDefault="00B80A2A">
      <w:pPr>
        <w:spacing w:before="240" w:after="240" w:line="360" w:lineRule="auto"/>
        <w:ind w:left="567" w:right="49"/>
        <w:jc w:val="both"/>
        <w:rPr>
          <w:rFonts w:ascii="Palatino Linotype" w:eastAsia="Palatino Linotype" w:hAnsi="Palatino Linotype" w:cs="Palatino Linotype"/>
          <w:b/>
        </w:rPr>
      </w:pPr>
      <w:r w:rsidRPr="002D44AF">
        <w:rPr>
          <w:rFonts w:ascii="Palatino Linotype" w:eastAsia="Palatino Linotype" w:hAnsi="Palatino Linotype" w:cs="Palatino Linotype"/>
          <w:b/>
        </w:rPr>
        <w:t xml:space="preserve">Archivos adjuntos: </w:t>
      </w:r>
    </w:p>
    <w:p w14:paraId="2FC4C90B" w14:textId="77777777" w:rsidR="00F6312C" w:rsidRPr="002D44AF" w:rsidRDefault="00B80A2A">
      <w:pPr>
        <w:spacing w:before="240" w:after="240" w:line="360" w:lineRule="auto"/>
        <w:ind w:left="567" w:right="900"/>
        <w:jc w:val="both"/>
        <w:rPr>
          <w:rFonts w:ascii="Palatino Linotype" w:eastAsia="Palatino Linotype" w:hAnsi="Palatino Linotype" w:cs="Palatino Linotype"/>
        </w:rPr>
      </w:pPr>
      <w:r w:rsidRPr="002D44AF">
        <w:rPr>
          <w:rFonts w:ascii="Palatino Linotype" w:eastAsia="Palatino Linotype" w:hAnsi="Palatino Linotype" w:cs="Palatino Linotype"/>
          <w:b/>
          <w:i/>
        </w:rPr>
        <w:t xml:space="preserve">“00092JUCHITEIP2023.pdf”: </w:t>
      </w:r>
      <w:r w:rsidRPr="002D44AF">
        <w:rPr>
          <w:rFonts w:ascii="Palatino Linotype" w:eastAsia="Palatino Linotype" w:hAnsi="Palatino Linotype" w:cs="Palatino Linotype"/>
        </w:rPr>
        <w:t>Oficio signado por el Tesorero Municipal, quien señala que respecto al monto gastado para la realización de las fiestas patrias 2023, a la fecha del presente oficio, la información solicitada se encuentra en proceso de integración y registro contable, por lo que aún no puede ser proporcionada.</w:t>
      </w:r>
    </w:p>
    <w:p w14:paraId="2B617314" w14:textId="77777777" w:rsidR="00F6312C" w:rsidRPr="002D44AF" w:rsidRDefault="00B80A2A">
      <w:pPr>
        <w:spacing w:before="240" w:after="240" w:line="360" w:lineRule="auto"/>
        <w:ind w:left="567" w:right="900"/>
        <w:jc w:val="center"/>
        <w:rPr>
          <w:rFonts w:ascii="Palatino Linotype" w:eastAsia="Palatino Linotype" w:hAnsi="Palatino Linotype" w:cs="Palatino Linotype"/>
        </w:rPr>
      </w:pPr>
      <w:r w:rsidRPr="002D44AF">
        <w:rPr>
          <w:rFonts w:ascii="Palatino Linotype" w:eastAsia="Palatino Linotype" w:hAnsi="Palatino Linotype" w:cs="Palatino Linotype"/>
          <w:noProof/>
          <w:lang w:val="es-MX"/>
        </w:rPr>
        <w:drawing>
          <wp:inline distT="0" distB="0" distL="0" distR="0" wp14:anchorId="030E9998" wp14:editId="62271922">
            <wp:extent cx="2983259" cy="357952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83259" cy="3579529"/>
                    </a:xfrm>
                    <a:prstGeom prst="rect">
                      <a:avLst/>
                    </a:prstGeom>
                    <a:ln/>
                  </pic:spPr>
                </pic:pic>
              </a:graphicData>
            </a:graphic>
          </wp:inline>
        </w:drawing>
      </w:r>
    </w:p>
    <w:p w14:paraId="54889610" w14:textId="77777777" w:rsidR="00F6312C" w:rsidRPr="002D44AF" w:rsidRDefault="00B80A2A">
      <w:pPr>
        <w:spacing w:before="240" w:after="240" w:line="360" w:lineRule="auto"/>
        <w:ind w:right="49"/>
        <w:jc w:val="both"/>
        <w:rPr>
          <w:rFonts w:ascii="Palatino Linotype" w:eastAsia="Palatino Linotype" w:hAnsi="Palatino Linotype" w:cs="Palatino Linotype"/>
        </w:rPr>
      </w:pPr>
      <w:r w:rsidRPr="002D44AF">
        <w:rPr>
          <w:rFonts w:ascii="Palatino Linotype" w:eastAsia="Palatino Linotype" w:hAnsi="Palatino Linotype" w:cs="Palatino Linotype"/>
          <w:b/>
        </w:rPr>
        <w:lastRenderedPageBreak/>
        <w:t xml:space="preserve">3. Interposición del recurso de revisión. </w:t>
      </w:r>
      <w:r w:rsidRPr="002D44AF">
        <w:rPr>
          <w:rFonts w:ascii="Palatino Linotype" w:eastAsia="Palatino Linotype" w:hAnsi="Palatino Linotype" w:cs="Palatino Linotype"/>
        </w:rPr>
        <w:t xml:space="preserve">Inconforme con los términos de la respuesta emitida por parte del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xml:space="preserve">, el </w:t>
      </w:r>
      <w:r w:rsidRPr="002D44AF">
        <w:rPr>
          <w:rFonts w:ascii="Palatino Linotype" w:eastAsia="Palatino Linotype" w:hAnsi="Palatino Linotype" w:cs="Palatino Linotype"/>
          <w:b/>
        </w:rPr>
        <w:t>veinticuatro de octubre de dos mil veintitrés,</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la parte Recurrente</w:t>
      </w:r>
      <w:r w:rsidRPr="002D44AF">
        <w:rPr>
          <w:rFonts w:ascii="Palatino Linotype" w:eastAsia="Palatino Linotype" w:hAnsi="Palatino Linotype" w:cs="Palatino Linotype"/>
        </w:rPr>
        <w:t xml:space="preserve"> interpuso el recurso de revisión a través de </w:t>
      </w:r>
      <w:r w:rsidRPr="002D44AF">
        <w:rPr>
          <w:rFonts w:ascii="Palatino Linotype" w:eastAsia="Palatino Linotype" w:hAnsi="Palatino Linotype" w:cs="Palatino Linotype"/>
          <w:b/>
        </w:rPr>
        <w:t xml:space="preserve">SAIMEX, </w:t>
      </w:r>
      <w:r w:rsidRPr="002D44AF">
        <w:rPr>
          <w:rFonts w:ascii="Palatino Linotype" w:eastAsia="Palatino Linotype" w:hAnsi="Palatino Linotype" w:cs="Palatino Linotype"/>
        </w:rPr>
        <w:t>en donde se manifestó de la siguiente manera:</w:t>
      </w:r>
    </w:p>
    <w:p w14:paraId="16F1CED0" w14:textId="77777777" w:rsidR="00F6312C" w:rsidRPr="002D44AF" w:rsidRDefault="00B80A2A">
      <w:pPr>
        <w:tabs>
          <w:tab w:val="left" w:pos="2745"/>
        </w:tabs>
        <w:spacing w:before="240" w:after="240" w:line="360" w:lineRule="auto"/>
        <w:jc w:val="both"/>
        <w:rPr>
          <w:rFonts w:ascii="Palatino Linotype" w:eastAsia="Palatino Linotype" w:hAnsi="Palatino Linotype" w:cs="Palatino Linotype"/>
          <w:b/>
        </w:rPr>
      </w:pPr>
      <w:r w:rsidRPr="002D44AF">
        <w:rPr>
          <w:rFonts w:ascii="Palatino Linotype" w:eastAsia="Palatino Linotype" w:hAnsi="Palatino Linotype" w:cs="Palatino Linotype"/>
          <w:b/>
        </w:rPr>
        <w:t xml:space="preserve">a) Acto impugnado: </w:t>
      </w:r>
      <w:r w:rsidRPr="002D44AF">
        <w:rPr>
          <w:rFonts w:ascii="Palatino Linotype" w:eastAsia="Palatino Linotype" w:hAnsi="Palatino Linotype" w:cs="Palatino Linotype"/>
          <w:b/>
        </w:rPr>
        <w:tab/>
      </w:r>
    </w:p>
    <w:p w14:paraId="5597C3B9" w14:textId="77777777" w:rsidR="00F6312C" w:rsidRPr="002D44AF" w:rsidRDefault="00B80A2A">
      <w:pPr>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“me </w:t>
      </w:r>
      <w:proofErr w:type="spellStart"/>
      <w:r w:rsidRPr="002D44AF">
        <w:rPr>
          <w:rFonts w:ascii="Palatino Linotype" w:eastAsia="Palatino Linotype" w:hAnsi="Palatino Linotype" w:cs="Palatino Linotype"/>
          <w:i/>
          <w:sz w:val="22"/>
          <w:szCs w:val="22"/>
        </w:rPr>
        <w:t>estan</w:t>
      </w:r>
      <w:proofErr w:type="spellEnd"/>
      <w:r w:rsidRPr="002D44AF">
        <w:rPr>
          <w:rFonts w:ascii="Palatino Linotype" w:eastAsia="Palatino Linotype" w:hAnsi="Palatino Linotype" w:cs="Palatino Linotype"/>
          <w:i/>
          <w:sz w:val="22"/>
          <w:szCs w:val="22"/>
        </w:rPr>
        <w:t xml:space="preserve"> negando la </w:t>
      </w:r>
      <w:proofErr w:type="spellStart"/>
      <w:r w:rsidRPr="002D44AF">
        <w:rPr>
          <w:rFonts w:ascii="Palatino Linotype" w:eastAsia="Palatino Linotype" w:hAnsi="Palatino Linotype" w:cs="Palatino Linotype"/>
          <w:i/>
          <w:sz w:val="22"/>
          <w:szCs w:val="22"/>
        </w:rPr>
        <w:t>informacion</w:t>
      </w:r>
      <w:proofErr w:type="spellEnd"/>
      <w:r w:rsidRPr="002D44AF">
        <w:rPr>
          <w:rFonts w:ascii="Palatino Linotype" w:eastAsia="Palatino Linotype" w:hAnsi="Palatino Linotype" w:cs="Palatino Linotype"/>
          <w:i/>
          <w:sz w:val="22"/>
          <w:szCs w:val="22"/>
        </w:rPr>
        <w:t>” (Sic)</w:t>
      </w:r>
    </w:p>
    <w:p w14:paraId="3A3C78F5" w14:textId="77777777" w:rsidR="00F6312C" w:rsidRPr="002D44AF" w:rsidRDefault="00F6312C">
      <w:pPr>
        <w:ind w:left="851" w:right="902"/>
        <w:jc w:val="both"/>
        <w:rPr>
          <w:rFonts w:ascii="Palatino Linotype" w:eastAsia="Palatino Linotype" w:hAnsi="Palatino Linotype" w:cs="Palatino Linotype"/>
          <w:i/>
          <w:sz w:val="22"/>
          <w:szCs w:val="22"/>
        </w:rPr>
      </w:pPr>
    </w:p>
    <w:p w14:paraId="3CF9264C" w14:textId="77777777" w:rsidR="00F6312C" w:rsidRPr="002D44AF" w:rsidRDefault="00B80A2A">
      <w:pPr>
        <w:spacing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b) Razones o motivos de inconformidad</w:t>
      </w:r>
      <w:r w:rsidRPr="002D44AF">
        <w:rPr>
          <w:rFonts w:ascii="Palatino Linotype" w:eastAsia="Palatino Linotype" w:hAnsi="Palatino Linotype" w:cs="Palatino Linotype"/>
        </w:rPr>
        <w:t>:</w:t>
      </w:r>
    </w:p>
    <w:p w14:paraId="3D3EFC8A" w14:textId="77777777" w:rsidR="00F6312C" w:rsidRPr="002D44AF" w:rsidRDefault="00B80A2A">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2D44AF">
        <w:rPr>
          <w:rFonts w:ascii="Palatino Linotype" w:eastAsia="Palatino Linotype" w:hAnsi="Palatino Linotype" w:cs="Palatino Linotype"/>
          <w:i/>
          <w:sz w:val="22"/>
          <w:szCs w:val="22"/>
        </w:rPr>
        <w:t xml:space="preserve"> “</w:t>
      </w:r>
      <w:r w:rsidRPr="002D44AF">
        <w:rPr>
          <w:rFonts w:ascii="Palatino Linotype" w:eastAsia="Palatino Linotype" w:hAnsi="Palatino Linotype" w:cs="Palatino Linotype"/>
          <w:b/>
          <w:i/>
          <w:sz w:val="22"/>
          <w:szCs w:val="22"/>
          <w:u w:val="single"/>
        </w:rPr>
        <w:t xml:space="preserve">me </w:t>
      </w:r>
      <w:proofErr w:type="spellStart"/>
      <w:r w:rsidRPr="002D44AF">
        <w:rPr>
          <w:rFonts w:ascii="Palatino Linotype" w:eastAsia="Palatino Linotype" w:hAnsi="Palatino Linotype" w:cs="Palatino Linotype"/>
          <w:b/>
          <w:i/>
          <w:sz w:val="22"/>
          <w:szCs w:val="22"/>
          <w:u w:val="single"/>
        </w:rPr>
        <w:t>estan</w:t>
      </w:r>
      <w:proofErr w:type="spellEnd"/>
      <w:r w:rsidRPr="002D44AF">
        <w:rPr>
          <w:rFonts w:ascii="Palatino Linotype" w:eastAsia="Palatino Linotype" w:hAnsi="Palatino Linotype" w:cs="Palatino Linotype"/>
          <w:b/>
          <w:i/>
          <w:sz w:val="22"/>
          <w:szCs w:val="22"/>
          <w:u w:val="single"/>
        </w:rPr>
        <w:t xml:space="preserve"> negando la </w:t>
      </w:r>
      <w:proofErr w:type="spellStart"/>
      <w:r w:rsidRPr="002D44AF">
        <w:rPr>
          <w:rFonts w:ascii="Palatino Linotype" w:eastAsia="Palatino Linotype" w:hAnsi="Palatino Linotype" w:cs="Palatino Linotype"/>
          <w:b/>
          <w:i/>
          <w:sz w:val="22"/>
          <w:szCs w:val="22"/>
          <w:u w:val="single"/>
        </w:rPr>
        <w:t>informacion</w:t>
      </w:r>
      <w:proofErr w:type="spellEnd"/>
      <w:r w:rsidRPr="002D44AF">
        <w:rPr>
          <w:rFonts w:ascii="Palatino Linotype" w:eastAsia="Palatino Linotype" w:hAnsi="Palatino Linotype" w:cs="Palatino Linotype"/>
          <w:i/>
          <w:sz w:val="22"/>
          <w:szCs w:val="22"/>
        </w:rPr>
        <w:t>”</w:t>
      </w:r>
      <w:r w:rsidRPr="002D44AF">
        <w:rPr>
          <w:rFonts w:ascii="Palatino Linotype" w:eastAsia="Palatino Linotype" w:hAnsi="Palatino Linotype" w:cs="Palatino Linotype"/>
          <w:b/>
          <w:i/>
          <w:sz w:val="22"/>
          <w:szCs w:val="22"/>
        </w:rPr>
        <w:t xml:space="preserve"> </w:t>
      </w:r>
      <w:r w:rsidRPr="002D44AF">
        <w:rPr>
          <w:rFonts w:ascii="Palatino Linotype" w:eastAsia="Palatino Linotype" w:hAnsi="Palatino Linotype" w:cs="Palatino Linotype"/>
          <w:i/>
          <w:sz w:val="22"/>
          <w:szCs w:val="22"/>
        </w:rPr>
        <w:t xml:space="preserve">(Sic) </w:t>
      </w:r>
    </w:p>
    <w:p w14:paraId="346B0630" w14:textId="77777777" w:rsidR="00F6312C" w:rsidRPr="002D44AF" w:rsidRDefault="00F6312C">
      <w:pPr>
        <w:ind w:left="851" w:right="902"/>
        <w:jc w:val="both"/>
        <w:rPr>
          <w:rFonts w:ascii="Palatino Linotype" w:eastAsia="Palatino Linotype" w:hAnsi="Palatino Linotype" w:cs="Palatino Linotype"/>
          <w:i/>
          <w:sz w:val="22"/>
          <w:szCs w:val="22"/>
        </w:rPr>
      </w:pPr>
    </w:p>
    <w:p w14:paraId="08D920EE" w14:textId="77777777" w:rsidR="00F6312C" w:rsidRPr="002D44AF" w:rsidRDefault="00B80A2A">
      <w:pPr>
        <w:spacing w:line="360" w:lineRule="auto"/>
        <w:ind w:right="51"/>
        <w:jc w:val="both"/>
        <w:rPr>
          <w:rFonts w:ascii="Palatino Linotype" w:eastAsia="Palatino Linotype" w:hAnsi="Palatino Linotype" w:cs="Palatino Linotype"/>
        </w:rPr>
      </w:pPr>
      <w:r w:rsidRPr="002D44AF">
        <w:rPr>
          <w:rFonts w:ascii="Palatino Linotype" w:eastAsia="Palatino Linotype" w:hAnsi="Palatino Linotype" w:cs="Palatino Linotype"/>
          <w:b/>
        </w:rPr>
        <w:t xml:space="preserve">4. Turno. </w:t>
      </w:r>
      <w:r w:rsidRPr="002D44A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2D44AF">
        <w:rPr>
          <w:rFonts w:ascii="Palatino Linotype" w:eastAsia="Palatino Linotype" w:hAnsi="Palatino Linotype" w:cs="Palatino Linotype"/>
          <w:b/>
        </w:rPr>
        <w:t>Comisionada</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 xml:space="preserve">Guadalupe Ramírez Peña, </w:t>
      </w:r>
      <w:r w:rsidRPr="002D44AF">
        <w:rPr>
          <w:rFonts w:ascii="Palatino Linotype" w:eastAsia="Palatino Linotype" w:hAnsi="Palatino Linotype" w:cs="Palatino Linotype"/>
        </w:rPr>
        <w:t xml:space="preserve">a efecto de que analizara sobre su admisión o su </w:t>
      </w:r>
      <w:proofErr w:type="spellStart"/>
      <w:r w:rsidRPr="002D44AF">
        <w:rPr>
          <w:rFonts w:ascii="Palatino Linotype" w:eastAsia="Palatino Linotype" w:hAnsi="Palatino Linotype" w:cs="Palatino Linotype"/>
        </w:rPr>
        <w:t>desechamiento</w:t>
      </w:r>
      <w:proofErr w:type="spellEnd"/>
      <w:r w:rsidRPr="002D44AF">
        <w:rPr>
          <w:rFonts w:ascii="Palatino Linotype" w:eastAsia="Palatino Linotype" w:hAnsi="Palatino Linotype" w:cs="Palatino Linotype"/>
        </w:rPr>
        <w:t>.</w:t>
      </w:r>
    </w:p>
    <w:p w14:paraId="0CD0F480" w14:textId="77777777" w:rsidR="00F6312C" w:rsidRPr="002D44AF" w:rsidRDefault="00F6312C">
      <w:pPr>
        <w:spacing w:line="360" w:lineRule="auto"/>
        <w:ind w:right="51"/>
        <w:jc w:val="both"/>
        <w:rPr>
          <w:rFonts w:ascii="Palatino Linotype" w:eastAsia="Palatino Linotype" w:hAnsi="Palatino Linotype" w:cs="Palatino Linotype"/>
        </w:rPr>
      </w:pPr>
    </w:p>
    <w:p w14:paraId="47408227" w14:textId="77777777" w:rsidR="00F6312C" w:rsidRPr="002D44AF" w:rsidRDefault="00B80A2A">
      <w:pPr>
        <w:spacing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5. Admisión del Recurso de Revisión.</w:t>
      </w:r>
      <w:r w:rsidRPr="002D44AF">
        <w:rPr>
          <w:rFonts w:ascii="Palatino Linotype" w:eastAsia="Palatino Linotype" w:hAnsi="Palatino Linotype" w:cs="Palatino Linotype"/>
        </w:rPr>
        <w:t xml:space="preserve"> El</w:t>
      </w:r>
      <w:r w:rsidRPr="002D44AF">
        <w:rPr>
          <w:rFonts w:ascii="Palatino Linotype" w:eastAsia="Palatino Linotype" w:hAnsi="Palatino Linotype" w:cs="Palatino Linotype"/>
          <w:b/>
        </w:rPr>
        <w:t xml:space="preserve"> veintisiete de octubre de dos mil veintitrés, </w:t>
      </w:r>
      <w:r w:rsidRPr="002D44A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D44AF">
        <w:rPr>
          <w:rFonts w:ascii="Palatino Linotype" w:eastAsia="Palatino Linotype" w:hAnsi="Palatino Linotype" w:cs="Palatino Linotype"/>
          <w:b/>
        </w:rPr>
        <w:t xml:space="preserve">Sujeto Obligado </w:t>
      </w:r>
      <w:r w:rsidRPr="002D44AF">
        <w:rPr>
          <w:rFonts w:ascii="Palatino Linotype" w:eastAsia="Palatino Linotype" w:hAnsi="Palatino Linotype" w:cs="Palatino Linotype"/>
        </w:rPr>
        <w:t>presentara su informe justificado.</w:t>
      </w:r>
    </w:p>
    <w:p w14:paraId="10CE0017" w14:textId="77777777" w:rsidR="00F6312C" w:rsidRPr="002D44AF" w:rsidRDefault="00B80A2A">
      <w:pPr>
        <w:spacing w:after="240" w:line="360" w:lineRule="auto"/>
        <w:jc w:val="both"/>
        <w:rPr>
          <w:rFonts w:ascii="Palatino Linotype" w:eastAsia="Palatino Linotype" w:hAnsi="Palatino Linotype" w:cs="Palatino Linotype"/>
        </w:rPr>
      </w:pPr>
      <w:bookmarkStart w:id="2" w:name="_heading=h.2s8eyo1" w:colFirst="0" w:colLast="0"/>
      <w:bookmarkEnd w:id="2"/>
      <w:r w:rsidRPr="002D44AF">
        <w:rPr>
          <w:rFonts w:ascii="Palatino Linotype" w:eastAsia="Palatino Linotype" w:hAnsi="Palatino Linotype" w:cs="Palatino Linotype"/>
          <w:b/>
        </w:rPr>
        <w:lastRenderedPageBreak/>
        <w:t>6. Manifestaciones</w:t>
      </w:r>
      <w:r w:rsidRPr="002D44AF">
        <w:rPr>
          <w:rFonts w:ascii="Palatino Linotype" w:eastAsia="Palatino Linotype" w:hAnsi="Palatino Linotype" w:cs="Palatino Linotype"/>
        </w:rPr>
        <w:t xml:space="preserve">. Durante este plazo, se tiene constancia que las partes fueron omisas en remitir su informe justificado, alegatos o manifestaciones, por lo que se tiene por precluido su derecho para tal efecto. </w:t>
      </w:r>
    </w:p>
    <w:p w14:paraId="49E637BD" w14:textId="77777777" w:rsidR="00F6312C" w:rsidRPr="002D44AF" w:rsidRDefault="00B80A2A">
      <w:pPr>
        <w:spacing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noProof/>
          <w:lang w:val="es-MX"/>
        </w:rPr>
        <w:drawing>
          <wp:inline distT="0" distB="0" distL="0" distR="0" wp14:anchorId="10FC210C" wp14:editId="338C7EDC">
            <wp:extent cx="5612130" cy="149987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1499870"/>
                    </a:xfrm>
                    <a:prstGeom prst="rect">
                      <a:avLst/>
                    </a:prstGeom>
                    <a:ln/>
                  </pic:spPr>
                </pic:pic>
              </a:graphicData>
            </a:graphic>
          </wp:inline>
        </w:drawing>
      </w:r>
    </w:p>
    <w:p w14:paraId="1FF52F25" w14:textId="77777777" w:rsidR="00F6312C" w:rsidRPr="002D44AF" w:rsidRDefault="00B80A2A">
      <w:pPr>
        <w:widowControl w:val="0"/>
        <w:spacing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 xml:space="preserve">7. Cierre de instrucción. </w:t>
      </w:r>
      <w:r w:rsidRPr="002D44AF">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2D44AF">
        <w:rPr>
          <w:rFonts w:ascii="Palatino Linotype" w:eastAsia="Palatino Linotype" w:hAnsi="Palatino Linotype" w:cs="Palatino Linotype"/>
          <w:b/>
        </w:rPr>
        <w:t>dieciséis de noviembre de dos mil veintitrés</w:t>
      </w:r>
      <w:r w:rsidRPr="002D44A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C1E5DFC" w14:textId="77777777" w:rsidR="00F6312C" w:rsidRPr="002D44AF" w:rsidRDefault="00B80A2A">
      <w:pPr>
        <w:widowControl w:val="0"/>
        <w:spacing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8</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Ampliación del plazo para emitir resolución.</w:t>
      </w:r>
      <w:r w:rsidRPr="002D44AF">
        <w:rPr>
          <w:rFonts w:ascii="Palatino Linotype" w:eastAsia="Palatino Linotype" w:hAnsi="Palatino Linotype" w:cs="Palatino Linotype"/>
        </w:rPr>
        <w:t xml:space="preserve"> El </w:t>
      </w:r>
      <w:r w:rsidRPr="002D44AF">
        <w:rPr>
          <w:rFonts w:ascii="Palatino Linotype" w:eastAsia="Palatino Linotype" w:hAnsi="Palatino Linotype" w:cs="Palatino Linotype"/>
          <w:b/>
        </w:rPr>
        <w:t>siete de diciembre de dos mil veintitrés</w:t>
      </w:r>
      <w:r w:rsidRPr="002D44AF">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4084138"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BBAF5C8" w14:textId="77777777" w:rsidR="00F6312C" w:rsidRPr="002D44AF" w:rsidRDefault="00F6312C">
      <w:pPr>
        <w:spacing w:before="240" w:after="240" w:line="360" w:lineRule="auto"/>
        <w:jc w:val="both"/>
        <w:rPr>
          <w:rFonts w:ascii="Palatino Linotype" w:eastAsia="Palatino Linotype" w:hAnsi="Palatino Linotype" w:cs="Palatino Linotype"/>
        </w:rPr>
      </w:pPr>
    </w:p>
    <w:p w14:paraId="2E73DDD6" w14:textId="77777777" w:rsidR="00F6312C" w:rsidRPr="002D44AF" w:rsidRDefault="00B80A2A">
      <w:pPr>
        <w:widowControl w:val="0"/>
        <w:spacing w:line="360" w:lineRule="auto"/>
        <w:jc w:val="center"/>
        <w:rPr>
          <w:rFonts w:ascii="Palatino Linotype" w:eastAsia="Palatino Linotype" w:hAnsi="Palatino Linotype" w:cs="Palatino Linotype"/>
          <w:b/>
        </w:rPr>
      </w:pPr>
      <w:r w:rsidRPr="002D44AF">
        <w:rPr>
          <w:rFonts w:ascii="Palatino Linotype" w:eastAsia="Palatino Linotype" w:hAnsi="Palatino Linotype" w:cs="Palatino Linotype"/>
          <w:b/>
        </w:rPr>
        <w:lastRenderedPageBreak/>
        <w:t>II. C O N S I D E R A N D O S</w:t>
      </w:r>
    </w:p>
    <w:p w14:paraId="2E122EF7" w14:textId="77777777" w:rsidR="00F6312C" w:rsidRPr="002D44AF" w:rsidRDefault="00F6312C">
      <w:pPr>
        <w:widowControl w:val="0"/>
        <w:spacing w:line="360" w:lineRule="auto"/>
        <w:jc w:val="center"/>
        <w:rPr>
          <w:rFonts w:ascii="Palatino Linotype" w:eastAsia="Palatino Linotype" w:hAnsi="Palatino Linotype" w:cs="Palatino Linotype"/>
          <w:b/>
        </w:rPr>
      </w:pPr>
    </w:p>
    <w:p w14:paraId="0AA07381" w14:textId="77777777" w:rsidR="00F6312C" w:rsidRPr="002D44AF" w:rsidRDefault="00B80A2A">
      <w:pPr>
        <w:spacing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Primero. Competencia.</w:t>
      </w:r>
      <w:r w:rsidRPr="002D44A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2D44AF">
        <w:rPr>
          <w:rFonts w:ascii="Palatino Linotype" w:eastAsia="Palatino Linotype" w:hAnsi="Palatino Linotype" w:cs="Palatino Linotype"/>
          <w:b/>
        </w:rPr>
        <w:t>la parte Recurrente</w:t>
      </w:r>
      <w:r w:rsidRPr="002D44AF">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87BD110" w14:textId="77777777" w:rsidR="00F6312C" w:rsidRPr="002D44AF" w:rsidRDefault="00B80A2A">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2D44AF">
        <w:rPr>
          <w:rFonts w:ascii="Palatino Linotype" w:eastAsia="Palatino Linotype" w:hAnsi="Palatino Linotype" w:cs="Palatino Linotype"/>
          <w:b/>
        </w:rPr>
        <w:t xml:space="preserve">Segundo. Oportunidad y Procedibilidad del Recurso de Revisión. </w:t>
      </w:r>
      <w:r w:rsidRPr="002D44AF">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1102B4D" w14:textId="77777777" w:rsidR="00F6312C" w:rsidRPr="002D44AF" w:rsidRDefault="00B80A2A">
      <w:pPr>
        <w:pBdr>
          <w:top w:val="nil"/>
          <w:left w:val="nil"/>
          <w:bottom w:val="nil"/>
          <w:right w:val="nil"/>
          <w:between w:val="nil"/>
        </w:pBdr>
        <w:spacing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2D44AF">
        <w:rPr>
          <w:rFonts w:ascii="Palatino Linotype" w:eastAsia="Palatino Linotype" w:hAnsi="Palatino Linotype" w:cs="Palatino Linotype"/>
          <w:b/>
        </w:rPr>
        <w:t>el Sujeto Obligado</w:t>
      </w:r>
      <w:r w:rsidRPr="002D44AF">
        <w:rPr>
          <w:rFonts w:ascii="Palatino Linotype" w:eastAsia="Palatino Linotype" w:hAnsi="Palatino Linotype" w:cs="Palatino Linotype"/>
        </w:rPr>
        <w:t xml:space="preserve"> respondió a la solicitud de información el </w:t>
      </w:r>
      <w:r w:rsidRPr="002D44AF">
        <w:rPr>
          <w:rFonts w:ascii="Palatino Linotype" w:eastAsia="Palatino Linotype" w:hAnsi="Palatino Linotype" w:cs="Palatino Linotype"/>
          <w:b/>
        </w:rPr>
        <w:t xml:space="preserve">trece de octubre de dos mil veintitrés, </w:t>
      </w:r>
      <w:r w:rsidRPr="002D44AF">
        <w:rPr>
          <w:rFonts w:ascii="Palatino Linotype" w:eastAsia="Palatino Linotype" w:hAnsi="Palatino Linotype" w:cs="Palatino Linotype"/>
        </w:rPr>
        <w:t xml:space="preserve">mientras que el recurso de revisión se interpuso el </w:t>
      </w:r>
      <w:r w:rsidRPr="002D44AF">
        <w:rPr>
          <w:rFonts w:ascii="Palatino Linotype" w:eastAsia="Palatino Linotype" w:hAnsi="Palatino Linotype" w:cs="Palatino Linotype"/>
          <w:b/>
        </w:rPr>
        <w:t>veinticuatro de octubre de dos mil veintitrés</w:t>
      </w:r>
      <w:r w:rsidRPr="002D44AF">
        <w:rPr>
          <w:rFonts w:ascii="Palatino Linotype" w:eastAsia="Palatino Linotype" w:hAnsi="Palatino Linotype" w:cs="Palatino Linotype"/>
        </w:rPr>
        <w:t xml:space="preserve">, esto es, el </w:t>
      </w:r>
      <w:r w:rsidRPr="002D44AF">
        <w:rPr>
          <w:rFonts w:ascii="Palatino Linotype" w:eastAsia="Palatino Linotype" w:hAnsi="Palatino Linotype" w:cs="Palatino Linotype"/>
          <w:b/>
        </w:rPr>
        <w:t xml:space="preserve">séptimo día hábil </w:t>
      </w:r>
      <w:r w:rsidRPr="002D44AF">
        <w:rPr>
          <w:rFonts w:ascii="Palatino Linotype" w:eastAsia="Palatino Linotype" w:hAnsi="Palatino Linotype" w:cs="Palatino Linotype"/>
        </w:rPr>
        <w:t>posterior en que tuvo conocimiento de la respuesta impugnada.</w:t>
      </w:r>
    </w:p>
    <w:p w14:paraId="745A16AA"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lastRenderedPageBreak/>
        <w:t xml:space="preserve">Asimismo, por cuanto hace a la procedibilidad del  recurso de revisión, es de suma importancia señalar que </w:t>
      </w:r>
      <w:r w:rsidRPr="002D44AF">
        <w:rPr>
          <w:rFonts w:ascii="Palatino Linotype" w:eastAsia="Palatino Linotype" w:hAnsi="Palatino Linotype" w:cs="Palatino Linotype"/>
          <w:b/>
        </w:rPr>
        <w:t>la parte Recurrente</w:t>
      </w:r>
      <w:r w:rsidRPr="002D44AF">
        <w:rPr>
          <w:rFonts w:ascii="Palatino Linotype" w:eastAsia="Palatino Linotype" w:hAnsi="Palatino Linotype" w:cs="Palatino Linotype"/>
        </w:rPr>
        <w:t>,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F2474F7" w14:textId="77777777" w:rsidR="00F6312C" w:rsidRPr="002D44AF" w:rsidRDefault="00B80A2A">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4A7EF49"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En este sentido, al considerar la fecha en que se formuló la solicitud y la fecha en que respondió a esta el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6993AF44"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1B7A555" w14:textId="77777777" w:rsidR="00F6312C" w:rsidRPr="002D44AF" w:rsidRDefault="00B80A2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w:t>
      </w:r>
      <w:r w:rsidRPr="002D44AF">
        <w:rPr>
          <w:rFonts w:ascii="Palatino Linotype" w:eastAsia="Palatino Linotype" w:hAnsi="Palatino Linotype" w:cs="Palatino Linotype"/>
        </w:rPr>
        <w:lastRenderedPageBreak/>
        <w:t>179, fracción I de la Ley de Transparencia y Acceso a la Información Pública del Estado de México y Municipios; que a la letra dice:</w:t>
      </w:r>
    </w:p>
    <w:p w14:paraId="5D4EA1B7" w14:textId="77777777" w:rsidR="00F6312C" w:rsidRPr="002D44AF" w:rsidRDefault="00B80A2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“Artículo 179</w:t>
      </w:r>
      <w:r w:rsidRPr="002D44AF">
        <w:rPr>
          <w:rFonts w:ascii="Palatino Linotype" w:eastAsia="Palatino Linotype" w:hAnsi="Palatino Linotype" w:cs="Palatino Linotype"/>
          <w:i/>
          <w:sz w:val="22"/>
          <w:szCs w:val="22"/>
        </w:rPr>
        <w:t xml:space="preserve">. </w:t>
      </w:r>
      <w:r w:rsidRPr="002D44AF">
        <w:rPr>
          <w:rFonts w:ascii="Palatino Linotype" w:eastAsia="Palatino Linotype" w:hAnsi="Palatino Linotype" w:cs="Palatino Linotype"/>
          <w:b/>
          <w:i/>
          <w:sz w:val="22"/>
          <w:szCs w:val="22"/>
        </w:rPr>
        <w:t>El recurso de revisión</w:t>
      </w:r>
      <w:r w:rsidRPr="002D44AF">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2D44AF">
        <w:rPr>
          <w:rFonts w:ascii="Palatino Linotype" w:eastAsia="Palatino Linotype" w:hAnsi="Palatino Linotype" w:cs="Palatino Linotype"/>
          <w:b/>
          <w:i/>
          <w:sz w:val="22"/>
          <w:szCs w:val="22"/>
        </w:rPr>
        <w:t>, y procederá en contra de las siguientes causas</w:t>
      </w:r>
      <w:r w:rsidRPr="002D44AF">
        <w:rPr>
          <w:rFonts w:ascii="Palatino Linotype" w:eastAsia="Palatino Linotype" w:hAnsi="Palatino Linotype" w:cs="Palatino Linotype"/>
          <w:i/>
          <w:sz w:val="22"/>
          <w:szCs w:val="22"/>
        </w:rPr>
        <w:t>:</w:t>
      </w:r>
    </w:p>
    <w:p w14:paraId="2C9EE2A4" w14:textId="77777777" w:rsidR="00F6312C" w:rsidRPr="002D44AF" w:rsidRDefault="00B80A2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2D44AF">
        <w:rPr>
          <w:rFonts w:ascii="Palatino Linotype" w:eastAsia="Palatino Linotype" w:hAnsi="Palatino Linotype" w:cs="Palatino Linotype"/>
          <w:b/>
          <w:i/>
          <w:sz w:val="22"/>
          <w:szCs w:val="22"/>
        </w:rPr>
        <w:t>I. La negativa a la información solicitada;</w:t>
      </w:r>
      <w:r w:rsidRPr="002D44AF">
        <w:rPr>
          <w:rFonts w:ascii="Palatino Linotype" w:eastAsia="Palatino Linotype" w:hAnsi="Palatino Linotype" w:cs="Palatino Linotype"/>
          <w:i/>
          <w:sz w:val="22"/>
          <w:szCs w:val="22"/>
        </w:rPr>
        <w:t>” (Énfasis añadido)</w:t>
      </w:r>
    </w:p>
    <w:p w14:paraId="66697C67"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 xml:space="preserve">Tercero. Materia de la revisión. </w:t>
      </w:r>
      <w:r w:rsidRPr="002D44A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2D44A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2D44AF">
        <w:rPr>
          <w:rFonts w:ascii="Palatino Linotype" w:eastAsia="Palatino Linotype" w:hAnsi="Palatino Linotype" w:cs="Palatino Linotype"/>
        </w:rPr>
        <w:t xml:space="preserve">de </w:t>
      </w:r>
      <w:r w:rsidRPr="002D44AF">
        <w:rPr>
          <w:rFonts w:ascii="Palatino Linotype" w:eastAsia="Palatino Linotype" w:hAnsi="Palatino Linotype" w:cs="Palatino Linotype"/>
          <w:b/>
        </w:rPr>
        <w:t>la parte Recurrente,</w:t>
      </w:r>
      <w:r w:rsidRPr="002D44AF">
        <w:rPr>
          <w:rFonts w:ascii="Palatino Linotype" w:eastAsia="Palatino Linotype" w:hAnsi="Palatino Linotype" w:cs="Palatino Linotype"/>
        </w:rPr>
        <w:t xml:space="preserve"> o en su defecto, en caso de ser procedente, ordenar la entrega de información oportuna.</w:t>
      </w:r>
    </w:p>
    <w:p w14:paraId="77D6588D"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b/>
        </w:rPr>
        <w:t xml:space="preserve">Cuarto. Estudio del asunto. </w:t>
      </w:r>
      <w:r w:rsidRPr="002D44AF">
        <w:rPr>
          <w:rFonts w:ascii="Palatino Linotype" w:eastAsia="Palatino Linotype" w:hAnsi="Palatino Linotype" w:cs="Palatino Linotype"/>
        </w:rPr>
        <w:t xml:space="preserve">Antes de entrar al análisis de los pronunciamientos del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51010F5" w14:textId="77777777" w:rsidR="00F6312C" w:rsidRPr="002D44AF" w:rsidRDefault="00B80A2A">
      <w:pPr>
        <w:pBdr>
          <w:top w:val="nil"/>
          <w:left w:val="nil"/>
          <w:bottom w:val="nil"/>
          <w:right w:val="nil"/>
          <w:between w:val="nil"/>
        </w:pBdr>
        <w:spacing w:before="240" w:after="240"/>
        <w:ind w:left="851" w:right="850"/>
        <w:jc w:val="both"/>
      </w:pPr>
      <w:r w:rsidRPr="002D44A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D44AF">
        <w:rPr>
          <w:rFonts w:ascii="Palatino Linotype" w:eastAsia="Palatino Linotype" w:hAnsi="Palatino Linotype" w:cs="Palatino Linotype"/>
          <w:i/>
          <w:sz w:val="22"/>
          <w:szCs w:val="22"/>
        </w:rPr>
        <w:t xml:space="preserve">, así como </w:t>
      </w:r>
      <w:r w:rsidRPr="002D44AF">
        <w:rPr>
          <w:rFonts w:ascii="Palatino Linotype" w:eastAsia="Palatino Linotype" w:hAnsi="Palatino Linotype" w:cs="Palatino Linotype"/>
          <w:i/>
          <w:sz w:val="22"/>
          <w:szCs w:val="22"/>
        </w:rPr>
        <w:lastRenderedPageBreak/>
        <w:t>de las garantías para su protección, cuyo ejercicio no podrá restringirse ni suspenderse, salvo en los casos y bajo las condiciones que esta Constitución establece.</w:t>
      </w:r>
    </w:p>
    <w:p w14:paraId="04676B0A" w14:textId="77777777" w:rsidR="00F6312C" w:rsidRPr="002D44AF" w:rsidRDefault="00B80A2A">
      <w:pPr>
        <w:pBdr>
          <w:top w:val="nil"/>
          <w:left w:val="nil"/>
          <w:bottom w:val="nil"/>
          <w:right w:val="nil"/>
          <w:between w:val="nil"/>
        </w:pBdr>
        <w:spacing w:before="240" w:after="240"/>
        <w:ind w:left="851" w:right="850"/>
        <w:jc w:val="both"/>
      </w:pPr>
      <w:r w:rsidRPr="002D44A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E81FEA1" w14:textId="77777777" w:rsidR="00F6312C" w:rsidRPr="002D44AF" w:rsidRDefault="00B80A2A">
      <w:pPr>
        <w:pBdr>
          <w:top w:val="nil"/>
          <w:left w:val="nil"/>
          <w:bottom w:val="nil"/>
          <w:right w:val="nil"/>
          <w:between w:val="nil"/>
        </w:pBdr>
        <w:spacing w:before="240" w:after="240"/>
        <w:ind w:left="851" w:right="850"/>
        <w:jc w:val="both"/>
      </w:pPr>
      <w:r w:rsidRPr="002D44A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D44A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C122F78" w14:textId="77777777" w:rsidR="00F6312C" w:rsidRPr="002D44AF" w:rsidRDefault="00B80A2A">
      <w:pPr>
        <w:pBdr>
          <w:top w:val="nil"/>
          <w:left w:val="nil"/>
          <w:bottom w:val="nil"/>
          <w:right w:val="nil"/>
          <w:between w:val="nil"/>
        </w:pBdr>
        <w:spacing w:before="240" w:after="240"/>
        <w:ind w:left="851" w:right="850"/>
        <w:jc w:val="both"/>
      </w:pPr>
      <w:r w:rsidRPr="002D44AF">
        <w:rPr>
          <w:rFonts w:ascii="Palatino Linotype" w:eastAsia="Palatino Linotype" w:hAnsi="Palatino Linotype" w:cs="Palatino Linotype"/>
          <w:i/>
          <w:sz w:val="22"/>
          <w:szCs w:val="22"/>
        </w:rPr>
        <w:t>[…]</w:t>
      </w:r>
    </w:p>
    <w:p w14:paraId="50B3E549" w14:textId="77777777" w:rsidR="00F6312C" w:rsidRPr="002D44AF" w:rsidRDefault="00B80A2A">
      <w:pPr>
        <w:pBdr>
          <w:top w:val="nil"/>
          <w:left w:val="nil"/>
          <w:bottom w:val="nil"/>
          <w:right w:val="nil"/>
          <w:between w:val="nil"/>
        </w:pBdr>
        <w:spacing w:before="240" w:after="240"/>
        <w:ind w:left="851" w:right="901"/>
        <w:jc w:val="both"/>
      </w:pPr>
      <w:r w:rsidRPr="002D44AF">
        <w:rPr>
          <w:rFonts w:ascii="Palatino Linotype" w:eastAsia="Palatino Linotype" w:hAnsi="Palatino Linotype" w:cs="Palatino Linotype"/>
          <w:b/>
          <w:i/>
          <w:sz w:val="22"/>
          <w:szCs w:val="22"/>
        </w:rPr>
        <w:t>“Artículo 6o.</w:t>
      </w:r>
    </w:p>
    <w:p w14:paraId="2070016E" w14:textId="77777777" w:rsidR="00F6312C" w:rsidRPr="002D44AF" w:rsidRDefault="00B80A2A">
      <w:pPr>
        <w:pBdr>
          <w:top w:val="nil"/>
          <w:left w:val="nil"/>
          <w:bottom w:val="nil"/>
          <w:right w:val="nil"/>
          <w:between w:val="nil"/>
        </w:pBdr>
        <w:spacing w:before="240" w:after="240"/>
        <w:ind w:left="851" w:right="901"/>
        <w:jc w:val="both"/>
      </w:pPr>
      <w:r w:rsidRPr="002D44AF">
        <w:rPr>
          <w:rFonts w:ascii="Palatino Linotype" w:eastAsia="Palatino Linotype" w:hAnsi="Palatino Linotype" w:cs="Palatino Linotype"/>
          <w:i/>
          <w:sz w:val="22"/>
          <w:szCs w:val="22"/>
        </w:rPr>
        <w:t>[...]</w:t>
      </w:r>
    </w:p>
    <w:p w14:paraId="03F39F9F" w14:textId="77777777" w:rsidR="00F6312C" w:rsidRPr="002D44AF" w:rsidRDefault="00B80A2A">
      <w:pPr>
        <w:pBdr>
          <w:top w:val="nil"/>
          <w:left w:val="nil"/>
          <w:bottom w:val="nil"/>
          <w:right w:val="nil"/>
          <w:between w:val="nil"/>
        </w:pBdr>
        <w:spacing w:before="240" w:after="240"/>
        <w:ind w:left="851" w:right="851"/>
        <w:jc w:val="both"/>
      </w:pPr>
      <w:r w:rsidRPr="002D44AF">
        <w:rPr>
          <w:rFonts w:ascii="Palatino Linotype" w:eastAsia="Palatino Linotype" w:hAnsi="Palatino Linotype" w:cs="Palatino Linotype"/>
          <w:b/>
          <w:i/>
          <w:sz w:val="22"/>
          <w:szCs w:val="22"/>
        </w:rPr>
        <w:t xml:space="preserve">A. Para el ejercicio del derecho de acceso a la información, la Federación y </w:t>
      </w:r>
      <w:r w:rsidRPr="002D44AF">
        <w:rPr>
          <w:rFonts w:ascii="Palatino Linotype" w:eastAsia="Palatino Linotype" w:hAnsi="Palatino Linotype" w:cs="Palatino Linotype"/>
          <w:b/>
          <w:i/>
          <w:sz w:val="22"/>
          <w:szCs w:val="22"/>
          <w:u w:val="single"/>
        </w:rPr>
        <w:t>las entidades federativas</w:t>
      </w:r>
      <w:r w:rsidRPr="002D44AF">
        <w:rPr>
          <w:rFonts w:ascii="Palatino Linotype" w:eastAsia="Palatino Linotype" w:hAnsi="Palatino Linotype" w:cs="Palatino Linotype"/>
          <w:b/>
          <w:i/>
          <w:sz w:val="22"/>
          <w:szCs w:val="22"/>
        </w:rPr>
        <w:t>,</w:t>
      </w:r>
      <w:r w:rsidRPr="002D44AF">
        <w:rPr>
          <w:rFonts w:ascii="Palatino Linotype" w:eastAsia="Palatino Linotype" w:hAnsi="Palatino Linotype" w:cs="Palatino Linotype"/>
          <w:i/>
          <w:sz w:val="22"/>
          <w:szCs w:val="22"/>
        </w:rPr>
        <w:t xml:space="preserve"> en el ámbito de sus respectivas competencias, se regirán por los siguientes principios y bases:</w:t>
      </w:r>
    </w:p>
    <w:p w14:paraId="343F5541" w14:textId="77777777" w:rsidR="00F6312C" w:rsidRPr="002D44AF" w:rsidRDefault="00B80A2A">
      <w:pPr>
        <w:pBdr>
          <w:top w:val="nil"/>
          <w:left w:val="nil"/>
          <w:bottom w:val="nil"/>
          <w:right w:val="nil"/>
          <w:between w:val="nil"/>
        </w:pBdr>
        <w:spacing w:before="240" w:after="240"/>
        <w:ind w:left="851" w:right="851"/>
        <w:jc w:val="both"/>
      </w:pPr>
      <w:r w:rsidRPr="002D44AF">
        <w:rPr>
          <w:rFonts w:ascii="Palatino Linotype" w:eastAsia="Palatino Linotype" w:hAnsi="Palatino Linotype" w:cs="Palatino Linotype"/>
          <w:i/>
          <w:sz w:val="22"/>
          <w:szCs w:val="22"/>
        </w:rPr>
        <w:t> </w:t>
      </w:r>
      <w:r w:rsidRPr="002D44AF">
        <w:rPr>
          <w:rFonts w:ascii="Palatino Linotype" w:eastAsia="Palatino Linotype" w:hAnsi="Palatino Linotype" w:cs="Palatino Linotype"/>
          <w:b/>
          <w:i/>
          <w:sz w:val="22"/>
          <w:szCs w:val="22"/>
        </w:rPr>
        <w:t xml:space="preserve">I. </w:t>
      </w:r>
      <w:r w:rsidRPr="002D44A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D44AF">
        <w:rPr>
          <w:rFonts w:ascii="Palatino Linotype" w:eastAsia="Palatino Linotype" w:hAnsi="Palatino Linotype" w:cs="Palatino Linotype"/>
          <w:i/>
          <w:sz w:val="22"/>
          <w:szCs w:val="22"/>
        </w:rPr>
        <w:t xml:space="preserve"> Ejecutivo, Legislativo </w:t>
      </w:r>
      <w:r w:rsidRPr="002D44AF">
        <w:rPr>
          <w:rFonts w:ascii="Palatino Linotype" w:eastAsia="Palatino Linotype" w:hAnsi="Palatino Linotype" w:cs="Palatino Linotype"/>
          <w:b/>
          <w:i/>
          <w:sz w:val="22"/>
          <w:szCs w:val="22"/>
          <w:u w:val="single"/>
        </w:rPr>
        <w:t>y Judicial</w:t>
      </w:r>
      <w:r w:rsidRPr="002D44A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D44AF">
        <w:rPr>
          <w:rFonts w:ascii="Palatino Linotype" w:eastAsia="Palatino Linotype" w:hAnsi="Palatino Linotype" w:cs="Palatino Linotype"/>
          <w:b/>
          <w:i/>
          <w:sz w:val="22"/>
          <w:szCs w:val="22"/>
        </w:rPr>
        <w:t>es pública y sólo podrá ser reservada temporalmente por razones de interés público y seguridad nacional,</w:t>
      </w:r>
      <w:r w:rsidRPr="002D44A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CB664D1" w14:textId="77777777" w:rsidR="00F6312C" w:rsidRPr="002D44AF" w:rsidRDefault="00B80A2A">
      <w:pPr>
        <w:pBdr>
          <w:top w:val="nil"/>
          <w:left w:val="nil"/>
          <w:bottom w:val="nil"/>
          <w:right w:val="nil"/>
          <w:between w:val="nil"/>
        </w:pBdr>
        <w:spacing w:before="240" w:after="240"/>
        <w:ind w:left="851" w:right="851"/>
        <w:jc w:val="both"/>
      </w:pPr>
      <w:r w:rsidRPr="002D44AF">
        <w:rPr>
          <w:rFonts w:ascii="Palatino Linotype" w:eastAsia="Palatino Linotype" w:hAnsi="Palatino Linotype" w:cs="Palatino Linotype"/>
          <w:i/>
          <w:sz w:val="22"/>
          <w:szCs w:val="22"/>
        </w:rPr>
        <w:t> </w:t>
      </w:r>
      <w:r w:rsidRPr="002D44A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C46ADB1" w14:textId="77777777" w:rsidR="00F6312C" w:rsidRPr="002D44AF" w:rsidRDefault="00B80A2A">
      <w:pPr>
        <w:pBdr>
          <w:top w:val="nil"/>
          <w:left w:val="nil"/>
          <w:bottom w:val="nil"/>
          <w:right w:val="nil"/>
          <w:between w:val="nil"/>
        </w:pBdr>
        <w:spacing w:before="240" w:after="240"/>
        <w:ind w:left="851" w:right="851"/>
        <w:jc w:val="both"/>
      </w:pPr>
      <w:r w:rsidRPr="002D44AF">
        <w:rPr>
          <w:rFonts w:ascii="Palatino Linotype" w:eastAsia="Palatino Linotype" w:hAnsi="Palatino Linotype" w:cs="Palatino Linotype"/>
          <w:i/>
          <w:sz w:val="22"/>
          <w:szCs w:val="22"/>
        </w:rPr>
        <w:lastRenderedPageBreak/>
        <w:t> </w:t>
      </w:r>
      <w:r w:rsidRPr="002D44AF">
        <w:rPr>
          <w:rFonts w:ascii="Palatino Linotype" w:eastAsia="Palatino Linotype" w:hAnsi="Palatino Linotype" w:cs="Palatino Linotype"/>
          <w:b/>
          <w:i/>
          <w:sz w:val="22"/>
          <w:szCs w:val="22"/>
        </w:rPr>
        <w:t xml:space="preserve">III. </w:t>
      </w:r>
      <w:r w:rsidRPr="002D44A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D44AF">
        <w:rPr>
          <w:rFonts w:ascii="Palatino Linotype" w:eastAsia="Palatino Linotype" w:hAnsi="Palatino Linotype" w:cs="Palatino Linotype"/>
          <w:i/>
          <w:sz w:val="22"/>
          <w:szCs w:val="22"/>
        </w:rPr>
        <w:t xml:space="preserve"> a sus datos personales o a la rectificación de éstos.</w:t>
      </w:r>
    </w:p>
    <w:p w14:paraId="3E826499" w14:textId="77777777" w:rsidR="00F6312C" w:rsidRPr="002D44AF" w:rsidRDefault="00B80A2A">
      <w:pPr>
        <w:pBdr>
          <w:top w:val="nil"/>
          <w:left w:val="nil"/>
          <w:bottom w:val="nil"/>
          <w:right w:val="nil"/>
          <w:between w:val="nil"/>
        </w:pBdr>
        <w:spacing w:before="240" w:after="240"/>
        <w:ind w:left="851" w:right="851"/>
        <w:jc w:val="both"/>
      </w:pPr>
      <w:r w:rsidRPr="002D44AF">
        <w:rPr>
          <w:rFonts w:ascii="Palatino Linotype" w:eastAsia="Palatino Linotype" w:hAnsi="Palatino Linotype" w:cs="Palatino Linotype"/>
          <w:i/>
          <w:sz w:val="22"/>
          <w:szCs w:val="22"/>
        </w:rPr>
        <w:t> </w:t>
      </w:r>
      <w:r w:rsidRPr="002D44AF">
        <w:rPr>
          <w:rFonts w:ascii="Palatino Linotype" w:eastAsia="Palatino Linotype" w:hAnsi="Palatino Linotype" w:cs="Palatino Linotype"/>
          <w:b/>
          <w:i/>
          <w:sz w:val="22"/>
          <w:szCs w:val="22"/>
        </w:rPr>
        <w:t xml:space="preserve">IV. </w:t>
      </w:r>
      <w:r w:rsidRPr="002D44A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B5A20D1" w14:textId="77777777" w:rsidR="00F6312C" w:rsidRPr="002D44AF" w:rsidRDefault="00B80A2A">
      <w:pPr>
        <w:pBdr>
          <w:top w:val="nil"/>
          <w:left w:val="nil"/>
          <w:bottom w:val="nil"/>
          <w:right w:val="nil"/>
          <w:between w:val="nil"/>
        </w:pBdr>
        <w:spacing w:before="240" w:after="240"/>
        <w:ind w:left="851" w:right="851"/>
        <w:jc w:val="both"/>
      </w:pPr>
      <w:r w:rsidRPr="002D44AF">
        <w:rPr>
          <w:rFonts w:ascii="Palatino Linotype" w:eastAsia="Palatino Linotype" w:hAnsi="Palatino Linotype" w:cs="Palatino Linotype"/>
          <w:b/>
          <w:i/>
          <w:sz w:val="22"/>
          <w:szCs w:val="22"/>
        </w:rPr>
        <w:t xml:space="preserve">V. </w:t>
      </w:r>
      <w:r w:rsidRPr="002D44A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BA9C698" w14:textId="77777777" w:rsidR="00F6312C" w:rsidRPr="002D44AF" w:rsidRDefault="00B80A2A">
      <w:pPr>
        <w:pBdr>
          <w:top w:val="nil"/>
          <w:left w:val="nil"/>
          <w:bottom w:val="nil"/>
          <w:right w:val="nil"/>
          <w:between w:val="nil"/>
        </w:pBdr>
        <w:spacing w:before="240" w:after="240"/>
        <w:ind w:left="851" w:right="851"/>
        <w:jc w:val="both"/>
      </w:pPr>
      <w:r w:rsidRPr="002D44AF">
        <w:rPr>
          <w:rFonts w:ascii="Palatino Linotype" w:eastAsia="Palatino Linotype" w:hAnsi="Palatino Linotype" w:cs="Palatino Linotype"/>
          <w:i/>
          <w:sz w:val="22"/>
          <w:szCs w:val="22"/>
        </w:rPr>
        <w:t> </w:t>
      </w:r>
      <w:r w:rsidRPr="002D44AF">
        <w:rPr>
          <w:rFonts w:ascii="Palatino Linotype" w:eastAsia="Palatino Linotype" w:hAnsi="Palatino Linotype" w:cs="Palatino Linotype"/>
          <w:b/>
          <w:i/>
          <w:sz w:val="22"/>
          <w:szCs w:val="22"/>
        </w:rPr>
        <w:t xml:space="preserve">VI. </w:t>
      </w:r>
      <w:r w:rsidRPr="002D44A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B3498CC" w14:textId="77777777" w:rsidR="00F6312C" w:rsidRPr="002D44AF" w:rsidRDefault="00B80A2A">
      <w:pPr>
        <w:pBdr>
          <w:top w:val="nil"/>
          <w:left w:val="nil"/>
          <w:bottom w:val="nil"/>
          <w:right w:val="nil"/>
          <w:between w:val="nil"/>
        </w:pBdr>
        <w:spacing w:before="240" w:after="240"/>
        <w:ind w:left="851" w:right="851"/>
        <w:jc w:val="both"/>
      </w:pPr>
      <w:r w:rsidRPr="002D44AF">
        <w:rPr>
          <w:rFonts w:ascii="Palatino Linotype" w:eastAsia="Palatino Linotype" w:hAnsi="Palatino Linotype" w:cs="Palatino Linotype"/>
          <w:i/>
          <w:sz w:val="22"/>
          <w:szCs w:val="22"/>
        </w:rPr>
        <w:t> </w:t>
      </w:r>
      <w:r w:rsidRPr="002D44AF">
        <w:rPr>
          <w:rFonts w:ascii="Palatino Linotype" w:eastAsia="Palatino Linotype" w:hAnsi="Palatino Linotype" w:cs="Palatino Linotype"/>
          <w:b/>
          <w:i/>
          <w:sz w:val="22"/>
          <w:szCs w:val="22"/>
        </w:rPr>
        <w:t xml:space="preserve">VII. </w:t>
      </w:r>
      <w:r w:rsidRPr="002D44A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BD6B34F"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6A9B86F" w14:textId="77777777" w:rsidR="00F6312C" w:rsidRPr="002D44AF" w:rsidRDefault="00B80A2A">
      <w:pPr>
        <w:pBdr>
          <w:top w:val="nil"/>
          <w:left w:val="nil"/>
          <w:bottom w:val="nil"/>
          <w:right w:val="nil"/>
          <w:between w:val="nil"/>
        </w:pBdr>
        <w:spacing w:before="240" w:after="240"/>
        <w:ind w:left="709" w:right="760"/>
        <w:jc w:val="both"/>
      </w:pPr>
      <w:r w:rsidRPr="002D44AF">
        <w:rPr>
          <w:rFonts w:ascii="Palatino Linotype" w:eastAsia="Palatino Linotype" w:hAnsi="Palatino Linotype" w:cs="Palatino Linotype"/>
          <w:i/>
          <w:sz w:val="22"/>
          <w:szCs w:val="22"/>
        </w:rPr>
        <w:t>“</w:t>
      </w:r>
      <w:r w:rsidRPr="002D44AF">
        <w:rPr>
          <w:rFonts w:ascii="Palatino Linotype" w:eastAsia="Palatino Linotype" w:hAnsi="Palatino Linotype" w:cs="Palatino Linotype"/>
          <w:b/>
          <w:i/>
          <w:sz w:val="22"/>
          <w:szCs w:val="22"/>
        </w:rPr>
        <w:t>Artículo 4</w:t>
      </w:r>
      <w:r w:rsidRPr="002D44AF">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8157941" w14:textId="77777777" w:rsidR="00F6312C" w:rsidRPr="002D44AF" w:rsidRDefault="00B80A2A">
      <w:pPr>
        <w:pBdr>
          <w:top w:val="nil"/>
          <w:left w:val="nil"/>
          <w:bottom w:val="nil"/>
          <w:right w:val="nil"/>
          <w:between w:val="nil"/>
        </w:pBdr>
        <w:spacing w:before="240" w:after="240"/>
        <w:ind w:left="709" w:right="760"/>
        <w:jc w:val="both"/>
      </w:pPr>
      <w:r w:rsidRPr="002D44AF">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AD980EB" w14:textId="77777777" w:rsidR="00F6312C" w:rsidRPr="002D44AF" w:rsidRDefault="00B80A2A">
      <w:pPr>
        <w:pBdr>
          <w:top w:val="nil"/>
          <w:left w:val="nil"/>
          <w:bottom w:val="nil"/>
          <w:right w:val="nil"/>
          <w:between w:val="nil"/>
        </w:pBdr>
        <w:spacing w:before="240" w:after="240"/>
        <w:ind w:left="709" w:right="760"/>
        <w:jc w:val="both"/>
      </w:pPr>
      <w:r w:rsidRPr="002D44AF">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53363BA"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F85C4CB" w14:textId="77777777" w:rsidR="00F6312C" w:rsidRPr="002D44AF" w:rsidRDefault="00B80A2A">
      <w:pPr>
        <w:pBdr>
          <w:top w:val="nil"/>
          <w:left w:val="nil"/>
          <w:bottom w:val="nil"/>
          <w:right w:val="nil"/>
          <w:between w:val="nil"/>
        </w:pBdr>
        <w:spacing w:before="240" w:after="240"/>
        <w:ind w:left="567" w:right="758"/>
        <w:jc w:val="both"/>
      </w:pPr>
      <w:r w:rsidRPr="002D44AF">
        <w:rPr>
          <w:rFonts w:ascii="Palatino Linotype" w:eastAsia="Palatino Linotype" w:hAnsi="Palatino Linotype" w:cs="Palatino Linotype"/>
          <w:i/>
          <w:sz w:val="22"/>
          <w:szCs w:val="22"/>
        </w:rPr>
        <w:t>“</w:t>
      </w:r>
      <w:r w:rsidRPr="002D44AF">
        <w:rPr>
          <w:rFonts w:ascii="Palatino Linotype" w:eastAsia="Palatino Linotype" w:hAnsi="Palatino Linotype" w:cs="Palatino Linotype"/>
          <w:b/>
          <w:i/>
          <w:sz w:val="22"/>
          <w:szCs w:val="22"/>
        </w:rPr>
        <w:t>Artículo 12</w:t>
      </w:r>
      <w:r w:rsidRPr="002D44AF">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39DB5AA4" w14:textId="77777777" w:rsidR="00F6312C" w:rsidRPr="002D44AF" w:rsidRDefault="00B80A2A">
      <w:pPr>
        <w:pBdr>
          <w:top w:val="nil"/>
          <w:left w:val="nil"/>
          <w:bottom w:val="nil"/>
          <w:right w:val="nil"/>
          <w:between w:val="nil"/>
        </w:pBdr>
        <w:spacing w:before="240" w:after="240"/>
        <w:ind w:left="567" w:right="758"/>
        <w:jc w:val="both"/>
      </w:pPr>
      <w:r w:rsidRPr="002D44AF">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F311694"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2D44AF">
        <w:rPr>
          <w:rFonts w:ascii="Palatino Linotype" w:eastAsia="Palatino Linotype" w:hAnsi="Palatino Linotype" w:cs="Palatino Linotype"/>
          <w:b/>
        </w:rPr>
        <w:t xml:space="preserve"> </w:t>
      </w:r>
      <w:r w:rsidRPr="002D44AF">
        <w:rPr>
          <w:rFonts w:ascii="Palatino Linotype" w:eastAsia="Palatino Linotype" w:hAnsi="Palatino Linotype" w:cs="Palatino Linotype"/>
        </w:rPr>
        <w:t xml:space="preserve">no tienen el deber de generar, poseer o administrar la información pública con el grado de detalle solicitado; esto es, que no tienen el </w:t>
      </w:r>
      <w:r w:rsidRPr="002D44AF">
        <w:rPr>
          <w:rFonts w:ascii="Palatino Linotype" w:eastAsia="Palatino Linotype" w:hAnsi="Palatino Linotype" w:cs="Palatino Linotype"/>
        </w:rPr>
        <w:lastRenderedPageBreak/>
        <w:t xml:space="preserve">deber de generar un documento </w:t>
      </w:r>
      <w:r w:rsidRPr="002D44AF">
        <w:rPr>
          <w:rFonts w:ascii="Palatino Linotype" w:eastAsia="Palatino Linotype" w:hAnsi="Palatino Linotype" w:cs="Palatino Linotype"/>
          <w:i/>
        </w:rPr>
        <w:t>ad hoc</w:t>
      </w:r>
      <w:r w:rsidRPr="002D44AF">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93BECCF" w14:textId="77777777" w:rsidR="00F6312C" w:rsidRPr="002D44AF" w:rsidRDefault="00B80A2A">
      <w:pPr>
        <w:pBdr>
          <w:top w:val="nil"/>
          <w:left w:val="nil"/>
          <w:bottom w:val="nil"/>
          <w:right w:val="nil"/>
          <w:between w:val="nil"/>
        </w:pBdr>
        <w:spacing w:before="240" w:after="240"/>
        <w:ind w:left="567" w:right="567"/>
        <w:jc w:val="both"/>
      </w:pPr>
      <w:r w:rsidRPr="002D44AF">
        <w:rPr>
          <w:rFonts w:ascii="Palatino Linotype" w:eastAsia="Palatino Linotype" w:hAnsi="Palatino Linotype" w:cs="Palatino Linotype"/>
          <w:b/>
          <w:i/>
          <w:sz w:val="22"/>
          <w:szCs w:val="22"/>
        </w:rPr>
        <w:t>03/17</w:t>
      </w:r>
    </w:p>
    <w:p w14:paraId="5AF867C9" w14:textId="77777777" w:rsidR="00F6312C" w:rsidRPr="002D44AF" w:rsidRDefault="00B80A2A">
      <w:pPr>
        <w:pBdr>
          <w:top w:val="nil"/>
          <w:left w:val="nil"/>
          <w:bottom w:val="nil"/>
          <w:right w:val="nil"/>
          <w:between w:val="nil"/>
        </w:pBdr>
        <w:spacing w:before="240" w:after="240"/>
        <w:ind w:left="567" w:right="567"/>
        <w:jc w:val="both"/>
      </w:pPr>
      <w:r w:rsidRPr="002D44AF">
        <w:rPr>
          <w:rFonts w:ascii="Palatino Linotype" w:eastAsia="Palatino Linotype" w:hAnsi="Palatino Linotype" w:cs="Palatino Linotype"/>
          <w:b/>
          <w:i/>
          <w:sz w:val="22"/>
          <w:szCs w:val="22"/>
        </w:rPr>
        <w:t>“NO EXISTE OBLIGACIÓN DE ELABORAR DOCUMENTOS AD HOC PARA ATENDER LAS SOLICITUDES DE ACCESO A LA INFORMACIÓN.</w:t>
      </w:r>
    </w:p>
    <w:p w14:paraId="06B278C4" w14:textId="77777777" w:rsidR="00F6312C" w:rsidRPr="002D44AF" w:rsidRDefault="00B80A2A">
      <w:pPr>
        <w:pBdr>
          <w:top w:val="nil"/>
          <w:left w:val="nil"/>
          <w:bottom w:val="nil"/>
          <w:right w:val="nil"/>
          <w:between w:val="nil"/>
        </w:pBdr>
        <w:spacing w:before="240" w:after="240"/>
        <w:ind w:left="567" w:right="567"/>
        <w:jc w:val="both"/>
      </w:pPr>
      <w:r w:rsidRPr="002D44A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7CFBC84"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77FC81A" w14:textId="77777777" w:rsidR="00F6312C" w:rsidRPr="002D44AF" w:rsidRDefault="00B80A2A">
      <w:pPr>
        <w:pBdr>
          <w:top w:val="nil"/>
          <w:left w:val="nil"/>
          <w:bottom w:val="nil"/>
          <w:right w:val="nil"/>
          <w:between w:val="nil"/>
        </w:pBdr>
        <w:spacing w:before="240" w:after="240" w:line="360" w:lineRule="auto"/>
        <w:ind w:right="49"/>
        <w:jc w:val="both"/>
      </w:pPr>
      <w:r w:rsidRPr="002D44AF">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2D44AF">
        <w:rPr>
          <w:rFonts w:ascii="Palatino Linotype" w:eastAsia="Palatino Linotype" w:hAnsi="Palatino Linotype" w:cs="Palatino Linotype"/>
        </w:rPr>
        <w:lastRenderedPageBreak/>
        <w:t>Ley de Transparencia y Acceso a la Información Pública del Estado de México y Municipios.</w:t>
      </w:r>
    </w:p>
    <w:p w14:paraId="0C2C7779"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0F01142" w14:textId="77777777" w:rsidR="00F6312C" w:rsidRPr="002D44AF" w:rsidRDefault="00B80A2A">
      <w:pPr>
        <w:pBdr>
          <w:top w:val="nil"/>
          <w:left w:val="nil"/>
          <w:bottom w:val="nil"/>
          <w:right w:val="nil"/>
          <w:between w:val="nil"/>
        </w:pBdr>
        <w:spacing w:before="240" w:after="240"/>
        <w:ind w:left="567" w:right="567"/>
        <w:jc w:val="both"/>
      </w:pPr>
      <w:r w:rsidRPr="002D44AF">
        <w:rPr>
          <w:rFonts w:ascii="Palatino Linotype" w:eastAsia="Palatino Linotype" w:hAnsi="Palatino Linotype" w:cs="Palatino Linotype"/>
          <w:i/>
          <w:sz w:val="22"/>
          <w:szCs w:val="22"/>
        </w:rPr>
        <w:t>“</w:t>
      </w:r>
      <w:r w:rsidRPr="002D44AF">
        <w:rPr>
          <w:rFonts w:ascii="Palatino Linotype" w:eastAsia="Palatino Linotype" w:hAnsi="Palatino Linotype" w:cs="Palatino Linotype"/>
          <w:b/>
          <w:i/>
          <w:sz w:val="22"/>
          <w:szCs w:val="22"/>
        </w:rPr>
        <w:t xml:space="preserve">Artículo 3. </w:t>
      </w:r>
      <w:r w:rsidRPr="002D44AF">
        <w:rPr>
          <w:rFonts w:ascii="Palatino Linotype" w:eastAsia="Palatino Linotype" w:hAnsi="Palatino Linotype" w:cs="Palatino Linotype"/>
          <w:i/>
          <w:sz w:val="22"/>
          <w:szCs w:val="22"/>
        </w:rPr>
        <w:t>Para los efectos de la presente Ley se entenderá por:</w:t>
      </w:r>
    </w:p>
    <w:p w14:paraId="34D2E293" w14:textId="77777777" w:rsidR="00F6312C" w:rsidRPr="002D44AF" w:rsidRDefault="00B80A2A">
      <w:pPr>
        <w:pBdr>
          <w:top w:val="nil"/>
          <w:left w:val="nil"/>
          <w:bottom w:val="nil"/>
          <w:right w:val="nil"/>
          <w:between w:val="nil"/>
        </w:pBdr>
        <w:spacing w:before="240" w:after="240"/>
        <w:ind w:left="567" w:right="567"/>
        <w:jc w:val="both"/>
      </w:pPr>
      <w:r w:rsidRPr="002D44AF">
        <w:rPr>
          <w:rFonts w:ascii="Palatino Linotype" w:eastAsia="Palatino Linotype" w:hAnsi="Palatino Linotype" w:cs="Palatino Linotype"/>
          <w:i/>
          <w:sz w:val="22"/>
          <w:szCs w:val="22"/>
        </w:rPr>
        <w:t>…</w:t>
      </w:r>
    </w:p>
    <w:p w14:paraId="194AF3D3" w14:textId="77777777" w:rsidR="00F6312C" w:rsidRPr="002D44AF" w:rsidRDefault="00B80A2A">
      <w:pPr>
        <w:pBdr>
          <w:top w:val="nil"/>
          <w:left w:val="nil"/>
          <w:bottom w:val="nil"/>
          <w:right w:val="nil"/>
          <w:between w:val="nil"/>
        </w:pBdr>
        <w:spacing w:before="240" w:after="240"/>
        <w:ind w:left="567" w:right="567"/>
        <w:jc w:val="both"/>
      </w:pPr>
      <w:r w:rsidRPr="002D44AF">
        <w:rPr>
          <w:rFonts w:ascii="Palatino Linotype" w:eastAsia="Palatino Linotype" w:hAnsi="Palatino Linotype" w:cs="Palatino Linotype"/>
          <w:b/>
          <w:i/>
          <w:sz w:val="22"/>
          <w:szCs w:val="22"/>
        </w:rPr>
        <w:t>XI. Documento:</w:t>
      </w:r>
      <w:r w:rsidRPr="002D44AF">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2D44AF">
        <w:rPr>
          <w:rFonts w:ascii="Palatino Linotype" w:eastAsia="Palatino Linotype" w:hAnsi="Palatino Linotype" w:cs="Palatino Linotype"/>
          <w:b/>
          <w:i/>
          <w:sz w:val="22"/>
          <w:szCs w:val="22"/>
        </w:rPr>
        <w:t>…</w:t>
      </w:r>
      <w:r w:rsidRPr="002D44AF">
        <w:rPr>
          <w:rFonts w:ascii="Palatino Linotype" w:eastAsia="Palatino Linotype" w:hAnsi="Palatino Linotype" w:cs="Palatino Linotype"/>
          <w:i/>
          <w:sz w:val="22"/>
          <w:szCs w:val="22"/>
        </w:rPr>
        <w:t xml:space="preserve">” </w:t>
      </w:r>
    </w:p>
    <w:p w14:paraId="6B78B7FF"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137A362" w14:textId="77777777" w:rsidR="00F6312C" w:rsidRPr="002D44AF" w:rsidRDefault="00B80A2A">
      <w:pPr>
        <w:pBdr>
          <w:top w:val="nil"/>
          <w:left w:val="nil"/>
          <w:bottom w:val="nil"/>
          <w:right w:val="nil"/>
          <w:between w:val="nil"/>
        </w:pBdr>
        <w:spacing w:before="240" w:after="240"/>
        <w:ind w:left="567" w:right="567"/>
        <w:jc w:val="both"/>
      </w:pPr>
      <w:r w:rsidRPr="002D44AF">
        <w:rPr>
          <w:rFonts w:ascii="Palatino Linotype" w:eastAsia="Palatino Linotype" w:hAnsi="Palatino Linotype" w:cs="Palatino Linotype"/>
          <w:b/>
          <w:sz w:val="22"/>
          <w:szCs w:val="22"/>
        </w:rPr>
        <w:lastRenderedPageBreak/>
        <w:t>“</w:t>
      </w:r>
      <w:r w:rsidRPr="002D44AF">
        <w:rPr>
          <w:rFonts w:ascii="Palatino Linotype" w:eastAsia="Palatino Linotype" w:hAnsi="Palatino Linotype" w:cs="Palatino Linotype"/>
          <w:b/>
          <w:i/>
          <w:sz w:val="22"/>
          <w:szCs w:val="22"/>
        </w:rPr>
        <w:t>CRITERIO 0002-11</w:t>
      </w:r>
    </w:p>
    <w:p w14:paraId="1E838FE4" w14:textId="77777777" w:rsidR="00F6312C" w:rsidRPr="002D44AF" w:rsidRDefault="00B80A2A">
      <w:pPr>
        <w:pBdr>
          <w:top w:val="nil"/>
          <w:left w:val="nil"/>
          <w:bottom w:val="nil"/>
          <w:right w:val="nil"/>
          <w:between w:val="nil"/>
        </w:pBdr>
        <w:spacing w:before="240" w:after="240"/>
        <w:ind w:left="567" w:right="567"/>
        <w:jc w:val="both"/>
      </w:pPr>
      <w:r w:rsidRPr="002D44A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D44A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833D487" w14:textId="77777777" w:rsidR="00F6312C" w:rsidRPr="002D44AF" w:rsidRDefault="00B80A2A">
      <w:pPr>
        <w:pBdr>
          <w:top w:val="nil"/>
          <w:left w:val="nil"/>
          <w:bottom w:val="nil"/>
          <w:right w:val="nil"/>
          <w:between w:val="nil"/>
        </w:pBdr>
        <w:spacing w:before="240" w:after="240"/>
        <w:ind w:left="567" w:right="567"/>
        <w:jc w:val="both"/>
      </w:pPr>
      <w:r w:rsidRPr="002D44AF">
        <w:rPr>
          <w:rFonts w:ascii="Palatino Linotype" w:eastAsia="Palatino Linotype" w:hAnsi="Palatino Linotype" w:cs="Palatino Linotype"/>
          <w:i/>
          <w:sz w:val="22"/>
          <w:szCs w:val="22"/>
        </w:rPr>
        <w:t xml:space="preserve">En </w:t>
      </w:r>
      <w:proofErr w:type="gramStart"/>
      <w:r w:rsidRPr="002D44AF">
        <w:rPr>
          <w:rFonts w:ascii="Palatino Linotype" w:eastAsia="Palatino Linotype" w:hAnsi="Palatino Linotype" w:cs="Palatino Linotype"/>
          <w:i/>
          <w:sz w:val="22"/>
          <w:szCs w:val="22"/>
        </w:rPr>
        <w:t>consecuencia</w:t>
      </w:r>
      <w:proofErr w:type="gramEnd"/>
      <w:r w:rsidRPr="002D44A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76D0973" w14:textId="77777777" w:rsidR="00F6312C" w:rsidRPr="002D44AF" w:rsidRDefault="00B80A2A">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Que se trate de información registrada en cualquier soporte documental, </w:t>
      </w:r>
      <w:proofErr w:type="gramStart"/>
      <w:r w:rsidRPr="002D44AF">
        <w:rPr>
          <w:rFonts w:ascii="Palatino Linotype" w:eastAsia="Palatino Linotype" w:hAnsi="Palatino Linotype" w:cs="Palatino Linotype"/>
          <w:i/>
          <w:sz w:val="22"/>
          <w:szCs w:val="22"/>
        </w:rPr>
        <w:t>que</w:t>
      </w:r>
      <w:proofErr w:type="gramEnd"/>
      <w:r w:rsidRPr="002D44AF">
        <w:rPr>
          <w:rFonts w:ascii="Palatino Linotype" w:eastAsia="Palatino Linotype" w:hAnsi="Palatino Linotype" w:cs="Palatino Linotype"/>
          <w:i/>
          <w:sz w:val="22"/>
          <w:szCs w:val="22"/>
        </w:rPr>
        <w:t xml:space="preserve"> en ejercicio de las atribuciones conferidas, sea generada por los Sujetos Obligados;</w:t>
      </w:r>
    </w:p>
    <w:p w14:paraId="6D104269" w14:textId="77777777" w:rsidR="00F6312C" w:rsidRPr="002D44AF" w:rsidRDefault="00B80A2A">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Que se trate de información registrada en cualquier soporte documental, </w:t>
      </w:r>
      <w:proofErr w:type="gramStart"/>
      <w:r w:rsidRPr="002D44AF">
        <w:rPr>
          <w:rFonts w:ascii="Palatino Linotype" w:eastAsia="Palatino Linotype" w:hAnsi="Palatino Linotype" w:cs="Palatino Linotype"/>
          <w:i/>
          <w:sz w:val="22"/>
          <w:szCs w:val="22"/>
        </w:rPr>
        <w:t>que</w:t>
      </w:r>
      <w:proofErr w:type="gramEnd"/>
      <w:r w:rsidRPr="002D44AF">
        <w:rPr>
          <w:rFonts w:ascii="Palatino Linotype" w:eastAsia="Palatino Linotype" w:hAnsi="Palatino Linotype" w:cs="Palatino Linotype"/>
          <w:i/>
          <w:sz w:val="22"/>
          <w:szCs w:val="22"/>
        </w:rPr>
        <w:t xml:space="preserve"> en ejercicio de las atribuciones conferidas, sea administrada por los Sujetos Obligados, y</w:t>
      </w:r>
    </w:p>
    <w:p w14:paraId="23D0BAD8" w14:textId="77777777" w:rsidR="00F6312C" w:rsidRPr="002D44AF" w:rsidRDefault="00B80A2A">
      <w:pPr>
        <w:pBdr>
          <w:top w:val="nil"/>
          <w:left w:val="nil"/>
          <w:bottom w:val="nil"/>
          <w:right w:val="nil"/>
          <w:between w:val="nil"/>
        </w:pBdr>
        <w:spacing w:before="240" w:after="240"/>
        <w:ind w:left="567" w:right="567" w:hanging="284"/>
        <w:jc w:val="both"/>
      </w:pPr>
      <w:r w:rsidRPr="002D44AF">
        <w:rPr>
          <w:rFonts w:ascii="Palatino Linotype" w:eastAsia="Palatino Linotype" w:hAnsi="Palatino Linotype" w:cs="Palatino Linotype"/>
          <w:i/>
          <w:sz w:val="22"/>
          <w:szCs w:val="22"/>
        </w:rPr>
        <w:t xml:space="preserve">3. </w:t>
      </w:r>
      <w:r w:rsidRPr="002D44AF">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2D44AF">
        <w:rPr>
          <w:rFonts w:ascii="Palatino Linotype" w:eastAsia="Palatino Linotype" w:hAnsi="Palatino Linotype" w:cs="Palatino Linotype"/>
          <w:b/>
          <w:i/>
          <w:sz w:val="22"/>
          <w:szCs w:val="22"/>
        </w:rPr>
        <w:t>que</w:t>
      </w:r>
      <w:proofErr w:type="gramEnd"/>
      <w:r w:rsidRPr="002D44AF">
        <w:rPr>
          <w:rFonts w:ascii="Palatino Linotype" w:eastAsia="Palatino Linotype" w:hAnsi="Palatino Linotype" w:cs="Palatino Linotype"/>
          <w:b/>
          <w:i/>
          <w:sz w:val="22"/>
          <w:szCs w:val="22"/>
        </w:rPr>
        <w:t xml:space="preserve"> en ejercicio de las atribuciones conferidas, se encuentre en posesión de los Sujetos Obligados.” (Énfasis añadido)</w:t>
      </w:r>
    </w:p>
    <w:p w14:paraId="199CBE52"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 xml:space="preserve">De ahí que el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D3E1F11" w14:textId="77777777" w:rsidR="00F6312C" w:rsidRPr="002D44AF" w:rsidRDefault="00B80A2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le proporcionara lo siguiente:</w:t>
      </w:r>
    </w:p>
    <w:p w14:paraId="433A8965" w14:textId="77777777" w:rsidR="00F6312C" w:rsidRPr="002D44AF" w:rsidRDefault="00B80A2A">
      <w:pPr>
        <w:numPr>
          <w:ilvl w:val="0"/>
          <w:numId w:val="5"/>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b/>
        </w:rPr>
      </w:pPr>
      <w:r w:rsidRPr="002D44AF">
        <w:rPr>
          <w:rFonts w:ascii="Palatino Linotype" w:eastAsia="Palatino Linotype" w:hAnsi="Palatino Linotype" w:cs="Palatino Linotype"/>
          <w:b/>
        </w:rPr>
        <w:t>El monto gastado para la realización de las fiestas patrias 2023 y el monto aprobado por cabildo.</w:t>
      </w:r>
    </w:p>
    <w:p w14:paraId="37B5C6B4" w14:textId="77777777" w:rsidR="00F6312C" w:rsidRPr="002D44AF" w:rsidRDefault="00B80A2A">
      <w:pPr>
        <w:tabs>
          <w:tab w:val="left" w:pos="7513"/>
        </w:tabs>
        <w:spacing w:line="360" w:lineRule="auto"/>
        <w:ind w:right="49"/>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El </w:t>
      </w:r>
      <w:r w:rsidRPr="002D44AF">
        <w:rPr>
          <w:rFonts w:ascii="Palatino Linotype" w:eastAsia="Palatino Linotype" w:hAnsi="Palatino Linotype" w:cs="Palatino Linotype"/>
          <w:b/>
        </w:rPr>
        <w:t xml:space="preserve">Sujeto Obligado </w:t>
      </w:r>
      <w:r w:rsidRPr="002D44AF">
        <w:rPr>
          <w:rFonts w:ascii="Palatino Linotype" w:eastAsia="Palatino Linotype" w:hAnsi="Palatino Linotype" w:cs="Palatino Linotype"/>
        </w:rPr>
        <w:t>por conducto del Tesorero Municipal, refirió que por cuanto hace al monto gastado para la realización de las fiestas patrias 2023, a la fecha del presente oficio, la información solicitada se encuentra en proceso de integración y registro contable, por lo que aún no puede ser proporcionada.</w:t>
      </w:r>
    </w:p>
    <w:p w14:paraId="5394A727" w14:textId="77777777" w:rsidR="00F6312C" w:rsidRPr="002D44AF" w:rsidRDefault="00F6312C">
      <w:pPr>
        <w:tabs>
          <w:tab w:val="left" w:pos="7513"/>
        </w:tabs>
        <w:spacing w:line="360" w:lineRule="auto"/>
        <w:ind w:right="49"/>
        <w:jc w:val="both"/>
        <w:rPr>
          <w:rFonts w:ascii="Palatino Linotype" w:eastAsia="Palatino Linotype" w:hAnsi="Palatino Linotype" w:cs="Palatino Linotype"/>
        </w:rPr>
      </w:pPr>
    </w:p>
    <w:p w14:paraId="08DD731D" w14:textId="77777777" w:rsidR="00F6312C" w:rsidRPr="002D44AF" w:rsidRDefault="00B80A2A">
      <w:pPr>
        <w:tabs>
          <w:tab w:val="left" w:pos="7513"/>
        </w:tabs>
        <w:spacing w:line="360" w:lineRule="auto"/>
        <w:ind w:right="49"/>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Es de precisar que dicha situación trajo consigo la interposición del recurso de revisión, inconformándose medularmente por la negativa a entregar la información solicitada. </w:t>
      </w:r>
    </w:p>
    <w:p w14:paraId="3295E140" w14:textId="77777777" w:rsidR="00F6312C" w:rsidRPr="002D44AF" w:rsidRDefault="00F6312C">
      <w:pPr>
        <w:tabs>
          <w:tab w:val="left" w:pos="7513"/>
        </w:tabs>
        <w:spacing w:line="360" w:lineRule="auto"/>
        <w:ind w:right="49"/>
        <w:jc w:val="both"/>
        <w:rPr>
          <w:rFonts w:ascii="Palatino Linotype" w:eastAsia="Palatino Linotype" w:hAnsi="Palatino Linotype" w:cs="Palatino Linotype"/>
        </w:rPr>
      </w:pPr>
    </w:p>
    <w:p w14:paraId="3AEF1331" w14:textId="77777777" w:rsidR="00F6312C" w:rsidRPr="002D44AF" w:rsidRDefault="00B80A2A">
      <w:pPr>
        <w:tabs>
          <w:tab w:val="left" w:pos="7513"/>
        </w:tabs>
        <w:spacing w:line="360" w:lineRule="auto"/>
        <w:ind w:right="49"/>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Posteriormente, se procedió a la admisión del medio de impugnación y derivado de ello se le otorgó un plazo de siete días hábiles a las partes, para efecto de que presentaran sus manifestaciones, teniendo así que fueron omisas en remitir documentación alguna, por lo que se tiene por precluido su derecho para tal efecto. </w:t>
      </w:r>
    </w:p>
    <w:p w14:paraId="00C00876" w14:textId="77777777" w:rsidR="00F6312C" w:rsidRPr="002D44AF" w:rsidRDefault="00B80A2A">
      <w:pPr>
        <w:tabs>
          <w:tab w:val="left" w:pos="7513"/>
        </w:tabs>
        <w:spacing w:line="360" w:lineRule="auto"/>
        <w:ind w:right="49"/>
        <w:jc w:val="both"/>
        <w:rPr>
          <w:rFonts w:ascii="Palatino Linotype" w:eastAsia="Palatino Linotype" w:hAnsi="Palatino Linotype" w:cs="Palatino Linotype"/>
        </w:rPr>
      </w:pPr>
      <w:r w:rsidRPr="002D44AF">
        <w:rPr>
          <w:rFonts w:ascii="Palatino Linotype" w:eastAsia="Palatino Linotype" w:hAnsi="Palatino Linotype" w:cs="Palatino Linotype"/>
        </w:rPr>
        <w:t>Una vez expuestas las posturas de las partes, se procede a analizar el expediente electrónico y determinar la procedencia de la entrega de la información, para ello se subdividirá en dos apartados:</w:t>
      </w:r>
    </w:p>
    <w:p w14:paraId="6211392F" w14:textId="77777777" w:rsidR="00F6312C" w:rsidRPr="002D44AF" w:rsidRDefault="00F6312C">
      <w:pPr>
        <w:tabs>
          <w:tab w:val="left" w:pos="7513"/>
        </w:tabs>
        <w:spacing w:line="360" w:lineRule="auto"/>
        <w:ind w:right="49"/>
        <w:jc w:val="both"/>
        <w:rPr>
          <w:rFonts w:ascii="Palatino Linotype" w:eastAsia="Palatino Linotype" w:hAnsi="Palatino Linotype" w:cs="Palatino Linotype"/>
        </w:rPr>
      </w:pPr>
    </w:p>
    <w:p w14:paraId="49CBA142" w14:textId="77777777" w:rsidR="00F6312C" w:rsidRPr="002D44AF" w:rsidRDefault="00B80A2A">
      <w:pPr>
        <w:numPr>
          <w:ilvl w:val="0"/>
          <w:numId w:val="6"/>
        </w:num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b/>
        </w:rPr>
      </w:pPr>
      <w:r w:rsidRPr="002D44AF">
        <w:rPr>
          <w:rFonts w:ascii="Palatino Linotype" w:eastAsia="Palatino Linotype" w:hAnsi="Palatino Linotype" w:cs="Palatino Linotype"/>
          <w:b/>
        </w:rPr>
        <w:t xml:space="preserve">Del monto gastado para la realización de las fiestas patrias 2023 </w:t>
      </w:r>
    </w:p>
    <w:p w14:paraId="23F63679" w14:textId="77777777" w:rsidR="00F6312C" w:rsidRPr="002D44AF" w:rsidRDefault="00B80A2A">
      <w:pPr>
        <w:numPr>
          <w:ilvl w:val="0"/>
          <w:numId w:val="6"/>
        </w:num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b/>
        </w:rPr>
      </w:pPr>
      <w:r w:rsidRPr="002D44AF">
        <w:rPr>
          <w:rFonts w:ascii="Palatino Linotype" w:eastAsia="Palatino Linotype" w:hAnsi="Palatino Linotype" w:cs="Palatino Linotype"/>
          <w:b/>
        </w:rPr>
        <w:t>Del monto aprobado por cabildo.</w:t>
      </w:r>
    </w:p>
    <w:p w14:paraId="37947D19" w14:textId="77777777" w:rsidR="00F6312C" w:rsidRPr="002D44AF" w:rsidRDefault="00F6312C">
      <w:pPr>
        <w:tabs>
          <w:tab w:val="left" w:pos="7513"/>
        </w:tabs>
        <w:spacing w:line="360" w:lineRule="auto"/>
        <w:ind w:right="49"/>
        <w:jc w:val="both"/>
        <w:rPr>
          <w:rFonts w:ascii="Palatino Linotype" w:eastAsia="Palatino Linotype" w:hAnsi="Palatino Linotype" w:cs="Palatino Linotype"/>
          <w:b/>
        </w:rPr>
      </w:pPr>
    </w:p>
    <w:p w14:paraId="56900A50" w14:textId="77777777" w:rsidR="00F6312C" w:rsidRPr="002D44AF" w:rsidRDefault="00B80A2A">
      <w:pPr>
        <w:tabs>
          <w:tab w:val="left" w:pos="7513"/>
        </w:tabs>
        <w:spacing w:line="360" w:lineRule="auto"/>
        <w:ind w:right="49"/>
        <w:jc w:val="both"/>
        <w:rPr>
          <w:rFonts w:ascii="Palatino Linotype" w:eastAsia="Palatino Linotype" w:hAnsi="Palatino Linotype" w:cs="Palatino Linotype"/>
          <w:b/>
        </w:rPr>
      </w:pPr>
      <w:r w:rsidRPr="002D44AF">
        <w:rPr>
          <w:rFonts w:ascii="Palatino Linotype" w:eastAsia="Palatino Linotype" w:hAnsi="Palatino Linotype" w:cs="Palatino Linotype"/>
          <w:b/>
        </w:rPr>
        <w:t>1. Del monto gastado para la realización de las fiestas patrias 2023</w:t>
      </w:r>
    </w:p>
    <w:p w14:paraId="6EE87DEB" w14:textId="77777777" w:rsidR="00F6312C" w:rsidRPr="002D44AF" w:rsidRDefault="00F6312C">
      <w:pPr>
        <w:tabs>
          <w:tab w:val="left" w:pos="7513"/>
        </w:tabs>
        <w:spacing w:line="360" w:lineRule="auto"/>
        <w:ind w:right="49"/>
        <w:jc w:val="both"/>
        <w:rPr>
          <w:rFonts w:ascii="Palatino Linotype" w:eastAsia="Palatino Linotype" w:hAnsi="Palatino Linotype" w:cs="Palatino Linotype"/>
        </w:rPr>
      </w:pPr>
    </w:p>
    <w:p w14:paraId="68339EEC" w14:textId="77777777" w:rsidR="00F6312C" w:rsidRPr="002D44AF" w:rsidRDefault="00B80A2A">
      <w:pPr>
        <w:tabs>
          <w:tab w:val="left" w:pos="7513"/>
        </w:tabs>
        <w:spacing w:line="360" w:lineRule="auto"/>
        <w:ind w:right="49"/>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Para iniciar el presente análisis, es importante mencionar que este Instituto localizó los siguientes indicios dentro del portal oficial del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w:t>
      </w:r>
    </w:p>
    <w:p w14:paraId="1F64BBFF" w14:textId="77777777" w:rsidR="00F6312C" w:rsidRPr="002D44AF" w:rsidRDefault="00F6312C">
      <w:pPr>
        <w:tabs>
          <w:tab w:val="left" w:pos="7513"/>
        </w:tabs>
        <w:spacing w:line="360" w:lineRule="auto"/>
        <w:ind w:right="49"/>
        <w:jc w:val="both"/>
        <w:rPr>
          <w:rFonts w:ascii="Palatino Linotype" w:eastAsia="Palatino Linotype" w:hAnsi="Palatino Linotype" w:cs="Palatino Linotype"/>
        </w:rPr>
      </w:pPr>
    </w:p>
    <w:p w14:paraId="768CED91" w14:textId="77777777" w:rsidR="00F6312C" w:rsidRPr="002D44AF" w:rsidRDefault="00B80A2A">
      <w:pPr>
        <w:tabs>
          <w:tab w:val="left" w:pos="7513"/>
        </w:tabs>
        <w:spacing w:line="360" w:lineRule="auto"/>
        <w:ind w:right="49"/>
        <w:jc w:val="center"/>
        <w:rPr>
          <w:rFonts w:ascii="Palatino Linotype" w:eastAsia="Palatino Linotype" w:hAnsi="Palatino Linotype" w:cs="Palatino Linotype"/>
        </w:rPr>
      </w:pPr>
      <w:r w:rsidRPr="002D44AF">
        <w:rPr>
          <w:rFonts w:ascii="Palatino Linotype" w:eastAsia="Palatino Linotype" w:hAnsi="Palatino Linotype" w:cs="Palatino Linotype"/>
          <w:noProof/>
          <w:lang w:val="es-MX"/>
        </w:rPr>
        <w:drawing>
          <wp:inline distT="0" distB="0" distL="0" distR="0" wp14:anchorId="2FEB8BEC" wp14:editId="7A63B9F1">
            <wp:extent cx="4053358" cy="3580422"/>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053358" cy="3580422"/>
                    </a:xfrm>
                    <a:prstGeom prst="rect">
                      <a:avLst/>
                    </a:prstGeom>
                    <a:ln/>
                  </pic:spPr>
                </pic:pic>
              </a:graphicData>
            </a:graphic>
          </wp:inline>
        </w:drawing>
      </w:r>
    </w:p>
    <w:p w14:paraId="1782BBE7" w14:textId="77777777" w:rsidR="00F6312C" w:rsidRPr="002D44AF" w:rsidRDefault="00B80A2A">
      <w:pPr>
        <w:tabs>
          <w:tab w:val="left" w:pos="7513"/>
        </w:tabs>
        <w:spacing w:line="360" w:lineRule="auto"/>
        <w:ind w:right="49"/>
        <w:jc w:val="center"/>
        <w:rPr>
          <w:rFonts w:ascii="Palatino Linotype" w:eastAsia="Palatino Linotype" w:hAnsi="Palatino Linotype" w:cs="Palatino Linotype"/>
        </w:rPr>
      </w:pPr>
      <w:r w:rsidRPr="002D44AF">
        <w:rPr>
          <w:rFonts w:ascii="Palatino Linotype" w:eastAsia="Palatino Linotype" w:hAnsi="Palatino Linotype" w:cs="Palatino Linotype"/>
          <w:noProof/>
          <w:lang w:val="es-MX"/>
        </w:rPr>
        <w:lastRenderedPageBreak/>
        <w:drawing>
          <wp:inline distT="0" distB="0" distL="0" distR="0" wp14:anchorId="5EE15141" wp14:editId="04F70A73">
            <wp:extent cx="4004932" cy="3200897"/>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004932" cy="3200897"/>
                    </a:xfrm>
                    <a:prstGeom prst="rect">
                      <a:avLst/>
                    </a:prstGeom>
                    <a:ln/>
                  </pic:spPr>
                </pic:pic>
              </a:graphicData>
            </a:graphic>
          </wp:inline>
        </w:drawing>
      </w:r>
    </w:p>
    <w:p w14:paraId="0D6F59DF" w14:textId="77777777" w:rsidR="00F6312C" w:rsidRPr="002D44AF" w:rsidRDefault="00F6312C">
      <w:pPr>
        <w:tabs>
          <w:tab w:val="left" w:pos="7513"/>
        </w:tabs>
        <w:spacing w:line="360" w:lineRule="auto"/>
        <w:ind w:right="49"/>
        <w:jc w:val="both"/>
        <w:rPr>
          <w:rFonts w:ascii="Palatino Linotype" w:eastAsia="Palatino Linotype" w:hAnsi="Palatino Linotype" w:cs="Palatino Linotype"/>
        </w:rPr>
      </w:pPr>
    </w:p>
    <w:p w14:paraId="03D78865" w14:textId="77777777" w:rsidR="00F6312C" w:rsidRPr="002D44AF" w:rsidRDefault="00F6312C">
      <w:pPr>
        <w:tabs>
          <w:tab w:val="left" w:pos="7513"/>
        </w:tabs>
        <w:spacing w:line="360" w:lineRule="auto"/>
        <w:ind w:right="49"/>
        <w:jc w:val="both"/>
        <w:rPr>
          <w:rFonts w:ascii="Palatino Linotype" w:eastAsia="Palatino Linotype" w:hAnsi="Palatino Linotype" w:cs="Palatino Linotype"/>
        </w:rPr>
      </w:pPr>
    </w:p>
    <w:p w14:paraId="7E984FFF" w14:textId="77777777" w:rsidR="00F6312C" w:rsidRPr="002D44AF" w:rsidRDefault="00B80A2A">
      <w:pPr>
        <w:spacing w:line="360" w:lineRule="auto"/>
        <w:jc w:val="both"/>
        <w:rPr>
          <w:rFonts w:ascii="Palatino Linotype" w:eastAsia="Palatino Linotype" w:hAnsi="Palatino Linotype" w:cs="Palatino Linotype"/>
          <w:b/>
          <w:u w:val="single"/>
        </w:rPr>
      </w:pPr>
      <w:r w:rsidRPr="002D44AF">
        <w:rPr>
          <w:rFonts w:ascii="Palatino Linotype" w:eastAsia="Palatino Linotype" w:hAnsi="Palatino Linotype" w:cs="Palatino Linotype"/>
          <w:b/>
          <w:u w:val="single"/>
        </w:rPr>
        <w:t xml:space="preserve">En ese sentido, de los indicios previamente insertados, se tiene que contienen información que guarda relación con lo solicitado, a saber, respecto a la celebración de las fiestas patrias en el municipio de Juchitepec el año 2023. </w:t>
      </w:r>
    </w:p>
    <w:p w14:paraId="3441EA84" w14:textId="77777777" w:rsidR="00F6312C" w:rsidRPr="002D44AF" w:rsidRDefault="00F6312C">
      <w:pPr>
        <w:spacing w:line="360" w:lineRule="auto"/>
        <w:jc w:val="both"/>
        <w:rPr>
          <w:rFonts w:ascii="Palatino Linotype" w:eastAsia="Palatino Linotype" w:hAnsi="Palatino Linotype" w:cs="Palatino Linotype"/>
        </w:rPr>
      </w:pPr>
    </w:p>
    <w:p w14:paraId="5FCE8D9D" w14:textId="77777777" w:rsidR="00F6312C" w:rsidRPr="002D44AF" w:rsidRDefault="00B80A2A">
      <w:pPr>
        <w:spacing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Con base a lo anterior, podemos concluir que hay un indicio de que sí debe obrar en los archivos del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xml:space="preserve"> información relacionada con el evento de referencia, sirve de sustento a lo anterior las siguientes tesis jurisprudenciales:</w:t>
      </w:r>
    </w:p>
    <w:p w14:paraId="121B9AB4" w14:textId="77777777" w:rsidR="00F6312C" w:rsidRPr="002D44AF" w:rsidRDefault="00F6312C">
      <w:pPr>
        <w:spacing w:line="360" w:lineRule="auto"/>
        <w:jc w:val="both"/>
        <w:rPr>
          <w:rFonts w:ascii="Palatino Linotype" w:eastAsia="Palatino Linotype" w:hAnsi="Palatino Linotype" w:cs="Palatino Linotype"/>
        </w:rPr>
      </w:pPr>
    </w:p>
    <w:p w14:paraId="480A96A0" w14:textId="77777777" w:rsidR="00F6312C" w:rsidRPr="002D44AF" w:rsidRDefault="00B80A2A">
      <w:pPr>
        <w:spacing w:after="160" w:line="360" w:lineRule="auto"/>
        <w:ind w:left="567" w:right="616"/>
        <w:jc w:val="center"/>
        <w:rPr>
          <w:rFonts w:ascii="Palatino Linotype" w:eastAsia="Palatino Linotype" w:hAnsi="Palatino Linotype" w:cs="Palatino Linotype"/>
          <w:b/>
          <w:i/>
          <w:sz w:val="22"/>
          <w:szCs w:val="22"/>
        </w:rPr>
      </w:pPr>
      <w:r w:rsidRPr="002D44AF">
        <w:rPr>
          <w:rFonts w:ascii="Palatino Linotype" w:eastAsia="Palatino Linotype" w:hAnsi="Palatino Linotype" w:cs="Palatino Linotype"/>
          <w:b/>
          <w:i/>
          <w:sz w:val="22"/>
          <w:szCs w:val="22"/>
        </w:rPr>
        <w:t>HECHOS NOTORIOS. CONCEPTOS GENERAL Y JURÍDICO</w:t>
      </w:r>
    </w:p>
    <w:p w14:paraId="59414A8B" w14:textId="77777777" w:rsidR="00F6312C" w:rsidRPr="002D44AF" w:rsidRDefault="00B80A2A">
      <w:pPr>
        <w:spacing w:after="160" w:line="276" w:lineRule="auto"/>
        <w:ind w:left="567" w:right="616"/>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 xml:space="preserve">Conforme al artículo </w:t>
      </w:r>
      <w:hyperlink r:id="rId12">
        <w:r w:rsidRPr="002D44AF">
          <w:rPr>
            <w:rFonts w:ascii="Palatino Linotype" w:eastAsia="Palatino Linotype" w:hAnsi="Palatino Linotype" w:cs="Palatino Linotype"/>
            <w:b/>
            <w:i/>
            <w:sz w:val="22"/>
            <w:szCs w:val="22"/>
          </w:rPr>
          <w:t>88 del Código Federal de Procedimientos Civiles</w:t>
        </w:r>
      </w:hyperlink>
      <w:r w:rsidRPr="002D44AF">
        <w:rPr>
          <w:rFonts w:ascii="Palatino Linotype" w:eastAsia="Palatino Linotype" w:hAnsi="Palatino Linotype" w:cs="Palatino Linotype"/>
          <w:b/>
          <w:i/>
          <w:sz w:val="22"/>
          <w:szCs w:val="22"/>
        </w:rPr>
        <w:t xml:space="preserve"> los tribunales pueden invocar hechos </w:t>
      </w:r>
      <w:proofErr w:type="gramStart"/>
      <w:r w:rsidRPr="002D44AF">
        <w:rPr>
          <w:rFonts w:ascii="Palatino Linotype" w:eastAsia="Palatino Linotype" w:hAnsi="Palatino Linotype" w:cs="Palatino Linotype"/>
          <w:b/>
          <w:i/>
          <w:sz w:val="22"/>
          <w:szCs w:val="22"/>
        </w:rPr>
        <w:t>notorios</w:t>
      </w:r>
      <w:proofErr w:type="gramEnd"/>
      <w:r w:rsidRPr="002D44AF">
        <w:rPr>
          <w:rFonts w:ascii="Palatino Linotype" w:eastAsia="Palatino Linotype" w:hAnsi="Palatino Linotype" w:cs="Palatino Linotype"/>
          <w:b/>
          <w:i/>
          <w:sz w:val="22"/>
          <w:szCs w:val="22"/>
        </w:rPr>
        <w:t xml:space="preserve"> aunque no hayan sido alegados ni probados por las partes.</w:t>
      </w:r>
      <w:r w:rsidRPr="002D44AF">
        <w:rPr>
          <w:rFonts w:ascii="Palatino Linotype" w:eastAsia="Palatino Linotype" w:hAnsi="Palatino Linotype" w:cs="Palatino Linotype"/>
          <w:i/>
          <w:sz w:val="22"/>
          <w:szCs w:val="22"/>
        </w:rPr>
        <w:t xml:space="preserve"> Por hechos notorios deben entenderse, en general, aquellos </w:t>
      </w:r>
      <w:r w:rsidRPr="002D44AF">
        <w:rPr>
          <w:rFonts w:ascii="Palatino Linotype" w:eastAsia="Palatino Linotype" w:hAnsi="Palatino Linotype" w:cs="Palatino Linotype"/>
          <w:i/>
          <w:sz w:val="22"/>
          <w:szCs w:val="22"/>
        </w:rPr>
        <w:lastRenderedPageBreak/>
        <w:t>que por el conocimiento humano se consideran ciertos e indiscutibles, ya sea que pertenezcan a la historia, a la ciencia, a la naturaleza</w:t>
      </w:r>
      <w:r w:rsidRPr="002D44AF">
        <w:rPr>
          <w:rFonts w:ascii="Palatino Linotype" w:eastAsia="Palatino Linotype" w:hAnsi="Palatino Linotype" w:cs="Palatino Linotype"/>
          <w:b/>
          <w:i/>
          <w:sz w:val="22"/>
          <w:szCs w:val="22"/>
        </w:rPr>
        <w:t>, a las vicisitudes de la vida pública actual o a circunstancias comúnmente conocidas en un determinado lugar</w:t>
      </w:r>
      <w:r w:rsidRPr="002D44AF">
        <w:rPr>
          <w:rFonts w:ascii="Palatino Linotype" w:eastAsia="Palatino Linotype" w:hAnsi="Palatino Linotype" w:cs="Palatino Linotype"/>
          <w:i/>
          <w:sz w:val="22"/>
          <w:szCs w:val="22"/>
        </w:rPr>
        <w:t xml:space="preserve">, </w:t>
      </w:r>
      <w:r w:rsidRPr="002D44AF">
        <w:rPr>
          <w:rFonts w:ascii="Palatino Linotype" w:eastAsia="Palatino Linotype" w:hAnsi="Palatino Linotype" w:cs="Palatino Linotype"/>
          <w:b/>
          <w:i/>
          <w:sz w:val="22"/>
          <w:szCs w:val="22"/>
        </w:rPr>
        <w:t>de modo que toda persona de ese medio esté en condiciones de saberlo</w:t>
      </w:r>
      <w:r w:rsidRPr="002D44AF">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38D5AF35" w14:textId="77777777" w:rsidR="00F6312C" w:rsidRPr="002D44AF" w:rsidRDefault="00B80A2A">
      <w:pPr>
        <w:spacing w:after="160" w:line="276" w:lineRule="auto"/>
        <w:ind w:left="567" w:right="616"/>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78AF4FA1" w14:textId="77777777" w:rsidR="00F6312C" w:rsidRPr="002D44AF" w:rsidRDefault="00B80A2A">
      <w:pPr>
        <w:spacing w:after="160" w:line="276" w:lineRule="auto"/>
        <w:ind w:left="567" w:right="616"/>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788EC959" w14:textId="77777777" w:rsidR="00F6312C" w:rsidRPr="002D44AF" w:rsidRDefault="00B80A2A">
      <w:pPr>
        <w:spacing w:after="160" w:line="276" w:lineRule="auto"/>
        <w:ind w:left="567" w:right="616"/>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18CF50E6" w14:textId="77777777" w:rsidR="00F6312C" w:rsidRPr="002D44AF" w:rsidRDefault="00B80A2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Acotado lo anterior, debemos recordar que quien se pronunció respecto de este punto es la Tesorería Municipal, quien de conformidad con lo previsto por el Bando Municipal en su artículo 47 es la unidad administrativa responsable, encargada de las erogaciones, se inserta el artículo para mayor referencia:</w:t>
      </w:r>
    </w:p>
    <w:p w14:paraId="645F3AE1" w14:textId="77777777" w:rsidR="00F6312C" w:rsidRPr="002D44AF" w:rsidRDefault="00B80A2A">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r w:rsidRPr="002D44AF">
        <w:rPr>
          <w:rFonts w:ascii="Palatino Linotype" w:eastAsia="Palatino Linotype" w:hAnsi="Palatino Linotype" w:cs="Palatino Linotype"/>
          <w:b/>
          <w:i/>
          <w:sz w:val="22"/>
          <w:szCs w:val="22"/>
          <w:u w:val="single"/>
        </w:rPr>
        <w:t>Artículo 47. La Tesorería Municipal coordinará, implementará, impulsará, aumentará y concentrará la recaudación de todos los ingresos municipales y realizará las erogaciones previstas en el presupuesto de egresos anual aprobado</w:t>
      </w:r>
      <w:r w:rsidRPr="002D44AF">
        <w:rPr>
          <w:rFonts w:ascii="Palatino Linotype" w:eastAsia="Palatino Linotype" w:hAnsi="Palatino Linotype" w:cs="Palatino Linotype"/>
          <w:i/>
          <w:sz w:val="22"/>
          <w:szCs w:val="22"/>
        </w:rPr>
        <w:t xml:space="preserve">; manteniendo al día los estados financieros de la Hacienda Pública Municipal y deberá actuar siempre con un alto nivel de probidad y honestidad en su encargo, conforme a las atribuciones y facultades que le otorga la Ley Orgánica, en su artículo 95 y demás ordenamientos administrativos aplicables; así mismo propondrá al Ayuntamiento la realización de acciones, mecanismos, métodos, sistemas, estrategias y campañas que permitan fortalecer, eficientizar, motivar e </w:t>
      </w:r>
      <w:r w:rsidRPr="002D44AF">
        <w:rPr>
          <w:rFonts w:ascii="Palatino Linotype" w:eastAsia="Palatino Linotype" w:hAnsi="Palatino Linotype" w:cs="Palatino Linotype"/>
          <w:i/>
          <w:sz w:val="22"/>
          <w:szCs w:val="22"/>
        </w:rPr>
        <w:lastRenderedPageBreak/>
        <w:t>incrementar sus recursos propios y la recaudación fiscal, sustentados en el marco legal que promueve las oportunidades, las consideraciones y el beneficio de los descuentos, apegados en la Ley y el Código Financiero, como una acción de regularización fiscal.”</w:t>
      </w:r>
    </w:p>
    <w:p w14:paraId="3462B3D6" w14:textId="77777777" w:rsidR="00F6312C" w:rsidRPr="002D44AF" w:rsidRDefault="00B80A2A">
      <w:pPr>
        <w:spacing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De tal suerte que como se desprende de la cita insertada, se pronunció la unidad administrativa competente, sin embargo, no escapa de la óptica de este organismo garante que el </w:t>
      </w:r>
      <w:r w:rsidRPr="002D44AF">
        <w:rPr>
          <w:rFonts w:ascii="Palatino Linotype" w:eastAsia="Palatino Linotype" w:hAnsi="Palatino Linotype" w:cs="Palatino Linotype"/>
          <w:b/>
        </w:rPr>
        <w:t xml:space="preserve">Sujeto Obligado </w:t>
      </w:r>
      <w:r w:rsidRPr="002D44AF">
        <w:rPr>
          <w:rFonts w:ascii="Palatino Linotype" w:eastAsia="Palatino Linotype" w:hAnsi="Palatino Linotype" w:cs="Palatino Linotype"/>
        </w:rPr>
        <w:t xml:space="preserve">justificó la restricción al Derecho de acceso a la información bajo el argumento de que la información solicitada se encuentra en proceso de integración y registro contable, por lo que aún no puede ser proporcionada, es importante señalar que a pesar de que la solicitud de información </w:t>
      </w:r>
      <w:r w:rsidRPr="002D44AF">
        <w:rPr>
          <w:rFonts w:ascii="Palatino Linotype" w:eastAsia="Palatino Linotype" w:hAnsi="Palatino Linotype" w:cs="Palatino Linotype"/>
          <w:b/>
          <w:u w:val="single"/>
        </w:rPr>
        <w:t>se registró el veintidós de septiembre de dos mil veintitrés,</w:t>
      </w:r>
      <w:r w:rsidRPr="002D44AF">
        <w:rPr>
          <w:rFonts w:ascii="Palatino Linotype" w:eastAsia="Palatino Linotype" w:hAnsi="Palatino Linotype" w:cs="Palatino Linotype"/>
        </w:rPr>
        <w:t xml:space="preserve"> se estima necesario precisar que si bien, los entes fiscalizables se encuentran constreñidos para cumplir con sus obligaciones fiscales en términos y periodicidad dispuesta por la normatividad correspondiente, ello </w:t>
      </w:r>
      <w:r w:rsidRPr="002D44AF">
        <w:rPr>
          <w:rFonts w:ascii="Palatino Linotype" w:eastAsia="Palatino Linotype" w:hAnsi="Palatino Linotype" w:cs="Palatino Linotype"/>
          <w:b/>
          <w:u w:val="single"/>
        </w:rPr>
        <w:t xml:space="preserve">no significa que los sujetos obligados no permitan el acceso a la información que por su naturaleza deben generar de manera diaria, semanal o mensual, cuando ello se solicite en el ejercicio del derecho de acceso a la información. </w:t>
      </w:r>
    </w:p>
    <w:p w14:paraId="4999FA60"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En el caso particular, si bien es cierto, los entes fiscalizables entregan sus informes trimestralmente en cumplimiento de sus obligaciones fiscales, también lo es que estos se integran de información que ha sido obtenida de forma consecutiva, por lo que, en el caso de que un particular solicite información antes del trimestre, los Sujetos Obligados no pueden impedir acceso a los documentos que hasta el momento se han generado, sino que deben proporcionar la información que obre en sus archivos ya sea del periodo solicitado o, a la fecha de la solicitud de información. </w:t>
      </w:r>
    </w:p>
    <w:p w14:paraId="3327025A"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lastRenderedPageBreak/>
        <w:t xml:space="preserve">Asimismo, es de reiterar que la Ley de Transparencia Estatal establece en su artículo 92 un catálogo de obligaciones de transparencia que los sujetos obligados </w:t>
      </w:r>
      <w:r w:rsidRPr="002D44AF">
        <w:rPr>
          <w:rFonts w:ascii="Palatino Linotype" w:eastAsia="Palatino Linotype" w:hAnsi="Palatino Linotype" w:cs="Palatino Linotype"/>
          <w:b/>
          <w:u w:val="single"/>
        </w:rPr>
        <w:t>deberán poner a disposición del público</w:t>
      </w:r>
      <w:r w:rsidRPr="002D44AF">
        <w:rPr>
          <w:rFonts w:ascii="Palatino Linotype" w:eastAsia="Palatino Linotype" w:hAnsi="Palatino Linotype" w:cs="Palatino Linotype"/>
        </w:rPr>
        <w:t xml:space="preserve">, sin embargo, este es muy claro al referir que será </w:t>
      </w:r>
      <w:r w:rsidRPr="002D44AF">
        <w:rPr>
          <w:rFonts w:ascii="Palatino Linotype" w:eastAsia="Palatino Linotype" w:hAnsi="Palatino Linotype" w:cs="Palatino Linotype"/>
          <w:b/>
        </w:rPr>
        <w:t xml:space="preserve">“por lo menos” de temas, documentos y políticas </w:t>
      </w:r>
      <w:r w:rsidRPr="002D44AF">
        <w:rPr>
          <w:rFonts w:ascii="Palatino Linotype" w:eastAsia="Palatino Linotype" w:hAnsi="Palatino Linotype" w:cs="Palatino Linotype"/>
        </w:rPr>
        <w:t>que en este se describen, de tal forma que, en el caso de que un particular solicite información que no se contempla en dicho catálogo, los Sujetos Obligados también deberán proporcionar la información requerida.</w:t>
      </w:r>
    </w:p>
    <w:p w14:paraId="7A92097D"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En ese sentido, se le invita al Sujeto que tenga a bien proporcionar toda la información que genere, administre y posee en congruencia con sus facultades, atribuciones y competencias, a la fecha en que los particulares lo solicitan o, del periodo que refieran, independientemente si esta está sujeta a plazos para cumplir con obligaciones en materia de fiscalización o, incluso, en materia de transparencia, toda vez que el derecho de acceso a la información es una prerrogativa constitucional que los ciudadanos gozan y debe ser garantizada por cualquier autoridad pública. </w:t>
      </w:r>
    </w:p>
    <w:p w14:paraId="4F82F599" w14:textId="77777777" w:rsidR="00F6312C" w:rsidRPr="002D44AF" w:rsidRDefault="00B80A2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Acotado lo anterior, es necesario referir que no escapa de la óptica de este Instituto </w:t>
      </w:r>
      <w:proofErr w:type="gramStart"/>
      <w:r w:rsidRPr="002D44AF">
        <w:rPr>
          <w:rFonts w:ascii="Palatino Linotype" w:eastAsia="Palatino Linotype" w:hAnsi="Palatino Linotype" w:cs="Palatino Linotype"/>
        </w:rPr>
        <w:t>que</w:t>
      </w:r>
      <w:proofErr w:type="gramEnd"/>
      <w:r w:rsidRPr="002D44AF">
        <w:rPr>
          <w:rFonts w:ascii="Palatino Linotype" w:eastAsia="Palatino Linotype" w:hAnsi="Palatino Linotype" w:cs="Palatino Linotype"/>
        </w:rPr>
        <w:t xml:space="preserve"> de manera enunciativa más no limitativa, el monto erogado para dichos festejos pudiera obrar en contratos o facturas. </w:t>
      </w:r>
    </w:p>
    <w:p w14:paraId="6E14CBB7" w14:textId="77777777" w:rsidR="00F6312C" w:rsidRPr="002D44AF" w:rsidRDefault="00B80A2A">
      <w:pPr>
        <w:spacing w:before="240" w:after="240" w:line="360" w:lineRule="auto"/>
        <w:ind w:right="51"/>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En tal sentido, respecto a los contratos, la Ley de Contratación Pública del Estado de México y Municipios, la cual tiene por objeto regular los actos relativos a la </w:t>
      </w:r>
      <w:r w:rsidRPr="002D44AF">
        <w:rPr>
          <w:rFonts w:ascii="Palatino Linotype" w:eastAsia="Palatino Linotype" w:hAnsi="Palatino Linotype" w:cs="Palatino Linotype"/>
          <w:b/>
          <w:u w:val="single"/>
        </w:rPr>
        <w:t>planeación, programación, presupuestación</w:t>
      </w:r>
      <w:r w:rsidRPr="002D44AF">
        <w:rPr>
          <w:rFonts w:ascii="Palatino Linotype" w:eastAsia="Palatino Linotype" w:hAnsi="Palatino Linotype" w:cs="Palatino Linotype"/>
        </w:rPr>
        <w:t xml:space="preserve">, ejecución y control de la </w:t>
      </w:r>
      <w:r w:rsidRPr="002D44AF">
        <w:rPr>
          <w:rFonts w:ascii="Palatino Linotype" w:eastAsia="Palatino Linotype" w:hAnsi="Palatino Linotype" w:cs="Palatino Linotype"/>
          <w:b/>
          <w:u w:val="single"/>
        </w:rPr>
        <w:t>adquisición</w:t>
      </w:r>
      <w:r w:rsidRPr="002D44AF">
        <w:rPr>
          <w:rFonts w:ascii="Palatino Linotype" w:eastAsia="Palatino Linotype" w:hAnsi="Palatino Linotype" w:cs="Palatino Linotype"/>
          <w:u w:val="single"/>
        </w:rPr>
        <w:t xml:space="preserve">, </w:t>
      </w:r>
      <w:r w:rsidRPr="002D44AF">
        <w:rPr>
          <w:rFonts w:ascii="Palatino Linotype" w:eastAsia="Palatino Linotype" w:hAnsi="Palatino Linotype" w:cs="Palatino Linotype"/>
          <w:b/>
          <w:u w:val="single"/>
        </w:rPr>
        <w:t>enajenación y arrendamiento</w:t>
      </w:r>
      <w:r w:rsidRPr="002D44AF">
        <w:rPr>
          <w:rFonts w:ascii="Palatino Linotype" w:eastAsia="Palatino Linotype" w:hAnsi="Palatino Linotype" w:cs="Palatino Linotype"/>
        </w:rPr>
        <w:t xml:space="preserve"> de bienes, y la </w:t>
      </w:r>
      <w:r w:rsidRPr="002D44AF">
        <w:rPr>
          <w:rFonts w:ascii="Palatino Linotype" w:eastAsia="Palatino Linotype" w:hAnsi="Palatino Linotype" w:cs="Palatino Linotype"/>
          <w:b/>
          <w:u w:val="single"/>
        </w:rPr>
        <w:t>contratación de servicios de cualquier naturaleza</w:t>
      </w:r>
      <w:r w:rsidRPr="002D44AF">
        <w:rPr>
          <w:rFonts w:ascii="Palatino Linotype" w:eastAsia="Palatino Linotype" w:hAnsi="Palatino Linotype" w:cs="Palatino Linotype"/>
        </w:rPr>
        <w:t xml:space="preserve">, los cuales se adjudicarán a través de licitación pública, invitación </w:t>
      </w:r>
      <w:r w:rsidRPr="002D44AF">
        <w:rPr>
          <w:rFonts w:ascii="Palatino Linotype" w:eastAsia="Palatino Linotype" w:hAnsi="Palatino Linotype" w:cs="Palatino Linotype"/>
        </w:rPr>
        <w:lastRenderedPageBreak/>
        <w:t>restringida o adjudicación directa, mediante convocatoria pública, tal y como lo establecen los artículos 4, párrafo primero y segundo, 26 y 27 de dicha Ley, los cuales son del tenor siguiente:</w:t>
      </w:r>
    </w:p>
    <w:p w14:paraId="2ED82338"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“Artículo 4.-</w:t>
      </w:r>
      <w:r w:rsidRPr="002D44AF">
        <w:rPr>
          <w:rFonts w:ascii="Palatino Linotype" w:eastAsia="Palatino Linotype" w:hAnsi="Palatino Linotype" w:cs="Palatino Linotype"/>
          <w:i/>
          <w:sz w:val="22"/>
          <w:szCs w:val="22"/>
        </w:rPr>
        <w:t xml:space="preserve"> Para los efectos de esta Ley, </w:t>
      </w:r>
      <w:r w:rsidRPr="002D44AF">
        <w:rPr>
          <w:rFonts w:ascii="Palatino Linotype" w:eastAsia="Palatino Linotype" w:hAnsi="Palatino Linotype" w:cs="Palatino Linotype"/>
          <w:b/>
          <w:i/>
          <w:sz w:val="22"/>
          <w:szCs w:val="22"/>
        </w:rPr>
        <w:t>en las adquisiciones, enajenaciones, arrendamientos y servicios, quedan comprendidos</w:t>
      </w:r>
      <w:r w:rsidRPr="002D44AF">
        <w:rPr>
          <w:rFonts w:ascii="Palatino Linotype" w:eastAsia="Palatino Linotype" w:hAnsi="Palatino Linotype" w:cs="Palatino Linotype"/>
          <w:i/>
          <w:sz w:val="22"/>
          <w:szCs w:val="22"/>
        </w:rPr>
        <w:t>:</w:t>
      </w:r>
    </w:p>
    <w:p w14:paraId="34CBD903"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w:t>
      </w:r>
      <w:r w:rsidRPr="002D44AF">
        <w:rPr>
          <w:rFonts w:ascii="Palatino Linotype" w:eastAsia="Palatino Linotype" w:hAnsi="Palatino Linotype" w:cs="Palatino Linotype"/>
          <w:i/>
          <w:sz w:val="22"/>
          <w:szCs w:val="22"/>
        </w:rPr>
        <w:t xml:space="preserve"> La adquisición de bienes muebles.</w:t>
      </w:r>
    </w:p>
    <w:p w14:paraId="0B510E60"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II</w:t>
      </w:r>
      <w:r w:rsidRPr="002D44AF">
        <w:rPr>
          <w:rFonts w:ascii="Palatino Linotype" w:eastAsia="Palatino Linotype" w:hAnsi="Palatino Linotype" w:cs="Palatino Linotype"/>
          <w:i/>
          <w:sz w:val="22"/>
          <w:szCs w:val="22"/>
        </w:rPr>
        <w:t>. La adquisición de bienes inmuebles, a través de compraventa.</w:t>
      </w:r>
    </w:p>
    <w:p w14:paraId="3FA13AE3" w14:textId="77777777" w:rsidR="00F6312C" w:rsidRPr="002D44AF" w:rsidRDefault="00B80A2A">
      <w:pPr>
        <w:tabs>
          <w:tab w:val="left" w:pos="5670"/>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III.</w:t>
      </w:r>
      <w:r w:rsidRPr="002D44AF">
        <w:rPr>
          <w:rFonts w:ascii="Palatino Linotype" w:eastAsia="Palatino Linotype" w:hAnsi="Palatino Linotype" w:cs="Palatino Linotype"/>
          <w:i/>
          <w:sz w:val="22"/>
          <w:szCs w:val="22"/>
        </w:rPr>
        <w:t xml:space="preserve"> La enajenación de bienes muebles e inmuebles.</w:t>
      </w:r>
      <w:r w:rsidRPr="002D44AF">
        <w:rPr>
          <w:rFonts w:ascii="Palatino Linotype" w:eastAsia="Palatino Linotype" w:hAnsi="Palatino Linotype" w:cs="Palatino Linotype"/>
          <w:i/>
          <w:sz w:val="22"/>
          <w:szCs w:val="22"/>
        </w:rPr>
        <w:tab/>
      </w:r>
    </w:p>
    <w:p w14:paraId="275CF148"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IV.</w:t>
      </w:r>
      <w:r w:rsidRPr="002D44AF">
        <w:rPr>
          <w:rFonts w:ascii="Palatino Linotype" w:eastAsia="Palatino Linotype" w:hAnsi="Palatino Linotype" w:cs="Palatino Linotype"/>
          <w:i/>
          <w:sz w:val="22"/>
          <w:szCs w:val="22"/>
        </w:rPr>
        <w:t xml:space="preserve"> El arrendamiento de bienes muebles e inmuebles. </w:t>
      </w:r>
    </w:p>
    <w:p w14:paraId="33A11054"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V</w:t>
      </w:r>
      <w:r w:rsidRPr="002D44AF">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44FC30B2"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VI.</w:t>
      </w:r>
      <w:r w:rsidRPr="002D44AF">
        <w:rPr>
          <w:rFonts w:ascii="Palatino Linotype" w:eastAsia="Palatino Linotype" w:hAnsi="Palatino Linotype" w:cs="Palatino Linotype"/>
          <w:i/>
          <w:sz w:val="22"/>
          <w:szCs w:val="22"/>
        </w:rPr>
        <w:t xml:space="preserve"> La contratación de los servicios de reconstrucción y mantenimiento de bienes muebles. </w:t>
      </w:r>
    </w:p>
    <w:p w14:paraId="19E4EFC3"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VII.</w:t>
      </w:r>
      <w:r w:rsidRPr="002D44AF">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7ECED02C"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VIII.</w:t>
      </w:r>
      <w:r w:rsidRPr="002D44AF">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5F151AFF"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En general, otros actos que impliquen la contratación de servicios de cualquier naturaleza.</w:t>
      </w:r>
    </w:p>
    <w:p w14:paraId="47B9A1F2"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p>
    <w:p w14:paraId="37869DAD"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Artículo 26.-</w:t>
      </w:r>
      <w:r w:rsidRPr="002D44AF">
        <w:rPr>
          <w:rFonts w:ascii="Palatino Linotype" w:eastAsia="Palatino Linotype" w:hAnsi="Palatino Linotype" w:cs="Palatino Linotype"/>
          <w:i/>
          <w:sz w:val="22"/>
          <w:szCs w:val="22"/>
        </w:rPr>
        <w:t xml:space="preserve"> </w:t>
      </w:r>
      <w:r w:rsidRPr="002D44AF">
        <w:rPr>
          <w:rFonts w:ascii="Palatino Linotype" w:eastAsia="Palatino Linotype" w:hAnsi="Palatino Linotype" w:cs="Palatino Linotype"/>
          <w:b/>
          <w:i/>
          <w:sz w:val="22"/>
          <w:szCs w:val="22"/>
        </w:rPr>
        <w:t>Las adquisiciones, arrendamientos y servicios se adjudicarán a través de licitaciones públicas</w:t>
      </w:r>
      <w:r w:rsidRPr="002D44AF">
        <w:rPr>
          <w:rFonts w:ascii="Palatino Linotype" w:eastAsia="Palatino Linotype" w:hAnsi="Palatino Linotype" w:cs="Palatino Linotype"/>
          <w:i/>
          <w:sz w:val="22"/>
          <w:szCs w:val="22"/>
        </w:rPr>
        <w:t xml:space="preserve">, mediante convocatoria pública. </w:t>
      </w:r>
    </w:p>
    <w:p w14:paraId="425BCABE"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Artículo 27.</w:t>
      </w:r>
      <w:r w:rsidRPr="002D44AF">
        <w:rPr>
          <w:rFonts w:ascii="Palatino Linotype" w:eastAsia="Palatino Linotype" w:hAnsi="Palatino Linotype" w:cs="Palatino Linotype"/>
          <w:i/>
          <w:sz w:val="22"/>
          <w:szCs w:val="22"/>
        </w:rPr>
        <w:t xml:space="preserve">- La Secretaría, las entidades, los tribunales administrativos y los ayuntamientos podrán </w:t>
      </w:r>
      <w:r w:rsidRPr="002D44AF">
        <w:rPr>
          <w:rFonts w:ascii="Palatino Linotype" w:eastAsia="Palatino Linotype" w:hAnsi="Palatino Linotype" w:cs="Palatino Linotype"/>
          <w:b/>
          <w:i/>
          <w:sz w:val="22"/>
          <w:szCs w:val="22"/>
        </w:rPr>
        <w:t>adjudicar adquisiciones, arrendamientos y servicios, mediante las excepciones al procedimiento de licitación</w:t>
      </w:r>
      <w:r w:rsidRPr="002D44AF">
        <w:rPr>
          <w:rFonts w:ascii="Palatino Linotype" w:eastAsia="Palatino Linotype" w:hAnsi="Palatino Linotype" w:cs="Palatino Linotype"/>
          <w:i/>
          <w:sz w:val="22"/>
          <w:szCs w:val="22"/>
        </w:rPr>
        <w:t xml:space="preserve"> que a continuación se señalan:</w:t>
      </w:r>
    </w:p>
    <w:p w14:paraId="567DAD25"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w:t>
      </w:r>
      <w:r w:rsidRPr="002D44AF">
        <w:rPr>
          <w:rFonts w:ascii="Palatino Linotype" w:eastAsia="Palatino Linotype" w:hAnsi="Palatino Linotype" w:cs="Palatino Linotype"/>
          <w:i/>
          <w:sz w:val="22"/>
          <w:szCs w:val="22"/>
        </w:rPr>
        <w:t>. Invitación restringida.</w:t>
      </w:r>
    </w:p>
    <w:p w14:paraId="2E684147"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II.</w:t>
      </w:r>
      <w:r w:rsidRPr="002D44AF">
        <w:rPr>
          <w:rFonts w:ascii="Palatino Linotype" w:eastAsia="Palatino Linotype" w:hAnsi="Palatino Linotype" w:cs="Palatino Linotype"/>
          <w:i/>
          <w:sz w:val="22"/>
          <w:szCs w:val="22"/>
        </w:rPr>
        <w:t xml:space="preserve"> Adjudicación directa.”</w:t>
      </w:r>
    </w:p>
    <w:p w14:paraId="709D1CA7"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lastRenderedPageBreak/>
        <w:t>Con base en los preceptos citados se advierte que, por regla general, las adquisiciones, enajenaciones, arrendamientos y prestación de servicios, que celebren los entes públicos, deben adjudicarse mediante licitación pública, sin embargo, también se contemplan como excepciones a dicho proceso, la invitación restringida y la adjudicación directa.</w:t>
      </w:r>
    </w:p>
    <w:p w14:paraId="56612708"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Por su parte, el Reglamento de la Ley de Contratación Pública del Estado de México y Municipios, dispone lo que a la letra se inserta:</w:t>
      </w:r>
    </w:p>
    <w:p w14:paraId="68233B31"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“Artículo 2.-</w:t>
      </w:r>
      <w:r w:rsidRPr="002D44AF">
        <w:rPr>
          <w:rFonts w:ascii="Palatino Linotype" w:eastAsia="Palatino Linotype" w:hAnsi="Palatino Linotype" w:cs="Palatino Linotype"/>
          <w:i/>
          <w:sz w:val="22"/>
          <w:szCs w:val="22"/>
        </w:rPr>
        <w:t xml:space="preserve"> Para los efectos de este Reglamento, se entenderá por: </w:t>
      </w:r>
    </w:p>
    <w:p w14:paraId="2AA2A61C"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I. Adjudicación directa: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 </w:t>
      </w:r>
    </w:p>
    <w:p w14:paraId="3CCB5BCF"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p>
    <w:p w14:paraId="608DF3A8"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II. Invitación restringida: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 </w:t>
      </w:r>
    </w:p>
    <w:p w14:paraId="40C95D9B"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p>
    <w:p w14:paraId="0818DA87"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XIV. Licitación pública: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 </w:t>
      </w:r>
    </w:p>
    <w:p w14:paraId="3C843101"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p>
    <w:p w14:paraId="3658C38A"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XXI. Procedimiento de adquisición: Conjunto de etapas por las que la Secretaría, las dependencias, organismos auxiliares, tribunales administrativos o municipios, adquieren bienes, contratan servicios o adquieren en arrendamiento bienes inmuebles para el cumplimiento de sus funciones, programas y acciones…</w:t>
      </w:r>
    </w:p>
    <w:p w14:paraId="06524640"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lastRenderedPageBreak/>
        <w:t>Artículo 61.-</w:t>
      </w:r>
      <w:r w:rsidRPr="002D44AF">
        <w:rPr>
          <w:rFonts w:ascii="Palatino Linotype" w:eastAsia="Palatino Linotype" w:hAnsi="Palatino Linotype" w:cs="Palatino Linotype"/>
          <w:i/>
          <w:sz w:val="22"/>
          <w:szCs w:val="22"/>
        </w:rPr>
        <w:t xml:space="preserve"> La Secretaría, organismos auxiliares, tribunales administrativos y municipios podrán realizar licitaciones públicas, para la adquisición, arrendamiento de bienes y la contratación de servicios de cualquier naturaleza, conforme a las previsiones y disposiciones presupuestarias respectivas. </w:t>
      </w:r>
    </w:p>
    <w:p w14:paraId="1D5DB2CF" w14:textId="77777777" w:rsidR="00F6312C" w:rsidRPr="002D44AF" w:rsidRDefault="00B80A2A">
      <w:pPr>
        <w:spacing w:before="120" w:after="120"/>
        <w:ind w:left="567" w:right="902"/>
        <w:jc w:val="both"/>
        <w:rPr>
          <w:rFonts w:ascii="Palatino Linotype" w:eastAsia="Palatino Linotype" w:hAnsi="Palatino Linotype" w:cs="Palatino Linotype"/>
          <w:b/>
          <w:i/>
          <w:sz w:val="22"/>
          <w:szCs w:val="22"/>
        </w:rPr>
      </w:pPr>
      <w:r w:rsidRPr="002D44AF">
        <w:rPr>
          <w:rFonts w:ascii="Palatino Linotype" w:eastAsia="Palatino Linotype" w:hAnsi="Palatino Linotype" w:cs="Palatino Linotype"/>
          <w:b/>
          <w:i/>
          <w:sz w:val="22"/>
          <w:szCs w:val="22"/>
        </w:rPr>
        <w:t>Artículo 62.-</w:t>
      </w:r>
      <w:r w:rsidRPr="002D44AF">
        <w:rPr>
          <w:rFonts w:ascii="Palatino Linotype" w:eastAsia="Palatino Linotype" w:hAnsi="Palatino Linotype" w:cs="Palatino Linotype"/>
          <w:i/>
          <w:sz w:val="22"/>
          <w:szCs w:val="22"/>
        </w:rPr>
        <w:t xml:space="preserve"> 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RPr="002D44AF">
        <w:rPr>
          <w:rFonts w:ascii="Palatino Linotype" w:eastAsia="Palatino Linotype" w:hAnsi="Palatino Linotype" w:cs="Palatino Linotype"/>
          <w:b/>
          <w:i/>
          <w:sz w:val="22"/>
          <w:szCs w:val="22"/>
        </w:rPr>
        <w:t xml:space="preserve"> </w:t>
      </w:r>
    </w:p>
    <w:p w14:paraId="2EA17376" w14:textId="77777777" w:rsidR="00F6312C" w:rsidRPr="002D44AF" w:rsidRDefault="00B80A2A">
      <w:pPr>
        <w:shd w:val="clear" w:color="auto" w:fill="FFFFFF"/>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 xml:space="preserve">Artículo 67.- </w:t>
      </w:r>
      <w:r w:rsidRPr="002D44AF">
        <w:rPr>
          <w:rFonts w:ascii="Palatino Linotype" w:eastAsia="Palatino Linotype" w:hAnsi="Palatino Linotype" w:cs="Palatino Linotype"/>
          <w:i/>
          <w:sz w:val="22"/>
          <w:szCs w:val="22"/>
        </w:rPr>
        <w:t xml:space="preserve">El procedimiento de licitación pública comprende las siguientes fases: </w:t>
      </w:r>
    </w:p>
    <w:p w14:paraId="02D73B8E" w14:textId="77777777" w:rsidR="00F6312C" w:rsidRPr="002D44AF" w:rsidRDefault="00B80A2A">
      <w:pPr>
        <w:numPr>
          <w:ilvl w:val="0"/>
          <w:numId w:val="2"/>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Publicación de la convocatoria; </w:t>
      </w:r>
    </w:p>
    <w:p w14:paraId="16146738" w14:textId="77777777" w:rsidR="00F6312C" w:rsidRPr="002D44AF" w:rsidRDefault="00B80A2A">
      <w:pPr>
        <w:numPr>
          <w:ilvl w:val="0"/>
          <w:numId w:val="2"/>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Venta de las bases de licitación;</w:t>
      </w:r>
    </w:p>
    <w:p w14:paraId="27C87E67" w14:textId="77777777" w:rsidR="00F6312C" w:rsidRPr="002D44AF" w:rsidRDefault="00B80A2A">
      <w:pPr>
        <w:numPr>
          <w:ilvl w:val="0"/>
          <w:numId w:val="2"/>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Visita, en su caso, al sitio donde se vayan a suministrar los bienes o a prestar los servicios;</w:t>
      </w:r>
    </w:p>
    <w:p w14:paraId="51A60298" w14:textId="77777777" w:rsidR="00F6312C" w:rsidRPr="002D44AF" w:rsidRDefault="00B80A2A">
      <w:pPr>
        <w:numPr>
          <w:ilvl w:val="0"/>
          <w:numId w:val="2"/>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Junta de aclaraciones, en su caso; </w:t>
      </w:r>
    </w:p>
    <w:p w14:paraId="68BE5E81" w14:textId="77777777" w:rsidR="00F6312C" w:rsidRPr="002D44AF" w:rsidRDefault="00B80A2A">
      <w:pPr>
        <w:numPr>
          <w:ilvl w:val="0"/>
          <w:numId w:val="2"/>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Acto de presentación y apertura de propuestas;</w:t>
      </w:r>
    </w:p>
    <w:p w14:paraId="6A3C5A2B" w14:textId="77777777" w:rsidR="00F6312C" w:rsidRPr="002D44AF" w:rsidRDefault="00B80A2A">
      <w:pPr>
        <w:numPr>
          <w:ilvl w:val="0"/>
          <w:numId w:val="2"/>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Análisis y evaluación de propuestas;</w:t>
      </w:r>
    </w:p>
    <w:p w14:paraId="285C25A0" w14:textId="77777777" w:rsidR="00F6312C" w:rsidRPr="002D44AF" w:rsidRDefault="00B80A2A">
      <w:pPr>
        <w:numPr>
          <w:ilvl w:val="0"/>
          <w:numId w:val="2"/>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Dictamen de adjudicación; </w:t>
      </w:r>
    </w:p>
    <w:p w14:paraId="721C2438" w14:textId="77777777" w:rsidR="00F6312C" w:rsidRPr="002D44AF" w:rsidRDefault="00B80A2A">
      <w:pPr>
        <w:numPr>
          <w:ilvl w:val="0"/>
          <w:numId w:val="2"/>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Fallo; </w:t>
      </w:r>
    </w:p>
    <w:p w14:paraId="3CA661EB" w14:textId="77777777" w:rsidR="00F6312C" w:rsidRPr="002D44AF" w:rsidRDefault="00B80A2A">
      <w:pPr>
        <w:numPr>
          <w:ilvl w:val="0"/>
          <w:numId w:val="2"/>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Suscripción del contrato; y </w:t>
      </w:r>
    </w:p>
    <w:p w14:paraId="56074BA9" w14:textId="77777777" w:rsidR="00F6312C" w:rsidRPr="002D44AF" w:rsidRDefault="00B80A2A">
      <w:pPr>
        <w:numPr>
          <w:ilvl w:val="0"/>
          <w:numId w:val="2"/>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Suministro de los bienes o inicio de la prestación del servicio.</w:t>
      </w:r>
    </w:p>
    <w:p w14:paraId="70EE83AF" w14:textId="77777777" w:rsidR="00F6312C" w:rsidRPr="002D44AF" w:rsidRDefault="00F6312C">
      <w:pPr>
        <w:spacing w:before="120" w:after="120"/>
        <w:ind w:left="851" w:right="902"/>
        <w:jc w:val="both"/>
        <w:rPr>
          <w:rFonts w:ascii="Palatino Linotype" w:eastAsia="Palatino Linotype" w:hAnsi="Palatino Linotype" w:cs="Palatino Linotype"/>
          <w:b/>
          <w:i/>
          <w:sz w:val="22"/>
          <w:szCs w:val="22"/>
        </w:rPr>
      </w:pPr>
    </w:p>
    <w:p w14:paraId="093EC2FE" w14:textId="77777777" w:rsidR="00F6312C" w:rsidRPr="002D44AF" w:rsidRDefault="00B80A2A">
      <w:pPr>
        <w:ind w:left="567" w:right="851"/>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 xml:space="preserve">Artículo 68.- </w:t>
      </w:r>
      <w:r w:rsidRPr="002D44AF">
        <w:rPr>
          <w:rFonts w:ascii="Palatino Linotype" w:eastAsia="Palatino Linotype" w:hAnsi="Palatino Linotype" w:cs="Palatino Linotype"/>
          <w:i/>
          <w:sz w:val="22"/>
          <w:szCs w:val="22"/>
        </w:rPr>
        <w:t xml:space="preserve">En el procedimiento de licitación pública se observará lo siguiente: </w:t>
      </w:r>
    </w:p>
    <w:p w14:paraId="47CB4BD6" w14:textId="77777777" w:rsidR="00F6312C" w:rsidRPr="002D44AF" w:rsidRDefault="00F6312C">
      <w:pPr>
        <w:ind w:left="567" w:right="851"/>
        <w:jc w:val="both"/>
        <w:rPr>
          <w:rFonts w:ascii="Palatino Linotype" w:eastAsia="Palatino Linotype" w:hAnsi="Palatino Linotype" w:cs="Palatino Linotype"/>
          <w:i/>
          <w:sz w:val="22"/>
          <w:szCs w:val="22"/>
        </w:rPr>
      </w:pPr>
    </w:p>
    <w:p w14:paraId="5D29281B" w14:textId="77777777" w:rsidR="00F6312C" w:rsidRPr="002D44AF" w:rsidRDefault="00B80A2A">
      <w:pPr>
        <w:ind w:left="567" w:right="851"/>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apertura de propuestas, y fallo, dentro del plazo de quince días hábiles siguientes a la publicación de la convocatoria; </w:t>
      </w:r>
    </w:p>
    <w:p w14:paraId="0EF48C12" w14:textId="77777777" w:rsidR="00F6312C" w:rsidRPr="002D44AF" w:rsidRDefault="00B80A2A">
      <w:pPr>
        <w:ind w:left="567" w:right="851"/>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II. La venta de bases iniciará a partir del día de publicación de la convocatoria y concluirá el día hábil anterior al día de celebración de la junta de aclaraciones. </w:t>
      </w:r>
    </w:p>
    <w:p w14:paraId="56AE5678" w14:textId="77777777" w:rsidR="00F6312C" w:rsidRPr="002D44AF" w:rsidRDefault="00F6312C">
      <w:pPr>
        <w:jc w:val="both"/>
        <w:rPr>
          <w:rFonts w:ascii="Palatino Linotype" w:eastAsia="Palatino Linotype" w:hAnsi="Palatino Linotype" w:cs="Palatino Linotype"/>
          <w:i/>
          <w:sz w:val="22"/>
          <w:szCs w:val="22"/>
        </w:rPr>
      </w:pPr>
    </w:p>
    <w:p w14:paraId="793821D1" w14:textId="77777777" w:rsidR="00F6312C" w:rsidRPr="002D44AF" w:rsidRDefault="00B80A2A">
      <w:pPr>
        <w:ind w:left="567" w:right="851"/>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Cuando no se celebre junta de aclaraciones, la venta de bases concluirá el día hábil anterior a la celebración del acto de presentación y apertura de propuestas. </w:t>
      </w:r>
    </w:p>
    <w:p w14:paraId="7976422A" w14:textId="77777777" w:rsidR="00F6312C" w:rsidRPr="002D44AF" w:rsidRDefault="00B80A2A">
      <w:pPr>
        <w:ind w:left="567" w:right="851"/>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lastRenderedPageBreak/>
        <w:t xml:space="preserve">En todo caso, el plazo de venta de bases no será menor a tres días hábiles contados a partir del día de la publicación de la convocatoria; </w:t>
      </w:r>
    </w:p>
    <w:p w14:paraId="48D52D2F" w14:textId="77777777" w:rsidR="00F6312C" w:rsidRPr="002D44AF" w:rsidRDefault="00B80A2A">
      <w:pPr>
        <w:ind w:left="567" w:right="851"/>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III. La convocante podrá modificar la convocatoria o las bases dentro de los cinco días hábiles anteriores a la fecha de la celebración del acto de presentación y apertura de propuestas. En caso de que no se celebre junta de aclaraciones y se hagan modificaciones a la convocatoria o a las bases, se ajustará el plazo programado para la celebración del acto de presentación y apertura de propuestas; </w:t>
      </w:r>
    </w:p>
    <w:p w14:paraId="35333B84" w14:textId="77777777" w:rsidR="00F6312C" w:rsidRPr="002D44AF" w:rsidRDefault="00B80A2A">
      <w:pPr>
        <w:ind w:left="567" w:right="851"/>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IV. Tales modificaciones se harán del conocimiento de los interesados tres días hábiles anteriores a la fecha señalada para la celebración del acto de presentación y apertura de propuestas, lo cual podrá ser a través del sistema COMPRAMEX; y </w:t>
      </w:r>
    </w:p>
    <w:p w14:paraId="097F0FD2" w14:textId="77777777" w:rsidR="00F6312C" w:rsidRPr="002D44AF" w:rsidRDefault="00B80A2A">
      <w:pPr>
        <w:ind w:left="567" w:right="851"/>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V. La junta de aclaraciones deberá realizarse tres días hábiles antes de la celebración del acto de presentación y apertura de propuestas. Las modificaciones que se deriven de la junta de aclaraciones formarán parte integral de las bases y se entregará copia simple del acta correspondiente a las personas que acrediten haberlas adquirido. </w:t>
      </w:r>
    </w:p>
    <w:p w14:paraId="6A8EAF19" w14:textId="77777777" w:rsidR="00F6312C" w:rsidRPr="002D44AF" w:rsidRDefault="00F6312C">
      <w:pPr>
        <w:ind w:left="567" w:right="851"/>
        <w:jc w:val="both"/>
        <w:rPr>
          <w:rFonts w:ascii="Palatino Linotype" w:eastAsia="Palatino Linotype" w:hAnsi="Palatino Linotype" w:cs="Palatino Linotype"/>
          <w:i/>
          <w:sz w:val="22"/>
          <w:szCs w:val="22"/>
        </w:rPr>
      </w:pPr>
    </w:p>
    <w:p w14:paraId="7EE03AAE" w14:textId="77777777" w:rsidR="00F6312C" w:rsidRPr="002D44AF" w:rsidRDefault="00B80A2A">
      <w:pPr>
        <w:ind w:left="567" w:right="851"/>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 xml:space="preserve">Artículo 69.- </w:t>
      </w:r>
      <w:r w:rsidRPr="002D44AF">
        <w:rPr>
          <w:rFonts w:ascii="Palatino Linotype" w:eastAsia="Palatino Linotype" w:hAnsi="Palatino Linotype" w:cs="Palatino Linotype"/>
          <w:i/>
          <w:sz w:val="22"/>
          <w:szCs w:val="22"/>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14:paraId="7B3814ED" w14:textId="77777777" w:rsidR="00F6312C" w:rsidRPr="002D44AF" w:rsidRDefault="00F6312C">
      <w:pPr>
        <w:jc w:val="both"/>
        <w:rPr>
          <w:rFonts w:ascii="Palatino Linotype" w:eastAsia="Palatino Linotype" w:hAnsi="Palatino Linotype" w:cs="Palatino Linotype"/>
          <w:i/>
          <w:sz w:val="22"/>
          <w:szCs w:val="22"/>
        </w:rPr>
      </w:pPr>
    </w:p>
    <w:p w14:paraId="3187C1B5"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Artículo 90.-</w:t>
      </w:r>
      <w:r w:rsidRPr="002D44AF">
        <w:rPr>
          <w:rFonts w:ascii="Palatino Linotype" w:eastAsia="Palatino Linotype" w:hAnsi="Palatino Linotype" w:cs="Palatino Linotype"/>
          <w:i/>
          <w:sz w:val="22"/>
          <w:szCs w:val="22"/>
        </w:rPr>
        <w:t xml:space="preserve"> En el procedimiento de invitación restringida se deberá observar lo siguiente: </w:t>
      </w:r>
    </w:p>
    <w:p w14:paraId="401F0F1A"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w:t>
      </w:r>
      <w:r w:rsidRPr="002D44AF">
        <w:rPr>
          <w:rFonts w:ascii="Palatino Linotype" w:eastAsia="Palatino Linotype" w:hAnsi="Palatino Linotype" w:cs="Palatino Linotype"/>
          <w:i/>
          <w:sz w:val="22"/>
          <w:szCs w:val="22"/>
        </w:rPr>
        <w:t xml:space="preserve"> Se invitará a un mínimo de tres personas seleccionadas de entre las que se encuentren inscritas e n el catálogo de proveedores y de prestadores de servicios. </w:t>
      </w:r>
    </w:p>
    <w:p w14:paraId="029323D4"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Se podrá invitar a personas que no se encuentren inscritas, cuando en el giro correspondiente del catálogo de proveedores y prestadores de servicios no exista el registro mínimo de personas requeridas para tal modalidad; </w:t>
      </w:r>
    </w:p>
    <w:p w14:paraId="61D22526"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II</w:t>
      </w:r>
      <w:r w:rsidRPr="002D44AF">
        <w:rPr>
          <w:rFonts w:ascii="Palatino Linotype" w:eastAsia="Palatino Linotype" w:hAnsi="Palatino Linotype" w:cs="Palatino Linotype"/>
          <w:i/>
          <w:sz w:val="22"/>
          <w:szCs w:val="22"/>
        </w:rPr>
        <w:t xml:space="preserve">. Las bases de la invitación restringida indicarán los aspectos de la adquisición o contratación; y </w:t>
      </w:r>
    </w:p>
    <w:p w14:paraId="55E8184B"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III.</w:t>
      </w:r>
      <w:r w:rsidRPr="002D44AF">
        <w:rPr>
          <w:rFonts w:ascii="Palatino Linotype" w:eastAsia="Palatino Linotype" w:hAnsi="Palatino Linotype" w:cs="Palatino Linotype"/>
          <w:i/>
          <w:sz w:val="22"/>
          <w:szCs w:val="22"/>
        </w:rPr>
        <w:t xml:space="preserve"> Serán aplicables, en lo conducente, las disposiciones de la licitación pública.</w:t>
      </w:r>
    </w:p>
    <w:p w14:paraId="43F8DEE5"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Artículo 91.-</w:t>
      </w:r>
      <w:r w:rsidRPr="002D44AF">
        <w:rPr>
          <w:rFonts w:ascii="Palatino Linotype" w:eastAsia="Palatino Linotype" w:hAnsi="Palatino Linotype" w:cs="Palatino Linotype"/>
          <w:i/>
          <w:sz w:val="22"/>
          <w:szCs w:val="22"/>
        </w:rPr>
        <w:t xml:space="preserve"> La Secretaría, organismos auxiliares, tribunales administrativos y municipios podrán adquirir, arrendar o enajenar bienes, y contratar servicios, mediante el procedimiento de adjudicación directa en los términos establecidos por la Ley. </w:t>
      </w:r>
    </w:p>
    <w:p w14:paraId="3D8BD560"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lastRenderedPageBreak/>
        <w:t>Artículo 92.-</w:t>
      </w:r>
      <w:r w:rsidRPr="002D44AF">
        <w:rPr>
          <w:rFonts w:ascii="Palatino Linotype" w:eastAsia="Palatino Linotype" w:hAnsi="Palatino Linotype" w:cs="Palatino Linotype"/>
          <w:i/>
          <w:sz w:val="22"/>
          <w:szCs w:val="22"/>
        </w:rPr>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14:paraId="3885AA14"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14:paraId="7ADA91CF" w14:textId="77777777" w:rsidR="00F6312C" w:rsidRPr="002D44AF" w:rsidRDefault="00B80A2A">
      <w:pPr>
        <w:tabs>
          <w:tab w:val="left" w:pos="1134"/>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En el caso de los municipios, las cotizaciones deberán obtenerse a través de sus áreas de administración.”</w:t>
      </w:r>
    </w:p>
    <w:p w14:paraId="2E18BC85"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De lo hasta aquí expuesto, se advierte que, cuando los entes públicos deban o tengan que realizar la adquisición, arrendamiento de un bien o contratación de servicios, deberán regular su actividad a través de las licitaciones públicas mediante convocatoria y conforme el procedimiento establecido en la ley de contratación, o bien, mediante invitación restringida o adjudicación directa.</w:t>
      </w:r>
    </w:p>
    <w:p w14:paraId="0604F9C9"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El procedimiento de adquisición, arrendamiento y servicios a través de invitación restringida, se sigue cuando se hubiese declarado desierto un procedimiento de licitación y el importe de la operación no exceda los montos establecidos en el presupuesto; mientras que el de adjudicación directa, cuando se trate de servicios que requieran de experiencia, técnicas o equipos especiales, o se trate de la adquisición de bienes usados o de características especiales que solamente puedan ser prestados o suministrados por una sola persona. </w:t>
      </w:r>
    </w:p>
    <w:p w14:paraId="07EF41BB"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Tras la adjudicación de bienes o servicios, el convocante y licitante están obligados a suscribir el contrato respectivo, dentro de los diez días hábiles siguientes a la </w:t>
      </w:r>
      <w:r w:rsidRPr="002D44AF">
        <w:rPr>
          <w:rFonts w:ascii="Palatino Linotype" w:eastAsia="Palatino Linotype" w:hAnsi="Palatino Linotype" w:cs="Palatino Linotype"/>
        </w:rPr>
        <w:lastRenderedPageBreak/>
        <w:t>notificación del fallo, en el que se establezcan los derechos y obligaciones, además de pactar las penas convencionales por incumplimiento de las obligaciones, la condición del precio fijo de conformidad con lo prescrito en los artículos 65, 66, 67 y 69 de la Ley de Contratación.</w:t>
      </w:r>
    </w:p>
    <w:p w14:paraId="00B94EC5" w14:textId="77777777" w:rsidR="00F6312C" w:rsidRPr="002D44AF" w:rsidRDefault="00B80A2A">
      <w:pPr>
        <w:spacing w:before="240" w:after="240" w:line="360" w:lineRule="auto"/>
        <w:ind w:right="51"/>
        <w:jc w:val="both"/>
        <w:rPr>
          <w:rFonts w:ascii="Palatino Linotype" w:eastAsia="Palatino Linotype" w:hAnsi="Palatino Linotype" w:cs="Palatino Linotype"/>
        </w:rPr>
      </w:pPr>
      <w:r w:rsidRPr="002D44AF">
        <w:rPr>
          <w:rFonts w:ascii="Palatino Linotype" w:eastAsia="Palatino Linotype" w:hAnsi="Palatino Linotype" w:cs="Palatino Linotype"/>
        </w:rPr>
        <w:t>Siguiendo con el análisis, el artículo 92, fracción XXXVI de la Ley de Transparencia y Acceso a la Información Pública del Estado de México y Municipios, establece como obligaciones de transparencia que los Sujetos Obligados deben poner a disposición del público de manera permanente y actualizada, de forma sencilla, precisa y entendible, en los respectivos medios electrónicos, la información relativa a los procesos y resultados sobre procedimientos de adjudicación directa, invitación restringida, y licitación de cualquier naturaleza, incluyendo la versión pública del expediente respectivo y de los contratos celebrados, así como el padrón de proveedores y contratistas, a saber:</w:t>
      </w:r>
    </w:p>
    <w:p w14:paraId="600F9902" w14:textId="77777777" w:rsidR="00F6312C" w:rsidRPr="002D44AF" w:rsidRDefault="00B80A2A">
      <w:pPr>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r w:rsidRPr="002D44AF">
        <w:rPr>
          <w:rFonts w:ascii="Palatino Linotype" w:eastAsia="Palatino Linotype" w:hAnsi="Palatino Linotype" w:cs="Palatino Linotype"/>
          <w:b/>
          <w:i/>
          <w:sz w:val="22"/>
          <w:szCs w:val="22"/>
        </w:rPr>
        <w:t>Artículo 92</w:t>
      </w:r>
      <w:r w:rsidRPr="002D44AF">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6DB978"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p>
    <w:p w14:paraId="79710A6E"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XXIX.</w:t>
      </w:r>
      <w:r w:rsidRPr="002D44AF">
        <w:rPr>
          <w:rFonts w:ascii="Palatino Linotype" w:eastAsia="Palatino Linotype" w:hAnsi="Palatino Linotype" w:cs="Palatino Linotype"/>
          <w:i/>
          <w:sz w:val="22"/>
          <w:szCs w:val="22"/>
        </w:rPr>
        <w:t xml:space="preserve"> La </w:t>
      </w:r>
      <w:r w:rsidRPr="002D44AF">
        <w:rPr>
          <w:rFonts w:ascii="Palatino Linotype" w:eastAsia="Palatino Linotype" w:hAnsi="Palatino Linotype" w:cs="Palatino Linotype"/>
          <w:b/>
          <w:i/>
          <w:sz w:val="22"/>
          <w:szCs w:val="22"/>
        </w:rPr>
        <w:t xml:space="preserve">información sobre los procesos y resultados </w:t>
      </w:r>
      <w:r w:rsidRPr="002D44AF">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2D44AF">
        <w:rPr>
          <w:rFonts w:ascii="Palatino Linotype" w:eastAsia="Palatino Linotype" w:hAnsi="Palatino Linotype" w:cs="Palatino Linotype"/>
          <w:i/>
          <w:sz w:val="22"/>
          <w:szCs w:val="22"/>
          <w:u w:val="single"/>
        </w:rPr>
        <w:t xml:space="preserve">, </w:t>
      </w:r>
      <w:r w:rsidRPr="002D44AF">
        <w:rPr>
          <w:rFonts w:ascii="Palatino Linotype" w:eastAsia="Palatino Linotype" w:hAnsi="Palatino Linotype" w:cs="Palatino Linotype"/>
          <w:b/>
          <w:i/>
          <w:sz w:val="22"/>
          <w:szCs w:val="22"/>
        </w:rPr>
        <w:t>incluyendo la versión pública</w:t>
      </w:r>
      <w:r w:rsidRPr="002D44AF">
        <w:rPr>
          <w:rFonts w:ascii="Palatino Linotype" w:eastAsia="Palatino Linotype" w:hAnsi="Palatino Linotype" w:cs="Palatino Linotype"/>
          <w:i/>
          <w:sz w:val="22"/>
          <w:szCs w:val="22"/>
        </w:rPr>
        <w:t xml:space="preserve"> del </w:t>
      </w:r>
      <w:r w:rsidRPr="002D44AF">
        <w:rPr>
          <w:rFonts w:ascii="Palatino Linotype" w:eastAsia="Palatino Linotype" w:hAnsi="Palatino Linotype" w:cs="Palatino Linotype"/>
          <w:b/>
          <w:i/>
          <w:sz w:val="22"/>
          <w:szCs w:val="22"/>
        </w:rPr>
        <w:t>expediente respectivo</w:t>
      </w:r>
      <w:r w:rsidRPr="002D44AF">
        <w:rPr>
          <w:rFonts w:ascii="Palatino Linotype" w:eastAsia="Palatino Linotype" w:hAnsi="Palatino Linotype" w:cs="Palatino Linotype"/>
          <w:i/>
          <w:sz w:val="22"/>
          <w:szCs w:val="22"/>
        </w:rPr>
        <w:t xml:space="preserve"> y </w:t>
      </w:r>
      <w:r w:rsidRPr="002D44AF">
        <w:rPr>
          <w:rFonts w:ascii="Palatino Linotype" w:eastAsia="Palatino Linotype" w:hAnsi="Palatino Linotype" w:cs="Palatino Linotype"/>
          <w:b/>
          <w:i/>
          <w:sz w:val="22"/>
          <w:szCs w:val="22"/>
        </w:rPr>
        <w:t>de los contratos celebrados</w:t>
      </w:r>
      <w:r w:rsidRPr="002D44AF">
        <w:rPr>
          <w:rFonts w:ascii="Palatino Linotype" w:eastAsia="Palatino Linotype" w:hAnsi="Palatino Linotype" w:cs="Palatino Linotype"/>
          <w:i/>
          <w:sz w:val="22"/>
          <w:szCs w:val="22"/>
        </w:rPr>
        <w:t>, que deberán contener, por los menos, lo siguiente:</w:t>
      </w:r>
    </w:p>
    <w:p w14:paraId="00AA1600"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b/>
          <w:i/>
          <w:sz w:val="22"/>
          <w:szCs w:val="22"/>
        </w:rPr>
      </w:pPr>
      <w:r w:rsidRPr="002D44AF">
        <w:rPr>
          <w:rFonts w:ascii="Palatino Linotype" w:eastAsia="Palatino Linotype" w:hAnsi="Palatino Linotype" w:cs="Palatino Linotype"/>
          <w:b/>
          <w:i/>
          <w:sz w:val="22"/>
          <w:szCs w:val="22"/>
        </w:rPr>
        <w:t>a) De licitaciones públicas o procedimientos de invitación restringida:</w:t>
      </w:r>
    </w:p>
    <w:p w14:paraId="181AB12E"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1)</w:t>
      </w:r>
      <w:r w:rsidRPr="002D44AF">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530BE783"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2)</w:t>
      </w:r>
      <w:r w:rsidRPr="002D44AF">
        <w:rPr>
          <w:rFonts w:ascii="Palatino Linotype" w:eastAsia="Palatino Linotype" w:hAnsi="Palatino Linotype" w:cs="Palatino Linotype"/>
          <w:i/>
          <w:sz w:val="22"/>
          <w:szCs w:val="22"/>
        </w:rPr>
        <w:t xml:space="preserve"> Los nombres de los participantes o invitados;</w:t>
      </w:r>
    </w:p>
    <w:p w14:paraId="0ABD5B9B"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b/>
          <w:i/>
          <w:sz w:val="22"/>
          <w:szCs w:val="22"/>
        </w:rPr>
      </w:pPr>
      <w:r w:rsidRPr="002D44AF">
        <w:rPr>
          <w:rFonts w:ascii="Palatino Linotype" w:eastAsia="Palatino Linotype" w:hAnsi="Palatino Linotype" w:cs="Palatino Linotype"/>
          <w:b/>
          <w:i/>
          <w:sz w:val="22"/>
          <w:szCs w:val="22"/>
        </w:rPr>
        <w:t>3)</w:t>
      </w:r>
      <w:r w:rsidRPr="002D44AF">
        <w:rPr>
          <w:rFonts w:ascii="Palatino Linotype" w:eastAsia="Palatino Linotype" w:hAnsi="Palatino Linotype" w:cs="Palatino Linotype"/>
          <w:i/>
          <w:sz w:val="22"/>
          <w:szCs w:val="22"/>
        </w:rPr>
        <w:t xml:space="preserve"> </w:t>
      </w:r>
      <w:r w:rsidRPr="002D44AF">
        <w:rPr>
          <w:rFonts w:ascii="Palatino Linotype" w:eastAsia="Palatino Linotype" w:hAnsi="Palatino Linotype" w:cs="Palatino Linotype"/>
          <w:b/>
          <w:i/>
          <w:sz w:val="22"/>
          <w:szCs w:val="22"/>
        </w:rPr>
        <w:t>El nombre del ganador y las razones que lo justifican;</w:t>
      </w:r>
    </w:p>
    <w:p w14:paraId="1D6FFE5C"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lastRenderedPageBreak/>
        <w:t>4)</w:t>
      </w:r>
      <w:r w:rsidRPr="002D44AF">
        <w:rPr>
          <w:rFonts w:ascii="Palatino Linotype" w:eastAsia="Palatino Linotype" w:hAnsi="Palatino Linotype" w:cs="Palatino Linotype"/>
          <w:i/>
          <w:sz w:val="22"/>
          <w:szCs w:val="22"/>
        </w:rPr>
        <w:t xml:space="preserve"> El área solicitante y la responsable de su ejecución;</w:t>
      </w:r>
    </w:p>
    <w:p w14:paraId="6C7DD9F9"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5)</w:t>
      </w:r>
      <w:r w:rsidRPr="002D44AF">
        <w:rPr>
          <w:rFonts w:ascii="Palatino Linotype" w:eastAsia="Palatino Linotype" w:hAnsi="Palatino Linotype" w:cs="Palatino Linotype"/>
          <w:i/>
          <w:sz w:val="22"/>
          <w:szCs w:val="22"/>
        </w:rPr>
        <w:t xml:space="preserve"> Las convocatorias e invitaciones emitidas; </w:t>
      </w:r>
    </w:p>
    <w:p w14:paraId="33201B65" w14:textId="77777777" w:rsidR="00F6312C" w:rsidRPr="002D44AF" w:rsidRDefault="00B80A2A">
      <w:pPr>
        <w:tabs>
          <w:tab w:val="left" w:pos="426"/>
        </w:tabs>
        <w:spacing w:before="120" w:after="120"/>
        <w:ind w:left="426" w:right="902" w:firstLine="141"/>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6)</w:t>
      </w:r>
      <w:r w:rsidRPr="002D44AF">
        <w:rPr>
          <w:rFonts w:ascii="Palatino Linotype" w:eastAsia="Palatino Linotype" w:hAnsi="Palatino Linotype" w:cs="Palatino Linotype"/>
          <w:i/>
          <w:sz w:val="22"/>
          <w:szCs w:val="22"/>
        </w:rPr>
        <w:t xml:space="preserve"> Los dictámenes y fallo de adjudicación;</w:t>
      </w:r>
    </w:p>
    <w:p w14:paraId="71C7C7EE" w14:textId="77777777" w:rsidR="00F6312C" w:rsidRPr="002D44AF" w:rsidRDefault="00B80A2A">
      <w:pPr>
        <w:tabs>
          <w:tab w:val="left" w:pos="426"/>
        </w:tabs>
        <w:spacing w:before="120" w:after="120"/>
        <w:ind w:left="426" w:right="902" w:firstLine="141"/>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7) El contrato</w:t>
      </w:r>
      <w:r w:rsidRPr="002D44AF">
        <w:rPr>
          <w:rFonts w:ascii="Palatino Linotype" w:eastAsia="Palatino Linotype" w:hAnsi="Palatino Linotype" w:cs="Palatino Linotype"/>
          <w:i/>
          <w:sz w:val="22"/>
          <w:szCs w:val="22"/>
        </w:rPr>
        <w:t xml:space="preserve"> y, en su caso, sus anexos; </w:t>
      </w:r>
    </w:p>
    <w:p w14:paraId="184DF84A"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8)</w:t>
      </w:r>
      <w:r w:rsidRPr="002D44AF">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023AE80F"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9)</w:t>
      </w:r>
      <w:r w:rsidRPr="002D44AF">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28E52B44"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10)</w:t>
      </w:r>
      <w:r w:rsidRPr="002D44AF">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7AB9A2CC"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11)</w:t>
      </w:r>
      <w:r w:rsidRPr="002D44AF">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3EA76DD0"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12)</w:t>
      </w:r>
      <w:r w:rsidRPr="002D44AF">
        <w:rPr>
          <w:rFonts w:ascii="Palatino Linotype" w:eastAsia="Palatino Linotype" w:hAnsi="Palatino Linotype" w:cs="Palatino Linotype"/>
          <w:i/>
          <w:sz w:val="22"/>
          <w:szCs w:val="22"/>
        </w:rPr>
        <w:t xml:space="preserve"> Los informes de avance físico y financiero sobre las obras o servicios contratados; </w:t>
      </w:r>
    </w:p>
    <w:p w14:paraId="382C8839"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13)</w:t>
      </w:r>
      <w:r w:rsidRPr="002D44AF">
        <w:rPr>
          <w:rFonts w:ascii="Palatino Linotype" w:eastAsia="Palatino Linotype" w:hAnsi="Palatino Linotype" w:cs="Palatino Linotype"/>
          <w:i/>
          <w:sz w:val="22"/>
          <w:szCs w:val="22"/>
        </w:rPr>
        <w:t xml:space="preserve"> El convenio de terminación; </w:t>
      </w:r>
    </w:p>
    <w:p w14:paraId="1F72CD5F"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14)</w:t>
      </w:r>
      <w:r w:rsidRPr="002D44AF">
        <w:rPr>
          <w:rFonts w:ascii="Palatino Linotype" w:eastAsia="Palatino Linotype" w:hAnsi="Palatino Linotype" w:cs="Palatino Linotype"/>
          <w:i/>
          <w:sz w:val="22"/>
          <w:szCs w:val="22"/>
        </w:rPr>
        <w:t xml:space="preserve"> El finiquito.</w:t>
      </w:r>
    </w:p>
    <w:p w14:paraId="123D871D"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b/>
          <w:i/>
          <w:sz w:val="22"/>
          <w:szCs w:val="22"/>
        </w:rPr>
      </w:pPr>
      <w:r w:rsidRPr="002D44AF">
        <w:rPr>
          <w:rFonts w:ascii="Palatino Linotype" w:eastAsia="Palatino Linotype" w:hAnsi="Palatino Linotype" w:cs="Palatino Linotype"/>
          <w:b/>
          <w:i/>
          <w:sz w:val="22"/>
          <w:szCs w:val="22"/>
        </w:rPr>
        <w:t xml:space="preserve">b) De las adjudicaciones directas: </w:t>
      </w:r>
    </w:p>
    <w:p w14:paraId="5D750F97"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1)</w:t>
      </w:r>
      <w:r w:rsidRPr="002D44AF">
        <w:rPr>
          <w:rFonts w:ascii="Palatino Linotype" w:eastAsia="Palatino Linotype" w:hAnsi="Palatino Linotype" w:cs="Palatino Linotype"/>
          <w:i/>
          <w:sz w:val="22"/>
          <w:szCs w:val="22"/>
        </w:rPr>
        <w:t xml:space="preserve"> La propuesta enviada por el participante; </w:t>
      </w:r>
    </w:p>
    <w:p w14:paraId="6EE40C90"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2)</w:t>
      </w:r>
      <w:r w:rsidRPr="002D44AF">
        <w:rPr>
          <w:rFonts w:ascii="Palatino Linotype" w:eastAsia="Palatino Linotype" w:hAnsi="Palatino Linotype" w:cs="Palatino Linotype"/>
          <w:i/>
          <w:sz w:val="22"/>
          <w:szCs w:val="22"/>
        </w:rPr>
        <w:t xml:space="preserve"> Los motivos y fundamentos legales aplicados para llevarla a cabo;</w:t>
      </w:r>
    </w:p>
    <w:p w14:paraId="3DC2E20E"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3)</w:t>
      </w:r>
      <w:r w:rsidRPr="002D44AF">
        <w:rPr>
          <w:rFonts w:ascii="Palatino Linotype" w:eastAsia="Palatino Linotype" w:hAnsi="Palatino Linotype" w:cs="Palatino Linotype"/>
          <w:i/>
          <w:sz w:val="22"/>
          <w:szCs w:val="22"/>
        </w:rPr>
        <w:t xml:space="preserve"> La autorización del ejercicio de la opción; </w:t>
      </w:r>
    </w:p>
    <w:p w14:paraId="786702BB"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b/>
          <w:i/>
          <w:sz w:val="22"/>
          <w:szCs w:val="22"/>
        </w:rPr>
      </w:pPr>
      <w:r w:rsidRPr="002D44AF">
        <w:rPr>
          <w:rFonts w:ascii="Palatino Linotype" w:eastAsia="Palatino Linotype" w:hAnsi="Palatino Linotype" w:cs="Palatino Linotype"/>
          <w:b/>
          <w:i/>
          <w:sz w:val="22"/>
          <w:szCs w:val="22"/>
        </w:rPr>
        <w:t xml:space="preserve">4) </w:t>
      </w:r>
      <w:r w:rsidRPr="002D44AF">
        <w:rPr>
          <w:rFonts w:ascii="Palatino Linotype" w:eastAsia="Palatino Linotype" w:hAnsi="Palatino Linotype" w:cs="Palatino Linotype"/>
          <w:i/>
          <w:sz w:val="22"/>
          <w:szCs w:val="22"/>
        </w:rPr>
        <w:t>En su caso, las cotizaciones consideradas, especificando los nombres de los proveedores y sus montos;</w:t>
      </w:r>
      <w:r w:rsidRPr="002D44AF">
        <w:rPr>
          <w:rFonts w:ascii="Palatino Linotype" w:eastAsia="Palatino Linotype" w:hAnsi="Palatino Linotype" w:cs="Palatino Linotype"/>
          <w:b/>
          <w:i/>
          <w:sz w:val="22"/>
          <w:szCs w:val="22"/>
        </w:rPr>
        <w:t xml:space="preserve"> </w:t>
      </w:r>
    </w:p>
    <w:p w14:paraId="22E0C35C"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b/>
          <w:i/>
          <w:sz w:val="22"/>
          <w:szCs w:val="22"/>
        </w:rPr>
      </w:pPr>
      <w:r w:rsidRPr="002D44AF">
        <w:rPr>
          <w:rFonts w:ascii="Palatino Linotype" w:eastAsia="Palatino Linotype" w:hAnsi="Palatino Linotype" w:cs="Palatino Linotype"/>
          <w:b/>
          <w:i/>
          <w:sz w:val="22"/>
          <w:szCs w:val="22"/>
        </w:rPr>
        <w:t>5)</w:t>
      </w:r>
      <w:r w:rsidRPr="002D44AF">
        <w:rPr>
          <w:rFonts w:ascii="Palatino Linotype" w:eastAsia="Palatino Linotype" w:hAnsi="Palatino Linotype" w:cs="Palatino Linotype"/>
          <w:i/>
          <w:sz w:val="22"/>
          <w:szCs w:val="22"/>
        </w:rPr>
        <w:t xml:space="preserve"> </w:t>
      </w:r>
      <w:r w:rsidRPr="002D44AF">
        <w:rPr>
          <w:rFonts w:ascii="Palatino Linotype" w:eastAsia="Palatino Linotype" w:hAnsi="Palatino Linotype" w:cs="Palatino Linotype"/>
          <w:b/>
          <w:i/>
          <w:sz w:val="22"/>
          <w:szCs w:val="22"/>
        </w:rPr>
        <w:t xml:space="preserve">El nombre de la persona física o jurídica colectiva adjudicada; </w:t>
      </w:r>
    </w:p>
    <w:p w14:paraId="23B36AFA"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6)</w:t>
      </w:r>
      <w:r w:rsidRPr="002D44AF">
        <w:rPr>
          <w:rFonts w:ascii="Palatino Linotype" w:eastAsia="Palatino Linotype" w:hAnsi="Palatino Linotype" w:cs="Palatino Linotype"/>
          <w:i/>
          <w:sz w:val="22"/>
          <w:szCs w:val="22"/>
        </w:rPr>
        <w:t xml:space="preserve"> La unidad administrativa solicitante y la responsable de su ejecución; </w:t>
      </w:r>
    </w:p>
    <w:p w14:paraId="351BC865"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7) El número, fecha, el monto del contrato</w:t>
      </w:r>
      <w:r w:rsidRPr="002D44AF">
        <w:rPr>
          <w:rFonts w:ascii="Palatino Linotype" w:eastAsia="Palatino Linotype" w:hAnsi="Palatino Linotype" w:cs="Palatino Linotype"/>
          <w:i/>
          <w:sz w:val="22"/>
          <w:szCs w:val="22"/>
        </w:rPr>
        <w:t xml:space="preserve"> y el plazo de entrega o de ejecución de los servicios u obra; </w:t>
      </w:r>
    </w:p>
    <w:p w14:paraId="05E3A0CA"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8)</w:t>
      </w:r>
      <w:r w:rsidRPr="002D44AF">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089C0D8C"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9)</w:t>
      </w:r>
      <w:r w:rsidRPr="002D44AF">
        <w:rPr>
          <w:rFonts w:ascii="Palatino Linotype" w:eastAsia="Palatino Linotype" w:hAnsi="Palatino Linotype" w:cs="Palatino Linotype"/>
          <w:i/>
          <w:sz w:val="22"/>
          <w:szCs w:val="22"/>
        </w:rPr>
        <w:t xml:space="preserve"> Los informes de avance sobre las obras o servicios contratados; </w:t>
      </w:r>
    </w:p>
    <w:p w14:paraId="65C0751F"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10)</w:t>
      </w:r>
      <w:r w:rsidRPr="002D44AF">
        <w:rPr>
          <w:rFonts w:ascii="Palatino Linotype" w:eastAsia="Palatino Linotype" w:hAnsi="Palatino Linotype" w:cs="Palatino Linotype"/>
          <w:i/>
          <w:sz w:val="22"/>
          <w:szCs w:val="22"/>
        </w:rPr>
        <w:t xml:space="preserve"> El convenio de terminación; y </w:t>
      </w:r>
    </w:p>
    <w:p w14:paraId="235A081F" w14:textId="77777777" w:rsidR="00F6312C" w:rsidRPr="002D44AF" w:rsidRDefault="00B80A2A">
      <w:pPr>
        <w:tabs>
          <w:tab w:val="left" w:pos="426"/>
        </w:tabs>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11)</w:t>
      </w:r>
      <w:r w:rsidRPr="002D44AF">
        <w:rPr>
          <w:rFonts w:ascii="Palatino Linotype" w:eastAsia="Palatino Linotype" w:hAnsi="Palatino Linotype" w:cs="Palatino Linotype"/>
          <w:i/>
          <w:sz w:val="22"/>
          <w:szCs w:val="22"/>
        </w:rPr>
        <w:t xml:space="preserve"> El finiquito;”</w:t>
      </w:r>
    </w:p>
    <w:p w14:paraId="4FF64947" w14:textId="77777777" w:rsidR="00F6312C" w:rsidRPr="002D44AF" w:rsidRDefault="00B80A2A">
      <w:pPr>
        <w:spacing w:line="360" w:lineRule="auto"/>
        <w:ind w:right="49"/>
        <w:jc w:val="both"/>
        <w:rPr>
          <w:rFonts w:ascii="Palatino Linotype" w:eastAsia="Palatino Linotype" w:hAnsi="Palatino Linotype" w:cs="Palatino Linotype"/>
        </w:rPr>
      </w:pPr>
      <w:r w:rsidRPr="002D44AF">
        <w:rPr>
          <w:rFonts w:ascii="Palatino Linotype" w:eastAsia="Palatino Linotype" w:hAnsi="Palatino Linotype" w:cs="Palatino Linotype"/>
        </w:rPr>
        <w:lastRenderedPageBreak/>
        <w:t xml:space="preserve">De lo anteriormente expuesto se arriban a las siguientes conclusiones: </w:t>
      </w:r>
    </w:p>
    <w:p w14:paraId="36661597" w14:textId="77777777" w:rsidR="00F6312C" w:rsidRPr="002D44AF" w:rsidRDefault="00F6312C">
      <w:pPr>
        <w:spacing w:line="360" w:lineRule="auto"/>
        <w:ind w:right="49"/>
        <w:jc w:val="both"/>
        <w:rPr>
          <w:rFonts w:ascii="Palatino Linotype" w:eastAsia="Palatino Linotype" w:hAnsi="Palatino Linotype" w:cs="Palatino Linotype"/>
          <w:sz w:val="22"/>
          <w:szCs w:val="22"/>
        </w:rPr>
      </w:pPr>
    </w:p>
    <w:p w14:paraId="055711CF" w14:textId="77777777" w:rsidR="00F6312C" w:rsidRPr="002D44AF" w:rsidRDefault="00B80A2A">
      <w:pPr>
        <w:numPr>
          <w:ilvl w:val="0"/>
          <w:numId w:val="1"/>
        </w:numPr>
        <w:spacing w:line="360" w:lineRule="auto"/>
        <w:ind w:right="851"/>
        <w:jc w:val="both"/>
        <w:rPr>
          <w:rFonts w:ascii="Palatino Linotype" w:eastAsia="Palatino Linotype" w:hAnsi="Palatino Linotype" w:cs="Palatino Linotype"/>
          <w:sz w:val="22"/>
          <w:szCs w:val="22"/>
        </w:rPr>
      </w:pPr>
      <w:r w:rsidRPr="002D44AF">
        <w:rPr>
          <w:rFonts w:ascii="Palatino Linotype" w:eastAsia="Palatino Linotype" w:hAnsi="Palatino Linotype" w:cs="Palatino Linotype"/>
          <w:sz w:val="22"/>
          <w:szCs w:val="22"/>
        </w:rPr>
        <w:t xml:space="preserve">Los Ayuntamientos pueden llevar a cabo licitaciones públicas por conducto de la Dirección de Administración para la adquisición de bienes y servicios. </w:t>
      </w:r>
    </w:p>
    <w:p w14:paraId="7852DE67" w14:textId="77777777" w:rsidR="00F6312C" w:rsidRPr="002D44AF" w:rsidRDefault="00B80A2A">
      <w:pPr>
        <w:numPr>
          <w:ilvl w:val="0"/>
          <w:numId w:val="1"/>
        </w:numPr>
        <w:spacing w:line="360" w:lineRule="auto"/>
        <w:ind w:right="851"/>
        <w:jc w:val="both"/>
        <w:rPr>
          <w:rFonts w:ascii="Palatino Linotype" w:eastAsia="Palatino Linotype" w:hAnsi="Palatino Linotype" w:cs="Palatino Linotype"/>
          <w:b/>
          <w:sz w:val="22"/>
          <w:szCs w:val="22"/>
        </w:rPr>
      </w:pPr>
      <w:r w:rsidRPr="002D44AF">
        <w:rPr>
          <w:rFonts w:ascii="Palatino Linotype" w:eastAsia="Palatino Linotype" w:hAnsi="Palatino Linotype" w:cs="Palatino Linotype"/>
          <w:sz w:val="22"/>
          <w:szCs w:val="22"/>
        </w:rPr>
        <w:t xml:space="preserve">Dentro de los requisitos para la licitación se prevé la suscripción de </w:t>
      </w:r>
      <w:r w:rsidRPr="002D44AF">
        <w:rPr>
          <w:rFonts w:ascii="Palatino Linotype" w:eastAsia="Palatino Linotype" w:hAnsi="Palatino Linotype" w:cs="Palatino Linotype"/>
          <w:b/>
          <w:sz w:val="22"/>
          <w:szCs w:val="22"/>
        </w:rPr>
        <w:t>un contrato en el que se establezcan como elementos mínimos: el objeto, fecha de suministro de los servicios o bienes, datos del procedimiento que dio origen al contrato, importe, etc.</w:t>
      </w:r>
    </w:p>
    <w:p w14:paraId="1E2B1C11" w14:textId="77777777" w:rsidR="00F6312C" w:rsidRPr="002D44AF" w:rsidRDefault="00B80A2A">
      <w:pPr>
        <w:numPr>
          <w:ilvl w:val="0"/>
          <w:numId w:val="1"/>
        </w:numPr>
        <w:spacing w:after="160" w:line="360" w:lineRule="auto"/>
        <w:ind w:right="851"/>
        <w:jc w:val="both"/>
        <w:rPr>
          <w:rFonts w:ascii="Palatino Linotype" w:eastAsia="Palatino Linotype" w:hAnsi="Palatino Linotype" w:cs="Palatino Linotype"/>
          <w:sz w:val="22"/>
          <w:szCs w:val="22"/>
        </w:rPr>
      </w:pPr>
      <w:r w:rsidRPr="002D44AF">
        <w:rPr>
          <w:rFonts w:ascii="Palatino Linotype" w:eastAsia="Palatino Linotype" w:hAnsi="Palatino Linotype" w:cs="Palatino Linotype"/>
          <w:sz w:val="22"/>
          <w:szCs w:val="22"/>
        </w:rPr>
        <w:t>Constituye una obligación de transparencia el poner a disposición del público toda la información referente a las licitaciones públicas, e</w:t>
      </w:r>
      <w:r w:rsidRPr="002D44AF">
        <w:rPr>
          <w:rFonts w:ascii="Palatino Linotype" w:eastAsia="Palatino Linotype" w:hAnsi="Palatino Linotype" w:cs="Palatino Linotype"/>
          <w:b/>
          <w:sz w:val="22"/>
          <w:szCs w:val="22"/>
        </w:rPr>
        <w:t>ntre estos documentos destacan los contratos.</w:t>
      </w:r>
    </w:p>
    <w:p w14:paraId="76E07B62"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 xml:space="preserve">En otro orden de ideas, por cuanto hace a las </w:t>
      </w:r>
      <w:r w:rsidRPr="002D44AF">
        <w:rPr>
          <w:rFonts w:ascii="Palatino Linotype" w:eastAsia="Palatino Linotype" w:hAnsi="Palatino Linotype" w:cs="Palatino Linotype"/>
          <w:b/>
        </w:rPr>
        <w:t>facturas</w:t>
      </w:r>
      <w:r w:rsidRPr="002D44AF">
        <w:rPr>
          <w:rFonts w:ascii="Palatino Linotype" w:eastAsia="Palatino Linotype" w:hAnsi="Palatino Linotype" w:cs="Palatino Linotype"/>
        </w:rPr>
        <w:t xml:space="preserve">, es necesario traer a colación lo que establece el Glosario de Términos Hacendarios que emite el Instituto Hacendario del Estado de México, el cual define como </w:t>
      </w:r>
      <w:r w:rsidRPr="002D44AF">
        <w:rPr>
          <w:rFonts w:ascii="Palatino Linotype" w:eastAsia="Palatino Linotype" w:hAnsi="Palatino Linotype" w:cs="Palatino Linotype"/>
          <w:i/>
        </w:rPr>
        <w:t>“factura” al</w:t>
      </w:r>
      <w:r w:rsidRPr="002D44AF">
        <w:rPr>
          <w:rFonts w:ascii="Palatino Linotype" w:eastAsia="Palatino Linotype" w:hAnsi="Palatino Linotype" w:cs="Palatino Linotype"/>
          <w:b/>
          <w:i/>
        </w:rPr>
        <w:t xml:space="preserve"> documento fiscal que emite la persona física o moral para comprobar la venta o adquisición de un bien y/o servicio.</w:t>
      </w:r>
    </w:p>
    <w:p w14:paraId="1CEA5C2F"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 xml:space="preserve">En ese sentido, es de señalar que cuando </w:t>
      </w:r>
      <w:r w:rsidRPr="002D44AF">
        <w:rPr>
          <w:rFonts w:ascii="Palatino Linotype" w:eastAsia="Palatino Linotype" w:hAnsi="Palatino Linotype" w:cs="Palatino Linotype"/>
          <w:b/>
        </w:rPr>
        <w:t>las facturas amparan las erogaciones que se realizan con erario público tienen naturaleza públic</w:t>
      </w:r>
      <w:r w:rsidRPr="002D44AF">
        <w:rPr>
          <w:rFonts w:ascii="Palatino Linotype" w:eastAsia="Palatino Linotype" w:hAnsi="Palatino Linotype" w:cs="Palatino Linotype"/>
        </w:rPr>
        <w:t>a, pues constituyen un medio idóneo de evidencia del gasto realizado con recursos públicos. </w:t>
      </w:r>
    </w:p>
    <w:p w14:paraId="65DF3B08"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3FE89871"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i/>
          <w:sz w:val="22"/>
          <w:szCs w:val="22"/>
        </w:rPr>
        <w:lastRenderedPageBreak/>
        <w:t>“</w:t>
      </w:r>
      <w:r w:rsidRPr="002D44AF">
        <w:rPr>
          <w:rFonts w:ascii="Palatino Linotype" w:eastAsia="Palatino Linotype" w:hAnsi="Palatino Linotype" w:cs="Palatino Linotype"/>
          <w:b/>
          <w:i/>
          <w:sz w:val="22"/>
          <w:szCs w:val="22"/>
        </w:rPr>
        <w:t>Artículo 342.</w:t>
      </w:r>
      <w:proofErr w:type="gramStart"/>
      <w:r w:rsidRPr="002D44AF">
        <w:rPr>
          <w:rFonts w:ascii="Palatino Linotype" w:eastAsia="Palatino Linotype" w:hAnsi="Palatino Linotype" w:cs="Palatino Linotype"/>
          <w:b/>
          <w:i/>
          <w:sz w:val="22"/>
          <w:szCs w:val="22"/>
        </w:rPr>
        <w:t>-</w:t>
      </w:r>
      <w:r w:rsidRPr="002D44AF">
        <w:rPr>
          <w:rFonts w:ascii="Palatino Linotype" w:eastAsia="Palatino Linotype" w:hAnsi="Palatino Linotype" w:cs="Palatino Linotype"/>
          <w:i/>
          <w:sz w:val="22"/>
          <w:szCs w:val="22"/>
        </w:rPr>
        <w:t>  El</w:t>
      </w:r>
      <w:proofErr w:type="gramEnd"/>
      <w:r w:rsidRPr="002D44AF">
        <w:rPr>
          <w:rFonts w:ascii="Palatino Linotype" w:eastAsia="Palatino Linotype" w:hAnsi="Palatino Linotype" w:cs="Palatino Linotype"/>
          <w:i/>
          <w:sz w:val="22"/>
          <w:szCs w:val="22"/>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592D0E87"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i/>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309324F7"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b/>
          <w:i/>
          <w:sz w:val="22"/>
          <w:szCs w:val="22"/>
        </w:rPr>
        <w:t>Artículo 343.-</w:t>
      </w:r>
      <w:r w:rsidRPr="002D44AF">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17FDDBFE"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00ED64F6"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2D44AF">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2D44AF">
        <w:rPr>
          <w:rFonts w:ascii="Palatino Linotype" w:eastAsia="Palatino Linotype" w:hAnsi="Palatino Linotype" w:cs="Palatino Linotype"/>
          <w:b/>
          <w:i/>
          <w:sz w:val="22"/>
          <w:szCs w:val="22"/>
        </w:rPr>
        <w:t>.</w:t>
      </w:r>
    </w:p>
    <w:p w14:paraId="2E46E1FF"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2D44AF">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2D44AF">
        <w:rPr>
          <w:rFonts w:ascii="Palatino Linotype" w:eastAsia="Palatino Linotype" w:hAnsi="Palatino Linotype" w:cs="Palatino Linotype"/>
          <w:b/>
          <w:i/>
          <w:sz w:val="22"/>
          <w:szCs w:val="22"/>
        </w:rPr>
        <w:t xml:space="preserve"> en el caso de los Municipios, dicha obligación corresponderá a la Tesorería.</w:t>
      </w:r>
    </w:p>
    <w:p w14:paraId="7058C90E"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i/>
          <w:sz w:val="22"/>
          <w:szCs w:val="22"/>
        </w:rPr>
        <w:t>Tratándose de documentos de carácter histórico, se estará a lo dispuesto por la legislación de la materia.</w:t>
      </w:r>
    </w:p>
    <w:p w14:paraId="19260620"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i/>
          <w:sz w:val="22"/>
          <w:szCs w:val="22"/>
        </w:rPr>
        <w:t>…</w:t>
      </w:r>
    </w:p>
    <w:p w14:paraId="62C5C85F"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b/>
          <w:i/>
          <w:sz w:val="22"/>
          <w:szCs w:val="22"/>
        </w:rPr>
        <w:lastRenderedPageBreak/>
        <w:t>Artículo 345.-</w:t>
      </w:r>
      <w:r w:rsidRPr="002D44AF">
        <w:rPr>
          <w:rFonts w:ascii="Palatino Linotype" w:eastAsia="Palatino Linotype" w:hAnsi="Palatino Linotype" w:cs="Palatino Linotype"/>
          <w:i/>
          <w:sz w:val="22"/>
          <w:szCs w:val="22"/>
        </w:rPr>
        <w:t xml:space="preserve"> </w:t>
      </w:r>
      <w:r w:rsidRPr="002D44AF">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2D44AF">
        <w:rPr>
          <w:rFonts w:ascii="Palatino Linotype" w:eastAsia="Palatino Linotype" w:hAnsi="Palatino Linotype" w:cs="Palatino Linotype"/>
          <w:i/>
          <w:sz w:val="22"/>
          <w:szCs w:val="22"/>
        </w:rPr>
        <w:t>registro contable.</w:t>
      </w:r>
    </w:p>
    <w:p w14:paraId="58A4E10B"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485A387D"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2D44AF">
        <w:rPr>
          <w:rFonts w:ascii="Palatino Linotype" w:eastAsia="Palatino Linotype" w:hAnsi="Palatino Linotype" w:cs="Palatino Linotype"/>
          <w:b/>
          <w:i/>
          <w:sz w:val="22"/>
          <w:szCs w:val="22"/>
        </w:rPr>
        <w:t xml:space="preserve"> </w:t>
      </w:r>
      <w:r w:rsidRPr="002D44AF">
        <w:rPr>
          <w:rFonts w:ascii="Palatino Linotype" w:eastAsia="Palatino Linotype" w:hAnsi="Palatino Linotype" w:cs="Palatino Linotype"/>
          <w:i/>
          <w:sz w:val="22"/>
          <w:szCs w:val="22"/>
        </w:rPr>
        <w:t>“(Énfasis añadido)</w:t>
      </w:r>
    </w:p>
    <w:p w14:paraId="4835F6EA" w14:textId="77777777" w:rsidR="00F6312C" w:rsidRPr="002D44AF" w:rsidRDefault="00B80A2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594E513D"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w:t>
      </w:r>
      <w:r w:rsidRPr="002D44AF">
        <w:rPr>
          <w:rFonts w:ascii="Palatino Linotype" w:eastAsia="Palatino Linotype" w:hAnsi="Palatino Linotype" w:cs="Palatino Linotype"/>
        </w:rPr>
        <w:lastRenderedPageBreak/>
        <w:t>Contable y Presupuestal de la Comisión Permanente de Funcionarios Fiscales del Instituto para el Desarrollo Técnico de las Haciendas Públicas (INDETEC) señalan las siguientes definiciones de las palabras registro contable y registro presupuestario: </w:t>
      </w:r>
    </w:p>
    <w:p w14:paraId="2C8F7005"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b/>
          <w:i/>
          <w:sz w:val="22"/>
          <w:szCs w:val="22"/>
        </w:rPr>
        <w:t>“REGISTRO CONTABLE </w:t>
      </w:r>
    </w:p>
    <w:p w14:paraId="15C94803"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i/>
          <w:sz w:val="22"/>
          <w:szCs w:val="22"/>
        </w:rPr>
        <w:t>Asiento que se realiza en los libros de contabilidad de las actividades relacionadas con el ingreso y egresos de un ente económico.” </w:t>
      </w:r>
    </w:p>
    <w:p w14:paraId="65DC468C"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b/>
          <w:i/>
          <w:sz w:val="22"/>
          <w:szCs w:val="22"/>
        </w:rPr>
        <w:t>“REGISTRO PRESUPUESTARIO</w:t>
      </w:r>
    </w:p>
    <w:p w14:paraId="4E8B502F" w14:textId="77777777" w:rsidR="00F6312C" w:rsidRPr="002D44AF" w:rsidRDefault="00B80A2A">
      <w:pPr>
        <w:pBdr>
          <w:top w:val="nil"/>
          <w:left w:val="nil"/>
          <w:bottom w:val="nil"/>
          <w:right w:val="nil"/>
          <w:between w:val="nil"/>
        </w:pBdr>
        <w:spacing w:before="240" w:after="240"/>
        <w:ind w:left="567" w:right="900"/>
        <w:jc w:val="both"/>
      </w:pPr>
      <w:r w:rsidRPr="002D44AF">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w:t>
      </w:r>
    </w:p>
    <w:p w14:paraId="5190076B" w14:textId="77777777" w:rsidR="00F6312C" w:rsidRPr="002D44AF" w:rsidRDefault="00B80A2A">
      <w:pPr>
        <w:pBdr>
          <w:top w:val="nil"/>
          <w:left w:val="nil"/>
          <w:bottom w:val="nil"/>
          <w:right w:val="nil"/>
          <w:between w:val="nil"/>
        </w:pBdr>
        <w:spacing w:before="240" w:after="240" w:line="360" w:lineRule="auto"/>
        <w:jc w:val="both"/>
      </w:pPr>
      <w:r w:rsidRPr="002D44AF">
        <w:rPr>
          <w:rFonts w:ascii="Palatino Linotype" w:eastAsia="Palatino Linotype" w:hAnsi="Palatino Linotype" w:cs="Palatino Linotype"/>
        </w:rPr>
        <w:t>Es así que, al constituir información que es susceptible de transparentar, procede la entrega de los documentos donde conste el monto gastado para la realización del evento de fiestas patrias 2023.</w:t>
      </w:r>
    </w:p>
    <w:p w14:paraId="1D7986BD" w14:textId="77777777" w:rsidR="00F6312C" w:rsidRPr="002D44AF" w:rsidRDefault="00B80A2A">
      <w:pPr>
        <w:spacing w:line="360" w:lineRule="auto"/>
        <w:ind w:right="851"/>
        <w:jc w:val="both"/>
        <w:rPr>
          <w:rFonts w:ascii="Palatino Linotype" w:eastAsia="Palatino Linotype" w:hAnsi="Palatino Linotype" w:cs="Palatino Linotype"/>
          <w:b/>
        </w:rPr>
      </w:pPr>
      <w:r w:rsidRPr="002D44AF">
        <w:rPr>
          <w:rFonts w:ascii="Palatino Linotype" w:eastAsia="Palatino Linotype" w:hAnsi="Palatino Linotype" w:cs="Palatino Linotype"/>
          <w:b/>
        </w:rPr>
        <w:t>2. Del monto aprobado por cabildo.</w:t>
      </w:r>
    </w:p>
    <w:p w14:paraId="5A32C598" w14:textId="77777777" w:rsidR="00F6312C" w:rsidRPr="002D44AF" w:rsidRDefault="00F6312C">
      <w:pPr>
        <w:spacing w:line="360" w:lineRule="auto"/>
        <w:jc w:val="both"/>
        <w:rPr>
          <w:rFonts w:ascii="Palatino Linotype" w:eastAsia="Palatino Linotype" w:hAnsi="Palatino Linotype" w:cs="Palatino Linotype"/>
        </w:rPr>
      </w:pPr>
    </w:p>
    <w:p w14:paraId="68D33640" w14:textId="77777777" w:rsidR="00F6312C" w:rsidRPr="002D44AF" w:rsidRDefault="00B80A2A">
      <w:pPr>
        <w:spacing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Del análisis a este punto, se tiene que no existió un pronunciamiento puntual, por lo tanto, se contraviene a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09D533E2" w14:textId="77777777" w:rsidR="00F6312C" w:rsidRPr="002D44AF" w:rsidRDefault="00B80A2A">
      <w:pPr>
        <w:spacing w:before="80" w:after="240"/>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 xml:space="preserve">“Congruencia y exhaustividad. Sus alcances para garantizar el derecho de acceso a la información. </w:t>
      </w:r>
      <w:r w:rsidRPr="002D44AF">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w:t>
      </w:r>
      <w:r w:rsidRPr="002D44AF">
        <w:rPr>
          <w:rFonts w:ascii="Palatino Linotype" w:eastAsia="Palatino Linotype" w:hAnsi="Palatino Linotype" w:cs="Palatino Linotype"/>
          <w:i/>
          <w:sz w:val="22"/>
          <w:szCs w:val="22"/>
        </w:rPr>
        <w:lastRenderedPageBreak/>
        <w:t xml:space="preserve">Para el efectivo ejercicio del derecho de acceso a la información, </w:t>
      </w:r>
      <w:r w:rsidRPr="002D44AF">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2D44AF">
        <w:rPr>
          <w:rFonts w:ascii="Palatino Linotype" w:eastAsia="Palatino Linotype" w:hAnsi="Palatino Linotype" w:cs="Palatino Linotype"/>
          <w:i/>
          <w:sz w:val="22"/>
          <w:szCs w:val="22"/>
        </w:rPr>
        <w:t xml:space="preserve">; mientras que </w:t>
      </w:r>
      <w:r w:rsidRPr="002D44AF">
        <w:rPr>
          <w:rFonts w:ascii="Palatino Linotype" w:eastAsia="Palatino Linotype" w:hAnsi="Palatino Linotype" w:cs="Palatino Linotype"/>
          <w:b/>
          <w:i/>
          <w:sz w:val="22"/>
          <w:szCs w:val="22"/>
        </w:rPr>
        <w:t>la exhaustividad significa que dicha respuesta se refiera expresamente a cada uno de los puntos solicitados</w:t>
      </w:r>
      <w:r w:rsidRPr="002D44AF">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53341787" w14:textId="77777777" w:rsidR="00F6312C" w:rsidRPr="002D44AF" w:rsidRDefault="00B80A2A">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2D44AF">
        <w:rPr>
          <w:rFonts w:ascii="Palatino Linotype" w:eastAsia="Palatino Linotype" w:hAnsi="Palatino Linotype" w:cs="Palatino Linotype"/>
        </w:rPr>
        <w:t>Derivado de lo anterior, se insiste que el requerimiento de información no fue turnado a las diferentes unidades  administrativas que pudieran contar con lo solicitado, no se atendió el requerimiento de la persona solicitante, así resulta necesario tomar en cuenta el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10777940" w14:textId="77777777" w:rsidR="00F6312C" w:rsidRPr="002D44AF" w:rsidRDefault="00B80A2A">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1. Las Unidades de Transparencia garantizarán que las solicitudes de acceso a </w:t>
      </w:r>
      <w:proofErr w:type="gramStart"/>
      <w:r w:rsidRPr="002D44AF">
        <w:rPr>
          <w:rFonts w:ascii="Palatino Linotype" w:eastAsia="Palatino Linotype" w:hAnsi="Palatino Linotype" w:cs="Palatino Linotype"/>
        </w:rPr>
        <w:t>la  información</w:t>
      </w:r>
      <w:proofErr w:type="gramEnd"/>
      <w:r w:rsidRPr="002D44AF">
        <w:rPr>
          <w:rFonts w:ascii="Palatino Linotype" w:eastAsia="Palatino Linotype" w:hAnsi="Palatino Linotype" w:cs="Palatino Linotype"/>
        </w:rPr>
        <w:t xml:space="preserve"> se turnen a todas las áreas competentes que cuenten con la información o  deban tenerla -de acuerdo a las facultades, competencias y funciones-, con el objeto de  que dichas áreas realicen una búsqueda exhaustiva y razonable de la información  requerida, y</w:t>
      </w:r>
    </w:p>
    <w:p w14:paraId="5273529B" w14:textId="77777777" w:rsidR="00F6312C" w:rsidRPr="002D44AF" w:rsidRDefault="00B80A2A">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2. Los sujetos obligados otorgaran acceso a los documentos que se encuentren en sus archivos o que estén obligados a documentar de acuerdo con sus </w:t>
      </w:r>
      <w:proofErr w:type="gramStart"/>
      <w:r w:rsidRPr="002D44AF">
        <w:rPr>
          <w:rFonts w:ascii="Palatino Linotype" w:eastAsia="Palatino Linotype" w:hAnsi="Palatino Linotype" w:cs="Palatino Linotype"/>
        </w:rPr>
        <w:t>facultades,  competencias</w:t>
      </w:r>
      <w:proofErr w:type="gramEnd"/>
      <w:r w:rsidRPr="002D44AF">
        <w:rPr>
          <w:rFonts w:ascii="Palatino Linotype" w:eastAsia="Palatino Linotype" w:hAnsi="Palatino Linotype" w:cs="Palatino Linotype"/>
        </w:rPr>
        <w:t xml:space="preserve"> o funciones, en el formato en que el solicitante manifieste, de entre  aquellos formatos existentes.</w:t>
      </w:r>
    </w:p>
    <w:p w14:paraId="2D34F3A7" w14:textId="77777777" w:rsidR="00F6312C" w:rsidRPr="002D44AF" w:rsidRDefault="00B80A2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En mérito de lo anteriormente señalado, se tiene que deberá efectuarse una búsqueda exhaustiva y razonable en las áreas competentes de la administración </w:t>
      </w:r>
      <w:r w:rsidRPr="002D44AF">
        <w:rPr>
          <w:rFonts w:ascii="Palatino Linotype" w:eastAsia="Palatino Linotype" w:hAnsi="Palatino Linotype" w:cs="Palatino Linotype"/>
        </w:rPr>
        <w:lastRenderedPageBreak/>
        <w:t>pública municipal, en este caso, la Secretaría del Ayuntamiento, en virtud de que cuenta con las siguientes atribuciones de conformidad con lo previsto en la Ley Orgánica Municipal:</w:t>
      </w:r>
    </w:p>
    <w:p w14:paraId="6374245C" w14:textId="77777777" w:rsidR="00F6312C" w:rsidRPr="002D44AF" w:rsidRDefault="00B80A2A">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2D44AF">
        <w:rPr>
          <w:rFonts w:ascii="Palatino Linotype" w:eastAsia="Palatino Linotype" w:hAnsi="Palatino Linotype" w:cs="Palatino Linotype"/>
          <w:i/>
          <w:sz w:val="22"/>
          <w:szCs w:val="22"/>
        </w:rPr>
        <w:t xml:space="preserve">“Artículo 91.- </w:t>
      </w:r>
      <w:r w:rsidRPr="002D44AF">
        <w:rPr>
          <w:rFonts w:ascii="Palatino Linotype" w:eastAsia="Palatino Linotype" w:hAnsi="Palatino Linotype" w:cs="Palatino Linotype"/>
          <w:b/>
          <w:i/>
          <w:sz w:val="22"/>
          <w:szCs w:val="22"/>
        </w:rPr>
        <w:t xml:space="preserve">La Secretaría del Ayuntamiento estará a cargo de un </w:t>
      </w:r>
      <w:proofErr w:type="gramStart"/>
      <w:r w:rsidRPr="002D44AF">
        <w:rPr>
          <w:rFonts w:ascii="Palatino Linotype" w:eastAsia="Palatino Linotype" w:hAnsi="Palatino Linotype" w:cs="Palatino Linotype"/>
          <w:b/>
          <w:i/>
          <w:sz w:val="22"/>
          <w:szCs w:val="22"/>
        </w:rPr>
        <w:t>Secretario</w:t>
      </w:r>
      <w:proofErr w:type="gramEnd"/>
      <w:r w:rsidRPr="002D44AF">
        <w:rPr>
          <w:rFonts w:ascii="Palatino Linotype" w:eastAsia="Palatino Linotype" w:hAnsi="Palatino Linotype" w:cs="Palatino Linotype"/>
          <w:b/>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9A3BD54" w14:textId="77777777" w:rsidR="00F6312C" w:rsidRPr="002D44AF" w:rsidRDefault="00B80A2A">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p>
    <w:p w14:paraId="19A32C8A" w14:textId="77777777" w:rsidR="00F6312C" w:rsidRPr="002D44AF" w:rsidRDefault="00B80A2A">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u w:val="single"/>
        </w:rPr>
        <w:t xml:space="preserve">IV. Llevar y conservar los libros de actas de cabildo, obteniendo las firmas de los asistentes a las sesiones;” </w:t>
      </w:r>
      <w:r w:rsidRPr="002D44AF">
        <w:rPr>
          <w:rFonts w:ascii="Palatino Linotype" w:eastAsia="Palatino Linotype" w:hAnsi="Palatino Linotype" w:cs="Palatino Linotype"/>
          <w:i/>
          <w:sz w:val="22"/>
          <w:szCs w:val="22"/>
        </w:rPr>
        <w:t>(Énfasis añadido)</w:t>
      </w:r>
    </w:p>
    <w:p w14:paraId="23F068B3" w14:textId="77777777" w:rsidR="00F6312C" w:rsidRPr="002D44AF" w:rsidRDefault="00B80A2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2D44AF">
        <w:rPr>
          <w:rFonts w:ascii="Palatino Linotype" w:eastAsia="Palatino Linotype" w:hAnsi="Palatino Linotype" w:cs="Palatino Linotype"/>
        </w:rPr>
        <w:t>Es por lo anterior que se determina que lo procedente es turnarse este requerimiento a la Secretaría del Ayuntamiento, en virtud de que conserva las actas del cabildo y cabe la posibilidad de que en una de ellas obre la información requerida, sin embargo, , para el caso de que no se llegara a localizar información derivado de la búsqueda que se ordena, relacionada con los documentos donde conste la aprobación del cabildo para los gastos de la realización de las fiestas patrias,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58ED6834" w14:textId="77777777" w:rsidR="00F6312C" w:rsidRPr="002D44AF" w:rsidRDefault="00B80A2A">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“Artículo 19…</w:t>
      </w:r>
    </w:p>
    <w:p w14:paraId="26C3702E" w14:textId="77777777" w:rsidR="00F6312C" w:rsidRPr="002D44AF" w:rsidRDefault="00B80A2A">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32B34DA8" w14:textId="77777777" w:rsidR="00F6312C" w:rsidRPr="002D44AF" w:rsidRDefault="00B80A2A">
      <w:pPr>
        <w:pBdr>
          <w:top w:val="nil"/>
          <w:left w:val="nil"/>
          <w:bottom w:val="nil"/>
          <w:right w:val="nil"/>
          <w:between w:val="nil"/>
        </w:pBdr>
        <w:spacing w:before="240" w:after="240" w:line="360" w:lineRule="auto"/>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rPr>
        <w:lastRenderedPageBreak/>
        <w:t xml:space="preserve">Es por todo lo anterior que esta autoridad estima que las razones o motivos de inconformidad hechos valer por </w:t>
      </w:r>
      <w:r w:rsidRPr="002D44AF">
        <w:rPr>
          <w:rFonts w:ascii="Palatino Linotype" w:eastAsia="Palatino Linotype" w:hAnsi="Palatino Linotype" w:cs="Palatino Linotype"/>
          <w:b/>
        </w:rPr>
        <w:t>la</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parte Recurrente</w:t>
      </w:r>
      <w:r w:rsidRPr="002D44AF">
        <w:rPr>
          <w:rFonts w:ascii="Palatino Linotype" w:eastAsia="Palatino Linotype" w:hAnsi="Palatino Linotype" w:cs="Palatino Linotype"/>
        </w:rPr>
        <w:t xml:space="preserve"> se estiman fundados; por lo que, lo procedente es </w:t>
      </w:r>
      <w:r w:rsidRPr="002D44AF">
        <w:rPr>
          <w:rFonts w:ascii="Palatino Linotype" w:eastAsia="Palatino Linotype" w:hAnsi="Palatino Linotype" w:cs="Palatino Linotype"/>
          <w:b/>
        </w:rPr>
        <w:t>REVOCAR</w:t>
      </w:r>
      <w:r w:rsidRPr="002D44AF">
        <w:rPr>
          <w:rFonts w:ascii="Palatino Linotype" w:eastAsia="Palatino Linotype" w:hAnsi="Palatino Linotype" w:cs="Palatino Linotype"/>
        </w:rPr>
        <w:t xml:space="preserve"> la respuesta del </w:t>
      </w:r>
      <w:r w:rsidRPr="002D44AF">
        <w:rPr>
          <w:rFonts w:ascii="Palatino Linotype" w:eastAsia="Palatino Linotype" w:hAnsi="Palatino Linotype" w:cs="Palatino Linotype"/>
          <w:b/>
        </w:rPr>
        <w:t>Sujeto Obligado y ordenar la entrega de</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los documentos</w:t>
      </w:r>
      <w:r w:rsidRPr="002D44AF">
        <w:t xml:space="preserve"> </w:t>
      </w:r>
      <w:r w:rsidRPr="002D44AF">
        <w:rPr>
          <w:rFonts w:ascii="Palatino Linotype" w:eastAsia="Palatino Linotype" w:hAnsi="Palatino Linotype" w:cs="Palatino Linotype"/>
          <w:b/>
        </w:rPr>
        <w:t>donde conste el monto gastado y el monto aprobado por el cabildo para la realización de las fiestas patrias 2023,</w:t>
      </w:r>
      <w:r w:rsidRPr="002D44AF">
        <w:rPr>
          <w:rFonts w:ascii="Palatino Linotype" w:eastAsia="Palatino Linotype" w:hAnsi="Palatino Linotype" w:cs="Palatino Linotype"/>
        </w:rPr>
        <w:t xml:space="preserve"> ello conforme al considerando siguiente.</w:t>
      </w:r>
    </w:p>
    <w:p w14:paraId="23B701AC" w14:textId="77777777" w:rsidR="00F6312C" w:rsidRPr="002D44AF" w:rsidRDefault="00B80A2A">
      <w:pPr>
        <w:spacing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 xml:space="preserve">Quinto. Versión Pública. </w:t>
      </w:r>
      <w:r w:rsidRPr="002D44AF">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EC7DC95" w14:textId="77777777" w:rsidR="00F6312C" w:rsidRPr="002D44AF" w:rsidRDefault="00B80A2A">
      <w:pPr>
        <w:spacing w:before="240" w:after="240" w:line="360" w:lineRule="auto"/>
        <w:ind w:right="50"/>
        <w:jc w:val="both"/>
        <w:rPr>
          <w:rFonts w:ascii="Palatino Linotype" w:eastAsia="Palatino Linotype" w:hAnsi="Palatino Linotype" w:cs="Palatino Linotype"/>
        </w:rPr>
      </w:pPr>
      <w:r w:rsidRPr="002D44AF">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4660358"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r w:rsidRPr="002D44AF">
        <w:rPr>
          <w:rFonts w:ascii="Palatino Linotype" w:eastAsia="Palatino Linotype" w:hAnsi="Palatino Linotype" w:cs="Palatino Linotype"/>
          <w:b/>
          <w:i/>
          <w:sz w:val="22"/>
          <w:szCs w:val="22"/>
        </w:rPr>
        <w:t>Artículo 3</w:t>
      </w:r>
      <w:r w:rsidRPr="002D44AF">
        <w:rPr>
          <w:rFonts w:ascii="Palatino Linotype" w:eastAsia="Palatino Linotype" w:hAnsi="Palatino Linotype" w:cs="Palatino Linotype"/>
          <w:i/>
          <w:sz w:val="22"/>
          <w:szCs w:val="22"/>
        </w:rPr>
        <w:t>. Para los efectos de la presente Ley se entenderá por:</w:t>
      </w:r>
    </w:p>
    <w:p w14:paraId="289AF7D3"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p>
    <w:p w14:paraId="5C221D9C"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IX. Datos personales:</w:t>
      </w:r>
      <w:r w:rsidRPr="002D44A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3D6E036"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lastRenderedPageBreak/>
        <w:t>XX. Información clasificada</w:t>
      </w:r>
      <w:r w:rsidRPr="002D44AF">
        <w:rPr>
          <w:rFonts w:ascii="Palatino Linotype" w:eastAsia="Palatino Linotype" w:hAnsi="Palatino Linotype" w:cs="Palatino Linotype"/>
          <w:i/>
          <w:sz w:val="22"/>
          <w:szCs w:val="22"/>
        </w:rPr>
        <w:t>: Aquella considerada por la presente Ley como reservada o confidencial;</w:t>
      </w:r>
    </w:p>
    <w:p w14:paraId="056438BC"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XXI. Información confidencial:</w:t>
      </w:r>
      <w:r w:rsidRPr="002D44AF">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0E131DA"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XLV. Versión pública:</w:t>
      </w:r>
      <w:r w:rsidRPr="002D44A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A4262D2"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p>
    <w:p w14:paraId="2FD5D80C"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 xml:space="preserve">Artículo 91. </w:t>
      </w:r>
      <w:r w:rsidRPr="002D44AF">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9CE2252"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 xml:space="preserve">Artículo 132. </w:t>
      </w:r>
      <w:r w:rsidRPr="002D44AF">
        <w:rPr>
          <w:rFonts w:ascii="Palatino Linotype" w:eastAsia="Palatino Linotype" w:hAnsi="Palatino Linotype" w:cs="Palatino Linotype"/>
          <w:i/>
          <w:sz w:val="22"/>
          <w:szCs w:val="22"/>
        </w:rPr>
        <w:t>La clasificación de la información se llevará a cabo en el momento en que:</w:t>
      </w:r>
    </w:p>
    <w:p w14:paraId="34077516"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w:t>
      </w:r>
      <w:r w:rsidRPr="002D44AF">
        <w:rPr>
          <w:rFonts w:ascii="Palatino Linotype" w:eastAsia="Palatino Linotype" w:hAnsi="Palatino Linotype" w:cs="Palatino Linotype"/>
          <w:i/>
          <w:sz w:val="22"/>
          <w:szCs w:val="22"/>
        </w:rPr>
        <w:t>. Se reciba una solicitud de acceso a la información;</w:t>
      </w:r>
    </w:p>
    <w:p w14:paraId="1D23A9E8"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II</w:t>
      </w:r>
      <w:r w:rsidRPr="002D44AF">
        <w:rPr>
          <w:rFonts w:ascii="Palatino Linotype" w:eastAsia="Palatino Linotype" w:hAnsi="Palatino Linotype" w:cs="Palatino Linotype"/>
          <w:i/>
          <w:sz w:val="22"/>
          <w:szCs w:val="22"/>
        </w:rPr>
        <w:t>. Se determine mediante resolución de autoridad competente; o</w:t>
      </w:r>
    </w:p>
    <w:p w14:paraId="7C39E5BF"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III</w:t>
      </w:r>
      <w:r w:rsidRPr="002D44AF">
        <w:rPr>
          <w:rFonts w:ascii="Palatino Linotype" w:eastAsia="Palatino Linotype" w:hAnsi="Palatino Linotype" w:cs="Palatino Linotype"/>
          <w:i/>
          <w:sz w:val="22"/>
          <w:szCs w:val="22"/>
        </w:rPr>
        <w:t>. Se generen versiones públicas para dar cumplimiento a las obligaciones de transparencia previstas en esta Ley.</w:t>
      </w:r>
    </w:p>
    <w:p w14:paraId="542FC0A1"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w:t>
      </w:r>
    </w:p>
    <w:p w14:paraId="46FDBE39"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Artículo 143</w:t>
      </w:r>
      <w:r w:rsidRPr="002D44A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F777377"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w:t>
      </w:r>
      <w:r w:rsidRPr="002D44A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4955F23"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II.</w:t>
      </w:r>
      <w:r w:rsidRPr="002D44A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16FC9C9"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III</w:t>
      </w:r>
      <w:r w:rsidRPr="002D44AF">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89CF876"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8F4BBE8" w14:textId="77777777" w:rsidR="00F6312C" w:rsidRPr="002D44AF" w:rsidRDefault="00B80A2A">
      <w:pPr>
        <w:spacing w:before="120" w:after="120"/>
        <w:ind w:left="567" w:right="902"/>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FD9827A"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66F824C" w14:textId="77777777" w:rsidR="00F6312C" w:rsidRPr="002D44AF" w:rsidRDefault="00B80A2A">
      <w:pPr>
        <w:spacing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siendo estas las siguientes:</w:t>
      </w:r>
    </w:p>
    <w:p w14:paraId="0EE680BE" w14:textId="77777777" w:rsidR="00F6312C" w:rsidRPr="002D44AF" w:rsidRDefault="00F6312C">
      <w:pPr>
        <w:spacing w:line="360" w:lineRule="auto"/>
        <w:jc w:val="both"/>
        <w:rPr>
          <w:rFonts w:ascii="Palatino Linotype" w:eastAsia="Palatino Linotype" w:hAnsi="Palatino Linotype" w:cs="Palatino Linotype"/>
        </w:rPr>
      </w:pPr>
    </w:p>
    <w:p w14:paraId="3BE5B86A" w14:textId="77777777" w:rsidR="00F6312C" w:rsidRPr="002D44AF" w:rsidRDefault="00B80A2A">
      <w:pPr>
        <w:spacing w:line="276" w:lineRule="auto"/>
        <w:ind w:left="567"/>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“CAPÍTULO VIII </w:t>
      </w:r>
    </w:p>
    <w:p w14:paraId="76E0879B" w14:textId="77777777" w:rsidR="00F6312C" w:rsidRPr="002D44AF" w:rsidRDefault="00B80A2A">
      <w:pPr>
        <w:spacing w:line="276" w:lineRule="auto"/>
        <w:ind w:left="567"/>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DE LOS ELEMENTOS PARA LA CLASIFICACIÓN </w:t>
      </w:r>
    </w:p>
    <w:p w14:paraId="1EBF41FE" w14:textId="77777777" w:rsidR="00F6312C" w:rsidRPr="002D44AF" w:rsidRDefault="00B80A2A">
      <w:pP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Quincuagésimo.</w:t>
      </w:r>
      <w:r w:rsidRPr="002D44AF">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A536A57" w14:textId="77777777" w:rsidR="00F6312C" w:rsidRPr="002D44AF" w:rsidRDefault="00B80A2A">
      <w:pP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Quincuagésimo primero.</w:t>
      </w:r>
      <w:r w:rsidRPr="002D44AF">
        <w:rPr>
          <w:rFonts w:ascii="Palatino Linotype" w:eastAsia="Palatino Linotype" w:hAnsi="Palatino Linotype" w:cs="Palatino Linotype"/>
          <w:i/>
          <w:sz w:val="22"/>
          <w:szCs w:val="22"/>
        </w:rPr>
        <w:t xml:space="preserve"> Toda acta del Comité de Transparencia deberá contener: </w:t>
      </w:r>
    </w:p>
    <w:p w14:paraId="5D2366DE" w14:textId="77777777" w:rsidR="00F6312C" w:rsidRPr="002D44AF" w:rsidRDefault="00B80A2A">
      <w:pPr>
        <w:numPr>
          <w:ilvl w:val="1"/>
          <w:numId w:val="3"/>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El número de sesión y fecha; </w:t>
      </w:r>
    </w:p>
    <w:p w14:paraId="322E35A1" w14:textId="77777777" w:rsidR="00F6312C" w:rsidRPr="002D44AF" w:rsidRDefault="00B80A2A">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El nombre del área que solicitó la clasificación de información; </w:t>
      </w:r>
    </w:p>
    <w:p w14:paraId="31CC394E" w14:textId="77777777" w:rsidR="00F6312C" w:rsidRPr="002D44AF" w:rsidRDefault="00B80A2A">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La fundamentación legal y motivación correspondiente; </w:t>
      </w:r>
    </w:p>
    <w:p w14:paraId="02BF3AAF" w14:textId="77777777" w:rsidR="00F6312C" w:rsidRPr="002D44AF" w:rsidRDefault="00B80A2A">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La resolución o resoluciones aprobadas; y </w:t>
      </w:r>
    </w:p>
    <w:p w14:paraId="7D3AFAC7" w14:textId="77777777" w:rsidR="00F6312C" w:rsidRPr="002D44AF" w:rsidRDefault="00B80A2A">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La rúbrica o firma digital de cada integrante del Comité de Transparencia. </w:t>
      </w:r>
    </w:p>
    <w:p w14:paraId="5AB38EC4"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lastRenderedPageBreak/>
        <w:t xml:space="preserve">Las resoluciones del Comité en las que se haya determinado confirmar o modificar la clasificación de información pública como reservada, deberán incluir, cuando menos: </w:t>
      </w:r>
    </w:p>
    <w:p w14:paraId="3578EA51"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I. Los motivos y razonamientos que sustenten la confirmación o modificación de la prueba de daño;</w:t>
      </w:r>
    </w:p>
    <w:p w14:paraId="7AC1FB97"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II. Descripción de las partes o secciones reservadas, en caso de clasificación parcial; </w:t>
      </w:r>
    </w:p>
    <w:p w14:paraId="7EDDCBB5"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III. El periodo por el que mantendrá su clasificación y fecha de expiración; y </w:t>
      </w:r>
    </w:p>
    <w:p w14:paraId="1DDCE8B3"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ED7DDF0"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A6A21E4"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2D44AF">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4A322A2"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 xml:space="preserve">Quincuagésimo segundo. </w:t>
      </w:r>
      <w:r w:rsidRPr="002D44AF">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17495F8"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40A9FAE6"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I. Fijar la fecha en que se elaboró la versión pública y la fecha en la cual el Comité de</w:t>
      </w:r>
    </w:p>
    <w:p w14:paraId="540B1F0C"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Transparencia confirmó dicha versión;</w:t>
      </w:r>
    </w:p>
    <w:p w14:paraId="49B2F2DD"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11BEA83"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III. Señalar las personas o instancias autorizadas a acceder a la información clasificada.</w:t>
      </w:r>
    </w:p>
    <w:p w14:paraId="5700A8D0"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2D44AF">
        <w:rPr>
          <w:noProof/>
          <w:lang w:val="es-MX"/>
        </w:rPr>
        <w:drawing>
          <wp:anchor distT="0" distB="0" distL="114300" distR="114300" simplePos="0" relativeHeight="251658240" behindDoc="0" locked="0" layoutInCell="1" hidden="0" allowOverlap="1" wp14:anchorId="14589D78" wp14:editId="269DC735">
            <wp:simplePos x="0" y="0"/>
            <wp:positionH relativeFrom="column">
              <wp:posOffset>377190</wp:posOffset>
            </wp:positionH>
            <wp:positionV relativeFrom="paragraph">
              <wp:posOffset>798830</wp:posOffset>
            </wp:positionV>
            <wp:extent cx="4568190" cy="330200"/>
            <wp:effectExtent l="0" t="0" r="0" b="0"/>
            <wp:wrapTopAndBottom distT="0" dist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568190" cy="330200"/>
                    </a:xfrm>
                    <a:prstGeom prst="rect">
                      <a:avLst/>
                    </a:prstGeom>
                    <a:ln/>
                  </pic:spPr>
                </pic:pic>
              </a:graphicData>
            </a:graphic>
          </wp:anchor>
        </w:drawing>
      </w:r>
    </w:p>
    <w:p w14:paraId="4F590BE7"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2D44AF">
        <w:rPr>
          <w:rFonts w:ascii="Palatino Linotype" w:eastAsia="Palatino Linotype" w:hAnsi="Palatino Linotype" w:cs="Palatino Linotype"/>
          <w:b/>
          <w:i/>
          <w:noProof/>
          <w:sz w:val="22"/>
          <w:szCs w:val="22"/>
          <w:lang w:val="es-MX"/>
        </w:rPr>
        <w:lastRenderedPageBreak/>
        <w:drawing>
          <wp:inline distT="0" distB="0" distL="0" distR="0" wp14:anchorId="0DF00217" wp14:editId="4B8CEAEC">
            <wp:extent cx="4576404" cy="513965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576404" cy="5139653"/>
                    </a:xfrm>
                    <a:prstGeom prst="rect">
                      <a:avLst/>
                    </a:prstGeom>
                    <a:ln/>
                  </pic:spPr>
                </pic:pic>
              </a:graphicData>
            </a:graphic>
          </wp:inline>
        </w:drawing>
      </w:r>
    </w:p>
    <w:p w14:paraId="262A7CAE" w14:textId="77777777" w:rsidR="00F6312C" w:rsidRPr="002D44AF" w:rsidRDefault="00F6312C">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6FDD7EE"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 xml:space="preserve">Quincuagésimo cuarto. </w:t>
      </w:r>
      <w:r w:rsidRPr="002D44AF">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351B28F" w14:textId="77777777" w:rsidR="00F6312C" w:rsidRPr="002D44AF" w:rsidRDefault="00F6312C">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03BDD68" w14:textId="77777777" w:rsidR="00F6312C" w:rsidRPr="002D44AF" w:rsidRDefault="00B80A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b/>
          <w:i/>
          <w:sz w:val="22"/>
          <w:szCs w:val="22"/>
        </w:rPr>
        <w:t xml:space="preserve">Quincuagésimo quinto. </w:t>
      </w:r>
      <w:r w:rsidRPr="002D44AF">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2D44AF">
        <w:rPr>
          <w:rFonts w:ascii="Palatino Linotype" w:eastAsia="Palatino Linotype" w:hAnsi="Palatino Linotype" w:cs="Palatino Linotype"/>
          <w:i/>
          <w:sz w:val="22"/>
          <w:szCs w:val="22"/>
        </w:rPr>
        <w:t>testado</w:t>
      </w:r>
      <w:proofErr w:type="spellEnd"/>
      <w:r w:rsidRPr="002D44AF">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2D44AF">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w:t>
      </w:r>
    </w:p>
    <w:p w14:paraId="53A9C73B"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34D0437" w14:textId="77777777" w:rsidR="00F6312C" w:rsidRPr="002D44AF" w:rsidRDefault="00B80A2A">
      <w:pPr>
        <w:spacing w:before="240" w:after="240" w:line="360" w:lineRule="auto"/>
        <w:ind w:right="49"/>
        <w:jc w:val="both"/>
        <w:rPr>
          <w:rFonts w:ascii="Palatino Linotype" w:eastAsia="Palatino Linotype" w:hAnsi="Palatino Linotype" w:cs="Palatino Linotype"/>
        </w:rPr>
      </w:pPr>
      <w:bookmarkStart w:id="4" w:name="_heading=h.1t3h5sf" w:colFirst="0" w:colLast="0"/>
      <w:bookmarkEnd w:id="4"/>
      <w:r w:rsidRPr="002D44AF">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2CA78D65" w14:textId="77777777" w:rsidR="00F6312C" w:rsidRPr="002D44AF" w:rsidRDefault="00B80A2A">
      <w:pPr>
        <w:numPr>
          <w:ilvl w:val="0"/>
          <w:numId w:val="4"/>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2D44AF">
        <w:rPr>
          <w:rFonts w:ascii="Palatino Linotype" w:eastAsia="Palatino Linotype" w:hAnsi="Palatino Linotype" w:cs="Palatino Linotype"/>
          <w:b/>
        </w:rPr>
        <w:t>R E S U E L V E:</w:t>
      </w:r>
    </w:p>
    <w:p w14:paraId="32E8263F" w14:textId="77777777" w:rsidR="00F6312C" w:rsidRPr="002D44AF" w:rsidRDefault="00B80A2A">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2D44AF">
        <w:rPr>
          <w:rFonts w:ascii="Palatino Linotype" w:eastAsia="Palatino Linotype" w:hAnsi="Palatino Linotype" w:cs="Palatino Linotype"/>
          <w:b/>
        </w:rPr>
        <w:t xml:space="preserve">Primero. </w:t>
      </w:r>
      <w:r w:rsidRPr="002D44AF">
        <w:rPr>
          <w:rFonts w:ascii="Palatino Linotype" w:eastAsia="Palatino Linotype" w:hAnsi="Palatino Linotype" w:cs="Palatino Linotype"/>
        </w:rPr>
        <w:t xml:space="preserve">Resultan </w:t>
      </w:r>
      <w:r w:rsidRPr="002D44AF">
        <w:rPr>
          <w:rFonts w:ascii="Palatino Linotype" w:eastAsia="Palatino Linotype" w:hAnsi="Palatino Linotype" w:cs="Palatino Linotype"/>
          <w:b/>
        </w:rPr>
        <w:t>fundadas</w:t>
      </w:r>
      <w:r w:rsidRPr="002D44AF">
        <w:rPr>
          <w:rFonts w:ascii="Palatino Linotype" w:eastAsia="Palatino Linotype" w:hAnsi="Palatino Linotype" w:cs="Palatino Linotype"/>
        </w:rPr>
        <w:t xml:space="preserve"> las razones o motivos de inconformidad hechos valer por </w:t>
      </w:r>
      <w:r w:rsidRPr="002D44AF">
        <w:rPr>
          <w:rFonts w:ascii="Palatino Linotype" w:eastAsia="Palatino Linotype" w:hAnsi="Palatino Linotype" w:cs="Palatino Linotype"/>
          <w:b/>
        </w:rPr>
        <w:t>la parte Recurrente</w:t>
      </w:r>
      <w:r w:rsidRPr="002D44AF">
        <w:rPr>
          <w:rFonts w:ascii="Palatino Linotype" w:eastAsia="Palatino Linotype" w:hAnsi="Palatino Linotype" w:cs="Palatino Linotype"/>
        </w:rPr>
        <w:t xml:space="preserve"> en el recurso de revisión </w:t>
      </w:r>
      <w:r w:rsidRPr="002D44AF">
        <w:rPr>
          <w:rFonts w:ascii="Palatino Linotype" w:eastAsia="Palatino Linotype" w:hAnsi="Palatino Linotype" w:cs="Palatino Linotype"/>
          <w:b/>
        </w:rPr>
        <w:t>07369/INFOEM/IP/RR/2023</w:t>
      </w:r>
      <w:r w:rsidRPr="002D44AF">
        <w:rPr>
          <w:rFonts w:ascii="Palatino Linotype" w:eastAsia="Palatino Linotype" w:hAnsi="Palatino Linotype" w:cs="Palatino Linotype"/>
        </w:rPr>
        <w:t xml:space="preserve">; por lo que, en términos del </w:t>
      </w:r>
      <w:r w:rsidRPr="002D44AF">
        <w:rPr>
          <w:rFonts w:ascii="Palatino Linotype" w:eastAsia="Palatino Linotype" w:hAnsi="Palatino Linotype" w:cs="Palatino Linotype"/>
          <w:b/>
        </w:rPr>
        <w:t>Considerando</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 xml:space="preserve">Cuarto </w:t>
      </w:r>
      <w:r w:rsidRPr="002D44AF">
        <w:rPr>
          <w:rFonts w:ascii="Palatino Linotype" w:eastAsia="Palatino Linotype" w:hAnsi="Palatino Linotype" w:cs="Palatino Linotype"/>
        </w:rPr>
        <w:t xml:space="preserve">de esta resolución, se </w:t>
      </w:r>
      <w:r w:rsidRPr="002D44AF">
        <w:rPr>
          <w:rFonts w:ascii="Palatino Linotype" w:eastAsia="Palatino Linotype" w:hAnsi="Palatino Linotype" w:cs="Palatino Linotype"/>
          <w:b/>
        </w:rPr>
        <w:t xml:space="preserve">REVOCA </w:t>
      </w:r>
      <w:r w:rsidRPr="002D44AF">
        <w:rPr>
          <w:rFonts w:ascii="Palatino Linotype" w:eastAsia="Palatino Linotype" w:hAnsi="Palatino Linotype" w:cs="Palatino Linotype"/>
        </w:rPr>
        <w:t xml:space="preserve">la respuesta emitida por el </w:t>
      </w:r>
      <w:r w:rsidRPr="002D44AF">
        <w:rPr>
          <w:rFonts w:ascii="Palatino Linotype" w:eastAsia="Palatino Linotype" w:hAnsi="Palatino Linotype" w:cs="Palatino Linotype"/>
          <w:b/>
        </w:rPr>
        <w:t>Sujeto Obligado.</w:t>
      </w:r>
    </w:p>
    <w:p w14:paraId="0F100E77" w14:textId="77777777" w:rsidR="00F6312C" w:rsidRPr="002D44AF" w:rsidRDefault="00B80A2A">
      <w:pPr>
        <w:spacing w:before="240" w:after="240" w:line="360" w:lineRule="auto"/>
        <w:ind w:right="49"/>
        <w:jc w:val="both"/>
        <w:rPr>
          <w:rFonts w:ascii="Palatino Linotype" w:eastAsia="Palatino Linotype" w:hAnsi="Palatino Linotype" w:cs="Palatino Linotype"/>
        </w:rPr>
      </w:pPr>
      <w:r w:rsidRPr="002D44AF">
        <w:rPr>
          <w:rFonts w:ascii="Palatino Linotype" w:eastAsia="Palatino Linotype" w:hAnsi="Palatino Linotype" w:cs="Palatino Linotype"/>
          <w:b/>
        </w:rPr>
        <w:lastRenderedPageBreak/>
        <w:t xml:space="preserve">Segundo. </w:t>
      </w:r>
      <w:r w:rsidRPr="002D44AF">
        <w:rPr>
          <w:rFonts w:ascii="Palatino Linotype" w:eastAsia="Palatino Linotype" w:hAnsi="Palatino Linotype" w:cs="Palatino Linotype"/>
        </w:rPr>
        <w:t xml:space="preserve">Se </w:t>
      </w:r>
      <w:r w:rsidRPr="002D44AF">
        <w:rPr>
          <w:rFonts w:ascii="Palatino Linotype" w:eastAsia="Palatino Linotype" w:hAnsi="Palatino Linotype" w:cs="Palatino Linotype"/>
          <w:b/>
        </w:rPr>
        <w:t xml:space="preserve">Ordena </w:t>
      </w:r>
      <w:r w:rsidRPr="002D44AF">
        <w:rPr>
          <w:rFonts w:ascii="Palatino Linotype" w:eastAsia="Palatino Linotype" w:hAnsi="Palatino Linotype" w:cs="Palatino Linotype"/>
        </w:rPr>
        <w:t xml:space="preserve">al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xml:space="preserve"> entregue, a</w:t>
      </w:r>
      <w:r w:rsidRPr="002D44AF">
        <w:rPr>
          <w:rFonts w:ascii="Palatino Linotype" w:eastAsia="Palatino Linotype" w:hAnsi="Palatino Linotype" w:cs="Palatino Linotype"/>
          <w:b/>
        </w:rPr>
        <w:t xml:space="preserve"> la parte</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Recurrente</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 xml:space="preserve">vía SAIMEX, </w:t>
      </w:r>
      <w:r w:rsidRPr="002D44AF">
        <w:rPr>
          <w:rFonts w:ascii="Palatino Linotype" w:eastAsia="Palatino Linotype" w:hAnsi="Palatino Linotype" w:cs="Palatino Linotype"/>
        </w:rPr>
        <w:t>en términos de los</w:t>
      </w:r>
      <w:r w:rsidRPr="002D44AF">
        <w:rPr>
          <w:rFonts w:ascii="Palatino Linotype" w:eastAsia="Palatino Linotype" w:hAnsi="Palatino Linotype" w:cs="Palatino Linotype"/>
          <w:b/>
        </w:rPr>
        <w:t xml:space="preserve"> Considerandos</w:t>
      </w:r>
      <w:r w:rsidRPr="002D44AF">
        <w:rPr>
          <w:rFonts w:ascii="Palatino Linotype" w:eastAsia="Palatino Linotype" w:hAnsi="Palatino Linotype" w:cs="Palatino Linotype"/>
        </w:rPr>
        <w:t xml:space="preserve"> </w:t>
      </w:r>
      <w:r w:rsidRPr="002D44AF">
        <w:rPr>
          <w:rFonts w:ascii="Palatino Linotype" w:eastAsia="Palatino Linotype" w:hAnsi="Palatino Linotype" w:cs="Palatino Linotype"/>
          <w:b/>
        </w:rPr>
        <w:t>Cuarto y Quinto</w:t>
      </w:r>
      <w:r w:rsidRPr="002D44AF">
        <w:rPr>
          <w:rFonts w:ascii="Palatino Linotype" w:eastAsia="Palatino Linotype" w:hAnsi="Palatino Linotype" w:cs="Palatino Linotype"/>
        </w:rPr>
        <w:t>, previa búsqueda exhaustiva y razonable, en versión pública de ser procedente, lo siguiente:</w:t>
      </w:r>
    </w:p>
    <w:p w14:paraId="76079AF5" w14:textId="77777777" w:rsidR="00F6312C" w:rsidRPr="002D44AF" w:rsidRDefault="00B80A2A">
      <w:pPr>
        <w:numPr>
          <w:ilvl w:val="0"/>
          <w:numId w:val="8"/>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sz w:val="22"/>
          <w:szCs w:val="22"/>
        </w:rPr>
      </w:pPr>
      <w:bookmarkStart w:id="6" w:name="_heading=h.1fob9te" w:colFirst="0" w:colLast="0"/>
      <w:bookmarkEnd w:id="6"/>
      <w:r w:rsidRPr="002D44AF">
        <w:rPr>
          <w:rFonts w:ascii="Palatino Linotype" w:eastAsia="Palatino Linotype" w:hAnsi="Palatino Linotype" w:cs="Palatino Linotype"/>
          <w:b/>
          <w:i/>
          <w:sz w:val="22"/>
          <w:szCs w:val="22"/>
        </w:rPr>
        <w:t xml:space="preserve">Documentos donde conste el monto gastado y el monto aprobado por el cabildo para la realización de las fiestas patrias 2023. </w:t>
      </w:r>
    </w:p>
    <w:p w14:paraId="1CD09DE5" w14:textId="77777777" w:rsidR="00F6312C" w:rsidRPr="002D44AF" w:rsidRDefault="00B80A2A">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De ser el caso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2D44AF">
        <w:rPr>
          <w:rFonts w:ascii="Palatino Linotype" w:eastAsia="Palatino Linotype" w:hAnsi="Palatino Linotype" w:cs="Palatino Linotype"/>
          <w:b/>
          <w:i/>
          <w:sz w:val="22"/>
          <w:szCs w:val="22"/>
        </w:rPr>
        <w:t>la parte</w:t>
      </w:r>
      <w:r w:rsidRPr="002D44AF">
        <w:rPr>
          <w:rFonts w:ascii="Palatino Linotype" w:eastAsia="Palatino Linotype" w:hAnsi="Palatino Linotype" w:cs="Palatino Linotype"/>
          <w:i/>
          <w:sz w:val="22"/>
          <w:szCs w:val="22"/>
        </w:rPr>
        <w:t xml:space="preserve"> </w:t>
      </w:r>
      <w:r w:rsidRPr="002D44AF">
        <w:rPr>
          <w:rFonts w:ascii="Palatino Linotype" w:eastAsia="Palatino Linotype" w:hAnsi="Palatino Linotype" w:cs="Palatino Linotype"/>
          <w:b/>
          <w:i/>
          <w:sz w:val="22"/>
          <w:szCs w:val="22"/>
        </w:rPr>
        <w:t>Recurrente</w:t>
      </w:r>
      <w:r w:rsidRPr="002D44AF">
        <w:rPr>
          <w:rFonts w:ascii="Palatino Linotype" w:eastAsia="Palatino Linotype" w:hAnsi="Palatino Linotype" w:cs="Palatino Linotype"/>
          <w:i/>
          <w:sz w:val="22"/>
          <w:szCs w:val="22"/>
        </w:rPr>
        <w:t xml:space="preserve">. </w:t>
      </w:r>
    </w:p>
    <w:p w14:paraId="0A461B75" w14:textId="77777777" w:rsidR="00F6312C" w:rsidRPr="002D44AF" w:rsidRDefault="00B80A2A">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2D44AF">
        <w:rPr>
          <w:rFonts w:ascii="Palatino Linotype" w:eastAsia="Palatino Linotype" w:hAnsi="Palatino Linotype" w:cs="Palatino Linotype"/>
          <w:i/>
          <w:sz w:val="22"/>
          <w:szCs w:val="22"/>
        </w:rPr>
        <w:t xml:space="preserve">En el supuesto de que el </w:t>
      </w:r>
      <w:r w:rsidRPr="002D44AF">
        <w:rPr>
          <w:rFonts w:ascii="Palatino Linotype" w:eastAsia="Palatino Linotype" w:hAnsi="Palatino Linotype" w:cs="Palatino Linotype"/>
          <w:b/>
          <w:i/>
          <w:sz w:val="22"/>
          <w:szCs w:val="22"/>
        </w:rPr>
        <w:t>Sujeto Obligado</w:t>
      </w:r>
      <w:r w:rsidRPr="002D44AF">
        <w:rPr>
          <w:rFonts w:ascii="Palatino Linotype" w:eastAsia="Palatino Linotype" w:hAnsi="Palatino Linotype" w:cs="Palatino Linotype"/>
          <w:i/>
          <w:sz w:val="22"/>
          <w:szCs w:val="22"/>
        </w:rPr>
        <w:t xml:space="preserve"> no cuente con el monto aprobado por el cabildo para la realización de las fiestas patrias 2023, por no haberse generado, bastará con que así lo haga del conocimiento de </w:t>
      </w:r>
      <w:r w:rsidRPr="002D44AF">
        <w:rPr>
          <w:rFonts w:ascii="Palatino Linotype" w:eastAsia="Palatino Linotype" w:hAnsi="Palatino Linotype" w:cs="Palatino Linotype"/>
          <w:b/>
          <w:i/>
          <w:sz w:val="22"/>
          <w:szCs w:val="22"/>
        </w:rPr>
        <w:t>la parte</w:t>
      </w:r>
      <w:r w:rsidRPr="002D44AF">
        <w:rPr>
          <w:rFonts w:ascii="Palatino Linotype" w:eastAsia="Palatino Linotype" w:hAnsi="Palatino Linotype" w:cs="Palatino Linotype"/>
          <w:i/>
          <w:sz w:val="22"/>
          <w:szCs w:val="22"/>
        </w:rPr>
        <w:t xml:space="preserve"> </w:t>
      </w:r>
      <w:r w:rsidRPr="002D44AF">
        <w:rPr>
          <w:rFonts w:ascii="Palatino Linotype" w:eastAsia="Palatino Linotype" w:hAnsi="Palatino Linotype" w:cs="Palatino Linotype"/>
          <w:b/>
          <w:i/>
          <w:sz w:val="22"/>
          <w:szCs w:val="22"/>
        </w:rPr>
        <w:t>Recurrente</w:t>
      </w:r>
      <w:r w:rsidRPr="002D44AF">
        <w:rPr>
          <w:rFonts w:ascii="Palatino Linotype" w:eastAsia="Palatino Linotype" w:hAnsi="Palatino Linotype" w:cs="Palatino Linotype"/>
          <w:i/>
          <w:sz w:val="22"/>
          <w:szCs w:val="22"/>
        </w:rPr>
        <w:t>, de manera fundada y motivada, para tener por colmado el requerimiento de información.</w:t>
      </w:r>
    </w:p>
    <w:p w14:paraId="3E9812FF" w14:textId="77777777" w:rsidR="00F6312C" w:rsidRPr="002D44AF" w:rsidRDefault="00F6312C">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b/>
          <w:i/>
          <w:sz w:val="22"/>
          <w:szCs w:val="22"/>
        </w:rPr>
      </w:pPr>
      <w:bookmarkStart w:id="7" w:name="_heading=h.2et92p0" w:colFirst="0" w:colLast="0"/>
      <w:bookmarkEnd w:id="7"/>
    </w:p>
    <w:p w14:paraId="6B1DA304"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Tercero</w:t>
      </w:r>
      <w:r w:rsidRPr="002D44AF">
        <w:rPr>
          <w:rFonts w:ascii="Palatino Linotype" w:eastAsia="Palatino Linotype" w:hAnsi="Palatino Linotype" w:cs="Palatino Linotype"/>
          <w:b/>
          <w:sz w:val="28"/>
          <w:szCs w:val="28"/>
        </w:rPr>
        <w:t xml:space="preserve">.  </w:t>
      </w:r>
      <w:r w:rsidRPr="002D44AF">
        <w:rPr>
          <w:rFonts w:ascii="Palatino Linotype" w:eastAsia="Palatino Linotype" w:hAnsi="Palatino Linotype" w:cs="Palatino Linotype"/>
          <w:b/>
        </w:rPr>
        <w:t>Notifíquese vía SAIMEX,</w:t>
      </w:r>
      <w:r w:rsidRPr="002D44AF">
        <w:rPr>
          <w:rFonts w:ascii="Palatino Linotype" w:eastAsia="Palatino Linotype" w:hAnsi="Palatino Linotype" w:cs="Palatino Linotype"/>
          <w:b/>
          <w:sz w:val="28"/>
          <w:szCs w:val="28"/>
        </w:rPr>
        <w:t xml:space="preserve"> </w:t>
      </w:r>
      <w:r w:rsidRPr="002D44AF">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B03BD3F"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Cuarto</w:t>
      </w:r>
      <w:r w:rsidRPr="002D44AF">
        <w:rPr>
          <w:rFonts w:ascii="Palatino Linotype" w:eastAsia="Palatino Linotype" w:hAnsi="Palatino Linotype" w:cs="Palatino Linotype"/>
          <w:b/>
          <w:sz w:val="28"/>
          <w:szCs w:val="28"/>
        </w:rPr>
        <w:t xml:space="preserve">. </w:t>
      </w:r>
      <w:r w:rsidRPr="002D44A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2D44AF">
        <w:rPr>
          <w:rFonts w:ascii="Palatino Linotype" w:eastAsia="Palatino Linotype" w:hAnsi="Palatino Linotype" w:cs="Palatino Linotype"/>
        </w:rPr>
        <w:lastRenderedPageBreak/>
        <w:t xml:space="preserve">procedente, el </w:t>
      </w:r>
      <w:r w:rsidRPr="002D44AF">
        <w:rPr>
          <w:rFonts w:ascii="Palatino Linotype" w:eastAsia="Palatino Linotype" w:hAnsi="Palatino Linotype" w:cs="Palatino Linotype"/>
          <w:b/>
        </w:rPr>
        <w:t>Sujeto Obligado</w:t>
      </w:r>
      <w:r w:rsidRPr="002D44AF">
        <w:rPr>
          <w:rFonts w:ascii="Palatino Linotype" w:eastAsia="Palatino Linotype" w:hAnsi="Palatino Linotype" w:cs="Palatino Linotype"/>
        </w:rPr>
        <w:t xml:space="preserve"> de manera fundada y motivada, podrá solicitar una ampliación de plazo para el cumplimiento de la presente resolución.</w:t>
      </w:r>
    </w:p>
    <w:p w14:paraId="09801034" w14:textId="77777777" w:rsidR="00F6312C" w:rsidRPr="002D44AF" w:rsidRDefault="00B80A2A">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b/>
        </w:rPr>
        <w:t>Quinto</w:t>
      </w:r>
      <w:r w:rsidRPr="002D44AF">
        <w:rPr>
          <w:rFonts w:ascii="Palatino Linotype" w:eastAsia="Palatino Linotype" w:hAnsi="Palatino Linotype" w:cs="Palatino Linotype"/>
          <w:b/>
          <w:sz w:val="28"/>
          <w:szCs w:val="28"/>
        </w:rPr>
        <w:t xml:space="preserve">. </w:t>
      </w:r>
      <w:r w:rsidRPr="002D44AF">
        <w:rPr>
          <w:rFonts w:ascii="Palatino Linotype" w:eastAsia="Palatino Linotype" w:hAnsi="Palatino Linotype" w:cs="Palatino Linotype"/>
          <w:b/>
        </w:rPr>
        <w:t xml:space="preserve">Notifíquese, </w:t>
      </w:r>
      <w:r w:rsidRPr="002D44AF">
        <w:rPr>
          <w:rFonts w:ascii="Palatino Linotype" w:eastAsia="Palatino Linotype" w:hAnsi="Palatino Linotype" w:cs="Palatino Linotype"/>
        </w:rPr>
        <w:t xml:space="preserve">vía </w:t>
      </w:r>
      <w:r w:rsidRPr="002D44AF">
        <w:rPr>
          <w:rFonts w:ascii="Palatino Linotype" w:eastAsia="Palatino Linotype" w:hAnsi="Palatino Linotype" w:cs="Palatino Linotype"/>
          <w:b/>
        </w:rPr>
        <w:t>SAIMEX</w:t>
      </w:r>
      <w:r w:rsidRPr="002D44AF">
        <w:rPr>
          <w:rFonts w:ascii="Palatino Linotype" w:eastAsia="Palatino Linotype" w:hAnsi="Palatino Linotype" w:cs="Palatino Linotype"/>
        </w:rPr>
        <w:t xml:space="preserve">, a </w:t>
      </w:r>
      <w:r w:rsidRPr="002D44AF">
        <w:rPr>
          <w:rFonts w:ascii="Palatino Linotype" w:eastAsia="Palatino Linotype" w:hAnsi="Palatino Linotype" w:cs="Palatino Linotype"/>
          <w:b/>
        </w:rPr>
        <w:t>la parte Recurrente</w:t>
      </w:r>
      <w:r w:rsidRPr="002D44A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0FA472D" w14:textId="77777777" w:rsidR="00F6312C" w:rsidRPr="002D44AF" w:rsidRDefault="00B80A2A">
      <w:pPr>
        <w:spacing w:before="240" w:after="240" w:line="360" w:lineRule="auto"/>
        <w:jc w:val="both"/>
        <w:rPr>
          <w:rFonts w:ascii="Palatino Linotype" w:eastAsia="Palatino Linotype" w:hAnsi="Palatino Linotype" w:cs="Palatino Linotype"/>
        </w:rPr>
      </w:pPr>
      <w:r w:rsidRPr="002D44AF">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CUADRAGÉSIMA QUINTA SESIÓN ORDINARIA CELEBRADA EL TRECE DE DICIEMBRE DE DOS MIL VEINTITRÉS, ANTE EL SECRETARIO TÉCNICO DEL PLENO ALEXIS TAPIA RAMÍREZ.</w:t>
      </w:r>
    </w:p>
    <w:p w14:paraId="6C894A3C" w14:textId="77777777" w:rsidR="00F6312C" w:rsidRPr="002D44AF" w:rsidRDefault="00F6312C">
      <w:pPr>
        <w:spacing w:before="240" w:after="240" w:line="360" w:lineRule="auto"/>
        <w:jc w:val="both"/>
        <w:rPr>
          <w:rFonts w:ascii="Palatino Linotype" w:eastAsia="Palatino Linotype" w:hAnsi="Palatino Linotype" w:cs="Palatino Linotype"/>
        </w:rPr>
      </w:pPr>
    </w:p>
    <w:p w14:paraId="69F1C52C" w14:textId="77777777" w:rsidR="00F6312C" w:rsidRPr="002D44AF" w:rsidRDefault="00F6312C">
      <w:pPr>
        <w:spacing w:before="240" w:after="240" w:line="360" w:lineRule="auto"/>
        <w:jc w:val="both"/>
        <w:rPr>
          <w:rFonts w:ascii="Palatino Linotype" w:eastAsia="Palatino Linotype" w:hAnsi="Palatino Linotype" w:cs="Palatino Linotype"/>
        </w:rPr>
      </w:pPr>
    </w:p>
    <w:p w14:paraId="7B26200B" w14:textId="77777777" w:rsidR="00F6312C" w:rsidRPr="002D44AF" w:rsidRDefault="00F6312C">
      <w:pPr>
        <w:spacing w:before="240" w:after="240" w:line="360" w:lineRule="auto"/>
        <w:jc w:val="both"/>
        <w:rPr>
          <w:rFonts w:ascii="Palatino Linotype" w:eastAsia="Palatino Linotype" w:hAnsi="Palatino Linotype" w:cs="Palatino Linotype"/>
        </w:rPr>
      </w:pPr>
    </w:p>
    <w:p w14:paraId="00A837E4" w14:textId="77777777" w:rsidR="00F6312C" w:rsidRPr="002D44AF" w:rsidRDefault="00F6312C">
      <w:pPr>
        <w:spacing w:before="240" w:after="240" w:line="360" w:lineRule="auto"/>
        <w:jc w:val="both"/>
        <w:rPr>
          <w:rFonts w:ascii="Palatino Linotype" w:eastAsia="Palatino Linotype" w:hAnsi="Palatino Linotype" w:cs="Palatino Linotype"/>
        </w:rPr>
      </w:pPr>
    </w:p>
    <w:p w14:paraId="5074DCE6" w14:textId="77777777" w:rsidR="00F6312C" w:rsidRPr="002D44AF" w:rsidRDefault="00F6312C">
      <w:pPr>
        <w:spacing w:before="240" w:after="240" w:line="360" w:lineRule="auto"/>
        <w:jc w:val="both"/>
        <w:rPr>
          <w:rFonts w:ascii="Palatino Linotype" w:eastAsia="Palatino Linotype" w:hAnsi="Palatino Linotype" w:cs="Palatino Linotype"/>
        </w:rPr>
      </w:pPr>
    </w:p>
    <w:p w14:paraId="2E4B50CD" w14:textId="77777777" w:rsidR="00F6312C" w:rsidRPr="002D44AF" w:rsidRDefault="00F6312C">
      <w:pPr>
        <w:spacing w:before="240" w:after="240" w:line="360" w:lineRule="auto"/>
        <w:jc w:val="both"/>
        <w:rPr>
          <w:rFonts w:ascii="Palatino Linotype" w:eastAsia="Palatino Linotype" w:hAnsi="Palatino Linotype" w:cs="Palatino Linotype"/>
        </w:rPr>
      </w:pPr>
    </w:p>
    <w:p w14:paraId="1A67A756" w14:textId="77777777" w:rsidR="00F6312C" w:rsidRPr="002D44AF" w:rsidRDefault="00F6312C">
      <w:pPr>
        <w:spacing w:before="240" w:after="240" w:line="360" w:lineRule="auto"/>
        <w:jc w:val="both"/>
        <w:rPr>
          <w:rFonts w:ascii="Palatino Linotype" w:eastAsia="Palatino Linotype" w:hAnsi="Palatino Linotype" w:cs="Palatino Linotype"/>
        </w:rPr>
      </w:pPr>
    </w:p>
    <w:p w14:paraId="158B4013" w14:textId="77777777" w:rsidR="00F6312C" w:rsidRPr="002D44AF" w:rsidRDefault="00F6312C">
      <w:pPr>
        <w:spacing w:before="240" w:after="240" w:line="360" w:lineRule="auto"/>
        <w:jc w:val="both"/>
        <w:rPr>
          <w:rFonts w:ascii="Palatino Linotype" w:eastAsia="Palatino Linotype" w:hAnsi="Palatino Linotype" w:cs="Palatino Linotype"/>
        </w:rPr>
      </w:pPr>
    </w:p>
    <w:p w14:paraId="1A25C45D" w14:textId="77777777" w:rsidR="00F6312C" w:rsidRPr="002D44AF" w:rsidRDefault="00F6312C">
      <w:pPr>
        <w:spacing w:before="240" w:after="240" w:line="360" w:lineRule="auto"/>
        <w:jc w:val="both"/>
        <w:rPr>
          <w:rFonts w:ascii="Palatino Linotype" w:eastAsia="Palatino Linotype" w:hAnsi="Palatino Linotype" w:cs="Palatino Linotype"/>
        </w:rPr>
      </w:pPr>
    </w:p>
    <w:p w14:paraId="35EAE4C0" w14:textId="77777777" w:rsidR="00F6312C" w:rsidRPr="002D44AF" w:rsidRDefault="00F6312C">
      <w:pPr>
        <w:spacing w:before="240" w:after="240" w:line="360" w:lineRule="auto"/>
        <w:jc w:val="both"/>
        <w:rPr>
          <w:rFonts w:ascii="Palatino Linotype" w:eastAsia="Palatino Linotype" w:hAnsi="Palatino Linotype" w:cs="Palatino Linotype"/>
        </w:rPr>
      </w:pPr>
    </w:p>
    <w:p w14:paraId="0F565FBC" w14:textId="77777777" w:rsidR="00F6312C" w:rsidRPr="002D44AF" w:rsidRDefault="00F6312C">
      <w:pPr>
        <w:spacing w:before="240" w:after="240" w:line="360" w:lineRule="auto"/>
        <w:jc w:val="both"/>
        <w:rPr>
          <w:rFonts w:ascii="Palatino Linotype" w:eastAsia="Palatino Linotype" w:hAnsi="Palatino Linotype" w:cs="Palatino Linotype"/>
        </w:rPr>
      </w:pPr>
    </w:p>
    <w:p w14:paraId="7FA37BCC" w14:textId="77777777" w:rsidR="00F6312C" w:rsidRPr="002D44AF" w:rsidRDefault="00F6312C">
      <w:pPr>
        <w:spacing w:before="240" w:after="240" w:line="360" w:lineRule="auto"/>
        <w:jc w:val="both"/>
        <w:rPr>
          <w:rFonts w:ascii="Palatino Linotype" w:eastAsia="Palatino Linotype" w:hAnsi="Palatino Linotype" w:cs="Palatino Linotype"/>
        </w:rPr>
      </w:pPr>
    </w:p>
    <w:p w14:paraId="3DD12C68" w14:textId="77777777" w:rsidR="00F6312C" w:rsidRPr="002D44AF" w:rsidRDefault="00F6312C">
      <w:pPr>
        <w:spacing w:before="240" w:after="240" w:line="360" w:lineRule="auto"/>
        <w:jc w:val="both"/>
        <w:rPr>
          <w:rFonts w:ascii="Palatino Linotype" w:eastAsia="Palatino Linotype" w:hAnsi="Palatino Linotype" w:cs="Palatino Linotype"/>
        </w:rPr>
      </w:pPr>
    </w:p>
    <w:p w14:paraId="1CA16FD2" w14:textId="77777777" w:rsidR="00F6312C" w:rsidRPr="002D44AF" w:rsidRDefault="00F6312C">
      <w:pPr>
        <w:spacing w:before="240" w:after="240" w:line="360" w:lineRule="auto"/>
        <w:jc w:val="both"/>
        <w:rPr>
          <w:rFonts w:ascii="Palatino Linotype" w:eastAsia="Palatino Linotype" w:hAnsi="Palatino Linotype" w:cs="Palatino Linotype"/>
        </w:rPr>
      </w:pPr>
    </w:p>
    <w:p w14:paraId="784B7D30" w14:textId="77777777" w:rsidR="00F6312C" w:rsidRPr="002D44AF" w:rsidRDefault="00F6312C">
      <w:pPr>
        <w:spacing w:before="240" w:after="240" w:line="360" w:lineRule="auto"/>
        <w:jc w:val="both"/>
        <w:rPr>
          <w:rFonts w:ascii="Palatino Linotype" w:eastAsia="Palatino Linotype" w:hAnsi="Palatino Linotype" w:cs="Palatino Linotype"/>
        </w:rPr>
      </w:pPr>
    </w:p>
    <w:sectPr w:rsidR="00F6312C" w:rsidRPr="002D44AF">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0DD70" w14:textId="77777777" w:rsidR="00973162" w:rsidRDefault="00973162">
      <w:r>
        <w:separator/>
      </w:r>
    </w:p>
  </w:endnote>
  <w:endnote w:type="continuationSeparator" w:id="0">
    <w:p w14:paraId="5499DB82" w14:textId="77777777" w:rsidR="00973162" w:rsidRDefault="00973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B69F" w14:textId="77777777" w:rsidR="00F6312C" w:rsidRDefault="00B80A2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402C9">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402C9">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0FE8E920" w14:textId="77777777" w:rsidR="00F6312C" w:rsidRDefault="00F6312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A093" w14:textId="77777777" w:rsidR="00F6312C" w:rsidRDefault="00B80A2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402C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402C9">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484DE418" w14:textId="77777777" w:rsidR="00F6312C" w:rsidRDefault="00F6312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D52AC" w14:textId="77777777" w:rsidR="00973162" w:rsidRDefault="00973162">
      <w:r>
        <w:separator/>
      </w:r>
    </w:p>
  </w:footnote>
  <w:footnote w:type="continuationSeparator" w:id="0">
    <w:p w14:paraId="71ED88AE" w14:textId="77777777" w:rsidR="00973162" w:rsidRDefault="00973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0E32" w14:textId="77777777" w:rsidR="00F6312C" w:rsidRDefault="00B80A2A">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BCFD2F0" wp14:editId="0EDC01C7">
          <wp:simplePos x="0" y="0"/>
          <wp:positionH relativeFrom="column">
            <wp:posOffset>-859788</wp:posOffset>
          </wp:positionH>
          <wp:positionV relativeFrom="paragraph">
            <wp:posOffset>-420368</wp:posOffset>
          </wp:positionV>
          <wp:extent cx="7809865" cy="101657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945" w:type="dxa"/>
      <w:tblInd w:w="3261" w:type="dxa"/>
      <w:tblLayout w:type="fixed"/>
      <w:tblLook w:val="0400" w:firstRow="0" w:lastRow="0" w:firstColumn="0" w:lastColumn="0" w:noHBand="0" w:noVBand="1"/>
    </w:tblPr>
    <w:tblGrid>
      <w:gridCol w:w="2489"/>
      <w:gridCol w:w="4456"/>
    </w:tblGrid>
    <w:tr w:rsidR="00F6312C" w14:paraId="232DBC75" w14:textId="77777777">
      <w:tc>
        <w:tcPr>
          <w:tcW w:w="2489" w:type="dxa"/>
          <w:shd w:val="clear" w:color="auto" w:fill="auto"/>
        </w:tcPr>
        <w:p w14:paraId="30196A08" w14:textId="77777777" w:rsidR="00F6312C" w:rsidRDefault="00B80A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5A0594E3" w14:textId="77777777" w:rsidR="00F6312C" w:rsidRDefault="00B80A2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07369/INFOEM/IP/RR/2023</w:t>
          </w:r>
        </w:p>
      </w:tc>
    </w:tr>
    <w:tr w:rsidR="00F6312C" w14:paraId="1A31ADE4" w14:textId="77777777">
      <w:trPr>
        <w:trHeight w:val="228"/>
      </w:trPr>
      <w:tc>
        <w:tcPr>
          <w:tcW w:w="2489" w:type="dxa"/>
          <w:shd w:val="clear" w:color="auto" w:fill="auto"/>
          <w:vAlign w:val="center"/>
        </w:tcPr>
        <w:p w14:paraId="2CA38EE0" w14:textId="77777777" w:rsidR="00F6312C" w:rsidRDefault="00B80A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19ACEDF6" w14:textId="77777777" w:rsidR="00F6312C" w:rsidRDefault="00B80A2A">
          <w:pPr>
            <w:tabs>
              <w:tab w:val="left" w:pos="2357"/>
            </w:tabs>
            <w:ind w:left="-4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Juchitepec</w:t>
          </w:r>
        </w:p>
      </w:tc>
    </w:tr>
    <w:tr w:rsidR="00F6312C" w14:paraId="74F737D7" w14:textId="77777777">
      <w:tc>
        <w:tcPr>
          <w:tcW w:w="2489" w:type="dxa"/>
          <w:shd w:val="clear" w:color="auto" w:fill="auto"/>
          <w:vAlign w:val="center"/>
        </w:tcPr>
        <w:p w14:paraId="7EE8CE27" w14:textId="77777777" w:rsidR="00F6312C" w:rsidRDefault="00B80A2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4439B590" w14:textId="77777777" w:rsidR="00F6312C" w:rsidRDefault="00B80A2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262DD6" w14:textId="77777777" w:rsidR="00F6312C" w:rsidRDefault="00B80A2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F394" w14:textId="77777777" w:rsidR="00F6312C" w:rsidRDefault="00B80A2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93CF8CD" wp14:editId="23218B38">
          <wp:simplePos x="0" y="0"/>
          <wp:positionH relativeFrom="column">
            <wp:posOffset>-1035681</wp:posOffset>
          </wp:positionH>
          <wp:positionV relativeFrom="paragraph">
            <wp:posOffset>-383536</wp:posOffset>
          </wp:positionV>
          <wp:extent cx="7809865" cy="101657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6520" w:type="dxa"/>
      <w:tblInd w:w="3261" w:type="dxa"/>
      <w:tblLayout w:type="fixed"/>
      <w:tblLook w:val="0400" w:firstRow="0" w:lastRow="0" w:firstColumn="0" w:lastColumn="0" w:noHBand="0" w:noVBand="1"/>
    </w:tblPr>
    <w:tblGrid>
      <w:gridCol w:w="2551"/>
      <w:gridCol w:w="3969"/>
    </w:tblGrid>
    <w:tr w:rsidR="00F6312C" w14:paraId="7E155B14" w14:textId="77777777">
      <w:tc>
        <w:tcPr>
          <w:tcW w:w="2551" w:type="dxa"/>
          <w:shd w:val="clear" w:color="auto" w:fill="auto"/>
          <w:vAlign w:val="center"/>
        </w:tcPr>
        <w:p w14:paraId="0E715F64" w14:textId="77777777" w:rsidR="00F6312C" w:rsidRDefault="00B80A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2E654503" w14:textId="77777777" w:rsidR="00F6312C" w:rsidRDefault="00B80A2A">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07369/INFOEM/IP/RR/2023</w:t>
          </w:r>
        </w:p>
      </w:tc>
    </w:tr>
    <w:tr w:rsidR="00F6312C" w14:paraId="13D0198C" w14:textId="77777777">
      <w:trPr>
        <w:trHeight w:val="130"/>
      </w:trPr>
      <w:tc>
        <w:tcPr>
          <w:tcW w:w="2551" w:type="dxa"/>
          <w:shd w:val="clear" w:color="auto" w:fill="auto"/>
          <w:vAlign w:val="center"/>
        </w:tcPr>
        <w:p w14:paraId="14540A0D" w14:textId="77777777" w:rsidR="00F6312C" w:rsidRDefault="00B80A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77124AE5" w14:textId="77777777" w:rsidR="00F6312C" w:rsidRDefault="00F6312C">
          <w:pPr>
            <w:ind w:left="-115" w:right="735"/>
            <w:jc w:val="both"/>
            <w:rPr>
              <w:rFonts w:ascii="Palatino Linotype" w:eastAsia="Palatino Linotype" w:hAnsi="Palatino Linotype" w:cs="Palatino Linotype"/>
              <w:b/>
              <w:sz w:val="22"/>
              <w:szCs w:val="22"/>
            </w:rPr>
          </w:pPr>
        </w:p>
      </w:tc>
    </w:tr>
    <w:tr w:rsidR="00F6312C" w14:paraId="6458E266" w14:textId="77777777">
      <w:trPr>
        <w:trHeight w:val="228"/>
      </w:trPr>
      <w:tc>
        <w:tcPr>
          <w:tcW w:w="2551" w:type="dxa"/>
          <w:shd w:val="clear" w:color="auto" w:fill="auto"/>
          <w:vAlign w:val="center"/>
        </w:tcPr>
        <w:p w14:paraId="3170C822" w14:textId="77777777" w:rsidR="00F6312C" w:rsidRDefault="00B80A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4EBA83A3" w14:textId="77777777" w:rsidR="00F6312C" w:rsidRDefault="00B80A2A">
          <w:pPr>
            <w:ind w:left="-11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Juchitepec</w:t>
          </w:r>
        </w:p>
      </w:tc>
    </w:tr>
    <w:tr w:rsidR="00F6312C" w14:paraId="2638ADA3" w14:textId="77777777">
      <w:tc>
        <w:tcPr>
          <w:tcW w:w="2551" w:type="dxa"/>
          <w:shd w:val="clear" w:color="auto" w:fill="auto"/>
          <w:vAlign w:val="center"/>
        </w:tcPr>
        <w:p w14:paraId="40F24942" w14:textId="77777777" w:rsidR="00F6312C" w:rsidRDefault="00B80A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29F13987" w14:textId="77777777" w:rsidR="00F6312C" w:rsidRDefault="00B80A2A">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76A0587" w14:textId="77777777" w:rsidR="00F6312C" w:rsidRDefault="00F6312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E53"/>
    <w:multiLevelType w:val="multilevel"/>
    <w:tmpl w:val="645EF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B205C9"/>
    <w:multiLevelType w:val="multilevel"/>
    <w:tmpl w:val="32D6B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4D3D1E"/>
    <w:multiLevelType w:val="multilevel"/>
    <w:tmpl w:val="B20623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83C0A2D"/>
    <w:multiLevelType w:val="multilevel"/>
    <w:tmpl w:val="33E65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3800BB"/>
    <w:multiLevelType w:val="multilevel"/>
    <w:tmpl w:val="4B2079B2"/>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8C3EAD"/>
    <w:multiLevelType w:val="multilevel"/>
    <w:tmpl w:val="781410A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77415075"/>
    <w:multiLevelType w:val="multilevel"/>
    <w:tmpl w:val="A34061F8"/>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CA52529"/>
    <w:multiLevelType w:val="multilevel"/>
    <w:tmpl w:val="8B12A8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4"/>
  </w:num>
  <w:num w:numId="3">
    <w:abstractNumId w:val="2"/>
  </w:num>
  <w:num w:numId="4">
    <w:abstractNumId w:val="6"/>
  </w:num>
  <w:num w:numId="5">
    <w:abstractNumId w:val="0"/>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12C"/>
    <w:rsid w:val="000B1CE9"/>
    <w:rsid w:val="000C78B6"/>
    <w:rsid w:val="002D44AF"/>
    <w:rsid w:val="002D7CAA"/>
    <w:rsid w:val="00973162"/>
    <w:rsid w:val="00A402C9"/>
    <w:rsid w:val="00B80A2A"/>
    <w:rsid w:val="00F62CDB"/>
    <w:rsid w:val="00F631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AAD10"/>
  <w15:docId w15:val="{84590A56-60F2-4C91-8966-25E7C9023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H8WblZhhQrRKWfAs9P1cNY16w==">CgMxLjAyCGguZ2pkZ3hzMgloLjMwajB6bGwyCWguMnM4ZXlvMTIIaC50eWpjd3QyCWguMXQzaDVzZjIJaC4zem55c2g3MgloLjFmb2I5dGUyCWguMmV0OTJwMDgAciExV3R2X1Bfd1A3cExISGZyNE03aU9WdExjTWJwemZzUTg=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10476</Words>
  <Characters>57624</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2023-12-15T17:08:00Z</cp:lastPrinted>
  <dcterms:created xsi:type="dcterms:W3CDTF">2023-12-20T21:11:00Z</dcterms:created>
  <dcterms:modified xsi:type="dcterms:W3CDTF">2023-12-20T21:11:00Z</dcterms:modified>
</cp:coreProperties>
</file>