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169" w:rsidRDefault="003F152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veinticinco de octubre de dos mil veintitrés</w:t>
      </w:r>
      <w:r>
        <w:rPr>
          <w:rFonts w:ascii="Palatino Linotype" w:eastAsia="Palatino Linotype" w:hAnsi="Palatino Linotype" w:cs="Palatino Linotype"/>
        </w:rPr>
        <w:t xml:space="preserve">. </w:t>
      </w:r>
    </w:p>
    <w:p w:rsidR="00A36169" w:rsidRDefault="003F152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01914/INFOEM/IP/RR/2023</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Chiautla</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A36169" w:rsidRDefault="003F1527">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marzo del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00025/CHIAUTLA/IP/2023, </w:t>
      </w:r>
      <w:r>
        <w:rPr>
          <w:rFonts w:ascii="Palatino Linotype" w:eastAsia="Palatino Linotype" w:hAnsi="Palatino Linotype" w:cs="Palatino Linotype"/>
        </w:rPr>
        <w:t xml:space="preserve">mediante la cual requirió la información siguiente: </w:t>
      </w:r>
    </w:p>
    <w:p w:rsidR="00A36169" w:rsidRDefault="003F1527">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copia de las licencias de funcionamiento entregadas durante el año 2023 y los recibos de pago de cada una de ellas</w:t>
      </w:r>
      <w:r>
        <w:rPr>
          <w:rFonts w:ascii="Palatino Linotype" w:eastAsia="Palatino Linotype" w:hAnsi="Palatino Linotype" w:cs="Palatino Linotype"/>
          <w:i/>
          <w:sz w:val="22"/>
          <w:szCs w:val="22"/>
        </w:rPr>
        <w:t>” (Sic) (Énfasis añadido)</w:t>
      </w:r>
    </w:p>
    <w:p w:rsidR="00A36169" w:rsidRDefault="003F1527">
      <w:pPr>
        <w:tabs>
          <w:tab w:val="left" w:pos="108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A36169" w:rsidRDefault="00A36169">
      <w:pPr>
        <w:spacing w:line="360" w:lineRule="auto"/>
        <w:ind w:left="567" w:right="900"/>
        <w:jc w:val="both"/>
        <w:rPr>
          <w:rFonts w:ascii="Palatino Linotype" w:eastAsia="Palatino Linotype" w:hAnsi="Palatino Linotype" w:cs="Palatino Linotype"/>
          <w:sz w:val="22"/>
          <w:szCs w:val="22"/>
        </w:rPr>
      </w:pPr>
    </w:p>
    <w:p w:rsidR="00A36169" w:rsidRDefault="00A36169">
      <w:pPr>
        <w:spacing w:line="360" w:lineRule="auto"/>
        <w:ind w:left="567" w:right="900"/>
        <w:jc w:val="both"/>
        <w:rPr>
          <w:rFonts w:ascii="Palatino Linotype" w:eastAsia="Palatino Linotype" w:hAnsi="Palatino Linotype" w:cs="Palatino Linotype"/>
          <w:sz w:val="22"/>
          <w:szCs w:val="22"/>
        </w:rPr>
      </w:pPr>
    </w:p>
    <w:p w:rsidR="00A36169" w:rsidRDefault="00A36169">
      <w:pPr>
        <w:spacing w:line="360" w:lineRule="auto"/>
        <w:ind w:left="567" w:right="900"/>
        <w:jc w:val="center"/>
        <w:rPr>
          <w:rFonts w:ascii="Palatino Linotype" w:eastAsia="Palatino Linotype" w:hAnsi="Palatino Linotype" w:cs="Palatino Linotype"/>
          <w:sz w:val="22"/>
          <w:szCs w:val="22"/>
        </w:rPr>
      </w:pPr>
    </w:p>
    <w:p w:rsidR="00A36169" w:rsidRDefault="003F152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doce de abril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A36169" w:rsidRDefault="003F1527">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36169" w:rsidRDefault="003F1527">
      <w:pPr>
        <w:spacing w:before="240" w:after="240"/>
        <w:ind w:left="567"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Se adjunta Acta del Comité de Transparencia, Acuerdo 006, así como facturas correspondientes a licencias 2023. Cabe señalar que durante el ejercicio 2023 aún no se han entregado licencias de funcionamiento.</w:t>
      </w:r>
    </w:p>
    <w:p w:rsidR="00A36169" w:rsidRDefault="003F1527">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A36169" w:rsidRDefault="003F1527">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 EN D. EDGAR JOVANY VELASCO GARCIA” (Sic) (Énfasis añadido)</w:t>
      </w:r>
    </w:p>
    <w:p w:rsidR="00A36169" w:rsidRDefault="003F1527">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A36169" w:rsidRDefault="003F1527">
      <w:pPr>
        <w:spacing w:before="240" w:after="240" w:line="360" w:lineRule="auto"/>
        <w:ind w:left="567" w:right="104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“ACTA.pdf”: </w:t>
      </w:r>
      <w:r>
        <w:rPr>
          <w:rFonts w:ascii="Palatino Linotype" w:eastAsia="Palatino Linotype" w:hAnsi="Palatino Linotype" w:cs="Palatino Linotype"/>
        </w:rPr>
        <w:t xml:space="preserve">Acta de la Cuarta Sesión Ordinaria del año dos mil veintitrés del Comité de Transparencia del Ayuntamiento de </w:t>
      </w:r>
      <w:proofErr w:type="spellStart"/>
      <w:r>
        <w:rPr>
          <w:rFonts w:ascii="Palatino Linotype" w:eastAsia="Palatino Linotype" w:hAnsi="Palatino Linotype" w:cs="Palatino Linotype"/>
        </w:rPr>
        <w:t>Chiautla</w:t>
      </w:r>
      <w:proofErr w:type="spellEnd"/>
      <w:r>
        <w:rPr>
          <w:rFonts w:ascii="Palatino Linotype" w:eastAsia="Palatino Linotype" w:hAnsi="Palatino Linotype" w:cs="Palatino Linotype"/>
        </w:rPr>
        <w:t>, Estado de México 2022-2024, en la cual consta en el punto 3 del orden del día, el análisis y resolución de la propuesta de clasificación como información confidencial del nombre del contribuyente, RFC, Domicilio, Folio fiscal, serie del certificado del SAT, sello del SAT, código QR, y cadena original del complemento de certificación digital del SAT, que obran en las facturas de pago de las licencias de funcionamiento 2023.</w:t>
      </w:r>
    </w:p>
    <w:p w:rsidR="00A36169" w:rsidRDefault="003F1527">
      <w:pPr>
        <w:spacing w:before="240" w:after="240" w:line="360" w:lineRule="auto"/>
        <w:ind w:left="567"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177417" cy="7075719"/>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77417" cy="7075719"/>
                    </a:xfrm>
                    <a:prstGeom prst="rect">
                      <a:avLst/>
                    </a:prstGeom>
                    <a:ln/>
                  </pic:spPr>
                </pic:pic>
              </a:graphicData>
            </a:graphic>
          </wp:inline>
        </w:drawing>
      </w:r>
    </w:p>
    <w:p w:rsidR="00A36169" w:rsidRDefault="003F1527">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“ACUERDO 006.pdf”: </w:t>
      </w:r>
      <w:r>
        <w:rPr>
          <w:rFonts w:ascii="Palatino Linotype" w:eastAsia="Palatino Linotype" w:hAnsi="Palatino Linotype" w:cs="Palatino Linotype"/>
        </w:rPr>
        <w:t>Cuadro de clasificación que sustenta la versión pública elaborada por la Dirección de Desarrollo Económico.</w:t>
      </w:r>
    </w:p>
    <w:p w:rsidR="00A36169" w:rsidRDefault="003F1527">
      <w:pPr>
        <w:spacing w:before="240" w:after="240" w:line="360" w:lineRule="auto"/>
        <w:ind w:left="567"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70710" cy="6320803"/>
            <wp:effectExtent l="0" t="0" r="0" b="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970710" cy="6320803"/>
                    </a:xfrm>
                    <a:prstGeom prst="rect">
                      <a:avLst/>
                    </a:prstGeom>
                    <a:ln/>
                  </pic:spPr>
                </pic:pic>
              </a:graphicData>
            </a:graphic>
          </wp:inline>
        </w:drawing>
      </w:r>
    </w:p>
    <w:p w:rsidR="00A36169" w:rsidRDefault="003F1527">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“FACTURAS_LICENCIAS_2023_compressed.pdf”:</w:t>
      </w:r>
      <w:r>
        <w:rPr>
          <w:rFonts w:ascii="Palatino Linotype" w:eastAsia="Palatino Linotype" w:hAnsi="Palatino Linotype" w:cs="Palatino Linotype"/>
        </w:rPr>
        <w:t xml:space="preserve"> Archivo que se compone de treinta y cuatro fojas, en el que se aprecian 34 facturas generadas para la expedición, así como refrendo de licencias de funcionamiento.</w:t>
      </w:r>
    </w:p>
    <w:p w:rsidR="00A36169" w:rsidRDefault="003F1527">
      <w:pPr>
        <w:spacing w:before="240" w:after="240" w:line="360" w:lineRule="auto"/>
        <w:ind w:left="567"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876013" cy="5935960"/>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76013" cy="5935960"/>
                    </a:xfrm>
                    <a:prstGeom prst="rect">
                      <a:avLst/>
                    </a:prstGeom>
                    <a:ln/>
                  </pic:spPr>
                </pic:pic>
              </a:graphicData>
            </a:graphic>
          </wp:inline>
        </w:drawing>
      </w:r>
    </w:p>
    <w:p w:rsidR="00A36169" w:rsidRDefault="003F1527">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“RESPUESTA-00025-2023.pdf”:</w:t>
      </w:r>
      <w:r>
        <w:rPr>
          <w:rFonts w:ascii="Palatino Linotype" w:eastAsia="Palatino Linotype" w:hAnsi="Palatino Linotype" w:cs="Palatino Linotype"/>
          <w:sz w:val="22"/>
          <w:szCs w:val="22"/>
        </w:rPr>
        <w:t xml:space="preserve"> Documento por el cual, el Titular de la Unidad de Transparencia notifica la respuesta a la persona solicitante.</w:t>
      </w:r>
    </w:p>
    <w:p w:rsidR="00A36169" w:rsidRDefault="003F1527">
      <w:pPr>
        <w:spacing w:before="240" w:after="240" w:line="360" w:lineRule="auto"/>
        <w:ind w:left="567"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r>
        <w:rPr>
          <w:rFonts w:ascii="Palatino Linotype" w:eastAsia="Palatino Linotype" w:hAnsi="Palatino Linotype" w:cs="Palatino Linotype"/>
          <w:b/>
          <w:i/>
          <w:noProof/>
          <w:lang w:val="es-MX"/>
        </w:rPr>
        <w:drawing>
          <wp:inline distT="0" distB="0" distL="0" distR="0">
            <wp:extent cx="5350115" cy="6211493"/>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350115" cy="6211493"/>
                    </a:xfrm>
                    <a:prstGeom prst="rect">
                      <a:avLst/>
                    </a:prstGeom>
                    <a:ln/>
                  </pic:spPr>
                </pic:pic>
              </a:graphicData>
            </a:graphic>
          </wp:inline>
        </w:drawing>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abril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A36169" w:rsidRDefault="003F1527">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r>
        <w:rPr>
          <w:rFonts w:ascii="Palatino Linotype" w:eastAsia="Palatino Linotype" w:hAnsi="Palatino Linotype" w:cs="Palatino Linotype"/>
          <w:b/>
        </w:rPr>
        <w:tab/>
      </w:r>
    </w:p>
    <w:p w:rsidR="00A36169" w:rsidRDefault="003F1527">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las licencias de funcionamiento” (Sic)</w:t>
      </w:r>
    </w:p>
    <w:p w:rsidR="00A36169" w:rsidRDefault="00A36169">
      <w:pPr>
        <w:ind w:left="851" w:right="902"/>
        <w:jc w:val="both"/>
        <w:rPr>
          <w:rFonts w:ascii="Palatino Linotype" w:eastAsia="Palatino Linotype" w:hAnsi="Palatino Linotype" w:cs="Palatino Linotype"/>
          <w:i/>
          <w:sz w:val="22"/>
          <w:szCs w:val="22"/>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rsidR="00A36169" w:rsidRDefault="003F1527">
      <w:pPr>
        <w:ind w:left="567"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No entrega las licencias de funcionamiento</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rsidR="00A36169" w:rsidRDefault="00A36169">
      <w:pPr>
        <w:ind w:left="851" w:right="902"/>
        <w:jc w:val="both"/>
        <w:rPr>
          <w:rFonts w:ascii="Palatino Linotype" w:eastAsia="Palatino Linotype" w:hAnsi="Palatino Linotype" w:cs="Palatino Linotype"/>
          <w:i/>
          <w:sz w:val="22"/>
          <w:szCs w:val="22"/>
        </w:rPr>
      </w:pPr>
    </w:p>
    <w:p w:rsidR="00A36169" w:rsidRDefault="003F152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A36169" w:rsidRDefault="00A36169">
      <w:pPr>
        <w:spacing w:line="360" w:lineRule="auto"/>
        <w:ind w:right="51"/>
        <w:jc w:val="both"/>
        <w:rPr>
          <w:rFonts w:ascii="Palatino Linotype" w:eastAsia="Palatino Linotype" w:hAnsi="Palatino Linotype" w:cs="Palatino Linotype"/>
        </w:rPr>
      </w:pPr>
    </w:p>
    <w:p w:rsidR="00A36169" w:rsidRDefault="003F152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dieciocho de abril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A36169" w:rsidRDefault="003F1527">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Durante este plazo, se tiene constancia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el archivo electrónico denominado “</w:t>
      </w:r>
      <w:r>
        <w:rPr>
          <w:rFonts w:ascii="Palatino Linotype" w:eastAsia="Palatino Linotype" w:hAnsi="Palatino Linotype" w:cs="Palatino Linotype"/>
          <w:b/>
          <w:i/>
        </w:rPr>
        <w:t xml:space="preserve">01914-INFOEM-IP-RR-2023.pdf”, </w:t>
      </w:r>
      <w:r>
        <w:rPr>
          <w:rFonts w:ascii="Palatino Linotype" w:eastAsia="Palatino Linotype" w:hAnsi="Palatino Linotype" w:cs="Palatino Linotype"/>
        </w:rPr>
        <w:t xml:space="preserve">el cual se compone de cuatro fojas y medularmente ratifica la respuesta inicial pero a su vez señala que </w:t>
      </w:r>
      <w:r>
        <w:rPr>
          <w:rFonts w:ascii="Palatino Linotype" w:eastAsia="Palatino Linotype" w:hAnsi="Palatino Linotype" w:cs="Palatino Linotype"/>
          <w:b/>
        </w:rPr>
        <w:t>no se tiene registro de que en el año dos mil veintitrés, se haya entregado licencia de funcionamiento alguna</w:t>
      </w:r>
      <w:r>
        <w:rPr>
          <w:rFonts w:ascii="Palatino Linotype" w:eastAsia="Palatino Linotype" w:hAnsi="Palatino Linotype" w:cs="Palatino Linotype"/>
        </w:rPr>
        <w:t xml:space="preserve">; es de precisar que una vez analizada esta documentación, se determinó ponerla a la vista de la persona solicitante mediante acuerdo signado por la Comisionada Ponente el </w:t>
      </w:r>
      <w:r>
        <w:rPr>
          <w:rFonts w:ascii="Palatino Linotype" w:eastAsia="Palatino Linotype" w:hAnsi="Palatino Linotype" w:cs="Palatino Linotype"/>
          <w:b/>
        </w:rPr>
        <w:t>once de octubre de dos mil veintitrés</w:t>
      </w:r>
      <w:r>
        <w:rPr>
          <w:rFonts w:ascii="Palatino Linotype" w:eastAsia="Palatino Linotype" w:hAnsi="Palatino Linotype" w:cs="Palatino Linotype"/>
        </w:rPr>
        <w:t xml:space="preserve">, es de precisar que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tiene que fue omisa en emitir sus alegatos, manifestaciones o cualquier manifestación que a su derecho conviniera,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w:t>
      </w:r>
    </w:p>
    <w:p w:rsidR="00A36169" w:rsidRDefault="003F152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612130" cy="1908810"/>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1908810"/>
                    </a:xfrm>
                    <a:prstGeom prst="rect">
                      <a:avLst/>
                    </a:prstGeom>
                    <a:ln/>
                  </pic:spPr>
                </pic:pic>
              </a:graphicData>
            </a:graphic>
          </wp:inline>
        </w:drawing>
      </w:r>
    </w:p>
    <w:p w:rsidR="00A36169" w:rsidRDefault="003F1527">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once de octubre </w:t>
      </w:r>
      <w:r>
        <w:rPr>
          <w:rFonts w:ascii="Palatino Linotype" w:eastAsia="Palatino Linotype" w:hAnsi="Palatino Linotype" w:cs="Palatino Linotype"/>
          <w:b/>
        </w:rPr>
        <w:t>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36169" w:rsidRDefault="00A36169">
      <w:pPr>
        <w:spacing w:line="360" w:lineRule="auto"/>
        <w:jc w:val="both"/>
        <w:rPr>
          <w:rFonts w:ascii="Palatino Linotype" w:eastAsia="Palatino Linotype" w:hAnsi="Palatino Linotype" w:cs="Palatino Linotype"/>
        </w:rPr>
      </w:pPr>
    </w:p>
    <w:p w:rsidR="00A36169" w:rsidRDefault="003F1527">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A36169" w:rsidRDefault="00A36169">
      <w:pPr>
        <w:spacing w:line="360" w:lineRule="auto"/>
        <w:ind w:left="567" w:right="900" w:hanging="141"/>
        <w:jc w:val="both"/>
        <w:rPr>
          <w:rFonts w:ascii="Palatino Linotype" w:eastAsia="Palatino Linotype" w:hAnsi="Palatino Linotype" w:cs="Palatino Linotype"/>
          <w:b/>
        </w:rPr>
      </w:pPr>
    </w:p>
    <w:p w:rsidR="00A36169" w:rsidRDefault="003F1527">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rsidR="00A36169" w:rsidRDefault="00A36169">
      <w:pPr>
        <w:spacing w:line="360" w:lineRule="auto"/>
        <w:ind w:left="567" w:right="900" w:hanging="141"/>
        <w:jc w:val="both"/>
        <w:rPr>
          <w:rFonts w:ascii="Palatino Linotype" w:eastAsia="Palatino Linotype" w:hAnsi="Palatino Linotype" w:cs="Palatino Linotype"/>
        </w:rPr>
      </w:pPr>
    </w:p>
    <w:p w:rsidR="00A36169" w:rsidRDefault="003F1527">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A36169" w:rsidRDefault="00A36169">
      <w:pPr>
        <w:spacing w:line="360" w:lineRule="auto"/>
        <w:ind w:left="567" w:right="900" w:hanging="141"/>
        <w:rPr>
          <w:rFonts w:ascii="Palatino Linotype" w:eastAsia="Palatino Linotype" w:hAnsi="Palatino Linotype" w:cs="Palatino Linotype"/>
        </w:rPr>
      </w:pPr>
    </w:p>
    <w:p w:rsidR="00A36169" w:rsidRDefault="003F1527">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relación con la actuación del funcionario, como ha acontecido en el caso que nos ocupa.</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A36169" w:rsidRDefault="00A36169">
      <w:pPr>
        <w:spacing w:line="360" w:lineRule="auto"/>
        <w:jc w:val="both"/>
        <w:rPr>
          <w:rFonts w:ascii="Palatino Linotype" w:eastAsia="Palatino Linotype" w:hAnsi="Palatino Linotype" w:cs="Palatino Linotype"/>
          <w:b/>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A36169" w:rsidRDefault="00A36169">
      <w:pPr>
        <w:spacing w:line="360" w:lineRule="auto"/>
        <w:jc w:val="both"/>
        <w:rPr>
          <w:rFonts w:ascii="Palatino Linotype" w:eastAsia="Palatino Linotype" w:hAnsi="Palatino Linotype" w:cs="Palatino Linotype"/>
        </w:rPr>
      </w:pPr>
    </w:p>
    <w:p w:rsidR="00A36169" w:rsidRDefault="003F152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veinte de octubre 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A36169" w:rsidRDefault="003F1527">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A36169" w:rsidRDefault="00A36169">
      <w:pPr>
        <w:widowControl w:val="0"/>
        <w:spacing w:line="360" w:lineRule="auto"/>
        <w:jc w:val="center"/>
        <w:rPr>
          <w:rFonts w:ascii="Palatino Linotype" w:eastAsia="Palatino Linotype" w:hAnsi="Palatino Linotype" w:cs="Palatino Linotype"/>
          <w:b/>
        </w:rPr>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36169" w:rsidRDefault="003F1527">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A36169" w:rsidRDefault="003F152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Pr>
          <w:rFonts w:ascii="Palatino Linotype" w:eastAsia="Palatino Linotype" w:hAnsi="Palatino Linotype" w:cs="Palatino Linotype"/>
          <w:b/>
          <w:color w:val="000000"/>
        </w:rPr>
        <w:t xml:space="preserve">el Sujeto </w:t>
      </w:r>
      <w:r>
        <w:rPr>
          <w:rFonts w:ascii="Palatino Linotype" w:eastAsia="Palatino Linotype" w:hAnsi="Palatino Linotype" w:cs="Palatino Linotype"/>
          <w:b/>
          <w:color w:val="000000"/>
        </w:rPr>
        <w:lastRenderedPageBreak/>
        <w:t>Obligado</w:t>
      </w:r>
      <w:r>
        <w:rPr>
          <w:rFonts w:ascii="Palatino Linotype" w:eastAsia="Palatino Linotype" w:hAnsi="Palatino Linotype" w:cs="Palatino Linotype"/>
          <w:color w:val="000000"/>
        </w:rPr>
        <w:t xml:space="preserve"> respondió a la solicitud de información el </w:t>
      </w:r>
      <w:r>
        <w:rPr>
          <w:rFonts w:ascii="Palatino Linotype" w:eastAsia="Palatino Linotype" w:hAnsi="Palatino Linotype" w:cs="Palatino Linotype"/>
          <w:b/>
          <w:color w:val="000000"/>
        </w:rPr>
        <w:t xml:space="preserve">doce de abril de dos mil veintitrés, </w:t>
      </w:r>
      <w:r>
        <w:rPr>
          <w:rFonts w:ascii="Palatino Linotype" w:eastAsia="Palatino Linotype" w:hAnsi="Palatino Linotype" w:cs="Palatino Linotype"/>
          <w:color w:val="000000"/>
        </w:rPr>
        <w:t xml:space="preserve">mientras que el recurso de revisión se interpuso el </w:t>
      </w:r>
      <w:r>
        <w:rPr>
          <w:rFonts w:ascii="Palatino Linotype" w:eastAsia="Palatino Linotype" w:hAnsi="Palatino Linotype" w:cs="Palatino Linotype"/>
          <w:b/>
          <w:color w:val="000000"/>
        </w:rPr>
        <w:t>trece de abril de dos mil veintitrés</w:t>
      </w:r>
      <w:r>
        <w:rPr>
          <w:rFonts w:ascii="Palatino Linotype" w:eastAsia="Palatino Linotype" w:hAnsi="Palatino Linotype" w:cs="Palatino Linotype"/>
          <w:color w:val="000000"/>
        </w:rPr>
        <w:t xml:space="preserve">, esto es, el </w:t>
      </w:r>
      <w:r>
        <w:rPr>
          <w:rFonts w:ascii="Palatino Linotype" w:eastAsia="Palatino Linotype" w:hAnsi="Palatino Linotype" w:cs="Palatino Linotype"/>
          <w:b/>
          <w:color w:val="000000"/>
        </w:rPr>
        <w:t xml:space="preserve">primer día hábil </w:t>
      </w:r>
      <w:r>
        <w:rPr>
          <w:rFonts w:ascii="Palatino Linotype" w:eastAsia="Palatino Linotype" w:hAnsi="Palatino Linotype" w:cs="Palatino Linotype"/>
          <w:color w:val="000000"/>
        </w:rPr>
        <w:t>posterior en que tuvo conocimiento de la respuesta impugnada.</w:t>
      </w:r>
    </w:p>
    <w:p w:rsidR="00A36169" w:rsidRDefault="003F152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36169" w:rsidRDefault="003F15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señalar nombre o seudónimo con el que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36169" w:rsidRDefault="003F1527">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A36169" w:rsidRDefault="003F152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Pr>
          <w:rFonts w:ascii="Palatino Linotype" w:eastAsia="Palatino Linotype" w:hAnsi="Palatino Linotype" w:cs="Palatino Linotype"/>
        </w:rPr>
        <w:t xml:space="preserve">fracción V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A36169" w:rsidRDefault="003F152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A36169" w:rsidRDefault="003F152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36169" w:rsidRDefault="003F152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(Énfasis añadido)</w:t>
      </w:r>
    </w:p>
    <w:p w:rsidR="00A36169" w:rsidRDefault="00A3616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w:t>
      </w:r>
      <w:r>
        <w:rPr>
          <w:rFonts w:ascii="Palatino Linotype" w:eastAsia="Palatino Linotype" w:hAnsi="Palatino Linotype" w:cs="Palatino Linotype"/>
          <w:color w:val="000000"/>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36169" w:rsidRDefault="003F152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A36169" w:rsidRDefault="003F152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A36169" w:rsidRDefault="003F152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A36169" w:rsidRDefault="003F152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A36169" w:rsidRDefault="003F1527">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A36169" w:rsidRDefault="003F1527">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w:t>
      </w:r>
      <w:r>
        <w:rPr>
          <w:rFonts w:ascii="Palatino Linotype" w:eastAsia="Palatino Linotype" w:hAnsi="Palatino Linotype" w:cs="Palatino Linotype"/>
          <w:i/>
          <w:color w:val="000000"/>
          <w:sz w:val="22"/>
          <w:szCs w:val="22"/>
        </w:rPr>
        <w:lastRenderedPageBreak/>
        <w:t xml:space="preserve">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A36169" w:rsidRDefault="003F152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Pr>
          <w:rFonts w:ascii="Palatino Linotype" w:eastAsia="Palatino Linotype" w:hAnsi="Palatino Linotype" w:cs="Palatino Linotype"/>
          <w:color w:val="000000"/>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36169" w:rsidRDefault="003F152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A36169" w:rsidRDefault="003F152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36169" w:rsidRDefault="003F152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36169" w:rsidRDefault="003F1527">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A36169" w:rsidRDefault="003F1527">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w:t>
      </w:r>
      <w:r>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rsidR="00A36169" w:rsidRDefault="003F1527">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Pr>
          <w:rFonts w:ascii="Palatino Linotype" w:eastAsia="Palatino Linotype" w:hAnsi="Palatino Linotype" w:cs="Palatino Linotype"/>
          <w:i/>
          <w:color w:val="000000"/>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36169" w:rsidRDefault="003F152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A36169" w:rsidRDefault="003F1527">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A36169" w:rsidRDefault="003F1527">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A36169" w:rsidRDefault="003F1527">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A36169" w:rsidRDefault="003F152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color w:val="000000"/>
        </w:rPr>
        <w:lastRenderedPageBreak/>
        <w:t>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A36169" w:rsidRDefault="003F15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A36169" w:rsidRDefault="003F1527">
      <w:pPr>
        <w:numPr>
          <w:ilvl w:val="0"/>
          <w:numId w:val="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Copia de las licencias de funcionamiento entregadas durante el año 2023 y los recibos de pago de cada una de ellas.</w:t>
      </w:r>
    </w:p>
    <w:p w:rsidR="00A36169" w:rsidRDefault="00A36169">
      <w:pPr>
        <w:tabs>
          <w:tab w:val="left" w:pos="7513"/>
        </w:tabs>
        <w:spacing w:line="360" w:lineRule="auto"/>
        <w:ind w:right="49"/>
        <w:jc w:val="both"/>
        <w:rPr>
          <w:rFonts w:ascii="Palatino Linotype" w:eastAsia="Palatino Linotype" w:hAnsi="Palatino Linotype" w:cs="Palatino Linotype"/>
        </w:rPr>
      </w:pPr>
    </w:p>
    <w:p w:rsidR="00A36169" w:rsidRDefault="003F1527">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respuesta remitió los siguientes archivos electrónicos:</w:t>
      </w:r>
    </w:p>
    <w:p w:rsidR="00A36169" w:rsidRDefault="003F1527">
      <w:pPr>
        <w:spacing w:before="240" w:after="240" w:line="360" w:lineRule="auto"/>
        <w:ind w:left="567" w:right="104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“ACTA.pdf”: </w:t>
      </w:r>
      <w:r>
        <w:rPr>
          <w:rFonts w:ascii="Palatino Linotype" w:eastAsia="Palatino Linotype" w:hAnsi="Palatino Linotype" w:cs="Palatino Linotype"/>
        </w:rPr>
        <w:t xml:space="preserve">Acta de la Cuarta Sesión Ordinaria del año dos mil veintitrés del Comité de Transparencia del Ayuntamiento de </w:t>
      </w:r>
      <w:proofErr w:type="spellStart"/>
      <w:r>
        <w:rPr>
          <w:rFonts w:ascii="Palatino Linotype" w:eastAsia="Palatino Linotype" w:hAnsi="Palatino Linotype" w:cs="Palatino Linotype"/>
        </w:rPr>
        <w:t>Chiautla</w:t>
      </w:r>
      <w:proofErr w:type="spellEnd"/>
      <w:r>
        <w:rPr>
          <w:rFonts w:ascii="Palatino Linotype" w:eastAsia="Palatino Linotype" w:hAnsi="Palatino Linotype" w:cs="Palatino Linotype"/>
        </w:rPr>
        <w:t>, Estado de México 2022-2024, en la cual consta en el punto 3 del orden del día, el análisis y resolución de la propuesta de clasificación como información confidencial del nombre del contribuyente, RFC, Domicilio, Folio fiscal, serie del certificado del SAT, sello del SAT, código QR, y cadena original del complemento de certificación digital del SAT, que obran en las facturas de pago de las licencias de funcionamiento 2023.</w:t>
      </w:r>
    </w:p>
    <w:p w:rsidR="00A36169" w:rsidRDefault="003F1527">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“ACUERDO 006.pdf”: </w:t>
      </w:r>
      <w:r>
        <w:rPr>
          <w:rFonts w:ascii="Palatino Linotype" w:eastAsia="Palatino Linotype" w:hAnsi="Palatino Linotype" w:cs="Palatino Linotype"/>
        </w:rPr>
        <w:t>Cuadro de clasificación que sustenta la versión pública elaborada por la Dirección de Desarrollo Económico.</w:t>
      </w:r>
    </w:p>
    <w:p w:rsidR="00A36169" w:rsidRDefault="003F1527">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“FACTURAS_LICENCIAS_2023_compressed.pdf”:</w:t>
      </w:r>
      <w:r>
        <w:rPr>
          <w:rFonts w:ascii="Palatino Linotype" w:eastAsia="Palatino Linotype" w:hAnsi="Palatino Linotype" w:cs="Palatino Linotype"/>
        </w:rPr>
        <w:t xml:space="preserve"> Archivo que se compone de treinta y cuatro fojas, en el que se aprecian 34 facturas generadas para la expedición, así como refrendo de licencias de funcionamiento.</w:t>
      </w:r>
    </w:p>
    <w:p w:rsidR="00A36169" w:rsidRDefault="003F1527">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“RESPUESTA-00025-2023.pdf”:</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Documento por el cual, el Titular de la Unidad de Transparencia notifica la respuesta a la persona solicitante.</w:t>
      </w:r>
    </w:p>
    <w:p w:rsidR="00A36169" w:rsidRDefault="003F1527">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Pr>
          <w:rFonts w:ascii="Palatino Linotype" w:eastAsia="Palatino Linotype" w:hAnsi="Palatino Linotype" w:cs="Palatino Linotype"/>
          <w:b/>
          <w:i/>
          <w:u w:val="single"/>
        </w:rPr>
        <w:t>“No entrega las licencias de funcionamiento”</w:t>
      </w:r>
      <w:r>
        <w:rPr>
          <w:rFonts w:ascii="Palatino Linotype" w:eastAsia="Palatino Linotype" w:hAnsi="Palatino Linotype" w:cs="Palatino Linotype"/>
          <w:i/>
        </w:rPr>
        <w:t xml:space="preserve"> (Sic) (Énfasis añadido), </w:t>
      </w:r>
      <w:r>
        <w:rPr>
          <w:rFonts w:ascii="Palatino Linotype" w:eastAsia="Palatino Linotype" w:hAnsi="Palatino Linotype" w:cs="Palatino Linotype"/>
        </w:rPr>
        <w:t>es decir, su inconformidad medularmente versa sobre la entrega de información incompleta.</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ratificó los términos de su respuesta inicial, mientras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presentar sus alegatos, manifestaciones o cualquier argumento que a su derecho conviniera,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es importante iniciar el presente análisis, señalando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manifestó, de </w:t>
      </w:r>
      <w:r>
        <w:rPr>
          <w:rFonts w:ascii="Palatino Linotype" w:eastAsia="Palatino Linotype" w:hAnsi="Palatino Linotype" w:cs="Palatino Linotype"/>
        </w:rPr>
        <w:lastRenderedPageBreak/>
        <w:t>manera expresa su inconformidad respecto de la entrega de información incompleta, toda vez que no le remitieron las licencias de funcionamiento.</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rsidR="00A36169" w:rsidRDefault="003F152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A36169" w:rsidRDefault="003F152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36169" w:rsidRDefault="003F152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Consecuentemente, se reitera que la parte de la solicitud que no fue impugnada debe declararse consentida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ante la falta de impugnación eficaz. </w:t>
      </w:r>
    </w:p>
    <w:p w:rsidR="00A36169" w:rsidRDefault="003F152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A36169" w:rsidRDefault="003F1527">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a efecto de garantizar el efectivo ejercicio del derecho de acceso a la información pública que asiste al particular, resulta conveniente reiterar que el presente análisis versará respecto de</w:t>
      </w:r>
      <w:r>
        <w:rPr>
          <w:rFonts w:ascii="Palatino Linotype" w:eastAsia="Palatino Linotype" w:hAnsi="Palatino Linotype" w:cs="Palatino Linotype"/>
          <w:b/>
        </w:rPr>
        <w:t xml:space="preserve"> las licencias de funcionamiento</w:t>
      </w:r>
      <w:r>
        <w:rPr>
          <w:rFonts w:ascii="Palatino Linotype" w:eastAsia="Palatino Linotype" w:hAnsi="Palatino Linotype" w:cs="Palatino Linotype"/>
        </w:rPr>
        <w:t>.</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debemos traer a colación lo dispuesto por el artículo 31, fracciones XXIV </w:t>
      </w:r>
      <w:proofErr w:type="spellStart"/>
      <w:r>
        <w:rPr>
          <w:rFonts w:ascii="Palatino Linotype" w:eastAsia="Palatino Linotype" w:hAnsi="Palatino Linotype" w:cs="Palatino Linotype"/>
        </w:rPr>
        <w:t>Quáter</w:t>
      </w:r>
      <w:proofErr w:type="spellEnd"/>
      <w:r>
        <w:rPr>
          <w:rFonts w:ascii="Palatino Linotype" w:eastAsia="Palatino Linotype" w:hAnsi="Palatino Linotype" w:cs="Palatino Linotype"/>
        </w:rPr>
        <w:t xml:space="preserve"> y XLIV, de la Ley Orgánica Municipal del Estado de México, la cual establece lo siguiente:</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Son atribuciones de los ayuntamientos: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 xml:space="preserve">XXIV </w:t>
      </w:r>
      <w:proofErr w:type="spellStart"/>
      <w:r>
        <w:rPr>
          <w:rFonts w:ascii="Palatino Linotype" w:eastAsia="Palatino Linotype" w:hAnsi="Palatino Linotype" w:cs="Palatino Linotype"/>
          <w:b/>
          <w:i/>
          <w:sz w:val="22"/>
          <w:szCs w:val="22"/>
          <w:u w:val="single"/>
        </w:rPr>
        <w:t>Quáter</w:t>
      </w:r>
      <w:proofErr w:type="spellEnd"/>
      <w:r>
        <w:rPr>
          <w:rFonts w:ascii="Palatino Linotype" w:eastAsia="Palatino Linotype" w:hAnsi="Palatino Linotype" w:cs="Palatino Linotype"/>
          <w:b/>
          <w:i/>
          <w:sz w:val="22"/>
          <w:szCs w:val="22"/>
          <w:u w:val="single"/>
        </w:rPr>
        <w:t>. Otorgar</w:t>
      </w:r>
      <w:r>
        <w:rPr>
          <w:rFonts w:ascii="Palatino Linotype" w:eastAsia="Palatino Linotype" w:hAnsi="Palatino Linotype" w:cs="Palatino Linotype"/>
          <w:i/>
          <w:sz w:val="22"/>
          <w:szCs w:val="22"/>
        </w:rPr>
        <w:t xml:space="preserve"> licencias de construcción y </w:t>
      </w:r>
      <w:r>
        <w:rPr>
          <w:rFonts w:ascii="Palatino Linotype" w:eastAsia="Palatino Linotype" w:hAnsi="Palatino Linotype" w:cs="Palatino Linotype"/>
          <w:b/>
          <w:i/>
          <w:sz w:val="22"/>
          <w:szCs w:val="22"/>
          <w:u w:val="single"/>
        </w:rPr>
        <w:t>permisos de funcionamiento de unidades económicas</w:t>
      </w:r>
      <w:r>
        <w:rPr>
          <w:rFonts w:ascii="Palatino Linotype" w:eastAsia="Palatino Linotype" w:hAnsi="Palatino Linotype" w:cs="Palatino Linotype"/>
          <w:i/>
          <w:sz w:val="22"/>
          <w:szCs w:val="22"/>
        </w:rPr>
        <w:t xml:space="preserve"> o establecimientos destinados a la enajenación, reparación o mantenimiento de vehículos automotores usados y autopartes nuevas y usadas, así como de parques y desarrollos industriales, urbanos y de servicios de conformidad con la Evaluación de Impacto Estatal.</w:t>
      </w:r>
    </w:p>
    <w:p w:rsidR="00A36169" w:rsidRDefault="003F1527">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efectos de la presente fracción, la licencia o permiso correspondiente se expedirá en un plazo no mayor a diez días hábiles contados a partir de la presentación del Dictamen de Giro aprobado.</w:t>
      </w:r>
    </w:p>
    <w:p w:rsidR="00A36169" w:rsidRDefault="003F1527">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rsidR="00A36169" w:rsidRDefault="003F1527">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36169" w:rsidRDefault="003F1527">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XLIV. Crear el Registro Municipal de Unidades Económicas, donde se especifique la licencia de funcionamiento con la actividad de la unidad económica e impacto que generen, así como las demás características que se determinen;”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(Énfasis añadido)</w:t>
      </w:r>
    </w:p>
    <w:p w:rsidR="00A36169" w:rsidRDefault="003F1527">
      <w:pPr>
        <w:tabs>
          <w:tab w:val="left" w:pos="7938"/>
        </w:tabs>
        <w:spacing w:before="240" w:after="240" w:line="276"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colige lo siguiente:</w:t>
      </w:r>
    </w:p>
    <w:p w:rsidR="00A36169" w:rsidRDefault="003F1527">
      <w:pPr>
        <w:numPr>
          <w:ilvl w:val="0"/>
          <w:numId w:val="3"/>
        </w:numPr>
        <w:pBdr>
          <w:top w:val="nil"/>
          <w:left w:val="nil"/>
          <w:bottom w:val="nil"/>
          <w:right w:val="nil"/>
          <w:between w:val="nil"/>
        </w:pBdr>
        <w:tabs>
          <w:tab w:val="left" w:pos="7938"/>
        </w:tabs>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Ayuntamientos, entre los que se encuentra el de </w:t>
      </w:r>
      <w:proofErr w:type="spellStart"/>
      <w:r>
        <w:rPr>
          <w:rFonts w:ascii="Palatino Linotype" w:eastAsia="Palatino Linotype" w:hAnsi="Palatino Linotype" w:cs="Palatino Linotype"/>
          <w:color w:val="000000"/>
        </w:rPr>
        <w:t>Chiautla</w:t>
      </w:r>
      <w:proofErr w:type="spellEnd"/>
      <w:r>
        <w:rPr>
          <w:rFonts w:ascii="Palatino Linotype" w:eastAsia="Palatino Linotype" w:hAnsi="Palatino Linotype" w:cs="Palatino Linotype"/>
          <w:color w:val="000000"/>
        </w:rPr>
        <w:t xml:space="preserve">, son los encargados de otorgar licencias para el funcionamiento de unidades económicas; así como, de crear el Registro Municipal de Unidades Económicas, donde se especifique la licencia de funcionamiento y las características que se determinen convenientes. </w:t>
      </w:r>
    </w:p>
    <w:p w:rsidR="00A36169" w:rsidRDefault="003F1527">
      <w:pPr>
        <w:numPr>
          <w:ilvl w:val="0"/>
          <w:numId w:val="3"/>
        </w:numPr>
        <w:pBdr>
          <w:top w:val="nil"/>
          <w:left w:val="nil"/>
          <w:bottom w:val="nil"/>
          <w:right w:val="nil"/>
          <w:between w:val="nil"/>
        </w:pBdr>
        <w:tabs>
          <w:tab w:val="left" w:pos="7938"/>
        </w:tabs>
        <w:spacing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Dicha licencia tendrá una vigencia de cinco años y deberá ser refrendada de manera anual, con independencia de que puedan ser sujetos de visitas de verificación para constatar el cumplimiento de </w:t>
      </w:r>
      <w:r>
        <w:rPr>
          <w:rFonts w:ascii="Palatino Linotype" w:eastAsia="Palatino Linotype" w:hAnsi="Palatino Linotype" w:cs="Palatino Linotype"/>
          <w:color w:val="000000"/>
        </w:rPr>
        <w:lastRenderedPageBreak/>
        <w:t xml:space="preserve">las disposiciones jurídicas aplicables, por lo que, </w:t>
      </w:r>
      <w:r>
        <w:rPr>
          <w:rFonts w:ascii="Palatino Linotype" w:eastAsia="Palatino Linotype" w:hAnsi="Palatino Linotype" w:cs="Palatino Linotype"/>
          <w:b/>
          <w:color w:val="000000"/>
        </w:rPr>
        <w:t>una vez presentado el Dictamen de Giro aprobado, se expedirá la licencia de funcionamiento en un plazo no mayor a diez días hábiles</w:t>
      </w:r>
      <w:r>
        <w:rPr>
          <w:rFonts w:ascii="Palatino Linotype" w:eastAsia="Palatino Linotype" w:hAnsi="Palatino Linotype" w:cs="Palatino Linotype"/>
          <w:color w:val="000000"/>
        </w:rPr>
        <w:t>; así como, de crear el Registro Municipal de Unidades Económicas, donde se especifique la licencia de funcionamiento y las características que se determinen convenientes.</w:t>
      </w:r>
    </w:p>
    <w:p w:rsidR="00A36169" w:rsidRDefault="003F1527">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lograr lo anterior, los Ayuntamientos contarán con un Director de Desarrollo Económico o equivalente que impulsa la simplificación de trámites y reducción de plazos para el otorgamiento de permisos, licencias y autorizaciones del orden municipal, así como de operar y actualizar el Registro Municipal de Unidades Económicas de los permisos o licencias de funcionamiento otorgadas, de conformidad con el artículo 96 </w:t>
      </w:r>
      <w:proofErr w:type="spellStart"/>
      <w:r>
        <w:rPr>
          <w:rFonts w:ascii="Palatino Linotype" w:eastAsia="Palatino Linotype" w:hAnsi="Palatino Linotype" w:cs="Palatino Linotype"/>
        </w:rPr>
        <w:t>Quáter</w:t>
      </w:r>
      <w:proofErr w:type="spellEnd"/>
      <w:r>
        <w:rPr>
          <w:rFonts w:ascii="Palatino Linotype" w:eastAsia="Palatino Linotype" w:hAnsi="Palatino Linotype" w:cs="Palatino Linotype"/>
        </w:rPr>
        <w:t xml:space="preserve"> de la Ley señalada en el párrafo anterior.</w:t>
      </w:r>
    </w:p>
    <w:p w:rsidR="00A36169" w:rsidRDefault="003F1527">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en el artículo 2°, fracciones XV y XXXVIII, 5°, fracción X, 7°, fracción V, 15, 16 y 33 de la Ley de Competitividad y Ordenamiento Comercial del Estado de México, la licencia de funcionamiento, es el acto administrativo emitido por 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p>
    <w:p w:rsidR="00A36169" w:rsidRDefault="003F1527">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su parte, el artículo 2°, fracciones XXXIII, XXXIV y XXXV, de dicho ordenamiento jurídico, establece tres tipos de unidades económicas, a saber, las siguientes:</w:t>
      </w:r>
    </w:p>
    <w:p w:rsidR="00A36169" w:rsidRDefault="003F1527" w:rsidP="003F1527">
      <w:pPr>
        <w:pBdr>
          <w:top w:val="nil"/>
          <w:left w:val="nil"/>
          <w:bottom w:val="nil"/>
          <w:right w:val="nil"/>
          <w:between w:val="nil"/>
        </w:pBdr>
        <w:tabs>
          <w:tab w:val="left" w:pos="7371"/>
        </w:tabs>
        <w:spacing w:before="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Bajo impacto:</w:t>
      </w:r>
      <w:r>
        <w:rPr>
          <w:rFonts w:ascii="Palatino Linotype" w:eastAsia="Palatino Linotype" w:hAnsi="Palatino Linotype" w:cs="Palatino Linotype"/>
          <w:color w:val="000000"/>
        </w:rPr>
        <w:t xml:space="preserve"> A las autorizadas para la venta de bebidas alcohólicas en envase cerrado y no sean de consumo inmediato, así como, las que no estén en supuestos subsecuentes.</w:t>
      </w:r>
    </w:p>
    <w:p w:rsidR="00A36169" w:rsidRDefault="003F1527" w:rsidP="003F1527">
      <w:pPr>
        <w:pBdr>
          <w:top w:val="nil"/>
          <w:left w:val="nil"/>
          <w:bottom w:val="nil"/>
          <w:right w:val="nil"/>
          <w:between w:val="nil"/>
        </w:pBdr>
        <w:tabs>
          <w:tab w:val="left" w:pos="7371"/>
        </w:tabs>
        <w:spacing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Mediano impacto:</w:t>
      </w:r>
      <w:r>
        <w:rPr>
          <w:rFonts w:ascii="Palatino Linotype" w:eastAsia="Palatino Linotype" w:hAnsi="Palatino Linotype" w:cs="Palatino Linotype"/>
          <w:color w:val="000000"/>
        </w:rPr>
        <w:t xml:space="preserve"> A las que se les permite la venta de bebidas alcohólicas para consumo inmediato, siendo otra su actividad principal.</w:t>
      </w:r>
    </w:p>
    <w:p w:rsidR="00A36169" w:rsidRDefault="003F1527" w:rsidP="003F1527">
      <w:pPr>
        <w:pBdr>
          <w:top w:val="nil"/>
          <w:left w:val="nil"/>
          <w:bottom w:val="nil"/>
          <w:right w:val="nil"/>
          <w:between w:val="nil"/>
        </w:pBdr>
        <w:tabs>
          <w:tab w:val="left" w:pos="7371"/>
        </w:tabs>
        <w:spacing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Alto Impacto:</w:t>
      </w:r>
      <w:r>
        <w:rPr>
          <w:rFonts w:ascii="Palatino Linotype" w:eastAsia="Palatino Linotype" w:hAnsi="Palatino Linotype" w:cs="Palatino Linotype"/>
          <w:color w:val="000000"/>
        </w:rPr>
        <w:t xml:space="preserve"> Aquellas que tienen como actividad principal, la venta de bebidas alcohólicas para consumo inmediato y las que requieran dictamen único de factibilidad.</w:t>
      </w:r>
    </w:p>
    <w:p w:rsidR="00A36169" w:rsidRDefault="003F1527">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logra vislumbrar que la pretensión de la ahora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es obtener las licencias de funcionamiento entregadas durante el año 2023.</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a la respuesta, se tiene que en primera instancia,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turnó el requerimiento de información a la Directora de Desarrollo Económico, tal como se desprende de las siguientes ilustraciones:</w:t>
      </w:r>
    </w:p>
    <w:p w:rsidR="00A36169" w:rsidRDefault="00A36169">
      <w:pPr>
        <w:spacing w:before="240" w:after="240" w:line="360" w:lineRule="auto"/>
        <w:ind w:right="49"/>
        <w:jc w:val="both"/>
        <w:rPr>
          <w:rFonts w:ascii="Palatino Linotype" w:eastAsia="Palatino Linotype" w:hAnsi="Palatino Linotype" w:cs="Palatino Linotype"/>
        </w:rPr>
      </w:pPr>
    </w:p>
    <w:p w:rsidR="00A36169" w:rsidRDefault="003F1527">
      <w:pPr>
        <w:spacing w:before="240" w:after="240" w:line="360" w:lineRule="auto"/>
        <w:ind w:right="49"/>
        <w:jc w:val="both"/>
        <w:rPr>
          <w:rFonts w:ascii="Palatino Linotype" w:eastAsia="Palatino Linotype" w:hAnsi="Palatino Linotype" w:cs="Palatino Linotype"/>
          <w:b/>
        </w:rPr>
      </w:pPr>
      <w:r>
        <w:rPr>
          <w:noProof/>
          <w:lang w:val="es-MX"/>
        </w:rPr>
        <w:lastRenderedPageBreak/>
        <w:drawing>
          <wp:anchor distT="0" distB="0" distL="114300" distR="114300" simplePos="0" relativeHeight="251658240" behindDoc="0" locked="0" layoutInCell="1" hidden="0" allowOverlap="1">
            <wp:simplePos x="0" y="0"/>
            <wp:positionH relativeFrom="column">
              <wp:posOffset>-489584</wp:posOffset>
            </wp:positionH>
            <wp:positionV relativeFrom="paragraph">
              <wp:posOffset>222884</wp:posOffset>
            </wp:positionV>
            <wp:extent cx="6508184" cy="876300"/>
            <wp:effectExtent l="0" t="0" r="0" b="0"/>
            <wp:wrapTopAndBottom distT="0" dist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508184" cy="876300"/>
                    </a:xfrm>
                    <a:prstGeom prst="rect">
                      <a:avLst/>
                    </a:prstGeom>
                    <a:ln/>
                  </pic:spPr>
                </pic:pic>
              </a:graphicData>
            </a:graphic>
          </wp:anchor>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939800</wp:posOffset>
                </wp:positionH>
                <wp:positionV relativeFrom="paragraph">
                  <wp:posOffset>419100</wp:posOffset>
                </wp:positionV>
                <wp:extent cx="552450" cy="619125"/>
                <wp:effectExtent l="0" t="0" r="0" b="0"/>
                <wp:wrapNone/>
                <wp:docPr id="69" name="Rectángulo 69"/>
                <wp:cNvGraphicFramePr/>
                <a:graphic xmlns:a="http://schemas.openxmlformats.org/drawingml/2006/main">
                  <a:graphicData uri="http://schemas.microsoft.com/office/word/2010/wordprocessingShape">
                    <wps:wsp>
                      <wps:cNvSpPr/>
                      <wps:spPr>
                        <a:xfrm>
                          <a:off x="5084063" y="3484725"/>
                          <a:ext cx="523875" cy="590550"/>
                        </a:xfrm>
                        <a:prstGeom prst="rect">
                          <a:avLst/>
                        </a:prstGeom>
                        <a:noFill/>
                        <a:ln w="28575" cap="flat" cmpd="sng">
                          <a:solidFill>
                            <a:srgbClr val="FF0000"/>
                          </a:solidFill>
                          <a:prstDash val="solid"/>
                          <a:round/>
                          <a:headEnd type="none" w="sm" len="sm"/>
                          <a:tailEnd type="none" w="sm" len="sm"/>
                        </a:ln>
                      </wps:spPr>
                      <wps:txbx>
                        <w:txbxContent>
                          <w:p w:rsidR="00A36169" w:rsidRDefault="00A361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939800</wp:posOffset>
                </wp:positionH>
                <wp:positionV relativeFrom="paragraph">
                  <wp:posOffset>419100</wp:posOffset>
                </wp:positionV>
                <wp:extent cx="552450" cy="619125"/>
                <wp:effectExtent b="0" l="0" r="0" t="0"/>
                <wp:wrapNone/>
                <wp:docPr id="6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552450" cy="619125"/>
                        </a:xfrm>
                        <a:prstGeom prst="rect"/>
                        <a:ln/>
                      </pic:spPr>
                    </pic:pic>
                  </a:graphicData>
                </a:graphic>
              </wp:anchor>
            </w:drawing>
          </mc:Fallback>
        </mc:AlternateContent>
      </w:r>
    </w:p>
    <w:p w:rsidR="00A36169" w:rsidRDefault="003F152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Acta de la Primera Sesión Ordinaria de Cabildo 2022:</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408045"/>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612130" cy="3408045"/>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228600</wp:posOffset>
                </wp:positionH>
                <wp:positionV relativeFrom="paragraph">
                  <wp:posOffset>2044700</wp:posOffset>
                </wp:positionV>
                <wp:extent cx="4676775" cy="266700"/>
                <wp:effectExtent l="0" t="0" r="0" b="0"/>
                <wp:wrapNone/>
                <wp:docPr id="67" name="Rectángulo 67"/>
                <wp:cNvGraphicFramePr/>
                <a:graphic xmlns:a="http://schemas.openxmlformats.org/drawingml/2006/main">
                  <a:graphicData uri="http://schemas.microsoft.com/office/word/2010/wordprocessingShape">
                    <wps:wsp>
                      <wps:cNvSpPr/>
                      <wps:spPr>
                        <a:xfrm>
                          <a:off x="3021900" y="3660938"/>
                          <a:ext cx="4648200" cy="238125"/>
                        </a:xfrm>
                        <a:prstGeom prst="rect">
                          <a:avLst/>
                        </a:prstGeom>
                        <a:noFill/>
                        <a:ln w="28575" cap="flat" cmpd="sng">
                          <a:solidFill>
                            <a:srgbClr val="FF0000"/>
                          </a:solidFill>
                          <a:prstDash val="solid"/>
                          <a:round/>
                          <a:headEnd type="none" w="sm" len="sm"/>
                          <a:tailEnd type="none" w="sm" len="sm"/>
                        </a:ln>
                      </wps:spPr>
                      <wps:txbx>
                        <w:txbxContent>
                          <w:p w:rsidR="00A36169" w:rsidRDefault="00A361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2044700</wp:posOffset>
                </wp:positionV>
                <wp:extent cx="4676775" cy="266700"/>
                <wp:effectExtent b="0" l="0" r="0" t="0"/>
                <wp:wrapNone/>
                <wp:docPr id="67"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4676775" cy="266700"/>
                        </a:xfrm>
                        <a:prstGeom prst="rect"/>
                        <a:ln/>
                      </pic:spPr>
                    </pic:pic>
                  </a:graphicData>
                </a:graphic>
              </wp:anchor>
            </w:drawing>
          </mc:Fallback>
        </mc:AlternateConten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la Directora de Desarrollo Económico y Mejora Regulatoria, refirió que </w:t>
      </w:r>
      <w:r>
        <w:rPr>
          <w:rFonts w:ascii="Palatino Linotype" w:eastAsia="Palatino Linotype" w:hAnsi="Palatino Linotype" w:cs="Palatino Linotype"/>
          <w:b/>
          <w:u w:val="single"/>
        </w:rPr>
        <w:t>durante el ejercicio 2023 aún no se han entregado licencias de funcionamiento.</w:t>
      </w:r>
      <w:r>
        <w:rPr>
          <w:rFonts w:ascii="Palatino Linotype" w:eastAsia="Palatino Linotype" w:hAnsi="Palatino Linotype" w:cs="Palatino Linotype"/>
        </w:rPr>
        <w:t xml:space="preserve"> </w:t>
      </w:r>
    </w:p>
    <w:p w:rsidR="00A36169" w:rsidRDefault="003F1527">
      <w:pPr>
        <w:spacing w:before="240" w:after="240" w:line="360" w:lineRule="auto"/>
        <w:ind w:right="49"/>
        <w:jc w:val="both"/>
      </w:pPr>
      <w:r>
        <w:rPr>
          <w:rFonts w:ascii="Palatino Linotype" w:eastAsia="Palatino Linotype" w:hAnsi="Palatino Linotype" w:cs="Palatino Linotype"/>
        </w:rPr>
        <w:t xml:space="preserve">Posteriormente en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Directora de Desarrollo Económico y Mejora Regulatoria señala que </w:t>
      </w:r>
      <w:r>
        <w:rPr>
          <w:rFonts w:ascii="Palatino Linotype" w:eastAsia="Palatino Linotype" w:hAnsi="Palatino Linotype" w:cs="Palatino Linotype"/>
          <w:b/>
        </w:rPr>
        <w:t xml:space="preserve">no se tiene registro de que en el año dos mil veintitrés, se haya entregado licencia de funcionamiento alguna, siendo únicamente la generación de las mismas y la </w:t>
      </w:r>
      <w:r>
        <w:rPr>
          <w:rFonts w:ascii="Palatino Linotype" w:eastAsia="Palatino Linotype" w:hAnsi="Palatino Linotype" w:cs="Palatino Linotype"/>
          <w:b/>
        </w:rPr>
        <w:lastRenderedPageBreak/>
        <w:t xml:space="preserve">copia del comprobante de pago de cada una de ellas, </w:t>
      </w:r>
      <w:r>
        <w:rPr>
          <w:rFonts w:ascii="Palatino Linotype" w:eastAsia="Palatino Linotype" w:hAnsi="Palatino Linotype" w:cs="Palatino Linotype"/>
        </w:rPr>
        <w:t>es decir, ratifica este pronunciamiento.</w:t>
      </w:r>
      <w:r>
        <w:t xml:space="preserve"> </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los artículos 64, 65 y 66 del Bando Municipal del Ayuntamiento de </w:t>
      </w:r>
      <w:proofErr w:type="spellStart"/>
      <w:r>
        <w:rPr>
          <w:rFonts w:ascii="Palatino Linotype" w:eastAsia="Palatino Linotype" w:hAnsi="Palatino Linotype" w:cs="Palatino Linotype"/>
        </w:rPr>
        <w:t>Chiautla</w:t>
      </w:r>
      <w:proofErr w:type="spellEnd"/>
      <w:r>
        <w:rPr>
          <w:rFonts w:ascii="Palatino Linotype" w:eastAsia="Palatino Linotype" w:hAnsi="Palatino Linotype" w:cs="Palatino Linotype"/>
        </w:rPr>
        <w:t>, refieren lo siguiente sobre la Dirección de Desarrollo Económico: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64.- </w:t>
      </w:r>
      <w:r>
        <w:rPr>
          <w:rFonts w:ascii="Palatino Linotype" w:eastAsia="Palatino Linotype" w:hAnsi="Palatino Linotype" w:cs="Palatino Linotype"/>
          <w:b/>
          <w:i/>
          <w:sz w:val="22"/>
          <w:szCs w:val="22"/>
          <w:u w:val="single"/>
        </w:rPr>
        <w:t xml:space="preserve">La Dirección de Desarrollo Económico, promueve la mejora económica de la sociedad </w:t>
      </w:r>
      <w:proofErr w:type="spellStart"/>
      <w:r>
        <w:rPr>
          <w:rFonts w:ascii="Palatino Linotype" w:eastAsia="Palatino Linotype" w:hAnsi="Palatino Linotype" w:cs="Palatino Linotype"/>
          <w:b/>
          <w:i/>
          <w:sz w:val="22"/>
          <w:szCs w:val="22"/>
          <w:u w:val="single"/>
        </w:rPr>
        <w:t>chiautlense</w:t>
      </w:r>
      <w:proofErr w:type="spellEnd"/>
      <w:r>
        <w:rPr>
          <w:rFonts w:ascii="Palatino Linotype" w:eastAsia="Palatino Linotype" w:hAnsi="Palatino Linotype" w:cs="Palatino Linotype"/>
          <w:b/>
          <w:i/>
          <w:sz w:val="22"/>
          <w:szCs w:val="22"/>
          <w:u w:val="single"/>
        </w:rPr>
        <w:t xml:space="preserve">, impulsando las actividades, primarias, secundarias y terciarias, a través de los programas federales y estatales, cámaras de comercio e industrias, instituciones educativas, dependencias de los gobiernos o de otros municipios, dentro de un marco que propicie la competitividad </w:t>
      </w:r>
      <w:r>
        <w:rPr>
          <w:rFonts w:ascii="Palatino Linotype" w:eastAsia="Palatino Linotype" w:hAnsi="Palatino Linotype" w:cs="Palatino Linotype"/>
          <w:i/>
          <w:sz w:val="22"/>
          <w:szCs w:val="22"/>
        </w:rPr>
        <w:t>y el aprovechamiento del programa de la mejora regulatoria; además promueve a la población joven, femenil, adultos mayores y con capacidades diferentes a los establecimientos potencialmente demandantes de mano de obra y de sus procesos de producción para que tengan el carácter de sustentabilidad.</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65.- La Dirección de Desarrollo Económico, diseñara los programas necesarios para el fomento del empleo y capacitación para el trabajo, en coordinación con las Secretarias del ramo federal y estatal, atendiendo los lineamientos del Sistema Nacional del Empleo, teniendo como funciones principales: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Fomentar el establecimiento racional de industrias sustentables que sean benéficas para la comunidad;</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Otorgar garantía de audiencia previa a la emisión de actos que priven a los particulares de sus derechos;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Promover la organización del servicio de empleo a través de la Bolsa Municipal de Trabajo con la finalidad de coadyuvar a reducir los problemas de desempleo y subempleo en el municipio;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Promover la organización de ferias de empleo, con las empresas establecidas en el municipio y la región;</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Establecer convenios de colaboración con instituciones académicas, el Instituto Nacional del Emprendedor y el Instituto Mexiquense del Emprendedor, para el apoyo y asesoramiento de emprendedores, micro, pequeñas y medianas empresas para la consolidación de sus proyectos;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Conocer la población empleada y sus características, por rama de actividad, sexo y edades.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Captar la oferta de trabajo disponible en los diferentes sectores de la actividad económica priorizando los establecimientos de </w:t>
      </w:r>
      <w:proofErr w:type="spellStart"/>
      <w:r>
        <w:rPr>
          <w:rFonts w:ascii="Palatino Linotype" w:eastAsia="Palatino Linotype" w:hAnsi="Palatino Linotype" w:cs="Palatino Linotype"/>
          <w:i/>
          <w:sz w:val="22"/>
          <w:szCs w:val="22"/>
        </w:rPr>
        <w:t>Chiautla</w:t>
      </w:r>
      <w:proofErr w:type="spellEnd"/>
      <w:r>
        <w:rPr>
          <w:rFonts w:ascii="Palatino Linotype" w:eastAsia="Palatino Linotype" w:hAnsi="Palatino Linotype" w:cs="Palatino Linotype"/>
          <w:i/>
          <w:sz w:val="22"/>
          <w:szCs w:val="22"/>
        </w:rPr>
        <w:t xml:space="preserve"> y ofrecerla a los buscadores de empleo;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Proponer programas de capacitación para la población, enfocándolos preferentemente a los ciudadanos </w:t>
      </w:r>
      <w:proofErr w:type="spellStart"/>
      <w:r>
        <w:rPr>
          <w:rFonts w:ascii="Palatino Linotype" w:eastAsia="Palatino Linotype" w:hAnsi="Palatino Linotype" w:cs="Palatino Linotype"/>
          <w:i/>
          <w:sz w:val="22"/>
          <w:szCs w:val="22"/>
        </w:rPr>
        <w:t>chiautlenses</w:t>
      </w:r>
      <w:proofErr w:type="spellEnd"/>
      <w:r>
        <w:rPr>
          <w:rFonts w:ascii="Palatino Linotype" w:eastAsia="Palatino Linotype" w:hAnsi="Palatino Linotype" w:cs="Palatino Linotype"/>
          <w:i/>
          <w:sz w:val="22"/>
          <w:szCs w:val="22"/>
        </w:rPr>
        <w:t>.</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Las demás que señale la Ley de Desarrollo Económico del Estado de México, la Ley Orgánica Municipal, el Plan de Desarrollo Municipal y otros ordenamientos legales aplicables.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66.- La Dirección de Desarrollo Económico coordinara con el Comité de Dictamen de Giro, quien a su vez será el responsable de emitir la evaluación técnica de factibilidad de impacto sanitario necesaria para la obtención del Dictamen de Giro y estará integrado por la Presidenta Municipal Constitucional del Municipio de </w:t>
      </w:r>
      <w:proofErr w:type="spellStart"/>
      <w:r>
        <w:rPr>
          <w:rFonts w:ascii="Palatino Linotype" w:eastAsia="Palatino Linotype" w:hAnsi="Palatino Linotype" w:cs="Palatino Linotype"/>
          <w:i/>
          <w:sz w:val="22"/>
          <w:szCs w:val="22"/>
        </w:rPr>
        <w:t>Chiautla</w:t>
      </w:r>
      <w:proofErr w:type="spellEnd"/>
      <w:r>
        <w:rPr>
          <w:rFonts w:ascii="Palatino Linotype" w:eastAsia="Palatino Linotype" w:hAnsi="Palatino Linotype" w:cs="Palatino Linotype"/>
          <w:i/>
          <w:sz w:val="22"/>
          <w:szCs w:val="22"/>
        </w:rPr>
        <w:t>, la Dirección de Desarrollo Económico y Mejora Regulatoria, la Jefatura del Departamento de Regulación Comercial, la Dirección de Desarrollo Urbano, la Dirección de Desarrollo Social y Salud, la Dirección de Ecología Y Medio Ambiente, la Coordinación de Protección Civil, la Contraloría Interna Municipal, un representante del Comité Coordinador del Sistema Municipal Anticorrupción, así como un representante de Cámaras Empresariales u organización de Comercio.</w:t>
      </w:r>
    </w:p>
    <w:p w:rsidR="00A36169" w:rsidRDefault="003F1527">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 Los establecimientos de bajo impacto, clasificados en la Ley de Competitividad y Ordenamiento Comercial del Estado de México, no podrán vender bebidas alcohólicas al copeo.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b) Para las Unidades económicas que tengan como actividad complementaria o principal la venta de bebidas alcohólicas de consumo </w:t>
      </w:r>
      <w:r>
        <w:rPr>
          <w:rFonts w:ascii="Palatino Linotype" w:eastAsia="Palatino Linotype" w:hAnsi="Palatino Linotype" w:cs="Palatino Linotype"/>
          <w:b/>
          <w:i/>
          <w:sz w:val="22"/>
          <w:szCs w:val="22"/>
        </w:rPr>
        <w:lastRenderedPageBreak/>
        <w:t>inmediato al copeo, se otorgara licencia de funcionamiento, previa presentación de Dictamen de Giro</w:t>
      </w:r>
      <w:r>
        <w:rPr>
          <w:rFonts w:ascii="Palatino Linotype" w:eastAsia="Palatino Linotype" w:hAnsi="Palatino Linotype" w:cs="Palatino Linotype"/>
          <w:i/>
          <w:sz w:val="22"/>
          <w:szCs w:val="22"/>
        </w:rPr>
        <w:t>.” (Énfasis añadido)</w:t>
      </w:r>
    </w:p>
    <w:p w:rsidR="00A36169" w:rsidRDefault="003F15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se tiene que es la unidad administrativa competente para atender el requerimiento de información, toda vez que le compete otorgar licencias de construcción y permisos de funcionamiento de unidades económicas, por ende, se determina que al turnarse la solicitud de información a esta Dirección, la cual se pronunció en respuesta e informe justificado, se da cabal cumplimiento al artículo 162 de la Ley de Transparencia y Acceso a la Información Pública del Estado de México y Municipios.</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la Ley de Competitividad y Ordenamiento Comercial del Estado de México señala lo siguiente respecto a la emisión de la licencia de funcionamiento para unidades económicas de alto y mediano impacto: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“SECCIÓN III</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LOS REQUISITOS PARA OBTENER PERMISO O LICENCIA DE FUNCIONAMIENTO PARA LAS UNIDADES ECONÓMICAS DE MEDIANO Y ALTO IMPACTO</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66. Para la obtención de un permiso o licencia de funcionamiento, los solicitantes o representante legal tendrán que cumplir los requisitos siguientes:</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Solicitud en la que se señale la razón social del solicitante, así como domicilio para oír y recibir notificaciones y dirección de correo electrónico para los efectos de esta Ley. En caso de que el solicitante sea persona física se cotejarán los datos de la credencial para votar con fotografía.</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Actividad económica que se pretende operar.</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Datos de la licencia de uso del suelo que señale el permitido para la actividad económica que se pretende operar.</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IV. Que cuenta con los cajones de estacionamiento que determine la autoridad correspondiente.</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capacidad de aforo respectiva.</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Dar cuenta del programa interno de protección civil.</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Dictamen de Giro o permiso, en su caso, emitido por la autoridad municipal.</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Para el caso de las unidades económicas de alto impacto deberá manifestar que cuenta con el sistema de seguridad a que hace referencia esta Ley.</w:t>
      </w:r>
    </w:p>
    <w:p w:rsidR="00A36169" w:rsidRDefault="003F152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Una vez cubiertos los requisitos señalados en el presente artículo y en caso de ser procedente el permiso o licencia de funcionamiento, la autoridad hará del conocimiento al solicitante o representante legal el monto a cubrir por los derechos correspondientes, una vez cubiertos se otorgará el permiso o licencia de funcionamiento.</w:t>
      </w:r>
      <w:r>
        <w:rPr>
          <w:rFonts w:ascii="Palatino Linotype" w:eastAsia="Palatino Linotype" w:hAnsi="Palatino Linotype" w:cs="Palatino Linotype"/>
          <w:i/>
          <w:sz w:val="22"/>
          <w:szCs w:val="22"/>
        </w:rPr>
        <w:t>” (Énfasis añadido)</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manera que con lo anteriormente citado, se aprecia que posterior a la presentación de los requisitos previamente enlistados, en caso de que sea procedente el permiso o licencia de funcionamiento, la autoridad competente hará del conocimiento a la persona solicitante del permiso, el monto de los derechos y una vez cubierto, se procederá a otorgar dicho permiso o licencia.</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este Instituto procedió a consultar el apartado de trámites y servicios del Ayuntamiento de </w:t>
      </w:r>
      <w:proofErr w:type="spellStart"/>
      <w:r>
        <w:rPr>
          <w:rFonts w:ascii="Palatino Linotype" w:eastAsia="Palatino Linotype" w:hAnsi="Palatino Linotype" w:cs="Palatino Linotype"/>
        </w:rPr>
        <w:t>Chiautla</w:t>
      </w:r>
      <w:proofErr w:type="spellEnd"/>
      <w:r>
        <w:rPr>
          <w:rFonts w:ascii="Palatino Linotype" w:eastAsia="Palatino Linotype" w:hAnsi="Palatino Linotype" w:cs="Palatino Linotype"/>
        </w:rPr>
        <w:t xml:space="preserve">, en el que se advierten los plazos para otorgar respuesta, no así para entregar las licencias de funcionamiento, sirven de referencia las siguientes ilustraciones: </w:t>
      </w:r>
    </w:p>
    <w:p w:rsidR="00A36169" w:rsidRDefault="003F152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Licencia de funcionamiento de establecimiento de bajo impacto:</w:t>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noProof/>
          <w:lang w:val="es-MX"/>
        </w:rPr>
        <w:drawing>
          <wp:inline distT="0" distB="0" distL="0" distR="0">
            <wp:extent cx="5612130" cy="6639560"/>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2130" cy="6639560"/>
                    </a:xfrm>
                    <a:prstGeom prst="rect">
                      <a:avLst/>
                    </a:prstGeom>
                    <a:ln/>
                  </pic:spPr>
                </pic:pic>
              </a:graphicData>
            </a:graphic>
          </wp:inline>
        </w:drawing>
      </w:r>
    </w:p>
    <w:p w:rsidR="00A36169" w:rsidRDefault="003F1527">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989058" cy="7214819"/>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989058" cy="7214819"/>
                    </a:xfrm>
                    <a:prstGeom prst="rect">
                      <a:avLst/>
                    </a:prstGeom>
                    <a:ln/>
                  </pic:spPr>
                </pic:pic>
              </a:graphicData>
            </a:graphic>
          </wp:inline>
        </w:drawing>
      </w:r>
    </w:p>
    <w:p w:rsidR="00A36169" w:rsidRDefault="003F152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Licencia de funcionamiento de establecimientos de mediano y alto impacto:</w:t>
      </w:r>
    </w:p>
    <w:p w:rsidR="00A36169" w:rsidRDefault="003F152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612130" cy="6248400"/>
            <wp:effectExtent l="0" t="0" r="0" b="0"/>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2130" cy="6248400"/>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5943600</wp:posOffset>
                </wp:positionV>
                <wp:extent cx="5650230" cy="366395"/>
                <wp:effectExtent l="0" t="0" r="0" b="0"/>
                <wp:wrapNone/>
                <wp:docPr id="68" name="Rectángulo 68"/>
                <wp:cNvGraphicFramePr/>
                <a:graphic xmlns:a="http://schemas.openxmlformats.org/drawingml/2006/main">
                  <a:graphicData uri="http://schemas.microsoft.com/office/word/2010/wordprocessingShape">
                    <wps:wsp>
                      <wps:cNvSpPr/>
                      <wps:spPr>
                        <a:xfrm>
                          <a:off x="2539935" y="3615853"/>
                          <a:ext cx="5612130" cy="328295"/>
                        </a:xfrm>
                        <a:prstGeom prst="rect">
                          <a:avLst/>
                        </a:prstGeom>
                        <a:noFill/>
                        <a:ln w="38100" cap="flat" cmpd="sng">
                          <a:solidFill>
                            <a:srgbClr val="C00000"/>
                          </a:solidFill>
                          <a:prstDash val="solid"/>
                          <a:round/>
                          <a:headEnd type="none" w="sm" len="sm"/>
                          <a:tailEnd type="none" w="sm" len="sm"/>
                        </a:ln>
                      </wps:spPr>
                      <wps:txbx>
                        <w:txbxContent>
                          <w:p w:rsidR="00A36169" w:rsidRDefault="00A361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5943600</wp:posOffset>
                </wp:positionV>
                <wp:extent cx="5650230" cy="366395"/>
                <wp:effectExtent b="0" l="0" r="0" t="0"/>
                <wp:wrapNone/>
                <wp:docPr id="68"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5650230" cy="366395"/>
                        </a:xfrm>
                        <a:prstGeom prst="rect"/>
                        <a:ln/>
                      </pic:spPr>
                    </pic:pic>
                  </a:graphicData>
                </a:graphic>
              </wp:anchor>
            </w:drawing>
          </mc:Fallback>
        </mc:AlternateContent>
      </w:r>
    </w:p>
    <w:p w:rsidR="00A36169" w:rsidRDefault="003F152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612130" cy="7334885"/>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612130" cy="7334885"/>
                    </a:xfrm>
                    <a:prstGeom prst="rect">
                      <a:avLst/>
                    </a:prstGeom>
                    <a:ln/>
                  </pic:spPr>
                </pic:pic>
              </a:graphicData>
            </a:graphic>
          </wp:inline>
        </w:drawing>
      </w:r>
    </w:p>
    <w:p w:rsidR="00A36169" w:rsidRDefault="003F152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de la consulta al Manual de Procedimientos de la Dirección de Desarrollo Económico vigente, se tiene que el trámite para la tramitación de estas licencias de funcionamiento, deberán seguirse los siguientes pasos:</w:t>
      </w:r>
    </w:p>
    <w:p w:rsidR="00A36169" w:rsidRDefault="003F1527">
      <w:pPr>
        <w:spacing w:before="240" w:after="240" w:line="360" w:lineRule="auto"/>
        <w:ind w:right="49"/>
        <w:jc w:val="both"/>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lang w:val="es-MX"/>
        </w:rPr>
        <w:drawing>
          <wp:inline distT="0" distB="0" distL="0" distR="0">
            <wp:extent cx="5612130" cy="5541010"/>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12130" cy="5541010"/>
                    </a:xfrm>
                    <a:prstGeom prst="rect">
                      <a:avLst/>
                    </a:prstGeom>
                    <a:ln/>
                  </pic:spPr>
                </pic:pic>
              </a:graphicData>
            </a:graphic>
          </wp:inline>
        </w:drawing>
      </w:r>
    </w:p>
    <w:p w:rsidR="00A36169" w:rsidRDefault="00A3616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A36169" w:rsidRDefault="003F1527">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lastRenderedPageBreak/>
        <w:t xml:space="preserve">Por consiguiente, de lo analizado con antelación se colige que deberán seguirse una serie de pasos consecutivos, los cuales concluyen con las entrega de la licencia de funcionamiento, por lo que toda vez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manifestó por conducto de su servidora pública habilitada competente tanto en respuesta como en informe justificado que no posee, administra ni genera la información requerida por el particular, constituye un hecho negativo; entonces, si se considera el hecho negativo, es obvio que éste no puede fácticamente obrar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ya que no puede probarse por ser lógica y materialmente imposible.</w:t>
      </w:r>
    </w:p>
    <w:p w:rsidR="00A36169" w:rsidRDefault="003F1527">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rsidR="00A36169" w:rsidRDefault="003F1527">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Encontrándonos así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A36169" w:rsidRDefault="003F1527">
      <w:pPr>
        <w:pBdr>
          <w:top w:val="nil"/>
          <w:left w:val="nil"/>
          <w:bottom w:val="nil"/>
          <w:right w:val="nil"/>
          <w:between w:val="nil"/>
        </w:pBdr>
        <w:ind w:left="860" w:right="560"/>
        <w:jc w:val="both"/>
        <w:rPr>
          <w:color w:val="000000"/>
        </w:rPr>
      </w:pPr>
      <w:r>
        <w:rPr>
          <w:rFonts w:ascii="Palatino Linotype" w:eastAsia="Palatino Linotype" w:hAnsi="Palatino Linotype" w:cs="Palatino Linotype"/>
          <w:b/>
          <w:i/>
          <w:color w:val="000000"/>
          <w:sz w:val="22"/>
          <w:szCs w:val="22"/>
        </w:rPr>
        <w:t>“HECHOS NEGATIVOS, NO SON SUSCEPTIBLES DE DEMOSTRACIÓN.</w:t>
      </w:r>
    </w:p>
    <w:p w:rsidR="00A36169" w:rsidRDefault="003F1527">
      <w:pPr>
        <w:pBdr>
          <w:top w:val="nil"/>
          <w:left w:val="nil"/>
          <w:bottom w:val="nil"/>
          <w:right w:val="nil"/>
          <w:between w:val="nil"/>
        </w:pBdr>
        <w:ind w:left="860" w:right="560"/>
        <w:jc w:val="both"/>
        <w:rPr>
          <w:color w:val="000000"/>
        </w:rPr>
      </w:pPr>
      <w:r>
        <w:rPr>
          <w:rFonts w:ascii="Palatino Linotype" w:eastAsia="Palatino Linotype" w:hAnsi="Palatino Linotype" w:cs="Palatino Linotype"/>
          <w:i/>
          <w:color w:val="000000"/>
          <w:sz w:val="22"/>
          <w:szCs w:val="22"/>
        </w:rPr>
        <w:t xml:space="preserve">Tratándose de un hecho negativo, el Juez no tiene </w:t>
      </w:r>
      <w:proofErr w:type="spellStart"/>
      <w:r>
        <w:rPr>
          <w:rFonts w:ascii="Palatino Linotype" w:eastAsia="Palatino Linotype" w:hAnsi="Palatino Linotype" w:cs="Palatino Linotype"/>
          <w:i/>
          <w:color w:val="000000"/>
          <w:sz w:val="22"/>
          <w:szCs w:val="22"/>
        </w:rPr>
        <w:t>por 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rsidR="00A36169" w:rsidRDefault="003F1527">
      <w:pPr>
        <w:pBdr>
          <w:top w:val="nil"/>
          <w:left w:val="nil"/>
          <w:bottom w:val="nil"/>
          <w:right w:val="nil"/>
          <w:between w:val="nil"/>
        </w:pBdr>
        <w:ind w:left="860" w:right="5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rsidR="00A36169" w:rsidRDefault="00A36169">
      <w:pPr>
        <w:pBdr>
          <w:top w:val="nil"/>
          <w:left w:val="nil"/>
          <w:bottom w:val="nil"/>
          <w:right w:val="nil"/>
          <w:between w:val="nil"/>
        </w:pBdr>
        <w:ind w:left="860" w:right="560"/>
        <w:jc w:val="both"/>
        <w:rPr>
          <w:color w:val="000000"/>
        </w:rPr>
      </w:pPr>
    </w:p>
    <w:p w:rsidR="00A36169" w:rsidRDefault="003F1527">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lastRenderedPageBreak/>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proporcionará la información que obra en sus archivos, lo que a</w:t>
      </w:r>
      <w:r>
        <w:rPr>
          <w:rFonts w:ascii="Palatino Linotype" w:eastAsia="Palatino Linotype" w:hAnsi="Palatino Linotype" w:cs="Palatino Linotype"/>
          <w:i/>
          <w:color w:val="000000"/>
        </w:rPr>
        <w:t xml:space="preserve"> contrario sensu</w:t>
      </w:r>
      <w:r>
        <w:rPr>
          <w:rFonts w:ascii="Palatino Linotype" w:eastAsia="Palatino Linotype" w:hAnsi="Palatino Linotype" w:cs="Palatino Linotype"/>
          <w:color w:val="000000"/>
        </w:rPr>
        <w:t xml:space="preserve"> significa que no se está obligado a proporcionar lo que no obre en sus archivos; por ende, las razones o motivos de inconformidad al respecto devienen infundados.</w:t>
      </w:r>
    </w:p>
    <w:p w:rsidR="00A36169" w:rsidRDefault="003F1527">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Aunado a lo anterior, este Pleno considera necesario dejar claro que, al haber existido un pronunciamiento por parte del servidor público del </w:t>
      </w:r>
      <w:r>
        <w:rPr>
          <w:rFonts w:ascii="Palatino Linotype" w:eastAsia="Palatino Linotype" w:hAnsi="Palatino Linotype" w:cs="Palatino Linotype"/>
          <w:b/>
          <w:color w:val="000000"/>
        </w:rPr>
        <w:t>Sujeto Obligado como lo es la Dirección de Desarrollo Económico</w:t>
      </w:r>
      <w:r>
        <w:rPr>
          <w:rFonts w:ascii="Palatino Linotype" w:eastAsia="Palatino Linotype" w:hAnsi="Palatino Linotype" w:cs="Palatino Linotype"/>
          <w:color w:val="000000"/>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A36169" w:rsidRDefault="003F1527">
      <w:pPr>
        <w:pBdr>
          <w:top w:val="nil"/>
          <w:left w:val="nil"/>
          <w:bottom w:val="nil"/>
          <w:right w:val="nil"/>
          <w:between w:val="nil"/>
        </w:pBdr>
        <w:ind w:left="860" w:right="5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36169" w:rsidRDefault="00A36169">
      <w:pPr>
        <w:spacing w:line="360" w:lineRule="auto"/>
        <w:jc w:val="both"/>
        <w:rPr>
          <w:rFonts w:ascii="Palatino Linotype" w:eastAsia="Palatino Linotype" w:hAnsi="Palatino Linotype" w:cs="Palatino Linotype"/>
        </w:rPr>
      </w:pPr>
    </w:p>
    <w:p w:rsidR="00A36169" w:rsidRDefault="003F1527">
      <w:pPr>
        <w:spacing w:line="360" w:lineRule="auto"/>
        <w:jc w:val="both"/>
        <w:rPr>
          <w:rFonts w:ascii="Palatino Linotype" w:eastAsia="Palatino Linotype" w:hAnsi="Palatino Linotype" w:cs="Palatino Linotype"/>
          <w:color w:val="FF0000"/>
        </w:rPr>
      </w:pPr>
      <w:bookmarkStart w:id="5" w:name="_heading=h.3dy6vkm" w:colFirst="0" w:colLast="0"/>
      <w:bookmarkEnd w:id="5"/>
      <w:r>
        <w:rPr>
          <w:rFonts w:ascii="Palatino Linotype" w:eastAsia="Palatino Linotype" w:hAnsi="Palatino Linotype" w:cs="Palatino Linotype"/>
        </w:rPr>
        <w:lastRenderedPageBreak/>
        <w:t xml:space="preserve">En ese orden de ideas, se determina que los agravios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 xml:space="preserve">INFUNDADOS </w:t>
      </w:r>
      <w:r>
        <w:rPr>
          <w:rFonts w:ascii="Palatino Linotype" w:eastAsia="Palatino Linotype" w:hAnsi="Palatino Linotype" w:cs="Palatino Linotype"/>
        </w:rPr>
        <w:t xml:space="preserve">y, por lo tanto, resulta procedente </w:t>
      </w:r>
      <w:r>
        <w:rPr>
          <w:rFonts w:ascii="Palatino Linotype" w:eastAsia="Palatino Linotype" w:hAnsi="Palatino Linotype" w:cs="Palatino Linotype"/>
          <w:b/>
        </w:rPr>
        <w:t xml:space="preserve">CONFIRMAR </w:t>
      </w:r>
      <w:r>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Pr>
          <w:rFonts w:ascii="Palatino Linotype" w:eastAsia="Palatino Linotype" w:hAnsi="Palatino Linotype" w:cs="Palatino Linotype"/>
          <w:color w:val="FF0000"/>
        </w:rPr>
        <w:t xml:space="preserve"> </w:t>
      </w:r>
    </w:p>
    <w:p w:rsidR="00A36169" w:rsidRDefault="00A36169">
      <w:pPr>
        <w:spacing w:line="360" w:lineRule="auto"/>
        <w:jc w:val="both"/>
        <w:rPr>
          <w:rFonts w:ascii="Palatino Linotype" w:eastAsia="Palatino Linotype" w:hAnsi="Palatino Linotype" w:cs="Palatino Linotype"/>
          <w:color w:val="FF0000"/>
        </w:rPr>
      </w:pPr>
      <w:bookmarkStart w:id="6" w:name="_heading=h.l5zr0ltgav8f" w:colFirst="0" w:colLast="0"/>
      <w:bookmarkEnd w:id="6"/>
    </w:p>
    <w:p w:rsidR="00A36169" w:rsidRDefault="003F1527">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A36169" w:rsidRDefault="003F1527">
      <w:pPr>
        <w:spacing w:line="259" w:lineRule="auto"/>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A36169" w:rsidRDefault="00A36169">
      <w:pPr>
        <w:spacing w:line="259" w:lineRule="auto"/>
        <w:ind w:left="-142" w:right="49"/>
        <w:jc w:val="center"/>
        <w:rPr>
          <w:rFonts w:ascii="Palatino Linotype" w:eastAsia="Palatino Linotype" w:hAnsi="Palatino Linotype" w:cs="Palatino Linotype"/>
          <w:b/>
          <w:sz w:val="28"/>
          <w:szCs w:val="28"/>
        </w:rPr>
      </w:pPr>
    </w:p>
    <w:p w:rsidR="00A36169" w:rsidRDefault="003F1527">
      <w:pPr>
        <w:spacing w:line="360" w:lineRule="auto"/>
        <w:jc w:val="both"/>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color w:val="000000"/>
        </w:rPr>
        <w:t>infundados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01914/INFOEM/IP/RR/2023</w:t>
      </w:r>
      <w:r>
        <w:rPr>
          <w:rFonts w:ascii="Palatino Linotype" w:eastAsia="Palatino Linotype" w:hAnsi="Palatino Linotype" w:cs="Palatino Linotype"/>
        </w:rPr>
        <w:t xml:space="preserve">; por lo que, en términos de los argumentos señalados en 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A36169" w:rsidRDefault="00A36169">
      <w:pPr>
        <w:spacing w:line="360" w:lineRule="auto"/>
      </w:pPr>
    </w:p>
    <w:p w:rsidR="00A36169" w:rsidRDefault="003F1527">
      <w:pPr>
        <w:spacing w:line="360" w:lineRule="auto"/>
        <w:jc w:val="both"/>
      </w:pPr>
      <w:r>
        <w:rPr>
          <w:rFonts w:ascii="Palatino Linotype" w:eastAsia="Palatino Linotype" w:hAnsi="Palatino Linotype" w:cs="Palatino Linotype"/>
          <w:b/>
        </w:rPr>
        <w:t>Segundo</w:t>
      </w:r>
      <w:r>
        <w:rPr>
          <w:rFonts w:ascii="Palatino Linotype" w:eastAsia="Palatino Linotype" w:hAnsi="Palatino Linotype" w:cs="Palatino Linotype"/>
        </w:rPr>
        <w:t xml:space="preserve">. 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presente resolución para su conocimiento.</w:t>
      </w:r>
    </w:p>
    <w:p w:rsidR="00A36169" w:rsidRDefault="00A36169">
      <w:pPr>
        <w:spacing w:line="360" w:lineRule="auto"/>
      </w:pPr>
    </w:p>
    <w:p w:rsidR="00A36169" w:rsidRDefault="003F152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así como que de conformidad con lo establecido en el artículo 196 de la Ley de </w:t>
      </w:r>
      <w:r>
        <w:rPr>
          <w:rFonts w:ascii="Palatino Linotype" w:eastAsia="Palatino Linotype" w:hAnsi="Palatino Linotype" w:cs="Palatino Linotype"/>
        </w:rPr>
        <w:lastRenderedPageBreak/>
        <w:t>Transparencia y Acceso a la Información Pública del Estado de México y Municipios podrá impugnarla vía Juicio de Amparo en los términos de las leyes aplicables.</w:t>
      </w:r>
    </w:p>
    <w:p w:rsidR="00A36169" w:rsidRDefault="003F15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p w:rsidR="00A36169" w:rsidRDefault="00A36169">
      <w:pPr>
        <w:spacing w:before="240" w:after="240" w:line="360" w:lineRule="auto"/>
        <w:jc w:val="both"/>
        <w:rPr>
          <w:rFonts w:ascii="Palatino Linotype" w:eastAsia="Palatino Linotype" w:hAnsi="Palatino Linotype" w:cs="Palatino Linotype"/>
        </w:rPr>
      </w:pPr>
    </w:p>
    <w:sectPr w:rsidR="00A36169">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50C" w:rsidRDefault="0078250C">
      <w:r>
        <w:separator/>
      </w:r>
    </w:p>
  </w:endnote>
  <w:endnote w:type="continuationSeparator" w:id="0">
    <w:p w:rsidR="0078250C" w:rsidRDefault="0078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69" w:rsidRDefault="003F15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EB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EB9">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A36169" w:rsidRDefault="00A3616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69" w:rsidRDefault="003F15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EB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EB9">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A36169" w:rsidRDefault="00A3616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50C" w:rsidRDefault="0078250C">
      <w:r>
        <w:separator/>
      </w:r>
    </w:p>
  </w:footnote>
  <w:footnote w:type="continuationSeparator" w:id="0">
    <w:p w:rsidR="0078250C" w:rsidRDefault="00782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69" w:rsidRDefault="003F1527">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A36169">
      <w:tc>
        <w:tcPr>
          <w:tcW w:w="2489" w:type="dxa"/>
          <w:shd w:val="clear" w:color="auto" w:fill="auto"/>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A36169" w:rsidRDefault="003F152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01914/INFOEM/IP/RR/2023</w:t>
          </w:r>
        </w:p>
      </w:tc>
    </w:tr>
    <w:tr w:rsidR="00A36169">
      <w:trPr>
        <w:trHeight w:val="228"/>
      </w:trPr>
      <w:tc>
        <w:tcPr>
          <w:tcW w:w="2489" w:type="dxa"/>
          <w:shd w:val="clear" w:color="auto" w:fill="auto"/>
          <w:vAlign w:val="center"/>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A36169" w:rsidRDefault="003F1527">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Chiautla</w:t>
          </w:r>
          <w:proofErr w:type="spellEnd"/>
        </w:p>
      </w:tc>
    </w:tr>
    <w:tr w:rsidR="00A36169">
      <w:tc>
        <w:tcPr>
          <w:tcW w:w="2489" w:type="dxa"/>
          <w:shd w:val="clear" w:color="auto" w:fill="auto"/>
          <w:vAlign w:val="center"/>
        </w:tcPr>
        <w:p w:rsidR="00A36169" w:rsidRDefault="003F152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A36169" w:rsidRDefault="003F1527">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36169" w:rsidRDefault="003F152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69" w:rsidRDefault="003F152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-1036318</wp:posOffset>
          </wp:positionH>
          <wp:positionV relativeFrom="paragraph">
            <wp:posOffset>-422272</wp:posOffset>
          </wp:positionV>
          <wp:extent cx="7809865" cy="10165715"/>
          <wp:effectExtent l="0" t="0" r="0" b="0"/>
          <wp:wrapNone/>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A36169">
      <w:tc>
        <w:tcPr>
          <w:tcW w:w="2551" w:type="dxa"/>
          <w:shd w:val="clear" w:color="auto" w:fill="auto"/>
          <w:vAlign w:val="center"/>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A36169" w:rsidRDefault="003F1527">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01914/INFOEM/IP/RR/2023</w:t>
          </w:r>
        </w:p>
      </w:tc>
    </w:tr>
    <w:tr w:rsidR="00A36169">
      <w:trPr>
        <w:trHeight w:val="130"/>
      </w:trPr>
      <w:tc>
        <w:tcPr>
          <w:tcW w:w="2551" w:type="dxa"/>
          <w:shd w:val="clear" w:color="auto" w:fill="auto"/>
          <w:vAlign w:val="center"/>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A36169" w:rsidRDefault="00A36169">
          <w:pPr>
            <w:ind w:right="176"/>
            <w:jc w:val="both"/>
            <w:rPr>
              <w:rFonts w:ascii="Palatino Linotype" w:eastAsia="Palatino Linotype" w:hAnsi="Palatino Linotype" w:cs="Palatino Linotype"/>
              <w:b/>
              <w:sz w:val="22"/>
              <w:szCs w:val="22"/>
            </w:rPr>
          </w:pPr>
        </w:p>
      </w:tc>
    </w:tr>
    <w:tr w:rsidR="00A36169">
      <w:trPr>
        <w:trHeight w:val="228"/>
      </w:trPr>
      <w:tc>
        <w:tcPr>
          <w:tcW w:w="2551" w:type="dxa"/>
          <w:shd w:val="clear" w:color="auto" w:fill="auto"/>
          <w:vAlign w:val="center"/>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A36169" w:rsidRDefault="003F1527">
          <w:pPr>
            <w:ind w:left="-11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Chiautla</w:t>
          </w:r>
          <w:proofErr w:type="spellEnd"/>
        </w:p>
      </w:tc>
    </w:tr>
    <w:tr w:rsidR="00A36169">
      <w:tc>
        <w:tcPr>
          <w:tcW w:w="2551" w:type="dxa"/>
          <w:shd w:val="clear" w:color="auto" w:fill="auto"/>
          <w:vAlign w:val="center"/>
        </w:tcPr>
        <w:p w:rsidR="00A36169" w:rsidRDefault="003F1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A36169" w:rsidRDefault="003F1527">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36169" w:rsidRDefault="00A3616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010D2"/>
    <w:multiLevelType w:val="multilevel"/>
    <w:tmpl w:val="1C3A3C60"/>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35985467"/>
    <w:multiLevelType w:val="multilevel"/>
    <w:tmpl w:val="9208C26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3D8142D5"/>
    <w:multiLevelType w:val="multilevel"/>
    <w:tmpl w:val="6DCCB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6931EDB"/>
    <w:multiLevelType w:val="multilevel"/>
    <w:tmpl w:val="D67CD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58D1140C"/>
    <w:multiLevelType w:val="multilevel"/>
    <w:tmpl w:val="7A323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69"/>
    <w:rsid w:val="00090EB9"/>
    <w:rsid w:val="003F1527"/>
    <w:rsid w:val="0078250C"/>
    <w:rsid w:val="00A36169"/>
    <w:rsid w:val="00B212E5"/>
    <w:rsid w:val="00D57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019348-50B2-4824-816A-3881DFF7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JEdkywDUIf5ss8Nys/Q7wWtqw==">CgMxLjAyCGguZ2pkZ3hzMgloLjMwajB6bGwyCWguMnM4ZXlvMTIIaC50eWpjd3QyCWguM2R5NnZrbTIOaC5sNXpyMGx0Z2F2OGY4AHIhMUJfdkl3UmkwWXVleHpKZEc5RlNfdlZGc3FBZVh3bnlm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8015</Words>
  <Characters>44084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2023-10-27T18:31:00Z</cp:lastPrinted>
  <dcterms:created xsi:type="dcterms:W3CDTF">2023-11-07T19:41:00Z</dcterms:created>
  <dcterms:modified xsi:type="dcterms:W3CDTF">2023-11-07T19:41:00Z</dcterms:modified>
</cp:coreProperties>
</file>