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28D2" w:rsidRPr="00973A22" w:rsidRDefault="00C43D44">
      <w:pPr>
        <w:spacing w:before="240" w:after="240" w:line="360" w:lineRule="auto"/>
        <w:jc w:val="both"/>
        <w:rPr>
          <w:rFonts w:ascii="Palatino Linotype" w:eastAsia="Palatino Linotype" w:hAnsi="Palatino Linotype" w:cs="Palatino Linotype"/>
        </w:rPr>
      </w:pPr>
      <w:bookmarkStart w:id="0" w:name="_heading=h.tyjcwt" w:colFirst="0" w:colLast="0"/>
      <w:bookmarkEnd w:id="0"/>
      <w:r w:rsidRPr="00973A2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veintiuno de junio de dos mil veintitrés. </w:t>
      </w:r>
    </w:p>
    <w:p w:rsidR="00E328D2" w:rsidRPr="00973A22" w:rsidRDefault="00C43D44">
      <w:pPr>
        <w:spacing w:before="240" w:after="240"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b/>
        </w:rPr>
        <w:t>VISTO</w:t>
      </w:r>
      <w:r w:rsidRPr="00973A22">
        <w:rPr>
          <w:rFonts w:ascii="Palatino Linotype" w:eastAsia="Palatino Linotype" w:hAnsi="Palatino Linotype" w:cs="Palatino Linotype"/>
        </w:rPr>
        <w:t xml:space="preserve"> el expediente formado con motivo del recurso de revisión </w:t>
      </w:r>
      <w:r w:rsidRPr="00973A22">
        <w:rPr>
          <w:rFonts w:ascii="Palatino Linotype" w:eastAsia="Palatino Linotype" w:hAnsi="Palatino Linotype" w:cs="Palatino Linotype"/>
          <w:b/>
        </w:rPr>
        <w:t>12494/INFOEM/IP/RR/2022</w:t>
      </w:r>
      <w:r w:rsidRPr="00973A22">
        <w:rPr>
          <w:rFonts w:ascii="Palatino Linotype" w:eastAsia="Palatino Linotype" w:hAnsi="Palatino Linotype" w:cs="Palatino Linotype"/>
        </w:rPr>
        <w:t xml:space="preserve">, interpuesto por </w:t>
      </w:r>
      <w:r w:rsidR="006D2063">
        <w:rPr>
          <w:rFonts w:ascii="Palatino Linotype" w:eastAsia="Palatino Linotype" w:hAnsi="Palatino Linotype" w:cs="Palatino Linotype"/>
          <w:b/>
        </w:rPr>
        <w:t>XXXXXXXX XXXXXXXXX</w:t>
      </w:r>
      <w:bookmarkStart w:id="1" w:name="_GoBack"/>
      <w:bookmarkEnd w:id="1"/>
      <w:r w:rsidRPr="00973A22">
        <w:rPr>
          <w:rFonts w:ascii="Palatino Linotype" w:eastAsia="Palatino Linotype" w:hAnsi="Palatino Linotype" w:cs="Palatino Linotype"/>
          <w:b/>
        </w:rPr>
        <w:t xml:space="preserve"> </w:t>
      </w:r>
      <w:r w:rsidRPr="00973A22">
        <w:rPr>
          <w:rFonts w:ascii="Palatino Linotype" w:eastAsia="Palatino Linotype" w:hAnsi="Palatino Linotype" w:cs="Palatino Linotype"/>
        </w:rPr>
        <w:t>quien en lo sucesivo</w:t>
      </w:r>
      <w:r w:rsidRPr="00973A22">
        <w:rPr>
          <w:rFonts w:ascii="Palatino Linotype" w:eastAsia="Palatino Linotype" w:hAnsi="Palatino Linotype" w:cs="Palatino Linotype"/>
          <w:b/>
        </w:rPr>
        <w:t xml:space="preserve"> </w:t>
      </w:r>
      <w:r w:rsidRPr="00973A22">
        <w:rPr>
          <w:rFonts w:ascii="Palatino Linotype" w:eastAsia="Palatino Linotype" w:hAnsi="Palatino Linotype" w:cs="Palatino Linotype"/>
        </w:rPr>
        <w:t xml:space="preserve">será identificado en su calidad de </w:t>
      </w:r>
      <w:r w:rsidRPr="00973A22">
        <w:rPr>
          <w:rFonts w:ascii="Palatino Linotype" w:eastAsia="Palatino Linotype" w:hAnsi="Palatino Linotype" w:cs="Palatino Linotype"/>
          <w:b/>
        </w:rPr>
        <w:t>Recurrente,</w:t>
      </w:r>
      <w:r w:rsidRPr="00973A22">
        <w:rPr>
          <w:rFonts w:ascii="Palatino Linotype" w:eastAsia="Palatino Linotype" w:hAnsi="Palatino Linotype" w:cs="Palatino Linotype"/>
        </w:rPr>
        <w:t xml:space="preserve"> en contra de la respuesta del </w:t>
      </w:r>
      <w:r w:rsidRPr="00973A22">
        <w:rPr>
          <w:rFonts w:ascii="Palatino Linotype" w:eastAsia="Palatino Linotype" w:hAnsi="Palatino Linotype" w:cs="Palatino Linotype"/>
          <w:b/>
        </w:rPr>
        <w:t xml:space="preserve">Instituto de Transparencia, Acceso a la Información Pública y Protección de Datos Personales del Estado de México y Municipios, </w:t>
      </w:r>
      <w:r w:rsidRPr="00973A22">
        <w:rPr>
          <w:rFonts w:ascii="Palatino Linotype" w:eastAsia="Palatino Linotype" w:hAnsi="Palatino Linotype" w:cs="Palatino Linotype"/>
        </w:rPr>
        <w:t xml:space="preserve">en lo sucesivo el </w:t>
      </w:r>
      <w:r w:rsidRPr="00973A22">
        <w:rPr>
          <w:rFonts w:ascii="Palatino Linotype" w:eastAsia="Palatino Linotype" w:hAnsi="Palatino Linotype" w:cs="Palatino Linotype"/>
          <w:b/>
        </w:rPr>
        <w:t xml:space="preserve">Sujeto Obligado, </w:t>
      </w:r>
      <w:r w:rsidRPr="00973A22">
        <w:rPr>
          <w:rFonts w:ascii="Palatino Linotype" w:eastAsia="Palatino Linotype" w:hAnsi="Palatino Linotype" w:cs="Palatino Linotype"/>
        </w:rPr>
        <w:t xml:space="preserve">se procede a dictar la presente resolución con base en los siguientes: </w:t>
      </w:r>
    </w:p>
    <w:p w:rsidR="00E328D2" w:rsidRPr="00973A22" w:rsidRDefault="00C43D44">
      <w:pPr>
        <w:spacing w:before="240" w:after="240" w:line="360" w:lineRule="auto"/>
        <w:jc w:val="center"/>
        <w:rPr>
          <w:rFonts w:ascii="Palatino Linotype" w:eastAsia="Palatino Linotype" w:hAnsi="Palatino Linotype" w:cs="Palatino Linotype"/>
          <w:b/>
          <w:sz w:val="28"/>
          <w:szCs w:val="28"/>
        </w:rPr>
      </w:pPr>
      <w:bookmarkStart w:id="2" w:name="_heading=h.3znysh7" w:colFirst="0" w:colLast="0"/>
      <w:bookmarkEnd w:id="2"/>
      <w:r w:rsidRPr="00973A22">
        <w:rPr>
          <w:rFonts w:ascii="Palatino Linotype" w:eastAsia="Palatino Linotype" w:hAnsi="Palatino Linotype" w:cs="Palatino Linotype"/>
          <w:b/>
        </w:rPr>
        <w:t>I. A N T E C E D E N T E S</w:t>
      </w:r>
    </w:p>
    <w:p w:rsidR="00E328D2" w:rsidRPr="00973A22" w:rsidRDefault="00C43D44">
      <w:pPr>
        <w:spacing w:before="240" w:after="240"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b/>
        </w:rPr>
        <w:t>1. Solicitud de acceso a la información.</w:t>
      </w:r>
      <w:r w:rsidRPr="00973A22">
        <w:rPr>
          <w:rFonts w:ascii="Palatino Linotype" w:eastAsia="Palatino Linotype" w:hAnsi="Palatino Linotype" w:cs="Palatino Linotype"/>
        </w:rPr>
        <w:t xml:space="preserve"> El </w:t>
      </w:r>
      <w:r w:rsidRPr="00973A22">
        <w:rPr>
          <w:rFonts w:ascii="Palatino Linotype" w:eastAsia="Palatino Linotype" w:hAnsi="Palatino Linotype" w:cs="Palatino Linotype"/>
          <w:b/>
        </w:rPr>
        <w:t>trece de junio de dos mil veintidós,</w:t>
      </w:r>
      <w:r w:rsidRPr="00973A22">
        <w:rPr>
          <w:rFonts w:ascii="Palatino Linotype" w:eastAsia="Palatino Linotype" w:hAnsi="Palatino Linotype" w:cs="Palatino Linotype"/>
        </w:rPr>
        <w:t xml:space="preserve"> el </w:t>
      </w:r>
      <w:r w:rsidRPr="00973A22">
        <w:rPr>
          <w:rFonts w:ascii="Palatino Linotype" w:eastAsia="Palatino Linotype" w:hAnsi="Palatino Linotype" w:cs="Palatino Linotype"/>
          <w:b/>
        </w:rPr>
        <w:t xml:space="preserve">Recurrente </w:t>
      </w:r>
      <w:r w:rsidRPr="00973A22">
        <w:rPr>
          <w:rFonts w:ascii="Palatino Linotype" w:eastAsia="Palatino Linotype" w:hAnsi="Palatino Linotype" w:cs="Palatino Linotype"/>
        </w:rPr>
        <w:t>presentó a través del Sistema de Acceso a la Información Mexiquense (</w:t>
      </w:r>
      <w:r w:rsidRPr="00973A22">
        <w:rPr>
          <w:rFonts w:ascii="Palatino Linotype" w:eastAsia="Palatino Linotype" w:hAnsi="Palatino Linotype" w:cs="Palatino Linotype"/>
          <w:b/>
        </w:rPr>
        <w:t>SAIMEX),</w:t>
      </w:r>
      <w:r w:rsidRPr="00973A22">
        <w:rPr>
          <w:rFonts w:ascii="Palatino Linotype" w:eastAsia="Palatino Linotype" w:hAnsi="Palatino Linotype" w:cs="Palatino Linotype"/>
        </w:rPr>
        <w:t xml:space="preserve"> la solicitud de acceso a la información pública registrada con el número </w:t>
      </w:r>
      <w:r w:rsidRPr="00973A22">
        <w:rPr>
          <w:rFonts w:ascii="Palatino Linotype" w:eastAsia="Palatino Linotype" w:hAnsi="Palatino Linotype" w:cs="Palatino Linotype"/>
          <w:b/>
        </w:rPr>
        <w:t xml:space="preserve">00740/INFOEM/IP/2022, </w:t>
      </w:r>
      <w:r w:rsidRPr="00973A22">
        <w:rPr>
          <w:rFonts w:ascii="Palatino Linotype" w:eastAsia="Palatino Linotype" w:hAnsi="Palatino Linotype" w:cs="Palatino Linotype"/>
        </w:rPr>
        <w:t xml:space="preserve">mediante la cual requirió la información siguiente: </w:t>
      </w:r>
    </w:p>
    <w:p w:rsidR="00E328D2" w:rsidRPr="00973A22" w:rsidRDefault="00C43D44">
      <w:pPr>
        <w:spacing w:before="240" w:after="240" w:line="276" w:lineRule="auto"/>
        <w:ind w:left="851" w:right="616"/>
        <w:jc w:val="both"/>
        <w:rPr>
          <w:rFonts w:ascii="Palatino Linotype" w:eastAsia="Palatino Linotype" w:hAnsi="Palatino Linotype" w:cs="Palatino Linotype"/>
          <w:i/>
          <w:sz w:val="22"/>
          <w:szCs w:val="22"/>
        </w:rPr>
      </w:pPr>
      <w:bookmarkStart w:id="3" w:name="_heading=h.gjdgxs" w:colFirst="0" w:colLast="0"/>
      <w:bookmarkEnd w:id="3"/>
      <w:r w:rsidRPr="00973A22">
        <w:rPr>
          <w:rFonts w:ascii="Palatino Linotype" w:eastAsia="Palatino Linotype" w:hAnsi="Palatino Linotype" w:cs="Palatino Linotype"/>
          <w:i/>
          <w:sz w:val="22"/>
          <w:szCs w:val="22"/>
        </w:rPr>
        <w:t xml:space="preserve">“Solicito los correos electrónicos del primero de enero de 2019 al 15 de enero de 2019, de las y los comisionados del </w:t>
      </w:r>
      <w:proofErr w:type="spellStart"/>
      <w:r w:rsidRPr="00973A22">
        <w:rPr>
          <w:rFonts w:ascii="Palatino Linotype" w:eastAsia="Palatino Linotype" w:hAnsi="Palatino Linotype" w:cs="Palatino Linotype"/>
          <w:i/>
          <w:sz w:val="22"/>
          <w:szCs w:val="22"/>
        </w:rPr>
        <w:t>infoem</w:t>
      </w:r>
      <w:proofErr w:type="spellEnd"/>
      <w:r w:rsidRPr="00973A22">
        <w:rPr>
          <w:rFonts w:ascii="Palatino Linotype" w:eastAsia="Palatino Linotype" w:hAnsi="Palatino Linotype" w:cs="Palatino Linotype"/>
          <w:i/>
          <w:sz w:val="22"/>
          <w:szCs w:val="22"/>
        </w:rPr>
        <w:t xml:space="preserve">, también requiero los correos electrónicos de las y los coordinadores de proyectos de las ponencias de las y los comisionados durante </w:t>
      </w:r>
      <w:proofErr w:type="gramStart"/>
      <w:r w:rsidRPr="00973A22">
        <w:rPr>
          <w:rFonts w:ascii="Palatino Linotype" w:eastAsia="Palatino Linotype" w:hAnsi="Palatino Linotype" w:cs="Palatino Linotype"/>
          <w:i/>
          <w:sz w:val="22"/>
          <w:szCs w:val="22"/>
        </w:rPr>
        <w:t>ese</w:t>
      </w:r>
      <w:proofErr w:type="gramEnd"/>
      <w:r w:rsidRPr="00973A22">
        <w:rPr>
          <w:rFonts w:ascii="Palatino Linotype" w:eastAsia="Palatino Linotype" w:hAnsi="Palatino Linotype" w:cs="Palatino Linotype"/>
          <w:i/>
          <w:sz w:val="22"/>
          <w:szCs w:val="22"/>
        </w:rPr>
        <w:t xml:space="preserve"> mismo periodo, omitiendo toda la información de carácter confidencial.” (Sic)</w:t>
      </w:r>
    </w:p>
    <w:p w:rsidR="00E328D2" w:rsidRPr="00973A22" w:rsidRDefault="00C43D44">
      <w:pPr>
        <w:spacing w:before="240" w:after="240"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b/>
        </w:rPr>
        <w:t>Modalidad de Entrega:</w:t>
      </w:r>
      <w:r w:rsidRPr="00973A22">
        <w:rPr>
          <w:rFonts w:ascii="Palatino Linotype" w:eastAsia="Palatino Linotype" w:hAnsi="Palatino Linotype" w:cs="Palatino Linotype"/>
        </w:rPr>
        <w:t xml:space="preserve"> A través del Sistema de Acceso a la Información Mexiquense (SAIMEX). </w:t>
      </w:r>
    </w:p>
    <w:p w:rsidR="00E328D2" w:rsidRPr="00973A22" w:rsidRDefault="00C43D44">
      <w:pPr>
        <w:spacing w:before="240" w:after="240"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b/>
        </w:rPr>
        <w:lastRenderedPageBreak/>
        <w:t xml:space="preserve">2. Respuesta. </w:t>
      </w:r>
      <w:r w:rsidRPr="00973A22">
        <w:rPr>
          <w:rFonts w:ascii="Palatino Linotype" w:eastAsia="Palatino Linotype" w:hAnsi="Palatino Linotype" w:cs="Palatino Linotype"/>
        </w:rPr>
        <w:t xml:space="preserve"> El </w:t>
      </w:r>
      <w:r w:rsidRPr="00973A22">
        <w:rPr>
          <w:rFonts w:ascii="Palatino Linotype" w:eastAsia="Palatino Linotype" w:hAnsi="Palatino Linotype" w:cs="Palatino Linotype"/>
          <w:b/>
        </w:rPr>
        <w:t>cuatro de julio de dos mil veintidós</w:t>
      </w:r>
      <w:r w:rsidRPr="00973A22">
        <w:rPr>
          <w:rFonts w:ascii="Palatino Linotype" w:eastAsia="Palatino Linotype" w:hAnsi="Palatino Linotype" w:cs="Palatino Linotype"/>
        </w:rPr>
        <w:t xml:space="preserve">, el </w:t>
      </w:r>
      <w:r w:rsidRPr="00973A22">
        <w:rPr>
          <w:rFonts w:ascii="Palatino Linotype" w:eastAsia="Palatino Linotype" w:hAnsi="Palatino Linotype" w:cs="Palatino Linotype"/>
          <w:b/>
        </w:rPr>
        <w:t>Sujeto Obligado</w:t>
      </w:r>
      <w:r w:rsidRPr="00973A22">
        <w:rPr>
          <w:rFonts w:ascii="Palatino Linotype" w:eastAsia="Palatino Linotype" w:hAnsi="Palatino Linotype" w:cs="Palatino Linotype"/>
        </w:rPr>
        <w:t xml:space="preserve"> respondió a la solicitud de información en los términos siguientes:</w:t>
      </w:r>
    </w:p>
    <w:p w:rsidR="00E328D2" w:rsidRPr="00973A22" w:rsidRDefault="00C43D44">
      <w:pPr>
        <w:spacing w:before="240" w:after="240" w:line="276" w:lineRule="auto"/>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“Con fundamento en el artículo 53 fracción II de la Ley de Transparencia y Acceso a la Información Pública del Estado de México y Municipios, se adjunta la respuesta a su solicitud de información pública.”</w:t>
      </w:r>
      <w:r w:rsidRPr="00973A22">
        <w:rPr>
          <w:rFonts w:ascii="Palatino Linotype" w:eastAsia="Palatino Linotype" w:hAnsi="Palatino Linotype" w:cs="Palatino Linotype"/>
          <w:b/>
          <w:i/>
          <w:sz w:val="22"/>
          <w:szCs w:val="22"/>
        </w:rPr>
        <w:t xml:space="preserve"> (</w:t>
      </w:r>
      <w:r w:rsidRPr="00973A22">
        <w:rPr>
          <w:rFonts w:ascii="Palatino Linotype" w:eastAsia="Palatino Linotype" w:hAnsi="Palatino Linotype" w:cs="Palatino Linotype"/>
          <w:i/>
          <w:sz w:val="22"/>
          <w:szCs w:val="22"/>
        </w:rPr>
        <w:t>Sic)</w:t>
      </w:r>
    </w:p>
    <w:p w:rsidR="00E328D2" w:rsidRPr="00973A22" w:rsidRDefault="00C43D44">
      <w:pPr>
        <w:spacing w:before="240" w:after="240" w:line="360" w:lineRule="auto"/>
        <w:ind w:right="49"/>
        <w:jc w:val="both"/>
        <w:rPr>
          <w:rFonts w:ascii="Palatino Linotype" w:eastAsia="Palatino Linotype" w:hAnsi="Palatino Linotype" w:cs="Palatino Linotype"/>
        </w:rPr>
      </w:pPr>
      <w:r w:rsidRPr="00973A22">
        <w:rPr>
          <w:rFonts w:ascii="Palatino Linotype" w:eastAsia="Palatino Linotype" w:hAnsi="Palatino Linotype" w:cs="Palatino Linotype"/>
        </w:rPr>
        <w:t xml:space="preserve">Manifestación a la que adjuntó el archivo electrónico denominado </w:t>
      </w:r>
      <w:r w:rsidRPr="00973A22">
        <w:rPr>
          <w:rFonts w:ascii="Palatino Linotype" w:eastAsia="Palatino Linotype" w:hAnsi="Palatino Linotype" w:cs="Palatino Linotype"/>
          <w:b/>
          <w:i/>
        </w:rPr>
        <w:t>RespuestaSolicitud00740.zip,</w:t>
      </w:r>
      <w:r w:rsidRPr="00973A22">
        <w:rPr>
          <w:rFonts w:ascii="Palatino Linotype" w:eastAsia="Palatino Linotype" w:hAnsi="Palatino Linotype" w:cs="Palatino Linotype"/>
        </w:rPr>
        <w:t xml:space="preserve"> cuyo contenido es el siguiente:  </w:t>
      </w:r>
    </w:p>
    <w:p w:rsidR="00E328D2" w:rsidRPr="00973A22" w:rsidRDefault="00C43D44">
      <w:pPr>
        <w:numPr>
          <w:ilvl w:val="0"/>
          <w:numId w:val="8"/>
        </w:numPr>
        <w:pBdr>
          <w:top w:val="nil"/>
          <w:left w:val="nil"/>
          <w:bottom w:val="nil"/>
          <w:right w:val="nil"/>
          <w:between w:val="nil"/>
        </w:pBdr>
        <w:spacing w:before="240" w:line="360" w:lineRule="auto"/>
        <w:ind w:right="49"/>
        <w:jc w:val="both"/>
        <w:rPr>
          <w:rFonts w:ascii="Palatino Linotype" w:eastAsia="Palatino Linotype" w:hAnsi="Palatino Linotype" w:cs="Palatino Linotype"/>
          <w:b/>
          <w:i/>
        </w:rPr>
      </w:pPr>
      <w:r w:rsidRPr="00973A22">
        <w:rPr>
          <w:rFonts w:ascii="Palatino Linotype" w:eastAsia="Palatino Linotype" w:hAnsi="Palatino Linotype" w:cs="Palatino Linotype"/>
          <w:b/>
          <w:i/>
        </w:rPr>
        <w:t xml:space="preserve">DGI: </w:t>
      </w:r>
      <w:r w:rsidRPr="00973A22">
        <w:rPr>
          <w:rFonts w:ascii="Palatino Linotype" w:eastAsia="Palatino Linotype" w:hAnsi="Palatino Linotype" w:cs="Palatino Linotype"/>
        </w:rPr>
        <w:t xml:space="preserve">Integrado por los documentos que se observan en la siguiente imagen. </w:t>
      </w:r>
    </w:p>
    <w:p w:rsidR="00E328D2" w:rsidRPr="00973A22" w:rsidRDefault="00C43D44">
      <w:pPr>
        <w:pBdr>
          <w:top w:val="nil"/>
          <w:left w:val="nil"/>
          <w:bottom w:val="nil"/>
          <w:right w:val="nil"/>
          <w:between w:val="nil"/>
        </w:pBdr>
        <w:spacing w:before="240" w:line="360" w:lineRule="auto"/>
        <w:ind w:left="720" w:right="49"/>
        <w:jc w:val="both"/>
        <w:rPr>
          <w:rFonts w:ascii="Palatino Linotype" w:eastAsia="Palatino Linotype" w:hAnsi="Palatino Linotype" w:cs="Palatino Linotype"/>
          <w:b/>
          <w:i/>
        </w:rPr>
      </w:pPr>
      <w:r w:rsidRPr="00973A22">
        <w:rPr>
          <w:rFonts w:ascii="Palatino Linotype" w:eastAsia="Palatino Linotype" w:hAnsi="Palatino Linotype" w:cs="Palatino Linotype"/>
          <w:b/>
          <w:i/>
          <w:noProof/>
        </w:rPr>
        <w:drawing>
          <wp:inline distT="0" distB="0" distL="0" distR="0">
            <wp:extent cx="4982285" cy="3791490"/>
            <wp:effectExtent l="0" t="0" r="0" b="0"/>
            <wp:docPr id="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982285" cy="3791490"/>
                    </a:xfrm>
                    <a:prstGeom prst="rect">
                      <a:avLst/>
                    </a:prstGeom>
                    <a:ln/>
                  </pic:spPr>
                </pic:pic>
              </a:graphicData>
            </a:graphic>
          </wp:inline>
        </w:drawing>
      </w:r>
    </w:p>
    <w:p w:rsidR="00E328D2" w:rsidRPr="00973A22" w:rsidRDefault="00C43D44">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rPr>
      </w:pPr>
      <w:proofErr w:type="spellStart"/>
      <w:r w:rsidRPr="00973A22">
        <w:rPr>
          <w:rFonts w:ascii="Palatino Linotype" w:eastAsia="Palatino Linotype" w:hAnsi="Palatino Linotype" w:cs="Palatino Linotype"/>
          <w:b/>
          <w:i/>
        </w:rPr>
        <w:lastRenderedPageBreak/>
        <w:t>CORREOS.rar</w:t>
      </w:r>
      <w:proofErr w:type="spellEnd"/>
      <w:r w:rsidRPr="00973A22">
        <w:rPr>
          <w:rFonts w:ascii="Palatino Linotype" w:eastAsia="Palatino Linotype" w:hAnsi="Palatino Linotype" w:cs="Palatino Linotype"/>
          <w:b/>
          <w:i/>
        </w:rPr>
        <w:t xml:space="preserve">: </w:t>
      </w:r>
      <w:r w:rsidRPr="00973A22">
        <w:rPr>
          <w:rFonts w:ascii="Palatino Linotype" w:eastAsia="Palatino Linotype" w:hAnsi="Palatino Linotype" w:cs="Palatino Linotype"/>
        </w:rPr>
        <w:t xml:space="preserve">Integrado por las siguientes carpetas: </w:t>
      </w:r>
    </w:p>
    <w:p w:rsidR="00E328D2" w:rsidRPr="00973A22" w:rsidRDefault="00C43D44">
      <w:pPr>
        <w:pBdr>
          <w:top w:val="nil"/>
          <w:left w:val="nil"/>
          <w:bottom w:val="nil"/>
          <w:right w:val="nil"/>
          <w:between w:val="nil"/>
        </w:pBdr>
        <w:spacing w:line="360" w:lineRule="auto"/>
        <w:ind w:left="720" w:right="49"/>
        <w:jc w:val="both"/>
        <w:rPr>
          <w:rFonts w:ascii="Palatino Linotype" w:eastAsia="Palatino Linotype" w:hAnsi="Palatino Linotype" w:cs="Palatino Linotype"/>
        </w:rPr>
      </w:pPr>
      <w:r w:rsidRPr="00973A22">
        <w:rPr>
          <w:rFonts w:ascii="Palatino Linotype" w:eastAsia="Palatino Linotype" w:hAnsi="Palatino Linotype" w:cs="Palatino Linotype"/>
          <w:noProof/>
        </w:rPr>
        <w:drawing>
          <wp:inline distT="0" distB="0" distL="0" distR="0">
            <wp:extent cx="5229962" cy="2676902"/>
            <wp:effectExtent l="0" t="0" r="0" b="0"/>
            <wp:docPr id="3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5229962" cy="2676902"/>
                    </a:xfrm>
                    <a:prstGeom prst="rect">
                      <a:avLst/>
                    </a:prstGeom>
                    <a:ln/>
                  </pic:spPr>
                </pic:pic>
              </a:graphicData>
            </a:graphic>
          </wp:inline>
        </w:drawing>
      </w:r>
    </w:p>
    <w:p w:rsidR="00E328D2" w:rsidRPr="00973A22" w:rsidRDefault="00E328D2">
      <w:pPr>
        <w:pBdr>
          <w:top w:val="nil"/>
          <w:left w:val="nil"/>
          <w:bottom w:val="nil"/>
          <w:right w:val="nil"/>
          <w:between w:val="nil"/>
        </w:pBdr>
        <w:spacing w:line="360" w:lineRule="auto"/>
        <w:ind w:left="720" w:right="49"/>
        <w:jc w:val="both"/>
        <w:rPr>
          <w:rFonts w:ascii="Palatino Linotype" w:eastAsia="Palatino Linotype" w:hAnsi="Palatino Linotype" w:cs="Palatino Linotype"/>
        </w:rPr>
      </w:pPr>
    </w:p>
    <w:p w:rsidR="00E328D2" w:rsidRPr="00973A22" w:rsidRDefault="00C43D44">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b/>
          <w:i/>
        </w:rPr>
      </w:pPr>
      <w:r w:rsidRPr="00973A22">
        <w:rPr>
          <w:rFonts w:ascii="Palatino Linotype" w:eastAsia="Palatino Linotype" w:hAnsi="Palatino Linotype" w:cs="Palatino Linotype"/>
          <w:b/>
          <w:i/>
        </w:rPr>
        <w:t xml:space="preserve">CUADRO DE CLASIFICACION CORREOS ELECTRONICOS ARANSASU VALDES PEDRAZA.pdf, CUADRO DE CLASIFICACION CORREOS ELECTRONICOS EVA ABAID YAPUR.pdf, CUADRO DE CLASIFICACION CORREOS ELECTRONICOS JAVIER MARTINEZ CRUZ.pdf y CUADRO DE CLASIFICACION CORREOS ELECTRONICOS JOSE GUADALUPE LUNA HERNANDEZ.pdf: </w:t>
      </w:r>
      <w:r w:rsidRPr="00973A22">
        <w:rPr>
          <w:rFonts w:ascii="Palatino Linotype" w:eastAsia="Palatino Linotype" w:hAnsi="Palatino Linotype" w:cs="Palatino Linotype"/>
        </w:rPr>
        <w:t xml:space="preserve">Contienen los  cuadros de clasificación de los correos electrónicos entregados. </w:t>
      </w:r>
    </w:p>
    <w:p w:rsidR="00E328D2" w:rsidRPr="00973A22" w:rsidRDefault="00C43D44">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b/>
          <w:i/>
        </w:rPr>
      </w:pPr>
      <w:r w:rsidRPr="00973A22">
        <w:rPr>
          <w:rFonts w:ascii="Palatino Linotype" w:eastAsia="Palatino Linotype" w:hAnsi="Palatino Linotype" w:cs="Palatino Linotype"/>
          <w:b/>
          <w:i/>
        </w:rPr>
        <w:t xml:space="preserve">RespuestaSolicitud00740DGI: </w:t>
      </w:r>
      <w:r w:rsidRPr="00973A22">
        <w:rPr>
          <w:rFonts w:ascii="Palatino Linotype" w:eastAsia="Palatino Linotype" w:hAnsi="Palatino Linotype" w:cs="Palatino Linotype"/>
        </w:rPr>
        <w:t xml:space="preserve">Oficio número INFOEM/DGI/395/2022 de fecha veintiocho de junio de dos mil veintidós, suscrito y signado por el Director General de Informática por medio del cual informó que cuenta </w:t>
      </w:r>
      <w:r w:rsidRPr="00973A22">
        <w:rPr>
          <w:rFonts w:ascii="Palatino Linotype" w:eastAsia="Palatino Linotype" w:hAnsi="Palatino Linotype" w:cs="Palatino Linotype"/>
        </w:rPr>
        <w:lastRenderedPageBreak/>
        <w:t xml:space="preserve">con un total de 57 correos electrónicos y que una vez analizados se advierte que  contienen información susceptible de ser clasificada como confidencial, tal como: correos electrónicos que no son dominio </w:t>
      </w:r>
      <w:proofErr w:type="spellStart"/>
      <w:r w:rsidRPr="00973A22">
        <w:rPr>
          <w:rFonts w:ascii="Palatino Linotype" w:eastAsia="Palatino Linotype" w:hAnsi="Palatino Linotype" w:cs="Palatino Linotype"/>
        </w:rPr>
        <w:t>itaipem</w:t>
      </w:r>
      <w:proofErr w:type="spellEnd"/>
      <w:r w:rsidRPr="00973A22">
        <w:rPr>
          <w:rFonts w:ascii="Palatino Linotype" w:eastAsia="Palatino Linotype" w:hAnsi="Palatino Linotype" w:cs="Palatino Linotype"/>
        </w:rPr>
        <w:t xml:space="preserve"> e </w:t>
      </w:r>
      <w:proofErr w:type="spellStart"/>
      <w:r w:rsidRPr="00973A22">
        <w:rPr>
          <w:rFonts w:ascii="Palatino Linotype" w:eastAsia="Palatino Linotype" w:hAnsi="Palatino Linotype" w:cs="Palatino Linotype"/>
        </w:rPr>
        <w:t>infoem</w:t>
      </w:r>
      <w:proofErr w:type="spellEnd"/>
      <w:r w:rsidRPr="00973A22">
        <w:rPr>
          <w:rFonts w:ascii="Palatino Linotype" w:eastAsia="Palatino Linotype" w:hAnsi="Palatino Linotype" w:cs="Palatino Linotype"/>
        </w:rPr>
        <w:t xml:space="preserve">. </w:t>
      </w:r>
    </w:p>
    <w:p w:rsidR="00E328D2" w:rsidRPr="00973A22" w:rsidRDefault="00C43D44">
      <w:pPr>
        <w:numPr>
          <w:ilvl w:val="0"/>
          <w:numId w:val="8"/>
        </w:numPr>
        <w:pBdr>
          <w:top w:val="nil"/>
          <w:left w:val="nil"/>
          <w:bottom w:val="nil"/>
          <w:right w:val="nil"/>
          <w:between w:val="nil"/>
        </w:pBdr>
        <w:spacing w:after="240" w:line="360" w:lineRule="auto"/>
        <w:ind w:right="49"/>
        <w:jc w:val="both"/>
        <w:rPr>
          <w:rFonts w:ascii="Palatino Linotype" w:eastAsia="Palatino Linotype" w:hAnsi="Palatino Linotype" w:cs="Palatino Linotype"/>
          <w:b/>
          <w:i/>
        </w:rPr>
      </w:pPr>
      <w:r w:rsidRPr="00973A22">
        <w:rPr>
          <w:rFonts w:ascii="Palatino Linotype" w:eastAsia="Palatino Linotype" w:hAnsi="Palatino Linotype" w:cs="Palatino Linotype"/>
          <w:b/>
          <w:i/>
        </w:rPr>
        <w:t xml:space="preserve">PCLGPN: </w:t>
      </w:r>
      <w:r w:rsidRPr="00973A22">
        <w:rPr>
          <w:rFonts w:ascii="Palatino Linotype" w:eastAsia="Palatino Linotype" w:hAnsi="Palatino Linotype" w:cs="Palatino Linotype"/>
        </w:rPr>
        <w:t xml:space="preserve">Archivo conformado por los documentos que a continuación se describen. </w:t>
      </w:r>
    </w:p>
    <w:p w:rsidR="00E328D2" w:rsidRPr="00973A22" w:rsidRDefault="00C43D44">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973A22">
        <w:rPr>
          <w:rFonts w:ascii="Palatino Linotype" w:eastAsia="Palatino Linotype" w:hAnsi="Palatino Linotype" w:cs="Palatino Linotype"/>
          <w:b/>
          <w:i/>
        </w:rPr>
        <w:t xml:space="preserve">Cuadro_De_Clasificación.pdf: </w:t>
      </w:r>
      <w:r w:rsidRPr="00973A22">
        <w:rPr>
          <w:rFonts w:ascii="Palatino Linotype" w:eastAsia="Palatino Linotype" w:hAnsi="Palatino Linotype" w:cs="Palatino Linotype"/>
        </w:rPr>
        <w:t xml:space="preserve">Cuadro de clasificación de los correos electrónicos del Comisionado Luis Gustavo Parra Noriega. </w:t>
      </w:r>
    </w:p>
    <w:p w:rsidR="00E328D2" w:rsidRPr="00973A22" w:rsidRDefault="00C43D44">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b/>
          <w:i/>
        </w:rPr>
      </w:pPr>
      <w:r w:rsidRPr="00973A22">
        <w:rPr>
          <w:rFonts w:ascii="Palatino Linotype" w:eastAsia="Palatino Linotype" w:hAnsi="Palatino Linotype" w:cs="Palatino Linotype"/>
          <w:b/>
          <w:i/>
        </w:rPr>
        <w:t xml:space="preserve">RespuestaSolicitud00740PCLGPN.pdf: </w:t>
      </w:r>
      <w:r w:rsidRPr="00973A22">
        <w:rPr>
          <w:rFonts w:ascii="Palatino Linotype" w:eastAsia="Palatino Linotype" w:hAnsi="Palatino Linotype" w:cs="Palatino Linotype"/>
        </w:rPr>
        <w:t xml:space="preserve">Oficio número INFOEM/SPH-RLC/027/2022 de fecha veintiocho de junio de dos mil veintidós, suscrito y signado por Ricardo López Colín, Servidor Público Habilitado del Comisionado Luis Gustavo Parra Noriega, mediante el cual informó lo siguiente: </w:t>
      </w:r>
    </w:p>
    <w:p w:rsidR="00E328D2" w:rsidRPr="00973A22" w:rsidRDefault="00C43D44">
      <w:pPr>
        <w:pBdr>
          <w:top w:val="nil"/>
          <w:left w:val="nil"/>
          <w:bottom w:val="nil"/>
          <w:right w:val="nil"/>
          <w:between w:val="nil"/>
        </w:pBdr>
        <w:spacing w:line="276" w:lineRule="auto"/>
        <w:ind w:left="1080" w:right="49"/>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b/>
          <w:sz w:val="22"/>
          <w:szCs w:val="22"/>
        </w:rPr>
        <w:t>“…</w:t>
      </w:r>
      <w:r w:rsidRPr="00973A22">
        <w:rPr>
          <w:rFonts w:ascii="Palatino Linotype" w:eastAsia="Palatino Linotype" w:hAnsi="Palatino Linotype" w:cs="Palatino Linotype"/>
          <w:i/>
          <w:sz w:val="22"/>
          <w:szCs w:val="22"/>
        </w:rPr>
        <w:t>después de haber realizado una búsqueda exhaustiva y razonable de la información solicitada en los archivos de esta Ponencia, se localizaron diversos correos electrónicos del Comisionado Luis Gustavo Parra Noriega, del siete al quince de enero de dos mil diecinueve, ya que del primero al seis fueron días inhábiles y no se cuenta con correos electrónicos en esta fecha, es preciso señalar que algunos de los correos mencionados contiene números de celular y una dirección de correo electrónico personal, razón por la cual se remite versión pública…</w:t>
      </w:r>
    </w:p>
    <w:p w:rsidR="00E328D2" w:rsidRPr="00973A22" w:rsidRDefault="00C43D44">
      <w:pPr>
        <w:pBdr>
          <w:top w:val="nil"/>
          <w:left w:val="nil"/>
          <w:bottom w:val="nil"/>
          <w:right w:val="nil"/>
          <w:between w:val="nil"/>
        </w:pBdr>
        <w:spacing w:line="276" w:lineRule="auto"/>
        <w:ind w:left="1080" w:right="49"/>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b/>
          <w:sz w:val="22"/>
          <w:szCs w:val="22"/>
        </w:rPr>
        <w:t>…</w:t>
      </w:r>
      <w:r w:rsidRPr="00973A22">
        <w:rPr>
          <w:rFonts w:ascii="Palatino Linotype" w:eastAsia="Palatino Linotype" w:hAnsi="Palatino Linotype" w:cs="Palatino Linotype"/>
          <w:i/>
          <w:sz w:val="22"/>
          <w:szCs w:val="22"/>
        </w:rPr>
        <w:t>Por lo que hace a los correos electrónicos de la Coordinadora de Proyectos Sandra Ivette Razo de la Paz, no se cuenta con ellos respecto de la fecha solicitada, ya que al realizarse el cambio de dominio de itaipem.org.mx a infoem.org.mx, los correos de esa fecha se eliminaron.”</w:t>
      </w:r>
    </w:p>
    <w:p w:rsidR="00E328D2" w:rsidRPr="00973A22" w:rsidRDefault="00E328D2">
      <w:pPr>
        <w:pBdr>
          <w:top w:val="nil"/>
          <w:left w:val="nil"/>
          <w:bottom w:val="nil"/>
          <w:right w:val="nil"/>
          <w:between w:val="nil"/>
        </w:pBdr>
        <w:spacing w:line="360" w:lineRule="auto"/>
        <w:ind w:left="1080" w:right="49"/>
        <w:jc w:val="both"/>
        <w:rPr>
          <w:rFonts w:ascii="Palatino Linotype" w:eastAsia="Palatino Linotype" w:hAnsi="Palatino Linotype" w:cs="Palatino Linotype"/>
          <w:i/>
        </w:rPr>
      </w:pPr>
    </w:p>
    <w:p w:rsidR="00E328D2" w:rsidRPr="00973A22" w:rsidRDefault="00C43D44">
      <w:pPr>
        <w:numPr>
          <w:ilvl w:val="0"/>
          <w:numId w:val="1"/>
        </w:numPr>
        <w:pBdr>
          <w:top w:val="nil"/>
          <w:left w:val="nil"/>
          <w:bottom w:val="nil"/>
          <w:right w:val="nil"/>
          <w:between w:val="nil"/>
        </w:pBdr>
        <w:spacing w:after="240" w:line="360" w:lineRule="auto"/>
        <w:ind w:right="49"/>
        <w:jc w:val="both"/>
        <w:rPr>
          <w:rFonts w:ascii="Palatino Linotype" w:eastAsia="Palatino Linotype" w:hAnsi="Palatino Linotype" w:cs="Palatino Linotype"/>
          <w:b/>
          <w:i/>
        </w:rPr>
      </w:pPr>
      <w:r w:rsidRPr="00973A22">
        <w:rPr>
          <w:rFonts w:ascii="Palatino Linotype" w:eastAsia="Palatino Linotype" w:hAnsi="Palatino Linotype" w:cs="Palatino Linotype"/>
          <w:b/>
          <w:i/>
        </w:rPr>
        <w:lastRenderedPageBreak/>
        <w:t>VP CORREOS DEL 07 AL 15 DE ENERO DEL 2019 (1).</w:t>
      </w:r>
      <w:proofErr w:type="spellStart"/>
      <w:r w:rsidRPr="00973A22">
        <w:rPr>
          <w:rFonts w:ascii="Palatino Linotype" w:eastAsia="Palatino Linotype" w:hAnsi="Palatino Linotype" w:cs="Palatino Linotype"/>
          <w:b/>
          <w:i/>
        </w:rPr>
        <w:t>pdf</w:t>
      </w:r>
      <w:proofErr w:type="spellEnd"/>
      <w:r w:rsidRPr="00973A22">
        <w:rPr>
          <w:rFonts w:ascii="Palatino Linotype" w:eastAsia="Palatino Linotype" w:hAnsi="Palatino Linotype" w:cs="Palatino Linotype"/>
          <w:b/>
          <w:i/>
        </w:rPr>
        <w:t xml:space="preserve">: </w:t>
      </w:r>
      <w:r w:rsidRPr="00973A22">
        <w:rPr>
          <w:rFonts w:ascii="Palatino Linotype" w:eastAsia="Palatino Linotype" w:hAnsi="Palatino Linotype" w:cs="Palatino Linotype"/>
        </w:rPr>
        <w:t xml:space="preserve">Documento integrado por 83 páginas en las que se observa la versión pública de los correos electrónicos recibidos y enviados por el Comisionado Luis Gustavo Parra Noriega. </w:t>
      </w:r>
    </w:p>
    <w:p w:rsidR="00E328D2" w:rsidRPr="00973A22" w:rsidRDefault="00C43D44">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i/>
        </w:rPr>
      </w:pPr>
      <w:r w:rsidRPr="00973A22">
        <w:rPr>
          <w:rFonts w:ascii="Palatino Linotype" w:eastAsia="Palatino Linotype" w:hAnsi="Palatino Linotype" w:cs="Palatino Linotype"/>
          <w:b/>
          <w:i/>
        </w:rPr>
        <w:t xml:space="preserve">RES-20-INFOEM-EXT-COMT-21a-2022.pdf: </w:t>
      </w:r>
      <w:r w:rsidRPr="00973A22">
        <w:rPr>
          <w:rFonts w:ascii="Palatino Linotype" w:eastAsia="Palatino Linotype" w:hAnsi="Palatino Linotype" w:cs="Palatino Linotype"/>
        </w:rPr>
        <w:t xml:space="preserve">Se trata de la Resolución RES/20/INFOEM/EXT/COMP/21°/2022 emitida por el Comité de Transparencia del INFOEM, de fecha veintinueve de junio de dos mil veintidós en la que se confirmó la clasificación parcial como confidencial de la información concerniente a correos electrónicos particulares de los documentos requeridos en la solicitud de información pública número 00740/INFOEM/IP/2022. </w:t>
      </w:r>
    </w:p>
    <w:p w:rsidR="00E328D2" w:rsidRPr="00973A22" w:rsidRDefault="00E328D2">
      <w:pPr>
        <w:pBdr>
          <w:top w:val="nil"/>
          <w:left w:val="nil"/>
          <w:bottom w:val="nil"/>
          <w:right w:val="nil"/>
          <w:between w:val="nil"/>
        </w:pBdr>
        <w:ind w:left="720"/>
        <w:rPr>
          <w:rFonts w:ascii="Palatino Linotype" w:eastAsia="Palatino Linotype" w:hAnsi="Palatino Linotype" w:cs="Palatino Linotype"/>
          <w:b/>
          <w:i/>
        </w:rPr>
      </w:pPr>
    </w:p>
    <w:p w:rsidR="00E328D2" w:rsidRPr="00973A22" w:rsidRDefault="00C43D44">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i/>
        </w:rPr>
      </w:pPr>
      <w:r w:rsidRPr="00973A22">
        <w:rPr>
          <w:rFonts w:ascii="Palatino Linotype" w:eastAsia="Palatino Linotype" w:hAnsi="Palatino Linotype" w:cs="Palatino Linotype"/>
          <w:b/>
          <w:i/>
        </w:rPr>
        <w:t xml:space="preserve">RES-21-INFOEM-EXT-COMT-21a-2022.pdf: </w:t>
      </w:r>
      <w:r w:rsidRPr="00973A22">
        <w:rPr>
          <w:rFonts w:ascii="Palatino Linotype" w:eastAsia="Palatino Linotype" w:hAnsi="Palatino Linotype" w:cs="Palatino Linotype"/>
        </w:rPr>
        <w:t>Contiene la Resolución RES/21/INFOEM/EXT/COMT/21°/2022 emitida por el Comité de Transparencia del INFOEM en fecha veintinueve de junio de dos mil veintidós en la que se confirmó la clasificación parcial como confidencial de la información  concerniente a correos electrónicos particulares y números de teléfono particulares, de los documentos requeridos en la solicitud 00740/INFOEM/IP/2022.</w:t>
      </w:r>
    </w:p>
    <w:p w:rsidR="00E328D2" w:rsidRPr="00973A22" w:rsidRDefault="00E328D2">
      <w:pPr>
        <w:pBdr>
          <w:top w:val="nil"/>
          <w:left w:val="nil"/>
          <w:bottom w:val="nil"/>
          <w:right w:val="nil"/>
          <w:between w:val="nil"/>
        </w:pBdr>
        <w:ind w:left="720"/>
        <w:rPr>
          <w:rFonts w:ascii="Palatino Linotype" w:eastAsia="Palatino Linotype" w:hAnsi="Palatino Linotype" w:cs="Palatino Linotype"/>
          <w:b/>
          <w:i/>
        </w:rPr>
      </w:pPr>
    </w:p>
    <w:p w:rsidR="00E328D2" w:rsidRPr="00973A22" w:rsidRDefault="00C43D44">
      <w:pPr>
        <w:numPr>
          <w:ilvl w:val="0"/>
          <w:numId w:val="8"/>
        </w:numPr>
        <w:pBdr>
          <w:top w:val="nil"/>
          <w:left w:val="nil"/>
          <w:bottom w:val="nil"/>
          <w:right w:val="nil"/>
          <w:between w:val="nil"/>
        </w:pBdr>
        <w:spacing w:line="360" w:lineRule="auto"/>
        <w:rPr>
          <w:rFonts w:ascii="Palatino Linotype" w:eastAsia="Palatino Linotype" w:hAnsi="Palatino Linotype" w:cs="Palatino Linotype"/>
          <w:b/>
          <w:i/>
        </w:rPr>
      </w:pPr>
      <w:r w:rsidRPr="00973A22">
        <w:rPr>
          <w:rFonts w:ascii="Palatino Linotype" w:eastAsia="Palatino Linotype" w:hAnsi="Palatino Linotype" w:cs="Palatino Linotype"/>
          <w:b/>
          <w:i/>
        </w:rPr>
        <w:t xml:space="preserve">RespuestaSolicitud00740UT.pdf: </w:t>
      </w:r>
      <w:r w:rsidRPr="00973A22">
        <w:rPr>
          <w:rFonts w:ascii="Palatino Linotype" w:eastAsia="Palatino Linotype" w:hAnsi="Palatino Linotype" w:cs="Palatino Linotype"/>
        </w:rPr>
        <w:t xml:space="preserve">Oficio número INFOEM/UT/598/2022, de fecha cuatro de julio de dos mil veintidós, suscrito y signado por el Titular </w:t>
      </w:r>
      <w:r w:rsidRPr="00973A22">
        <w:rPr>
          <w:rFonts w:ascii="Palatino Linotype" w:eastAsia="Palatino Linotype" w:hAnsi="Palatino Linotype" w:cs="Palatino Linotype"/>
        </w:rPr>
        <w:lastRenderedPageBreak/>
        <w:t xml:space="preserve">de la Unidad de Transparencia por medio del cual remitió las respuestas de los Servidores Públicos Habilitados y las resoluciones emitidas por el Comité de Transparencia, previamente descritas. </w:t>
      </w:r>
    </w:p>
    <w:p w:rsidR="00E328D2" w:rsidRPr="00973A22" w:rsidRDefault="00C43D44">
      <w:pPr>
        <w:spacing w:before="240" w:after="240" w:line="360" w:lineRule="auto"/>
        <w:ind w:right="49"/>
        <w:jc w:val="both"/>
        <w:rPr>
          <w:rFonts w:ascii="Palatino Linotype" w:eastAsia="Palatino Linotype" w:hAnsi="Palatino Linotype" w:cs="Palatino Linotype"/>
          <w:b/>
          <w:i/>
        </w:rPr>
      </w:pPr>
      <w:r w:rsidRPr="00973A22">
        <w:rPr>
          <w:rFonts w:ascii="Palatino Linotype" w:eastAsia="Palatino Linotype" w:hAnsi="Palatino Linotype" w:cs="Palatino Linotype"/>
          <w:b/>
        </w:rPr>
        <w:t xml:space="preserve">3. Interposición del recurso de revisión.  </w:t>
      </w:r>
      <w:r w:rsidRPr="00973A22">
        <w:rPr>
          <w:rFonts w:ascii="Palatino Linotype" w:eastAsia="Palatino Linotype" w:hAnsi="Palatino Linotype" w:cs="Palatino Linotype"/>
        </w:rPr>
        <w:t xml:space="preserve">El </w:t>
      </w:r>
      <w:r w:rsidRPr="00973A22">
        <w:rPr>
          <w:rFonts w:ascii="Palatino Linotype" w:eastAsia="Palatino Linotype" w:hAnsi="Palatino Linotype" w:cs="Palatino Linotype"/>
          <w:b/>
        </w:rPr>
        <w:t xml:space="preserve">seis de julio de dos mil veintidós </w:t>
      </w:r>
      <w:r w:rsidRPr="00973A22">
        <w:rPr>
          <w:rFonts w:ascii="Palatino Linotype" w:eastAsia="Palatino Linotype" w:hAnsi="Palatino Linotype" w:cs="Palatino Linotype"/>
        </w:rPr>
        <w:t xml:space="preserve">el </w:t>
      </w:r>
      <w:r w:rsidRPr="00973A22">
        <w:rPr>
          <w:rFonts w:ascii="Palatino Linotype" w:eastAsia="Palatino Linotype" w:hAnsi="Palatino Linotype" w:cs="Palatino Linotype"/>
          <w:b/>
        </w:rPr>
        <w:t xml:space="preserve">Recurrente </w:t>
      </w:r>
      <w:r w:rsidRPr="00973A22">
        <w:rPr>
          <w:rFonts w:ascii="Palatino Linotype" w:eastAsia="Palatino Linotype" w:hAnsi="Palatino Linotype" w:cs="Palatino Linotype"/>
        </w:rPr>
        <w:t>inconforme con la respuesta, interpuso el recurso de revisión en el que expresó lo siguiente:</w:t>
      </w:r>
    </w:p>
    <w:p w:rsidR="00E328D2" w:rsidRPr="00973A22" w:rsidRDefault="00C43D44">
      <w:pPr>
        <w:spacing w:before="240" w:after="240" w:line="360" w:lineRule="auto"/>
        <w:ind w:right="49"/>
        <w:jc w:val="both"/>
        <w:rPr>
          <w:rFonts w:ascii="Palatino Linotype" w:eastAsia="Palatino Linotype" w:hAnsi="Palatino Linotype" w:cs="Palatino Linotype"/>
          <w:i/>
          <w:sz w:val="2"/>
          <w:szCs w:val="2"/>
        </w:rPr>
      </w:pPr>
      <w:r w:rsidRPr="00973A22">
        <w:rPr>
          <w:rFonts w:ascii="Palatino Linotype" w:eastAsia="Palatino Linotype" w:hAnsi="Palatino Linotype" w:cs="Palatino Linotype"/>
          <w:b/>
        </w:rPr>
        <w:t xml:space="preserve">Acto impugnado: </w:t>
      </w:r>
    </w:p>
    <w:p w:rsidR="00E328D2" w:rsidRPr="00973A22" w:rsidRDefault="00C43D44">
      <w:pPr>
        <w:spacing w:before="240" w:after="240" w:line="276" w:lineRule="auto"/>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“respuesta incompleta."(Sic)</w:t>
      </w:r>
    </w:p>
    <w:p w:rsidR="00E328D2" w:rsidRPr="00973A22" w:rsidRDefault="00C43D44">
      <w:pPr>
        <w:spacing w:before="240" w:after="240" w:line="360" w:lineRule="auto"/>
        <w:ind w:right="616"/>
        <w:jc w:val="both"/>
        <w:rPr>
          <w:rFonts w:ascii="Palatino Linotype" w:eastAsia="Palatino Linotype" w:hAnsi="Palatino Linotype" w:cs="Palatino Linotype"/>
          <w:b/>
          <w:sz w:val="22"/>
          <w:szCs w:val="22"/>
        </w:rPr>
      </w:pPr>
      <w:r w:rsidRPr="00973A22">
        <w:rPr>
          <w:rFonts w:ascii="Palatino Linotype" w:eastAsia="Palatino Linotype" w:hAnsi="Palatino Linotype" w:cs="Palatino Linotype"/>
          <w:b/>
        </w:rPr>
        <w:t>Razones o motivos de inconformidad</w:t>
      </w:r>
      <w:r w:rsidRPr="00973A22">
        <w:rPr>
          <w:rFonts w:ascii="Palatino Linotype" w:eastAsia="Palatino Linotype" w:hAnsi="Palatino Linotype" w:cs="Palatino Linotype"/>
          <w:b/>
          <w:sz w:val="22"/>
          <w:szCs w:val="22"/>
        </w:rPr>
        <w:t xml:space="preserve">: </w:t>
      </w:r>
    </w:p>
    <w:p w:rsidR="00E328D2" w:rsidRPr="00973A22" w:rsidRDefault="00C43D44">
      <w:pPr>
        <w:spacing w:before="240" w:after="240" w:line="276" w:lineRule="auto"/>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 xml:space="preserve">“se solicitaron los correos </w:t>
      </w:r>
      <w:proofErr w:type="spellStart"/>
      <w:r w:rsidRPr="00973A22">
        <w:rPr>
          <w:rFonts w:ascii="Palatino Linotype" w:eastAsia="Palatino Linotype" w:hAnsi="Palatino Linotype" w:cs="Palatino Linotype"/>
          <w:i/>
          <w:sz w:val="22"/>
          <w:szCs w:val="22"/>
        </w:rPr>
        <w:t>electronicos</w:t>
      </w:r>
      <w:proofErr w:type="spellEnd"/>
      <w:r w:rsidRPr="00973A22">
        <w:rPr>
          <w:rFonts w:ascii="Palatino Linotype" w:eastAsia="Palatino Linotype" w:hAnsi="Palatino Linotype" w:cs="Palatino Linotype"/>
          <w:i/>
          <w:sz w:val="22"/>
          <w:szCs w:val="22"/>
        </w:rPr>
        <w:t xml:space="preserve"> de los integrantes del pleno así como de las coordinaciones de proyectos del año 2019, a lo que me envían información de 4 comisionados, faltan correos de la comisionada </w:t>
      </w:r>
      <w:proofErr w:type="spellStart"/>
      <w:r w:rsidRPr="00973A22">
        <w:rPr>
          <w:rFonts w:ascii="Palatino Linotype" w:eastAsia="Palatino Linotype" w:hAnsi="Palatino Linotype" w:cs="Palatino Linotype"/>
          <w:i/>
          <w:sz w:val="22"/>
          <w:szCs w:val="22"/>
        </w:rPr>
        <w:t>zulema</w:t>
      </w:r>
      <w:proofErr w:type="spellEnd"/>
      <w:r w:rsidRPr="00973A22">
        <w:rPr>
          <w:rFonts w:ascii="Palatino Linotype" w:eastAsia="Palatino Linotype" w:hAnsi="Palatino Linotype" w:cs="Palatino Linotype"/>
          <w:i/>
          <w:sz w:val="22"/>
          <w:szCs w:val="22"/>
        </w:rPr>
        <w:t xml:space="preserve"> </w:t>
      </w:r>
      <w:proofErr w:type="spellStart"/>
      <w:r w:rsidRPr="00973A22">
        <w:rPr>
          <w:rFonts w:ascii="Palatino Linotype" w:eastAsia="Palatino Linotype" w:hAnsi="Palatino Linotype" w:cs="Palatino Linotype"/>
          <w:i/>
          <w:sz w:val="22"/>
          <w:szCs w:val="22"/>
        </w:rPr>
        <w:t>martinez</w:t>
      </w:r>
      <w:proofErr w:type="spellEnd"/>
      <w:r w:rsidRPr="00973A22">
        <w:rPr>
          <w:rFonts w:ascii="Palatino Linotype" w:eastAsia="Palatino Linotype" w:hAnsi="Palatino Linotype" w:cs="Palatino Linotype"/>
          <w:i/>
          <w:sz w:val="22"/>
          <w:szCs w:val="22"/>
        </w:rPr>
        <w:t xml:space="preserve"> y de su coordinador de proyectos. </w:t>
      </w:r>
      <w:proofErr w:type="gramStart"/>
      <w:r w:rsidRPr="00973A22">
        <w:rPr>
          <w:rFonts w:ascii="Palatino Linotype" w:eastAsia="Palatino Linotype" w:hAnsi="Palatino Linotype" w:cs="Palatino Linotype"/>
          <w:i/>
          <w:sz w:val="22"/>
          <w:szCs w:val="22"/>
        </w:rPr>
        <w:t>de</w:t>
      </w:r>
      <w:proofErr w:type="gramEnd"/>
      <w:r w:rsidRPr="00973A22">
        <w:rPr>
          <w:rFonts w:ascii="Palatino Linotype" w:eastAsia="Palatino Linotype" w:hAnsi="Palatino Linotype" w:cs="Palatino Linotype"/>
          <w:i/>
          <w:sz w:val="22"/>
          <w:szCs w:val="22"/>
        </w:rPr>
        <w:t xml:space="preserve"> igual manera, en la respuesta del comisionado Luis Gustavo Parra, se informa que los correos de la coordinadora de proyectos de su ponencia no se tienen porque fueron borrados, por lo que en términos de los lineamientos para la </w:t>
      </w:r>
      <w:proofErr w:type="spellStart"/>
      <w:r w:rsidRPr="00973A22">
        <w:rPr>
          <w:rFonts w:ascii="Palatino Linotype" w:eastAsia="Palatino Linotype" w:hAnsi="Palatino Linotype" w:cs="Palatino Linotype"/>
          <w:i/>
          <w:sz w:val="22"/>
          <w:szCs w:val="22"/>
        </w:rPr>
        <w:t>organiozaciòn</w:t>
      </w:r>
      <w:proofErr w:type="spellEnd"/>
      <w:r w:rsidRPr="00973A22">
        <w:rPr>
          <w:rFonts w:ascii="Palatino Linotype" w:eastAsia="Palatino Linotype" w:hAnsi="Palatino Linotype" w:cs="Palatino Linotype"/>
          <w:i/>
          <w:sz w:val="22"/>
          <w:szCs w:val="22"/>
        </w:rPr>
        <w:t xml:space="preserve"> y conservación de archivos del sistema nacional de transparencia aprobados en 2016, se establece la </w:t>
      </w:r>
      <w:proofErr w:type="spellStart"/>
      <w:r w:rsidRPr="00973A22">
        <w:rPr>
          <w:rFonts w:ascii="Palatino Linotype" w:eastAsia="Palatino Linotype" w:hAnsi="Palatino Linotype" w:cs="Palatino Linotype"/>
          <w:i/>
          <w:sz w:val="22"/>
          <w:szCs w:val="22"/>
        </w:rPr>
        <w:t>obligacion</w:t>
      </w:r>
      <w:proofErr w:type="spellEnd"/>
      <w:r w:rsidRPr="00973A22">
        <w:rPr>
          <w:rFonts w:ascii="Palatino Linotype" w:eastAsia="Palatino Linotype" w:hAnsi="Palatino Linotype" w:cs="Palatino Linotype"/>
          <w:i/>
          <w:sz w:val="22"/>
          <w:szCs w:val="22"/>
        </w:rPr>
        <w:t xml:space="preserve"> para los sujetos obligados de resguardar o respaldar la información de los correos </w:t>
      </w:r>
      <w:proofErr w:type="spellStart"/>
      <w:r w:rsidRPr="00973A22">
        <w:rPr>
          <w:rFonts w:ascii="Palatino Linotype" w:eastAsia="Palatino Linotype" w:hAnsi="Palatino Linotype" w:cs="Palatino Linotype"/>
          <w:i/>
          <w:sz w:val="22"/>
          <w:szCs w:val="22"/>
        </w:rPr>
        <w:t>electronicos</w:t>
      </w:r>
      <w:proofErr w:type="spellEnd"/>
      <w:r w:rsidRPr="00973A22">
        <w:rPr>
          <w:rFonts w:ascii="Palatino Linotype" w:eastAsia="Palatino Linotype" w:hAnsi="Palatino Linotype" w:cs="Palatino Linotype"/>
          <w:i/>
          <w:sz w:val="22"/>
          <w:szCs w:val="22"/>
        </w:rPr>
        <w:t xml:space="preserve">. </w:t>
      </w:r>
      <w:proofErr w:type="gramStart"/>
      <w:r w:rsidRPr="00973A22">
        <w:rPr>
          <w:rFonts w:ascii="Palatino Linotype" w:eastAsia="Palatino Linotype" w:hAnsi="Palatino Linotype" w:cs="Palatino Linotype"/>
          <w:i/>
          <w:sz w:val="22"/>
          <w:szCs w:val="22"/>
        </w:rPr>
        <w:t>siendo</w:t>
      </w:r>
      <w:proofErr w:type="gramEnd"/>
      <w:r w:rsidRPr="00973A22">
        <w:rPr>
          <w:rFonts w:ascii="Palatino Linotype" w:eastAsia="Palatino Linotype" w:hAnsi="Palatino Linotype" w:cs="Palatino Linotype"/>
          <w:i/>
          <w:sz w:val="22"/>
          <w:szCs w:val="22"/>
        </w:rPr>
        <w:t xml:space="preserve"> así el comisionado debió declarar la inexistencia de la información, porque si </w:t>
      </w:r>
      <w:proofErr w:type="spellStart"/>
      <w:r w:rsidRPr="00973A22">
        <w:rPr>
          <w:rFonts w:ascii="Palatino Linotype" w:eastAsia="Palatino Linotype" w:hAnsi="Palatino Linotype" w:cs="Palatino Linotype"/>
          <w:i/>
          <w:sz w:val="22"/>
          <w:szCs w:val="22"/>
        </w:rPr>
        <w:t>tenian</w:t>
      </w:r>
      <w:proofErr w:type="spellEnd"/>
      <w:r w:rsidRPr="00973A22">
        <w:rPr>
          <w:rFonts w:ascii="Palatino Linotype" w:eastAsia="Palatino Linotype" w:hAnsi="Palatino Linotype" w:cs="Palatino Linotype"/>
          <w:i/>
          <w:sz w:val="22"/>
          <w:szCs w:val="22"/>
        </w:rPr>
        <w:t xml:space="preserve"> la </w:t>
      </w:r>
      <w:proofErr w:type="spellStart"/>
      <w:r w:rsidRPr="00973A22">
        <w:rPr>
          <w:rFonts w:ascii="Palatino Linotype" w:eastAsia="Palatino Linotype" w:hAnsi="Palatino Linotype" w:cs="Palatino Linotype"/>
          <w:i/>
          <w:sz w:val="22"/>
          <w:szCs w:val="22"/>
        </w:rPr>
        <w:t>obligacion</w:t>
      </w:r>
      <w:proofErr w:type="spellEnd"/>
      <w:r w:rsidRPr="00973A22">
        <w:rPr>
          <w:rFonts w:ascii="Palatino Linotype" w:eastAsia="Palatino Linotype" w:hAnsi="Palatino Linotype" w:cs="Palatino Linotype"/>
          <w:i/>
          <w:sz w:val="22"/>
          <w:szCs w:val="22"/>
        </w:rPr>
        <w:t xml:space="preserve"> de respaldar los correos, por lo que se </w:t>
      </w:r>
      <w:proofErr w:type="spellStart"/>
      <w:r w:rsidRPr="00973A22">
        <w:rPr>
          <w:rFonts w:ascii="Palatino Linotype" w:eastAsia="Palatino Linotype" w:hAnsi="Palatino Linotype" w:cs="Palatino Linotype"/>
          <w:i/>
          <w:sz w:val="22"/>
          <w:szCs w:val="22"/>
        </w:rPr>
        <w:t>debio</w:t>
      </w:r>
      <w:proofErr w:type="spellEnd"/>
      <w:r w:rsidRPr="00973A22">
        <w:rPr>
          <w:rFonts w:ascii="Palatino Linotype" w:eastAsia="Palatino Linotype" w:hAnsi="Palatino Linotype" w:cs="Palatino Linotype"/>
          <w:i/>
          <w:sz w:val="22"/>
          <w:szCs w:val="22"/>
        </w:rPr>
        <w:t xml:space="preserve"> genera acuerdo de inexistencia y en todo caso remitir a su </w:t>
      </w:r>
      <w:proofErr w:type="spellStart"/>
      <w:r w:rsidRPr="00973A22">
        <w:rPr>
          <w:rFonts w:ascii="Palatino Linotype" w:eastAsia="Palatino Linotype" w:hAnsi="Palatino Linotype" w:cs="Palatino Linotype"/>
          <w:i/>
          <w:sz w:val="22"/>
          <w:szCs w:val="22"/>
        </w:rPr>
        <w:t>organo</w:t>
      </w:r>
      <w:proofErr w:type="spellEnd"/>
      <w:r w:rsidRPr="00973A22">
        <w:rPr>
          <w:rFonts w:ascii="Palatino Linotype" w:eastAsia="Palatino Linotype" w:hAnsi="Palatino Linotype" w:cs="Palatino Linotype"/>
          <w:i/>
          <w:sz w:val="22"/>
          <w:szCs w:val="22"/>
        </w:rPr>
        <w:t xml:space="preserve"> interno de control la resolución identificando a la persona responsable, en este caso la coordinadora de proyectos del comisionado Parra. solicito al pleno del </w:t>
      </w:r>
      <w:proofErr w:type="spellStart"/>
      <w:r w:rsidRPr="00973A22">
        <w:rPr>
          <w:rFonts w:ascii="Palatino Linotype" w:eastAsia="Palatino Linotype" w:hAnsi="Palatino Linotype" w:cs="Palatino Linotype"/>
          <w:i/>
          <w:sz w:val="22"/>
          <w:szCs w:val="22"/>
        </w:rPr>
        <w:t>infoem</w:t>
      </w:r>
      <w:proofErr w:type="spellEnd"/>
      <w:r w:rsidRPr="00973A22">
        <w:rPr>
          <w:rFonts w:ascii="Palatino Linotype" w:eastAsia="Palatino Linotype" w:hAnsi="Palatino Linotype" w:cs="Palatino Linotype"/>
          <w:i/>
          <w:sz w:val="22"/>
          <w:szCs w:val="22"/>
        </w:rPr>
        <w:t xml:space="preserve"> revoquen la respuesta y se ordene la declaración de inexistencia y se inicie el procedimiento de responsabilidad correspondiente al responsable, </w:t>
      </w:r>
      <w:proofErr w:type="spellStart"/>
      <w:r w:rsidRPr="00973A22">
        <w:rPr>
          <w:rFonts w:ascii="Palatino Linotype" w:eastAsia="Palatino Linotype" w:hAnsi="Palatino Linotype" w:cs="Palatino Linotype"/>
          <w:i/>
          <w:sz w:val="22"/>
          <w:szCs w:val="22"/>
        </w:rPr>
        <w:t>asi</w:t>
      </w:r>
      <w:proofErr w:type="spellEnd"/>
      <w:r w:rsidRPr="00973A22">
        <w:rPr>
          <w:rFonts w:ascii="Palatino Linotype" w:eastAsia="Palatino Linotype" w:hAnsi="Palatino Linotype" w:cs="Palatino Linotype"/>
          <w:i/>
          <w:sz w:val="22"/>
          <w:szCs w:val="22"/>
        </w:rPr>
        <w:t xml:space="preserve"> mismo, se </w:t>
      </w:r>
      <w:r w:rsidRPr="00973A22">
        <w:rPr>
          <w:rFonts w:ascii="Palatino Linotype" w:eastAsia="Palatino Linotype" w:hAnsi="Palatino Linotype" w:cs="Palatino Linotype"/>
          <w:i/>
          <w:sz w:val="22"/>
          <w:szCs w:val="22"/>
        </w:rPr>
        <w:lastRenderedPageBreak/>
        <w:t xml:space="preserve">ordene la </w:t>
      </w:r>
      <w:proofErr w:type="spellStart"/>
      <w:r w:rsidRPr="00973A22">
        <w:rPr>
          <w:rFonts w:ascii="Palatino Linotype" w:eastAsia="Palatino Linotype" w:hAnsi="Palatino Linotype" w:cs="Palatino Linotype"/>
          <w:i/>
          <w:sz w:val="22"/>
          <w:szCs w:val="22"/>
        </w:rPr>
        <w:t>entraga</w:t>
      </w:r>
      <w:proofErr w:type="spellEnd"/>
      <w:r w:rsidRPr="00973A22">
        <w:rPr>
          <w:rFonts w:ascii="Palatino Linotype" w:eastAsia="Palatino Linotype" w:hAnsi="Palatino Linotype" w:cs="Palatino Linotype"/>
          <w:i/>
          <w:sz w:val="22"/>
          <w:szCs w:val="22"/>
        </w:rPr>
        <w:t xml:space="preserve"> de los correos de la comisionada </w:t>
      </w:r>
      <w:proofErr w:type="spellStart"/>
      <w:r w:rsidRPr="00973A22">
        <w:rPr>
          <w:rFonts w:ascii="Palatino Linotype" w:eastAsia="Palatino Linotype" w:hAnsi="Palatino Linotype" w:cs="Palatino Linotype"/>
          <w:i/>
          <w:sz w:val="22"/>
          <w:szCs w:val="22"/>
        </w:rPr>
        <w:t>zulema</w:t>
      </w:r>
      <w:proofErr w:type="spellEnd"/>
      <w:r w:rsidRPr="00973A22">
        <w:rPr>
          <w:rFonts w:ascii="Palatino Linotype" w:eastAsia="Palatino Linotype" w:hAnsi="Palatino Linotype" w:cs="Palatino Linotype"/>
          <w:i/>
          <w:sz w:val="22"/>
          <w:szCs w:val="22"/>
        </w:rPr>
        <w:t xml:space="preserve"> </w:t>
      </w:r>
      <w:proofErr w:type="spellStart"/>
      <w:r w:rsidRPr="00973A22">
        <w:rPr>
          <w:rFonts w:ascii="Palatino Linotype" w:eastAsia="Palatino Linotype" w:hAnsi="Palatino Linotype" w:cs="Palatino Linotype"/>
          <w:i/>
          <w:sz w:val="22"/>
          <w:szCs w:val="22"/>
        </w:rPr>
        <w:t>martinez</w:t>
      </w:r>
      <w:proofErr w:type="spellEnd"/>
      <w:r w:rsidRPr="00973A22">
        <w:rPr>
          <w:rFonts w:ascii="Palatino Linotype" w:eastAsia="Palatino Linotype" w:hAnsi="Palatino Linotype" w:cs="Palatino Linotype"/>
          <w:i/>
          <w:sz w:val="22"/>
          <w:szCs w:val="22"/>
        </w:rPr>
        <w:t xml:space="preserve"> y su coordinador de proyectos y en caso de no tenerlos, declarar la inexistencia de la misma."(Sic)</w:t>
      </w:r>
    </w:p>
    <w:p w:rsidR="00E328D2" w:rsidRPr="00973A22" w:rsidRDefault="00E328D2">
      <w:pPr>
        <w:spacing w:before="240" w:after="240" w:line="360" w:lineRule="auto"/>
        <w:jc w:val="both"/>
        <w:rPr>
          <w:rFonts w:ascii="Palatino Linotype" w:eastAsia="Palatino Linotype" w:hAnsi="Palatino Linotype" w:cs="Palatino Linotype"/>
          <w:sz w:val="2"/>
          <w:szCs w:val="2"/>
        </w:rPr>
      </w:pPr>
    </w:p>
    <w:p w:rsidR="00E328D2" w:rsidRPr="00973A22" w:rsidRDefault="00C43D44">
      <w:pPr>
        <w:spacing w:before="240" w:after="240"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b/>
        </w:rPr>
        <w:t>4. Turno.</w:t>
      </w:r>
      <w:r w:rsidRPr="00973A22">
        <w:rPr>
          <w:rFonts w:ascii="Palatino Linotype" w:eastAsia="Palatino Linotype" w:hAnsi="Palatino Linotype" w:cs="Palatino Linotype"/>
          <w:b/>
          <w:sz w:val="28"/>
          <w:szCs w:val="28"/>
        </w:rPr>
        <w:t xml:space="preserve"> </w:t>
      </w:r>
      <w:r w:rsidRPr="00973A22">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973A22">
        <w:rPr>
          <w:rFonts w:ascii="Palatino Linotype" w:eastAsia="Palatino Linotype" w:hAnsi="Palatino Linotype" w:cs="Palatino Linotype"/>
          <w:b/>
        </w:rPr>
        <w:t xml:space="preserve">Guadalupe Ramírez Peña, </w:t>
      </w:r>
      <w:r w:rsidRPr="00973A22">
        <w:rPr>
          <w:rFonts w:ascii="Palatino Linotype" w:eastAsia="Palatino Linotype" w:hAnsi="Palatino Linotype" w:cs="Palatino Linotype"/>
        </w:rPr>
        <w:t xml:space="preserve">a efecto de que analizara sobre su admisión o su </w:t>
      </w:r>
      <w:proofErr w:type="spellStart"/>
      <w:r w:rsidRPr="00973A22">
        <w:rPr>
          <w:rFonts w:ascii="Palatino Linotype" w:eastAsia="Palatino Linotype" w:hAnsi="Palatino Linotype" w:cs="Palatino Linotype"/>
        </w:rPr>
        <w:t>desechamiento</w:t>
      </w:r>
      <w:proofErr w:type="spellEnd"/>
      <w:r w:rsidRPr="00973A22">
        <w:rPr>
          <w:rFonts w:ascii="Palatino Linotype" w:eastAsia="Palatino Linotype" w:hAnsi="Palatino Linotype" w:cs="Palatino Linotype"/>
        </w:rPr>
        <w:t>.</w:t>
      </w:r>
    </w:p>
    <w:p w:rsidR="00E328D2" w:rsidRPr="00973A22" w:rsidRDefault="00C43D44">
      <w:pPr>
        <w:spacing w:before="240" w:after="240" w:line="360" w:lineRule="auto"/>
        <w:jc w:val="both"/>
        <w:rPr>
          <w:rFonts w:ascii="Palatino Linotype" w:eastAsia="Palatino Linotype" w:hAnsi="Palatino Linotype" w:cs="Palatino Linotype"/>
          <w:b/>
        </w:rPr>
      </w:pPr>
      <w:r w:rsidRPr="00973A22">
        <w:rPr>
          <w:rFonts w:ascii="Palatino Linotype" w:eastAsia="Palatino Linotype" w:hAnsi="Palatino Linotype" w:cs="Palatino Linotype"/>
          <w:b/>
        </w:rPr>
        <w:t>5.</w:t>
      </w:r>
      <w:r w:rsidRPr="00973A22">
        <w:rPr>
          <w:rFonts w:ascii="Palatino Linotype" w:eastAsia="Palatino Linotype" w:hAnsi="Palatino Linotype" w:cs="Palatino Linotype"/>
          <w:b/>
          <w:i/>
        </w:rPr>
        <w:t xml:space="preserve"> </w:t>
      </w:r>
      <w:r w:rsidRPr="00973A22">
        <w:rPr>
          <w:rFonts w:ascii="Palatino Linotype" w:eastAsia="Palatino Linotype" w:hAnsi="Palatino Linotype" w:cs="Palatino Linotype"/>
          <w:b/>
        </w:rPr>
        <w:t>Admisión del Recurso de revisión.</w:t>
      </w:r>
      <w:r w:rsidRPr="00973A22">
        <w:rPr>
          <w:rFonts w:ascii="Palatino Linotype" w:eastAsia="Palatino Linotype" w:hAnsi="Palatino Linotype" w:cs="Palatino Linotype"/>
          <w:sz w:val="28"/>
          <w:szCs w:val="28"/>
        </w:rPr>
        <w:t xml:space="preserve"> El</w:t>
      </w:r>
      <w:r w:rsidRPr="00973A22">
        <w:rPr>
          <w:rFonts w:ascii="Palatino Linotype" w:eastAsia="Palatino Linotype" w:hAnsi="Palatino Linotype" w:cs="Palatino Linotype"/>
          <w:b/>
        </w:rPr>
        <w:t xml:space="preserve"> once de julio de dos mil veintidós, </w:t>
      </w:r>
      <w:r w:rsidRPr="00973A22">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w:t>
      </w:r>
      <w:r w:rsidRPr="00973A22">
        <w:rPr>
          <w:rFonts w:ascii="Palatino Linotype" w:eastAsia="Palatino Linotype" w:hAnsi="Palatino Linotype" w:cs="Palatino Linotype"/>
          <w:b/>
        </w:rPr>
        <w:t>Sujeto Obligado</w:t>
      </w:r>
      <w:r w:rsidRPr="00973A22">
        <w:rPr>
          <w:rFonts w:ascii="Palatino Linotype" w:eastAsia="Palatino Linotype" w:hAnsi="Palatino Linotype" w:cs="Palatino Linotype"/>
        </w:rPr>
        <w:t xml:space="preserve"> presentara su informe justificado.</w:t>
      </w:r>
    </w:p>
    <w:p w:rsidR="00E328D2" w:rsidRPr="00973A22" w:rsidRDefault="00C43D44">
      <w:pPr>
        <w:widowControl w:val="0"/>
        <w:spacing w:before="240" w:after="240"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b/>
        </w:rPr>
        <w:t>6. Manifestaciones</w:t>
      </w:r>
      <w:r w:rsidRPr="00973A22">
        <w:rPr>
          <w:rFonts w:ascii="Palatino Linotype" w:eastAsia="Palatino Linotype" w:hAnsi="Palatino Linotype" w:cs="Palatino Linotype"/>
        </w:rPr>
        <w:t xml:space="preserve">. El ocho de agosto de dos mil veintidós el </w:t>
      </w:r>
      <w:r w:rsidRPr="00973A22">
        <w:rPr>
          <w:rFonts w:ascii="Palatino Linotype" w:eastAsia="Palatino Linotype" w:hAnsi="Palatino Linotype" w:cs="Palatino Linotype"/>
          <w:b/>
        </w:rPr>
        <w:t xml:space="preserve">Sujeto Obligado </w:t>
      </w:r>
      <w:r w:rsidRPr="00973A22">
        <w:rPr>
          <w:rFonts w:ascii="Palatino Linotype" w:eastAsia="Palatino Linotype" w:hAnsi="Palatino Linotype" w:cs="Palatino Linotype"/>
        </w:rPr>
        <w:t xml:space="preserve">haciendo uso de su derecho remitió en informe justificado los archivos descritos en el siguiente orden: </w:t>
      </w:r>
    </w:p>
    <w:p w:rsidR="00E328D2" w:rsidRPr="00973A22" w:rsidRDefault="00C43D44">
      <w:pPr>
        <w:widowControl w:val="0"/>
        <w:numPr>
          <w:ilvl w:val="0"/>
          <w:numId w:val="3"/>
        </w:numPr>
        <w:pBdr>
          <w:top w:val="nil"/>
          <w:left w:val="nil"/>
          <w:bottom w:val="nil"/>
          <w:right w:val="nil"/>
          <w:between w:val="nil"/>
        </w:pBdr>
        <w:spacing w:before="240" w:line="360" w:lineRule="auto"/>
        <w:jc w:val="both"/>
        <w:rPr>
          <w:rFonts w:ascii="Palatino Linotype" w:eastAsia="Palatino Linotype" w:hAnsi="Palatino Linotype" w:cs="Palatino Linotype"/>
          <w:b/>
          <w:i/>
        </w:rPr>
      </w:pPr>
      <w:r w:rsidRPr="00973A22">
        <w:rPr>
          <w:rFonts w:ascii="Palatino Linotype" w:eastAsia="Palatino Linotype" w:hAnsi="Palatino Linotype" w:cs="Palatino Linotype"/>
          <w:b/>
          <w:i/>
        </w:rPr>
        <w:t xml:space="preserve">InformeJustificadoRR12494PCLGPN.pdf: </w:t>
      </w:r>
      <w:r w:rsidRPr="00973A22">
        <w:rPr>
          <w:rFonts w:ascii="Palatino Linotype" w:eastAsia="Palatino Linotype" w:hAnsi="Palatino Linotype" w:cs="Palatino Linotype"/>
        </w:rPr>
        <w:t xml:space="preserve">Oficio número INFOEM/SPH-RLC/035/2022 de fecha tres de agosto de dos mil veintidós suscrito y firmado por el Servidor Público Habilitado de la Ponencia del </w:t>
      </w:r>
      <w:r w:rsidRPr="00973A22">
        <w:rPr>
          <w:rFonts w:ascii="Palatino Linotype" w:eastAsia="Palatino Linotype" w:hAnsi="Palatino Linotype" w:cs="Palatino Linotype"/>
        </w:rPr>
        <w:lastRenderedPageBreak/>
        <w:t>Comisionado Luis Gustavo Parra Noriega por medio de manera sustantiva refiere que: “</w:t>
      </w:r>
      <w:r w:rsidRPr="00973A22">
        <w:rPr>
          <w:rFonts w:ascii="Palatino Linotype" w:eastAsia="Palatino Linotype" w:hAnsi="Palatino Linotype" w:cs="Palatino Linotype"/>
          <w:i/>
        </w:rPr>
        <w:t xml:space="preserve">...la capacidad del correo institucional que es utilizado por la Coordinadora Sandra Ivette Razo de la Paz se ha visto rebasado por el cumulo de documentos que envía y recibe, por lo que se eliminan de forma periódica para se pueda tener un uso eficiente del correo electrónico como medio de comunicación de acuerdo con lo siguiente: </w:t>
      </w:r>
    </w:p>
    <w:p w:rsidR="00E328D2" w:rsidRPr="00973A22" w:rsidRDefault="00C43D44">
      <w:pPr>
        <w:widowControl w:val="0"/>
        <w:pBdr>
          <w:top w:val="nil"/>
          <w:left w:val="nil"/>
          <w:bottom w:val="nil"/>
          <w:right w:val="nil"/>
          <w:between w:val="nil"/>
        </w:pBdr>
        <w:spacing w:line="360" w:lineRule="auto"/>
        <w:ind w:left="851"/>
        <w:jc w:val="both"/>
        <w:rPr>
          <w:rFonts w:ascii="Palatino Linotype" w:eastAsia="Palatino Linotype" w:hAnsi="Palatino Linotype" w:cs="Palatino Linotype"/>
          <w:b/>
          <w:i/>
        </w:rPr>
      </w:pPr>
      <w:r w:rsidRPr="00973A22">
        <w:rPr>
          <w:rFonts w:ascii="Palatino Linotype" w:eastAsia="Palatino Linotype" w:hAnsi="Palatino Linotype" w:cs="Palatino Linotype"/>
          <w:b/>
          <w:i/>
          <w:noProof/>
        </w:rPr>
        <w:drawing>
          <wp:inline distT="0" distB="0" distL="0" distR="0">
            <wp:extent cx="5086350" cy="4476750"/>
            <wp:effectExtent l="0" t="0" r="0" b="0"/>
            <wp:docPr id="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086350" cy="4476750"/>
                    </a:xfrm>
                    <a:prstGeom prst="rect">
                      <a:avLst/>
                    </a:prstGeom>
                    <a:ln/>
                  </pic:spPr>
                </pic:pic>
              </a:graphicData>
            </a:graphic>
          </wp:inline>
        </w:drawing>
      </w:r>
    </w:p>
    <w:p w:rsidR="00E328D2" w:rsidRPr="00973A22" w:rsidRDefault="00C43D44">
      <w:pPr>
        <w:widowControl w:val="0"/>
        <w:pBdr>
          <w:top w:val="nil"/>
          <w:left w:val="nil"/>
          <w:bottom w:val="nil"/>
          <w:right w:val="nil"/>
          <w:between w:val="nil"/>
        </w:pBdr>
        <w:spacing w:line="360" w:lineRule="auto"/>
        <w:ind w:left="851"/>
        <w:jc w:val="both"/>
        <w:rPr>
          <w:rFonts w:ascii="Palatino Linotype" w:eastAsia="Palatino Linotype" w:hAnsi="Palatino Linotype" w:cs="Palatino Linotype"/>
          <w:b/>
          <w:i/>
        </w:rPr>
      </w:pPr>
      <w:r w:rsidRPr="00973A22">
        <w:rPr>
          <w:rFonts w:ascii="Palatino Linotype" w:eastAsia="Palatino Linotype" w:hAnsi="Palatino Linotype" w:cs="Palatino Linotype"/>
          <w:b/>
          <w:i/>
          <w:noProof/>
        </w:rPr>
        <w:lastRenderedPageBreak/>
        <w:drawing>
          <wp:inline distT="0" distB="0" distL="0" distR="0">
            <wp:extent cx="4876800" cy="4023995"/>
            <wp:effectExtent l="0" t="0" r="0" b="0"/>
            <wp:docPr id="4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4876800" cy="4023995"/>
                    </a:xfrm>
                    <a:prstGeom prst="rect">
                      <a:avLst/>
                    </a:prstGeom>
                    <a:ln/>
                  </pic:spPr>
                </pic:pic>
              </a:graphicData>
            </a:graphic>
          </wp:inline>
        </w:drawing>
      </w:r>
    </w:p>
    <w:p w:rsidR="00E328D2" w:rsidRPr="00973A22" w:rsidRDefault="00C43D44">
      <w:pPr>
        <w:widowControl w:val="0"/>
        <w:pBdr>
          <w:top w:val="nil"/>
          <w:left w:val="nil"/>
          <w:bottom w:val="nil"/>
          <w:right w:val="nil"/>
          <w:between w:val="nil"/>
        </w:pBdr>
        <w:spacing w:line="360" w:lineRule="auto"/>
        <w:ind w:left="851"/>
        <w:jc w:val="both"/>
        <w:rPr>
          <w:rFonts w:ascii="Palatino Linotype" w:eastAsia="Palatino Linotype" w:hAnsi="Palatino Linotype" w:cs="Palatino Linotype"/>
          <w:b/>
          <w:i/>
        </w:rPr>
      </w:pPr>
      <w:r w:rsidRPr="00973A22">
        <w:rPr>
          <w:rFonts w:ascii="Palatino Linotype" w:eastAsia="Palatino Linotype" w:hAnsi="Palatino Linotype" w:cs="Palatino Linotype"/>
          <w:b/>
          <w:i/>
          <w:noProof/>
        </w:rPr>
        <w:lastRenderedPageBreak/>
        <w:drawing>
          <wp:inline distT="0" distB="0" distL="0" distR="0">
            <wp:extent cx="5114925" cy="4067175"/>
            <wp:effectExtent l="0" t="0" r="0" b="0"/>
            <wp:docPr id="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114925" cy="4067175"/>
                    </a:xfrm>
                    <a:prstGeom prst="rect">
                      <a:avLst/>
                    </a:prstGeom>
                    <a:ln/>
                  </pic:spPr>
                </pic:pic>
              </a:graphicData>
            </a:graphic>
          </wp:inline>
        </w:drawing>
      </w:r>
    </w:p>
    <w:p w:rsidR="00E328D2" w:rsidRPr="00973A22" w:rsidRDefault="00E328D2">
      <w:pPr>
        <w:widowControl w:val="0"/>
        <w:pBdr>
          <w:top w:val="nil"/>
          <w:left w:val="nil"/>
          <w:bottom w:val="nil"/>
          <w:right w:val="nil"/>
          <w:between w:val="nil"/>
        </w:pBdr>
        <w:spacing w:line="360" w:lineRule="auto"/>
        <w:ind w:left="851"/>
        <w:jc w:val="both"/>
        <w:rPr>
          <w:rFonts w:ascii="Palatino Linotype" w:eastAsia="Palatino Linotype" w:hAnsi="Palatino Linotype" w:cs="Palatino Linotype"/>
          <w:b/>
          <w:i/>
        </w:rPr>
      </w:pPr>
    </w:p>
    <w:p w:rsidR="00E328D2" w:rsidRPr="00973A22" w:rsidRDefault="00C43D44">
      <w:pPr>
        <w:widowControl w:val="0"/>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i/>
        </w:rPr>
      </w:pPr>
      <w:r w:rsidRPr="00973A22">
        <w:rPr>
          <w:rFonts w:ascii="Palatino Linotype" w:eastAsia="Palatino Linotype" w:hAnsi="Palatino Linotype" w:cs="Palatino Linotype"/>
          <w:b/>
          <w:i/>
        </w:rPr>
        <w:t xml:space="preserve">InformeJustificadoRR12494DGI.pdf: </w:t>
      </w:r>
      <w:r w:rsidRPr="00973A22">
        <w:rPr>
          <w:rFonts w:ascii="Palatino Linotype" w:eastAsia="Palatino Linotype" w:hAnsi="Palatino Linotype" w:cs="Palatino Linotype"/>
        </w:rPr>
        <w:t xml:space="preserve">Oficio número INFOEM/DGI/442/2022 de fecha tres de agosto de dos mil veintidós, remitido por el Director General de informática en el que de manera sustantiva informó que se declara la inexistencia de los correos electrónicos por el periodo comprendido del primero al quince de enero de dos mil diecinueve de la anterior Comisionada Zulema Martínez Sánchez y de su Coordinador Omar </w:t>
      </w:r>
      <w:proofErr w:type="spellStart"/>
      <w:r w:rsidRPr="00973A22">
        <w:rPr>
          <w:rFonts w:ascii="Palatino Linotype" w:eastAsia="Palatino Linotype" w:hAnsi="Palatino Linotype" w:cs="Palatino Linotype"/>
        </w:rPr>
        <w:t>Salatiel</w:t>
      </w:r>
      <w:proofErr w:type="spellEnd"/>
      <w:r w:rsidRPr="00973A22">
        <w:rPr>
          <w:rFonts w:ascii="Palatino Linotype" w:eastAsia="Palatino Linotype" w:hAnsi="Palatino Linotype" w:cs="Palatino Linotype"/>
        </w:rPr>
        <w:t xml:space="preserve"> Acosta Martínez. </w:t>
      </w:r>
    </w:p>
    <w:p w:rsidR="00E328D2" w:rsidRPr="00973A22" w:rsidRDefault="00C43D44">
      <w:pPr>
        <w:widowControl w:val="0"/>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i/>
        </w:rPr>
      </w:pPr>
      <w:r w:rsidRPr="00973A22">
        <w:rPr>
          <w:rFonts w:ascii="Palatino Linotype" w:eastAsia="Palatino Linotype" w:hAnsi="Palatino Linotype" w:cs="Palatino Linotype"/>
          <w:b/>
          <w:i/>
        </w:rPr>
        <w:lastRenderedPageBreak/>
        <w:t xml:space="preserve">RES-06-INFOEM-EXT-COMT-24a-2022.pdf: </w:t>
      </w:r>
      <w:r w:rsidRPr="00973A22">
        <w:rPr>
          <w:rFonts w:ascii="Palatino Linotype" w:eastAsia="Palatino Linotype" w:hAnsi="Palatino Linotype" w:cs="Palatino Linotype"/>
        </w:rPr>
        <w:t xml:space="preserve">Resolución RES/06/INFOEM/EXT/COMT/24°/2022 emitida por el Comité de Transparencia en fecha cinco de agosto de dos mil veintidós, en el que se confirmó la declaratoria de inexistencia de los correos electrónicos de la ex Comisionada Zulema Martínez Sánchez y su entonces Coordinador de Proyectos Omar </w:t>
      </w:r>
      <w:proofErr w:type="spellStart"/>
      <w:r w:rsidRPr="00973A22">
        <w:rPr>
          <w:rFonts w:ascii="Palatino Linotype" w:eastAsia="Palatino Linotype" w:hAnsi="Palatino Linotype" w:cs="Palatino Linotype"/>
        </w:rPr>
        <w:t>Salatiel</w:t>
      </w:r>
      <w:proofErr w:type="spellEnd"/>
      <w:r w:rsidRPr="00973A22">
        <w:rPr>
          <w:rFonts w:ascii="Palatino Linotype" w:eastAsia="Palatino Linotype" w:hAnsi="Palatino Linotype" w:cs="Palatino Linotype"/>
        </w:rPr>
        <w:t xml:space="preserve"> Acosta Martínez, del uno al quince de enero de dos mil diecinueve. </w:t>
      </w:r>
    </w:p>
    <w:p w:rsidR="00E328D2" w:rsidRPr="00973A22" w:rsidRDefault="00C43D44">
      <w:pPr>
        <w:widowControl w:val="0"/>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i/>
        </w:rPr>
      </w:pPr>
      <w:r w:rsidRPr="00973A22">
        <w:rPr>
          <w:rFonts w:ascii="Palatino Linotype" w:eastAsia="Palatino Linotype" w:hAnsi="Palatino Linotype" w:cs="Palatino Linotype"/>
          <w:b/>
          <w:i/>
        </w:rPr>
        <w:t>RequerimientoInformeRR12494PCLGPN.pdf:</w:t>
      </w:r>
      <w:r w:rsidRPr="00973A22">
        <w:rPr>
          <w:rFonts w:ascii="Palatino Linotype" w:eastAsia="Palatino Linotype" w:hAnsi="Palatino Linotype" w:cs="Palatino Linotype"/>
        </w:rPr>
        <w:t xml:space="preserve"> </w:t>
      </w:r>
      <w:proofErr w:type="spellStart"/>
      <w:r w:rsidRPr="00973A22">
        <w:rPr>
          <w:rFonts w:ascii="Palatino Linotype" w:eastAsia="Palatino Linotype" w:hAnsi="Palatino Linotype" w:cs="Palatino Linotype"/>
        </w:rPr>
        <w:t>Memorandum</w:t>
      </w:r>
      <w:proofErr w:type="spellEnd"/>
      <w:r w:rsidRPr="00973A22">
        <w:rPr>
          <w:rFonts w:ascii="Palatino Linotype" w:eastAsia="Palatino Linotype" w:hAnsi="Palatino Linotype" w:cs="Palatino Linotype"/>
        </w:rPr>
        <w:t xml:space="preserve"> número INFOEM/UT/230/2022 de fecha once de julio de dos mil veintidós, suscrito por el Titular de la Unidad de Transparencia y dirigido al Servidor Público Habilitado de la Ponencia del Comisionado Luis Gustavo Parra Noriega, por el que le requirió que remitiera su informe justificado. </w:t>
      </w:r>
    </w:p>
    <w:p w:rsidR="00E328D2" w:rsidRPr="00973A22" w:rsidRDefault="00C43D44">
      <w:pPr>
        <w:widowControl w:val="0"/>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i/>
        </w:rPr>
      </w:pPr>
      <w:r w:rsidRPr="00973A22">
        <w:rPr>
          <w:rFonts w:ascii="Palatino Linotype" w:eastAsia="Palatino Linotype" w:hAnsi="Palatino Linotype" w:cs="Palatino Linotype"/>
          <w:b/>
          <w:i/>
        </w:rPr>
        <w:t xml:space="preserve">InformeJustificadoRecurso12494UT.pdf: </w:t>
      </w:r>
      <w:r w:rsidRPr="00973A22">
        <w:rPr>
          <w:rFonts w:ascii="Palatino Linotype" w:eastAsia="Palatino Linotype" w:hAnsi="Palatino Linotype" w:cs="Palatino Linotype"/>
        </w:rPr>
        <w:t xml:space="preserve">Oficio número INFOEM/UT/684/2022 de fecha ocho de agosto de dos mil veintidós remitido por el Titular de la Unidad de Transparencia por medio del cual rinde el informe justificado y hace del conocimiento del </w:t>
      </w:r>
      <w:r w:rsidRPr="00973A22">
        <w:rPr>
          <w:rFonts w:ascii="Palatino Linotype" w:eastAsia="Palatino Linotype" w:hAnsi="Palatino Linotype" w:cs="Palatino Linotype"/>
          <w:b/>
        </w:rPr>
        <w:t xml:space="preserve">Recurrente </w:t>
      </w:r>
      <w:r w:rsidRPr="00973A22">
        <w:rPr>
          <w:rFonts w:ascii="Palatino Linotype" w:eastAsia="Palatino Linotype" w:hAnsi="Palatino Linotype" w:cs="Palatino Linotype"/>
        </w:rPr>
        <w:t xml:space="preserve">las manifestaciones de los Servidores Públicos Habilitados. </w:t>
      </w:r>
    </w:p>
    <w:p w:rsidR="00E328D2" w:rsidRPr="00973A22" w:rsidRDefault="00C43D44">
      <w:pPr>
        <w:widowControl w:val="0"/>
        <w:numPr>
          <w:ilvl w:val="0"/>
          <w:numId w:val="3"/>
        </w:numPr>
        <w:pBdr>
          <w:top w:val="nil"/>
          <w:left w:val="nil"/>
          <w:bottom w:val="nil"/>
          <w:right w:val="nil"/>
          <w:between w:val="nil"/>
        </w:pBdr>
        <w:spacing w:after="240" w:line="360" w:lineRule="auto"/>
        <w:jc w:val="both"/>
        <w:rPr>
          <w:rFonts w:ascii="Palatino Linotype" w:eastAsia="Palatino Linotype" w:hAnsi="Palatino Linotype" w:cs="Palatino Linotype"/>
          <w:b/>
          <w:i/>
        </w:rPr>
      </w:pPr>
      <w:r w:rsidRPr="00973A22">
        <w:rPr>
          <w:rFonts w:ascii="Palatino Linotype" w:eastAsia="Palatino Linotype" w:hAnsi="Palatino Linotype" w:cs="Palatino Linotype"/>
          <w:b/>
          <w:i/>
        </w:rPr>
        <w:t xml:space="preserve">RequerimientoInformeRR12494DGI.pdf: </w:t>
      </w:r>
      <w:r w:rsidRPr="00973A22">
        <w:rPr>
          <w:rFonts w:ascii="Palatino Linotype" w:eastAsia="Palatino Linotype" w:hAnsi="Palatino Linotype" w:cs="Palatino Linotype"/>
        </w:rPr>
        <w:t>Memorándum número INFOEM/UT/229/2022 de fecha once de julio de dos mil veintidós suscrito por el Titular de la Unidad de Transparencia, dirigido al Director General de Informática, mediante el cual le requirió para que remitiera su informe justificado.</w:t>
      </w:r>
    </w:p>
    <w:p w:rsidR="00E328D2" w:rsidRPr="00973A22" w:rsidRDefault="00C43D44">
      <w:pPr>
        <w:widowControl w:val="0"/>
        <w:spacing w:before="240" w:after="240" w:line="360" w:lineRule="auto"/>
        <w:ind w:left="720"/>
        <w:jc w:val="both"/>
        <w:rPr>
          <w:rFonts w:ascii="Palatino Linotype" w:eastAsia="Palatino Linotype" w:hAnsi="Palatino Linotype" w:cs="Palatino Linotype"/>
        </w:rPr>
      </w:pPr>
      <w:r w:rsidRPr="00973A22">
        <w:rPr>
          <w:rFonts w:ascii="Palatino Linotype" w:eastAsia="Palatino Linotype" w:hAnsi="Palatino Linotype" w:cs="Palatino Linotype"/>
        </w:rPr>
        <w:lastRenderedPageBreak/>
        <w:t xml:space="preserve">Documentos que en fecha veintisiete de febrero de dos mil veintitrés fueron puestos a la vista del </w:t>
      </w:r>
      <w:r w:rsidRPr="00973A22">
        <w:rPr>
          <w:rFonts w:ascii="Palatino Linotype" w:eastAsia="Palatino Linotype" w:hAnsi="Palatino Linotype" w:cs="Palatino Linotype"/>
          <w:b/>
        </w:rPr>
        <w:t xml:space="preserve">Recurrente </w:t>
      </w:r>
      <w:r w:rsidRPr="00973A22">
        <w:rPr>
          <w:rFonts w:ascii="Palatino Linotype" w:eastAsia="Palatino Linotype" w:hAnsi="Palatino Linotype" w:cs="Palatino Linotype"/>
        </w:rPr>
        <w:t xml:space="preserve">para su conocimiento. </w:t>
      </w:r>
    </w:p>
    <w:p w:rsidR="00E328D2" w:rsidRPr="00973A22" w:rsidRDefault="00C43D44">
      <w:pPr>
        <w:widowControl w:val="0"/>
        <w:spacing w:before="240" w:after="240" w:line="360" w:lineRule="auto"/>
        <w:ind w:left="720"/>
        <w:jc w:val="both"/>
        <w:rPr>
          <w:rFonts w:ascii="Palatino Linotype" w:eastAsia="Palatino Linotype" w:hAnsi="Palatino Linotype" w:cs="Palatino Linotype"/>
        </w:rPr>
      </w:pPr>
      <w:r w:rsidRPr="00973A22">
        <w:rPr>
          <w:rFonts w:ascii="Palatino Linotype" w:eastAsia="Palatino Linotype" w:hAnsi="Palatino Linotype" w:cs="Palatino Linotype"/>
        </w:rPr>
        <w:t xml:space="preserve">Por su parte el </w:t>
      </w:r>
      <w:r w:rsidRPr="00973A22">
        <w:rPr>
          <w:rFonts w:ascii="Palatino Linotype" w:eastAsia="Palatino Linotype" w:hAnsi="Palatino Linotype" w:cs="Palatino Linotype"/>
          <w:b/>
        </w:rPr>
        <w:t xml:space="preserve">Recurrente, </w:t>
      </w:r>
      <w:r w:rsidRPr="00973A22">
        <w:rPr>
          <w:rFonts w:ascii="Palatino Linotype" w:eastAsia="Palatino Linotype" w:hAnsi="Palatino Linotype" w:cs="Palatino Linotype"/>
        </w:rPr>
        <w:t xml:space="preserve">en fecha siete de septiembre de dos mil veintidós remitió el archivo electrónico identificado como </w:t>
      </w:r>
      <w:r w:rsidRPr="00973A22">
        <w:rPr>
          <w:rFonts w:ascii="Palatino Linotype" w:eastAsia="Palatino Linotype" w:hAnsi="Palatino Linotype" w:cs="Palatino Linotype"/>
          <w:b/>
          <w:i/>
        </w:rPr>
        <w:t xml:space="preserve">manifestaciones.pdf, </w:t>
      </w:r>
      <w:r w:rsidRPr="00973A22">
        <w:rPr>
          <w:rFonts w:ascii="Palatino Linotype" w:eastAsia="Palatino Linotype" w:hAnsi="Palatino Linotype" w:cs="Palatino Linotype"/>
        </w:rPr>
        <w:t xml:space="preserve">cuyo contenido es el siguiente: </w:t>
      </w:r>
    </w:p>
    <w:p w:rsidR="00E328D2" w:rsidRPr="00973A22" w:rsidRDefault="00C43D44">
      <w:pPr>
        <w:widowControl w:val="0"/>
        <w:spacing w:before="240" w:after="240" w:line="360" w:lineRule="auto"/>
        <w:ind w:left="720"/>
        <w:jc w:val="both"/>
        <w:rPr>
          <w:rFonts w:ascii="Palatino Linotype" w:eastAsia="Palatino Linotype" w:hAnsi="Palatino Linotype" w:cs="Palatino Linotype"/>
          <w:b/>
          <w:i/>
        </w:rPr>
      </w:pPr>
      <w:r w:rsidRPr="00973A22">
        <w:rPr>
          <w:rFonts w:ascii="Palatino Linotype" w:eastAsia="Palatino Linotype" w:hAnsi="Palatino Linotype" w:cs="Palatino Linotype"/>
          <w:noProof/>
        </w:rPr>
        <w:drawing>
          <wp:inline distT="0" distB="0" distL="0" distR="0">
            <wp:extent cx="5267325" cy="3205480"/>
            <wp:effectExtent l="0" t="0" r="0" b="0"/>
            <wp:docPr id="4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5267325" cy="3205480"/>
                    </a:xfrm>
                    <a:prstGeom prst="rect">
                      <a:avLst/>
                    </a:prstGeom>
                    <a:ln/>
                  </pic:spPr>
                </pic:pic>
              </a:graphicData>
            </a:graphic>
          </wp:inline>
        </w:drawing>
      </w:r>
      <w:r w:rsidRPr="00973A22">
        <w:rPr>
          <w:rFonts w:ascii="Palatino Linotype" w:eastAsia="Palatino Linotype" w:hAnsi="Palatino Linotype" w:cs="Palatino Linotype"/>
        </w:rPr>
        <w:t xml:space="preserve"> </w:t>
      </w:r>
    </w:p>
    <w:p w:rsidR="00E328D2" w:rsidRPr="00973A22" w:rsidRDefault="00C43D44">
      <w:pPr>
        <w:widowControl w:val="0"/>
        <w:spacing w:before="240" w:after="240"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b/>
        </w:rPr>
        <w:t xml:space="preserve">8. Ampliación del plazo para emitir resolución. </w:t>
      </w:r>
      <w:r w:rsidRPr="00973A22">
        <w:rPr>
          <w:rFonts w:ascii="Palatino Linotype" w:eastAsia="Palatino Linotype" w:hAnsi="Palatino Linotype" w:cs="Palatino Linotype"/>
        </w:rPr>
        <w:t xml:space="preserve">El </w:t>
      </w:r>
      <w:r w:rsidRPr="00973A22">
        <w:rPr>
          <w:rFonts w:ascii="Palatino Linotype" w:eastAsia="Palatino Linotype" w:hAnsi="Palatino Linotype" w:cs="Palatino Linotype"/>
          <w:b/>
        </w:rPr>
        <w:t>veintiuno de marzo de dos mil veintitrés</w:t>
      </w:r>
      <w:r w:rsidRPr="00973A22">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Municipios, determinó ampliar el plazo para emitir la presente resolución. </w:t>
      </w:r>
    </w:p>
    <w:p w:rsidR="00E328D2" w:rsidRPr="00973A22" w:rsidRDefault="00C43D44">
      <w:pPr>
        <w:spacing w:before="240" w:after="240"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rsidR="00E328D2" w:rsidRPr="00973A22" w:rsidRDefault="00C43D44">
      <w:pPr>
        <w:spacing w:before="240" w:after="240"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E328D2" w:rsidRPr="00973A22" w:rsidRDefault="00C43D44">
      <w:pPr>
        <w:spacing w:before="240" w:after="240"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E328D2" w:rsidRPr="00973A22" w:rsidRDefault="00C43D44">
      <w:pPr>
        <w:spacing w:before="240" w:after="240"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E328D2" w:rsidRPr="00973A22" w:rsidRDefault="00C43D44">
      <w:pPr>
        <w:spacing w:before="240" w:after="240" w:line="360" w:lineRule="auto"/>
        <w:jc w:val="both"/>
        <w:rPr>
          <w:rFonts w:ascii="Palatino Linotype" w:eastAsia="Palatino Linotype" w:hAnsi="Palatino Linotype" w:cs="Palatino Linotype"/>
          <w:strike/>
        </w:rPr>
      </w:pPr>
      <w:r w:rsidRPr="00973A22">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rsidR="00E328D2" w:rsidRPr="00973A22" w:rsidRDefault="00C43D44">
      <w:pPr>
        <w:numPr>
          <w:ilvl w:val="0"/>
          <w:numId w:val="7"/>
        </w:numPr>
        <w:spacing w:before="240" w:after="240"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E328D2" w:rsidRPr="00973A22" w:rsidRDefault="00C43D44">
      <w:pPr>
        <w:numPr>
          <w:ilvl w:val="0"/>
          <w:numId w:val="7"/>
        </w:numPr>
        <w:spacing w:before="240" w:after="240"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t>Actividad Procesal del interesado. Acciones u omisiones del interesado.</w:t>
      </w:r>
    </w:p>
    <w:p w:rsidR="00E328D2" w:rsidRPr="00973A22" w:rsidRDefault="00C43D44">
      <w:pPr>
        <w:numPr>
          <w:ilvl w:val="0"/>
          <w:numId w:val="7"/>
        </w:numPr>
        <w:spacing w:before="240" w:after="240"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t>Conducta de la Autoridad: Las Acciones u omisiones realizadas en el procedimiento. Así como si la autoridad actuó con la debida diligencia.</w:t>
      </w:r>
    </w:p>
    <w:p w:rsidR="00E328D2" w:rsidRPr="00973A22" w:rsidRDefault="00C43D44">
      <w:pPr>
        <w:spacing w:before="240" w:after="240" w:line="360" w:lineRule="auto"/>
        <w:ind w:left="567"/>
        <w:jc w:val="both"/>
        <w:rPr>
          <w:rFonts w:ascii="Palatino Linotype" w:eastAsia="Palatino Linotype" w:hAnsi="Palatino Linotype" w:cs="Palatino Linotype"/>
        </w:rPr>
      </w:pPr>
      <w:r w:rsidRPr="00973A22">
        <w:rPr>
          <w:rFonts w:ascii="Palatino Linotype" w:eastAsia="Palatino Linotype" w:hAnsi="Palatino Linotype" w:cs="Palatino Linotype"/>
        </w:rPr>
        <w:t>d) La afectación generada en la situación jurídica de la persona involucrada en el proceso: Violación a sus derechos humanos.</w:t>
      </w:r>
    </w:p>
    <w:p w:rsidR="00E328D2" w:rsidRPr="00973A22" w:rsidRDefault="00C43D44">
      <w:pPr>
        <w:spacing w:before="240" w:after="240"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E328D2" w:rsidRPr="00973A22" w:rsidRDefault="00C43D44">
      <w:pPr>
        <w:spacing w:before="240" w:after="240" w:line="360" w:lineRule="auto"/>
        <w:jc w:val="both"/>
        <w:rPr>
          <w:rFonts w:ascii="Palatino Linotype" w:eastAsia="Palatino Linotype" w:hAnsi="Palatino Linotype" w:cs="Palatino Linotype"/>
          <w:b/>
        </w:rPr>
      </w:pPr>
      <w:r w:rsidRPr="00973A22">
        <w:rPr>
          <w:rFonts w:ascii="Palatino Linotype" w:eastAsia="Palatino Linotype" w:hAnsi="Palatino Linotype" w:cs="Palatino Linotype"/>
        </w:rPr>
        <w:t>Argumento que encuentra sustento en la jurisprudencia P</w:t>
      </w:r>
      <w:proofErr w:type="gramStart"/>
      <w:r w:rsidRPr="00973A22">
        <w:rPr>
          <w:rFonts w:ascii="Palatino Linotype" w:eastAsia="Palatino Linotype" w:hAnsi="Palatino Linotype" w:cs="Palatino Linotype"/>
        </w:rPr>
        <w:t>./</w:t>
      </w:r>
      <w:proofErr w:type="gramEnd"/>
      <w:r w:rsidRPr="00973A22">
        <w:rPr>
          <w:rFonts w:ascii="Palatino Linotype" w:eastAsia="Palatino Linotype" w:hAnsi="Palatino Linotype" w:cs="Palatino Linotype"/>
        </w:rPr>
        <w:t xml:space="preserve">J. 32/92 emitida por el Pleno de la Suprema Corte de Justicia de la Nación de rubro </w:t>
      </w:r>
      <w:r w:rsidRPr="00973A22">
        <w:rPr>
          <w:rFonts w:ascii="Palatino Linotype" w:eastAsia="Palatino Linotype" w:hAnsi="Palatino Linotype" w:cs="Palatino Linotype"/>
          <w:i/>
        </w:rPr>
        <w:t xml:space="preserve">“TÉRMINOS </w:t>
      </w:r>
      <w:r w:rsidRPr="00973A22">
        <w:rPr>
          <w:rFonts w:ascii="Palatino Linotype" w:eastAsia="Palatino Linotype" w:hAnsi="Palatino Linotype" w:cs="Palatino Linotype"/>
          <w:i/>
        </w:rPr>
        <w:lastRenderedPageBreak/>
        <w:t>PROCESALES. PARA DETERMINAR SI UN FUNCIONARIO JUDICIAL ACTUÓ INDEBIDAMENTE POR NO RESPETARLOS SE DEBE ATENDER AL PRESUPUESTO QUE CONSIDERÓ EL LEGISLADOR AL FIJARLOS Y LAS CARACTERÍSTICAS DEL CASO.”</w:t>
      </w:r>
      <w:r w:rsidRPr="00973A22">
        <w:rPr>
          <w:rFonts w:ascii="Palatino Linotype" w:eastAsia="Palatino Linotype" w:hAnsi="Palatino Linotype" w:cs="Palatino Linotype"/>
        </w:rPr>
        <w:t>, visible en la Gaceta del Seminario Judicial de la Federación con el registro digital 205635.</w:t>
      </w:r>
    </w:p>
    <w:p w:rsidR="00E328D2" w:rsidRPr="00973A22" w:rsidRDefault="00C43D44">
      <w:pPr>
        <w:spacing w:before="240" w:after="240"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E328D2" w:rsidRPr="00973A22" w:rsidRDefault="00C43D44">
      <w:pPr>
        <w:spacing w:before="240" w:after="240"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E328D2" w:rsidRPr="00973A22" w:rsidRDefault="00C43D44">
      <w:pPr>
        <w:spacing w:before="240" w:after="240"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t xml:space="preserve"> </w:t>
      </w:r>
      <w:r w:rsidRPr="00973A22">
        <w:rPr>
          <w:rFonts w:ascii="Palatino Linotype" w:eastAsia="Palatino Linotype" w:hAnsi="Palatino Linotype" w:cs="Palatino Linotype"/>
          <w:i/>
        </w:rPr>
        <w:t>“PLAZO RAZONABLE PARA RESOLVER. DIMENSIÓN Y EFECTOS DE ESTE CONCEPTO CUANDO SE ADUCE EXCESIVA CARGA DE TRABAJO.”</w:t>
      </w:r>
      <w:r w:rsidRPr="00973A22">
        <w:rPr>
          <w:rFonts w:ascii="Palatino Linotype" w:eastAsia="Palatino Linotype" w:hAnsi="Palatino Linotype" w:cs="Palatino Linotype"/>
        </w:rPr>
        <w:t xml:space="preserve"> consultable en el Seminario Judicial de la Federación y su gaceta, con el registro digital 2002351.</w:t>
      </w:r>
    </w:p>
    <w:p w:rsidR="00E328D2" w:rsidRPr="00973A22" w:rsidRDefault="00C43D44">
      <w:pPr>
        <w:spacing w:before="240" w:after="240"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i/>
        </w:rPr>
        <w:lastRenderedPageBreak/>
        <w:t>“PLAZO RAZONABLE PARA RESOLVER. CONCEPTO Y ELEMENTOS QUE LO INTEGRAN A LA LUZ DEL DERECHO INTERNACIONAL DE LOS DERECHOS HUMANOS.”</w:t>
      </w:r>
      <w:r w:rsidRPr="00973A22">
        <w:rPr>
          <w:rFonts w:ascii="Palatino Linotype" w:eastAsia="Palatino Linotype" w:hAnsi="Palatino Linotype" w:cs="Palatino Linotype"/>
        </w:rPr>
        <w:t>, visible en el Seminario Judicial de la Federación y su gaceta, con el registro digital 2002350.</w:t>
      </w:r>
    </w:p>
    <w:p w:rsidR="00E328D2" w:rsidRPr="00973A22" w:rsidRDefault="00C43D44">
      <w:pPr>
        <w:spacing w:before="240" w:after="240"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E328D2" w:rsidRPr="00973A22" w:rsidRDefault="00C43D44">
      <w:pPr>
        <w:widowControl w:val="0"/>
        <w:spacing w:before="240" w:after="240"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b/>
        </w:rPr>
        <w:t>9. Cierre de instrucción</w:t>
      </w:r>
      <w:r w:rsidRPr="00973A22">
        <w:rPr>
          <w:rFonts w:ascii="Palatino Linotype" w:eastAsia="Palatino Linotype" w:hAnsi="Palatino Linotype" w:cs="Palatino Linotype"/>
        </w:rPr>
        <w:t xml:space="preserve">. Una vez transcurrido el periodo otorgado a las partes para realizar sus manifestaciones y no habiendo documentos que integrar al expediente, el </w:t>
      </w:r>
      <w:r w:rsidRPr="00973A22">
        <w:rPr>
          <w:rFonts w:ascii="Palatino Linotype" w:eastAsia="Palatino Linotype" w:hAnsi="Palatino Linotype" w:cs="Palatino Linotype"/>
          <w:b/>
        </w:rPr>
        <w:t>catorce de junio de dos mil veintitrés</w:t>
      </w:r>
      <w:r w:rsidRPr="00973A22">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E328D2" w:rsidRPr="00973A22" w:rsidRDefault="00C43D44">
      <w:pPr>
        <w:widowControl w:val="0"/>
        <w:spacing w:before="240" w:after="240" w:line="360" w:lineRule="auto"/>
        <w:jc w:val="both"/>
        <w:rPr>
          <w:rFonts w:ascii="Palatino Linotype" w:eastAsia="Palatino Linotype" w:hAnsi="Palatino Linotype" w:cs="Palatino Linotype"/>
          <w:b/>
        </w:rPr>
      </w:pPr>
      <w:r w:rsidRPr="00973A22">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r w:rsidRPr="00973A22">
        <w:rPr>
          <w:rFonts w:ascii="Palatino Linotype" w:eastAsia="Palatino Linotype" w:hAnsi="Palatino Linotype" w:cs="Palatino Linotype"/>
          <w:b/>
        </w:rPr>
        <w:t xml:space="preserve"> </w:t>
      </w:r>
    </w:p>
    <w:p w:rsidR="00E328D2" w:rsidRPr="00973A22" w:rsidRDefault="00C43D44">
      <w:pPr>
        <w:widowControl w:val="0"/>
        <w:spacing w:before="240" w:after="240" w:line="360" w:lineRule="auto"/>
        <w:jc w:val="center"/>
        <w:rPr>
          <w:rFonts w:ascii="Palatino Linotype" w:eastAsia="Palatino Linotype" w:hAnsi="Palatino Linotype" w:cs="Palatino Linotype"/>
          <w:b/>
        </w:rPr>
      </w:pPr>
      <w:r w:rsidRPr="00973A22">
        <w:rPr>
          <w:rFonts w:ascii="Palatino Linotype" w:eastAsia="Palatino Linotype" w:hAnsi="Palatino Linotype" w:cs="Palatino Linotype"/>
          <w:b/>
        </w:rPr>
        <w:t>II. C O N S I D E R A N D O S</w:t>
      </w:r>
    </w:p>
    <w:p w:rsidR="00E328D2" w:rsidRPr="00973A22" w:rsidRDefault="00C43D44">
      <w:pPr>
        <w:spacing w:before="240" w:after="240"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b/>
        </w:rPr>
        <w:t>Primero. Competencia.</w:t>
      </w:r>
      <w:r w:rsidRPr="00973A22">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w:t>
      </w:r>
      <w:r w:rsidRPr="00973A22">
        <w:rPr>
          <w:rFonts w:ascii="Palatino Linotype" w:eastAsia="Palatino Linotype" w:hAnsi="Palatino Linotype" w:cs="Palatino Linotype"/>
        </w:rPr>
        <w:lastRenderedPageBreak/>
        <w:t>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E328D2" w:rsidRPr="00973A22" w:rsidRDefault="00C43D44">
      <w:pPr>
        <w:spacing w:before="240" w:after="240" w:line="360" w:lineRule="auto"/>
        <w:jc w:val="both"/>
        <w:rPr>
          <w:rFonts w:ascii="Palatino Linotype" w:eastAsia="Palatino Linotype" w:hAnsi="Palatino Linotype" w:cs="Palatino Linotype"/>
        </w:rPr>
      </w:pPr>
      <w:bookmarkStart w:id="4" w:name="_heading=h.1fob9te" w:colFirst="0" w:colLast="0"/>
      <w:bookmarkEnd w:id="4"/>
      <w:r w:rsidRPr="00973A22">
        <w:rPr>
          <w:rFonts w:ascii="Palatino Linotype" w:eastAsia="Palatino Linotype" w:hAnsi="Palatino Linotype" w:cs="Palatino Linotype"/>
          <w:b/>
        </w:rPr>
        <w:t xml:space="preserve">Segundo. Oportunidad y </w:t>
      </w:r>
      <w:proofErr w:type="spellStart"/>
      <w:r w:rsidRPr="00973A22">
        <w:rPr>
          <w:rFonts w:ascii="Palatino Linotype" w:eastAsia="Palatino Linotype" w:hAnsi="Palatino Linotype" w:cs="Palatino Linotype"/>
          <w:b/>
        </w:rPr>
        <w:t>Procedibilidad</w:t>
      </w:r>
      <w:proofErr w:type="spellEnd"/>
      <w:r w:rsidRPr="00973A22">
        <w:rPr>
          <w:rFonts w:ascii="Palatino Linotype" w:eastAsia="Palatino Linotype" w:hAnsi="Palatino Linotype" w:cs="Palatino Linotype"/>
          <w:b/>
        </w:rPr>
        <w:t xml:space="preserve"> del Recurso de Revisión</w:t>
      </w:r>
      <w:r w:rsidRPr="00973A22">
        <w:rPr>
          <w:rFonts w:ascii="Palatino Linotype" w:eastAsia="Palatino Linotype" w:hAnsi="Palatino Linotype" w:cs="Palatino Linotype"/>
        </w:rPr>
        <w:t xml:space="preserve">. Previo al estudio del fondo del asunto, se procede a analizar los requisitos de oportunidad y </w:t>
      </w:r>
      <w:proofErr w:type="spellStart"/>
      <w:r w:rsidRPr="00973A22">
        <w:rPr>
          <w:rFonts w:ascii="Palatino Linotype" w:eastAsia="Palatino Linotype" w:hAnsi="Palatino Linotype" w:cs="Palatino Linotype"/>
        </w:rPr>
        <w:t>procedibilidad</w:t>
      </w:r>
      <w:proofErr w:type="spellEnd"/>
      <w:r w:rsidRPr="00973A22">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E328D2" w:rsidRPr="00973A22" w:rsidRDefault="00C43D44">
      <w:pPr>
        <w:spacing w:before="240" w:after="240" w:line="360" w:lineRule="auto"/>
        <w:ind w:right="49"/>
        <w:jc w:val="both"/>
        <w:rPr>
          <w:rFonts w:ascii="Palatino Linotype" w:eastAsia="Palatino Linotype" w:hAnsi="Palatino Linotype" w:cs="Palatino Linotype"/>
        </w:rPr>
      </w:pPr>
      <w:r w:rsidRPr="00973A22">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973A22">
        <w:rPr>
          <w:rFonts w:ascii="Palatino Linotype" w:eastAsia="Palatino Linotype" w:hAnsi="Palatino Linotype" w:cs="Palatino Linotype"/>
          <w:b/>
        </w:rPr>
        <w:t>Sujeto Obligado</w:t>
      </w:r>
      <w:r w:rsidRPr="00973A22">
        <w:rPr>
          <w:rFonts w:ascii="Palatino Linotype" w:eastAsia="Palatino Linotype" w:hAnsi="Palatino Linotype" w:cs="Palatino Linotype"/>
        </w:rPr>
        <w:t xml:space="preserve"> respondió a la solicitud de información el </w:t>
      </w:r>
      <w:r w:rsidRPr="00973A22">
        <w:rPr>
          <w:rFonts w:ascii="Palatino Linotype" w:eastAsia="Palatino Linotype" w:hAnsi="Palatino Linotype" w:cs="Palatino Linotype"/>
          <w:b/>
        </w:rPr>
        <w:t xml:space="preserve">cuatro de julio de dos mil veintidós, </w:t>
      </w:r>
      <w:r w:rsidRPr="00973A22">
        <w:rPr>
          <w:rFonts w:ascii="Palatino Linotype" w:eastAsia="Palatino Linotype" w:hAnsi="Palatino Linotype" w:cs="Palatino Linotype"/>
        </w:rPr>
        <w:t xml:space="preserve">mientras que el recurso de revisión se interpuso el </w:t>
      </w:r>
      <w:r w:rsidRPr="00973A22">
        <w:rPr>
          <w:rFonts w:ascii="Palatino Linotype" w:eastAsia="Palatino Linotype" w:hAnsi="Palatino Linotype" w:cs="Palatino Linotype"/>
          <w:b/>
        </w:rPr>
        <w:t xml:space="preserve">seis de julio de dos mil veintidós; </w:t>
      </w:r>
      <w:r w:rsidRPr="00973A22">
        <w:rPr>
          <w:rFonts w:ascii="Palatino Linotype" w:eastAsia="Palatino Linotype" w:hAnsi="Palatino Linotype" w:cs="Palatino Linotype"/>
        </w:rPr>
        <w:t>esto es, el segundo día hábil posterior en que tuvo conocimiento de la respuesta impugnada.</w:t>
      </w:r>
    </w:p>
    <w:p w:rsidR="00E328D2" w:rsidRPr="00973A22" w:rsidRDefault="00C43D44">
      <w:pPr>
        <w:spacing w:before="240" w:after="240"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t xml:space="preserve">En este sentido, al considerar la fecha en que se formuló la solicitud y la fecha en que respondió a esta el </w:t>
      </w:r>
      <w:r w:rsidRPr="00973A22">
        <w:rPr>
          <w:rFonts w:ascii="Palatino Linotype" w:eastAsia="Palatino Linotype" w:hAnsi="Palatino Linotype" w:cs="Palatino Linotype"/>
          <w:b/>
        </w:rPr>
        <w:t>Sujeto Obligado</w:t>
      </w:r>
      <w:r w:rsidRPr="00973A22">
        <w:rPr>
          <w:rFonts w:ascii="Palatino Linotype" w:eastAsia="Palatino Linotype" w:hAnsi="Palatino Linotype" w:cs="Palatino Linotype"/>
        </w:rPr>
        <w:t xml:space="preserve">; así como la fecha en que se interpuso el recurso </w:t>
      </w:r>
      <w:r w:rsidRPr="00973A22">
        <w:rPr>
          <w:rFonts w:ascii="Palatino Linotype" w:eastAsia="Palatino Linotype" w:hAnsi="Palatino Linotype" w:cs="Palatino Linotype"/>
        </w:rPr>
        <w:lastRenderedPageBreak/>
        <w:t>de revisión, se concluye que el presente recurso de revisión se encuentra dentro de los márgenes temporales previstos las disposiciones legales referidas.</w:t>
      </w:r>
    </w:p>
    <w:p w:rsidR="00E328D2" w:rsidRPr="00973A22" w:rsidRDefault="00C43D44">
      <w:pPr>
        <w:spacing w:before="240" w:after="240"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t>Por otro lado, es de suma importancia mencionar que, si bien la parte</w:t>
      </w:r>
      <w:r w:rsidRPr="00973A22">
        <w:rPr>
          <w:rFonts w:ascii="Palatino Linotype" w:eastAsia="Palatino Linotype" w:hAnsi="Palatino Linotype" w:cs="Palatino Linotype"/>
          <w:b/>
        </w:rPr>
        <w:t xml:space="preserve"> Recurrente</w:t>
      </w:r>
      <w:r w:rsidRPr="00973A22">
        <w:rPr>
          <w:rFonts w:ascii="Palatino Linotype" w:eastAsia="Palatino Linotype" w:hAnsi="Palatino Linotype" w:cs="Palatino Linotype"/>
        </w:rPr>
        <w:t xml:space="preserve"> no proporcionó nombre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E328D2" w:rsidRPr="00973A22" w:rsidRDefault="00C43D44">
      <w:pPr>
        <w:spacing w:before="120" w:after="120" w:line="276" w:lineRule="auto"/>
        <w:ind w:left="851" w:right="902"/>
        <w:jc w:val="both"/>
        <w:rPr>
          <w:rFonts w:ascii="Palatino Linotype" w:eastAsia="Palatino Linotype" w:hAnsi="Palatino Linotype" w:cs="Palatino Linotype"/>
          <w:sz w:val="22"/>
          <w:szCs w:val="22"/>
        </w:rPr>
      </w:pPr>
      <w:r w:rsidRPr="00973A22">
        <w:rPr>
          <w:rFonts w:ascii="Palatino Linotype" w:eastAsia="Palatino Linotype" w:hAnsi="Palatino Linotype" w:cs="Palatino Linotype"/>
          <w:i/>
          <w:sz w:val="22"/>
          <w:szCs w:val="22"/>
        </w:rPr>
        <w:t>"</w:t>
      </w:r>
      <w:r w:rsidRPr="00973A22">
        <w:rPr>
          <w:rFonts w:ascii="Palatino Linotype" w:eastAsia="Palatino Linotype" w:hAnsi="Palatino Linotype" w:cs="Palatino Linotype"/>
          <w:b/>
          <w:i/>
          <w:sz w:val="22"/>
          <w:szCs w:val="22"/>
        </w:rPr>
        <w:t>Las solicitudes anónimas</w:t>
      </w:r>
      <w:r w:rsidRPr="00973A22">
        <w:rPr>
          <w:rFonts w:ascii="Palatino Linotype" w:eastAsia="Palatino Linotype" w:hAnsi="Palatino Linotype" w:cs="Palatino Linotype"/>
          <w:i/>
          <w:sz w:val="22"/>
          <w:szCs w:val="22"/>
        </w:rPr>
        <w:t>, con nombre incompleto o seudónimo </w:t>
      </w:r>
      <w:r w:rsidRPr="00973A22">
        <w:rPr>
          <w:rFonts w:ascii="Palatino Linotype" w:eastAsia="Palatino Linotype" w:hAnsi="Palatino Linotype" w:cs="Palatino Linotype"/>
          <w:b/>
          <w:i/>
          <w:sz w:val="22"/>
          <w:szCs w:val="22"/>
        </w:rPr>
        <w:t>serán procedentes para su trámite por parte del sujeto obligado ante quien se presente</w:t>
      </w:r>
      <w:r w:rsidRPr="00973A22">
        <w:rPr>
          <w:rFonts w:ascii="Palatino Linotype" w:eastAsia="Palatino Linotype" w:hAnsi="Palatino Linotype" w:cs="Palatino Linotype"/>
          <w:i/>
          <w:sz w:val="22"/>
          <w:szCs w:val="22"/>
        </w:rPr>
        <w:t>. No podrá requerirse información adicional con motivo del nombre proporcionado por el solicitante."</w:t>
      </w:r>
    </w:p>
    <w:p w:rsidR="00E328D2" w:rsidRPr="00973A22" w:rsidRDefault="00C43D44">
      <w:pPr>
        <w:spacing w:before="240" w:after="240" w:line="360" w:lineRule="auto"/>
        <w:jc w:val="both"/>
        <w:rPr>
          <w:rFonts w:ascii="Palatino Linotype" w:eastAsia="Palatino Linotype" w:hAnsi="Palatino Linotype" w:cs="Palatino Linotype"/>
          <w:b/>
        </w:rPr>
      </w:pPr>
      <w:r w:rsidRPr="00973A22">
        <w:rPr>
          <w:rFonts w:ascii="Palatino Linotype" w:eastAsia="Palatino Linotype" w:hAnsi="Palatino Linotype" w:cs="Palatino Linotype"/>
        </w:rPr>
        <w:t>Asimismo, se acreditan los elementos formales exigidos por el artículo 180 de la Ley de Transparencia y Acceso a la Información Pública del Estado de México y Municipios, en atención a que fueron presentados mediante el formato visible en el</w:t>
      </w:r>
      <w:r w:rsidRPr="00973A22">
        <w:rPr>
          <w:rFonts w:ascii="Palatino Linotype" w:eastAsia="Palatino Linotype" w:hAnsi="Palatino Linotype" w:cs="Palatino Linotype"/>
          <w:b/>
        </w:rPr>
        <w:t xml:space="preserve"> SAIMEX. </w:t>
      </w:r>
    </w:p>
    <w:p w:rsidR="00E328D2" w:rsidRPr="00973A22" w:rsidRDefault="00C43D44">
      <w:pPr>
        <w:spacing w:before="240" w:after="240"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t xml:space="preserve">Finalmente, se advierte que resulta procedente la interposición del recurso, según lo manifestado por el </w:t>
      </w:r>
      <w:r w:rsidRPr="00973A22">
        <w:rPr>
          <w:rFonts w:ascii="Palatino Linotype" w:eastAsia="Palatino Linotype" w:hAnsi="Palatino Linotype" w:cs="Palatino Linotype"/>
          <w:b/>
        </w:rPr>
        <w:t>Recurrente</w:t>
      </w:r>
      <w:r w:rsidRPr="00973A22">
        <w:rPr>
          <w:rFonts w:ascii="Palatino Linotype" w:eastAsia="Palatino Linotype" w:hAnsi="Palatino Linotype" w:cs="Palatino Linotype"/>
        </w:rPr>
        <w:t xml:space="preserve"> en sus motivos de inconformidad, de acuerdo al artículo 179, fracción V del ordenamiento legal citado, que a la letra dice: </w:t>
      </w:r>
    </w:p>
    <w:p w:rsidR="00E328D2" w:rsidRPr="00973A22" w:rsidRDefault="00C43D44">
      <w:pPr>
        <w:tabs>
          <w:tab w:val="left" w:pos="7088"/>
        </w:tabs>
        <w:spacing w:before="240" w:after="240"/>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w:t>
      </w:r>
      <w:r w:rsidRPr="00973A22">
        <w:rPr>
          <w:rFonts w:ascii="Palatino Linotype" w:eastAsia="Palatino Linotype" w:hAnsi="Palatino Linotype" w:cs="Palatino Linotype"/>
          <w:b/>
          <w:i/>
          <w:sz w:val="22"/>
          <w:szCs w:val="22"/>
        </w:rPr>
        <w:t>Artículo 179.</w:t>
      </w:r>
      <w:r w:rsidRPr="00973A22">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E328D2" w:rsidRPr="00973A22" w:rsidRDefault="00C43D44">
      <w:pPr>
        <w:tabs>
          <w:tab w:val="left" w:pos="7088"/>
        </w:tabs>
        <w:spacing w:before="240" w:after="240"/>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lastRenderedPageBreak/>
        <w:t>…</w:t>
      </w:r>
    </w:p>
    <w:p w:rsidR="00E328D2" w:rsidRPr="00973A22" w:rsidRDefault="00C43D44">
      <w:pPr>
        <w:tabs>
          <w:tab w:val="left" w:pos="7088"/>
        </w:tabs>
        <w:spacing w:before="240" w:after="240"/>
        <w:ind w:left="993"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b/>
          <w:i/>
          <w:sz w:val="22"/>
          <w:szCs w:val="22"/>
        </w:rPr>
        <w:t>V. La entrega de información incompleta;</w:t>
      </w:r>
      <w:r w:rsidRPr="00973A22">
        <w:rPr>
          <w:rFonts w:ascii="Palatino Linotype" w:eastAsia="Palatino Linotype" w:hAnsi="Palatino Linotype" w:cs="Palatino Linotype"/>
          <w:b/>
          <w:i/>
          <w:sz w:val="22"/>
          <w:szCs w:val="22"/>
        </w:rPr>
        <w:br/>
        <w:t>…</w:t>
      </w:r>
      <w:r w:rsidRPr="00973A22">
        <w:rPr>
          <w:rFonts w:ascii="Palatino Linotype" w:eastAsia="Palatino Linotype" w:hAnsi="Palatino Linotype" w:cs="Palatino Linotype"/>
          <w:i/>
          <w:sz w:val="22"/>
          <w:szCs w:val="22"/>
        </w:rPr>
        <w:t>”</w:t>
      </w:r>
    </w:p>
    <w:p w:rsidR="00E328D2" w:rsidRPr="00973A22" w:rsidRDefault="00C43D44">
      <w:pPr>
        <w:spacing w:before="240" w:after="240"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b/>
        </w:rPr>
        <w:t xml:space="preserve">Tercero. Materia de la revisión. </w:t>
      </w:r>
      <w:r w:rsidRPr="00973A22">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Pr="00973A22">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973A22">
        <w:rPr>
          <w:rFonts w:ascii="Palatino Linotype" w:eastAsia="Palatino Linotype" w:hAnsi="Palatino Linotype" w:cs="Palatino Linotype"/>
        </w:rPr>
        <w:t xml:space="preserve">del </w:t>
      </w:r>
      <w:r w:rsidRPr="00973A22">
        <w:rPr>
          <w:rFonts w:ascii="Palatino Linotype" w:eastAsia="Palatino Linotype" w:hAnsi="Palatino Linotype" w:cs="Palatino Linotype"/>
          <w:b/>
        </w:rPr>
        <w:t>Recurrente</w:t>
      </w:r>
      <w:r w:rsidRPr="00973A22">
        <w:rPr>
          <w:rFonts w:ascii="Palatino Linotype" w:eastAsia="Palatino Linotype" w:hAnsi="Palatino Linotype" w:cs="Palatino Linotype"/>
        </w:rPr>
        <w:t>, o en su defecto, en caso de ser procedente, ordenar la entrega de información.</w:t>
      </w:r>
    </w:p>
    <w:p w:rsidR="00E328D2" w:rsidRPr="00973A22" w:rsidRDefault="00C43D44">
      <w:pPr>
        <w:spacing w:before="240" w:after="240"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b/>
        </w:rPr>
        <w:t xml:space="preserve">Cuarto. Estudio del asunto. </w:t>
      </w:r>
      <w:r w:rsidRPr="00973A22">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E328D2" w:rsidRPr="00973A22" w:rsidRDefault="00C43D44">
      <w:pPr>
        <w:tabs>
          <w:tab w:val="left" w:pos="709"/>
        </w:tabs>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973A22">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E328D2" w:rsidRPr="00973A22" w:rsidRDefault="00C43D44">
      <w:pPr>
        <w:tabs>
          <w:tab w:val="left" w:pos="709"/>
        </w:tabs>
        <w:ind w:left="851" w:right="616"/>
        <w:jc w:val="both"/>
        <w:rPr>
          <w:rFonts w:ascii="Palatino Linotype" w:eastAsia="Palatino Linotype" w:hAnsi="Palatino Linotype" w:cs="Palatino Linotype"/>
          <w:b/>
          <w:i/>
          <w:sz w:val="22"/>
          <w:szCs w:val="22"/>
        </w:rPr>
      </w:pPr>
      <w:r w:rsidRPr="00973A22">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E328D2" w:rsidRPr="00973A22" w:rsidRDefault="00C43D44">
      <w:pPr>
        <w:tabs>
          <w:tab w:val="left" w:pos="709"/>
        </w:tabs>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b/>
          <w:i/>
          <w:sz w:val="22"/>
          <w:szCs w:val="22"/>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973A22">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E328D2" w:rsidRPr="00973A22" w:rsidRDefault="00C43D44">
      <w:pPr>
        <w:tabs>
          <w:tab w:val="left" w:pos="709"/>
        </w:tabs>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w:t>
      </w:r>
    </w:p>
    <w:p w:rsidR="00E328D2" w:rsidRPr="00973A22" w:rsidRDefault="00C43D44">
      <w:pPr>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b/>
          <w:i/>
          <w:sz w:val="22"/>
          <w:szCs w:val="22"/>
        </w:rPr>
        <w:t>“Artículo 6o.</w:t>
      </w:r>
    </w:p>
    <w:p w:rsidR="00E328D2" w:rsidRPr="00973A22" w:rsidRDefault="00C43D44">
      <w:pPr>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w:t>
      </w:r>
    </w:p>
    <w:p w:rsidR="00E328D2" w:rsidRPr="00973A22" w:rsidRDefault="00C43D44">
      <w:pPr>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b/>
          <w:i/>
          <w:sz w:val="22"/>
          <w:szCs w:val="22"/>
        </w:rPr>
        <w:t xml:space="preserve">A. Para el ejercicio del derecho de acceso a la información, la Federación y </w:t>
      </w:r>
      <w:r w:rsidRPr="00973A22">
        <w:rPr>
          <w:rFonts w:ascii="Palatino Linotype" w:eastAsia="Palatino Linotype" w:hAnsi="Palatino Linotype" w:cs="Palatino Linotype"/>
          <w:b/>
          <w:i/>
          <w:sz w:val="22"/>
          <w:szCs w:val="22"/>
          <w:u w:val="single"/>
        </w:rPr>
        <w:t>las entidades federativas</w:t>
      </w:r>
      <w:r w:rsidRPr="00973A22">
        <w:rPr>
          <w:rFonts w:ascii="Palatino Linotype" w:eastAsia="Palatino Linotype" w:hAnsi="Palatino Linotype" w:cs="Palatino Linotype"/>
          <w:b/>
          <w:i/>
          <w:sz w:val="22"/>
          <w:szCs w:val="22"/>
        </w:rPr>
        <w:t>,</w:t>
      </w:r>
      <w:r w:rsidRPr="00973A22">
        <w:rPr>
          <w:rFonts w:ascii="Palatino Linotype" w:eastAsia="Palatino Linotype" w:hAnsi="Palatino Linotype" w:cs="Palatino Linotype"/>
          <w:i/>
          <w:sz w:val="22"/>
          <w:szCs w:val="22"/>
        </w:rPr>
        <w:t xml:space="preserve"> en el ámbito de sus respectivas competencias, se regirán por los siguientes principios y bases:</w:t>
      </w:r>
    </w:p>
    <w:p w:rsidR="00E328D2" w:rsidRPr="00973A22" w:rsidRDefault="00C43D44">
      <w:pPr>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 </w:t>
      </w:r>
    </w:p>
    <w:p w:rsidR="00E328D2" w:rsidRPr="00973A22" w:rsidRDefault="00C43D44">
      <w:pPr>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b/>
          <w:i/>
          <w:sz w:val="22"/>
          <w:szCs w:val="22"/>
        </w:rPr>
        <w:t xml:space="preserve">I. </w:t>
      </w:r>
      <w:r w:rsidRPr="00973A22">
        <w:rPr>
          <w:rFonts w:ascii="Palatino Linotype" w:eastAsia="Palatino Linotype" w:hAnsi="Palatino Linotype" w:cs="Palatino Linotype"/>
          <w:b/>
          <w:i/>
          <w:sz w:val="22"/>
          <w:szCs w:val="22"/>
          <w:u w:val="single"/>
        </w:rPr>
        <w:t>Toda la información en posesión de cualquier autoridad, entidad, órgano y organismo de los Poderes</w:t>
      </w:r>
      <w:r w:rsidRPr="00973A22">
        <w:rPr>
          <w:rFonts w:ascii="Palatino Linotype" w:eastAsia="Palatino Linotype" w:hAnsi="Palatino Linotype" w:cs="Palatino Linotype"/>
          <w:i/>
          <w:sz w:val="22"/>
          <w:szCs w:val="22"/>
        </w:rPr>
        <w:t xml:space="preserve"> Ejecutivo, Legislativo </w:t>
      </w:r>
      <w:r w:rsidRPr="00973A22">
        <w:rPr>
          <w:rFonts w:ascii="Palatino Linotype" w:eastAsia="Palatino Linotype" w:hAnsi="Palatino Linotype" w:cs="Palatino Linotype"/>
          <w:b/>
          <w:i/>
          <w:sz w:val="22"/>
          <w:szCs w:val="22"/>
          <w:u w:val="single"/>
        </w:rPr>
        <w:t>y Judicial</w:t>
      </w:r>
      <w:r w:rsidRPr="00973A22">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973A22">
        <w:rPr>
          <w:rFonts w:ascii="Palatino Linotype" w:eastAsia="Palatino Linotype" w:hAnsi="Palatino Linotype" w:cs="Palatino Linotype"/>
          <w:b/>
          <w:i/>
          <w:sz w:val="22"/>
          <w:szCs w:val="22"/>
        </w:rPr>
        <w:t>es pública y sólo podrá ser reservada temporalmente por razones de interés público y seguridad nacional,</w:t>
      </w:r>
      <w:r w:rsidRPr="00973A22">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328D2" w:rsidRPr="00973A22" w:rsidRDefault="00C43D44">
      <w:pPr>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 </w:t>
      </w:r>
    </w:p>
    <w:p w:rsidR="00E328D2" w:rsidRPr="00973A22" w:rsidRDefault="00C43D44">
      <w:pPr>
        <w:ind w:left="851" w:right="616"/>
        <w:jc w:val="both"/>
        <w:rPr>
          <w:rFonts w:ascii="Palatino Linotype" w:eastAsia="Palatino Linotype" w:hAnsi="Palatino Linotype" w:cs="Palatino Linotype"/>
          <w:b/>
          <w:i/>
          <w:sz w:val="22"/>
          <w:szCs w:val="22"/>
        </w:rPr>
      </w:pPr>
      <w:r w:rsidRPr="00973A22">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E328D2" w:rsidRPr="00973A22" w:rsidRDefault="00C43D44">
      <w:pPr>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 </w:t>
      </w:r>
    </w:p>
    <w:p w:rsidR="00E328D2" w:rsidRPr="00973A22" w:rsidRDefault="00C43D44">
      <w:pPr>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b/>
          <w:i/>
          <w:sz w:val="22"/>
          <w:szCs w:val="22"/>
        </w:rPr>
        <w:t xml:space="preserve">III. </w:t>
      </w:r>
      <w:r w:rsidRPr="00973A22">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973A22">
        <w:rPr>
          <w:rFonts w:ascii="Palatino Linotype" w:eastAsia="Palatino Linotype" w:hAnsi="Palatino Linotype" w:cs="Palatino Linotype"/>
          <w:i/>
          <w:sz w:val="22"/>
          <w:szCs w:val="22"/>
        </w:rPr>
        <w:t xml:space="preserve"> a sus datos personales o a la rectificación de éstos.</w:t>
      </w:r>
    </w:p>
    <w:p w:rsidR="00E328D2" w:rsidRPr="00973A22" w:rsidRDefault="00C43D44">
      <w:pPr>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 </w:t>
      </w:r>
    </w:p>
    <w:p w:rsidR="00E328D2" w:rsidRPr="00973A22" w:rsidRDefault="00C43D44">
      <w:pPr>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b/>
          <w:i/>
          <w:sz w:val="22"/>
          <w:szCs w:val="22"/>
        </w:rPr>
        <w:t xml:space="preserve">IV. </w:t>
      </w:r>
      <w:r w:rsidRPr="00973A22">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E328D2" w:rsidRPr="00973A22" w:rsidRDefault="00E328D2">
      <w:pPr>
        <w:ind w:left="851" w:right="616"/>
        <w:jc w:val="both"/>
        <w:rPr>
          <w:rFonts w:ascii="Palatino Linotype" w:eastAsia="Palatino Linotype" w:hAnsi="Palatino Linotype" w:cs="Palatino Linotype"/>
          <w:i/>
          <w:sz w:val="22"/>
          <w:szCs w:val="22"/>
        </w:rPr>
      </w:pPr>
    </w:p>
    <w:p w:rsidR="00E328D2" w:rsidRPr="00973A22" w:rsidRDefault="00C43D44">
      <w:pPr>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b/>
          <w:i/>
          <w:sz w:val="22"/>
          <w:szCs w:val="22"/>
        </w:rPr>
        <w:lastRenderedPageBreak/>
        <w:t xml:space="preserve">V. </w:t>
      </w:r>
      <w:r w:rsidRPr="00973A22">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E328D2" w:rsidRPr="00973A22" w:rsidRDefault="00C43D44">
      <w:pPr>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 </w:t>
      </w:r>
    </w:p>
    <w:p w:rsidR="00E328D2" w:rsidRPr="00973A22" w:rsidRDefault="00C43D44">
      <w:pPr>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b/>
          <w:i/>
          <w:sz w:val="22"/>
          <w:szCs w:val="22"/>
        </w:rPr>
        <w:t xml:space="preserve">VI. </w:t>
      </w:r>
      <w:r w:rsidRPr="00973A22">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E328D2" w:rsidRPr="00973A22" w:rsidRDefault="00C43D44">
      <w:pPr>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 </w:t>
      </w:r>
    </w:p>
    <w:p w:rsidR="00E328D2" w:rsidRPr="00973A22" w:rsidRDefault="00C43D44">
      <w:pPr>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b/>
          <w:i/>
          <w:sz w:val="22"/>
          <w:szCs w:val="22"/>
        </w:rPr>
        <w:t xml:space="preserve">VII. </w:t>
      </w:r>
      <w:r w:rsidRPr="00973A22">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E328D2" w:rsidRPr="00973A22" w:rsidRDefault="00E328D2">
      <w:pPr>
        <w:ind w:right="616"/>
        <w:jc w:val="both"/>
        <w:rPr>
          <w:rFonts w:ascii="Palatino Linotype" w:eastAsia="Palatino Linotype" w:hAnsi="Palatino Linotype" w:cs="Palatino Linotype"/>
          <w:i/>
          <w:sz w:val="22"/>
          <w:szCs w:val="22"/>
        </w:rPr>
      </w:pPr>
    </w:p>
    <w:p w:rsidR="00E328D2" w:rsidRPr="00973A22" w:rsidRDefault="00C43D44">
      <w:pPr>
        <w:tabs>
          <w:tab w:val="left" w:pos="709"/>
        </w:tabs>
        <w:spacing w:before="240" w:after="240"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E328D2" w:rsidRPr="00973A22" w:rsidRDefault="00C43D44">
      <w:pPr>
        <w:spacing w:before="120"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t xml:space="preserve">En primer lugar, es conveniente analizar si la respuesta del </w:t>
      </w:r>
      <w:r w:rsidRPr="00973A22">
        <w:rPr>
          <w:rFonts w:ascii="Palatino Linotype" w:eastAsia="Palatino Linotype" w:hAnsi="Palatino Linotype" w:cs="Palatino Linotype"/>
          <w:b/>
        </w:rPr>
        <w:t>Sujeto Obligado</w:t>
      </w:r>
      <w:r w:rsidRPr="00973A22">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w:t>
      </w:r>
      <w:r w:rsidRPr="00973A22">
        <w:rPr>
          <w:rFonts w:ascii="Palatino Linotype" w:eastAsia="Palatino Linotype" w:hAnsi="Palatino Linotype" w:cs="Palatino Linotype"/>
        </w:rPr>
        <w:lastRenderedPageBreak/>
        <w:t>privilegiando el principio de máxima publicidad, como así lo establece dicha determinación, que a continuación se transcribe para un mejor entendimiento:</w:t>
      </w:r>
    </w:p>
    <w:p w:rsidR="00E328D2" w:rsidRPr="00973A22" w:rsidRDefault="00C43D44">
      <w:pPr>
        <w:spacing w:before="240"/>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w:t>
      </w:r>
      <w:r w:rsidRPr="00973A22">
        <w:rPr>
          <w:rFonts w:ascii="Palatino Linotype" w:eastAsia="Palatino Linotype" w:hAnsi="Palatino Linotype" w:cs="Palatino Linotype"/>
          <w:b/>
          <w:i/>
          <w:sz w:val="22"/>
          <w:szCs w:val="22"/>
        </w:rPr>
        <w:t>Artículo 4.</w:t>
      </w:r>
      <w:r w:rsidRPr="00973A22">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E328D2" w:rsidRPr="00973A22" w:rsidRDefault="00C43D44">
      <w:pPr>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973A22">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E328D2" w:rsidRPr="00973A22" w:rsidRDefault="00C43D44">
      <w:pPr>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973A22">
        <w:rPr>
          <w:rFonts w:ascii="Palatino Linotype" w:eastAsia="Palatino Linotype" w:hAnsi="Palatino Linotype" w:cs="Palatino Linotype"/>
          <w:i/>
          <w:sz w:val="22"/>
          <w:szCs w:val="22"/>
        </w:rPr>
        <w:t>.”(Sic)</w:t>
      </w:r>
    </w:p>
    <w:p w:rsidR="00E328D2" w:rsidRPr="00973A22" w:rsidRDefault="00E328D2">
      <w:pPr>
        <w:ind w:left="851" w:right="760"/>
        <w:jc w:val="both"/>
        <w:rPr>
          <w:rFonts w:ascii="Palatino Linotype" w:eastAsia="Palatino Linotype" w:hAnsi="Palatino Linotype" w:cs="Palatino Linotype"/>
          <w:i/>
        </w:rPr>
      </w:pPr>
    </w:p>
    <w:p w:rsidR="00E328D2" w:rsidRPr="00973A22" w:rsidRDefault="00C43D44">
      <w:pPr>
        <w:spacing w:before="240" w:after="240"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E328D2" w:rsidRPr="00973A22" w:rsidRDefault="00C43D44">
      <w:pPr>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lastRenderedPageBreak/>
        <w:t>“</w:t>
      </w:r>
      <w:r w:rsidRPr="00973A22">
        <w:rPr>
          <w:rFonts w:ascii="Palatino Linotype" w:eastAsia="Palatino Linotype" w:hAnsi="Palatino Linotype" w:cs="Palatino Linotype"/>
          <w:b/>
          <w:i/>
          <w:sz w:val="22"/>
          <w:szCs w:val="22"/>
        </w:rPr>
        <w:t>Artículo 12.-</w:t>
      </w:r>
      <w:r w:rsidRPr="00973A22">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E328D2" w:rsidRPr="00973A22" w:rsidRDefault="00C43D44">
      <w:pPr>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973A22">
        <w:rPr>
          <w:rFonts w:ascii="Palatino Linotype" w:eastAsia="Palatino Linotype" w:hAnsi="Palatino Linotype" w:cs="Palatino Linotype"/>
          <w:i/>
          <w:sz w:val="22"/>
          <w:szCs w:val="22"/>
        </w:rPr>
        <w:t xml:space="preserve">. </w:t>
      </w:r>
      <w:r w:rsidRPr="00973A22">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E328D2" w:rsidRPr="00973A22" w:rsidRDefault="00E328D2">
      <w:pPr>
        <w:spacing w:line="360" w:lineRule="auto"/>
        <w:ind w:right="-93"/>
        <w:jc w:val="both"/>
        <w:rPr>
          <w:rFonts w:ascii="Palatino Linotype" w:eastAsia="Palatino Linotype" w:hAnsi="Palatino Linotype" w:cs="Palatino Linotype"/>
        </w:rPr>
      </w:pPr>
    </w:p>
    <w:p w:rsidR="00E328D2" w:rsidRPr="00973A22" w:rsidRDefault="00C43D44">
      <w:pPr>
        <w:spacing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E328D2" w:rsidRPr="00973A22" w:rsidRDefault="00E328D2">
      <w:pPr>
        <w:spacing w:line="360" w:lineRule="auto"/>
        <w:jc w:val="both"/>
        <w:rPr>
          <w:rFonts w:ascii="Palatino Linotype" w:eastAsia="Palatino Linotype" w:hAnsi="Palatino Linotype" w:cs="Palatino Linotype"/>
        </w:rPr>
      </w:pPr>
    </w:p>
    <w:p w:rsidR="00E328D2" w:rsidRPr="00973A22" w:rsidRDefault="00C43D44">
      <w:pPr>
        <w:spacing w:line="360" w:lineRule="auto"/>
        <w:ind w:right="49"/>
        <w:jc w:val="both"/>
        <w:rPr>
          <w:rFonts w:ascii="Palatino Linotype" w:eastAsia="Palatino Linotype" w:hAnsi="Palatino Linotype" w:cs="Palatino Linotype"/>
        </w:rPr>
      </w:pPr>
      <w:r w:rsidRPr="00973A22">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E328D2" w:rsidRPr="00973A22" w:rsidRDefault="00E328D2">
      <w:pPr>
        <w:spacing w:line="360" w:lineRule="auto"/>
        <w:ind w:right="49"/>
        <w:jc w:val="both"/>
        <w:rPr>
          <w:rFonts w:ascii="Palatino Linotype" w:eastAsia="Palatino Linotype" w:hAnsi="Palatino Linotype" w:cs="Palatino Linotype"/>
        </w:rPr>
      </w:pPr>
    </w:p>
    <w:p w:rsidR="00E328D2" w:rsidRPr="00973A22" w:rsidRDefault="00C43D44">
      <w:pPr>
        <w:spacing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lastRenderedPageBreak/>
        <w:t xml:space="preserve">Por otra parte, conviene mencionar que la Ley de Transparencia vigente en el Estado de México refiere: </w:t>
      </w:r>
    </w:p>
    <w:p w:rsidR="00E328D2" w:rsidRPr="00973A22" w:rsidRDefault="00E328D2">
      <w:pPr>
        <w:spacing w:line="360" w:lineRule="auto"/>
        <w:jc w:val="both"/>
        <w:rPr>
          <w:rFonts w:ascii="Palatino Linotype" w:eastAsia="Palatino Linotype" w:hAnsi="Palatino Linotype" w:cs="Palatino Linotype"/>
        </w:rPr>
      </w:pPr>
    </w:p>
    <w:p w:rsidR="00E328D2" w:rsidRPr="00973A22" w:rsidRDefault="00C43D44">
      <w:pPr>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b/>
          <w:i/>
          <w:sz w:val="22"/>
          <w:szCs w:val="22"/>
        </w:rPr>
        <w:t>Artículo 18.</w:t>
      </w:r>
      <w:r w:rsidRPr="00973A22">
        <w:rPr>
          <w:rFonts w:ascii="Palatino Linotype" w:eastAsia="Palatino Linotype" w:hAnsi="Palatino Linotype" w:cs="Palatino Linotype"/>
          <w:i/>
          <w:sz w:val="22"/>
          <w:szCs w:val="22"/>
        </w:rPr>
        <w:t xml:space="preserve"> </w:t>
      </w:r>
      <w:r w:rsidRPr="00973A22">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973A22">
        <w:rPr>
          <w:rFonts w:ascii="Palatino Linotype" w:eastAsia="Palatino Linotype" w:hAnsi="Palatino Linotype" w:cs="Palatino Linotype"/>
          <w:i/>
          <w:sz w:val="22"/>
          <w:szCs w:val="22"/>
        </w:rPr>
        <w:t xml:space="preserve"> y reutilización de la información que generen.</w:t>
      </w:r>
    </w:p>
    <w:p w:rsidR="00E328D2" w:rsidRPr="00973A22" w:rsidRDefault="00E328D2">
      <w:pPr>
        <w:ind w:left="851" w:right="616"/>
        <w:jc w:val="both"/>
        <w:rPr>
          <w:rFonts w:ascii="Palatino Linotype" w:eastAsia="Palatino Linotype" w:hAnsi="Palatino Linotype" w:cs="Palatino Linotype"/>
          <w:b/>
          <w:i/>
          <w:sz w:val="22"/>
          <w:szCs w:val="22"/>
        </w:rPr>
      </w:pPr>
    </w:p>
    <w:p w:rsidR="00E328D2" w:rsidRPr="00973A22" w:rsidRDefault="00C43D44">
      <w:pPr>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b/>
          <w:i/>
          <w:sz w:val="22"/>
          <w:szCs w:val="22"/>
        </w:rPr>
        <w:t xml:space="preserve">Artículo 19. </w:t>
      </w:r>
      <w:r w:rsidRPr="00973A22">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973A22">
        <w:rPr>
          <w:rFonts w:ascii="Palatino Linotype" w:eastAsia="Palatino Linotype" w:hAnsi="Palatino Linotype" w:cs="Palatino Linotype"/>
          <w:i/>
          <w:sz w:val="22"/>
          <w:szCs w:val="22"/>
        </w:rPr>
        <w:t>.</w:t>
      </w:r>
    </w:p>
    <w:p w:rsidR="00E328D2" w:rsidRPr="00973A22" w:rsidRDefault="00E328D2">
      <w:pPr>
        <w:ind w:left="851" w:right="616"/>
        <w:jc w:val="both"/>
        <w:rPr>
          <w:rFonts w:ascii="Palatino Linotype" w:eastAsia="Palatino Linotype" w:hAnsi="Palatino Linotype" w:cs="Palatino Linotype"/>
          <w:i/>
          <w:sz w:val="22"/>
          <w:szCs w:val="22"/>
        </w:rPr>
      </w:pPr>
    </w:p>
    <w:p w:rsidR="00E328D2" w:rsidRPr="00973A22" w:rsidRDefault="00C43D44">
      <w:pPr>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rsidR="00E328D2" w:rsidRPr="00973A22" w:rsidRDefault="00E328D2">
      <w:pPr>
        <w:ind w:left="851" w:right="616"/>
        <w:jc w:val="both"/>
        <w:rPr>
          <w:rFonts w:ascii="Palatino Linotype" w:eastAsia="Palatino Linotype" w:hAnsi="Palatino Linotype" w:cs="Palatino Linotype"/>
          <w:i/>
          <w:sz w:val="22"/>
          <w:szCs w:val="22"/>
        </w:rPr>
      </w:pPr>
    </w:p>
    <w:p w:rsidR="00E328D2" w:rsidRPr="00973A22" w:rsidRDefault="00C43D44">
      <w:pPr>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E328D2" w:rsidRPr="00973A22" w:rsidRDefault="00E328D2">
      <w:pPr>
        <w:ind w:left="851" w:right="851"/>
        <w:jc w:val="both"/>
        <w:rPr>
          <w:rFonts w:ascii="Palatino Linotype" w:eastAsia="Palatino Linotype" w:hAnsi="Palatino Linotype" w:cs="Palatino Linotype"/>
          <w:i/>
          <w:sz w:val="22"/>
          <w:szCs w:val="22"/>
        </w:rPr>
      </w:pPr>
    </w:p>
    <w:p w:rsidR="00E328D2" w:rsidRPr="00973A22" w:rsidRDefault="00C43D44">
      <w:pPr>
        <w:ind w:left="851" w:right="851"/>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Énfasis añadido.</w:t>
      </w:r>
    </w:p>
    <w:p w:rsidR="00E328D2" w:rsidRPr="00973A22" w:rsidRDefault="00E328D2">
      <w:pPr>
        <w:spacing w:line="360" w:lineRule="auto"/>
        <w:jc w:val="both"/>
        <w:rPr>
          <w:rFonts w:ascii="Palatino Linotype" w:eastAsia="Palatino Linotype" w:hAnsi="Palatino Linotype" w:cs="Palatino Linotype"/>
        </w:rPr>
      </w:pPr>
    </w:p>
    <w:p w:rsidR="00E328D2" w:rsidRPr="00973A22" w:rsidRDefault="00C43D44">
      <w:pPr>
        <w:spacing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w:t>
      </w:r>
      <w:r w:rsidRPr="00973A22">
        <w:rPr>
          <w:rFonts w:ascii="Palatino Linotype" w:eastAsia="Palatino Linotype" w:hAnsi="Palatino Linotype" w:cs="Palatino Linotype"/>
        </w:rPr>
        <w:lastRenderedPageBreak/>
        <w:t>establece en la Ley de Transparencia y Acceso a la Información Pública del Estado de México y Municipios.</w:t>
      </w:r>
    </w:p>
    <w:p w:rsidR="00E328D2" w:rsidRPr="00973A22" w:rsidRDefault="00E328D2">
      <w:pPr>
        <w:spacing w:line="360" w:lineRule="auto"/>
        <w:jc w:val="both"/>
        <w:rPr>
          <w:rFonts w:ascii="Palatino Linotype" w:eastAsia="Palatino Linotype" w:hAnsi="Palatino Linotype" w:cs="Palatino Linotype"/>
        </w:rPr>
      </w:pPr>
    </w:p>
    <w:p w:rsidR="00E328D2" w:rsidRPr="00973A22" w:rsidRDefault="00C43D44">
      <w:pPr>
        <w:spacing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E328D2" w:rsidRPr="00973A22" w:rsidRDefault="00E328D2">
      <w:pPr>
        <w:ind w:left="851" w:right="899"/>
        <w:jc w:val="both"/>
        <w:rPr>
          <w:rFonts w:ascii="Palatino Linotype" w:eastAsia="Palatino Linotype" w:hAnsi="Palatino Linotype" w:cs="Palatino Linotype"/>
          <w:i/>
          <w:sz w:val="22"/>
          <w:szCs w:val="22"/>
        </w:rPr>
      </w:pPr>
    </w:p>
    <w:p w:rsidR="00E328D2" w:rsidRPr="00973A22" w:rsidRDefault="00C43D44">
      <w:pPr>
        <w:ind w:left="851" w:right="899"/>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w:t>
      </w:r>
      <w:r w:rsidRPr="00973A22">
        <w:rPr>
          <w:rFonts w:ascii="Palatino Linotype" w:eastAsia="Palatino Linotype" w:hAnsi="Palatino Linotype" w:cs="Palatino Linotype"/>
          <w:b/>
          <w:i/>
          <w:sz w:val="22"/>
          <w:szCs w:val="22"/>
        </w:rPr>
        <w:t xml:space="preserve">Artículo 3. </w:t>
      </w:r>
      <w:r w:rsidRPr="00973A22">
        <w:rPr>
          <w:rFonts w:ascii="Palatino Linotype" w:eastAsia="Palatino Linotype" w:hAnsi="Palatino Linotype" w:cs="Palatino Linotype"/>
          <w:i/>
          <w:sz w:val="22"/>
          <w:szCs w:val="22"/>
        </w:rPr>
        <w:t>Para los efectos de la presente Ley se entenderá por:</w:t>
      </w:r>
    </w:p>
    <w:p w:rsidR="00E328D2" w:rsidRPr="00973A22" w:rsidRDefault="00C43D44">
      <w:pPr>
        <w:ind w:left="851" w:right="899"/>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w:t>
      </w:r>
    </w:p>
    <w:p w:rsidR="00E328D2" w:rsidRPr="00973A22" w:rsidRDefault="00C43D44">
      <w:pPr>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b/>
          <w:i/>
          <w:sz w:val="22"/>
          <w:szCs w:val="22"/>
        </w:rPr>
        <w:t>XI. Documento:</w:t>
      </w:r>
      <w:r w:rsidRPr="00973A22">
        <w:rPr>
          <w:rFonts w:ascii="Palatino Linotype" w:eastAsia="Palatino Linotype" w:hAnsi="Palatino Linotype" w:cs="Palatino Linotype"/>
          <w:i/>
          <w:sz w:val="22"/>
          <w:szCs w:val="22"/>
        </w:rPr>
        <w:t xml:space="preserve"> Los expedientes, reportes, estudios, actas</w:t>
      </w:r>
      <w:r w:rsidRPr="00973A22">
        <w:rPr>
          <w:rFonts w:ascii="Palatino Linotype" w:eastAsia="Palatino Linotype" w:hAnsi="Palatino Linotype" w:cs="Palatino Linotype"/>
          <w:b/>
          <w:i/>
          <w:sz w:val="22"/>
          <w:szCs w:val="22"/>
        </w:rPr>
        <w:t>,</w:t>
      </w:r>
      <w:r w:rsidRPr="00973A22">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w:t>
      </w:r>
      <w:r w:rsidRPr="00973A22">
        <w:rPr>
          <w:rFonts w:ascii="Palatino Linotype" w:eastAsia="Palatino Linotype" w:hAnsi="Palatino Linotype" w:cs="Palatino Linotype"/>
          <w:b/>
          <w:i/>
          <w:sz w:val="22"/>
          <w:szCs w:val="22"/>
          <w:u w:val="single"/>
        </w:rPr>
        <w:t>registro que documente el ejercicio de las facultades, funciones y competencias de los sujetos obligados</w:t>
      </w:r>
      <w:r w:rsidRPr="00973A22">
        <w:rPr>
          <w:rFonts w:ascii="Palatino Linotype" w:eastAsia="Palatino Linotype" w:hAnsi="Palatino Linotype" w:cs="Palatino Linotype"/>
          <w:i/>
          <w:sz w:val="22"/>
          <w:szCs w:val="22"/>
        </w:rPr>
        <w:t xml:space="preserve">, sus servidores públicos e integrantes, sin importar su fuente o fecha de elaboración. Los documentos podrán estar en cualquier medio, sea escrito, impreso, sonoro, visual, </w:t>
      </w:r>
      <w:r w:rsidRPr="00973A22">
        <w:rPr>
          <w:rFonts w:ascii="Palatino Linotype" w:eastAsia="Palatino Linotype" w:hAnsi="Palatino Linotype" w:cs="Palatino Linotype"/>
          <w:b/>
          <w:i/>
          <w:sz w:val="22"/>
          <w:szCs w:val="22"/>
          <w:u w:val="single"/>
        </w:rPr>
        <w:t>electrónico, informático</w:t>
      </w:r>
      <w:r w:rsidRPr="00973A22">
        <w:rPr>
          <w:rFonts w:ascii="Palatino Linotype" w:eastAsia="Palatino Linotype" w:hAnsi="Palatino Linotype" w:cs="Palatino Linotype"/>
          <w:i/>
          <w:sz w:val="22"/>
          <w:szCs w:val="22"/>
        </w:rPr>
        <w:t xml:space="preserve"> u holográfico…” (Sic)</w:t>
      </w:r>
    </w:p>
    <w:p w:rsidR="00E328D2" w:rsidRPr="00973A22" w:rsidRDefault="00E328D2">
      <w:pPr>
        <w:ind w:left="851" w:right="899"/>
        <w:jc w:val="both"/>
        <w:rPr>
          <w:rFonts w:ascii="Palatino Linotype" w:eastAsia="Palatino Linotype" w:hAnsi="Palatino Linotype" w:cs="Palatino Linotype"/>
          <w:sz w:val="22"/>
          <w:szCs w:val="22"/>
        </w:rPr>
      </w:pPr>
    </w:p>
    <w:p w:rsidR="00E328D2" w:rsidRPr="00973A22" w:rsidRDefault="00C43D44">
      <w:pPr>
        <w:spacing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sidRPr="00973A22">
        <w:rPr>
          <w:rFonts w:ascii="Palatino Linotype" w:eastAsia="Palatino Linotype" w:hAnsi="Palatino Linotype" w:cs="Palatino Linotype"/>
        </w:rPr>
        <w:lastRenderedPageBreak/>
        <w:t>Oficial del Gobierno del Estado Libre y Soberano de México “Gaceta del Gobierno”, el diecinueve de octubre de dos mil once, cuyo rubro y texto refieren lo siguiente:</w:t>
      </w:r>
    </w:p>
    <w:p w:rsidR="00E328D2" w:rsidRPr="00973A22" w:rsidRDefault="00E328D2">
      <w:pPr>
        <w:ind w:left="851" w:right="899"/>
        <w:jc w:val="both"/>
        <w:rPr>
          <w:rFonts w:ascii="Palatino Linotype" w:eastAsia="Palatino Linotype" w:hAnsi="Palatino Linotype" w:cs="Palatino Linotype"/>
        </w:rPr>
      </w:pPr>
    </w:p>
    <w:p w:rsidR="00E328D2" w:rsidRPr="00973A22" w:rsidRDefault="00C43D44">
      <w:pPr>
        <w:ind w:left="851" w:right="616"/>
        <w:jc w:val="both"/>
        <w:rPr>
          <w:rFonts w:ascii="Palatino Linotype" w:eastAsia="Palatino Linotype" w:hAnsi="Palatino Linotype" w:cs="Palatino Linotype"/>
          <w:b/>
          <w:i/>
          <w:sz w:val="22"/>
          <w:szCs w:val="22"/>
        </w:rPr>
      </w:pPr>
      <w:r w:rsidRPr="00973A22">
        <w:rPr>
          <w:rFonts w:ascii="Palatino Linotype" w:eastAsia="Palatino Linotype" w:hAnsi="Palatino Linotype" w:cs="Palatino Linotype"/>
          <w:b/>
          <w:sz w:val="22"/>
          <w:szCs w:val="22"/>
        </w:rPr>
        <w:t>“</w:t>
      </w:r>
      <w:r w:rsidRPr="00973A22">
        <w:rPr>
          <w:rFonts w:ascii="Palatino Linotype" w:eastAsia="Palatino Linotype" w:hAnsi="Palatino Linotype" w:cs="Palatino Linotype"/>
          <w:b/>
          <w:i/>
          <w:sz w:val="22"/>
          <w:szCs w:val="22"/>
        </w:rPr>
        <w:t>CRITERIO 0002-11</w:t>
      </w:r>
    </w:p>
    <w:p w:rsidR="00E328D2" w:rsidRPr="00973A22" w:rsidRDefault="00C43D44">
      <w:pPr>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973A2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E328D2" w:rsidRPr="00973A22" w:rsidRDefault="00C43D44">
      <w:pPr>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En consecuencia el acceso a la información se refiere a que se cumplan cualquiera de los siguientes tres supuestos:</w:t>
      </w:r>
    </w:p>
    <w:p w:rsidR="00E328D2" w:rsidRPr="00973A22" w:rsidRDefault="00C43D44">
      <w:pPr>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E328D2" w:rsidRPr="00973A22" w:rsidRDefault="00C43D44">
      <w:pPr>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rsidR="00E328D2" w:rsidRPr="00973A22" w:rsidRDefault="00C43D44">
      <w:pPr>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rsidR="00E328D2" w:rsidRPr="00973A22" w:rsidRDefault="00C43D44">
      <w:pPr>
        <w:spacing w:before="280" w:after="280"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t xml:space="preserve">De ahí que el </w:t>
      </w:r>
      <w:r w:rsidRPr="00973A22">
        <w:rPr>
          <w:rFonts w:ascii="Palatino Linotype" w:eastAsia="Palatino Linotype" w:hAnsi="Palatino Linotype" w:cs="Palatino Linotype"/>
          <w:b/>
        </w:rPr>
        <w:t>Sujeto Obligado</w:t>
      </w:r>
      <w:r w:rsidRPr="00973A22">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w:t>
      </w:r>
      <w:r w:rsidRPr="00973A22">
        <w:rPr>
          <w:rFonts w:ascii="Palatino Linotype" w:eastAsia="Palatino Linotype" w:hAnsi="Palatino Linotype" w:cs="Palatino Linotype"/>
        </w:rPr>
        <w:lastRenderedPageBreak/>
        <w:t>señaladas por la Ley en la materia</w:t>
      </w:r>
      <w:r w:rsidRPr="00973A22">
        <w:rPr>
          <w:rFonts w:ascii="Palatino Linotype" w:eastAsia="Palatino Linotype" w:hAnsi="Palatino Linotype" w:cs="Palatino Linotype"/>
          <w:vertAlign w:val="superscript"/>
        </w:rPr>
        <w:footnoteReference w:id="1"/>
      </w:r>
      <w:r w:rsidRPr="00973A22">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973A22">
        <w:rPr>
          <w:rFonts w:ascii="Palatino Linotype" w:eastAsia="Palatino Linotype" w:hAnsi="Palatino Linotype" w:cs="Palatino Linotype"/>
          <w:vertAlign w:val="superscript"/>
        </w:rPr>
        <w:footnoteReference w:id="2"/>
      </w:r>
      <w:r w:rsidRPr="00973A22">
        <w:rPr>
          <w:rFonts w:ascii="Palatino Linotype" w:eastAsia="Palatino Linotype" w:hAnsi="Palatino Linotype" w:cs="Palatino Linotype"/>
        </w:rPr>
        <w:t>, como pudiera tratarse de aquella relacionada con las obligaciones de transparencia señaladas en los artículos 92 y 100 de la Ley de la Materia.</w:t>
      </w:r>
    </w:p>
    <w:p w:rsidR="00E328D2" w:rsidRPr="00973A22" w:rsidRDefault="00C43D44">
      <w:pPr>
        <w:spacing w:before="280" w:after="280"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t xml:space="preserve">Bajo ese contexto, es conveniente reiterar que el entonces solicitante requirió al </w:t>
      </w:r>
      <w:r w:rsidRPr="00973A22">
        <w:rPr>
          <w:rFonts w:ascii="Palatino Linotype" w:eastAsia="Palatino Linotype" w:hAnsi="Palatino Linotype" w:cs="Palatino Linotype"/>
          <w:b/>
        </w:rPr>
        <w:t>Sujeto Obligado</w:t>
      </w:r>
      <w:r w:rsidRPr="00973A22">
        <w:rPr>
          <w:rFonts w:ascii="Palatino Linotype" w:eastAsia="Palatino Linotype" w:hAnsi="Palatino Linotype" w:cs="Palatino Linotype"/>
        </w:rPr>
        <w:t xml:space="preserve">, la siguiente información: </w:t>
      </w:r>
    </w:p>
    <w:p w:rsidR="00E328D2" w:rsidRPr="00973A22" w:rsidRDefault="00C43D44">
      <w:pPr>
        <w:spacing w:before="280" w:after="280"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t xml:space="preserve">1. Correos electrónicos de los integrantes del Pleno; así como, de las coordinaciones de proyectos del primero al quince de enero de dos mil diecinueve. </w:t>
      </w:r>
    </w:p>
    <w:p w:rsidR="00E328D2" w:rsidRPr="00973A22" w:rsidRDefault="00C43D44">
      <w:pPr>
        <w:spacing w:before="280" w:after="280"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t xml:space="preserve">En su respuesta, el </w:t>
      </w:r>
      <w:r w:rsidRPr="00973A22">
        <w:rPr>
          <w:rFonts w:ascii="Palatino Linotype" w:eastAsia="Palatino Linotype" w:hAnsi="Palatino Linotype" w:cs="Palatino Linotype"/>
          <w:b/>
        </w:rPr>
        <w:t xml:space="preserve">Sujeto Obligado </w:t>
      </w:r>
      <w:r w:rsidRPr="00973A22">
        <w:rPr>
          <w:rFonts w:ascii="Palatino Linotype" w:eastAsia="Palatino Linotype" w:hAnsi="Palatino Linotype" w:cs="Palatino Linotype"/>
        </w:rPr>
        <w:t xml:space="preserve">entregó versión pública de los correos electrónicos del Comisionado Luis Gustavo Parra Noriega; de la entonces Comisionada Eva </w:t>
      </w:r>
      <w:proofErr w:type="spellStart"/>
      <w:r w:rsidRPr="00973A22">
        <w:rPr>
          <w:rFonts w:ascii="Palatino Linotype" w:eastAsia="Palatino Linotype" w:hAnsi="Palatino Linotype" w:cs="Palatino Linotype"/>
        </w:rPr>
        <w:t>Abaid</w:t>
      </w:r>
      <w:proofErr w:type="spellEnd"/>
      <w:r w:rsidRPr="00973A22">
        <w:rPr>
          <w:rFonts w:ascii="Palatino Linotype" w:eastAsia="Palatino Linotype" w:hAnsi="Palatino Linotype" w:cs="Palatino Linotype"/>
        </w:rPr>
        <w:t xml:space="preserve"> </w:t>
      </w:r>
      <w:proofErr w:type="spellStart"/>
      <w:r w:rsidRPr="00973A22">
        <w:rPr>
          <w:rFonts w:ascii="Palatino Linotype" w:eastAsia="Palatino Linotype" w:hAnsi="Palatino Linotype" w:cs="Palatino Linotype"/>
        </w:rPr>
        <w:t>Yapur</w:t>
      </w:r>
      <w:proofErr w:type="spellEnd"/>
      <w:r w:rsidRPr="00973A22">
        <w:rPr>
          <w:rFonts w:ascii="Palatino Linotype" w:eastAsia="Palatino Linotype" w:hAnsi="Palatino Linotype" w:cs="Palatino Linotype"/>
        </w:rPr>
        <w:t xml:space="preserve">, y de los ex Comisionados Javier Martínez Cruz y José Guadalupe Luna Hernández; así como de </w:t>
      </w:r>
      <w:proofErr w:type="spellStart"/>
      <w:r w:rsidRPr="00973A22">
        <w:rPr>
          <w:rFonts w:ascii="Palatino Linotype" w:eastAsia="Palatino Linotype" w:hAnsi="Palatino Linotype" w:cs="Palatino Linotype"/>
        </w:rPr>
        <w:t>Aransasu</w:t>
      </w:r>
      <w:proofErr w:type="spellEnd"/>
      <w:r w:rsidRPr="00973A22">
        <w:rPr>
          <w:rFonts w:ascii="Palatino Linotype" w:eastAsia="Palatino Linotype" w:hAnsi="Palatino Linotype" w:cs="Palatino Linotype"/>
        </w:rPr>
        <w:t xml:space="preserve"> Valdés Pedraza, Coordinadora de Proyectos del entonces Comisionado Javier Martínez Cruz. </w:t>
      </w:r>
    </w:p>
    <w:p w:rsidR="00E328D2" w:rsidRPr="00973A22" w:rsidRDefault="00C43D44">
      <w:pPr>
        <w:spacing w:before="280" w:after="280"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lastRenderedPageBreak/>
        <w:t xml:space="preserve">Asimismo informó que, por lo que hace a los correos electrónicos de la Coordinadora de Proyectos Sandra Ivette Razo de la Paz no se cuenta con los ellos respecto al periodo solicitado; ya que, al realizarse el cambio de dominio de itaipem.org.mx a infoem.org.mx, los correos de esa fecha se eliminaron. </w:t>
      </w:r>
    </w:p>
    <w:p w:rsidR="00E328D2" w:rsidRPr="00973A22" w:rsidRDefault="00C43D44">
      <w:pPr>
        <w:spacing w:before="240" w:after="240" w:line="360" w:lineRule="auto"/>
        <w:ind w:right="49"/>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rPr>
        <w:t xml:space="preserve">Una vez conocida la respuesta, el </w:t>
      </w:r>
      <w:r w:rsidRPr="00973A22">
        <w:rPr>
          <w:rFonts w:ascii="Palatino Linotype" w:eastAsia="Palatino Linotype" w:hAnsi="Palatino Linotype" w:cs="Palatino Linotype"/>
          <w:b/>
        </w:rPr>
        <w:t xml:space="preserve">Recurrente </w:t>
      </w:r>
      <w:r w:rsidRPr="00973A22">
        <w:rPr>
          <w:rFonts w:ascii="Palatino Linotype" w:eastAsia="Palatino Linotype" w:hAnsi="Palatino Linotype" w:cs="Palatino Linotype"/>
        </w:rPr>
        <w:t xml:space="preserve">manifestó su inconformidad por la entrega de información incompleta; al no proporcionarle los correos electrónicos de la entonces Comisionada Zulema Martínez Sánchez, de su Coordinador de Proyectos y de la Coordinadora de  Proyectos  del Comisionado Luis Gustavo Parra Noriega. </w:t>
      </w:r>
    </w:p>
    <w:p w:rsidR="00E328D2" w:rsidRPr="00973A22" w:rsidRDefault="00C43D44">
      <w:pPr>
        <w:spacing w:before="240" w:after="240"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t xml:space="preserve">En este sentido, no pasa inadvertido para este Organismo Garante que la inconformidad manifestada por el </w:t>
      </w:r>
      <w:r w:rsidRPr="00973A22">
        <w:rPr>
          <w:rFonts w:ascii="Palatino Linotype" w:eastAsia="Palatino Linotype" w:hAnsi="Palatino Linotype" w:cs="Palatino Linotype"/>
          <w:b/>
        </w:rPr>
        <w:t>Recurrente</w:t>
      </w:r>
      <w:r w:rsidRPr="00973A22">
        <w:rPr>
          <w:rFonts w:ascii="Palatino Linotype" w:eastAsia="Palatino Linotype" w:hAnsi="Palatino Linotype" w:cs="Palatino Linotype"/>
        </w:rPr>
        <w:t xml:space="preserve">, no versa sobre la totalidad de la información proporcionada por el </w:t>
      </w:r>
      <w:r w:rsidRPr="00973A22">
        <w:rPr>
          <w:rFonts w:ascii="Palatino Linotype" w:eastAsia="Palatino Linotype" w:hAnsi="Palatino Linotype" w:cs="Palatino Linotype"/>
          <w:b/>
        </w:rPr>
        <w:t xml:space="preserve">Sujeto Obligado; </w:t>
      </w:r>
      <w:r w:rsidRPr="00973A22">
        <w:rPr>
          <w:rFonts w:ascii="Palatino Linotype" w:eastAsia="Palatino Linotype" w:hAnsi="Palatino Linotype" w:cs="Palatino Linotype"/>
        </w:rPr>
        <w:t xml:space="preserve">por lo que, la parte de la respuesta que no fue impugnada debe declararse consentida, toda vez que, al no haber realizado manifestaciones de inconformidad, no pueden producirse efectos jurídicos tendentes a revocar, confirmar o modificar el acto reclamado, ya que, en el caso concreto se infiere que la información proporcionada por el </w:t>
      </w:r>
      <w:r w:rsidRPr="00973A22">
        <w:rPr>
          <w:rFonts w:ascii="Palatino Linotype" w:eastAsia="Palatino Linotype" w:hAnsi="Palatino Linotype" w:cs="Palatino Linotype"/>
          <w:b/>
        </w:rPr>
        <w:t>Sujeto Obligado</w:t>
      </w:r>
      <w:r w:rsidRPr="00973A22">
        <w:rPr>
          <w:rFonts w:ascii="Palatino Linotype" w:eastAsia="Palatino Linotype" w:hAnsi="Palatino Linotype" w:cs="Palatino Linotype"/>
        </w:rPr>
        <w:t>, satisface la solicitud presentada.</w:t>
      </w:r>
    </w:p>
    <w:p w:rsidR="00E328D2" w:rsidRPr="00973A22" w:rsidRDefault="00C43D44">
      <w:pPr>
        <w:spacing w:before="240" w:after="360"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t xml:space="preserve">Lo anterior es así, debido a que cuando la parte Recurrente impugna la respuesta del </w:t>
      </w:r>
      <w:r w:rsidRPr="00973A22">
        <w:rPr>
          <w:rFonts w:ascii="Palatino Linotype" w:eastAsia="Palatino Linotype" w:hAnsi="Palatino Linotype" w:cs="Palatino Linotype"/>
          <w:b/>
        </w:rPr>
        <w:t>Sujeto Obligado</w:t>
      </w:r>
      <w:r w:rsidRPr="00973A22">
        <w:rPr>
          <w:rFonts w:ascii="Palatino Linotype" w:eastAsia="Palatino Linotype" w:hAnsi="Palatino Linotype" w:cs="Palatino Linotype"/>
        </w:rPr>
        <w:t xml:space="preserve">, y éste no expresa Razón o Motivo de Inconformidad en contra de todos los rubros solicitados, dichos rubros deben declararse atendidos, pues se </w:t>
      </w:r>
      <w:r w:rsidRPr="00973A22">
        <w:rPr>
          <w:rFonts w:ascii="Palatino Linotype" w:eastAsia="Palatino Linotype" w:hAnsi="Palatino Linotype" w:cs="Palatino Linotype"/>
        </w:rPr>
        <w:lastRenderedPageBreak/>
        <w:t>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E328D2" w:rsidRPr="00973A22" w:rsidRDefault="00C43D44">
      <w:pPr>
        <w:spacing w:before="240" w:after="360"/>
        <w:ind w:left="851" w:right="900"/>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b/>
          <w:i/>
          <w:sz w:val="22"/>
          <w:szCs w:val="22"/>
        </w:rPr>
        <w:t xml:space="preserve">“REVISIÓN EN AMPARO. LOS RESOLUTIVOS NO COMBATIDOS DEBEN DECLARARSE FIRMES. </w:t>
      </w:r>
      <w:r w:rsidRPr="00973A22">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E328D2" w:rsidRPr="00973A22" w:rsidRDefault="00C43D44">
      <w:pPr>
        <w:spacing w:before="240" w:after="240" w:line="360" w:lineRule="auto"/>
        <w:jc w:val="both"/>
        <w:rPr>
          <w:rFonts w:ascii="Palatino Linotype" w:eastAsia="Palatino Linotype" w:hAnsi="Palatino Linotype" w:cs="Palatino Linotype"/>
        </w:rPr>
      </w:pPr>
      <w:bookmarkStart w:id="5" w:name="_heading=h.30j0zll" w:colFirst="0" w:colLast="0"/>
      <w:bookmarkEnd w:id="5"/>
      <w:r w:rsidRPr="00973A22">
        <w:rPr>
          <w:rFonts w:ascii="Palatino Linotype" w:eastAsia="Palatino Linotype" w:hAnsi="Palatino Linotype" w:cs="Palatino Linotype"/>
        </w:rPr>
        <w:t>Consecuentemente, se insiste, ante la falta de impugnación eficaz, la respuesta entregada debe declararse consentida por persona solicitante.</w:t>
      </w:r>
    </w:p>
    <w:p w:rsidR="00E328D2" w:rsidRPr="00973A22" w:rsidRDefault="00C43D44">
      <w:pPr>
        <w:spacing w:before="240" w:after="240"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t xml:space="preserve">Lo anterior se sustenta con lo plasmado en el criterio 01/20 emitido por el Instituto Nacional de Transparencia, Acceso a la Información, y Protección de Datos Personales, INAI, que lleva por rubro y texto los siguientes: </w:t>
      </w:r>
    </w:p>
    <w:p w:rsidR="00E328D2" w:rsidRPr="00973A22" w:rsidRDefault="00C43D44">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w:t>
      </w:r>
      <w:r w:rsidRPr="00973A22">
        <w:rPr>
          <w:rFonts w:ascii="Palatino Linotype" w:eastAsia="Palatino Linotype" w:hAnsi="Palatino Linotype" w:cs="Palatino Linotype"/>
          <w:b/>
          <w:i/>
          <w:sz w:val="22"/>
          <w:szCs w:val="22"/>
        </w:rPr>
        <w:t xml:space="preserve">Actos consentidos tácitamente. Improcedencia de su análisis. </w:t>
      </w:r>
      <w:r w:rsidRPr="00973A22">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rsidR="00E328D2" w:rsidRPr="00973A22" w:rsidRDefault="00C43D44">
      <w:pPr>
        <w:spacing w:before="240" w:after="240"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lastRenderedPageBreak/>
        <w:t>Asimismo, resulta aplicable por analogía la tesis jurisprudencial número VI.3o.C. J/60, publicada en el Semanario Judicial de la Federación y su Gaceta bajo el número de registro 176,608 que a la letra dice:</w:t>
      </w:r>
    </w:p>
    <w:p w:rsidR="00E328D2" w:rsidRPr="00973A22" w:rsidRDefault="00C43D44">
      <w:pPr>
        <w:ind w:left="851" w:right="900"/>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b/>
          <w:i/>
          <w:smallCaps/>
          <w:sz w:val="22"/>
          <w:szCs w:val="22"/>
        </w:rPr>
        <w:t xml:space="preserve">“ACTOS CONSENTIDOS. SON LOS QUE NO SE IMPUGNAN MEDIANTE EL RECURSO IDÓNEO. </w:t>
      </w:r>
      <w:r w:rsidRPr="00973A22">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E328D2" w:rsidRPr="00973A22" w:rsidRDefault="00E328D2">
      <w:pPr>
        <w:ind w:left="851" w:right="900"/>
        <w:jc w:val="both"/>
        <w:rPr>
          <w:rFonts w:ascii="Palatino Linotype" w:eastAsia="Palatino Linotype" w:hAnsi="Palatino Linotype" w:cs="Palatino Linotype"/>
          <w:i/>
          <w:sz w:val="22"/>
          <w:szCs w:val="22"/>
        </w:rPr>
      </w:pPr>
    </w:p>
    <w:p w:rsidR="00E328D2" w:rsidRPr="00973A22" w:rsidRDefault="00C43D44">
      <w:pPr>
        <w:spacing w:before="240" w:after="240" w:line="360" w:lineRule="auto"/>
        <w:ind w:right="49"/>
        <w:jc w:val="both"/>
        <w:rPr>
          <w:rFonts w:ascii="Palatino Linotype" w:eastAsia="Palatino Linotype" w:hAnsi="Palatino Linotype" w:cs="Palatino Linotype"/>
        </w:rPr>
      </w:pPr>
      <w:r w:rsidRPr="00973A22">
        <w:rPr>
          <w:rFonts w:ascii="Palatino Linotype" w:eastAsia="Palatino Linotype" w:hAnsi="Palatino Linotype" w:cs="Palatino Linotype"/>
        </w:rPr>
        <w:t>En tales circunstancias, es de suma importancia invocar el contenido de los artículos 162, 163, 164 y 165 de la Ley de Transparencia y Acceso a la Información Pública del Estado de México y Municipios, que rezan así:</w:t>
      </w:r>
    </w:p>
    <w:p w:rsidR="00E328D2" w:rsidRPr="00973A22" w:rsidRDefault="00C43D44">
      <w:pPr>
        <w:spacing w:after="120"/>
        <w:ind w:left="851" w:right="900"/>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b/>
          <w:i/>
          <w:sz w:val="22"/>
          <w:szCs w:val="22"/>
        </w:rPr>
        <w:t>“Artículo 162.</w:t>
      </w:r>
      <w:r w:rsidRPr="00973A22">
        <w:rPr>
          <w:rFonts w:ascii="Palatino Linotype" w:eastAsia="Palatino Linotype" w:hAnsi="Palatino Linotype" w:cs="Palatino Linotype"/>
          <w:i/>
          <w:sz w:val="22"/>
          <w:szCs w:val="22"/>
        </w:rPr>
        <w:t xml:space="preserve"> Las unidades de transparencia deberán </w:t>
      </w:r>
      <w:r w:rsidRPr="00973A22">
        <w:rPr>
          <w:rFonts w:ascii="Palatino Linotype" w:eastAsia="Palatino Linotype" w:hAnsi="Palatino Linotype" w:cs="Palatino Linotype"/>
          <w:b/>
          <w:i/>
          <w:sz w:val="22"/>
          <w:szCs w:val="22"/>
        </w:rPr>
        <w:t>garantizar que las solicitudes se turnen a todas las Áreas competentes</w:t>
      </w:r>
      <w:r w:rsidRPr="00973A22">
        <w:rPr>
          <w:rFonts w:ascii="Palatino Linotype" w:eastAsia="Palatino Linotype" w:hAnsi="Palatino Linotype" w:cs="Palatino Linotype"/>
          <w:i/>
          <w:sz w:val="22"/>
          <w:szCs w:val="22"/>
        </w:rPr>
        <w:t xml:space="preserve"> que cuenten con la información o deban tenerla de acuerdo a sus facultades, competencias y funciones, con el objeto de que realicen una búsqueda exhaustiva y razonable de la información solicitada.  </w:t>
      </w:r>
    </w:p>
    <w:p w:rsidR="00E328D2" w:rsidRPr="00973A22" w:rsidRDefault="00C43D44">
      <w:pPr>
        <w:spacing w:after="120"/>
        <w:ind w:left="851" w:right="900"/>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b/>
          <w:i/>
          <w:sz w:val="22"/>
          <w:szCs w:val="22"/>
        </w:rPr>
        <w:t>Artículo 163.</w:t>
      </w:r>
      <w:r w:rsidRPr="00973A22">
        <w:rPr>
          <w:rFonts w:ascii="Palatino Linotype" w:eastAsia="Palatino Linotype" w:hAnsi="Palatino Linotype" w:cs="Palatino Linotype"/>
          <w:i/>
          <w:sz w:val="22"/>
          <w:szCs w:val="22"/>
        </w:rPr>
        <w:t xml:space="preserve"> La </w:t>
      </w:r>
      <w:r w:rsidRPr="00973A22">
        <w:rPr>
          <w:rFonts w:ascii="Palatino Linotype" w:eastAsia="Palatino Linotype" w:hAnsi="Palatino Linotype" w:cs="Palatino Linotype"/>
          <w:b/>
          <w:i/>
          <w:sz w:val="22"/>
          <w:szCs w:val="22"/>
        </w:rPr>
        <w:t>Unidad de Transparencia deberá notificar la respuesta a la solicitud al interesado en el menor tiempo posible</w:t>
      </w:r>
      <w:r w:rsidRPr="00973A22">
        <w:rPr>
          <w:rFonts w:ascii="Palatino Linotype" w:eastAsia="Palatino Linotype" w:hAnsi="Palatino Linotype" w:cs="Palatino Linotype"/>
          <w:i/>
          <w:sz w:val="22"/>
          <w:szCs w:val="22"/>
        </w:rPr>
        <w:t xml:space="preserve">, que no podrá exceder de quince días hábiles, contados a partir del día siguiente a la presentación de aquélla.  </w:t>
      </w:r>
    </w:p>
    <w:p w:rsidR="00E328D2" w:rsidRPr="00973A22" w:rsidRDefault="00C43D44">
      <w:pPr>
        <w:spacing w:after="120"/>
        <w:ind w:left="851" w:right="900"/>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w:t>
      </w:r>
      <w:r w:rsidRPr="00973A22">
        <w:rPr>
          <w:rFonts w:ascii="Palatino Linotype" w:eastAsia="Palatino Linotype" w:hAnsi="Palatino Linotype" w:cs="Palatino Linotype"/>
          <w:i/>
          <w:sz w:val="22"/>
          <w:szCs w:val="22"/>
        </w:rPr>
        <w:lastRenderedPageBreak/>
        <w:t xml:space="preserve">motivos que supongan negligencia o descuido del sujeto obligado en el desahogo de la solicitud.  </w:t>
      </w:r>
    </w:p>
    <w:p w:rsidR="00E328D2" w:rsidRPr="00973A22" w:rsidRDefault="00C43D44">
      <w:pPr>
        <w:spacing w:after="120"/>
        <w:ind w:left="851" w:right="900"/>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b/>
          <w:i/>
          <w:sz w:val="22"/>
          <w:szCs w:val="22"/>
        </w:rPr>
        <w:t>Artículo 164.</w:t>
      </w:r>
      <w:r w:rsidRPr="00973A22">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rsidR="00E328D2" w:rsidRPr="00973A22" w:rsidRDefault="00C43D44">
      <w:pPr>
        <w:spacing w:after="120"/>
        <w:ind w:left="851" w:right="900"/>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 xml:space="preserve">En cualquier caso, se deberá fundar y motivar la necesidad de ofrecer otras modalidades.  </w:t>
      </w:r>
    </w:p>
    <w:p w:rsidR="00E328D2" w:rsidRPr="00973A22" w:rsidRDefault="00C43D44">
      <w:pPr>
        <w:spacing w:after="120"/>
        <w:ind w:left="851" w:right="900"/>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b/>
          <w:i/>
          <w:sz w:val="22"/>
          <w:szCs w:val="22"/>
        </w:rPr>
        <w:t>Artículo 165.</w:t>
      </w:r>
      <w:r w:rsidRPr="00973A22">
        <w:rPr>
          <w:rFonts w:ascii="Palatino Linotype" w:eastAsia="Palatino Linotype" w:hAnsi="Palatino Linotype" w:cs="Palatino Linotype"/>
          <w:i/>
          <w:sz w:val="22"/>
          <w:szCs w:val="22"/>
        </w:rPr>
        <w:t xml:space="preserve"> Los sujetos obligados establecerán la forma y términos en que darán trámite interno a las solicitudes en materia de acceso a la información…”</w:t>
      </w:r>
    </w:p>
    <w:p w:rsidR="00E328D2" w:rsidRPr="00973A22" w:rsidRDefault="00C43D44">
      <w:pPr>
        <w:spacing w:before="240" w:after="240" w:line="360" w:lineRule="auto"/>
        <w:ind w:right="49"/>
        <w:jc w:val="both"/>
        <w:rPr>
          <w:rFonts w:ascii="Palatino Linotype" w:eastAsia="Palatino Linotype" w:hAnsi="Palatino Linotype" w:cs="Palatino Linotype"/>
        </w:rPr>
      </w:pPr>
      <w:r w:rsidRPr="00973A22">
        <w:rPr>
          <w:rFonts w:ascii="Palatino Linotype" w:eastAsia="Palatino Linotype" w:hAnsi="Palatino Linotype" w:cs="Palatino Linotype"/>
        </w:rPr>
        <w:t>Del cuerpo normativo transcrito, se advierte que las unidades de transparencia deberán garantizar que las solicitudes se turnen a todas las áreas que cuenten con la información o que deban tenerla de acuerdo a sus facultades, competencias o funciones.</w:t>
      </w:r>
    </w:p>
    <w:p w:rsidR="00E328D2" w:rsidRPr="00973A22" w:rsidRDefault="00C43D44">
      <w:pPr>
        <w:spacing w:before="240" w:after="240" w:line="360" w:lineRule="auto"/>
        <w:ind w:right="49"/>
        <w:jc w:val="both"/>
        <w:rPr>
          <w:rFonts w:ascii="Palatino Linotype" w:eastAsia="Palatino Linotype" w:hAnsi="Palatino Linotype" w:cs="Palatino Linotype"/>
        </w:rPr>
      </w:pPr>
      <w:r w:rsidRPr="00973A22">
        <w:rPr>
          <w:rFonts w:ascii="Palatino Linotype" w:eastAsia="Palatino Linotype" w:hAnsi="Palatino Linotype" w:cs="Palatino Linotype"/>
        </w:rPr>
        <w:t>Es así que, la Unidad de Transparencia es la responsable de hacer las notificaciones correspondientes, además de llevar a cabo todas las gestiones necesarias para facilitar el acceso a la información.</w:t>
      </w:r>
    </w:p>
    <w:p w:rsidR="00E328D2" w:rsidRPr="00973A22" w:rsidRDefault="00C43D44">
      <w:pPr>
        <w:spacing w:before="240" w:after="240" w:line="360" w:lineRule="auto"/>
        <w:ind w:right="49"/>
        <w:jc w:val="both"/>
        <w:rPr>
          <w:rFonts w:ascii="Palatino Linotype" w:eastAsia="Palatino Linotype" w:hAnsi="Palatino Linotype" w:cs="Palatino Linotype"/>
        </w:rPr>
      </w:pPr>
      <w:r w:rsidRPr="00973A22">
        <w:rPr>
          <w:rFonts w:ascii="Palatino Linotype" w:eastAsia="Palatino Linotype" w:hAnsi="Palatino Linotype" w:cs="Palatino Linotype"/>
        </w:rPr>
        <w:t xml:space="preserve">En este tenor, cabe señalar que el Titular de la Unidad de Transparencia en cumplimiento a lo dispuesto por el artículo 162 de la Ley de Transparencia Local, previamente citado, turnó los requerimientos a los Servidores Públicos Habilitados, de la Dirección General de Informática y de la Ponencia del Comisionado Luis Gustavo Parra Noriega,  quienes cuentan con las facultades, competencias y funciones para generar, administrar o poseer la información pública solicitada. </w:t>
      </w:r>
    </w:p>
    <w:p w:rsidR="00E328D2" w:rsidRPr="00973A22" w:rsidRDefault="00C43D44">
      <w:pPr>
        <w:widowControl w:val="0"/>
        <w:spacing w:before="240" w:after="240" w:line="360" w:lineRule="auto"/>
        <w:jc w:val="both"/>
        <w:rPr>
          <w:rFonts w:ascii="Palatino Linotype" w:eastAsia="Palatino Linotype" w:hAnsi="Palatino Linotype" w:cs="Palatino Linotype"/>
          <w:b/>
          <w:i/>
        </w:rPr>
      </w:pPr>
      <w:r w:rsidRPr="00973A22">
        <w:rPr>
          <w:rFonts w:ascii="Palatino Linotype" w:eastAsia="Palatino Linotype" w:hAnsi="Palatino Linotype" w:cs="Palatino Linotype"/>
        </w:rPr>
        <w:lastRenderedPageBreak/>
        <w:t xml:space="preserve">Es así que, por cuanto hace a los correos electrónicos de la ex Comisionada Zulema Sánchez y de su Coordinador de Proyectos; es de señalar, que si bien es cierto en respuesta a la solicitud no hubo pronunciamiento al respecto; también lo es, que una vez interpuesto el recurso de revisión, el </w:t>
      </w:r>
      <w:r w:rsidRPr="00973A22">
        <w:rPr>
          <w:rFonts w:ascii="Palatino Linotype" w:eastAsia="Palatino Linotype" w:hAnsi="Palatino Linotype" w:cs="Palatino Linotype"/>
          <w:b/>
        </w:rPr>
        <w:t xml:space="preserve">Sujeto Obligado, </w:t>
      </w:r>
      <w:r w:rsidRPr="00973A22">
        <w:rPr>
          <w:rFonts w:ascii="Palatino Linotype" w:eastAsia="Palatino Linotype" w:hAnsi="Palatino Linotype" w:cs="Palatino Linotype"/>
        </w:rPr>
        <w:t xml:space="preserve">haciendo uso de su derecho, remitió en informe justificado la Resolución RES/06/INFOEM/EXT/COMT/24°/2022 emitida por el Comité de Transparencia en fecha cinco de agosto de dos mil veintidós, en el que se confirmó la declaratoria de inexistencia de los correos electrónicos de la ex Comisionada Zulema Martínez Sánchez y su entonces Coordinador de Proyectos Omar </w:t>
      </w:r>
      <w:proofErr w:type="spellStart"/>
      <w:r w:rsidRPr="00973A22">
        <w:rPr>
          <w:rFonts w:ascii="Palatino Linotype" w:eastAsia="Palatino Linotype" w:hAnsi="Palatino Linotype" w:cs="Palatino Linotype"/>
        </w:rPr>
        <w:t>Salatiel</w:t>
      </w:r>
      <w:proofErr w:type="spellEnd"/>
      <w:r w:rsidRPr="00973A22">
        <w:rPr>
          <w:rFonts w:ascii="Palatino Linotype" w:eastAsia="Palatino Linotype" w:hAnsi="Palatino Linotype" w:cs="Palatino Linotype"/>
        </w:rPr>
        <w:t xml:space="preserve"> Acosta Martínez, del uno al quince de enero de dos mil diecinueve. </w:t>
      </w:r>
    </w:p>
    <w:p w:rsidR="00E328D2" w:rsidRPr="00973A22" w:rsidRDefault="00C43D44">
      <w:pPr>
        <w:spacing w:before="240" w:after="240" w:line="360" w:lineRule="auto"/>
        <w:ind w:right="49"/>
        <w:jc w:val="both"/>
        <w:rPr>
          <w:rFonts w:ascii="Palatino Linotype" w:eastAsia="Palatino Linotype" w:hAnsi="Palatino Linotype" w:cs="Palatino Linotype"/>
        </w:rPr>
      </w:pPr>
      <w:r w:rsidRPr="00973A22">
        <w:rPr>
          <w:rFonts w:ascii="Palatino Linotype" w:eastAsia="Palatino Linotype" w:hAnsi="Palatino Linotype" w:cs="Palatino Linotype"/>
        </w:rPr>
        <w:t xml:space="preserve">En esta tesitura, para mejor proveer del presente estudio, resultó necesario, analizar el contenido vertido por el </w:t>
      </w:r>
      <w:r w:rsidRPr="00973A22">
        <w:rPr>
          <w:rFonts w:ascii="Palatino Linotype" w:eastAsia="Palatino Linotype" w:hAnsi="Palatino Linotype" w:cs="Palatino Linotype"/>
          <w:b/>
        </w:rPr>
        <w:t xml:space="preserve">Sujeto Obligado </w:t>
      </w:r>
      <w:r w:rsidRPr="00973A22">
        <w:rPr>
          <w:rFonts w:ascii="Palatino Linotype" w:eastAsia="Palatino Linotype" w:hAnsi="Palatino Linotype" w:cs="Palatino Linotype"/>
        </w:rPr>
        <w:t xml:space="preserve">en la resolución previamente referida, mediante el cual declaró la inexistencia de la información solicitada, a fin de establecer si el Comité de Transparencia cumplió cabalmente con las formalidades exigidas por la Ley de Transparencia y Acceso a la Información Pública del Estado de México y Municipios: </w:t>
      </w:r>
    </w:p>
    <w:tbl>
      <w:tblPr>
        <w:tblStyle w:val="a2"/>
        <w:tblW w:w="850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4"/>
        <w:gridCol w:w="1297"/>
        <w:gridCol w:w="5464"/>
      </w:tblGrid>
      <w:tr w:rsidR="00973A22" w:rsidRPr="00973A22">
        <w:tc>
          <w:tcPr>
            <w:tcW w:w="1744" w:type="dxa"/>
            <w:tcBorders>
              <w:top w:val="nil"/>
              <w:left w:val="nil"/>
            </w:tcBorders>
          </w:tcPr>
          <w:p w:rsidR="00E328D2" w:rsidRPr="00973A22" w:rsidRDefault="00E328D2">
            <w:pPr>
              <w:pBdr>
                <w:top w:val="nil"/>
                <w:left w:val="nil"/>
                <w:bottom w:val="nil"/>
                <w:right w:val="nil"/>
                <w:between w:val="nil"/>
              </w:pBdr>
              <w:spacing w:after="120"/>
              <w:ind w:left="47"/>
              <w:jc w:val="both"/>
              <w:rPr>
                <w:rFonts w:ascii="Palatino Linotype" w:eastAsia="Palatino Linotype" w:hAnsi="Palatino Linotype" w:cs="Palatino Linotype"/>
                <w:b/>
                <w:sz w:val="20"/>
                <w:szCs w:val="20"/>
              </w:rPr>
            </w:pPr>
          </w:p>
        </w:tc>
        <w:tc>
          <w:tcPr>
            <w:tcW w:w="1297" w:type="dxa"/>
            <w:tcBorders>
              <w:bottom w:val="single" w:sz="4" w:space="0" w:color="000000"/>
            </w:tcBorders>
            <w:shd w:val="clear" w:color="auto" w:fill="DBE5F1"/>
            <w:vAlign w:val="bottom"/>
          </w:tcPr>
          <w:p w:rsidR="00E328D2" w:rsidRPr="00973A22" w:rsidRDefault="00C43D44">
            <w:pPr>
              <w:pBdr>
                <w:top w:val="nil"/>
                <w:left w:val="nil"/>
                <w:bottom w:val="nil"/>
                <w:right w:val="nil"/>
                <w:between w:val="nil"/>
              </w:pBdr>
              <w:spacing w:after="120"/>
              <w:ind w:left="47"/>
              <w:jc w:val="center"/>
              <w:rPr>
                <w:rFonts w:ascii="Palatino Linotype" w:eastAsia="Palatino Linotype" w:hAnsi="Palatino Linotype" w:cs="Palatino Linotype"/>
                <w:b/>
                <w:sz w:val="20"/>
                <w:szCs w:val="20"/>
              </w:rPr>
            </w:pPr>
            <w:r w:rsidRPr="00973A22">
              <w:rPr>
                <w:rFonts w:ascii="Palatino Linotype" w:eastAsia="Palatino Linotype" w:hAnsi="Palatino Linotype" w:cs="Palatino Linotype"/>
                <w:b/>
                <w:sz w:val="22"/>
                <w:szCs w:val="22"/>
              </w:rPr>
              <w:t>Cumplió:</w:t>
            </w:r>
          </w:p>
        </w:tc>
        <w:tc>
          <w:tcPr>
            <w:tcW w:w="5464" w:type="dxa"/>
            <w:tcBorders>
              <w:bottom w:val="single" w:sz="4" w:space="0" w:color="000000"/>
            </w:tcBorders>
            <w:shd w:val="clear" w:color="auto" w:fill="DBE5F1"/>
            <w:vAlign w:val="bottom"/>
          </w:tcPr>
          <w:p w:rsidR="00E328D2" w:rsidRPr="00973A22" w:rsidRDefault="00C43D44">
            <w:pPr>
              <w:pBdr>
                <w:top w:val="nil"/>
                <w:left w:val="nil"/>
                <w:bottom w:val="nil"/>
                <w:right w:val="nil"/>
                <w:between w:val="nil"/>
              </w:pBdr>
              <w:spacing w:after="120"/>
              <w:ind w:left="47"/>
              <w:jc w:val="center"/>
              <w:rPr>
                <w:rFonts w:ascii="Palatino Linotype" w:eastAsia="Palatino Linotype" w:hAnsi="Palatino Linotype" w:cs="Palatino Linotype"/>
                <w:b/>
                <w:sz w:val="22"/>
                <w:szCs w:val="22"/>
              </w:rPr>
            </w:pPr>
            <w:r w:rsidRPr="00973A22">
              <w:rPr>
                <w:rFonts w:ascii="Palatino Linotype" w:eastAsia="Palatino Linotype" w:hAnsi="Palatino Linotype" w:cs="Palatino Linotype"/>
                <w:b/>
                <w:sz w:val="22"/>
                <w:szCs w:val="22"/>
              </w:rPr>
              <w:t>Contenido</w:t>
            </w:r>
          </w:p>
        </w:tc>
      </w:tr>
      <w:tr w:rsidR="00973A22" w:rsidRPr="00973A22">
        <w:tc>
          <w:tcPr>
            <w:tcW w:w="1744" w:type="dxa"/>
            <w:vAlign w:val="center"/>
          </w:tcPr>
          <w:p w:rsidR="00E328D2" w:rsidRPr="00973A22" w:rsidRDefault="00C43D44">
            <w:pPr>
              <w:spacing w:after="120"/>
              <w:jc w:val="both"/>
              <w:rPr>
                <w:rFonts w:ascii="Palatino Linotype" w:eastAsia="Palatino Linotype" w:hAnsi="Palatino Linotype" w:cs="Palatino Linotype"/>
                <w:b/>
                <w:sz w:val="16"/>
                <w:szCs w:val="16"/>
              </w:rPr>
            </w:pPr>
            <w:r w:rsidRPr="00973A22">
              <w:rPr>
                <w:rFonts w:ascii="Palatino Linotype" w:eastAsia="Palatino Linotype" w:hAnsi="Palatino Linotype" w:cs="Palatino Linotype"/>
                <w:b/>
                <w:sz w:val="16"/>
                <w:szCs w:val="16"/>
              </w:rPr>
              <w:t>Número de folio de la solicitud.</w:t>
            </w:r>
          </w:p>
        </w:tc>
        <w:tc>
          <w:tcPr>
            <w:tcW w:w="1297" w:type="dxa"/>
            <w:tcBorders>
              <w:top w:val="single" w:sz="4" w:space="0" w:color="000000"/>
            </w:tcBorders>
            <w:vAlign w:val="center"/>
          </w:tcPr>
          <w:p w:rsidR="00E328D2" w:rsidRPr="00973A22" w:rsidRDefault="00C43D44">
            <w:pPr>
              <w:spacing w:after="120"/>
              <w:ind w:left="47"/>
              <w:jc w:val="center"/>
              <w:rPr>
                <w:rFonts w:ascii="Palatino Linotype" w:eastAsia="Palatino Linotype" w:hAnsi="Palatino Linotype" w:cs="Palatino Linotype"/>
                <w:b/>
              </w:rPr>
            </w:pPr>
            <w:r w:rsidRPr="00973A22">
              <w:rPr>
                <w:rFonts w:ascii="Palatino Linotype" w:eastAsia="Palatino Linotype" w:hAnsi="Palatino Linotype" w:cs="Palatino Linotype"/>
                <w:b/>
                <w:sz w:val="22"/>
                <w:szCs w:val="22"/>
              </w:rPr>
              <w:t>Sí</w:t>
            </w:r>
          </w:p>
        </w:tc>
        <w:tc>
          <w:tcPr>
            <w:tcW w:w="5464" w:type="dxa"/>
            <w:tcBorders>
              <w:top w:val="single" w:sz="4" w:space="0" w:color="000000"/>
            </w:tcBorders>
            <w:vAlign w:val="center"/>
          </w:tcPr>
          <w:p w:rsidR="00E328D2" w:rsidRPr="00973A22" w:rsidRDefault="00E328D2">
            <w:pPr>
              <w:spacing w:after="120"/>
              <w:jc w:val="both"/>
              <w:rPr>
                <w:rFonts w:ascii="Palatino Linotype" w:eastAsia="Palatino Linotype" w:hAnsi="Palatino Linotype" w:cs="Palatino Linotype"/>
              </w:rPr>
            </w:pPr>
          </w:p>
          <w:p w:rsidR="00E328D2" w:rsidRPr="00973A22" w:rsidRDefault="00C43D44">
            <w:pPr>
              <w:spacing w:after="120"/>
              <w:jc w:val="both"/>
              <w:rPr>
                <w:rFonts w:ascii="Palatino Linotype" w:eastAsia="Palatino Linotype" w:hAnsi="Palatino Linotype" w:cs="Palatino Linotype"/>
              </w:rPr>
            </w:pPr>
            <w:r w:rsidRPr="00973A22">
              <w:rPr>
                <w:noProof/>
              </w:rPr>
              <w:lastRenderedPageBreak/>
              <w:drawing>
                <wp:inline distT="0" distB="0" distL="0" distR="0">
                  <wp:extent cx="3332480" cy="2416810"/>
                  <wp:effectExtent l="0" t="0" r="0" b="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332480" cy="2416810"/>
                          </a:xfrm>
                          <a:prstGeom prst="rect">
                            <a:avLst/>
                          </a:prstGeom>
                          <a:ln/>
                        </pic:spPr>
                      </pic:pic>
                    </a:graphicData>
                  </a:graphic>
                </wp:inline>
              </w:drawing>
            </w:r>
          </w:p>
          <w:p w:rsidR="00E328D2" w:rsidRPr="00973A22" w:rsidRDefault="00E328D2">
            <w:pPr>
              <w:spacing w:after="120"/>
              <w:ind w:left="-115"/>
              <w:jc w:val="both"/>
              <w:rPr>
                <w:rFonts w:ascii="Palatino Linotype" w:eastAsia="Palatino Linotype" w:hAnsi="Palatino Linotype" w:cs="Palatino Linotype"/>
              </w:rPr>
            </w:pPr>
          </w:p>
        </w:tc>
      </w:tr>
      <w:tr w:rsidR="00973A22" w:rsidRPr="00973A22">
        <w:tc>
          <w:tcPr>
            <w:tcW w:w="1744" w:type="dxa"/>
            <w:vAlign w:val="center"/>
          </w:tcPr>
          <w:p w:rsidR="00E328D2" w:rsidRPr="00973A22" w:rsidRDefault="00C43D44">
            <w:pPr>
              <w:spacing w:after="120"/>
              <w:jc w:val="both"/>
              <w:rPr>
                <w:rFonts w:ascii="Palatino Linotype" w:eastAsia="Palatino Linotype" w:hAnsi="Palatino Linotype" w:cs="Palatino Linotype"/>
                <w:b/>
                <w:sz w:val="16"/>
                <w:szCs w:val="16"/>
              </w:rPr>
            </w:pPr>
            <w:r w:rsidRPr="00973A22">
              <w:rPr>
                <w:rFonts w:ascii="Palatino Linotype" w:eastAsia="Palatino Linotype" w:hAnsi="Palatino Linotype" w:cs="Palatino Linotype"/>
                <w:b/>
                <w:sz w:val="16"/>
                <w:szCs w:val="16"/>
              </w:rPr>
              <w:lastRenderedPageBreak/>
              <w:t>Referencia de la información solicitada.</w:t>
            </w:r>
          </w:p>
        </w:tc>
        <w:tc>
          <w:tcPr>
            <w:tcW w:w="1297" w:type="dxa"/>
            <w:vAlign w:val="center"/>
          </w:tcPr>
          <w:p w:rsidR="00E328D2" w:rsidRPr="00973A22" w:rsidRDefault="00C43D44">
            <w:pPr>
              <w:spacing w:after="120"/>
              <w:ind w:left="47"/>
              <w:jc w:val="center"/>
              <w:rPr>
                <w:rFonts w:ascii="Palatino Linotype" w:eastAsia="Palatino Linotype" w:hAnsi="Palatino Linotype" w:cs="Palatino Linotype"/>
                <w:b/>
              </w:rPr>
            </w:pPr>
            <w:r w:rsidRPr="00973A22">
              <w:rPr>
                <w:rFonts w:ascii="Palatino Linotype" w:eastAsia="Palatino Linotype" w:hAnsi="Palatino Linotype" w:cs="Palatino Linotype"/>
                <w:b/>
                <w:sz w:val="22"/>
                <w:szCs w:val="22"/>
              </w:rPr>
              <w:t>Sí</w:t>
            </w:r>
          </w:p>
        </w:tc>
        <w:tc>
          <w:tcPr>
            <w:tcW w:w="5464" w:type="dxa"/>
            <w:vAlign w:val="center"/>
          </w:tcPr>
          <w:p w:rsidR="00E328D2" w:rsidRPr="00973A22" w:rsidRDefault="00C43D44">
            <w:pPr>
              <w:spacing w:after="120"/>
              <w:ind w:left="-31"/>
            </w:pPr>
            <w:r w:rsidRPr="00973A22">
              <w:rPr>
                <w:noProof/>
              </w:rPr>
              <w:drawing>
                <wp:inline distT="0" distB="0" distL="0" distR="0">
                  <wp:extent cx="3332480" cy="1390650"/>
                  <wp:effectExtent l="0" t="0" r="0" b="0"/>
                  <wp:docPr id="4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3332480" cy="1390650"/>
                          </a:xfrm>
                          <a:prstGeom prst="rect">
                            <a:avLst/>
                          </a:prstGeom>
                          <a:ln/>
                        </pic:spPr>
                      </pic:pic>
                    </a:graphicData>
                  </a:graphic>
                </wp:inline>
              </w:drawing>
            </w:r>
          </w:p>
        </w:tc>
      </w:tr>
      <w:tr w:rsidR="00973A22" w:rsidRPr="00973A22">
        <w:tc>
          <w:tcPr>
            <w:tcW w:w="1744" w:type="dxa"/>
            <w:vAlign w:val="center"/>
          </w:tcPr>
          <w:p w:rsidR="00E328D2" w:rsidRPr="00973A22" w:rsidRDefault="00C43D44">
            <w:pPr>
              <w:tabs>
                <w:tab w:val="left" w:pos="317"/>
              </w:tabs>
              <w:spacing w:after="120"/>
              <w:jc w:val="both"/>
              <w:rPr>
                <w:rFonts w:ascii="Palatino Linotype" w:eastAsia="Palatino Linotype" w:hAnsi="Palatino Linotype" w:cs="Palatino Linotype"/>
                <w:b/>
                <w:sz w:val="16"/>
                <w:szCs w:val="16"/>
              </w:rPr>
            </w:pPr>
            <w:r w:rsidRPr="00973A22">
              <w:rPr>
                <w:rFonts w:ascii="Palatino Linotype" w:eastAsia="Palatino Linotype" w:hAnsi="Palatino Linotype" w:cs="Palatino Linotype"/>
                <w:b/>
                <w:sz w:val="16"/>
                <w:szCs w:val="16"/>
              </w:rPr>
              <w:t>Fundamento y Motivación Legal.</w:t>
            </w:r>
          </w:p>
        </w:tc>
        <w:tc>
          <w:tcPr>
            <w:tcW w:w="1297" w:type="dxa"/>
            <w:vAlign w:val="center"/>
          </w:tcPr>
          <w:p w:rsidR="00E328D2" w:rsidRPr="00973A22" w:rsidRDefault="00C43D44">
            <w:pPr>
              <w:spacing w:after="120"/>
              <w:ind w:left="47"/>
              <w:jc w:val="center"/>
              <w:rPr>
                <w:rFonts w:ascii="Palatino Linotype" w:eastAsia="Palatino Linotype" w:hAnsi="Palatino Linotype" w:cs="Palatino Linotype"/>
                <w:b/>
              </w:rPr>
            </w:pPr>
            <w:r w:rsidRPr="00973A22">
              <w:rPr>
                <w:rFonts w:ascii="Palatino Linotype" w:eastAsia="Palatino Linotype" w:hAnsi="Palatino Linotype" w:cs="Palatino Linotype"/>
                <w:b/>
                <w:sz w:val="22"/>
                <w:szCs w:val="22"/>
              </w:rPr>
              <w:t>Sí</w:t>
            </w:r>
          </w:p>
        </w:tc>
        <w:tc>
          <w:tcPr>
            <w:tcW w:w="5464" w:type="dxa"/>
          </w:tcPr>
          <w:p w:rsidR="00E328D2" w:rsidRPr="00973A22" w:rsidRDefault="00C43D44">
            <w:pPr>
              <w:spacing w:after="120"/>
              <w:ind w:left="-31"/>
              <w:jc w:val="center"/>
            </w:pPr>
            <w:r w:rsidRPr="00973A22">
              <w:rPr>
                <w:noProof/>
              </w:rPr>
              <w:drawing>
                <wp:inline distT="0" distB="0" distL="0" distR="0">
                  <wp:extent cx="3332480" cy="1934210"/>
                  <wp:effectExtent l="0" t="0" r="0" b="0"/>
                  <wp:docPr id="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332480" cy="1934210"/>
                          </a:xfrm>
                          <a:prstGeom prst="rect">
                            <a:avLst/>
                          </a:prstGeom>
                          <a:ln/>
                        </pic:spPr>
                      </pic:pic>
                    </a:graphicData>
                  </a:graphic>
                </wp:inline>
              </w:drawing>
            </w:r>
          </w:p>
          <w:p w:rsidR="00E328D2" w:rsidRPr="00973A22" w:rsidRDefault="00C43D44">
            <w:pPr>
              <w:spacing w:after="120"/>
              <w:ind w:left="-31"/>
              <w:jc w:val="center"/>
              <w:rPr>
                <w:rFonts w:ascii="Palatino Linotype" w:eastAsia="Palatino Linotype" w:hAnsi="Palatino Linotype" w:cs="Palatino Linotype"/>
                <w:b/>
              </w:rPr>
            </w:pPr>
            <w:r w:rsidRPr="00973A22">
              <w:rPr>
                <w:rFonts w:ascii="Palatino Linotype" w:eastAsia="Palatino Linotype" w:hAnsi="Palatino Linotype" w:cs="Palatino Linotype"/>
                <w:b/>
                <w:noProof/>
              </w:rPr>
              <w:lastRenderedPageBreak/>
              <w:drawing>
                <wp:inline distT="0" distB="0" distL="0" distR="0">
                  <wp:extent cx="3332480" cy="2078355"/>
                  <wp:effectExtent l="0" t="0" r="0" b="0"/>
                  <wp:docPr id="4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332480" cy="2078355"/>
                          </a:xfrm>
                          <a:prstGeom prst="rect">
                            <a:avLst/>
                          </a:prstGeom>
                          <a:ln/>
                        </pic:spPr>
                      </pic:pic>
                    </a:graphicData>
                  </a:graphic>
                </wp:inline>
              </w:drawing>
            </w:r>
          </w:p>
        </w:tc>
      </w:tr>
      <w:tr w:rsidR="00973A22" w:rsidRPr="00973A22">
        <w:tc>
          <w:tcPr>
            <w:tcW w:w="1744" w:type="dxa"/>
            <w:vAlign w:val="center"/>
          </w:tcPr>
          <w:p w:rsidR="00E328D2" w:rsidRPr="00973A22" w:rsidRDefault="00C43D44">
            <w:pPr>
              <w:spacing w:after="120"/>
              <w:jc w:val="both"/>
              <w:rPr>
                <w:rFonts w:ascii="Palatino Linotype" w:eastAsia="Palatino Linotype" w:hAnsi="Palatino Linotype" w:cs="Palatino Linotype"/>
                <w:b/>
                <w:sz w:val="16"/>
                <w:szCs w:val="16"/>
              </w:rPr>
            </w:pPr>
            <w:r w:rsidRPr="00973A22">
              <w:rPr>
                <w:rFonts w:ascii="Palatino Linotype" w:eastAsia="Palatino Linotype" w:hAnsi="Palatino Linotype" w:cs="Palatino Linotype"/>
                <w:b/>
                <w:sz w:val="16"/>
                <w:szCs w:val="16"/>
              </w:rPr>
              <w:lastRenderedPageBreak/>
              <w:t>Conexión entre los fundamentos y motivos que dieron origen a la inexistencia de la información.</w:t>
            </w:r>
          </w:p>
        </w:tc>
        <w:tc>
          <w:tcPr>
            <w:tcW w:w="1297" w:type="dxa"/>
            <w:vAlign w:val="center"/>
          </w:tcPr>
          <w:p w:rsidR="00E328D2" w:rsidRPr="00973A22" w:rsidRDefault="00C43D44">
            <w:pPr>
              <w:spacing w:after="120"/>
              <w:ind w:left="47"/>
              <w:jc w:val="center"/>
              <w:rPr>
                <w:rFonts w:ascii="Palatino Linotype" w:eastAsia="Palatino Linotype" w:hAnsi="Palatino Linotype" w:cs="Palatino Linotype"/>
                <w:b/>
                <w:sz w:val="22"/>
                <w:szCs w:val="22"/>
              </w:rPr>
            </w:pPr>
            <w:r w:rsidRPr="00973A22">
              <w:rPr>
                <w:rFonts w:ascii="Palatino Linotype" w:eastAsia="Palatino Linotype" w:hAnsi="Palatino Linotype" w:cs="Palatino Linotype"/>
                <w:b/>
                <w:sz w:val="22"/>
                <w:szCs w:val="22"/>
              </w:rPr>
              <w:t>Sí</w:t>
            </w:r>
          </w:p>
        </w:tc>
        <w:tc>
          <w:tcPr>
            <w:tcW w:w="5464" w:type="dxa"/>
            <w:vAlign w:val="center"/>
          </w:tcPr>
          <w:p w:rsidR="00E328D2" w:rsidRPr="00973A22" w:rsidRDefault="00C43D44">
            <w:pPr>
              <w:pBdr>
                <w:top w:val="nil"/>
                <w:left w:val="nil"/>
                <w:bottom w:val="nil"/>
                <w:right w:val="nil"/>
                <w:between w:val="nil"/>
              </w:pBdr>
              <w:spacing w:after="120"/>
              <w:ind w:left="29" w:firstLine="18"/>
              <w:jc w:val="center"/>
              <w:rPr>
                <w:rFonts w:ascii="Palatino Linotype" w:eastAsia="Palatino Linotype" w:hAnsi="Palatino Linotype" w:cs="Palatino Linotype"/>
                <w:sz w:val="22"/>
                <w:szCs w:val="22"/>
              </w:rPr>
            </w:pPr>
            <w:r w:rsidRPr="00973A22">
              <w:rPr>
                <w:rFonts w:ascii="Palatino Linotype" w:eastAsia="Palatino Linotype" w:hAnsi="Palatino Linotype" w:cs="Palatino Linotype"/>
                <w:b/>
                <w:noProof/>
              </w:rPr>
              <w:drawing>
                <wp:inline distT="0" distB="0" distL="0" distR="0">
                  <wp:extent cx="3332480" cy="1430655"/>
                  <wp:effectExtent l="0" t="0" r="0" b="0"/>
                  <wp:docPr id="4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3332480" cy="1430655"/>
                          </a:xfrm>
                          <a:prstGeom prst="rect">
                            <a:avLst/>
                          </a:prstGeom>
                          <a:ln/>
                        </pic:spPr>
                      </pic:pic>
                    </a:graphicData>
                  </a:graphic>
                </wp:inline>
              </w:drawing>
            </w:r>
          </w:p>
        </w:tc>
      </w:tr>
      <w:tr w:rsidR="00973A22" w:rsidRPr="00973A22">
        <w:tc>
          <w:tcPr>
            <w:tcW w:w="1744" w:type="dxa"/>
            <w:vAlign w:val="center"/>
          </w:tcPr>
          <w:p w:rsidR="00E328D2" w:rsidRPr="00973A22" w:rsidRDefault="00C43D44">
            <w:pPr>
              <w:tabs>
                <w:tab w:val="left" w:pos="317"/>
              </w:tabs>
              <w:spacing w:after="120"/>
              <w:jc w:val="both"/>
              <w:rPr>
                <w:rFonts w:ascii="Palatino Linotype" w:eastAsia="Palatino Linotype" w:hAnsi="Palatino Linotype" w:cs="Palatino Linotype"/>
                <w:b/>
                <w:sz w:val="16"/>
                <w:szCs w:val="16"/>
              </w:rPr>
            </w:pPr>
            <w:r w:rsidRPr="00973A22">
              <w:rPr>
                <w:rFonts w:ascii="Palatino Linotype" w:eastAsia="Palatino Linotype" w:hAnsi="Palatino Linotype" w:cs="Palatino Linotype"/>
                <w:b/>
                <w:sz w:val="16"/>
                <w:szCs w:val="16"/>
              </w:rPr>
              <w:t>Notificación al órgano interno de control o equivalente del sujeto obligado quien, en su caso, deberá iniciar el procedimiento de responsabilidad administrativa que corresponda.</w:t>
            </w:r>
          </w:p>
        </w:tc>
        <w:tc>
          <w:tcPr>
            <w:tcW w:w="1297" w:type="dxa"/>
            <w:vAlign w:val="center"/>
          </w:tcPr>
          <w:p w:rsidR="00E328D2" w:rsidRPr="00973A22" w:rsidRDefault="00C43D44">
            <w:pPr>
              <w:spacing w:after="120"/>
              <w:ind w:left="47"/>
              <w:jc w:val="center"/>
              <w:rPr>
                <w:rFonts w:ascii="Palatino Linotype" w:eastAsia="Palatino Linotype" w:hAnsi="Palatino Linotype" w:cs="Palatino Linotype"/>
                <w:b/>
                <w:sz w:val="22"/>
                <w:szCs w:val="22"/>
              </w:rPr>
            </w:pPr>
            <w:r w:rsidRPr="00973A22">
              <w:rPr>
                <w:rFonts w:ascii="Palatino Linotype" w:eastAsia="Palatino Linotype" w:hAnsi="Palatino Linotype" w:cs="Palatino Linotype"/>
                <w:b/>
                <w:sz w:val="22"/>
                <w:szCs w:val="22"/>
              </w:rPr>
              <w:t>Sí</w:t>
            </w:r>
          </w:p>
        </w:tc>
        <w:tc>
          <w:tcPr>
            <w:tcW w:w="5464" w:type="dxa"/>
            <w:vAlign w:val="center"/>
          </w:tcPr>
          <w:p w:rsidR="00E328D2" w:rsidRPr="00973A22" w:rsidRDefault="00C43D44">
            <w:pPr>
              <w:pBdr>
                <w:top w:val="nil"/>
                <w:left w:val="nil"/>
                <w:bottom w:val="nil"/>
                <w:right w:val="nil"/>
                <w:between w:val="nil"/>
              </w:pBdr>
              <w:spacing w:after="120"/>
              <w:ind w:left="29" w:firstLine="18"/>
              <w:jc w:val="both"/>
              <w:rPr>
                <w:rFonts w:ascii="Palatino Linotype" w:eastAsia="Palatino Linotype" w:hAnsi="Palatino Linotype" w:cs="Palatino Linotype"/>
                <w:sz w:val="22"/>
                <w:szCs w:val="22"/>
              </w:rPr>
            </w:pPr>
            <w:r w:rsidRPr="00973A22">
              <w:rPr>
                <w:rFonts w:ascii="Palatino Linotype" w:eastAsia="Palatino Linotype" w:hAnsi="Palatino Linotype" w:cs="Palatino Linotype"/>
                <w:noProof/>
                <w:sz w:val="22"/>
                <w:szCs w:val="22"/>
              </w:rPr>
              <w:drawing>
                <wp:inline distT="0" distB="0" distL="0" distR="0">
                  <wp:extent cx="3332480" cy="964565"/>
                  <wp:effectExtent l="0" t="0" r="0" b="0"/>
                  <wp:docPr id="4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3332480" cy="964565"/>
                          </a:xfrm>
                          <a:prstGeom prst="rect">
                            <a:avLst/>
                          </a:prstGeom>
                          <a:ln/>
                        </pic:spPr>
                      </pic:pic>
                    </a:graphicData>
                  </a:graphic>
                </wp:inline>
              </w:drawing>
            </w:r>
            <w:r w:rsidRPr="00973A22">
              <w:rPr>
                <w:rFonts w:ascii="Palatino Linotype" w:eastAsia="Palatino Linotype" w:hAnsi="Palatino Linotype" w:cs="Palatino Linotype"/>
                <w:sz w:val="22"/>
                <w:szCs w:val="22"/>
              </w:rPr>
              <w:t xml:space="preserve">. </w:t>
            </w:r>
          </w:p>
        </w:tc>
      </w:tr>
      <w:tr w:rsidR="00E328D2" w:rsidRPr="00973A22">
        <w:trPr>
          <w:trHeight w:val="3517"/>
        </w:trPr>
        <w:tc>
          <w:tcPr>
            <w:tcW w:w="1744" w:type="dxa"/>
            <w:vAlign w:val="center"/>
          </w:tcPr>
          <w:p w:rsidR="00E328D2" w:rsidRPr="00973A22" w:rsidRDefault="00C43D44">
            <w:pPr>
              <w:tabs>
                <w:tab w:val="left" w:pos="317"/>
              </w:tabs>
              <w:spacing w:after="120"/>
              <w:jc w:val="center"/>
              <w:rPr>
                <w:rFonts w:ascii="Palatino Linotype" w:eastAsia="Palatino Linotype" w:hAnsi="Palatino Linotype" w:cs="Palatino Linotype"/>
                <w:b/>
                <w:sz w:val="16"/>
                <w:szCs w:val="16"/>
              </w:rPr>
            </w:pPr>
            <w:r w:rsidRPr="00973A22">
              <w:rPr>
                <w:rFonts w:ascii="Palatino Linotype" w:eastAsia="Palatino Linotype" w:hAnsi="Palatino Linotype" w:cs="Palatino Linotype"/>
                <w:b/>
                <w:sz w:val="16"/>
                <w:szCs w:val="16"/>
              </w:rPr>
              <w:lastRenderedPageBreak/>
              <w:t>Autoridades competentes.</w:t>
            </w:r>
          </w:p>
        </w:tc>
        <w:tc>
          <w:tcPr>
            <w:tcW w:w="1297" w:type="dxa"/>
            <w:vAlign w:val="center"/>
          </w:tcPr>
          <w:p w:rsidR="00E328D2" w:rsidRPr="00973A22" w:rsidRDefault="00C43D44">
            <w:pPr>
              <w:spacing w:after="120"/>
              <w:ind w:left="47"/>
              <w:jc w:val="center"/>
              <w:rPr>
                <w:rFonts w:ascii="Palatino Linotype" w:eastAsia="Palatino Linotype" w:hAnsi="Palatino Linotype" w:cs="Palatino Linotype"/>
                <w:b/>
                <w:sz w:val="22"/>
                <w:szCs w:val="22"/>
              </w:rPr>
            </w:pPr>
            <w:r w:rsidRPr="00973A22">
              <w:rPr>
                <w:rFonts w:ascii="Palatino Linotype" w:eastAsia="Palatino Linotype" w:hAnsi="Palatino Linotype" w:cs="Palatino Linotype"/>
                <w:b/>
                <w:sz w:val="22"/>
                <w:szCs w:val="22"/>
              </w:rPr>
              <w:t>Sí</w:t>
            </w:r>
          </w:p>
        </w:tc>
        <w:tc>
          <w:tcPr>
            <w:tcW w:w="5464" w:type="dxa"/>
          </w:tcPr>
          <w:p w:rsidR="00E328D2" w:rsidRPr="00973A22" w:rsidRDefault="00C43D44">
            <w:pPr>
              <w:jc w:val="center"/>
            </w:pPr>
            <w:r w:rsidRPr="00973A22">
              <w:rPr>
                <w:noProof/>
              </w:rPr>
              <w:drawing>
                <wp:inline distT="0" distB="0" distL="0" distR="0">
                  <wp:extent cx="3332480" cy="3729355"/>
                  <wp:effectExtent l="0" t="0" r="0" b="0"/>
                  <wp:docPr id="4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3332480" cy="3729355"/>
                          </a:xfrm>
                          <a:prstGeom prst="rect">
                            <a:avLst/>
                          </a:prstGeom>
                          <a:ln/>
                        </pic:spPr>
                      </pic:pic>
                    </a:graphicData>
                  </a:graphic>
                </wp:inline>
              </w:drawing>
            </w:r>
          </w:p>
        </w:tc>
      </w:tr>
    </w:tbl>
    <w:p w:rsidR="00E328D2" w:rsidRPr="00973A22" w:rsidRDefault="00E328D2">
      <w:pPr>
        <w:spacing w:line="360" w:lineRule="auto"/>
        <w:ind w:right="141"/>
        <w:jc w:val="both"/>
        <w:rPr>
          <w:rFonts w:ascii="Palatino Linotype" w:eastAsia="Palatino Linotype" w:hAnsi="Palatino Linotype" w:cs="Palatino Linotype"/>
        </w:rPr>
      </w:pPr>
    </w:p>
    <w:p w:rsidR="00E328D2" w:rsidRPr="00973A22" w:rsidRDefault="00C43D44">
      <w:pPr>
        <w:spacing w:line="360" w:lineRule="auto"/>
        <w:ind w:right="141"/>
        <w:jc w:val="both"/>
        <w:rPr>
          <w:rFonts w:ascii="Palatino Linotype" w:eastAsia="Palatino Linotype" w:hAnsi="Palatino Linotype" w:cs="Palatino Linotype"/>
        </w:rPr>
      </w:pPr>
      <w:r w:rsidRPr="00973A22">
        <w:rPr>
          <w:rFonts w:ascii="Palatino Linotype" w:eastAsia="Palatino Linotype" w:hAnsi="Palatino Linotype" w:cs="Palatino Linotype"/>
        </w:rPr>
        <w:t>En efecto, del cuadro de análisis que antecede, se determina que el Comité de Transparencia cumplió con las disposiciones establecidas por la Ley de Transparencia y Acceso a la Información Pública del Estado de México y Municipios</w:t>
      </w:r>
      <w:r w:rsidRPr="00973A22">
        <w:rPr>
          <w:rFonts w:ascii="Palatino Linotype" w:eastAsia="Palatino Linotype" w:hAnsi="Palatino Linotype" w:cs="Palatino Linotype"/>
          <w:i/>
        </w:rPr>
        <w:t xml:space="preserve">, </w:t>
      </w:r>
      <w:r w:rsidRPr="00973A22">
        <w:rPr>
          <w:rFonts w:ascii="Palatino Linotype" w:eastAsia="Palatino Linotype" w:hAnsi="Palatino Linotype" w:cs="Palatino Linotype"/>
        </w:rPr>
        <w:t>la Ley General de Transparencia y Acceso a la Información Pública, así como por los criterios orientadores aprobados por el Pleno de este Instituto, en los casos en que se declare la inexistencia de información:</w:t>
      </w:r>
    </w:p>
    <w:p w:rsidR="00E328D2" w:rsidRPr="00973A22" w:rsidRDefault="00E328D2">
      <w:pPr>
        <w:spacing w:line="360" w:lineRule="auto"/>
        <w:ind w:right="141"/>
        <w:jc w:val="both"/>
        <w:rPr>
          <w:rFonts w:ascii="Palatino Linotype" w:eastAsia="Palatino Linotype" w:hAnsi="Palatino Linotype" w:cs="Palatino Linotype"/>
        </w:rPr>
      </w:pPr>
    </w:p>
    <w:p w:rsidR="00E328D2" w:rsidRPr="00973A22" w:rsidRDefault="00E328D2">
      <w:pPr>
        <w:spacing w:line="360" w:lineRule="auto"/>
        <w:ind w:right="141"/>
        <w:jc w:val="both"/>
        <w:rPr>
          <w:rFonts w:ascii="Palatino Linotype" w:eastAsia="Palatino Linotype" w:hAnsi="Palatino Linotype" w:cs="Palatino Linotype"/>
        </w:rPr>
      </w:pPr>
    </w:p>
    <w:p w:rsidR="00E328D2" w:rsidRPr="00973A22" w:rsidRDefault="00E328D2">
      <w:pPr>
        <w:ind w:left="567" w:right="567"/>
        <w:jc w:val="both"/>
        <w:rPr>
          <w:rFonts w:ascii="Palatino Linotype" w:eastAsia="Palatino Linotype" w:hAnsi="Palatino Linotype" w:cs="Palatino Linotype"/>
          <w:sz w:val="22"/>
          <w:szCs w:val="22"/>
        </w:rPr>
      </w:pPr>
    </w:p>
    <w:p w:rsidR="00E328D2" w:rsidRPr="00973A22" w:rsidRDefault="00C43D44">
      <w:pPr>
        <w:ind w:left="567" w:right="567"/>
        <w:jc w:val="center"/>
        <w:rPr>
          <w:rFonts w:ascii="Palatino Linotype" w:eastAsia="Palatino Linotype" w:hAnsi="Palatino Linotype" w:cs="Palatino Linotype"/>
          <w:b/>
          <w:i/>
          <w:sz w:val="22"/>
          <w:szCs w:val="22"/>
        </w:rPr>
      </w:pPr>
      <w:r w:rsidRPr="00973A22">
        <w:rPr>
          <w:rFonts w:ascii="Palatino Linotype" w:eastAsia="Palatino Linotype" w:hAnsi="Palatino Linotype" w:cs="Palatino Linotype"/>
          <w:b/>
          <w:i/>
          <w:sz w:val="22"/>
          <w:szCs w:val="22"/>
        </w:rPr>
        <w:lastRenderedPageBreak/>
        <w:t>CRITERIO 0003-11</w:t>
      </w:r>
    </w:p>
    <w:p w:rsidR="00E328D2" w:rsidRPr="00973A22" w:rsidRDefault="00E328D2">
      <w:pPr>
        <w:ind w:left="567" w:right="567"/>
        <w:jc w:val="both"/>
        <w:rPr>
          <w:rFonts w:ascii="Palatino Linotype" w:eastAsia="Palatino Linotype" w:hAnsi="Palatino Linotype" w:cs="Palatino Linotype"/>
          <w:b/>
          <w:i/>
          <w:sz w:val="22"/>
          <w:szCs w:val="22"/>
        </w:rPr>
      </w:pPr>
    </w:p>
    <w:p w:rsidR="00E328D2" w:rsidRPr="00973A22" w:rsidRDefault="00C43D44">
      <w:pPr>
        <w:ind w:left="567" w:right="567"/>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b/>
          <w:i/>
          <w:sz w:val="22"/>
          <w:szCs w:val="22"/>
        </w:rPr>
        <w:t>INEXISTENCIA, CONCEPTO DE, EN MATERIA DE TRANSPARENCIA</w:t>
      </w:r>
      <w:r w:rsidRPr="00973A22">
        <w:rPr>
          <w:rFonts w:ascii="Palatino Linotype" w:eastAsia="Palatino Linotype" w:hAnsi="Palatino Linotype" w:cs="Palatino Linotype"/>
          <w:i/>
          <w:sz w:val="22"/>
          <w:szCs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E328D2" w:rsidRPr="00973A22" w:rsidRDefault="00E328D2">
      <w:pPr>
        <w:ind w:left="567" w:right="567"/>
        <w:jc w:val="both"/>
        <w:rPr>
          <w:rFonts w:ascii="Palatino Linotype" w:eastAsia="Palatino Linotype" w:hAnsi="Palatino Linotype" w:cs="Palatino Linotype"/>
          <w:i/>
          <w:sz w:val="22"/>
          <w:szCs w:val="22"/>
        </w:rPr>
      </w:pPr>
    </w:p>
    <w:p w:rsidR="00E328D2" w:rsidRPr="00973A22" w:rsidRDefault="00C43D44">
      <w:pPr>
        <w:ind w:left="567" w:right="567"/>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E328D2" w:rsidRPr="00973A22" w:rsidRDefault="00C43D44">
      <w:pPr>
        <w:ind w:left="567" w:right="567"/>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 xml:space="preserve">b) En los casos en que por las atribuciones conferidas al Sujeto Obligado éste debió generar, administrar o poseer la información, pero en incumplimiento a la normatividad respectiva no llevó a cabo </w:t>
      </w:r>
      <w:proofErr w:type="gramStart"/>
      <w:r w:rsidRPr="00973A22">
        <w:rPr>
          <w:rFonts w:ascii="Palatino Linotype" w:eastAsia="Palatino Linotype" w:hAnsi="Palatino Linotype" w:cs="Palatino Linotype"/>
          <w:i/>
          <w:sz w:val="22"/>
          <w:szCs w:val="22"/>
        </w:rPr>
        <w:t>ninguna</w:t>
      </w:r>
      <w:proofErr w:type="gramEnd"/>
      <w:r w:rsidRPr="00973A22">
        <w:rPr>
          <w:rFonts w:ascii="Palatino Linotype" w:eastAsia="Palatino Linotype" w:hAnsi="Palatino Linotype" w:cs="Palatino Linotype"/>
          <w:i/>
          <w:sz w:val="22"/>
          <w:szCs w:val="22"/>
        </w:rPr>
        <w:t xml:space="preserve"> de esas acciones.</w:t>
      </w:r>
    </w:p>
    <w:p w:rsidR="00E328D2" w:rsidRPr="00973A22" w:rsidRDefault="00E328D2">
      <w:pPr>
        <w:ind w:left="567" w:right="567"/>
        <w:jc w:val="both"/>
        <w:rPr>
          <w:rFonts w:ascii="Palatino Linotype" w:eastAsia="Palatino Linotype" w:hAnsi="Palatino Linotype" w:cs="Palatino Linotype"/>
          <w:i/>
          <w:sz w:val="22"/>
          <w:szCs w:val="22"/>
        </w:rPr>
      </w:pPr>
    </w:p>
    <w:p w:rsidR="00E328D2" w:rsidRPr="00973A22" w:rsidRDefault="00C43D44">
      <w:pPr>
        <w:ind w:left="567" w:right="567"/>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E328D2" w:rsidRPr="00973A22" w:rsidRDefault="00E328D2">
      <w:pPr>
        <w:ind w:left="567" w:right="567"/>
        <w:jc w:val="both"/>
        <w:rPr>
          <w:rFonts w:ascii="Palatino Linotype" w:eastAsia="Palatino Linotype" w:hAnsi="Palatino Linotype" w:cs="Palatino Linotype"/>
          <w:i/>
          <w:sz w:val="22"/>
          <w:szCs w:val="22"/>
        </w:rPr>
      </w:pPr>
    </w:p>
    <w:p w:rsidR="00E328D2" w:rsidRPr="00973A22" w:rsidRDefault="00C43D44">
      <w:pPr>
        <w:ind w:left="567" w:right="567"/>
        <w:jc w:val="center"/>
        <w:rPr>
          <w:rFonts w:ascii="Palatino Linotype" w:eastAsia="Palatino Linotype" w:hAnsi="Palatino Linotype" w:cs="Palatino Linotype"/>
          <w:b/>
          <w:i/>
          <w:sz w:val="22"/>
          <w:szCs w:val="22"/>
        </w:rPr>
      </w:pPr>
      <w:r w:rsidRPr="00973A22">
        <w:rPr>
          <w:rFonts w:ascii="Palatino Linotype" w:eastAsia="Palatino Linotype" w:hAnsi="Palatino Linotype" w:cs="Palatino Linotype"/>
          <w:b/>
          <w:i/>
          <w:sz w:val="22"/>
          <w:szCs w:val="22"/>
        </w:rPr>
        <w:t>CRITERIO 0004-11</w:t>
      </w:r>
    </w:p>
    <w:p w:rsidR="00E328D2" w:rsidRPr="00973A22" w:rsidRDefault="00E328D2">
      <w:pPr>
        <w:ind w:left="567" w:right="567"/>
        <w:jc w:val="both"/>
        <w:rPr>
          <w:rFonts w:ascii="Palatino Linotype" w:eastAsia="Palatino Linotype" w:hAnsi="Palatino Linotype" w:cs="Palatino Linotype"/>
          <w:b/>
          <w:i/>
          <w:sz w:val="22"/>
          <w:szCs w:val="22"/>
        </w:rPr>
      </w:pPr>
    </w:p>
    <w:p w:rsidR="00E328D2" w:rsidRPr="00973A22" w:rsidRDefault="00C43D44">
      <w:pPr>
        <w:ind w:left="567" w:right="567"/>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b/>
          <w:i/>
          <w:sz w:val="22"/>
          <w:szCs w:val="22"/>
        </w:rPr>
        <w:t>INEXISTENCIA. DECLARATORIA DE LA. ALCANCES Y PROCEDIMIENTOS</w:t>
      </w:r>
      <w:r w:rsidRPr="00973A22">
        <w:rPr>
          <w:rFonts w:ascii="Palatino Linotype" w:eastAsia="Palatino Linotype" w:hAnsi="Palatino Linotype" w:cs="Palatino Linotype"/>
          <w:i/>
          <w:sz w:val="22"/>
          <w:szCs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w:t>
      </w:r>
      <w:r w:rsidRPr="00973A22">
        <w:rPr>
          <w:rFonts w:ascii="Palatino Linotype" w:eastAsia="Palatino Linotype" w:hAnsi="Palatino Linotype" w:cs="Palatino Linotype"/>
          <w:i/>
          <w:sz w:val="22"/>
          <w:szCs w:val="22"/>
        </w:rPr>
        <w:lastRenderedPageBreak/>
        <w:t>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E328D2" w:rsidRPr="00973A22" w:rsidRDefault="00E328D2">
      <w:pPr>
        <w:ind w:left="567" w:right="567"/>
        <w:jc w:val="both"/>
        <w:rPr>
          <w:rFonts w:ascii="Palatino Linotype" w:eastAsia="Palatino Linotype" w:hAnsi="Palatino Linotype" w:cs="Palatino Linotype"/>
          <w:i/>
          <w:sz w:val="22"/>
          <w:szCs w:val="22"/>
        </w:rPr>
      </w:pPr>
    </w:p>
    <w:p w:rsidR="00E328D2" w:rsidRPr="00973A22" w:rsidRDefault="00C43D44">
      <w:pPr>
        <w:ind w:left="567" w:right="567"/>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Bajo el entendido de que dicha búsqueda exhaustiva permitirá dos determinaciones:</w:t>
      </w:r>
    </w:p>
    <w:p w:rsidR="00E328D2" w:rsidRPr="00973A22" w:rsidRDefault="00E328D2">
      <w:pPr>
        <w:ind w:left="567" w:right="567"/>
        <w:jc w:val="both"/>
        <w:rPr>
          <w:rFonts w:ascii="Palatino Linotype" w:eastAsia="Palatino Linotype" w:hAnsi="Palatino Linotype" w:cs="Palatino Linotype"/>
          <w:i/>
          <w:sz w:val="22"/>
          <w:szCs w:val="22"/>
        </w:rPr>
      </w:pPr>
    </w:p>
    <w:p w:rsidR="00E328D2" w:rsidRPr="00973A22" w:rsidRDefault="00C43D44">
      <w:pPr>
        <w:ind w:left="567" w:right="567"/>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1ª) Que se localice la documentación que contenga la información solicitada y de ser así la información pueda entregarse al solicitante en la forma en que se encuentra disponible, o</w:t>
      </w:r>
    </w:p>
    <w:p w:rsidR="00E328D2" w:rsidRPr="00973A22" w:rsidRDefault="00C43D44">
      <w:pPr>
        <w:ind w:left="567" w:right="567"/>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E328D2" w:rsidRPr="00973A22" w:rsidRDefault="00E328D2">
      <w:pPr>
        <w:ind w:left="567" w:right="567"/>
        <w:jc w:val="both"/>
        <w:rPr>
          <w:rFonts w:ascii="Palatino Linotype" w:eastAsia="Palatino Linotype" w:hAnsi="Palatino Linotype" w:cs="Palatino Linotype"/>
          <w:i/>
          <w:sz w:val="22"/>
          <w:szCs w:val="22"/>
        </w:rPr>
      </w:pPr>
    </w:p>
    <w:p w:rsidR="00E328D2" w:rsidRPr="00973A22" w:rsidRDefault="00C43D44">
      <w:pPr>
        <w:ind w:left="567" w:right="567"/>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E328D2" w:rsidRPr="00973A22" w:rsidRDefault="00E328D2">
      <w:pPr>
        <w:spacing w:line="360" w:lineRule="auto"/>
        <w:ind w:right="567"/>
        <w:jc w:val="both"/>
        <w:rPr>
          <w:rFonts w:ascii="Palatino Linotype" w:eastAsia="Palatino Linotype" w:hAnsi="Palatino Linotype" w:cs="Palatino Linotype"/>
          <w:sz w:val="22"/>
          <w:szCs w:val="22"/>
        </w:rPr>
      </w:pPr>
    </w:p>
    <w:p w:rsidR="00E328D2" w:rsidRPr="00973A22" w:rsidRDefault="00C43D44">
      <w:pPr>
        <w:spacing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t xml:space="preserve">De lo anterior se advierte que, el Comité de Transparencia emitió el Acuerdo de Inexistencia de la Información; mismo que fue notificado a la parte </w:t>
      </w:r>
      <w:r w:rsidRPr="00973A22">
        <w:rPr>
          <w:rFonts w:ascii="Palatino Linotype" w:eastAsia="Palatino Linotype" w:hAnsi="Palatino Linotype" w:cs="Palatino Linotype"/>
          <w:b/>
        </w:rPr>
        <w:t xml:space="preserve">Recurrente; </w:t>
      </w:r>
      <w:r w:rsidRPr="00973A22">
        <w:rPr>
          <w:rFonts w:ascii="Palatino Linotype" w:eastAsia="Palatino Linotype" w:hAnsi="Palatino Linotype" w:cs="Palatino Linotype"/>
        </w:rPr>
        <w:t xml:space="preserve">acuerdo en el que expuso las razones por las que se buscó la información, las áreas en las que se instruyó la búsqueda, los criterios y los métodos de búsqueda de la información utilizados y las circunstancias de modo, tiempo y lugar que se tomaron en cuenta para llegar a determinar que no obra en sus archivos la información requerida. De este modo, el particular puede tener la certeza de que se hizo una </w:t>
      </w:r>
      <w:r w:rsidRPr="00973A22">
        <w:rPr>
          <w:rFonts w:ascii="Palatino Linotype" w:eastAsia="Palatino Linotype" w:hAnsi="Palatino Linotype" w:cs="Palatino Linotype"/>
        </w:rPr>
        <w:lastRenderedPageBreak/>
        <w:t>búsqueda exhaustiva de la información solicitada y de que se le dio la adecuada atención a su solicitud.</w:t>
      </w:r>
    </w:p>
    <w:p w:rsidR="00E328D2" w:rsidRPr="00973A22" w:rsidRDefault="00E328D2">
      <w:pPr>
        <w:spacing w:line="360" w:lineRule="auto"/>
        <w:jc w:val="both"/>
        <w:rPr>
          <w:rFonts w:ascii="Palatino Linotype" w:eastAsia="Palatino Linotype" w:hAnsi="Palatino Linotype" w:cs="Palatino Linotype"/>
        </w:rPr>
      </w:pPr>
    </w:p>
    <w:p w:rsidR="00E328D2" w:rsidRPr="00973A22" w:rsidRDefault="00C43D44">
      <w:pPr>
        <w:spacing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t xml:space="preserve">Por consiguiente, el Pleno de este Instituto determina que el </w:t>
      </w:r>
      <w:r w:rsidRPr="00973A22">
        <w:rPr>
          <w:rFonts w:ascii="Palatino Linotype" w:eastAsia="Palatino Linotype" w:hAnsi="Palatino Linotype" w:cs="Palatino Linotype"/>
          <w:b/>
        </w:rPr>
        <w:t xml:space="preserve">Sujeto Obligado </w:t>
      </w:r>
      <w:r w:rsidRPr="00973A22">
        <w:rPr>
          <w:rFonts w:ascii="Palatino Linotype" w:eastAsia="Palatino Linotype" w:hAnsi="Palatino Linotype" w:cs="Palatino Linotype"/>
        </w:rPr>
        <w:t xml:space="preserve">al momento de remitir en informe justificado la Resolución RES/06/INFOEM/EXT/COMT/24°/2022 emitida por el Comité de Transparencia en la que se confirmó la declaratoria de inexistencia de los correos electrónicos de la ex Comisionada Zulema Martínez Sánchez y su entonces Coordinador de Proyectos Omar </w:t>
      </w:r>
      <w:proofErr w:type="spellStart"/>
      <w:r w:rsidRPr="00973A22">
        <w:rPr>
          <w:rFonts w:ascii="Palatino Linotype" w:eastAsia="Palatino Linotype" w:hAnsi="Palatino Linotype" w:cs="Palatino Linotype"/>
        </w:rPr>
        <w:t>Salatiel</w:t>
      </w:r>
      <w:proofErr w:type="spellEnd"/>
      <w:r w:rsidRPr="00973A22">
        <w:rPr>
          <w:rFonts w:ascii="Palatino Linotype" w:eastAsia="Palatino Linotype" w:hAnsi="Palatino Linotype" w:cs="Palatino Linotype"/>
        </w:rPr>
        <w:t xml:space="preserve"> Acosta Martínez, del uno al quince de enero de dos mil diecinueve, atendió el derecho de acceso a la información del particular, sobre este punto. </w:t>
      </w:r>
    </w:p>
    <w:p w:rsidR="00E328D2" w:rsidRPr="00973A22" w:rsidRDefault="00E328D2">
      <w:pPr>
        <w:spacing w:line="360" w:lineRule="auto"/>
        <w:jc w:val="both"/>
        <w:rPr>
          <w:rFonts w:ascii="Palatino Linotype" w:eastAsia="Palatino Linotype" w:hAnsi="Palatino Linotype" w:cs="Palatino Linotype"/>
        </w:rPr>
      </w:pPr>
    </w:p>
    <w:p w:rsidR="00E328D2" w:rsidRPr="00973A22" w:rsidRDefault="00C43D44">
      <w:pPr>
        <w:pBdr>
          <w:top w:val="nil"/>
          <w:left w:val="nil"/>
          <w:bottom w:val="nil"/>
          <w:right w:val="nil"/>
          <w:between w:val="nil"/>
        </w:pBdr>
        <w:spacing w:after="240" w:line="360" w:lineRule="auto"/>
        <w:ind w:right="49"/>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rPr>
        <w:t xml:space="preserve">Ahora bien, por cuanto hace a los correos electrónicos de la Coordinadora de Proyectos del Comisionado Luis Gustavo Parra Noriega del periodo comprendido del primero al quince de enero de dos mil veintidós, es de reiterar, que en respuesta a la solicitud de información el </w:t>
      </w:r>
      <w:r w:rsidRPr="00973A22">
        <w:rPr>
          <w:rFonts w:ascii="Palatino Linotype" w:eastAsia="Palatino Linotype" w:hAnsi="Palatino Linotype" w:cs="Palatino Linotype"/>
          <w:b/>
        </w:rPr>
        <w:t xml:space="preserve">Sujeto Obligado </w:t>
      </w:r>
      <w:r w:rsidRPr="00973A22">
        <w:rPr>
          <w:rFonts w:ascii="Palatino Linotype" w:eastAsia="Palatino Linotype" w:hAnsi="Palatino Linotype" w:cs="Palatino Linotype"/>
        </w:rPr>
        <w:t>manifestó que: “</w:t>
      </w:r>
      <w:r w:rsidRPr="00973A22">
        <w:rPr>
          <w:rFonts w:ascii="Palatino Linotype" w:eastAsia="Palatino Linotype" w:hAnsi="Palatino Linotype" w:cs="Palatino Linotype"/>
          <w:i/>
          <w:sz w:val="22"/>
          <w:szCs w:val="22"/>
        </w:rPr>
        <w:t>Por lo que hace a los correos electrónicos de la Coordinadora de Proyectos Sandra Ivette Razo de la Paz, no se cuenta con ellos respecto de la fecha solicitada, ya que al realizarse el cambio de dominio de itaipem.org.mx a infoem.org.mx, los correos de esa fecha se eliminaron.”</w:t>
      </w:r>
    </w:p>
    <w:p w:rsidR="00E328D2" w:rsidRPr="00973A22" w:rsidRDefault="00C43D44">
      <w:pPr>
        <w:widowControl w:val="0"/>
        <w:spacing w:before="240" w:after="240" w:line="360" w:lineRule="auto"/>
        <w:jc w:val="both"/>
        <w:rPr>
          <w:rFonts w:ascii="Palatino Linotype" w:eastAsia="Palatino Linotype" w:hAnsi="Palatino Linotype" w:cs="Palatino Linotype"/>
          <w:b/>
          <w:i/>
        </w:rPr>
      </w:pPr>
      <w:r w:rsidRPr="00973A22">
        <w:rPr>
          <w:rFonts w:ascii="Palatino Linotype" w:eastAsia="Palatino Linotype" w:hAnsi="Palatino Linotype" w:cs="Palatino Linotype"/>
        </w:rPr>
        <w:t xml:space="preserve">Una vez interpuesto el recurso de revisión, el </w:t>
      </w:r>
      <w:r w:rsidRPr="00973A22">
        <w:rPr>
          <w:rFonts w:ascii="Palatino Linotype" w:eastAsia="Palatino Linotype" w:hAnsi="Palatino Linotype" w:cs="Palatino Linotype"/>
          <w:b/>
        </w:rPr>
        <w:t xml:space="preserve">Sujeto Obligado </w:t>
      </w:r>
      <w:r w:rsidRPr="00973A22">
        <w:rPr>
          <w:rFonts w:ascii="Palatino Linotype" w:eastAsia="Palatino Linotype" w:hAnsi="Palatino Linotype" w:cs="Palatino Linotype"/>
        </w:rPr>
        <w:t xml:space="preserve">entregó en informe justificado el Oficio número INFOEM/SPH-RLC/035/2022 de fecha tres de agosto de dos mil veintidós suscrito y firmado por el Servidor Público Habilitado de la Ponencia del Comisionado Luis Gustavo Parra Noriega en el que de manera </w:t>
      </w:r>
      <w:r w:rsidRPr="00973A22">
        <w:rPr>
          <w:rFonts w:ascii="Palatino Linotype" w:eastAsia="Palatino Linotype" w:hAnsi="Palatino Linotype" w:cs="Palatino Linotype"/>
        </w:rPr>
        <w:lastRenderedPageBreak/>
        <w:t>sustantiva refirió: “</w:t>
      </w:r>
      <w:r w:rsidRPr="00973A22">
        <w:rPr>
          <w:rFonts w:ascii="Palatino Linotype" w:eastAsia="Palatino Linotype" w:hAnsi="Palatino Linotype" w:cs="Palatino Linotype"/>
          <w:i/>
        </w:rPr>
        <w:t xml:space="preserve">...la capacidad del correo institucional que es utilizado por la Coordinadora Sandra Ivette Razo de la Paz se ha visto rebasado por el cumulo de documentos que envía y recibe, por lo que se eliminan de forma periódica para se pueda tener un uso eficiente del correo electrónico como medio de comunicación de acuerdo con lo siguiente: </w:t>
      </w:r>
    </w:p>
    <w:p w:rsidR="00E328D2" w:rsidRPr="00973A22" w:rsidRDefault="00C43D44">
      <w:pPr>
        <w:pBdr>
          <w:top w:val="nil"/>
          <w:left w:val="nil"/>
          <w:bottom w:val="nil"/>
          <w:right w:val="nil"/>
          <w:between w:val="nil"/>
        </w:pBdr>
        <w:spacing w:after="240" w:line="360" w:lineRule="auto"/>
        <w:ind w:right="49"/>
        <w:jc w:val="both"/>
        <w:rPr>
          <w:rFonts w:ascii="Palatino Linotype" w:eastAsia="Palatino Linotype" w:hAnsi="Palatino Linotype" w:cs="Palatino Linotype"/>
        </w:rPr>
      </w:pPr>
      <w:r w:rsidRPr="00973A22">
        <w:rPr>
          <w:rFonts w:ascii="Palatino Linotype" w:eastAsia="Palatino Linotype" w:hAnsi="Palatino Linotype" w:cs="Palatino Linotype"/>
          <w:b/>
          <w:i/>
          <w:noProof/>
        </w:rPr>
        <w:drawing>
          <wp:inline distT="0" distB="0" distL="0" distR="0">
            <wp:extent cx="5581650" cy="4476750"/>
            <wp:effectExtent l="0" t="0" r="0" b="0"/>
            <wp:docPr id="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581650" cy="4476750"/>
                    </a:xfrm>
                    <a:prstGeom prst="rect">
                      <a:avLst/>
                    </a:prstGeom>
                    <a:ln/>
                  </pic:spPr>
                </pic:pic>
              </a:graphicData>
            </a:graphic>
          </wp:inline>
        </w:drawing>
      </w:r>
    </w:p>
    <w:p w:rsidR="00E328D2" w:rsidRPr="00973A22" w:rsidRDefault="00E328D2">
      <w:pPr>
        <w:pBdr>
          <w:top w:val="nil"/>
          <w:left w:val="nil"/>
          <w:bottom w:val="nil"/>
          <w:right w:val="nil"/>
          <w:between w:val="nil"/>
        </w:pBdr>
        <w:spacing w:after="240" w:line="360" w:lineRule="auto"/>
        <w:ind w:right="49"/>
        <w:jc w:val="both"/>
        <w:rPr>
          <w:rFonts w:ascii="Palatino Linotype" w:eastAsia="Palatino Linotype" w:hAnsi="Palatino Linotype" w:cs="Palatino Linotype"/>
        </w:rPr>
      </w:pPr>
    </w:p>
    <w:p w:rsidR="00E328D2" w:rsidRPr="00973A22" w:rsidRDefault="00C43D44">
      <w:pPr>
        <w:pBdr>
          <w:top w:val="nil"/>
          <w:left w:val="nil"/>
          <w:bottom w:val="nil"/>
          <w:right w:val="nil"/>
          <w:between w:val="nil"/>
        </w:pBdr>
        <w:spacing w:after="240" w:line="360" w:lineRule="auto"/>
        <w:ind w:right="49"/>
        <w:jc w:val="both"/>
        <w:rPr>
          <w:rFonts w:ascii="Palatino Linotype" w:eastAsia="Palatino Linotype" w:hAnsi="Palatino Linotype" w:cs="Palatino Linotype"/>
        </w:rPr>
      </w:pPr>
      <w:r w:rsidRPr="00973A22">
        <w:rPr>
          <w:rFonts w:ascii="Palatino Linotype" w:eastAsia="Palatino Linotype" w:hAnsi="Palatino Linotype" w:cs="Palatino Linotype"/>
          <w:noProof/>
        </w:rPr>
        <w:lastRenderedPageBreak/>
        <w:drawing>
          <wp:inline distT="0" distB="0" distL="0" distR="0">
            <wp:extent cx="5612130" cy="3775075"/>
            <wp:effectExtent l="0" t="0" r="0" b="0"/>
            <wp:docPr id="5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5612130" cy="3775075"/>
                    </a:xfrm>
                    <a:prstGeom prst="rect">
                      <a:avLst/>
                    </a:prstGeom>
                    <a:ln/>
                  </pic:spPr>
                </pic:pic>
              </a:graphicData>
            </a:graphic>
          </wp:inline>
        </w:drawing>
      </w:r>
    </w:p>
    <w:p w:rsidR="00E328D2" w:rsidRPr="00973A22" w:rsidRDefault="00C43D44">
      <w:pPr>
        <w:pBdr>
          <w:top w:val="nil"/>
          <w:left w:val="nil"/>
          <w:bottom w:val="nil"/>
          <w:right w:val="nil"/>
          <w:between w:val="nil"/>
        </w:pBdr>
        <w:spacing w:after="240" w:line="360" w:lineRule="auto"/>
        <w:ind w:right="49"/>
        <w:jc w:val="both"/>
        <w:rPr>
          <w:rFonts w:ascii="Palatino Linotype" w:eastAsia="Palatino Linotype" w:hAnsi="Palatino Linotype" w:cs="Palatino Linotype"/>
        </w:rPr>
      </w:pPr>
      <w:r w:rsidRPr="00973A22">
        <w:rPr>
          <w:rFonts w:ascii="Palatino Linotype" w:eastAsia="Palatino Linotype" w:hAnsi="Palatino Linotype" w:cs="Palatino Linotype"/>
          <w:noProof/>
        </w:rPr>
        <w:drawing>
          <wp:inline distT="0" distB="0" distL="0" distR="0">
            <wp:extent cx="5612130" cy="2495550"/>
            <wp:effectExtent l="0" t="0" r="0" b="0"/>
            <wp:docPr id="5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5612130" cy="2495550"/>
                    </a:xfrm>
                    <a:prstGeom prst="rect">
                      <a:avLst/>
                    </a:prstGeom>
                    <a:ln/>
                  </pic:spPr>
                </pic:pic>
              </a:graphicData>
            </a:graphic>
          </wp:inline>
        </w:drawing>
      </w:r>
    </w:p>
    <w:p w:rsidR="00E328D2" w:rsidRPr="00973A22" w:rsidRDefault="00C43D44">
      <w:pPr>
        <w:spacing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lastRenderedPageBreak/>
        <w:t xml:space="preserve">Acotado lo anterior, se procede al análisis de la naturaleza de la información pública solicitada, con el objeto de determinar si con la respuesta y el pronunciamiento en informe justificado se tiene por colmado el derecho de acceso a la información pública solicitada o si por el contrario, debe emitir el acuerdo que confirme la declaración de inexistencia de la documentación solicitada. </w:t>
      </w:r>
    </w:p>
    <w:p w:rsidR="00E328D2" w:rsidRPr="00973A22" w:rsidRDefault="00E328D2">
      <w:pPr>
        <w:spacing w:line="360" w:lineRule="auto"/>
        <w:jc w:val="both"/>
        <w:rPr>
          <w:rFonts w:ascii="Palatino Linotype" w:eastAsia="Palatino Linotype" w:hAnsi="Palatino Linotype" w:cs="Palatino Linotype"/>
        </w:rPr>
      </w:pPr>
    </w:p>
    <w:p w:rsidR="00E328D2" w:rsidRPr="00973A22" w:rsidRDefault="00C43D44">
      <w:pPr>
        <w:spacing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t xml:space="preserve">En primer término, es importante citar que los artículos 12, 41, 42, 43, 44 y 45 de la Ley General de Archivos establecen: </w:t>
      </w:r>
    </w:p>
    <w:p w:rsidR="00E328D2" w:rsidRPr="00973A22" w:rsidRDefault="00E328D2">
      <w:pPr>
        <w:spacing w:line="360" w:lineRule="auto"/>
        <w:jc w:val="both"/>
        <w:rPr>
          <w:rFonts w:ascii="Palatino Linotype" w:eastAsia="Palatino Linotype" w:hAnsi="Palatino Linotype" w:cs="Palatino Linotype"/>
        </w:rPr>
      </w:pPr>
    </w:p>
    <w:p w:rsidR="00E328D2" w:rsidRPr="00973A22" w:rsidRDefault="00C43D44">
      <w:pPr>
        <w:spacing w:line="276" w:lineRule="auto"/>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 xml:space="preserve">Artículo 12. Los sujetos obligados deberán mantener los documentos contenidos en </w:t>
      </w:r>
      <w:r w:rsidRPr="00973A22">
        <w:rPr>
          <w:rFonts w:ascii="Palatino Linotype" w:eastAsia="Palatino Linotype" w:hAnsi="Palatino Linotype" w:cs="Palatino Linotype"/>
          <w:b/>
          <w:i/>
          <w:sz w:val="22"/>
          <w:szCs w:val="22"/>
        </w:rPr>
        <w:t>sus archivos en el orden original en que fueron producidos</w:t>
      </w:r>
      <w:r w:rsidRPr="00973A22">
        <w:rPr>
          <w:rFonts w:ascii="Palatino Linotype" w:eastAsia="Palatino Linotype" w:hAnsi="Palatino Linotype" w:cs="Palatino Linotype"/>
          <w:i/>
          <w:sz w:val="22"/>
          <w:szCs w:val="22"/>
        </w:rPr>
        <w:t>, conforme a los procesos de gestión documental que incluyen la producción, organización, acceso, consulta, valoración documental, disposición documental y conservación, en los términos que establezcan el Consejo Nacional y las disposiciones jurídicas aplicables.</w:t>
      </w:r>
    </w:p>
    <w:p w:rsidR="00E328D2" w:rsidRPr="00973A22" w:rsidRDefault="00E328D2">
      <w:pPr>
        <w:spacing w:line="276" w:lineRule="auto"/>
        <w:ind w:left="851" w:right="616"/>
        <w:jc w:val="both"/>
        <w:rPr>
          <w:rFonts w:ascii="Palatino Linotype" w:eastAsia="Palatino Linotype" w:hAnsi="Palatino Linotype" w:cs="Palatino Linotype"/>
          <w:i/>
          <w:sz w:val="22"/>
          <w:szCs w:val="22"/>
        </w:rPr>
      </w:pPr>
    </w:p>
    <w:p w:rsidR="00E328D2" w:rsidRPr="00973A22" w:rsidRDefault="00C43D44">
      <w:pPr>
        <w:spacing w:line="276" w:lineRule="auto"/>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Artículo 41. Además de los procesos de gestión previstos en el artículo 12 de esta Ley, se deberá contemplar para la gestión documental electrónica la incorporación, asignación de acceso, seguridad, almacenamiento, uso y trazabilidad.</w:t>
      </w:r>
    </w:p>
    <w:p w:rsidR="00E328D2" w:rsidRPr="00973A22" w:rsidRDefault="00E328D2">
      <w:pPr>
        <w:spacing w:line="276" w:lineRule="auto"/>
        <w:ind w:left="851" w:right="616"/>
        <w:jc w:val="both"/>
        <w:rPr>
          <w:rFonts w:ascii="Palatino Linotype" w:eastAsia="Palatino Linotype" w:hAnsi="Palatino Linotype" w:cs="Palatino Linotype"/>
          <w:i/>
          <w:sz w:val="22"/>
          <w:szCs w:val="22"/>
        </w:rPr>
      </w:pPr>
    </w:p>
    <w:p w:rsidR="00E328D2" w:rsidRPr="00973A22" w:rsidRDefault="00C43D44">
      <w:pPr>
        <w:spacing w:line="276" w:lineRule="auto"/>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 xml:space="preserve">Artículo 42. Los sujetos obligados establecerán en su programa anual los procedimientos </w:t>
      </w:r>
      <w:r w:rsidRPr="00973A22">
        <w:rPr>
          <w:rFonts w:ascii="Palatino Linotype" w:eastAsia="Palatino Linotype" w:hAnsi="Palatino Linotype" w:cs="Palatino Linotype"/>
          <w:b/>
          <w:i/>
          <w:sz w:val="22"/>
          <w:szCs w:val="22"/>
        </w:rPr>
        <w:t>para la generación, administración, uso, control y migración de formatos electrónicos</w:t>
      </w:r>
      <w:r w:rsidRPr="00973A22">
        <w:rPr>
          <w:rFonts w:ascii="Palatino Linotype" w:eastAsia="Palatino Linotype" w:hAnsi="Palatino Linotype" w:cs="Palatino Linotype"/>
          <w:i/>
          <w:sz w:val="22"/>
          <w:szCs w:val="22"/>
        </w:rPr>
        <w:t xml:space="preserve">, así como </w:t>
      </w:r>
      <w:r w:rsidRPr="00973A22">
        <w:rPr>
          <w:rFonts w:ascii="Palatino Linotype" w:eastAsia="Palatino Linotype" w:hAnsi="Palatino Linotype" w:cs="Palatino Linotype"/>
          <w:b/>
          <w:i/>
          <w:sz w:val="22"/>
          <w:szCs w:val="22"/>
        </w:rPr>
        <w:t>planes de preservación y conservación de largo plazo que contemplen la migración</w:t>
      </w:r>
      <w:r w:rsidRPr="00973A22">
        <w:rPr>
          <w:rFonts w:ascii="Palatino Linotype" w:eastAsia="Palatino Linotype" w:hAnsi="Palatino Linotype" w:cs="Palatino Linotype"/>
          <w:i/>
          <w:sz w:val="22"/>
          <w:szCs w:val="22"/>
        </w:rPr>
        <w:t>, la emulación o cualquier otro método de preservación y conservación de los documentos de archivo electrónicos, apoyándose en las disposiciones emanadas del Consejo Nacional.</w:t>
      </w:r>
    </w:p>
    <w:p w:rsidR="00E328D2" w:rsidRPr="00973A22" w:rsidRDefault="00E328D2">
      <w:pPr>
        <w:spacing w:line="276" w:lineRule="auto"/>
        <w:ind w:left="851" w:right="616"/>
        <w:jc w:val="both"/>
        <w:rPr>
          <w:rFonts w:ascii="Palatino Linotype" w:eastAsia="Palatino Linotype" w:hAnsi="Palatino Linotype" w:cs="Palatino Linotype"/>
          <w:i/>
          <w:sz w:val="22"/>
          <w:szCs w:val="22"/>
        </w:rPr>
      </w:pPr>
    </w:p>
    <w:p w:rsidR="00E328D2" w:rsidRPr="00973A22" w:rsidRDefault="00C43D44">
      <w:pPr>
        <w:spacing w:line="276" w:lineRule="auto"/>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lastRenderedPageBreak/>
        <w:t xml:space="preserve">Artículo 43. Los sujetos obligados establecerán en el programa anual la </w:t>
      </w:r>
      <w:r w:rsidRPr="00973A22">
        <w:rPr>
          <w:rFonts w:ascii="Palatino Linotype" w:eastAsia="Palatino Linotype" w:hAnsi="Palatino Linotype" w:cs="Palatino Linotype"/>
          <w:b/>
          <w:i/>
          <w:sz w:val="22"/>
          <w:szCs w:val="22"/>
        </w:rPr>
        <w:t>estrategia de preservación a largo plazo de los documentos de archivo electrónico</w:t>
      </w:r>
      <w:r w:rsidRPr="00973A22">
        <w:rPr>
          <w:rFonts w:ascii="Palatino Linotype" w:eastAsia="Palatino Linotype" w:hAnsi="Palatino Linotype" w:cs="Palatino Linotype"/>
          <w:i/>
          <w:sz w:val="22"/>
          <w:szCs w:val="22"/>
        </w:rPr>
        <w:t xml:space="preserve"> y las acciones que garanticen los procesos de gestión documental electrónica.</w:t>
      </w:r>
    </w:p>
    <w:p w:rsidR="00E328D2" w:rsidRPr="00973A22" w:rsidRDefault="00E328D2">
      <w:pPr>
        <w:spacing w:line="276" w:lineRule="auto"/>
        <w:ind w:left="851" w:right="616"/>
        <w:jc w:val="both"/>
        <w:rPr>
          <w:rFonts w:ascii="Palatino Linotype" w:eastAsia="Palatino Linotype" w:hAnsi="Palatino Linotype" w:cs="Palatino Linotype"/>
          <w:i/>
          <w:sz w:val="22"/>
          <w:szCs w:val="22"/>
        </w:rPr>
      </w:pPr>
    </w:p>
    <w:p w:rsidR="00E328D2" w:rsidRPr="00973A22" w:rsidRDefault="00C43D44">
      <w:pPr>
        <w:spacing w:line="276" w:lineRule="auto"/>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b/>
          <w:i/>
          <w:sz w:val="22"/>
          <w:szCs w:val="22"/>
        </w:rPr>
        <w:t>Los documentos de archivo electrónicos que pertenezcan a series documentales con valor histórico se deberán conservar en sus formatos originales</w:t>
      </w:r>
      <w:r w:rsidRPr="00973A22">
        <w:rPr>
          <w:rFonts w:ascii="Palatino Linotype" w:eastAsia="Palatino Linotype" w:hAnsi="Palatino Linotype" w:cs="Palatino Linotype"/>
          <w:i/>
          <w:sz w:val="22"/>
          <w:szCs w:val="22"/>
        </w:rPr>
        <w:t>, así como una copia de su representación gráfica o visual, además de todos los metadatos descriptivos.</w:t>
      </w:r>
    </w:p>
    <w:p w:rsidR="00E328D2" w:rsidRPr="00973A22" w:rsidRDefault="00E328D2">
      <w:pPr>
        <w:spacing w:line="276" w:lineRule="auto"/>
        <w:ind w:left="851" w:right="616"/>
        <w:jc w:val="both"/>
        <w:rPr>
          <w:rFonts w:ascii="Palatino Linotype" w:eastAsia="Palatino Linotype" w:hAnsi="Palatino Linotype" w:cs="Palatino Linotype"/>
          <w:i/>
          <w:sz w:val="22"/>
          <w:szCs w:val="22"/>
        </w:rPr>
      </w:pPr>
    </w:p>
    <w:p w:rsidR="00E328D2" w:rsidRPr="00973A22" w:rsidRDefault="00C43D44">
      <w:pPr>
        <w:spacing w:line="276" w:lineRule="auto"/>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 xml:space="preserve">Artículo 44. Los sujetos obligados adoptarán las </w:t>
      </w:r>
      <w:r w:rsidRPr="00973A22">
        <w:rPr>
          <w:rFonts w:ascii="Palatino Linotype" w:eastAsia="Palatino Linotype" w:hAnsi="Palatino Linotype" w:cs="Palatino Linotype"/>
          <w:b/>
          <w:i/>
          <w:sz w:val="22"/>
          <w:szCs w:val="22"/>
        </w:rPr>
        <w:t>medidas de organización, técnicas y tecnológicas para garantizar la recuperación y preservación de los documentos</w:t>
      </w:r>
      <w:r w:rsidRPr="00973A22">
        <w:rPr>
          <w:rFonts w:ascii="Palatino Linotype" w:eastAsia="Palatino Linotype" w:hAnsi="Palatino Linotype" w:cs="Palatino Linotype"/>
          <w:i/>
          <w:sz w:val="22"/>
          <w:szCs w:val="22"/>
        </w:rPr>
        <w:t xml:space="preserve"> de archivo electrónicos producidos y recibidos que se encuentren en un sistema automatizado para la gestión documental y </w:t>
      </w:r>
      <w:r w:rsidRPr="00973A22">
        <w:rPr>
          <w:rFonts w:ascii="Palatino Linotype" w:eastAsia="Palatino Linotype" w:hAnsi="Palatino Linotype" w:cs="Palatino Linotype"/>
          <w:b/>
          <w:i/>
          <w:sz w:val="22"/>
          <w:szCs w:val="22"/>
        </w:rPr>
        <w:t>administración de</w:t>
      </w:r>
      <w:r w:rsidRPr="00973A22">
        <w:rPr>
          <w:rFonts w:ascii="Palatino Linotype" w:eastAsia="Palatino Linotype" w:hAnsi="Palatino Linotype" w:cs="Palatino Linotype"/>
          <w:i/>
          <w:sz w:val="22"/>
          <w:szCs w:val="22"/>
        </w:rPr>
        <w:t xml:space="preserve"> archivos, bases de datos y </w:t>
      </w:r>
      <w:r w:rsidRPr="00973A22">
        <w:rPr>
          <w:rFonts w:ascii="Palatino Linotype" w:eastAsia="Palatino Linotype" w:hAnsi="Palatino Linotype" w:cs="Palatino Linotype"/>
          <w:b/>
          <w:i/>
          <w:sz w:val="22"/>
          <w:szCs w:val="22"/>
          <w:u w:val="single"/>
        </w:rPr>
        <w:t>correos electrónicos</w:t>
      </w:r>
      <w:r w:rsidRPr="00973A22">
        <w:rPr>
          <w:rFonts w:ascii="Palatino Linotype" w:eastAsia="Palatino Linotype" w:hAnsi="Palatino Linotype" w:cs="Palatino Linotype"/>
          <w:i/>
          <w:sz w:val="22"/>
          <w:szCs w:val="22"/>
        </w:rPr>
        <w:t xml:space="preserve"> a lo largo de su ciclo vital.</w:t>
      </w:r>
    </w:p>
    <w:p w:rsidR="00E328D2" w:rsidRPr="00973A22" w:rsidRDefault="00E328D2">
      <w:pPr>
        <w:spacing w:line="276" w:lineRule="auto"/>
        <w:ind w:left="851" w:right="616"/>
        <w:jc w:val="both"/>
        <w:rPr>
          <w:rFonts w:ascii="Palatino Linotype" w:eastAsia="Palatino Linotype" w:hAnsi="Palatino Linotype" w:cs="Palatino Linotype"/>
          <w:i/>
          <w:sz w:val="22"/>
          <w:szCs w:val="22"/>
        </w:rPr>
      </w:pPr>
    </w:p>
    <w:p w:rsidR="00E328D2" w:rsidRPr="00973A22" w:rsidRDefault="00C43D44">
      <w:pPr>
        <w:spacing w:line="276" w:lineRule="auto"/>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Artículo 45. Los sujetos obligados deberán implementar sistemas automatizados para la gestión documental y administración de archivos que permitan registrar y controlar los procesos señalados en el artículo 12 de esta Ley, los cuales deberán cumplir las especificaciones que para el efecto se emitan. Las herramientas informáticas de gestión y control para la organización y conservación de documentos de archivo electrónicos que los sujetos obligados desarrollen o adquieran, deberán cumplir los lineamientos que para el efecto se emitan.</w:t>
      </w:r>
    </w:p>
    <w:p w:rsidR="00E328D2" w:rsidRPr="00973A22" w:rsidRDefault="00E328D2">
      <w:pPr>
        <w:spacing w:line="360" w:lineRule="auto"/>
        <w:jc w:val="both"/>
        <w:rPr>
          <w:rFonts w:ascii="Palatino Linotype" w:eastAsia="Palatino Linotype" w:hAnsi="Palatino Linotype" w:cs="Palatino Linotype"/>
        </w:rPr>
      </w:pPr>
    </w:p>
    <w:p w:rsidR="00E328D2" w:rsidRPr="00973A22" w:rsidRDefault="00C43D44">
      <w:pPr>
        <w:spacing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t xml:space="preserve">Aunado a lo anterior, el numeral Quincuagésimo sexto de los Lineamientos para la Organización y Conservación de los Archivos emitidos por el Consejo Nacional del Sistema Nacional de Transparencia, Acceso a la Información Pública y Protección de Datos Personales, que es del texto literal siguiente: </w:t>
      </w:r>
    </w:p>
    <w:p w:rsidR="00E328D2" w:rsidRPr="00973A22" w:rsidRDefault="00E328D2">
      <w:pPr>
        <w:shd w:val="clear" w:color="auto" w:fill="FFFFFF"/>
        <w:spacing w:line="276" w:lineRule="auto"/>
        <w:ind w:left="851" w:right="616"/>
        <w:jc w:val="both"/>
        <w:rPr>
          <w:rFonts w:ascii="Palatino Linotype" w:eastAsia="Palatino Linotype" w:hAnsi="Palatino Linotype" w:cs="Palatino Linotype"/>
          <w:b/>
          <w:i/>
          <w:sz w:val="22"/>
          <w:szCs w:val="22"/>
        </w:rPr>
      </w:pPr>
    </w:p>
    <w:p w:rsidR="00E328D2" w:rsidRPr="00973A22" w:rsidRDefault="00C43D44">
      <w:pPr>
        <w:shd w:val="clear" w:color="auto" w:fill="FFFFFF"/>
        <w:spacing w:line="276" w:lineRule="auto"/>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b/>
          <w:i/>
          <w:sz w:val="22"/>
          <w:szCs w:val="22"/>
        </w:rPr>
        <w:lastRenderedPageBreak/>
        <w:t>“Quincuagésimo sexto. </w:t>
      </w:r>
      <w:r w:rsidRPr="00973A22">
        <w:rPr>
          <w:rFonts w:ascii="Palatino Linotype" w:eastAsia="Palatino Linotype" w:hAnsi="Palatino Linotype" w:cs="Palatino Linotype"/>
          <w:b/>
          <w:i/>
          <w:sz w:val="22"/>
          <w:szCs w:val="22"/>
          <w:u w:val="single"/>
        </w:rPr>
        <w:t>Los correos electrónicos que deriven del ejercicio de las facultades, competencias o funciones</w:t>
      </w:r>
      <w:r w:rsidRPr="00973A22">
        <w:rPr>
          <w:rFonts w:ascii="Palatino Linotype" w:eastAsia="Palatino Linotype" w:hAnsi="Palatino Linotype" w:cs="Palatino Linotype"/>
          <w:i/>
          <w:sz w:val="22"/>
          <w:szCs w:val="22"/>
        </w:rPr>
        <w:t xml:space="preserve"> de los Sujetos obligados </w:t>
      </w:r>
      <w:r w:rsidRPr="00973A22">
        <w:rPr>
          <w:rFonts w:ascii="Palatino Linotype" w:eastAsia="Palatino Linotype" w:hAnsi="Palatino Linotype" w:cs="Palatino Linotype"/>
          <w:b/>
          <w:i/>
          <w:sz w:val="22"/>
          <w:szCs w:val="22"/>
        </w:rPr>
        <w:t xml:space="preserve">deberán organizarse y conservarse </w:t>
      </w:r>
      <w:r w:rsidRPr="00973A22">
        <w:rPr>
          <w:rFonts w:ascii="Palatino Linotype" w:eastAsia="Palatino Linotype" w:hAnsi="Palatino Linotype" w:cs="Palatino Linotype"/>
          <w:i/>
          <w:sz w:val="22"/>
          <w:szCs w:val="22"/>
        </w:rPr>
        <w:t>de acuerdo con las series documentales establecidas en el Cuadro general de clasificación archivística, y a los plazos de conservación señalados en el Catálogo de disposición documental.</w:t>
      </w:r>
    </w:p>
    <w:p w:rsidR="00E328D2" w:rsidRPr="00973A22" w:rsidRDefault="00E328D2">
      <w:pPr>
        <w:shd w:val="clear" w:color="auto" w:fill="FFFFFF"/>
        <w:spacing w:line="276" w:lineRule="auto"/>
        <w:ind w:left="851" w:right="616"/>
        <w:jc w:val="both"/>
        <w:rPr>
          <w:rFonts w:ascii="Palatino Linotype" w:eastAsia="Palatino Linotype" w:hAnsi="Palatino Linotype" w:cs="Palatino Linotype"/>
          <w:i/>
          <w:sz w:val="22"/>
          <w:szCs w:val="22"/>
        </w:rPr>
      </w:pPr>
    </w:p>
    <w:p w:rsidR="00E328D2" w:rsidRPr="00973A22" w:rsidRDefault="00C43D44">
      <w:pPr>
        <w:shd w:val="clear" w:color="auto" w:fill="FFFFFF"/>
        <w:spacing w:line="276" w:lineRule="auto"/>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b/>
          <w:i/>
          <w:sz w:val="22"/>
          <w:szCs w:val="22"/>
        </w:rPr>
        <w:t>Cuadragésimo séptimo. </w:t>
      </w:r>
      <w:r w:rsidRPr="00973A22">
        <w:rPr>
          <w:rFonts w:ascii="Palatino Linotype" w:eastAsia="Palatino Linotype" w:hAnsi="Palatino Linotype" w:cs="Palatino Linotype"/>
          <w:i/>
          <w:sz w:val="22"/>
          <w:szCs w:val="22"/>
        </w:rPr>
        <w:t>Para la gestión de las cuentas de correo electrónico institucional se podrán utilizar plantillas que contengan por lo menos la siguiente información:</w:t>
      </w:r>
    </w:p>
    <w:p w:rsidR="00E328D2" w:rsidRPr="00973A22" w:rsidRDefault="00C43D44">
      <w:pPr>
        <w:shd w:val="clear" w:color="auto" w:fill="FFFFFF"/>
        <w:spacing w:line="276" w:lineRule="auto"/>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b/>
          <w:i/>
          <w:sz w:val="22"/>
          <w:szCs w:val="22"/>
        </w:rPr>
        <w:t>I.</w:t>
      </w:r>
      <w:r w:rsidRPr="00973A22">
        <w:rPr>
          <w:rFonts w:ascii="Palatino Linotype" w:eastAsia="Palatino Linotype" w:hAnsi="Palatino Linotype" w:cs="Palatino Linotype"/>
          <w:i/>
          <w:sz w:val="22"/>
          <w:szCs w:val="22"/>
        </w:rPr>
        <w:t>          Nombre y cargo del emisor;</w:t>
      </w:r>
    </w:p>
    <w:p w:rsidR="00E328D2" w:rsidRPr="00973A22" w:rsidRDefault="00C43D44">
      <w:pPr>
        <w:shd w:val="clear" w:color="auto" w:fill="FFFFFF"/>
        <w:spacing w:line="276" w:lineRule="auto"/>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b/>
          <w:i/>
          <w:sz w:val="22"/>
          <w:szCs w:val="22"/>
        </w:rPr>
        <w:t>II.</w:t>
      </w:r>
      <w:r w:rsidRPr="00973A22">
        <w:rPr>
          <w:rFonts w:ascii="Palatino Linotype" w:eastAsia="Palatino Linotype" w:hAnsi="Palatino Linotype" w:cs="Palatino Linotype"/>
          <w:i/>
          <w:sz w:val="22"/>
          <w:szCs w:val="22"/>
        </w:rPr>
        <w:t>         Nombre y cargo del receptor, y</w:t>
      </w:r>
    </w:p>
    <w:p w:rsidR="00E328D2" w:rsidRPr="00973A22" w:rsidRDefault="00C43D44">
      <w:pPr>
        <w:shd w:val="clear" w:color="auto" w:fill="FFFFFF"/>
        <w:spacing w:line="276" w:lineRule="auto"/>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b/>
          <w:i/>
          <w:sz w:val="22"/>
          <w:szCs w:val="22"/>
        </w:rPr>
        <w:t>III.</w:t>
      </w:r>
      <w:r w:rsidRPr="00973A22">
        <w:rPr>
          <w:rFonts w:ascii="Palatino Linotype" w:eastAsia="Palatino Linotype" w:hAnsi="Palatino Linotype" w:cs="Palatino Linotype"/>
          <w:i/>
          <w:sz w:val="22"/>
          <w:szCs w:val="22"/>
        </w:rPr>
        <w:t>        Aviso: "La información de este correo, así como la contenida en los documentos que se adjuntan, </w:t>
      </w:r>
      <w:r w:rsidRPr="00973A22">
        <w:rPr>
          <w:rFonts w:ascii="Palatino Linotype" w:eastAsia="Palatino Linotype" w:hAnsi="Palatino Linotype" w:cs="Palatino Linotype"/>
          <w:b/>
          <w:i/>
          <w:sz w:val="22"/>
          <w:szCs w:val="22"/>
          <w:u w:val="single"/>
        </w:rPr>
        <w:t>puede ser objeto de solicitudes de acceso a la información</w:t>
      </w:r>
      <w:r w:rsidRPr="00973A22">
        <w:rPr>
          <w:rFonts w:ascii="Palatino Linotype" w:eastAsia="Palatino Linotype" w:hAnsi="Palatino Linotype" w:cs="Palatino Linotype"/>
          <w:i/>
          <w:sz w:val="22"/>
          <w:szCs w:val="22"/>
        </w:rPr>
        <w:t>".</w:t>
      </w:r>
    </w:p>
    <w:p w:rsidR="00E328D2" w:rsidRPr="00973A22" w:rsidRDefault="00E328D2">
      <w:pPr>
        <w:spacing w:line="360" w:lineRule="auto"/>
        <w:jc w:val="both"/>
        <w:rPr>
          <w:rFonts w:ascii="Palatino Linotype" w:eastAsia="Palatino Linotype" w:hAnsi="Palatino Linotype" w:cs="Palatino Linotype"/>
        </w:rPr>
      </w:pPr>
    </w:p>
    <w:p w:rsidR="00E328D2" w:rsidRPr="00973A22" w:rsidRDefault="00C43D44">
      <w:pPr>
        <w:spacing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t>Precepto normativo que establece, que los correos electrónicos que deriven del ejercicio de las facultades, competencias o funciones de los Sujetos Obligados deben organizarse y conservarse  de acuerdo con las series documentales establecidas en el cuadro general de clasificación archivística, y a los plazos de conservación señalados en el catálogo de disposición documental, toda vez, que los documentos adjuntó pueden ser objeto de solicitudes de acceso a la información.</w:t>
      </w:r>
    </w:p>
    <w:p w:rsidR="00E328D2" w:rsidRPr="00973A22" w:rsidRDefault="00C43D44">
      <w:pPr>
        <w:spacing w:before="240" w:after="240" w:line="360" w:lineRule="auto"/>
        <w:ind w:right="49"/>
        <w:jc w:val="both"/>
        <w:rPr>
          <w:rFonts w:ascii="Palatino Linotype" w:eastAsia="Palatino Linotype" w:hAnsi="Palatino Linotype" w:cs="Palatino Linotype"/>
        </w:rPr>
      </w:pPr>
      <w:r w:rsidRPr="00973A22">
        <w:rPr>
          <w:rFonts w:ascii="Palatino Linotype" w:eastAsia="Palatino Linotype" w:hAnsi="Palatino Linotype" w:cs="Palatino Linotype"/>
        </w:rPr>
        <w:t xml:space="preserve">Ahora bien, por cuanto hace al pronunciamiento del Sujeto obligado, relativo a que la información recibida en la fecha solicitada por el particular no son documentos de archivo al ser considerados documentos de comprobación administrativa inmediata, y tomando en consideración la definición citada, en informe justificado, el documento de comprobación administrativa inmediata, es la que se maneja por </w:t>
      </w:r>
      <w:r w:rsidRPr="00973A22">
        <w:rPr>
          <w:rFonts w:ascii="Palatino Linotype" w:eastAsia="Palatino Linotype" w:hAnsi="Palatino Linotype" w:cs="Palatino Linotype"/>
        </w:rPr>
        <w:lastRenderedPageBreak/>
        <w:t xml:space="preserve">medio de formatos, tales como vales de fotocopias, fichas de control de correspondencia, solicitudes de papelería, entre otros. </w:t>
      </w:r>
    </w:p>
    <w:p w:rsidR="00E328D2" w:rsidRPr="00973A22" w:rsidRDefault="00C43D44">
      <w:pPr>
        <w:spacing w:before="240" w:after="240" w:line="360" w:lineRule="auto"/>
        <w:ind w:right="49"/>
        <w:jc w:val="both"/>
        <w:rPr>
          <w:rFonts w:ascii="Palatino Linotype" w:eastAsia="Palatino Linotype" w:hAnsi="Palatino Linotype" w:cs="Palatino Linotype"/>
        </w:rPr>
      </w:pPr>
      <w:r w:rsidRPr="00973A22">
        <w:rPr>
          <w:rFonts w:ascii="Palatino Linotype" w:eastAsia="Palatino Linotype" w:hAnsi="Palatino Linotype" w:cs="Palatino Linotype"/>
        </w:rPr>
        <w:t xml:space="preserve">Correlativo a lo anterior,  es importante citar que el Acuerdo por el que se emiten los Criterios Técnicos para el Destino Final de Documentos: Baja Documental, del cinco de noviembre de 2018, dispone: </w:t>
      </w:r>
    </w:p>
    <w:p w:rsidR="00E328D2" w:rsidRPr="00973A22" w:rsidRDefault="00C43D44">
      <w:pPr>
        <w:spacing w:before="240" w:after="240" w:line="276" w:lineRule="auto"/>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b/>
          <w:i/>
          <w:sz w:val="22"/>
          <w:szCs w:val="22"/>
        </w:rPr>
        <w:t>Documentación de comprobación administrativa inmediata</w:t>
      </w:r>
      <w:r w:rsidRPr="00973A22">
        <w:rPr>
          <w:rFonts w:ascii="Palatino Linotype" w:eastAsia="Palatino Linotype" w:hAnsi="Palatino Linotype" w:cs="Palatino Linotype"/>
          <w:i/>
          <w:sz w:val="22"/>
          <w:szCs w:val="22"/>
        </w:rPr>
        <w:t xml:space="preserve">. </w:t>
      </w:r>
    </w:p>
    <w:p w:rsidR="00E328D2" w:rsidRPr="00973A22" w:rsidRDefault="00C43D44">
      <w:pPr>
        <w:spacing w:before="240" w:after="240" w:line="276" w:lineRule="auto"/>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 xml:space="preserve">La documentación de comprobación administrativa inmediata, es aquella creada o producida por una institución o individuo de forma natural en función de una actividad administrativa. </w:t>
      </w:r>
      <w:r w:rsidRPr="00973A22">
        <w:rPr>
          <w:rFonts w:ascii="Palatino Linotype" w:eastAsia="Palatino Linotype" w:hAnsi="Palatino Linotype" w:cs="Palatino Linotype"/>
          <w:b/>
          <w:i/>
          <w:sz w:val="22"/>
          <w:szCs w:val="22"/>
          <w:u w:val="single"/>
        </w:rPr>
        <w:t>Es identificada debido a que es comprobante de la realización de un acto administrativo inmediato, tales como: vales de servicio de fotocopiado, minutarios en copias, registros de visitantes, listados de envíos diversos, fichas de control de correspondencia, tarjetas de asistencia</w:t>
      </w:r>
      <w:r w:rsidRPr="00973A22">
        <w:rPr>
          <w:rFonts w:ascii="Palatino Linotype" w:eastAsia="Palatino Linotype" w:hAnsi="Palatino Linotype" w:cs="Palatino Linotype"/>
          <w:i/>
          <w:sz w:val="22"/>
          <w:szCs w:val="22"/>
        </w:rPr>
        <w:t xml:space="preserve">, etc. Su vigencia documental es inmediata y no excederá el año de guarda, por lo que no se transferirán al archivo de concentración y su baja deberá tramitarse de manera inmediata al terminó de su vigencia. </w:t>
      </w:r>
    </w:p>
    <w:p w:rsidR="00E328D2" w:rsidRPr="00973A22" w:rsidRDefault="00C43D44">
      <w:pPr>
        <w:spacing w:before="240" w:after="240" w:line="276" w:lineRule="auto"/>
        <w:ind w:left="851" w:right="616"/>
        <w:jc w:val="both"/>
        <w:rPr>
          <w:rFonts w:ascii="Palatino Linotype" w:eastAsia="Palatino Linotype" w:hAnsi="Palatino Linotype" w:cs="Palatino Linotype"/>
          <w:b/>
          <w:i/>
          <w:sz w:val="22"/>
          <w:szCs w:val="22"/>
          <w:u w:val="single"/>
        </w:rPr>
      </w:pPr>
      <w:r w:rsidRPr="00973A22">
        <w:rPr>
          <w:rFonts w:ascii="Palatino Linotype" w:eastAsia="Palatino Linotype" w:hAnsi="Palatino Linotype" w:cs="Palatino Linotype"/>
          <w:b/>
          <w:i/>
          <w:sz w:val="22"/>
          <w:szCs w:val="22"/>
          <w:u w:val="single"/>
        </w:rPr>
        <w:t xml:space="preserve">El área generadora tramitará la baja de dicha documentación mediante el levantamiento, en dos tantos, de un acta administrativa donde se testimonie dicho acto, ésta deberá contar con la firma autógrafa del titular del área generadora de la documentación, del responsable del Archivo de Trámite, del responsable del Área Coordinadora de Archivos y del representante del Órgano Interno de Control. </w:t>
      </w:r>
    </w:p>
    <w:p w:rsidR="00E328D2" w:rsidRPr="00973A22" w:rsidRDefault="00C43D44">
      <w:pPr>
        <w:spacing w:before="240" w:after="240" w:line="276" w:lineRule="auto"/>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 xml:space="preserve">Una vez llevado a cabo dicho acto el área generadora, a través de la coordinación de archivos deberá enviar mediante oficio al AGN un tanto del acta administrativa antes mencionada y anexar una relación simple que describa de forma genérica la cantidad de cajas, expedientes, tipo documental, peso de la documentación en kilogramos y metros lineales. </w:t>
      </w:r>
    </w:p>
    <w:p w:rsidR="00E328D2" w:rsidRPr="00973A22" w:rsidRDefault="00C43D44">
      <w:pPr>
        <w:spacing w:before="240" w:after="240" w:line="276" w:lineRule="auto"/>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lastRenderedPageBreak/>
        <w:t xml:space="preserve">El AGN no emitirá dictamen de baja para la documentación de comprobación administrativa inmediata, únicamente será necesario que la dependencia o entidad, a través de su área coordinadora de archivos informe al AGN de tal evento, anexando un ejemplar en original del acta administrativa. </w:t>
      </w:r>
    </w:p>
    <w:p w:rsidR="00E328D2" w:rsidRPr="00973A22" w:rsidRDefault="00C43D44">
      <w:pPr>
        <w:spacing w:before="240" w:after="240" w:line="276" w:lineRule="auto"/>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Dar aviso al AGN del evento, no exime de la responsabilidad de los servidores públicos que custodian, conservan y resguardan dicha documentación y/o de los efectos que pudieran derivarse de esa acción conforme al marco jurídico aplicable.</w:t>
      </w:r>
    </w:p>
    <w:p w:rsidR="00E328D2" w:rsidRPr="00973A22" w:rsidRDefault="00C43D44">
      <w:pPr>
        <w:spacing w:before="240" w:after="240" w:line="360" w:lineRule="auto"/>
        <w:ind w:right="49"/>
        <w:jc w:val="both"/>
        <w:rPr>
          <w:rFonts w:ascii="Palatino Linotype" w:eastAsia="Palatino Linotype" w:hAnsi="Palatino Linotype" w:cs="Palatino Linotype"/>
        </w:rPr>
      </w:pPr>
      <w:r w:rsidRPr="00973A22">
        <w:rPr>
          <w:rFonts w:ascii="Palatino Linotype" w:eastAsia="Palatino Linotype" w:hAnsi="Palatino Linotype" w:cs="Palatino Linotype"/>
        </w:rPr>
        <w:t>A mayor abundamiento, es oportuno traer a colación el documento ABC de términos archivísticos</w:t>
      </w:r>
      <w:r w:rsidRPr="00973A22">
        <w:rPr>
          <w:rFonts w:ascii="Palatino Linotype" w:eastAsia="Palatino Linotype" w:hAnsi="Palatino Linotype" w:cs="Palatino Linotype"/>
          <w:vertAlign w:val="superscript"/>
        </w:rPr>
        <w:footnoteReference w:id="3"/>
      </w:r>
      <w:r w:rsidRPr="00973A22">
        <w:rPr>
          <w:rFonts w:ascii="Palatino Linotype" w:eastAsia="Palatino Linotype" w:hAnsi="Palatino Linotype" w:cs="Palatino Linotype"/>
        </w:rPr>
        <w:t xml:space="preserve"> publicado en la página oficial del Archivo General de la Nación que conceptualiza a los Documentos de Comprobación Administrativa Inmediata (DCAI), en los siguientes términos: </w:t>
      </w:r>
    </w:p>
    <w:p w:rsidR="00E328D2" w:rsidRPr="00973A22" w:rsidRDefault="00F433DF">
      <w:pPr>
        <w:spacing w:before="240" w:after="240" w:line="276" w:lineRule="auto"/>
        <w:ind w:left="851" w:right="616"/>
        <w:jc w:val="both"/>
        <w:rPr>
          <w:rFonts w:ascii="Palatino Linotype" w:eastAsia="Palatino Linotype" w:hAnsi="Palatino Linotype" w:cs="Palatino Linotype"/>
          <w:i/>
          <w:sz w:val="22"/>
          <w:szCs w:val="22"/>
        </w:rPr>
      </w:pPr>
      <w:sdt>
        <w:sdtPr>
          <w:tag w:val="goog_rdk_0"/>
          <w:id w:val="2137916124"/>
        </w:sdtPr>
        <w:sdtEndPr/>
        <w:sdtContent>
          <w:r w:rsidR="00C43D44" w:rsidRPr="00973A22">
            <w:rPr>
              <w:rFonts w:ascii="Cardo" w:eastAsia="Cardo" w:hAnsi="Cardo" w:cs="Cardo"/>
              <w:i/>
              <w:sz w:val="22"/>
              <w:szCs w:val="22"/>
            </w:rPr>
            <w:t>→</w:t>
          </w:r>
        </w:sdtContent>
      </w:sdt>
      <w:r w:rsidR="00C43D44" w:rsidRPr="00973A22">
        <w:rPr>
          <w:rFonts w:ascii="Palatino Linotype" w:eastAsia="Palatino Linotype" w:hAnsi="Palatino Linotype" w:cs="Palatino Linotype"/>
          <w:i/>
          <w:sz w:val="22"/>
          <w:szCs w:val="22"/>
        </w:rPr>
        <w:t xml:space="preserve"> </w:t>
      </w:r>
      <w:r w:rsidR="00C43D44" w:rsidRPr="00973A22">
        <w:rPr>
          <w:rFonts w:ascii="Palatino Linotype" w:eastAsia="Palatino Linotype" w:hAnsi="Palatino Linotype" w:cs="Palatino Linotype"/>
          <w:b/>
          <w:i/>
          <w:sz w:val="22"/>
          <w:szCs w:val="22"/>
        </w:rPr>
        <w:t>Documentos de Comprobación Administrativa Inmediata (DCAI)</w:t>
      </w:r>
      <w:r w:rsidR="00C43D44" w:rsidRPr="00973A22">
        <w:rPr>
          <w:rFonts w:ascii="Palatino Linotype" w:eastAsia="Palatino Linotype" w:hAnsi="Palatino Linotype" w:cs="Palatino Linotype"/>
          <w:i/>
          <w:sz w:val="22"/>
          <w:szCs w:val="22"/>
        </w:rPr>
        <w:t xml:space="preserve"> A los formatos o comprobantes de un acto administrativo de efecto inmediato (por ejemplo, formatos de entrega se insumos o prestación de servicios) cuya vigencia es muy corta y no tienen las características de documento de archivo y no hacen expediente. En esta categoría están las copias de conocimiento, que, aunque tenga todas las características de un documento de archivo, sólo sirven para hacer de conocimiento algún acto o hecho (con efecto inmediato), pero no requieren una acción posterior. Las copias simples o múltiples no son DCAI, se consideran Documentos de Apoyo Informativo (DAI).</w:t>
      </w:r>
    </w:p>
    <w:p w:rsidR="00E328D2" w:rsidRPr="00973A22" w:rsidRDefault="00C43D44">
      <w:pPr>
        <w:spacing w:before="240" w:after="240" w:line="360" w:lineRule="auto"/>
        <w:ind w:right="49"/>
        <w:jc w:val="both"/>
        <w:rPr>
          <w:rFonts w:ascii="Palatino Linotype" w:eastAsia="Palatino Linotype" w:hAnsi="Palatino Linotype" w:cs="Palatino Linotype"/>
        </w:rPr>
      </w:pPr>
      <w:r w:rsidRPr="00973A22">
        <w:rPr>
          <w:rFonts w:ascii="Palatino Linotype" w:eastAsia="Palatino Linotype" w:hAnsi="Palatino Linotype" w:cs="Palatino Linotype"/>
        </w:rPr>
        <w:t xml:space="preserve">En este contexto, tomando como referencia la naturaleza de los documentos considerados como de comprobación administrativa inmediata, así como el procedimiento para la baja de los mismos, es necesario traer a colación, las </w:t>
      </w:r>
      <w:r w:rsidRPr="00973A22">
        <w:rPr>
          <w:rFonts w:ascii="Palatino Linotype" w:eastAsia="Palatino Linotype" w:hAnsi="Palatino Linotype" w:cs="Palatino Linotype"/>
        </w:rPr>
        <w:lastRenderedPageBreak/>
        <w:t xml:space="preserve">atribuciones conferidas a las Coordinaciones de las Ponencias de este Instituto; a fin de determinar si por la naturaleza de sus funciones la documentación que generan en el ejercicio de su cargo, puede considerarse como de comprobación administrativa inmediata. </w:t>
      </w:r>
    </w:p>
    <w:p w:rsidR="00E328D2" w:rsidRPr="00973A22" w:rsidRDefault="00C43D44">
      <w:pPr>
        <w:spacing w:before="240" w:after="240" w:line="360" w:lineRule="auto"/>
        <w:ind w:right="49"/>
        <w:jc w:val="both"/>
        <w:rPr>
          <w:rFonts w:ascii="Palatino Linotype" w:eastAsia="Palatino Linotype" w:hAnsi="Palatino Linotype" w:cs="Palatino Linotype"/>
        </w:rPr>
      </w:pPr>
      <w:r w:rsidRPr="00973A22">
        <w:rPr>
          <w:rFonts w:ascii="Palatino Linotype" w:eastAsia="Palatino Linotype" w:hAnsi="Palatino Linotype" w:cs="Palatino Linotype"/>
        </w:rPr>
        <w:t xml:space="preserve"> El artículo 16 del Reglamento Interior del Instituto de Transparencia, Acceso a la Información Pública y Protección de Datos Personales del Estado de México y Municipios establece: </w:t>
      </w:r>
    </w:p>
    <w:p w:rsidR="00E328D2" w:rsidRPr="00973A22" w:rsidRDefault="00C43D44">
      <w:pPr>
        <w:spacing w:before="240" w:after="240" w:line="276" w:lineRule="auto"/>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 xml:space="preserve">Artículo 16. </w:t>
      </w:r>
      <w:r w:rsidRPr="00973A22">
        <w:rPr>
          <w:rFonts w:ascii="Palatino Linotype" w:eastAsia="Palatino Linotype" w:hAnsi="Palatino Linotype" w:cs="Palatino Linotype"/>
          <w:b/>
          <w:i/>
          <w:sz w:val="22"/>
          <w:szCs w:val="22"/>
          <w:u w:val="single"/>
        </w:rPr>
        <w:t>Formará parte de la ponencia una Coordinación de Proyectos</w:t>
      </w:r>
      <w:r w:rsidRPr="00973A22">
        <w:rPr>
          <w:rFonts w:ascii="Palatino Linotype" w:eastAsia="Palatino Linotype" w:hAnsi="Palatino Linotype" w:cs="Palatino Linotype"/>
          <w:i/>
          <w:sz w:val="22"/>
          <w:szCs w:val="22"/>
        </w:rPr>
        <w:t xml:space="preserve"> que tendrá las atribuciones siguientes:</w:t>
      </w:r>
    </w:p>
    <w:p w:rsidR="00E328D2" w:rsidRPr="00973A22" w:rsidRDefault="00C43D44">
      <w:pPr>
        <w:spacing w:before="240" w:after="240" w:line="276" w:lineRule="auto"/>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 xml:space="preserve">I. Apoyar a la o el Comisionado en la sustanciación de los recursos de revisión; </w:t>
      </w:r>
      <w:proofErr w:type="gramStart"/>
      <w:r w:rsidRPr="00973A22">
        <w:rPr>
          <w:rFonts w:ascii="Palatino Linotype" w:eastAsia="Palatino Linotype" w:hAnsi="Palatino Linotype" w:cs="Palatino Linotype"/>
          <w:i/>
          <w:sz w:val="22"/>
          <w:szCs w:val="22"/>
        </w:rPr>
        <w:t>Martes</w:t>
      </w:r>
      <w:proofErr w:type="gramEnd"/>
      <w:r w:rsidRPr="00973A22">
        <w:rPr>
          <w:rFonts w:ascii="Palatino Linotype" w:eastAsia="Palatino Linotype" w:hAnsi="Palatino Linotype" w:cs="Palatino Linotype"/>
          <w:i/>
          <w:sz w:val="22"/>
          <w:szCs w:val="22"/>
        </w:rPr>
        <w:t xml:space="preserve"> 14 de marzo de 2023 Sección Primera Tomo: CCXV No. 47 32 </w:t>
      </w:r>
    </w:p>
    <w:p w:rsidR="00E328D2" w:rsidRPr="00973A22" w:rsidRDefault="00C43D44">
      <w:pPr>
        <w:spacing w:before="240" w:after="240" w:line="276" w:lineRule="auto"/>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 xml:space="preserve">II. Turnar al personal adscrito a la Ponencia, los recursos de revisión, y supervisar la elaboración de los proyectos de resolución de los mismos; </w:t>
      </w:r>
    </w:p>
    <w:p w:rsidR="00E328D2" w:rsidRPr="00973A22" w:rsidRDefault="00C43D44">
      <w:pPr>
        <w:spacing w:before="240" w:after="240" w:line="276" w:lineRule="auto"/>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 xml:space="preserve">III. Participar en las diligencias y audiencias pertinentes, en los términos señalados por la o el Comisionado; </w:t>
      </w:r>
    </w:p>
    <w:p w:rsidR="00E328D2" w:rsidRPr="00973A22" w:rsidRDefault="00C43D44">
      <w:pPr>
        <w:spacing w:before="240" w:after="240" w:line="276" w:lineRule="auto"/>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 xml:space="preserve">IV. Emitir, en casos excepcionales y previa autorización de la o el Comisionado, los acuerdos relativos a los recursos de revisión interpuestos ante el Instituto; </w:t>
      </w:r>
    </w:p>
    <w:p w:rsidR="00E328D2" w:rsidRPr="00973A22" w:rsidRDefault="00C43D44">
      <w:pPr>
        <w:spacing w:before="240" w:after="240" w:line="276" w:lineRule="auto"/>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 xml:space="preserve">V. Notificar las probables infracciones a las Leyes de la Materia, al Órgano Interno de Control, a la Dirección General Jurídica y de Verificación, o a la Dirección General de Protección de Datos Personales, derivado de la substanciación de los recursos de revisión; </w:t>
      </w:r>
    </w:p>
    <w:p w:rsidR="00E328D2" w:rsidRPr="00973A22" w:rsidRDefault="00C43D44">
      <w:pPr>
        <w:spacing w:before="240" w:after="240" w:line="276" w:lineRule="auto"/>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 xml:space="preserve">VI. Analizar los proyectos de los recursos de revisión; </w:t>
      </w:r>
    </w:p>
    <w:p w:rsidR="00E328D2" w:rsidRPr="00973A22" w:rsidRDefault="00C43D44">
      <w:pPr>
        <w:spacing w:before="240" w:after="240" w:line="276" w:lineRule="auto"/>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lastRenderedPageBreak/>
        <w:t xml:space="preserve">VII. Analizar en coordinación con la o el Secretario Técnico, la propuesta de acumulación o separación de los recursos de revisión; </w:t>
      </w:r>
    </w:p>
    <w:p w:rsidR="00E328D2" w:rsidRPr="00973A22" w:rsidRDefault="00C43D44">
      <w:pPr>
        <w:spacing w:before="240" w:after="240" w:line="276" w:lineRule="auto"/>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 xml:space="preserve">VIII. Coadyuvar con la Dirección General Jurídica y de Verificación, en el trámite de los juicios de amparo, y el desahogo de los recursos de inconformidad que se promuevan en contra de las resoluciones emitidas en los recursos de revisión; IX. Elaborar el Programa Anual de Trabajo correspondiente a su área de adscripción; X. Elaborar y remitir a la o al Secretario las propuestas de criterios de interpretación en materia de transparencia y protección de datos personales; y </w:t>
      </w:r>
    </w:p>
    <w:p w:rsidR="00E328D2" w:rsidRPr="00973A22" w:rsidRDefault="00C43D44">
      <w:pPr>
        <w:spacing w:before="240" w:after="240" w:line="276" w:lineRule="auto"/>
        <w:ind w:left="851" w:right="616"/>
        <w:jc w:val="both"/>
        <w:rPr>
          <w:rFonts w:ascii="Palatino Linotype" w:eastAsia="Palatino Linotype" w:hAnsi="Palatino Linotype" w:cs="Palatino Linotype"/>
        </w:rPr>
      </w:pPr>
      <w:r w:rsidRPr="00973A22">
        <w:rPr>
          <w:rFonts w:ascii="Palatino Linotype" w:eastAsia="Palatino Linotype" w:hAnsi="Palatino Linotype" w:cs="Palatino Linotype"/>
          <w:i/>
          <w:sz w:val="22"/>
          <w:szCs w:val="22"/>
        </w:rPr>
        <w:t>XI. Las demás que señalen el Reglamento, las disposiciones legales y administrativas aplicables y aquéllas instruidas por la o el Comisionado al que estén adscritos.</w:t>
      </w:r>
    </w:p>
    <w:p w:rsidR="00E328D2" w:rsidRPr="00973A22" w:rsidRDefault="00E328D2">
      <w:pPr>
        <w:spacing w:line="360" w:lineRule="auto"/>
        <w:jc w:val="both"/>
        <w:rPr>
          <w:rFonts w:ascii="Palatino Linotype" w:eastAsia="Palatino Linotype" w:hAnsi="Palatino Linotype" w:cs="Palatino Linotype"/>
        </w:rPr>
      </w:pPr>
    </w:p>
    <w:p w:rsidR="00E328D2" w:rsidRPr="00973A22" w:rsidRDefault="00C43D44">
      <w:pPr>
        <w:spacing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t xml:space="preserve">En este entendido, tomando en consideración  las atribuciones de la Coordinación de Proyectos, la información que genera en ejercicio de sus funciones y que obra en el correo electrónico institucional no corresponde únicamente a documentos de comprobación administrativa inmediata; toda vez, que la misma no encuadra en la definición citada. </w:t>
      </w:r>
    </w:p>
    <w:p w:rsidR="00E328D2" w:rsidRPr="00973A22" w:rsidRDefault="00E328D2">
      <w:pPr>
        <w:spacing w:line="360" w:lineRule="auto"/>
        <w:jc w:val="both"/>
        <w:rPr>
          <w:rFonts w:ascii="Palatino Linotype" w:eastAsia="Palatino Linotype" w:hAnsi="Palatino Linotype" w:cs="Palatino Linotype"/>
        </w:rPr>
      </w:pPr>
    </w:p>
    <w:p w:rsidR="00E328D2" w:rsidRPr="00973A22" w:rsidRDefault="00C43D44">
      <w:pPr>
        <w:spacing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t xml:space="preserve">Asimismo, es de señalar que los Lineamientos para la Administración de Documentos del Instituto de Transparencia, Acceso a la Información Pública y Protección de Datos Personales del Estado de México y Municipios en el artículo 77 establece: </w:t>
      </w:r>
    </w:p>
    <w:p w:rsidR="00E328D2" w:rsidRPr="00973A22" w:rsidRDefault="00E328D2">
      <w:pPr>
        <w:spacing w:line="360" w:lineRule="auto"/>
        <w:jc w:val="both"/>
        <w:rPr>
          <w:rFonts w:ascii="Palatino Linotype" w:eastAsia="Palatino Linotype" w:hAnsi="Palatino Linotype" w:cs="Palatino Linotype"/>
        </w:rPr>
      </w:pPr>
    </w:p>
    <w:p w:rsidR="00E328D2" w:rsidRPr="00973A22" w:rsidRDefault="00C43D44">
      <w:pPr>
        <w:spacing w:line="276" w:lineRule="auto"/>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w:t>
      </w:r>
      <w:r w:rsidRPr="00973A22">
        <w:rPr>
          <w:rFonts w:ascii="Palatino Linotype" w:eastAsia="Palatino Linotype" w:hAnsi="Palatino Linotype" w:cs="Palatino Linotype"/>
          <w:b/>
          <w:i/>
          <w:sz w:val="22"/>
          <w:szCs w:val="22"/>
        </w:rPr>
        <w:t>Artículo 77.</w:t>
      </w:r>
      <w:r w:rsidRPr="00973A22">
        <w:rPr>
          <w:rFonts w:ascii="Palatino Linotype" w:eastAsia="Palatino Linotype" w:hAnsi="Palatino Linotype" w:cs="Palatino Linotype"/>
          <w:i/>
          <w:sz w:val="22"/>
          <w:szCs w:val="22"/>
        </w:rPr>
        <w:t xml:space="preserve">- En el proceso de selección preliminar se identificarán y </w:t>
      </w:r>
      <w:r w:rsidRPr="00973A22">
        <w:rPr>
          <w:rFonts w:ascii="Palatino Linotype" w:eastAsia="Palatino Linotype" w:hAnsi="Palatino Linotype" w:cs="Palatino Linotype"/>
          <w:b/>
          <w:i/>
          <w:sz w:val="22"/>
          <w:szCs w:val="22"/>
          <w:u w:val="single"/>
        </w:rPr>
        <w:t>retirarán de los expedientes de trámite concluido</w:t>
      </w:r>
      <w:r w:rsidRPr="00973A22">
        <w:rPr>
          <w:rFonts w:ascii="Palatino Linotype" w:eastAsia="Palatino Linotype" w:hAnsi="Palatino Linotype" w:cs="Palatino Linotype"/>
          <w:i/>
          <w:sz w:val="22"/>
          <w:szCs w:val="22"/>
        </w:rPr>
        <w:t xml:space="preserve">: </w:t>
      </w:r>
    </w:p>
    <w:p w:rsidR="00E328D2" w:rsidRPr="00973A22" w:rsidRDefault="00C43D44">
      <w:pPr>
        <w:spacing w:line="276" w:lineRule="auto"/>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lastRenderedPageBreak/>
        <w:t xml:space="preserve">I. Los documentos duplicados o las copias fotostáticas de aquellos cuyo original obre en el propio expediente, los borradores y los sobrantes de los ejemplares múltiples de un mismo documento; </w:t>
      </w:r>
    </w:p>
    <w:p w:rsidR="00E328D2" w:rsidRPr="00973A22" w:rsidRDefault="00C43D44">
      <w:pPr>
        <w:spacing w:line="276" w:lineRule="auto"/>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 xml:space="preserve">II. Las portadas de fax, recados telefónicos, mensajes y notas escritas en tarjetas u hojas </w:t>
      </w:r>
      <w:proofErr w:type="spellStart"/>
      <w:r w:rsidRPr="00973A22">
        <w:rPr>
          <w:rFonts w:ascii="Palatino Linotype" w:eastAsia="Palatino Linotype" w:hAnsi="Palatino Linotype" w:cs="Palatino Linotype"/>
          <w:i/>
          <w:sz w:val="22"/>
          <w:szCs w:val="22"/>
        </w:rPr>
        <w:t>autoadheribles</w:t>
      </w:r>
      <w:proofErr w:type="spellEnd"/>
      <w:r w:rsidRPr="00973A22">
        <w:rPr>
          <w:rFonts w:ascii="Palatino Linotype" w:eastAsia="Palatino Linotype" w:hAnsi="Palatino Linotype" w:cs="Palatino Linotype"/>
          <w:i/>
          <w:sz w:val="22"/>
          <w:szCs w:val="22"/>
        </w:rPr>
        <w:t xml:space="preserve"> (post-</w:t>
      </w:r>
      <w:proofErr w:type="spellStart"/>
      <w:r w:rsidRPr="00973A22">
        <w:rPr>
          <w:rFonts w:ascii="Palatino Linotype" w:eastAsia="Palatino Linotype" w:hAnsi="Palatino Linotype" w:cs="Palatino Linotype"/>
          <w:i/>
          <w:sz w:val="22"/>
          <w:szCs w:val="22"/>
        </w:rPr>
        <w:t>it</w:t>
      </w:r>
      <w:proofErr w:type="spellEnd"/>
      <w:r w:rsidRPr="00973A22">
        <w:rPr>
          <w:rFonts w:ascii="Palatino Linotype" w:eastAsia="Palatino Linotype" w:hAnsi="Palatino Linotype" w:cs="Palatino Linotype"/>
          <w:i/>
          <w:sz w:val="22"/>
          <w:szCs w:val="22"/>
        </w:rPr>
        <w:t>), tarjetas de recordatorio y solicitudes de audiencia;</w:t>
      </w:r>
    </w:p>
    <w:p w:rsidR="00E328D2" w:rsidRPr="00973A22" w:rsidRDefault="00C43D44">
      <w:pPr>
        <w:spacing w:line="276" w:lineRule="auto"/>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 xml:space="preserve">III. Los registros de llamadas telefónicas, de control de la correspondencia y los destinados al control de entrada y salida de personas ajenas a las Unidades Administrativas; </w:t>
      </w:r>
    </w:p>
    <w:p w:rsidR="00E328D2" w:rsidRPr="00973A22" w:rsidRDefault="00C43D44">
      <w:pPr>
        <w:spacing w:line="276" w:lineRule="auto"/>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 xml:space="preserve">IV. Las tarjetas de presentación y de felicitación, las invitaciones a eventos y, en general, los documentos cuya finalidad sea la de recordar o dar a conocer actividades o sucesos temporales, exceptuando de ello a las invitaciones generadas por la Unidad Administrativa a la que pertenece el Archivo de Trámite, de las cuales se deberá de conservar un ejemplar en el expediente correspondiente; y </w:t>
      </w:r>
    </w:p>
    <w:p w:rsidR="00E328D2" w:rsidRPr="00973A22" w:rsidRDefault="00C43D44">
      <w:pPr>
        <w:spacing w:line="276" w:lineRule="auto"/>
        <w:ind w:left="851" w:right="616"/>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 xml:space="preserve">V. Los documentos cancelados o carentes de la firma autógrafa o electrónica del servidor público que los generó, sin importar que sean originales o copias, exceptuando de ello a los documentos no convencionales, bibliográficos o </w:t>
      </w:r>
      <w:proofErr w:type="spellStart"/>
      <w:r w:rsidRPr="00973A22">
        <w:rPr>
          <w:rFonts w:ascii="Palatino Linotype" w:eastAsia="Palatino Linotype" w:hAnsi="Palatino Linotype" w:cs="Palatino Linotype"/>
          <w:i/>
          <w:sz w:val="22"/>
          <w:szCs w:val="22"/>
        </w:rPr>
        <w:t>hemerográficos</w:t>
      </w:r>
      <w:proofErr w:type="spellEnd"/>
      <w:r w:rsidRPr="00973A22">
        <w:rPr>
          <w:rFonts w:ascii="Palatino Linotype" w:eastAsia="Palatino Linotype" w:hAnsi="Palatino Linotype" w:cs="Palatino Linotype"/>
          <w:i/>
          <w:sz w:val="22"/>
          <w:szCs w:val="22"/>
        </w:rPr>
        <w:t xml:space="preserve"> que formen parte del asunto de los propios expedientes.</w:t>
      </w:r>
    </w:p>
    <w:p w:rsidR="00E328D2" w:rsidRPr="00973A22" w:rsidRDefault="00E328D2">
      <w:pPr>
        <w:spacing w:line="360" w:lineRule="auto"/>
        <w:jc w:val="both"/>
        <w:rPr>
          <w:rFonts w:ascii="Palatino Linotype" w:eastAsia="Palatino Linotype" w:hAnsi="Palatino Linotype" w:cs="Palatino Linotype"/>
        </w:rPr>
      </w:pPr>
    </w:p>
    <w:p w:rsidR="00E328D2" w:rsidRPr="00973A22" w:rsidRDefault="00C43D44">
      <w:pPr>
        <w:spacing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t xml:space="preserve">Atento a lo anterior, el precepto normativo citado establece de manera precisa los documentos que pueden eliminarse de un expediente en trámite concluido. </w:t>
      </w:r>
    </w:p>
    <w:p w:rsidR="00E328D2" w:rsidRPr="00973A22" w:rsidRDefault="00E328D2">
      <w:pPr>
        <w:spacing w:line="360" w:lineRule="auto"/>
        <w:jc w:val="both"/>
        <w:rPr>
          <w:rFonts w:ascii="Palatino Linotype" w:eastAsia="Palatino Linotype" w:hAnsi="Palatino Linotype" w:cs="Palatino Linotype"/>
        </w:rPr>
      </w:pPr>
    </w:p>
    <w:p w:rsidR="00E328D2" w:rsidRPr="00973A22" w:rsidRDefault="00C43D44">
      <w:pPr>
        <w:spacing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t xml:space="preserve">Es así que, en atención a las consideraciones señaladas y tomando como referencia el pronunciamiento del </w:t>
      </w:r>
      <w:r w:rsidRPr="00973A22">
        <w:rPr>
          <w:rFonts w:ascii="Palatino Linotype" w:eastAsia="Palatino Linotype" w:hAnsi="Palatino Linotype" w:cs="Palatino Linotype"/>
          <w:b/>
        </w:rPr>
        <w:t xml:space="preserve">Sujeto Obligado </w:t>
      </w:r>
      <w:r w:rsidRPr="00973A22">
        <w:rPr>
          <w:rFonts w:ascii="Palatino Linotype" w:eastAsia="Palatino Linotype" w:hAnsi="Palatino Linotype" w:cs="Palatino Linotype"/>
        </w:rPr>
        <w:t xml:space="preserve">tanto en respuesta como en informe justificado, el Pleno de este Instituto determina dable ordenar el acuerdo que emita el Comité de Transparencia en el que declare de manera fundada y motivada, las razones por las cuales no se tiene la información para hacer entrega de ella, en </w:t>
      </w:r>
      <w:r w:rsidRPr="00973A22">
        <w:rPr>
          <w:rFonts w:ascii="Palatino Linotype" w:eastAsia="Palatino Linotype" w:hAnsi="Palatino Linotype" w:cs="Palatino Linotype"/>
        </w:rPr>
        <w:lastRenderedPageBreak/>
        <w:t>términos de lo dispuesto en los artículos 47 y 49, fracciones II y XIII, de la Ley en estudio:</w:t>
      </w:r>
    </w:p>
    <w:p w:rsidR="00E328D2" w:rsidRPr="00973A22" w:rsidRDefault="00E328D2">
      <w:pPr>
        <w:spacing w:line="360" w:lineRule="auto"/>
        <w:ind w:right="567"/>
        <w:jc w:val="both"/>
        <w:rPr>
          <w:rFonts w:ascii="Palatino Linotype" w:eastAsia="Palatino Linotype" w:hAnsi="Palatino Linotype" w:cs="Palatino Linotype"/>
        </w:rPr>
      </w:pPr>
    </w:p>
    <w:p w:rsidR="00E328D2" w:rsidRPr="00973A22" w:rsidRDefault="00C43D44">
      <w:pPr>
        <w:ind w:left="567" w:right="567"/>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b/>
          <w:i/>
          <w:sz w:val="22"/>
          <w:szCs w:val="22"/>
        </w:rPr>
        <w:t>Artículo 47.</w:t>
      </w:r>
      <w:r w:rsidRPr="00973A22">
        <w:rPr>
          <w:rFonts w:ascii="Palatino Linotype" w:eastAsia="Palatino Linotype" w:hAnsi="Palatino Linotype" w:cs="Palatino Linotype"/>
          <w:i/>
          <w:sz w:val="22"/>
          <w:szCs w:val="22"/>
        </w:rPr>
        <w:t xml:space="preserve"> El Comité de Transparencia será la autoridad máxima al interior del sujeto obligado en materia del derecho de acceso a la información.</w:t>
      </w:r>
    </w:p>
    <w:p w:rsidR="00E328D2" w:rsidRPr="00973A22" w:rsidRDefault="00E328D2">
      <w:pPr>
        <w:ind w:left="567" w:right="567"/>
        <w:jc w:val="both"/>
        <w:rPr>
          <w:rFonts w:ascii="Palatino Linotype" w:eastAsia="Palatino Linotype" w:hAnsi="Palatino Linotype" w:cs="Palatino Linotype"/>
          <w:i/>
          <w:sz w:val="22"/>
          <w:szCs w:val="22"/>
        </w:rPr>
      </w:pPr>
    </w:p>
    <w:p w:rsidR="00E328D2" w:rsidRPr="00973A22" w:rsidRDefault="00C43D44">
      <w:pPr>
        <w:ind w:left="567" w:right="567"/>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rsidR="00E328D2" w:rsidRPr="00973A22" w:rsidRDefault="00E328D2">
      <w:pPr>
        <w:ind w:left="567" w:right="567"/>
        <w:jc w:val="both"/>
        <w:rPr>
          <w:rFonts w:ascii="Palatino Linotype" w:eastAsia="Palatino Linotype" w:hAnsi="Palatino Linotype" w:cs="Palatino Linotype"/>
          <w:i/>
          <w:sz w:val="22"/>
          <w:szCs w:val="22"/>
        </w:rPr>
      </w:pPr>
    </w:p>
    <w:p w:rsidR="00E328D2" w:rsidRPr="00973A22" w:rsidRDefault="00C43D44">
      <w:pPr>
        <w:ind w:left="567" w:right="567"/>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El Comité se reunirá en sesión ordinaria o extraordinaria las veces que estime necesario. El tipo de sesión se precisará en la convocatoria emitida.</w:t>
      </w:r>
    </w:p>
    <w:p w:rsidR="00E328D2" w:rsidRPr="00973A22" w:rsidRDefault="00E328D2">
      <w:pPr>
        <w:ind w:left="567" w:right="567"/>
        <w:jc w:val="both"/>
        <w:rPr>
          <w:rFonts w:ascii="Palatino Linotype" w:eastAsia="Palatino Linotype" w:hAnsi="Palatino Linotype" w:cs="Palatino Linotype"/>
          <w:i/>
          <w:sz w:val="22"/>
          <w:szCs w:val="22"/>
        </w:rPr>
      </w:pPr>
    </w:p>
    <w:p w:rsidR="00E328D2" w:rsidRPr="00973A22" w:rsidRDefault="00C43D44">
      <w:pPr>
        <w:ind w:left="567" w:right="567"/>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rsidR="00E328D2" w:rsidRPr="00973A22" w:rsidRDefault="00E328D2">
      <w:pPr>
        <w:ind w:left="567" w:right="567"/>
        <w:jc w:val="both"/>
        <w:rPr>
          <w:rFonts w:ascii="Palatino Linotype" w:eastAsia="Palatino Linotype" w:hAnsi="Palatino Linotype" w:cs="Palatino Linotype"/>
          <w:i/>
          <w:sz w:val="22"/>
          <w:szCs w:val="22"/>
        </w:rPr>
      </w:pPr>
    </w:p>
    <w:p w:rsidR="00E328D2" w:rsidRPr="00973A22" w:rsidRDefault="00C43D44">
      <w:pPr>
        <w:ind w:left="567" w:right="567"/>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En las sesiones y trabajos del Comité, podrán participar como invitados permanentes, los representantes de las áreas que decida el Comité, y contará con derecho de voz, pero no voto.</w:t>
      </w:r>
    </w:p>
    <w:p w:rsidR="00E328D2" w:rsidRPr="00973A22" w:rsidRDefault="00E328D2">
      <w:pPr>
        <w:ind w:left="567" w:right="567"/>
        <w:jc w:val="both"/>
        <w:rPr>
          <w:rFonts w:ascii="Palatino Linotype" w:eastAsia="Palatino Linotype" w:hAnsi="Palatino Linotype" w:cs="Palatino Linotype"/>
          <w:i/>
          <w:sz w:val="22"/>
          <w:szCs w:val="22"/>
        </w:rPr>
      </w:pPr>
    </w:p>
    <w:p w:rsidR="00E328D2" w:rsidRPr="00973A22" w:rsidRDefault="00C43D44">
      <w:pPr>
        <w:ind w:left="567" w:right="567"/>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 xml:space="preserve">Los titulares de las unidades administrativas que propongan la reserva, confidencialidad o declaren la </w:t>
      </w:r>
      <w:r w:rsidRPr="00973A22">
        <w:rPr>
          <w:rFonts w:ascii="Palatino Linotype" w:eastAsia="Palatino Linotype" w:hAnsi="Palatino Linotype" w:cs="Palatino Linotype"/>
          <w:i/>
          <w:sz w:val="22"/>
          <w:szCs w:val="22"/>
          <w:u w:val="single"/>
        </w:rPr>
        <w:t>inexistencia</w:t>
      </w:r>
      <w:r w:rsidRPr="00973A22">
        <w:rPr>
          <w:rFonts w:ascii="Palatino Linotype" w:eastAsia="Palatino Linotype" w:hAnsi="Palatino Linotype" w:cs="Palatino Linotype"/>
          <w:i/>
          <w:sz w:val="22"/>
          <w:szCs w:val="22"/>
        </w:rPr>
        <w:t xml:space="preserve"> de información, acudirán a las sesiones de dicho Comité donde se discuta la propuesta correspondiente.”</w:t>
      </w:r>
    </w:p>
    <w:p w:rsidR="00E328D2" w:rsidRPr="00973A22" w:rsidRDefault="00E328D2">
      <w:pPr>
        <w:ind w:left="567" w:right="567"/>
        <w:jc w:val="both"/>
        <w:rPr>
          <w:rFonts w:ascii="Palatino Linotype" w:eastAsia="Palatino Linotype" w:hAnsi="Palatino Linotype" w:cs="Palatino Linotype"/>
          <w:i/>
          <w:sz w:val="22"/>
          <w:szCs w:val="22"/>
        </w:rPr>
      </w:pPr>
    </w:p>
    <w:p w:rsidR="00E328D2" w:rsidRPr="00973A22" w:rsidRDefault="00C43D44">
      <w:pPr>
        <w:ind w:left="567" w:right="567"/>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w:t>
      </w:r>
      <w:r w:rsidRPr="00973A22">
        <w:rPr>
          <w:rFonts w:ascii="Palatino Linotype" w:eastAsia="Palatino Linotype" w:hAnsi="Palatino Linotype" w:cs="Palatino Linotype"/>
          <w:b/>
          <w:i/>
          <w:sz w:val="22"/>
          <w:szCs w:val="22"/>
        </w:rPr>
        <w:t>Artículo 49.</w:t>
      </w:r>
      <w:r w:rsidRPr="00973A22">
        <w:rPr>
          <w:rFonts w:ascii="Palatino Linotype" w:eastAsia="Palatino Linotype" w:hAnsi="Palatino Linotype" w:cs="Palatino Linotype"/>
          <w:i/>
          <w:sz w:val="22"/>
          <w:szCs w:val="22"/>
        </w:rPr>
        <w:t xml:space="preserve"> Los Comités de Transparencia tendrán las siguientes atribuciones:</w:t>
      </w:r>
    </w:p>
    <w:p w:rsidR="00E328D2" w:rsidRPr="00973A22" w:rsidRDefault="00C43D44">
      <w:pPr>
        <w:ind w:left="567" w:right="567"/>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w:t>
      </w:r>
    </w:p>
    <w:p w:rsidR="00E328D2" w:rsidRPr="00973A22" w:rsidRDefault="00C43D44">
      <w:pPr>
        <w:ind w:left="567" w:right="567"/>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 xml:space="preserve">II. Confirmar, modificar o revocar las determinaciones que en materia de ampliación del plazo de respuesta, clasificación de la información y </w:t>
      </w:r>
      <w:r w:rsidRPr="00973A22">
        <w:rPr>
          <w:rFonts w:ascii="Palatino Linotype" w:eastAsia="Palatino Linotype" w:hAnsi="Palatino Linotype" w:cs="Palatino Linotype"/>
          <w:i/>
          <w:sz w:val="22"/>
          <w:szCs w:val="22"/>
          <w:u w:val="single"/>
        </w:rPr>
        <w:t xml:space="preserve">declaración de inexistencia </w:t>
      </w:r>
      <w:r w:rsidRPr="00973A22">
        <w:rPr>
          <w:rFonts w:ascii="Palatino Linotype" w:eastAsia="Palatino Linotype" w:hAnsi="Palatino Linotype" w:cs="Palatino Linotype"/>
          <w:i/>
          <w:sz w:val="22"/>
          <w:szCs w:val="22"/>
        </w:rPr>
        <w:t>o de incompetencia realicen los titulares de las áreas de los sujetos obligados;</w:t>
      </w:r>
    </w:p>
    <w:p w:rsidR="00E328D2" w:rsidRPr="00973A22" w:rsidRDefault="00C43D44">
      <w:pPr>
        <w:ind w:left="567" w:right="567"/>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w:t>
      </w:r>
    </w:p>
    <w:p w:rsidR="00E328D2" w:rsidRPr="00973A22" w:rsidRDefault="00C43D44">
      <w:pPr>
        <w:ind w:left="567" w:right="567"/>
        <w:jc w:val="both"/>
        <w:rPr>
          <w:rFonts w:ascii="Palatino Linotype" w:eastAsia="Palatino Linotype" w:hAnsi="Palatino Linotype" w:cs="Palatino Linotype"/>
          <w:i/>
        </w:rPr>
      </w:pPr>
      <w:r w:rsidRPr="00973A22">
        <w:rPr>
          <w:rFonts w:ascii="Palatino Linotype" w:eastAsia="Palatino Linotype" w:hAnsi="Palatino Linotype" w:cs="Palatino Linotype"/>
          <w:i/>
          <w:sz w:val="22"/>
          <w:szCs w:val="22"/>
        </w:rPr>
        <w:t>XIII. Dictaminar las declaratorias de inexistencia de la información que les remitan las unidades administrativas y resolver en consecuencia;</w:t>
      </w:r>
    </w:p>
    <w:p w:rsidR="00E328D2" w:rsidRPr="00973A22" w:rsidRDefault="00E328D2">
      <w:pPr>
        <w:spacing w:line="360" w:lineRule="auto"/>
        <w:jc w:val="both"/>
        <w:rPr>
          <w:rFonts w:ascii="Palatino Linotype" w:eastAsia="Palatino Linotype" w:hAnsi="Palatino Linotype" w:cs="Palatino Linotype"/>
          <w:i/>
        </w:rPr>
      </w:pPr>
    </w:p>
    <w:p w:rsidR="00E328D2" w:rsidRPr="00973A22" w:rsidRDefault="00C43D44">
      <w:pPr>
        <w:spacing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t xml:space="preserve">Asimismo, el acuerdo de inexistencia deberá apegarse a lo dispuesto por los artículos 169 y 170, de la Ley de la materia que ordenan: </w:t>
      </w:r>
    </w:p>
    <w:p w:rsidR="00E328D2" w:rsidRPr="00973A22" w:rsidRDefault="00E328D2">
      <w:pPr>
        <w:spacing w:line="360" w:lineRule="auto"/>
        <w:jc w:val="both"/>
        <w:rPr>
          <w:rFonts w:ascii="Palatino Linotype" w:eastAsia="Palatino Linotype" w:hAnsi="Palatino Linotype" w:cs="Palatino Linotype"/>
        </w:rPr>
      </w:pPr>
    </w:p>
    <w:p w:rsidR="00E328D2" w:rsidRPr="00973A22" w:rsidRDefault="00C43D44">
      <w:pPr>
        <w:ind w:left="567" w:right="567"/>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b/>
          <w:i/>
          <w:sz w:val="22"/>
          <w:szCs w:val="22"/>
        </w:rPr>
        <w:t>Artículo 169.</w:t>
      </w:r>
      <w:r w:rsidRPr="00973A22">
        <w:rPr>
          <w:rFonts w:ascii="Palatino Linotype" w:eastAsia="Palatino Linotype" w:hAnsi="Palatino Linotype" w:cs="Palatino Linotype"/>
          <w:i/>
          <w:sz w:val="22"/>
          <w:szCs w:val="22"/>
        </w:rPr>
        <w:t xml:space="preserve"> Cuando la información no se encuentre en los archivos del sujeto obligado, el Comité de Transparencia:</w:t>
      </w:r>
    </w:p>
    <w:p w:rsidR="00E328D2" w:rsidRPr="00973A22" w:rsidRDefault="00E328D2">
      <w:pPr>
        <w:ind w:left="567" w:right="567"/>
        <w:jc w:val="both"/>
        <w:rPr>
          <w:rFonts w:ascii="Palatino Linotype" w:eastAsia="Palatino Linotype" w:hAnsi="Palatino Linotype" w:cs="Palatino Linotype"/>
          <w:i/>
          <w:sz w:val="22"/>
          <w:szCs w:val="22"/>
        </w:rPr>
      </w:pPr>
    </w:p>
    <w:p w:rsidR="00E328D2" w:rsidRPr="00973A22" w:rsidRDefault="00C43D44">
      <w:pPr>
        <w:ind w:left="567" w:right="567"/>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I. Analizará el caso y tomará las medidas necesarias para localizar la información;</w:t>
      </w:r>
    </w:p>
    <w:p w:rsidR="00E328D2" w:rsidRPr="00973A22" w:rsidRDefault="00E328D2">
      <w:pPr>
        <w:ind w:left="567" w:right="567"/>
        <w:jc w:val="both"/>
        <w:rPr>
          <w:rFonts w:ascii="Palatino Linotype" w:eastAsia="Palatino Linotype" w:hAnsi="Palatino Linotype" w:cs="Palatino Linotype"/>
          <w:i/>
          <w:sz w:val="22"/>
          <w:szCs w:val="22"/>
        </w:rPr>
      </w:pPr>
    </w:p>
    <w:p w:rsidR="00E328D2" w:rsidRPr="00973A22" w:rsidRDefault="00C43D44">
      <w:pPr>
        <w:ind w:left="567" w:right="567"/>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II. Expedirá una resolución que confirme la inexistencia del documento;</w:t>
      </w:r>
    </w:p>
    <w:p w:rsidR="00E328D2" w:rsidRPr="00973A22" w:rsidRDefault="00E328D2">
      <w:pPr>
        <w:ind w:left="567" w:right="567"/>
        <w:jc w:val="both"/>
        <w:rPr>
          <w:rFonts w:ascii="Palatino Linotype" w:eastAsia="Palatino Linotype" w:hAnsi="Palatino Linotype" w:cs="Palatino Linotype"/>
          <w:i/>
          <w:sz w:val="22"/>
          <w:szCs w:val="22"/>
        </w:rPr>
      </w:pPr>
    </w:p>
    <w:p w:rsidR="00E328D2" w:rsidRPr="00973A22" w:rsidRDefault="00C43D44">
      <w:pPr>
        <w:ind w:left="567" w:right="567"/>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E328D2" w:rsidRPr="00973A22" w:rsidRDefault="00E328D2">
      <w:pPr>
        <w:ind w:left="567" w:right="567"/>
        <w:jc w:val="both"/>
        <w:rPr>
          <w:rFonts w:ascii="Palatino Linotype" w:eastAsia="Palatino Linotype" w:hAnsi="Palatino Linotype" w:cs="Palatino Linotype"/>
          <w:i/>
          <w:sz w:val="22"/>
          <w:szCs w:val="22"/>
        </w:rPr>
      </w:pPr>
    </w:p>
    <w:p w:rsidR="00E328D2" w:rsidRPr="00973A22" w:rsidRDefault="00C43D44">
      <w:pPr>
        <w:ind w:left="567" w:right="567"/>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b/>
          <w:i/>
          <w:sz w:val="22"/>
          <w:szCs w:val="22"/>
        </w:rPr>
        <w:t>IV. Notificará al órgano interno de control o equivalente del sujeto obligado quien, en su caso, deberá iniciar el procedimiento de responsabilidad administrativa que corresponda</w:t>
      </w:r>
      <w:r w:rsidRPr="00973A22">
        <w:rPr>
          <w:rFonts w:ascii="Palatino Linotype" w:eastAsia="Palatino Linotype" w:hAnsi="Palatino Linotype" w:cs="Palatino Linotype"/>
          <w:i/>
          <w:sz w:val="22"/>
          <w:szCs w:val="22"/>
        </w:rPr>
        <w:t>.</w:t>
      </w:r>
    </w:p>
    <w:p w:rsidR="00E328D2" w:rsidRPr="00973A22" w:rsidRDefault="00E328D2">
      <w:pPr>
        <w:ind w:left="567" w:right="567"/>
        <w:jc w:val="both"/>
        <w:rPr>
          <w:rFonts w:ascii="Palatino Linotype" w:eastAsia="Palatino Linotype" w:hAnsi="Palatino Linotype" w:cs="Palatino Linotype"/>
          <w:i/>
          <w:sz w:val="22"/>
          <w:szCs w:val="22"/>
        </w:rPr>
      </w:pPr>
    </w:p>
    <w:p w:rsidR="00E328D2" w:rsidRPr="00973A22" w:rsidRDefault="00C43D44">
      <w:pPr>
        <w:ind w:left="567" w:right="567"/>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rsidR="00E328D2" w:rsidRPr="00973A22" w:rsidRDefault="00E328D2">
      <w:pPr>
        <w:ind w:left="567" w:right="567"/>
        <w:jc w:val="both"/>
        <w:rPr>
          <w:rFonts w:ascii="Palatino Linotype" w:eastAsia="Palatino Linotype" w:hAnsi="Palatino Linotype" w:cs="Palatino Linotype"/>
          <w:i/>
          <w:sz w:val="22"/>
          <w:szCs w:val="22"/>
        </w:rPr>
      </w:pPr>
    </w:p>
    <w:p w:rsidR="00E328D2" w:rsidRPr="00973A22" w:rsidRDefault="00C43D44">
      <w:pPr>
        <w:ind w:left="567" w:right="567"/>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rsidR="00E328D2" w:rsidRPr="00973A22" w:rsidRDefault="00E328D2">
      <w:pPr>
        <w:ind w:left="567" w:right="567"/>
        <w:jc w:val="both"/>
        <w:rPr>
          <w:rFonts w:ascii="Palatino Linotype" w:eastAsia="Palatino Linotype" w:hAnsi="Palatino Linotype" w:cs="Palatino Linotype"/>
          <w:i/>
          <w:sz w:val="22"/>
          <w:szCs w:val="22"/>
        </w:rPr>
      </w:pPr>
    </w:p>
    <w:p w:rsidR="00E328D2" w:rsidRPr="00973A22" w:rsidRDefault="00C43D44">
      <w:pPr>
        <w:ind w:left="567" w:right="567"/>
        <w:jc w:val="both"/>
        <w:rPr>
          <w:rFonts w:ascii="Palatino Linotype" w:eastAsia="Palatino Linotype" w:hAnsi="Palatino Linotype" w:cs="Palatino Linotype"/>
          <w:i/>
          <w:sz w:val="22"/>
          <w:szCs w:val="22"/>
        </w:rPr>
      </w:pPr>
      <w:r w:rsidRPr="00973A22">
        <w:rPr>
          <w:rFonts w:ascii="Palatino Linotype" w:eastAsia="Palatino Linotype" w:hAnsi="Palatino Linotype" w:cs="Palatino Linotype"/>
          <w:b/>
          <w:i/>
          <w:sz w:val="22"/>
          <w:szCs w:val="22"/>
        </w:rPr>
        <w:t>Artículo 170.</w:t>
      </w:r>
      <w:r w:rsidRPr="00973A22">
        <w:rPr>
          <w:rFonts w:ascii="Palatino Linotype" w:eastAsia="Palatino Linotype" w:hAnsi="Palatino Linotype" w:cs="Palatino Linotype"/>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w:t>
      </w:r>
      <w:r w:rsidRPr="00973A22">
        <w:rPr>
          <w:rFonts w:ascii="Palatino Linotype" w:eastAsia="Palatino Linotype" w:hAnsi="Palatino Linotype" w:cs="Palatino Linotype"/>
          <w:i/>
          <w:sz w:val="22"/>
          <w:szCs w:val="22"/>
        </w:rPr>
        <w:lastRenderedPageBreak/>
        <w:t xml:space="preserve">las circunstancias de tiempo, modo y lugar que generaron la existencia en cuestión y señalará al servidor público responsable de contar con la misma. </w:t>
      </w:r>
    </w:p>
    <w:p w:rsidR="00E328D2" w:rsidRPr="00973A22" w:rsidRDefault="00E328D2">
      <w:pPr>
        <w:ind w:left="567" w:right="567"/>
        <w:jc w:val="both"/>
        <w:rPr>
          <w:rFonts w:ascii="Palatino Linotype" w:eastAsia="Palatino Linotype" w:hAnsi="Palatino Linotype" w:cs="Palatino Linotype"/>
        </w:rPr>
      </w:pPr>
    </w:p>
    <w:p w:rsidR="00E328D2" w:rsidRPr="00973A22" w:rsidRDefault="00C43D44">
      <w:pPr>
        <w:spacing w:line="360" w:lineRule="auto"/>
        <w:ind w:right="49"/>
        <w:jc w:val="both"/>
        <w:rPr>
          <w:rFonts w:ascii="Palatino Linotype" w:eastAsia="Palatino Linotype" w:hAnsi="Palatino Linotype" w:cs="Palatino Linotype"/>
        </w:rPr>
      </w:pPr>
      <w:r w:rsidRPr="00973A22">
        <w:rPr>
          <w:rFonts w:ascii="Palatino Linotype" w:eastAsia="Palatino Linotype" w:hAnsi="Palatino Linotype" w:cs="Palatino Linotype"/>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rsidR="00E328D2" w:rsidRPr="00973A22" w:rsidRDefault="00E328D2">
      <w:pPr>
        <w:spacing w:line="360" w:lineRule="auto"/>
        <w:jc w:val="both"/>
        <w:rPr>
          <w:rFonts w:ascii="Palatino Linotype" w:eastAsia="Palatino Linotype" w:hAnsi="Palatino Linotype" w:cs="Palatino Linotype"/>
        </w:rPr>
      </w:pPr>
    </w:p>
    <w:p w:rsidR="00E328D2" w:rsidRPr="00973A22" w:rsidRDefault="00C43D44">
      <w:pPr>
        <w:spacing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t xml:space="preserve">En ese contexto, de conformidad con los </w:t>
      </w:r>
      <w:r w:rsidRPr="00973A22">
        <w:rPr>
          <w:rFonts w:ascii="Palatino Linotype" w:eastAsia="Palatino Linotype" w:hAnsi="Palatino Linotype" w:cs="Palatino Linotype"/>
          <w:b/>
        </w:rPr>
        <w:t>criterios 12/10 y 04/19</w:t>
      </w:r>
      <w:r w:rsidRPr="00973A22">
        <w:rPr>
          <w:rFonts w:ascii="Palatino Linotype" w:eastAsia="Palatino Linotype" w:hAnsi="Palatino Linotype" w:cs="Palatino Linotype"/>
        </w:rPr>
        <w:t>,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rsidR="00E328D2" w:rsidRPr="00973A22" w:rsidRDefault="00E328D2">
      <w:pPr>
        <w:spacing w:line="360" w:lineRule="auto"/>
        <w:jc w:val="both"/>
        <w:rPr>
          <w:rFonts w:ascii="Palatino Linotype" w:eastAsia="Palatino Linotype" w:hAnsi="Palatino Linotype" w:cs="Palatino Linotype"/>
        </w:rPr>
      </w:pPr>
    </w:p>
    <w:p w:rsidR="00E328D2" w:rsidRPr="00973A22" w:rsidRDefault="00C43D44">
      <w:pPr>
        <w:numPr>
          <w:ilvl w:val="0"/>
          <w:numId w:val="5"/>
        </w:numPr>
        <w:spacing w:after="160"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t>Motivación por las que se buscó la información, en determinadas unidades administrativas;</w:t>
      </w:r>
    </w:p>
    <w:p w:rsidR="00E328D2" w:rsidRPr="00973A22" w:rsidRDefault="00C43D44">
      <w:pPr>
        <w:numPr>
          <w:ilvl w:val="0"/>
          <w:numId w:val="5"/>
        </w:numPr>
        <w:spacing w:after="160"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t>Los criterios de búsqueda utilizados, y</w:t>
      </w:r>
    </w:p>
    <w:p w:rsidR="00E328D2" w:rsidRPr="00973A22" w:rsidRDefault="00C43D44">
      <w:pPr>
        <w:numPr>
          <w:ilvl w:val="0"/>
          <w:numId w:val="5"/>
        </w:numPr>
        <w:spacing w:after="160"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t>Las circunstancias que fueron tomadas en cuenta.</w:t>
      </w:r>
    </w:p>
    <w:p w:rsidR="00E328D2" w:rsidRPr="00973A22" w:rsidRDefault="00E328D2">
      <w:pPr>
        <w:pBdr>
          <w:top w:val="nil"/>
          <w:left w:val="nil"/>
          <w:bottom w:val="nil"/>
          <w:right w:val="nil"/>
          <w:between w:val="nil"/>
        </w:pBdr>
      </w:pPr>
    </w:p>
    <w:p w:rsidR="00E328D2" w:rsidRPr="00973A22" w:rsidRDefault="00C43D44">
      <w:pPr>
        <w:spacing w:after="160"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t>De tales circunstancias, se considera que para que los Sujetos Obligados justifiquen que realizaron una búsqueda exhaustiva y razonable, deben indicar de manera clara, lo siguiente:</w:t>
      </w:r>
    </w:p>
    <w:p w:rsidR="00E328D2" w:rsidRPr="00973A22" w:rsidRDefault="00C43D44">
      <w:pPr>
        <w:numPr>
          <w:ilvl w:val="0"/>
          <w:numId w:val="6"/>
        </w:numPr>
        <w:spacing w:after="160"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lastRenderedPageBreak/>
        <w:t>Las áreas donde se buscó la información;</w:t>
      </w:r>
    </w:p>
    <w:p w:rsidR="00E328D2" w:rsidRPr="00973A22" w:rsidRDefault="00C43D44">
      <w:pPr>
        <w:numPr>
          <w:ilvl w:val="0"/>
          <w:numId w:val="6"/>
        </w:numPr>
        <w:spacing w:after="160"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t>Tipo de archivos buscados (físicos o electrónicos);</w:t>
      </w:r>
    </w:p>
    <w:p w:rsidR="00E328D2" w:rsidRPr="00973A22" w:rsidRDefault="00C43D44">
      <w:pPr>
        <w:numPr>
          <w:ilvl w:val="0"/>
          <w:numId w:val="6"/>
        </w:numPr>
        <w:spacing w:after="160"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t xml:space="preserve">Los criterios de búsqueda utilizados, y </w:t>
      </w:r>
    </w:p>
    <w:p w:rsidR="00E328D2" w:rsidRPr="00973A22" w:rsidRDefault="00C43D44">
      <w:pPr>
        <w:numPr>
          <w:ilvl w:val="0"/>
          <w:numId w:val="6"/>
        </w:numPr>
        <w:spacing w:after="160"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t>Las circunstancias que fueron tomadas en cuenta.</w:t>
      </w:r>
    </w:p>
    <w:p w:rsidR="00E328D2" w:rsidRPr="00973A22" w:rsidRDefault="00E328D2">
      <w:pPr>
        <w:spacing w:line="360" w:lineRule="auto"/>
        <w:jc w:val="both"/>
        <w:rPr>
          <w:rFonts w:ascii="Palatino Linotype" w:eastAsia="Palatino Linotype" w:hAnsi="Palatino Linotype" w:cs="Palatino Linotype"/>
        </w:rPr>
      </w:pPr>
      <w:bookmarkStart w:id="6" w:name="_heading=h.2et92p0" w:colFirst="0" w:colLast="0"/>
      <w:bookmarkEnd w:id="6"/>
    </w:p>
    <w:p w:rsidR="00E328D2" w:rsidRPr="00973A22" w:rsidRDefault="00C43D44">
      <w:pPr>
        <w:spacing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t xml:space="preserve">Conforme a lo anterior, se considera que para el presente caso toda vez que existió un pronunciamiento por las unidades administrativas competentes respecto de la búsqueda efectuada el archivo histórico del Sujeto Obligado y refirieron que </w:t>
      </w:r>
      <w:r w:rsidRPr="00973A22">
        <w:rPr>
          <w:rFonts w:ascii="Palatino Linotype" w:eastAsia="Palatino Linotype" w:hAnsi="Palatino Linotype" w:cs="Palatino Linotype"/>
          <w:b/>
        </w:rPr>
        <w:t>no se encontró la información solicitada</w:t>
      </w:r>
      <w:r w:rsidRPr="00973A22">
        <w:rPr>
          <w:rFonts w:ascii="Palatino Linotype" w:eastAsia="Palatino Linotype" w:hAnsi="Palatino Linotype" w:cs="Palatino Linotype"/>
        </w:rPr>
        <w:t xml:space="preserve">, es necesario que el Sujeto Obligado emita por medio de su Comité de Transparencia la declaratoria de inexistencia de los correos electrónicos de la Coordinadora de Proyectos del Comisionado Luis Gustavo Parra Noriega, del primero al quince de enero de dos mil diecinueve. </w:t>
      </w:r>
    </w:p>
    <w:p w:rsidR="00E328D2" w:rsidRPr="00973A22" w:rsidRDefault="00C43D44">
      <w:pPr>
        <w:spacing w:before="240" w:after="240"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t>Así, con fundamento en lo prescrito en los</w:t>
      </w:r>
      <w:r w:rsidRPr="00973A22">
        <w:t xml:space="preserve"> </w:t>
      </w:r>
      <w:r w:rsidRPr="00973A22">
        <w:rPr>
          <w:rFonts w:ascii="Palatino Linotype" w:eastAsia="Palatino Linotype" w:hAnsi="Palatino Linotype" w:cs="Palatino Linotype"/>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E328D2" w:rsidRPr="00973A22" w:rsidRDefault="00C43D44">
      <w:pPr>
        <w:numPr>
          <w:ilvl w:val="0"/>
          <w:numId w:val="9"/>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973A22">
        <w:rPr>
          <w:rFonts w:ascii="Palatino Linotype" w:eastAsia="Palatino Linotype" w:hAnsi="Palatino Linotype" w:cs="Palatino Linotype"/>
          <w:b/>
        </w:rPr>
        <w:t>R E S U E L V E:</w:t>
      </w:r>
    </w:p>
    <w:p w:rsidR="00E328D2" w:rsidRPr="00973A22" w:rsidRDefault="00C43D44">
      <w:pPr>
        <w:spacing w:line="360" w:lineRule="auto"/>
        <w:jc w:val="both"/>
        <w:rPr>
          <w:rFonts w:ascii="Palatino Linotype" w:eastAsia="Palatino Linotype" w:hAnsi="Palatino Linotype" w:cs="Palatino Linotype"/>
          <w:b/>
        </w:rPr>
      </w:pPr>
      <w:r w:rsidRPr="00973A22">
        <w:rPr>
          <w:rFonts w:ascii="Palatino Linotype" w:eastAsia="Palatino Linotype" w:hAnsi="Palatino Linotype" w:cs="Palatino Linotype"/>
          <w:b/>
        </w:rPr>
        <w:lastRenderedPageBreak/>
        <w:t xml:space="preserve">Primero. </w:t>
      </w:r>
      <w:r w:rsidRPr="00973A22">
        <w:rPr>
          <w:rFonts w:ascii="Palatino Linotype" w:eastAsia="Palatino Linotype" w:hAnsi="Palatino Linotype" w:cs="Palatino Linotype"/>
        </w:rPr>
        <w:t xml:space="preserve">Resultan </w:t>
      </w:r>
      <w:r w:rsidRPr="00973A22">
        <w:rPr>
          <w:rFonts w:ascii="Palatino Linotype" w:eastAsia="Palatino Linotype" w:hAnsi="Palatino Linotype" w:cs="Palatino Linotype"/>
          <w:b/>
        </w:rPr>
        <w:t>fundadas</w:t>
      </w:r>
      <w:r w:rsidRPr="00973A22">
        <w:rPr>
          <w:rFonts w:ascii="Palatino Linotype" w:eastAsia="Palatino Linotype" w:hAnsi="Palatino Linotype" w:cs="Palatino Linotype"/>
        </w:rPr>
        <w:t xml:space="preserve"> las</w:t>
      </w:r>
      <w:r w:rsidRPr="00973A22">
        <w:rPr>
          <w:rFonts w:ascii="Palatino Linotype" w:eastAsia="Palatino Linotype" w:hAnsi="Palatino Linotype" w:cs="Palatino Linotype"/>
          <w:b/>
        </w:rPr>
        <w:t xml:space="preserve"> </w:t>
      </w:r>
      <w:r w:rsidRPr="00973A22">
        <w:rPr>
          <w:rFonts w:ascii="Palatino Linotype" w:eastAsia="Palatino Linotype" w:hAnsi="Palatino Linotype" w:cs="Palatino Linotype"/>
        </w:rPr>
        <w:t xml:space="preserve">razones o motivos de inconformidad hechos valer por el </w:t>
      </w:r>
      <w:r w:rsidRPr="00973A22">
        <w:rPr>
          <w:rFonts w:ascii="Palatino Linotype" w:eastAsia="Palatino Linotype" w:hAnsi="Palatino Linotype" w:cs="Palatino Linotype"/>
          <w:b/>
        </w:rPr>
        <w:t>Recurrente</w:t>
      </w:r>
      <w:r w:rsidRPr="00973A22">
        <w:rPr>
          <w:rFonts w:ascii="Palatino Linotype" w:eastAsia="Palatino Linotype" w:hAnsi="Palatino Linotype" w:cs="Palatino Linotype"/>
        </w:rPr>
        <w:t xml:space="preserve"> en el Recurso de Revisión </w:t>
      </w:r>
      <w:r w:rsidRPr="00973A22">
        <w:rPr>
          <w:rFonts w:ascii="Palatino Linotype" w:eastAsia="Palatino Linotype" w:hAnsi="Palatino Linotype" w:cs="Palatino Linotype"/>
          <w:b/>
        </w:rPr>
        <w:t xml:space="preserve">12494/INFOEM/IP/RR/2022; </w:t>
      </w:r>
      <w:r w:rsidRPr="00973A22">
        <w:rPr>
          <w:rFonts w:ascii="Palatino Linotype" w:eastAsia="Palatino Linotype" w:hAnsi="Palatino Linotype" w:cs="Palatino Linotype"/>
        </w:rPr>
        <w:t xml:space="preserve">por lo que, en términos del Considerando </w:t>
      </w:r>
      <w:r w:rsidRPr="00973A22">
        <w:rPr>
          <w:rFonts w:ascii="Palatino Linotype" w:eastAsia="Palatino Linotype" w:hAnsi="Palatino Linotype" w:cs="Palatino Linotype"/>
          <w:b/>
        </w:rPr>
        <w:t>Cuarto</w:t>
      </w:r>
      <w:r w:rsidRPr="00973A22">
        <w:rPr>
          <w:rFonts w:ascii="Palatino Linotype" w:eastAsia="Palatino Linotype" w:hAnsi="Palatino Linotype" w:cs="Palatino Linotype"/>
        </w:rPr>
        <w:t xml:space="preserve"> de la presente resolución se </w:t>
      </w:r>
      <w:r w:rsidRPr="00973A22">
        <w:rPr>
          <w:rFonts w:ascii="Palatino Linotype" w:eastAsia="Palatino Linotype" w:hAnsi="Palatino Linotype" w:cs="Palatino Linotype"/>
          <w:b/>
        </w:rPr>
        <w:t xml:space="preserve">Modifica </w:t>
      </w:r>
      <w:r w:rsidRPr="00973A22">
        <w:rPr>
          <w:rFonts w:ascii="Palatino Linotype" w:eastAsia="Palatino Linotype" w:hAnsi="Palatino Linotype" w:cs="Palatino Linotype"/>
        </w:rPr>
        <w:t xml:space="preserve">la respuesta emitida por el </w:t>
      </w:r>
      <w:r w:rsidRPr="00973A22">
        <w:rPr>
          <w:rFonts w:ascii="Palatino Linotype" w:eastAsia="Palatino Linotype" w:hAnsi="Palatino Linotype" w:cs="Palatino Linotype"/>
          <w:b/>
        </w:rPr>
        <w:t xml:space="preserve">Sujeto Obligado. </w:t>
      </w:r>
    </w:p>
    <w:p w:rsidR="00E328D2" w:rsidRPr="00973A22" w:rsidRDefault="00E328D2">
      <w:pPr>
        <w:spacing w:line="360" w:lineRule="auto"/>
        <w:jc w:val="both"/>
        <w:rPr>
          <w:rFonts w:ascii="Palatino Linotype" w:eastAsia="Palatino Linotype" w:hAnsi="Palatino Linotype" w:cs="Palatino Linotype"/>
          <w:b/>
        </w:rPr>
      </w:pPr>
    </w:p>
    <w:p w:rsidR="00E328D2" w:rsidRPr="00973A22" w:rsidRDefault="00C43D44">
      <w:pPr>
        <w:spacing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b/>
        </w:rPr>
        <w:t xml:space="preserve">Segundo. </w:t>
      </w:r>
      <w:r w:rsidRPr="00973A22">
        <w:rPr>
          <w:rFonts w:ascii="Palatino Linotype" w:eastAsia="Palatino Linotype" w:hAnsi="Palatino Linotype" w:cs="Palatino Linotype"/>
        </w:rPr>
        <w:t xml:space="preserve">Se </w:t>
      </w:r>
      <w:r w:rsidRPr="00973A22">
        <w:rPr>
          <w:rFonts w:ascii="Palatino Linotype" w:eastAsia="Palatino Linotype" w:hAnsi="Palatino Linotype" w:cs="Palatino Linotype"/>
          <w:b/>
        </w:rPr>
        <w:t>ordena</w:t>
      </w:r>
      <w:r w:rsidRPr="00973A22">
        <w:rPr>
          <w:rFonts w:ascii="Palatino Linotype" w:eastAsia="Palatino Linotype" w:hAnsi="Palatino Linotype" w:cs="Palatino Linotype"/>
        </w:rPr>
        <w:t xml:space="preserve"> al </w:t>
      </w:r>
      <w:r w:rsidRPr="00973A22">
        <w:rPr>
          <w:rFonts w:ascii="Palatino Linotype" w:eastAsia="Palatino Linotype" w:hAnsi="Palatino Linotype" w:cs="Palatino Linotype"/>
          <w:b/>
        </w:rPr>
        <w:t>Sujeto Obligado</w:t>
      </w:r>
      <w:r w:rsidRPr="00973A22">
        <w:rPr>
          <w:rFonts w:ascii="Palatino Linotype" w:eastAsia="Palatino Linotype" w:hAnsi="Palatino Linotype" w:cs="Palatino Linotype"/>
        </w:rPr>
        <w:t xml:space="preserve"> que en términos del Considerando Cuarto, haga entrega vía Sistema de Acceso a la Información Mexiquense, lo siguiente: </w:t>
      </w:r>
    </w:p>
    <w:p w:rsidR="00E328D2" w:rsidRPr="00973A22" w:rsidRDefault="00E328D2">
      <w:pPr>
        <w:spacing w:line="360" w:lineRule="auto"/>
        <w:jc w:val="both"/>
        <w:rPr>
          <w:rFonts w:ascii="Palatino Linotype" w:eastAsia="Palatino Linotype" w:hAnsi="Palatino Linotype" w:cs="Palatino Linotype"/>
        </w:rPr>
      </w:pPr>
    </w:p>
    <w:p w:rsidR="00E328D2" w:rsidRPr="00973A22" w:rsidRDefault="00C43D44">
      <w:pPr>
        <w:numPr>
          <w:ilvl w:val="0"/>
          <w:numId w:val="4"/>
        </w:numPr>
        <w:pBdr>
          <w:top w:val="nil"/>
          <w:left w:val="nil"/>
          <w:bottom w:val="nil"/>
          <w:right w:val="nil"/>
          <w:between w:val="nil"/>
        </w:pBdr>
        <w:tabs>
          <w:tab w:val="left" w:pos="993"/>
        </w:tabs>
        <w:spacing w:line="360" w:lineRule="auto"/>
        <w:ind w:right="567"/>
        <w:jc w:val="both"/>
        <w:rPr>
          <w:rFonts w:ascii="Palatino Linotype" w:eastAsia="Palatino Linotype" w:hAnsi="Palatino Linotype" w:cs="Palatino Linotype"/>
          <w:b/>
        </w:rPr>
      </w:pPr>
      <w:r w:rsidRPr="00973A22">
        <w:rPr>
          <w:rFonts w:ascii="Palatino Linotype" w:eastAsia="Palatino Linotype" w:hAnsi="Palatino Linotype" w:cs="Palatino Linotype"/>
          <w:b/>
        </w:rPr>
        <w:t xml:space="preserve">Acuerdo que emita el Comité de Transparencia mediante el que declare formalmente la inexistencia de los correos electrónicos faltantes, del primero al quince de enero de dos mil diecinueve, en términos de los artículos 19, 49, fracciones II y XIII, 169 y 170 de la Ley de Transparencia y Acceso a la Información Pública del Estado de México y Municipios. </w:t>
      </w:r>
    </w:p>
    <w:p w:rsidR="00E328D2" w:rsidRPr="00973A22" w:rsidRDefault="00E328D2">
      <w:pPr>
        <w:spacing w:line="360" w:lineRule="auto"/>
        <w:jc w:val="both"/>
        <w:rPr>
          <w:rFonts w:ascii="Palatino Linotype" w:eastAsia="Palatino Linotype" w:hAnsi="Palatino Linotype" w:cs="Palatino Linotype"/>
          <w:b/>
        </w:rPr>
      </w:pPr>
    </w:p>
    <w:p w:rsidR="00E328D2" w:rsidRPr="00973A22" w:rsidRDefault="00C43D44">
      <w:pPr>
        <w:spacing w:line="360" w:lineRule="auto"/>
        <w:jc w:val="both"/>
      </w:pPr>
      <w:r w:rsidRPr="00973A22">
        <w:rPr>
          <w:rFonts w:ascii="Palatino Linotype" w:eastAsia="Palatino Linotype" w:hAnsi="Palatino Linotype" w:cs="Palatino Linotype"/>
          <w:b/>
        </w:rPr>
        <w:t>Tercero.</w:t>
      </w:r>
      <w:r w:rsidRPr="00973A22">
        <w:rPr>
          <w:rFonts w:ascii="Palatino Linotype" w:eastAsia="Palatino Linotype" w:hAnsi="Palatino Linotype" w:cs="Palatino Linotype"/>
          <w:b/>
          <w:sz w:val="28"/>
          <w:szCs w:val="28"/>
        </w:rPr>
        <w:t xml:space="preserve">  </w:t>
      </w:r>
      <w:r w:rsidRPr="00973A22">
        <w:rPr>
          <w:rFonts w:ascii="Palatino Linotype" w:eastAsia="Palatino Linotype" w:hAnsi="Palatino Linotype" w:cs="Palatino Linotype"/>
          <w:b/>
        </w:rPr>
        <w:t>Notifíquese,</w:t>
      </w:r>
      <w:r w:rsidRPr="00973A22">
        <w:rPr>
          <w:rFonts w:ascii="Palatino Linotype" w:eastAsia="Palatino Linotype" w:hAnsi="Palatino Linotype" w:cs="Palatino Linotype"/>
          <w:b/>
          <w:sz w:val="28"/>
          <w:szCs w:val="28"/>
        </w:rPr>
        <w:t xml:space="preserve"> </w:t>
      </w:r>
      <w:r w:rsidRPr="00973A22">
        <w:rPr>
          <w:rFonts w:ascii="Palatino Linotype" w:eastAsia="Palatino Linotype" w:hAnsi="Palatino Linotype" w:cs="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w:t>
      </w:r>
      <w:r w:rsidRPr="00973A22">
        <w:rPr>
          <w:rFonts w:ascii="Palatino Linotype" w:eastAsia="Palatino Linotype" w:hAnsi="Palatino Linotype" w:cs="Palatino Linotype"/>
        </w:rPr>
        <w:lastRenderedPageBreak/>
        <w:t>manera parcial, se le impondrá una medida de apremio de conformidad con lo previsto en los artículos 198, 200, fracción III; 214, 215 y 216 de la Ley  de Transparencia y Acceso a la Información Pública del Estado de México y Municipios</w:t>
      </w:r>
      <w:r w:rsidRPr="00973A22">
        <w:t>.</w:t>
      </w:r>
    </w:p>
    <w:p w:rsidR="00E328D2" w:rsidRPr="00973A22" w:rsidRDefault="00C43D44">
      <w:pPr>
        <w:spacing w:before="240" w:after="240"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b/>
        </w:rPr>
        <w:t>Cuarto.</w:t>
      </w:r>
      <w:r w:rsidRPr="00973A22">
        <w:rPr>
          <w:rFonts w:ascii="Palatino Linotype" w:eastAsia="Palatino Linotype" w:hAnsi="Palatino Linotype" w:cs="Palatino Linotype"/>
          <w:b/>
          <w:sz w:val="28"/>
          <w:szCs w:val="28"/>
        </w:rPr>
        <w:t xml:space="preserve"> </w:t>
      </w:r>
      <w:r w:rsidRPr="00973A22">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973A22">
        <w:rPr>
          <w:rFonts w:ascii="Palatino Linotype" w:eastAsia="Palatino Linotype" w:hAnsi="Palatino Linotype" w:cs="Palatino Linotype"/>
          <w:b/>
        </w:rPr>
        <w:t>Sujeto Obligado</w:t>
      </w:r>
      <w:r w:rsidRPr="00973A22">
        <w:rPr>
          <w:rFonts w:ascii="Palatino Linotype" w:eastAsia="Palatino Linotype" w:hAnsi="Palatino Linotype" w:cs="Palatino Linotype"/>
        </w:rPr>
        <w:t xml:space="preserve"> de manera fundada y motivada, podrá solicitar una ampliación de plazo para el cumplimiento de la presente resolución.</w:t>
      </w:r>
    </w:p>
    <w:p w:rsidR="00E328D2" w:rsidRPr="00973A22" w:rsidRDefault="00C43D44">
      <w:pPr>
        <w:spacing w:line="360" w:lineRule="auto"/>
        <w:ind w:right="49"/>
        <w:jc w:val="both"/>
        <w:rPr>
          <w:rFonts w:ascii="Palatino Linotype" w:eastAsia="Palatino Linotype" w:hAnsi="Palatino Linotype" w:cs="Palatino Linotype"/>
        </w:rPr>
      </w:pPr>
      <w:r w:rsidRPr="00973A22">
        <w:rPr>
          <w:rFonts w:ascii="Palatino Linotype" w:eastAsia="Palatino Linotype" w:hAnsi="Palatino Linotype" w:cs="Palatino Linotype"/>
          <w:b/>
        </w:rPr>
        <w:t>Quinto. Notifíquese vía SAIMEX</w:t>
      </w:r>
      <w:r w:rsidRPr="00973A22">
        <w:rPr>
          <w:rFonts w:ascii="Palatino Linotype" w:eastAsia="Palatino Linotype" w:hAnsi="Palatino Linotype" w:cs="Palatino Linotype"/>
        </w:rPr>
        <w:t>,</w:t>
      </w:r>
      <w:r w:rsidRPr="00973A22">
        <w:rPr>
          <w:rFonts w:ascii="Palatino Linotype" w:eastAsia="Palatino Linotype" w:hAnsi="Palatino Linotype" w:cs="Palatino Linotype"/>
          <w:b/>
        </w:rPr>
        <w:t xml:space="preserve"> </w:t>
      </w:r>
      <w:r w:rsidRPr="00973A22">
        <w:rPr>
          <w:rFonts w:ascii="Palatino Linotype" w:eastAsia="Palatino Linotype" w:hAnsi="Palatino Linotype" w:cs="Palatino Linotype"/>
        </w:rPr>
        <w:t xml:space="preserve">a la parte </w:t>
      </w:r>
      <w:r w:rsidRPr="00973A22">
        <w:rPr>
          <w:rFonts w:ascii="Palatino Linotype" w:eastAsia="Palatino Linotype" w:hAnsi="Palatino Linotype" w:cs="Palatino Linotype"/>
          <w:b/>
        </w:rPr>
        <w:t>Recurrente</w:t>
      </w:r>
      <w:r w:rsidRPr="00973A22">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y, con lo establecido en los artículo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 </w:t>
      </w:r>
    </w:p>
    <w:p w:rsidR="0051423E" w:rsidRPr="00973A22" w:rsidRDefault="0051423E" w:rsidP="0051423E">
      <w:pPr>
        <w:spacing w:before="240" w:after="240" w:line="360" w:lineRule="auto"/>
        <w:jc w:val="both"/>
        <w:rPr>
          <w:rFonts w:ascii="Palatino Linotype" w:eastAsia="Palatino Linotype" w:hAnsi="Palatino Linotype" w:cs="Palatino Linotype"/>
        </w:rPr>
      </w:pPr>
      <w:r w:rsidRPr="00973A22">
        <w:rPr>
          <w:rFonts w:ascii="Palatino Linotype" w:eastAsia="Palatino Linotype" w:hAnsi="Palatino Linotype" w:cs="Palatino Linotype"/>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C533A8">
        <w:rPr>
          <w:rFonts w:ascii="Palatino Linotype" w:eastAsia="Palatino Linotype" w:hAnsi="Palatino Linotype" w:cs="Palatino Linotype"/>
        </w:rPr>
        <w:t xml:space="preserve">  (EXCUSA </w:t>
      </w:r>
      <w:r w:rsidR="00C533A8">
        <w:rPr>
          <w:rFonts w:ascii="Palatino Linotype" w:eastAsia="Palatino Linotype" w:hAnsi="Palatino Linotype" w:cs="Palatino Linotype"/>
        </w:rPr>
        <w:lastRenderedPageBreak/>
        <w:t xml:space="preserve">APROBADA) </w:t>
      </w:r>
      <w:r w:rsidRPr="00973A22">
        <w:rPr>
          <w:rFonts w:ascii="Palatino Linotype" w:eastAsia="Palatino Linotype" w:hAnsi="Palatino Linotype" w:cs="Palatino Linotype"/>
        </w:rPr>
        <w:t>Y GUADALUPE RAMÍREZ PEÑA; EN LA VIGÉSIMA TERCERA SESIÓN ORDINARIA CELEBRADA EL VEINTIUNO DE JUNIO DE DOS MIL VEINTITRÉS, ANTE LA COORDINADORA DE PROYECTOS CATALINA CAMARILLO ROSAS, EN SUPLENCIA DEL SECRETARIO TÉCNICO DEL PLENO ALEXIS TAPIA RAMÍREZ.</w:t>
      </w:r>
    </w:p>
    <w:p w:rsidR="00E328D2" w:rsidRPr="00973A22" w:rsidRDefault="00A36C07">
      <w:pPr>
        <w:spacing w:before="240" w:after="24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noProof/>
          <w:sz w:val="20"/>
          <w:szCs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236855</wp:posOffset>
                </wp:positionV>
                <wp:extent cx="5133975" cy="4019550"/>
                <wp:effectExtent l="0" t="0" r="28575" b="19050"/>
                <wp:wrapNone/>
                <wp:docPr id="1" name="Conector recto 1"/>
                <wp:cNvGraphicFramePr/>
                <a:graphic xmlns:a="http://schemas.openxmlformats.org/drawingml/2006/main">
                  <a:graphicData uri="http://schemas.microsoft.com/office/word/2010/wordprocessingShape">
                    <wps:wsp>
                      <wps:cNvCnPr/>
                      <wps:spPr>
                        <a:xfrm>
                          <a:off x="0" y="0"/>
                          <a:ext cx="5133975" cy="401955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63CE6879" id="Conector recto 1" o:spid="_x0000_s1026" style="position:absolute;z-index:251659264;visibility:visible;mso-wrap-style:square;mso-wrap-distance-left:9pt;mso-wrap-distance-top:0;mso-wrap-distance-right:9pt;mso-wrap-distance-bottom:0;mso-position-horizontal:center;mso-position-horizontal-relative:margin;mso-position-vertical:absolute;mso-position-vertical-relative:text" from="0,18.65pt" to="404.25pt,3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" strokecolor="#f68c36 [3049]">
                <w10:wrap anchorx="margin"/>
              </v:line>
            </w:pict>
          </mc:Fallback>
        </mc:AlternateContent>
      </w:r>
    </w:p>
    <w:p w:rsidR="00E328D2" w:rsidRPr="00973A22" w:rsidRDefault="00E328D2">
      <w:pPr>
        <w:spacing w:before="240" w:after="240"/>
        <w:jc w:val="both"/>
        <w:rPr>
          <w:rFonts w:ascii="Palatino Linotype" w:eastAsia="Palatino Linotype" w:hAnsi="Palatino Linotype" w:cs="Palatino Linotype"/>
          <w:sz w:val="20"/>
          <w:szCs w:val="20"/>
        </w:rPr>
      </w:pPr>
    </w:p>
    <w:p w:rsidR="00E328D2" w:rsidRPr="00973A22" w:rsidRDefault="00E328D2">
      <w:pPr>
        <w:spacing w:before="240" w:after="240"/>
        <w:jc w:val="both"/>
        <w:rPr>
          <w:rFonts w:ascii="Palatino Linotype" w:eastAsia="Palatino Linotype" w:hAnsi="Palatino Linotype" w:cs="Palatino Linotype"/>
          <w:sz w:val="20"/>
          <w:szCs w:val="20"/>
        </w:rPr>
      </w:pPr>
    </w:p>
    <w:p w:rsidR="00E328D2" w:rsidRPr="00973A22" w:rsidRDefault="00E328D2">
      <w:pPr>
        <w:spacing w:before="240" w:after="240"/>
        <w:jc w:val="both"/>
        <w:rPr>
          <w:rFonts w:ascii="Palatino Linotype" w:eastAsia="Palatino Linotype" w:hAnsi="Palatino Linotype" w:cs="Palatino Linotype"/>
          <w:sz w:val="20"/>
          <w:szCs w:val="20"/>
        </w:rPr>
      </w:pPr>
    </w:p>
    <w:p w:rsidR="00E328D2" w:rsidRPr="00973A22" w:rsidRDefault="00E328D2">
      <w:pPr>
        <w:spacing w:before="240" w:after="240"/>
        <w:jc w:val="both"/>
        <w:rPr>
          <w:rFonts w:ascii="Palatino Linotype" w:eastAsia="Palatino Linotype" w:hAnsi="Palatino Linotype" w:cs="Palatino Linotype"/>
          <w:sz w:val="20"/>
          <w:szCs w:val="20"/>
        </w:rPr>
      </w:pPr>
    </w:p>
    <w:p w:rsidR="00E328D2" w:rsidRPr="00973A22" w:rsidRDefault="00E328D2">
      <w:pPr>
        <w:spacing w:before="240" w:after="240"/>
        <w:jc w:val="both"/>
        <w:rPr>
          <w:rFonts w:ascii="Palatino Linotype" w:eastAsia="Palatino Linotype" w:hAnsi="Palatino Linotype" w:cs="Palatino Linotype"/>
          <w:sz w:val="20"/>
          <w:szCs w:val="20"/>
        </w:rPr>
      </w:pPr>
    </w:p>
    <w:p w:rsidR="00E328D2" w:rsidRPr="00973A22" w:rsidRDefault="00E328D2">
      <w:pPr>
        <w:spacing w:before="240" w:after="240"/>
        <w:jc w:val="both"/>
        <w:rPr>
          <w:rFonts w:ascii="Palatino Linotype" w:eastAsia="Palatino Linotype" w:hAnsi="Palatino Linotype" w:cs="Palatino Linotype"/>
          <w:sz w:val="20"/>
          <w:szCs w:val="20"/>
        </w:rPr>
      </w:pPr>
    </w:p>
    <w:p w:rsidR="00E328D2" w:rsidRPr="00973A22" w:rsidRDefault="00E328D2">
      <w:pPr>
        <w:spacing w:before="240" w:after="240"/>
        <w:jc w:val="both"/>
        <w:rPr>
          <w:rFonts w:ascii="Palatino Linotype" w:eastAsia="Palatino Linotype" w:hAnsi="Palatino Linotype" w:cs="Palatino Linotype"/>
          <w:sz w:val="20"/>
          <w:szCs w:val="20"/>
        </w:rPr>
      </w:pPr>
    </w:p>
    <w:p w:rsidR="00E328D2" w:rsidRPr="00973A22" w:rsidRDefault="00E328D2">
      <w:pPr>
        <w:spacing w:before="240" w:after="240"/>
        <w:jc w:val="both"/>
        <w:rPr>
          <w:rFonts w:ascii="Palatino Linotype" w:eastAsia="Palatino Linotype" w:hAnsi="Palatino Linotype" w:cs="Palatino Linotype"/>
          <w:sz w:val="20"/>
          <w:szCs w:val="20"/>
        </w:rPr>
      </w:pPr>
    </w:p>
    <w:p w:rsidR="00E328D2" w:rsidRPr="00973A22" w:rsidRDefault="00E328D2">
      <w:pPr>
        <w:spacing w:before="240" w:after="240"/>
        <w:jc w:val="both"/>
        <w:rPr>
          <w:rFonts w:ascii="Palatino Linotype" w:eastAsia="Palatino Linotype" w:hAnsi="Palatino Linotype" w:cs="Palatino Linotype"/>
          <w:sz w:val="20"/>
          <w:szCs w:val="20"/>
        </w:rPr>
      </w:pPr>
    </w:p>
    <w:p w:rsidR="00E328D2" w:rsidRPr="00973A22" w:rsidRDefault="00E328D2">
      <w:pPr>
        <w:spacing w:before="240" w:after="240"/>
        <w:jc w:val="both"/>
        <w:rPr>
          <w:rFonts w:ascii="Palatino Linotype" w:eastAsia="Palatino Linotype" w:hAnsi="Palatino Linotype" w:cs="Palatino Linotype"/>
          <w:sz w:val="20"/>
          <w:szCs w:val="20"/>
        </w:rPr>
      </w:pPr>
    </w:p>
    <w:p w:rsidR="00E328D2" w:rsidRPr="00973A22" w:rsidRDefault="00E328D2">
      <w:pPr>
        <w:spacing w:before="240" w:after="240"/>
        <w:jc w:val="both"/>
        <w:rPr>
          <w:rFonts w:ascii="Palatino Linotype" w:eastAsia="Palatino Linotype" w:hAnsi="Palatino Linotype" w:cs="Palatino Linotype"/>
          <w:sz w:val="20"/>
          <w:szCs w:val="20"/>
        </w:rPr>
      </w:pPr>
    </w:p>
    <w:p w:rsidR="00E328D2" w:rsidRPr="00973A22" w:rsidRDefault="00E328D2">
      <w:pPr>
        <w:spacing w:before="240" w:after="240"/>
        <w:jc w:val="both"/>
        <w:rPr>
          <w:rFonts w:ascii="Palatino Linotype" w:eastAsia="Palatino Linotype" w:hAnsi="Palatino Linotype" w:cs="Palatino Linotype"/>
          <w:sz w:val="20"/>
          <w:szCs w:val="20"/>
        </w:rPr>
      </w:pPr>
    </w:p>
    <w:p w:rsidR="00E328D2" w:rsidRPr="00973A22" w:rsidRDefault="00E328D2">
      <w:pPr>
        <w:spacing w:before="240" w:after="240"/>
        <w:jc w:val="both"/>
        <w:rPr>
          <w:rFonts w:ascii="Palatino Linotype" w:eastAsia="Palatino Linotype" w:hAnsi="Palatino Linotype" w:cs="Palatino Linotype"/>
          <w:sz w:val="20"/>
          <w:szCs w:val="20"/>
        </w:rPr>
      </w:pPr>
    </w:p>
    <w:p w:rsidR="00E328D2" w:rsidRPr="00973A22" w:rsidRDefault="00E328D2">
      <w:pPr>
        <w:spacing w:before="240" w:after="240"/>
        <w:jc w:val="both"/>
        <w:rPr>
          <w:rFonts w:ascii="Palatino Linotype" w:eastAsia="Palatino Linotype" w:hAnsi="Palatino Linotype" w:cs="Palatino Linotype"/>
          <w:sz w:val="20"/>
          <w:szCs w:val="20"/>
        </w:rPr>
      </w:pPr>
    </w:p>
    <w:p w:rsidR="00E328D2" w:rsidRPr="00973A22" w:rsidRDefault="00E328D2">
      <w:pPr>
        <w:spacing w:before="240" w:after="240"/>
        <w:jc w:val="both"/>
        <w:rPr>
          <w:rFonts w:ascii="Palatino Linotype" w:eastAsia="Palatino Linotype" w:hAnsi="Palatino Linotype" w:cs="Palatino Linotype"/>
          <w:sz w:val="20"/>
          <w:szCs w:val="20"/>
        </w:rPr>
      </w:pPr>
    </w:p>
    <w:p w:rsidR="00E328D2" w:rsidRPr="00973A22" w:rsidRDefault="00E328D2">
      <w:pPr>
        <w:spacing w:before="240" w:after="240"/>
        <w:jc w:val="both"/>
        <w:rPr>
          <w:rFonts w:ascii="Palatino Linotype" w:eastAsia="Palatino Linotype" w:hAnsi="Palatino Linotype" w:cs="Palatino Linotype"/>
          <w:sz w:val="20"/>
          <w:szCs w:val="20"/>
        </w:rPr>
      </w:pPr>
    </w:p>
    <w:p w:rsidR="00E328D2" w:rsidRPr="00973A22" w:rsidRDefault="00E328D2">
      <w:pPr>
        <w:spacing w:before="240" w:after="240"/>
        <w:jc w:val="both"/>
        <w:rPr>
          <w:rFonts w:ascii="Palatino Linotype" w:eastAsia="Palatino Linotype" w:hAnsi="Palatino Linotype" w:cs="Palatino Linotype"/>
          <w:sz w:val="20"/>
          <w:szCs w:val="20"/>
        </w:rPr>
      </w:pPr>
    </w:p>
    <w:p w:rsidR="00E328D2" w:rsidRPr="00973A22" w:rsidRDefault="00E328D2">
      <w:pPr>
        <w:spacing w:before="240" w:after="240"/>
        <w:jc w:val="both"/>
        <w:rPr>
          <w:rFonts w:ascii="Palatino Linotype" w:eastAsia="Palatino Linotype" w:hAnsi="Palatino Linotype" w:cs="Palatino Linotype"/>
          <w:sz w:val="20"/>
          <w:szCs w:val="20"/>
        </w:rPr>
      </w:pPr>
    </w:p>
    <w:p w:rsidR="00E328D2" w:rsidRPr="00973A22" w:rsidRDefault="00E328D2">
      <w:pPr>
        <w:spacing w:before="240" w:after="240"/>
        <w:jc w:val="both"/>
        <w:rPr>
          <w:rFonts w:ascii="Palatino Linotype" w:eastAsia="Palatino Linotype" w:hAnsi="Palatino Linotype" w:cs="Palatino Linotype"/>
          <w:sz w:val="20"/>
          <w:szCs w:val="20"/>
        </w:rPr>
      </w:pPr>
    </w:p>
    <w:p w:rsidR="00E328D2" w:rsidRPr="00973A22" w:rsidRDefault="00E328D2">
      <w:pPr>
        <w:spacing w:before="240" w:after="240"/>
        <w:jc w:val="both"/>
        <w:rPr>
          <w:rFonts w:ascii="Palatino Linotype" w:eastAsia="Palatino Linotype" w:hAnsi="Palatino Linotype" w:cs="Palatino Linotype"/>
          <w:sz w:val="20"/>
          <w:szCs w:val="20"/>
        </w:rPr>
      </w:pPr>
    </w:p>
    <w:p w:rsidR="00E328D2" w:rsidRPr="00973A22" w:rsidRDefault="00E328D2">
      <w:pPr>
        <w:spacing w:before="240" w:after="240"/>
        <w:jc w:val="both"/>
        <w:rPr>
          <w:rFonts w:ascii="Palatino Linotype" w:eastAsia="Palatino Linotype" w:hAnsi="Palatino Linotype" w:cs="Palatino Linotype"/>
          <w:sz w:val="20"/>
          <w:szCs w:val="20"/>
        </w:rPr>
      </w:pPr>
    </w:p>
    <w:p w:rsidR="00E328D2" w:rsidRPr="00973A22" w:rsidRDefault="00E328D2">
      <w:pPr>
        <w:spacing w:before="240" w:after="240"/>
        <w:jc w:val="both"/>
        <w:rPr>
          <w:rFonts w:ascii="Palatino Linotype" w:eastAsia="Palatino Linotype" w:hAnsi="Palatino Linotype" w:cs="Palatino Linotype"/>
          <w:sz w:val="20"/>
          <w:szCs w:val="20"/>
        </w:rPr>
      </w:pPr>
    </w:p>
    <w:p w:rsidR="00E328D2" w:rsidRPr="00973A22" w:rsidRDefault="00E328D2">
      <w:pPr>
        <w:spacing w:before="240" w:after="240"/>
        <w:jc w:val="both"/>
        <w:rPr>
          <w:rFonts w:ascii="Palatino Linotype" w:eastAsia="Palatino Linotype" w:hAnsi="Palatino Linotype" w:cs="Palatino Linotype"/>
          <w:sz w:val="20"/>
          <w:szCs w:val="20"/>
        </w:rPr>
      </w:pPr>
    </w:p>
    <w:sectPr w:rsidR="00E328D2" w:rsidRPr="00973A22">
      <w:headerReference w:type="default" r:id="rId23"/>
      <w:footerReference w:type="default" r:id="rId24"/>
      <w:headerReference w:type="first" r:id="rId25"/>
      <w:footerReference w:type="first" r:id="rId2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4D16" w:rsidRDefault="00E44D16">
      <w:r>
        <w:separator/>
      </w:r>
    </w:p>
  </w:endnote>
  <w:endnote w:type="continuationSeparator" w:id="0">
    <w:p w:rsidR="00E44D16" w:rsidRDefault="00E44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Card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8D2" w:rsidRDefault="00C43D4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433DF">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433DF">
      <w:rPr>
        <w:rFonts w:ascii="Palatino Linotype" w:eastAsia="Palatino Linotype" w:hAnsi="Palatino Linotype" w:cs="Palatino Linotype"/>
        <w:b/>
        <w:noProof/>
        <w:color w:val="000000"/>
        <w:sz w:val="20"/>
        <w:szCs w:val="20"/>
      </w:rPr>
      <w:t>56</w:t>
    </w:r>
    <w:r>
      <w:rPr>
        <w:rFonts w:ascii="Palatino Linotype" w:eastAsia="Palatino Linotype" w:hAnsi="Palatino Linotype" w:cs="Palatino Linotype"/>
        <w:b/>
        <w:color w:val="000000"/>
        <w:sz w:val="20"/>
        <w:szCs w:val="20"/>
      </w:rPr>
      <w:fldChar w:fldCharType="end"/>
    </w:r>
  </w:p>
  <w:p w:rsidR="00E328D2" w:rsidRDefault="00E328D2">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8D2" w:rsidRDefault="00C43D4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D206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D2063">
      <w:rPr>
        <w:rFonts w:ascii="Palatino Linotype" w:eastAsia="Palatino Linotype" w:hAnsi="Palatino Linotype" w:cs="Palatino Linotype"/>
        <w:b/>
        <w:noProof/>
        <w:color w:val="000000"/>
        <w:sz w:val="20"/>
        <w:szCs w:val="20"/>
      </w:rPr>
      <w:t>56</w:t>
    </w:r>
    <w:r>
      <w:rPr>
        <w:rFonts w:ascii="Palatino Linotype" w:eastAsia="Palatino Linotype" w:hAnsi="Palatino Linotype" w:cs="Palatino Linotype"/>
        <w:b/>
        <w:color w:val="000000"/>
        <w:sz w:val="20"/>
        <w:szCs w:val="20"/>
      </w:rPr>
      <w:fldChar w:fldCharType="end"/>
    </w:r>
  </w:p>
  <w:p w:rsidR="00E328D2" w:rsidRDefault="00E328D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4D16" w:rsidRDefault="00E44D16">
      <w:r>
        <w:separator/>
      </w:r>
    </w:p>
  </w:footnote>
  <w:footnote w:type="continuationSeparator" w:id="0">
    <w:p w:rsidR="00E44D16" w:rsidRDefault="00E44D16">
      <w:r>
        <w:continuationSeparator/>
      </w:r>
    </w:p>
  </w:footnote>
  <w:footnote w:id="1">
    <w:p w:rsidR="00E328D2" w:rsidRDefault="00C43D44">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E328D2" w:rsidRDefault="00C43D4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rsidR="00E328D2" w:rsidRDefault="00C43D44">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hyperlink r:id="rId1">
        <w:r>
          <w:rPr>
            <w:rFonts w:ascii="Cambria" w:eastAsia="Cambria" w:hAnsi="Cambria" w:cs="Cambria"/>
            <w:color w:val="0000FF"/>
            <w:sz w:val="20"/>
            <w:szCs w:val="20"/>
            <w:u w:val="single"/>
          </w:rPr>
          <w:t>https://www.gob.mx/cms/uploads/attachment/file/798281/ABC_de_t_rminos_archiv_sticos.pdf</w:t>
        </w:r>
      </w:hyperlink>
      <w:r>
        <w:rPr>
          <w:rFonts w:ascii="Cambria" w:eastAsia="Cambria" w:hAnsi="Cambria" w:cs="Cambria"/>
          <w:color w:val="000000"/>
          <w:sz w:val="20"/>
          <w:szCs w:val="20"/>
        </w:rPr>
        <w:t xml:space="preserve">. </w:t>
      </w:r>
      <w:proofErr w:type="spellStart"/>
      <w:r>
        <w:rPr>
          <w:rFonts w:ascii="Cambria" w:eastAsia="Cambria" w:hAnsi="Cambria" w:cs="Cambria"/>
          <w:color w:val="000000"/>
          <w:sz w:val="20"/>
          <w:szCs w:val="20"/>
        </w:rPr>
        <w:t>Pág</w:t>
      </w:r>
      <w:proofErr w:type="spellEnd"/>
      <w:r>
        <w:rPr>
          <w:rFonts w:ascii="Cambria" w:eastAsia="Cambria" w:hAnsi="Cambria" w:cs="Cambria"/>
          <w:color w:val="000000"/>
          <w:sz w:val="20"/>
          <w:szCs w:val="20"/>
        </w:rPr>
        <w:t xml:space="preserve"> 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8D2" w:rsidRDefault="00C43D44">
    <w:pPr>
      <w:rPr>
        <w:rFonts w:ascii="Cambria" w:eastAsia="Cambria" w:hAnsi="Cambria" w:cs="Cambria"/>
        <w:color w:val="000000"/>
      </w:rPr>
    </w:pPr>
    <w:r>
      <w:rPr>
        <w:noProof/>
      </w:rPr>
      <w:drawing>
        <wp:anchor distT="0" distB="0" distL="0" distR="0" simplePos="0" relativeHeight="251658240" behindDoc="1" locked="0" layoutInCell="1" hidden="0" allowOverlap="1">
          <wp:simplePos x="0" y="0"/>
          <wp:positionH relativeFrom="column">
            <wp:posOffset>-1080127</wp:posOffset>
          </wp:positionH>
          <wp:positionV relativeFrom="paragraph">
            <wp:posOffset>-396394</wp:posOffset>
          </wp:positionV>
          <wp:extent cx="7809865" cy="10165715"/>
          <wp:effectExtent l="0" t="0" r="0" b="0"/>
          <wp:wrapNone/>
          <wp:docPr id="3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5953" w:type="dxa"/>
      <w:tblInd w:w="3261" w:type="dxa"/>
      <w:tblLayout w:type="fixed"/>
      <w:tblLook w:val="0400" w:firstRow="0" w:lastRow="0" w:firstColumn="0" w:lastColumn="0" w:noHBand="0" w:noVBand="1"/>
    </w:tblPr>
    <w:tblGrid>
      <w:gridCol w:w="2489"/>
      <w:gridCol w:w="3464"/>
    </w:tblGrid>
    <w:tr w:rsidR="00E328D2">
      <w:tc>
        <w:tcPr>
          <w:tcW w:w="2489" w:type="dxa"/>
          <w:shd w:val="clear" w:color="auto" w:fill="auto"/>
        </w:tcPr>
        <w:p w:rsidR="00E328D2" w:rsidRDefault="00C43D44">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rsidR="00E328D2" w:rsidRDefault="00C43D44">
          <w:pPr>
            <w:ind w:right="175"/>
            <w:jc w:val="both"/>
            <w:rPr>
              <w:rFonts w:ascii="Palatino Linotype" w:eastAsia="Palatino Linotype" w:hAnsi="Palatino Linotype" w:cs="Palatino Linotype"/>
              <w:b/>
            </w:rPr>
          </w:pPr>
          <w:r>
            <w:rPr>
              <w:rFonts w:ascii="Palatino Linotype" w:eastAsia="Palatino Linotype" w:hAnsi="Palatino Linotype" w:cs="Palatino Linotype"/>
              <w:b/>
            </w:rPr>
            <w:t>12494/INFOEM/IP/RR/2022</w:t>
          </w:r>
        </w:p>
      </w:tc>
    </w:tr>
    <w:tr w:rsidR="00E328D2">
      <w:trPr>
        <w:trHeight w:val="228"/>
      </w:trPr>
      <w:tc>
        <w:tcPr>
          <w:tcW w:w="2489" w:type="dxa"/>
          <w:shd w:val="clear" w:color="auto" w:fill="auto"/>
          <w:vAlign w:val="center"/>
        </w:tcPr>
        <w:p w:rsidR="00E328D2" w:rsidRDefault="00C43D44">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rsidR="00E328D2" w:rsidRDefault="00C43D44">
          <w:pPr>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Instituto de Transparencia, Acceso a la Información Pública y Protección de Datos Personales del Estado de México y Municipios</w:t>
          </w:r>
        </w:p>
      </w:tc>
    </w:tr>
    <w:tr w:rsidR="00E328D2">
      <w:trPr>
        <w:trHeight w:val="311"/>
      </w:trPr>
      <w:tc>
        <w:tcPr>
          <w:tcW w:w="2489" w:type="dxa"/>
          <w:shd w:val="clear" w:color="auto" w:fill="auto"/>
          <w:vAlign w:val="center"/>
        </w:tcPr>
        <w:p w:rsidR="00E328D2" w:rsidRDefault="00C43D44">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rsidR="00E328D2" w:rsidRDefault="00C43D44">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E328D2" w:rsidRDefault="00C43D44">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8D2" w:rsidRDefault="00C43D44">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simplePos x="0" y="0"/>
          <wp:positionH relativeFrom="column">
            <wp:posOffset>-699133</wp:posOffset>
          </wp:positionH>
          <wp:positionV relativeFrom="paragraph">
            <wp:posOffset>-644523</wp:posOffset>
          </wp:positionV>
          <wp:extent cx="7809865" cy="10165715"/>
          <wp:effectExtent l="0" t="0" r="0" b="0"/>
          <wp:wrapNone/>
          <wp:docPr id="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3"/>
      <w:tblW w:w="6095" w:type="dxa"/>
      <w:tblInd w:w="2762" w:type="dxa"/>
      <w:tblLayout w:type="fixed"/>
      <w:tblLook w:val="0400" w:firstRow="0" w:lastRow="0" w:firstColumn="0" w:lastColumn="0" w:noHBand="0" w:noVBand="1"/>
    </w:tblPr>
    <w:tblGrid>
      <w:gridCol w:w="2551"/>
      <w:gridCol w:w="3544"/>
    </w:tblGrid>
    <w:tr w:rsidR="00E328D2">
      <w:tc>
        <w:tcPr>
          <w:tcW w:w="2551" w:type="dxa"/>
          <w:shd w:val="clear" w:color="auto" w:fill="auto"/>
          <w:vAlign w:val="center"/>
        </w:tcPr>
        <w:p w:rsidR="00E328D2" w:rsidRDefault="00C43D44">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544" w:type="dxa"/>
          <w:shd w:val="clear" w:color="auto" w:fill="auto"/>
          <w:vAlign w:val="center"/>
        </w:tcPr>
        <w:p w:rsidR="00E328D2" w:rsidRDefault="00C43D44">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12494/INFOEM/IP/RR/2022</w:t>
          </w:r>
        </w:p>
      </w:tc>
    </w:tr>
    <w:tr w:rsidR="00E328D2">
      <w:trPr>
        <w:trHeight w:val="130"/>
      </w:trPr>
      <w:tc>
        <w:tcPr>
          <w:tcW w:w="2551" w:type="dxa"/>
          <w:shd w:val="clear" w:color="auto" w:fill="auto"/>
          <w:vAlign w:val="center"/>
        </w:tcPr>
        <w:p w:rsidR="00E328D2" w:rsidRDefault="00C43D44">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544" w:type="dxa"/>
          <w:shd w:val="clear" w:color="auto" w:fill="auto"/>
          <w:vAlign w:val="center"/>
        </w:tcPr>
        <w:p w:rsidR="00E328D2" w:rsidRDefault="006D2063" w:rsidP="006D2063">
          <w:pPr>
            <w:jc w:val="both"/>
            <w:rPr>
              <w:rFonts w:ascii="Palatino Linotype" w:eastAsia="Palatino Linotype" w:hAnsi="Palatino Linotype" w:cs="Palatino Linotype"/>
              <w:b/>
            </w:rPr>
          </w:pPr>
          <w:r>
            <w:rPr>
              <w:rFonts w:ascii="Palatino Linotype" w:eastAsia="Palatino Linotype" w:hAnsi="Palatino Linotype" w:cs="Palatino Linotype"/>
              <w:b/>
            </w:rPr>
            <w:t>XXXXXXX XXXXXXXXX</w:t>
          </w:r>
        </w:p>
      </w:tc>
    </w:tr>
    <w:tr w:rsidR="00E328D2">
      <w:trPr>
        <w:trHeight w:val="228"/>
      </w:trPr>
      <w:tc>
        <w:tcPr>
          <w:tcW w:w="2551" w:type="dxa"/>
          <w:shd w:val="clear" w:color="auto" w:fill="auto"/>
          <w:vAlign w:val="center"/>
        </w:tcPr>
        <w:p w:rsidR="00E328D2" w:rsidRDefault="00C43D44">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544" w:type="dxa"/>
          <w:shd w:val="clear" w:color="auto" w:fill="auto"/>
          <w:vAlign w:val="center"/>
        </w:tcPr>
        <w:p w:rsidR="00E328D2" w:rsidRDefault="00C43D44">
          <w:pPr>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Instituto de Transparencia, Acceso a la Información Pública y Protección de Datos Personales del Estado de México y Municipios</w:t>
          </w:r>
        </w:p>
      </w:tc>
    </w:tr>
    <w:tr w:rsidR="00E328D2">
      <w:tc>
        <w:tcPr>
          <w:tcW w:w="2551" w:type="dxa"/>
          <w:shd w:val="clear" w:color="auto" w:fill="auto"/>
          <w:vAlign w:val="center"/>
        </w:tcPr>
        <w:p w:rsidR="00E328D2" w:rsidRDefault="00C43D44">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544" w:type="dxa"/>
          <w:shd w:val="clear" w:color="auto" w:fill="auto"/>
          <w:vAlign w:val="center"/>
        </w:tcPr>
        <w:p w:rsidR="00E328D2" w:rsidRDefault="00C43D44">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E328D2" w:rsidRDefault="00E328D2">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B82423"/>
    <w:multiLevelType w:val="multilevel"/>
    <w:tmpl w:val="F7003E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24AA39DE"/>
    <w:multiLevelType w:val="multilevel"/>
    <w:tmpl w:val="901615B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nsid w:val="2A577F8D"/>
    <w:multiLevelType w:val="multilevel"/>
    <w:tmpl w:val="32FAE838"/>
    <w:lvl w:ilvl="0">
      <w:numFmt w:val="bullet"/>
      <w:pStyle w:val="Listaconvietas3"/>
      <w:lvlText w:val="-"/>
      <w:lvlJc w:val="left"/>
      <w:pPr>
        <w:ind w:left="1080" w:hanging="360"/>
      </w:pPr>
      <w:rPr>
        <w:rFonts w:ascii="Palatino Linotype" w:eastAsia="Palatino Linotype" w:hAnsi="Palatino Linotype" w:cs="Palatino Linotype"/>
        <w:b/>
        <w: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nsid w:val="340848CA"/>
    <w:multiLevelType w:val="multilevel"/>
    <w:tmpl w:val="86921394"/>
    <w:lvl w:ilvl="0">
      <w:numFmt w:val="bullet"/>
      <w:lvlText w:val="-"/>
      <w:lvlJc w:val="left"/>
      <w:pPr>
        <w:ind w:left="1080" w:hanging="360"/>
      </w:pPr>
      <w:rPr>
        <w:rFonts w:ascii="Palatino Linotype" w:eastAsia="Palatino Linotype" w:hAnsi="Palatino Linotype" w:cs="Palatino Linotyp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nsid w:val="3B2A6A7A"/>
    <w:multiLevelType w:val="multilevel"/>
    <w:tmpl w:val="42AAECB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C650786"/>
    <w:multiLevelType w:val="multilevel"/>
    <w:tmpl w:val="C358ABF8"/>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F286D27"/>
    <w:multiLevelType w:val="multilevel"/>
    <w:tmpl w:val="A5A8CDE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nsid w:val="69703441"/>
    <w:multiLevelType w:val="multilevel"/>
    <w:tmpl w:val="BAD2A4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713D7A09"/>
    <w:multiLevelType w:val="multilevel"/>
    <w:tmpl w:val="0DE6912E"/>
    <w:lvl w:ilvl="0">
      <w:start w:val="1"/>
      <w:numFmt w:val="bullet"/>
      <w:pStyle w:val="Listaconvietas2"/>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abstractNumId w:val="3"/>
  </w:num>
  <w:num w:numId="2">
    <w:abstractNumId w:val="2"/>
  </w:num>
  <w:num w:numId="3">
    <w:abstractNumId w:val="1"/>
  </w:num>
  <w:num w:numId="4">
    <w:abstractNumId w:val="8"/>
  </w:num>
  <w:num w:numId="5">
    <w:abstractNumId w:val="0"/>
  </w:num>
  <w:num w:numId="6">
    <w:abstractNumId w:val="4"/>
  </w:num>
  <w:num w:numId="7">
    <w:abstractNumId w:val="6"/>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8D2"/>
    <w:rsid w:val="000B4424"/>
    <w:rsid w:val="0051423E"/>
    <w:rsid w:val="00574603"/>
    <w:rsid w:val="006D2063"/>
    <w:rsid w:val="00973A22"/>
    <w:rsid w:val="00981EDA"/>
    <w:rsid w:val="00A36C07"/>
    <w:rsid w:val="00B93633"/>
    <w:rsid w:val="00BE5F8E"/>
    <w:rsid w:val="00C36B2C"/>
    <w:rsid w:val="00C43D44"/>
    <w:rsid w:val="00C533A8"/>
    <w:rsid w:val="00E328D2"/>
    <w:rsid w:val="00E44D16"/>
    <w:rsid w:val="00E72BFA"/>
    <w:rsid w:val="00F433D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4BD517-3E71-4FE4-B107-D4978FF44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51F7"/>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12">
    <w:name w:val="12"/>
    <w:basedOn w:val="TableNormal10"/>
    <w:rPr>
      <w:sz w:val="22"/>
      <w:szCs w:val="22"/>
    </w:rPr>
    <w:tblPr>
      <w:tblStyleRowBandSize w:val="1"/>
      <w:tblStyleColBandSize w:val="1"/>
      <w:tblCellMar>
        <w:top w:w="0" w:type="dxa"/>
        <w:left w:w="108" w:type="dxa"/>
        <w:bottom w:w="0" w:type="dxa"/>
        <w:right w:w="108" w:type="dxa"/>
      </w:tblCellMar>
    </w:tblPr>
  </w:style>
  <w:style w:type="table" w:customStyle="1" w:styleId="11">
    <w:name w:val="11"/>
    <w:basedOn w:val="TableNormal10"/>
    <w:rPr>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0"/>
    <w:tblPr>
      <w:tblStyleRowBandSize w:val="1"/>
      <w:tblStyleColBandSize w:val="1"/>
      <w:tblCellMar>
        <w:top w:w="0" w:type="dxa"/>
        <w:left w:w="115" w:type="dxa"/>
        <w:bottom w:w="0" w:type="dxa"/>
        <w:right w:w="115" w:type="dxa"/>
      </w:tblCellMar>
    </w:tblPr>
  </w:style>
  <w:style w:type="table" w:customStyle="1" w:styleId="9">
    <w:name w:val="9"/>
    <w:basedOn w:val="TableNormal10"/>
    <w:tblPr>
      <w:tblStyleRowBandSize w:val="1"/>
      <w:tblStyleColBandSize w:val="1"/>
      <w:tblCellMar>
        <w:top w:w="0" w:type="dxa"/>
        <w:left w:w="115" w:type="dxa"/>
        <w:bottom w:w="0" w:type="dxa"/>
        <w:right w:w="115" w:type="dxa"/>
      </w:tblCellMar>
    </w:tblPr>
  </w:style>
  <w:style w:type="table" w:customStyle="1" w:styleId="8">
    <w:name w:val="8"/>
    <w:basedOn w:val="TableNormal10"/>
    <w:rPr>
      <w:sz w:val="22"/>
      <w:szCs w:val="22"/>
    </w:rPr>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rPr>
      <w:sz w:val="22"/>
      <w:szCs w:val="22"/>
    </w:rPr>
    <w:tblPr>
      <w:tblStyleRowBandSize w:val="1"/>
      <w:tblStyleColBandSize w:val="1"/>
      <w:tblCellMar>
        <w:top w:w="0" w:type="dxa"/>
        <w:left w:w="115" w:type="dxa"/>
        <w:bottom w:w="0" w:type="dxa"/>
        <w:right w:w="115" w:type="dxa"/>
      </w:tblCellMar>
    </w:tblPr>
  </w:style>
  <w:style w:type="table" w:customStyle="1" w:styleId="6">
    <w:name w:val="6"/>
    <w:basedOn w:val="TableNormal10"/>
    <w:rPr>
      <w:sz w:val="22"/>
      <w:szCs w:val="22"/>
    </w:rPr>
    <w:tblPr>
      <w:tblStyleRowBandSize w:val="1"/>
      <w:tblStyleColBandSize w:val="1"/>
      <w:tblCellMar>
        <w:top w:w="0" w:type="dxa"/>
        <w:left w:w="115" w:type="dxa"/>
        <w:bottom w:w="0" w:type="dxa"/>
        <w:right w:w="115" w:type="dxa"/>
      </w:tblCellMar>
    </w:tblPr>
  </w:style>
  <w:style w:type="table" w:customStyle="1" w:styleId="5">
    <w:name w:val="5"/>
    <w:basedOn w:val="TableNormal2"/>
    <w:rPr>
      <w:sz w:val="22"/>
      <w:szCs w:val="22"/>
    </w:rPr>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3">
    <w:name w:val="3"/>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2">
    <w:name w:val="2"/>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1">
    <w:name w:val="1"/>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1F195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18"/>
    <w:basedOn w:val="TableNormal4"/>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17">
    <w:name w:val="17"/>
    <w:basedOn w:val="TableNormal4"/>
    <w:tblPr>
      <w:tblStyleRowBandSize w:val="1"/>
      <w:tblStyleColBandSize w:val="1"/>
      <w:tblCellMar>
        <w:top w:w="0" w:type="dxa"/>
        <w:left w:w="70" w:type="dxa"/>
        <w:bottom w:w="0" w:type="dxa"/>
        <w:right w:w="70" w:type="dxa"/>
      </w:tblCellMar>
    </w:tblPr>
  </w:style>
  <w:style w:type="table" w:customStyle="1" w:styleId="16">
    <w:name w:val="16"/>
    <w:basedOn w:val="TableNormal4"/>
    <w:rPr>
      <w:sz w:val="22"/>
      <w:szCs w:val="22"/>
    </w:rPr>
    <w:tblPr>
      <w:tblStyleRowBandSize w:val="1"/>
      <w:tblStyleColBandSize w:val="1"/>
      <w:tblCellMar>
        <w:top w:w="0" w:type="dxa"/>
        <w:left w:w="115" w:type="dxa"/>
        <w:bottom w:w="0" w:type="dxa"/>
        <w:right w:w="115" w:type="dxa"/>
      </w:tblCellMar>
    </w:tblPr>
  </w:style>
  <w:style w:type="table" w:customStyle="1" w:styleId="15">
    <w:name w:val="15"/>
    <w:basedOn w:val="TableNormal4"/>
    <w:rPr>
      <w:sz w:val="22"/>
      <w:szCs w:val="22"/>
    </w:rPr>
    <w:tblPr>
      <w:tblStyleRowBandSize w:val="1"/>
      <w:tblStyleColBandSize w:val="1"/>
      <w:tblCellMar>
        <w:top w:w="0" w:type="dxa"/>
        <w:left w:w="115" w:type="dxa"/>
        <w:bottom w:w="0" w:type="dxa"/>
        <w:right w:w="115" w:type="dxa"/>
      </w:tblCellMar>
    </w:tblPr>
  </w:style>
  <w:style w:type="table" w:customStyle="1" w:styleId="14">
    <w:name w:val="14"/>
    <w:basedOn w:val="TableNormal5"/>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13">
    <w:name w:val="13"/>
    <w:basedOn w:val="TableNormal5"/>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paragraph" w:styleId="Listaconvietas2">
    <w:name w:val="List Bullet 2"/>
    <w:basedOn w:val="Normal"/>
    <w:uiPriority w:val="99"/>
    <w:unhideWhenUsed/>
    <w:rsid w:val="00282C5F"/>
    <w:pPr>
      <w:numPr>
        <w:numId w:val="4"/>
      </w:numPr>
      <w:contextualSpacing/>
    </w:pPr>
  </w:style>
  <w:style w:type="table" w:customStyle="1" w:styleId="a">
    <w:basedOn w:val="TableNormal1"/>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0">
    <w:basedOn w:val="TableNormal1"/>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4">
    <w:basedOn w:val="TableNormal0"/>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gob.mx/cms/uploads/attachment/file/798281/ABC_de_t_rminos_archiv_stico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pti3Cpm7oA2g59D+cs3D7LOtBg==">CgMxLjAaEgoBMBINCgsIB0IHEgVDYXJkbzIIaC50eWpjd3QyCWguM3pueXNoNzIIaC5namRneHMyCWguMWZvYjl0ZTIJaC4zMGowemxsMgloLjJldDkycDA4AHIhMUJjR0EyU0VuQTBWVXE3cVZBS1l3N0tOd2U1S1BUcXFU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11119</Words>
  <Characters>61155</Characters>
  <Application>Microsoft Office Word</Application>
  <DocSecurity>0</DocSecurity>
  <Lines>509</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2023-06-23T20:03:00Z</cp:lastPrinted>
  <dcterms:created xsi:type="dcterms:W3CDTF">2023-06-29T16:19:00Z</dcterms:created>
  <dcterms:modified xsi:type="dcterms:W3CDTF">2023-06-29T16:19:00Z</dcterms:modified>
</cp:coreProperties>
</file>