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673B"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del </w:t>
      </w:r>
      <w:r w:rsidRPr="00F86891">
        <w:rPr>
          <w:rFonts w:ascii="Palatino Linotype" w:eastAsia="Palatino Linotype" w:hAnsi="Palatino Linotype" w:cs="Palatino Linotype"/>
          <w:b/>
        </w:rPr>
        <w:t>veintinueve</w:t>
      </w:r>
      <w:r w:rsidRPr="00F86891">
        <w:rPr>
          <w:rFonts w:ascii="Palatino Linotype" w:eastAsia="Palatino Linotype" w:hAnsi="Palatino Linotype" w:cs="Palatino Linotype"/>
        </w:rPr>
        <w:t xml:space="preserve"> </w:t>
      </w:r>
      <w:r w:rsidRPr="00F86891">
        <w:rPr>
          <w:rFonts w:ascii="Palatino Linotype" w:eastAsia="Palatino Linotype" w:hAnsi="Palatino Linotype" w:cs="Palatino Linotype"/>
          <w:b/>
        </w:rPr>
        <w:t>de marzo del dos mil veintitrés</w:t>
      </w:r>
      <w:r w:rsidRPr="00F86891">
        <w:rPr>
          <w:rFonts w:ascii="Palatino Linotype" w:eastAsia="Palatino Linotype" w:hAnsi="Palatino Linotype" w:cs="Palatino Linotype"/>
        </w:rPr>
        <w:t>.</w:t>
      </w:r>
    </w:p>
    <w:p w14:paraId="03563FDE" w14:textId="5790FC2B" w:rsidR="00E7339E" w:rsidRPr="00F86891" w:rsidRDefault="00743CCC">
      <w:pPr>
        <w:spacing w:before="240" w:after="240" w:line="360" w:lineRule="auto"/>
        <w:jc w:val="both"/>
        <w:rPr>
          <w:rFonts w:ascii="Palatino Linotype" w:eastAsia="Palatino Linotype" w:hAnsi="Palatino Linotype" w:cs="Palatino Linotype"/>
          <w:b/>
        </w:rPr>
      </w:pPr>
      <w:r w:rsidRPr="00F86891">
        <w:rPr>
          <w:rFonts w:ascii="Palatino Linotype" w:eastAsia="Palatino Linotype" w:hAnsi="Palatino Linotype" w:cs="Palatino Linotype"/>
          <w:b/>
        </w:rPr>
        <w:t>Visto</w:t>
      </w:r>
      <w:r w:rsidRPr="00F86891">
        <w:rPr>
          <w:rFonts w:ascii="Palatino Linotype" w:eastAsia="Palatino Linotype" w:hAnsi="Palatino Linotype" w:cs="Palatino Linotype"/>
        </w:rPr>
        <w:t xml:space="preserve"> el expediente relativo al recurso de revisión </w:t>
      </w:r>
      <w:r w:rsidRPr="00F86891">
        <w:rPr>
          <w:rFonts w:ascii="Palatino Linotype" w:eastAsia="Palatino Linotype" w:hAnsi="Palatino Linotype" w:cs="Palatino Linotype"/>
          <w:b/>
        </w:rPr>
        <w:t>17444/INFOEM/IP/RR/2022</w:t>
      </w:r>
      <w:r w:rsidRPr="00F86891">
        <w:rPr>
          <w:rFonts w:ascii="Palatino Linotype" w:eastAsia="Palatino Linotype" w:hAnsi="Palatino Linotype" w:cs="Palatino Linotype"/>
        </w:rPr>
        <w:t>, interpuesto por</w:t>
      </w:r>
      <w:r w:rsidRPr="00F86891">
        <w:rPr>
          <w:rFonts w:ascii="Palatino Linotype" w:eastAsia="Palatino Linotype" w:hAnsi="Palatino Linotype" w:cs="Palatino Linotype"/>
          <w:b/>
        </w:rPr>
        <w:t xml:space="preserve"> </w:t>
      </w:r>
      <w:r w:rsidR="00B26222">
        <w:rPr>
          <w:rFonts w:ascii="Palatino Linotype" w:eastAsia="Palatino Linotype" w:hAnsi="Palatino Linotype" w:cs="Palatino Linotype"/>
          <w:b/>
        </w:rPr>
        <w:t>XXXXXX XXXXX XXXX</w:t>
      </w:r>
      <w:r w:rsidRPr="00F86891">
        <w:rPr>
          <w:rFonts w:ascii="Palatino Linotype" w:eastAsia="Palatino Linotype" w:hAnsi="Palatino Linotype" w:cs="Palatino Linotype"/>
          <w:b/>
        </w:rPr>
        <w:t xml:space="preserve">, </w:t>
      </w:r>
      <w:r w:rsidRPr="00F86891">
        <w:rPr>
          <w:rFonts w:ascii="Palatino Linotype" w:eastAsia="Palatino Linotype" w:hAnsi="Palatino Linotype" w:cs="Palatino Linotype"/>
        </w:rPr>
        <w:t xml:space="preserve">a quien en lo sucesivo se le denominará </w:t>
      </w:r>
      <w:r w:rsidRPr="00F86891">
        <w:rPr>
          <w:rFonts w:ascii="Palatino Linotype" w:eastAsia="Palatino Linotype" w:hAnsi="Palatino Linotype" w:cs="Palatino Linotype"/>
          <w:b/>
        </w:rPr>
        <w:t>la Recurrente</w:t>
      </w:r>
      <w:r w:rsidRPr="00F86891">
        <w:rPr>
          <w:rFonts w:ascii="Palatino Linotype" w:eastAsia="Palatino Linotype" w:hAnsi="Palatino Linotype" w:cs="Palatino Linotype"/>
          <w:b/>
          <w:i/>
        </w:rPr>
        <w:t xml:space="preserve"> </w:t>
      </w:r>
      <w:r w:rsidRPr="00F86891">
        <w:rPr>
          <w:rFonts w:ascii="Palatino Linotype" w:eastAsia="Palatino Linotype" w:hAnsi="Palatino Linotype" w:cs="Palatino Linotype"/>
        </w:rPr>
        <w:t>en contra de la respuesta a su solicitud de información pública con número de folio</w:t>
      </w:r>
      <w:r w:rsidRPr="00F86891">
        <w:rPr>
          <w:rFonts w:ascii="Verdana" w:eastAsia="Verdana" w:hAnsi="Verdana" w:cs="Verdana"/>
          <w:b/>
        </w:rPr>
        <w:t xml:space="preserve"> </w:t>
      </w:r>
      <w:r w:rsidRPr="00F86891">
        <w:rPr>
          <w:rFonts w:ascii="Palatino Linotype" w:eastAsia="Palatino Linotype" w:hAnsi="Palatino Linotype" w:cs="Palatino Linotype"/>
          <w:b/>
        </w:rPr>
        <w:t>02386/TOLUCA/IP/2022,</w:t>
      </w:r>
      <w:r w:rsidRPr="00F86891">
        <w:rPr>
          <w:rFonts w:ascii="Palatino Linotype" w:eastAsia="Palatino Linotype" w:hAnsi="Palatino Linotype" w:cs="Palatino Linotype"/>
        </w:rPr>
        <w:t xml:space="preserve"> otorgada por el </w:t>
      </w:r>
      <w:r w:rsidRPr="00F86891">
        <w:rPr>
          <w:rFonts w:ascii="Palatino Linotype" w:eastAsia="Palatino Linotype" w:hAnsi="Palatino Linotype" w:cs="Palatino Linotype"/>
          <w:b/>
        </w:rPr>
        <w:t>Ayuntamiento de Toluca</w:t>
      </w:r>
      <w:r w:rsidRPr="00F86891">
        <w:rPr>
          <w:rFonts w:ascii="Palatino Linotype" w:eastAsia="Palatino Linotype" w:hAnsi="Palatino Linotype" w:cs="Palatino Linotype"/>
        </w:rPr>
        <w:t xml:space="preserve">, en lo sucesivo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w:t>
      </w:r>
      <w:r w:rsidRPr="00F86891">
        <w:rPr>
          <w:rFonts w:ascii="Palatino Linotype" w:eastAsia="Palatino Linotype" w:hAnsi="Palatino Linotype" w:cs="Palatino Linotype"/>
          <w:b/>
        </w:rPr>
        <w:t xml:space="preserve"> </w:t>
      </w:r>
      <w:r w:rsidRPr="00F86891">
        <w:rPr>
          <w:rFonts w:ascii="Palatino Linotype" w:eastAsia="Palatino Linotype" w:hAnsi="Palatino Linotype" w:cs="Palatino Linotype"/>
        </w:rPr>
        <w:t xml:space="preserve">se procede a dictar la presente resolución, con base en lo siguiente. </w:t>
      </w:r>
    </w:p>
    <w:p w14:paraId="1EDCDDD3" w14:textId="77777777" w:rsidR="00E7339E" w:rsidRPr="00F86891" w:rsidRDefault="00743CCC">
      <w:pPr>
        <w:pStyle w:val="Ttulo2"/>
        <w:spacing w:before="240" w:after="240" w:line="360" w:lineRule="auto"/>
        <w:jc w:val="center"/>
        <w:rPr>
          <w:rFonts w:ascii="Palatino Linotype" w:eastAsia="Palatino Linotype" w:hAnsi="Palatino Linotype" w:cs="Palatino Linotype"/>
          <w:b/>
          <w:color w:val="auto"/>
          <w:sz w:val="24"/>
          <w:szCs w:val="24"/>
        </w:rPr>
      </w:pPr>
      <w:r w:rsidRPr="00F86891">
        <w:rPr>
          <w:rFonts w:ascii="Palatino Linotype" w:eastAsia="Palatino Linotype" w:hAnsi="Palatino Linotype" w:cs="Palatino Linotype"/>
          <w:b/>
          <w:color w:val="auto"/>
          <w:sz w:val="24"/>
          <w:szCs w:val="24"/>
        </w:rPr>
        <w:t>I. A N T E C E D E N T E S:</w:t>
      </w:r>
    </w:p>
    <w:p w14:paraId="1A36A7A5" w14:textId="77777777" w:rsidR="00E7339E" w:rsidRPr="00F86891" w:rsidRDefault="00743CCC">
      <w:pPr>
        <w:spacing w:before="240" w:after="240" w:line="360" w:lineRule="auto"/>
        <w:jc w:val="both"/>
        <w:rPr>
          <w:rFonts w:ascii="Palatino Linotype" w:eastAsia="Palatino Linotype" w:hAnsi="Palatino Linotype" w:cs="Palatino Linotype"/>
          <w:b/>
        </w:rPr>
      </w:pPr>
      <w:r w:rsidRPr="00F86891">
        <w:rPr>
          <w:rFonts w:ascii="Palatino Linotype" w:eastAsia="Palatino Linotype" w:hAnsi="Palatino Linotype" w:cs="Palatino Linotype"/>
          <w:b/>
        </w:rPr>
        <w:t>1. Solicitud de acceso a la información.</w:t>
      </w:r>
      <w:r w:rsidRPr="00F86891">
        <w:rPr>
          <w:rFonts w:ascii="Palatino Linotype" w:eastAsia="Palatino Linotype" w:hAnsi="Palatino Linotype" w:cs="Palatino Linotype"/>
          <w:b/>
          <w:sz w:val="22"/>
          <w:szCs w:val="22"/>
        </w:rPr>
        <w:t xml:space="preserve"> El</w:t>
      </w:r>
      <w:r w:rsidRPr="00F86891">
        <w:rPr>
          <w:rFonts w:ascii="Palatino Linotype" w:eastAsia="Palatino Linotype" w:hAnsi="Palatino Linotype" w:cs="Palatino Linotype"/>
        </w:rPr>
        <w:t xml:space="preserve"> </w:t>
      </w:r>
      <w:r w:rsidRPr="00F86891">
        <w:rPr>
          <w:rFonts w:ascii="Palatino Linotype" w:eastAsia="Palatino Linotype" w:hAnsi="Palatino Linotype" w:cs="Palatino Linotype"/>
          <w:b/>
        </w:rPr>
        <w:t>ocho de noviembre del dos mil veintidós,</w:t>
      </w:r>
      <w:r w:rsidRPr="00F86891">
        <w:rPr>
          <w:rFonts w:ascii="Palatino Linotype" w:eastAsia="Palatino Linotype" w:hAnsi="Palatino Linotype" w:cs="Palatino Linotype"/>
        </w:rPr>
        <w:t xml:space="preserve"> la ahora </w:t>
      </w:r>
      <w:r w:rsidRPr="00F86891">
        <w:rPr>
          <w:rFonts w:ascii="Palatino Linotype" w:eastAsia="Palatino Linotype" w:hAnsi="Palatino Linotype" w:cs="Palatino Linotype"/>
          <w:b/>
        </w:rPr>
        <w:t>Recurrente</w:t>
      </w:r>
      <w:r w:rsidRPr="00F86891">
        <w:rPr>
          <w:rFonts w:ascii="Palatino Linotype" w:eastAsia="Palatino Linotype" w:hAnsi="Palatino Linotype" w:cs="Palatino Linotype"/>
        </w:rPr>
        <w:t xml:space="preserve"> presentó a través del Sistema de Acceso a la Información Mexiquense, en lo subsecuente el </w:t>
      </w:r>
      <w:r w:rsidRPr="00F86891">
        <w:rPr>
          <w:rFonts w:ascii="Palatino Linotype" w:eastAsia="Palatino Linotype" w:hAnsi="Palatino Linotype" w:cs="Palatino Linotype"/>
          <w:b/>
        </w:rPr>
        <w:t>SAIMEX,</w:t>
      </w:r>
      <w:r w:rsidRPr="00F86891">
        <w:rPr>
          <w:rFonts w:ascii="Palatino Linotype" w:eastAsia="Palatino Linotype" w:hAnsi="Palatino Linotype" w:cs="Palatino Linotype"/>
        </w:rPr>
        <w:t xml:space="preserve"> la solicitud de acceso a la información pública, a la que se le asignó el número</w:t>
      </w:r>
      <w:r w:rsidRPr="00F86891">
        <w:rPr>
          <w:rFonts w:ascii="Palatino Linotype" w:eastAsia="Palatino Linotype" w:hAnsi="Palatino Linotype" w:cs="Palatino Linotype"/>
          <w:b/>
        </w:rPr>
        <w:t xml:space="preserve"> </w:t>
      </w:r>
      <w:r w:rsidRPr="00F86891">
        <w:rPr>
          <w:rFonts w:ascii="Palatino Linotype" w:eastAsia="Palatino Linotype" w:hAnsi="Palatino Linotype" w:cs="Palatino Linotype"/>
        </w:rPr>
        <w:t>de folio</w:t>
      </w:r>
      <w:r w:rsidRPr="00F86891">
        <w:rPr>
          <w:rFonts w:ascii="Palatino Linotype" w:eastAsia="Palatino Linotype" w:hAnsi="Palatino Linotype" w:cs="Palatino Linotype"/>
          <w:b/>
        </w:rPr>
        <w:t xml:space="preserve"> 02386/TOLUCA/IP/2022, </w:t>
      </w:r>
      <w:r w:rsidRPr="00F86891">
        <w:rPr>
          <w:rFonts w:ascii="Palatino Linotype" w:eastAsia="Palatino Linotype" w:hAnsi="Palatino Linotype" w:cs="Palatino Linotype"/>
        </w:rPr>
        <w:t>a través de la cual requirió  lo siguiente:</w:t>
      </w:r>
    </w:p>
    <w:p w14:paraId="3DCA1D10"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w:t>
      </w:r>
      <w:r w:rsidRPr="00F86891">
        <w:rPr>
          <w:rFonts w:ascii="Palatino Linotype" w:eastAsia="Palatino Linotype" w:hAnsi="Palatino Linotype" w:cs="Palatino Linotype"/>
          <w:b/>
          <w:i/>
          <w:sz w:val="22"/>
          <w:szCs w:val="22"/>
        </w:rPr>
        <w:t>Solicito todos los documentos de seguridad que recibió la Unidad de Transparencia por parte de los Servidores Públicos habilitados desde enero del 2022 a la fecha.</w:t>
      </w:r>
      <w:r w:rsidRPr="00F86891">
        <w:rPr>
          <w:rFonts w:ascii="Palatino Linotype" w:eastAsia="Palatino Linotype" w:hAnsi="Palatino Linotype" w:cs="Palatino Linotype"/>
          <w:i/>
          <w:sz w:val="22"/>
          <w:szCs w:val="22"/>
        </w:rPr>
        <w:t>” (Sic) (Énfasis añadido)</w:t>
      </w:r>
    </w:p>
    <w:p w14:paraId="0DC9CA87" w14:textId="77777777" w:rsidR="00E7339E" w:rsidRPr="00F86891" w:rsidRDefault="00743CCC">
      <w:pPr>
        <w:spacing w:before="240" w:after="240" w:line="360" w:lineRule="auto"/>
        <w:jc w:val="both"/>
        <w:rPr>
          <w:rFonts w:ascii="Palatino Linotype" w:eastAsia="Palatino Linotype" w:hAnsi="Palatino Linotype" w:cs="Palatino Linotype"/>
          <w:b/>
        </w:rPr>
      </w:pPr>
      <w:r w:rsidRPr="00F86891">
        <w:rPr>
          <w:rFonts w:ascii="Palatino Linotype" w:eastAsia="Palatino Linotype" w:hAnsi="Palatino Linotype" w:cs="Palatino Linotype"/>
          <w:b/>
        </w:rPr>
        <w:t>Modalidad de entrega de la información</w:t>
      </w:r>
      <w:r w:rsidRPr="00F86891">
        <w:rPr>
          <w:rFonts w:ascii="Palatino Linotype" w:eastAsia="Palatino Linotype" w:hAnsi="Palatino Linotype" w:cs="Palatino Linotype"/>
        </w:rPr>
        <w:t xml:space="preserve">: vía </w:t>
      </w:r>
      <w:r w:rsidRPr="00F86891">
        <w:rPr>
          <w:rFonts w:ascii="Palatino Linotype" w:eastAsia="Palatino Linotype" w:hAnsi="Palatino Linotype" w:cs="Palatino Linotype"/>
          <w:b/>
        </w:rPr>
        <w:t xml:space="preserve">SAIMEX </w:t>
      </w:r>
    </w:p>
    <w:p w14:paraId="116B5D1C" w14:textId="77777777" w:rsidR="00E7339E" w:rsidRPr="00F86891" w:rsidRDefault="00743CCC">
      <w:pPr>
        <w:spacing w:before="240" w:after="240" w:line="360" w:lineRule="auto"/>
        <w:jc w:val="both"/>
        <w:rPr>
          <w:rFonts w:ascii="Palatino Linotype" w:eastAsia="Palatino Linotype" w:hAnsi="Palatino Linotype" w:cs="Palatino Linotype"/>
          <w:b/>
        </w:rPr>
      </w:pPr>
      <w:r w:rsidRPr="00F86891">
        <w:rPr>
          <w:rFonts w:ascii="Palatino Linotype" w:eastAsia="Palatino Linotype" w:hAnsi="Palatino Linotype" w:cs="Palatino Linotype"/>
          <w:b/>
        </w:rPr>
        <w:lastRenderedPageBreak/>
        <w:t xml:space="preserve">2. Prórroga. </w:t>
      </w:r>
      <w:r w:rsidRPr="00F86891">
        <w:rPr>
          <w:rFonts w:ascii="Palatino Linotype" w:eastAsia="Palatino Linotype" w:hAnsi="Palatino Linotype" w:cs="Palatino Linotype"/>
        </w:rPr>
        <w:t xml:space="preserve">El </w:t>
      </w:r>
      <w:r w:rsidRPr="00F86891">
        <w:rPr>
          <w:rFonts w:ascii="Palatino Linotype" w:eastAsia="Palatino Linotype" w:hAnsi="Palatino Linotype" w:cs="Palatino Linotype"/>
          <w:b/>
        </w:rPr>
        <w:t>treinta de noviembre de dos mil veintidós</w:t>
      </w:r>
      <w:r w:rsidRPr="00F86891">
        <w:rPr>
          <w:rFonts w:ascii="Palatino Linotype" w:eastAsia="Palatino Linotype" w:hAnsi="Palatino Linotype" w:cs="Palatino Linotype"/>
        </w:rPr>
        <w:t xml:space="preserv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notificó la prórroga para atender la solicitud de información, medularmente en los siguientes términos:</w:t>
      </w:r>
    </w:p>
    <w:p w14:paraId="5EDFBA43"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7F973EE"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En cumplimiento al artículo 163 segundo párrafo de la Ley de Transparencia y Acceso a la Información Pública del Estado de México y Municipios, se solicita la ampliación de plazo por siete días hábiles más, con la finalidad de emitir respuesta concreta y correcta a la solicitud de información 02386/TOLUCA/IP/2022 recibida a través del Sistema de Acceso a la Información Mexiquense (SAIMEX), en razón de que se continua con la búsqueda de información en los archivos de esta unidad administrativa, derivado del cúmulo de documentos y del análisis minucioso en cada uno de ellos.</w:t>
      </w:r>
    </w:p>
    <w:p w14:paraId="47E15843"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Lic. Norma Sofía Pérez Martínez</w:t>
      </w:r>
    </w:p>
    <w:p w14:paraId="2B03E446"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Responsable de la Unidad de Transparencia”</w:t>
      </w:r>
    </w:p>
    <w:p w14:paraId="4F59146A" w14:textId="77777777" w:rsidR="00E7339E" w:rsidRPr="00F86891" w:rsidRDefault="00743CCC">
      <w:pPr>
        <w:spacing w:before="240" w:after="240" w:line="276" w:lineRule="auto"/>
        <w:ind w:left="567" w:right="851"/>
        <w:jc w:val="both"/>
        <w:rPr>
          <w:rFonts w:ascii="Palatino Linotype" w:eastAsia="Palatino Linotype" w:hAnsi="Palatino Linotype" w:cs="Palatino Linotype"/>
          <w:b/>
        </w:rPr>
      </w:pPr>
      <w:r w:rsidRPr="00F86891">
        <w:rPr>
          <w:rFonts w:ascii="Palatino Linotype" w:eastAsia="Palatino Linotype" w:hAnsi="Palatino Linotype" w:cs="Palatino Linotype"/>
          <w:b/>
        </w:rPr>
        <w:t>Archivos adjuntos:</w:t>
      </w:r>
    </w:p>
    <w:p w14:paraId="27710F2F" w14:textId="77777777" w:rsidR="00E7339E" w:rsidRPr="00F86891" w:rsidRDefault="00743CCC">
      <w:pPr>
        <w:spacing w:before="240" w:after="240" w:line="360" w:lineRule="auto"/>
        <w:ind w:left="567" w:right="851"/>
        <w:jc w:val="both"/>
        <w:rPr>
          <w:rFonts w:ascii="Palatino Linotype" w:eastAsia="Palatino Linotype" w:hAnsi="Palatino Linotype" w:cs="Palatino Linotype"/>
        </w:rPr>
      </w:pPr>
      <w:r w:rsidRPr="00F86891">
        <w:rPr>
          <w:rFonts w:ascii="Palatino Linotype" w:eastAsia="Palatino Linotype" w:hAnsi="Palatino Linotype" w:cs="Palatino Linotype"/>
          <w:b/>
          <w:i/>
          <w:sz w:val="22"/>
          <w:szCs w:val="22"/>
        </w:rPr>
        <w:t xml:space="preserve">“729 Sesión Extraordinaria 22.pdf”: </w:t>
      </w:r>
      <w:r w:rsidRPr="00F86891">
        <w:rPr>
          <w:rFonts w:ascii="Palatino Linotype" w:eastAsia="Palatino Linotype" w:hAnsi="Palatino Linotype" w:cs="Palatino Linotype"/>
        </w:rPr>
        <w:t>Documento de siete fojas en el que obra el Acta de la Septingentésima Vigésima Novena Sesión Extraordinaria del Comité de Transparencia del Municipio de Toluca, administración 2022-2024, mediante la que se aprueba la prórroga para atender la presente solicitud de información.</w:t>
      </w:r>
    </w:p>
    <w:p w14:paraId="37604E66" w14:textId="77777777" w:rsidR="00E7339E" w:rsidRPr="00F86891" w:rsidRDefault="00743CCC">
      <w:pPr>
        <w:spacing w:before="240" w:after="240" w:line="276" w:lineRule="auto"/>
        <w:ind w:left="567" w:right="851"/>
        <w:jc w:val="both"/>
        <w:rPr>
          <w:rFonts w:ascii="Palatino Linotype" w:eastAsia="Palatino Linotype" w:hAnsi="Palatino Linotype" w:cs="Palatino Linotype"/>
          <w:b/>
          <w:i/>
          <w:sz w:val="22"/>
          <w:szCs w:val="22"/>
        </w:rPr>
      </w:pPr>
      <w:r w:rsidRPr="00F86891">
        <w:rPr>
          <w:rFonts w:ascii="Palatino Linotype" w:eastAsia="Palatino Linotype" w:hAnsi="Palatino Linotype" w:cs="Palatino Linotype"/>
          <w:b/>
          <w:i/>
          <w:noProof/>
          <w:sz w:val="22"/>
          <w:szCs w:val="22"/>
          <w:lang w:val="es-MX"/>
        </w:rPr>
        <w:lastRenderedPageBreak/>
        <w:drawing>
          <wp:inline distT="0" distB="0" distL="0" distR="0" wp14:anchorId="2DA3DED2" wp14:editId="02A7DD3C">
            <wp:extent cx="4601001" cy="5712381"/>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01001" cy="5712381"/>
                    </a:xfrm>
                    <a:prstGeom prst="rect">
                      <a:avLst/>
                    </a:prstGeom>
                    <a:ln/>
                  </pic:spPr>
                </pic:pic>
              </a:graphicData>
            </a:graphic>
          </wp:inline>
        </w:drawing>
      </w:r>
    </w:p>
    <w:p w14:paraId="04AC6E1C" w14:textId="77777777" w:rsidR="00E7339E" w:rsidRPr="00F86891" w:rsidRDefault="00743CCC">
      <w:pPr>
        <w:spacing w:before="240" w:after="240" w:line="360" w:lineRule="auto"/>
        <w:jc w:val="both"/>
        <w:rPr>
          <w:rFonts w:ascii="Palatino Linotype" w:eastAsia="Palatino Linotype" w:hAnsi="Palatino Linotype" w:cs="Palatino Linotype"/>
          <w:b/>
        </w:rPr>
      </w:pPr>
      <w:r w:rsidRPr="00F86891">
        <w:rPr>
          <w:rFonts w:ascii="Palatino Linotype" w:eastAsia="Palatino Linotype" w:hAnsi="Palatino Linotype" w:cs="Palatino Linotype"/>
          <w:b/>
        </w:rPr>
        <w:t xml:space="preserve">3. Respuesta. </w:t>
      </w:r>
      <w:r w:rsidRPr="00F86891">
        <w:rPr>
          <w:rFonts w:ascii="Palatino Linotype" w:eastAsia="Palatino Linotype" w:hAnsi="Palatino Linotype" w:cs="Palatino Linotype"/>
        </w:rPr>
        <w:t xml:space="preserve">El </w:t>
      </w:r>
      <w:r w:rsidRPr="00F86891">
        <w:rPr>
          <w:rFonts w:ascii="Palatino Linotype" w:eastAsia="Palatino Linotype" w:hAnsi="Palatino Linotype" w:cs="Palatino Linotype"/>
          <w:b/>
        </w:rPr>
        <w:t>nueve de diciembre del dos mil veintidós</w:t>
      </w:r>
      <w:r w:rsidRPr="00F86891">
        <w:rPr>
          <w:rFonts w:ascii="Palatino Linotype" w:eastAsia="Palatino Linotype" w:hAnsi="Palatino Linotype" w:cs="Palatino Linotype"/>
        </w:rPr>
        <w:t xml:space="preserv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otorgó, a través del </w:t>
      </w:r>
      <w:r w:rsidRPr="00F86891">
        <w:rPr>
          <w:rFonts w:ascii="Palatino Linotype" w:eastAsia="Palatino Linotype" w:hAnsi="Palatino Linotype" w:cs="Palatino Linotype"/>
          <w:b/>
        </w:rPr>
        <w:t>SAIMEX</w:t>
      </w:r>
      <w:r w:rsidRPr="00F86891">
        <w:rPr>
          <w:rFonts w:ascii="Palatino Linotype" w:eastAsia="Palatino Linotype" w:hAnsi="Palatino Linotype" w:cs="Palatino Linotype"/>
        </w:rPr>
        <w:t>, la respuesta a la solicitud de acceso a la información en los siguientes términos:</w:t>
      </w:r>
    </w:p>
    <w:p w14:paraId="6608CD7C"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Pr="00F86891">
        <w:rPr>
          <w:rFonts w:ascii="Palatino Linotype" w:eastAsia="Palatino Linotype" w:hAnsi="Palatino Linotype" w:cs="Palatino Linotype"/>
          <w:i/>
          <w:sz w:val="22"/>
          <w:szCs w:val="22"/>
        </w:rPr>
        <w:lastRenderedPageBreak/>
        <w:t>y Acceso a la Información Pública del Estado de México y Municipios, le contestamos que:</w:t>
      </w:r>
    </w:p>
    <w:p w14:paraId="7ABFF96A"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En atención a la solicitud con folio 02386/TOLUCA/IP/2022, me permito adjuntar al presente la respuesta correspondiente y anexo. Sin más por el momento, reciba un saludo.</w:t>
      </w:r>
    </w:p>
    <w:p w14:paraId="31D062E0"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ATENTAMENTE</w:t>
      </w:r>
    </w:p>
    <w:p w14:paraId="226DFF86"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Lic. Norma Sofía Pérez Martínez “(Sic)</w:t>
      </w:r>
    </w:p>
    <w:p w14:paraId="70F06A7A" w14:textId="77777777" w:rsidR="00E7339E" w:rsidRPr="00F86891" w:rsidRDefault="00743CCC">
      <w:pPr>
        <w:spacing w:before="240" w:after="240" w:line="360" w:lineRule="auto"/>
        <w:ind w:right="567"/>
        <w:jc w:val="both"/>
        <w:rPr>
          <w:rFonts w:ascii="Palatino Linotype" w:eastAsia="Palatino Linotype" w:hAnsi="Palatino Linotype" w:cs="Palatino Linotype"/>
        </w:rPr>
      </w:pPr>
      <w:r w:rsidRPr="00F86891">
        <w:rPr>
          <w:rFonts w:ascii="Palatino Linotype" w:eastAsia="Palatino Linotype" w:hAnsi="Palatino Linotype" w:cs="Palatino Linotype"/>
          <w:b/>
        </w:rPr>
        <w:t>Archivos adjuntos:</w:t>
      </w:r>
      <w:r w:rsidRPr="00F86891">
        <w:rPr>
          <w:rFonts w:ascii="Palatino Linotype" w:eastAsia="Palatino Linotype" w:hAnsi="Palatino Linotype" w:cs="Palatino Linotype"/>
        </w:rPr>
        <w:t xml:space="preserve"> </w:t>
      </w:r>
    </w:p>
    <w:p w14:paraId="5231D05E" w14:textId="77777777" w:rsidR="00E7339E" w:rsidRPr="00F86891" w:rsidRDefault="00743CCC">
      <w:pPr>
        <w:spacing w:before="240" w:after="240" w:line="360" w:lineRule="auto"/>
        <w:ind w:left="567" w:right="851"/>
        <w:jc w:val="both"/>
        <w:rPr>
          <w:rFonts w:ascii="Palatino Linotype" w:eastAsia="Palatino Linotype" w:hAnsi="Palatino Linotype" w:cs="Palatino Linotype"/>
          <w:sz w:val="22"/>
          <w:szCs w:val="22"/>
        </w:rPr>
      </w:pPr>
      <w:r w:rsidRPr="00F86891">
        <w:rPr>
          <w:rFonts w:ascii="Palatino Linotype" w:eastAsia="Palatino Linotype" w:hAnsi="Palatino Linotype" w:cs="Palatino Linotype"/>
          <w:b/>
          <w:i/>
          <w:sz w:val="22"/>
          <w:szCs w:val="22"/>
        </w:rPr>
        <w:t xml:space="preserve"> “02386.pdf”: </w:t>
      </w:r>
      <w:r w:rsidRPr="00F86891">
        <w:rPr>
          <w:rFonts w:ascii="Palatino Linotype" w:eastAsia="Palatino Linotype" w:hAnsi="Palatino Linotype" w:cs="Palatino Linotype"/>
          <w:sz w:val="22"/>
          <w:szCs w:val="22"/>
        </w:rPr>
        <w:t>Archivo electrónico que se compone de una foja y medularmente señala que hace entrega de la expresión documental correspondiente lo anterior en términos de los artículos 12 y 24 de la Ley de Transparencia y Acceso a la Información Pública del Estado de México y Municipios.</w:t>
      </w:r>
    </w:p>
    <w:p w14:paraId="5C137E56" w14:textId="77777777" w:rsidR="00E7339E" w:rsidRPr="00F86891" w:rsidRDefault="00743CCC">
      <w:pPr>
        <w:spacing w:before="240" w:after="240" w:line="360" w:lineRule="auto"/>
        <w:ind w:left="567" w:right="567"/>
        <w:jc w:val="both"/>
        <w:rPr>
          <w:rFonts w:ascii="Palatino Linotype" w:eastAsia="Palatino Linotype" w:hAnsi="Palatino Linotype" w:cs="Palatino Linotype"/>
          <w:sz w:val="22"/>
          <w:szCs w:val="22"/>
        </w:rPr>
      </w:pPr>
      <w:r w:rsidRPr="00F86891">
        <w:rPr>
          <w:rFonts w:ascii="Palatino Linotype" w:eastAsia="Palatino Linotype" w:hAnsi="Palatino Linotype" w:cs="Palatino Linotype"/>
          <w:noProof/>
          <w:sz w:val="22"/>
          <w:szCs w:val="22"/>
          <w:lang w:val="es-MX"/>
        </w:rPr>
        <w:lastRenderedPageBreak/>
        <w:drawing>
          <wp:inline distT="0" distB="0" distL="0" distR="0" wp14:anchorId="7CDEEA16" wp14:editId="0EC73D0B">
            <wp:extent cx="4635755" cy="6038243"/>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635755" cy="6038243"/>
                    </a:xfrm>
                    <a:prstGeom prst="rect">
                      <a:avLst/>
                    </a:prstGeom>
                    <a:ln/>
                  </pic:spPr>
                </pic:pic>
              </a:graphicData>
            </a:graphic>
          </wp:inline>
        </w:drawing>
      </w:r>
    </w:p>
    <w:p w14:paraId="72E2A16D" w14:textId="77777777" w:rsidR="00E7339E" w:rsidRPr="00F86891" w:rsidRDefault="00743CCC">
      <w:pPr>
        <w:spacing w:before="240" w:after="240" w:line="360" w:lineRule="auto"/>
        <w:ind w:left="567" w:right="851"/>
        <w:jc w:val="both"/>
        <w:rPr>
          <w:rFonts w:ascii="Palatino Linotype" w:eastAsia="Palatino Linotype" w:hAnsi="Palatino Linotype" w:cs="Palatino Linotype"/>
          <w:sz w:val="22"/>
          <w:szCs w:val="22"/>
        </w:rPr>
      </w:pPr>
      <w:r w:rsidRPr="00F86891">
        <w:rPr>
          <w:rFonts w:ascii="Palatino Linotype" w:eastAsia="Palatino Linotype" w:hAnsi="Palatino Linotype" w:cs="Palatino Linotype"/>
          <w:b/>
          <w:i/>
          <w:sz w:val="22"/>
          <w:szCs w:val="22"/>
        </w:rPr>
        <w:t>“</w:t>
      </w:r>
      <w:proofErr w:type="spellStart"/>
      <w:r w:rsidRPr="00F86891">
        <w:rPr>
          <w:rFonts w:ascii="Palatino Linotype" w:eastAsia="Palatino Linotype" w:hAnsi="Palatino Linotype" w:cs="Palatino Linotype"/>
          <w:b/>
          <w:i/>
          <w:sz w:val="22"/>
          <w:szCs w:val="22"/>
        </w:rPr>
        <w:t>doc</w:t>
      </w:r>
      <w:proofErr w:type="spellEnd"/>
      <w:r w:rsidRPr="00F86891">
        <w:rPr>
          <w:rFonts w:ascii="Palatino Linotype" w:eastAsia="Palatino Linotype" w:hAnsi="Palatino Linotype" w:cs="Palatino Linotype"/>
          <w:b/>
          <w:i/>
          <w:sz w:val="22"/>
          <w:szCs w:val="22"/>
        </w:rPr>
        <w:t xml:space="preserve"> segu_2022.rar”:</w:t>
      </w:r>
      <w:r w:rsidRPr="00F86891">
        <w:rPr>
          <w:rFonts w:ascii="Palatino Linotype" w:eastAsia="Palatino Linotype" w:hAnsi="Palatino Linotype" w:cs="Palatino Linotype"/>
          <w:b/>
          <w:i/>
        </w:rPr>
        <w:t xml:space="preserve"> </w:t>
      </w:r>
      <w:r w:rsidRPr="00F86891">
        <w:rPr>
          <w:rFonts w:ascii="Palatino Linotype" w:eastAsia="Palatino Linotype" w:hAnsi="Palatino Linotype" w:cs="Palatino Linotype"/>
        </w:rPr>
        <w:t>Carpeta comprimida que contiene veintiocho documentos de seguridad.</w:t>
      </w:r>
    </w:p>
    <w:p w14:paraId="7B57B9EC" w14:textId="77777777" w:rsidR="00E7339E" w:rsidRPr="00F86891" w:rsidRDefault="00743CCC">
      <w:pPr>
        <w:spacing w:before="240" w:after="240" w:line="360" w:lineRule="auto"/>
        <w:ind w:left="567" w:right="567"/>
        <w:jc w:val="both"/>
        <w:rPr>
          <w:rFonts w:ascii="Palatino Linotype" w:eastAsia="Palatino Linotype" w:hAnsi="Palatino Linotype" w:cs="Palatino Linotype"/>
          <w:sz w:val="22"/>
          <w:szCs w:val="22"/>
        </w:rPr>
      </w:pPr>
      <w:r w:rsidRPr="00F86891">
        <w:rPr>
          <w:rFonts w:ascii="Palatino Linotype" w:eastAsia="Palatino Linotype" w:hAnsi="Palatino Linotype" w:cs="Palatino Linotype"/>
          <w:noProof/>
          <w:sz w:val="22"/>
          <w:szCs w:val="22"/>
          <w:lang w:val="es-MX"/>
        </w:rPr>
        <w:lastRenderedPageBreak/>
        <w:drawing>
          <wp:inline distT="0" distB="0" distL="0" distR="0" wp14:anchorId="0C7D7A88" wp14:editId="44D27B56">
            <wp:extent cx="4444483" cy="5333482"/>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44483" cy="5333482"/>
                    </a:xfrm>
                    <a:prstGeom prst="rect">
                      <a:avLst/>
                    </a:prstGeom>
                    <a:ln/>
                  </pic:spPr>
                </pic:pic>
              </a:graphicData>
            </a:graphic>
          </wp:inline>
        </w:drawing>
      </w:r>
    </w:p>
    <w:p w14:paraId="6F847F27"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b/>
        </w:rPr>
        <w:t>4. Recurso de revisión.</w:t>
      </w:r>
      <w:r w:rsidRPr="00F86891">
        <w:rPr>
          <w:rFonts w:ascii="Palatino Linotype" w:eastAsia="Palatino Linotype" w:hAnsi="Palatino Linotype" w:cs="Palatino Linotype"/>
          <w:b/>
          <w:sz w:val="22"/>
          <w:szCs w:val="22"/>
        </w:rPr>
        <w:t xml:space="preserve"> </w:t>
      </w:r>
      <w:r w:rsidRPr="00F86891">
        <w:rPr>
          <w:rFonts w:ascii="Palatino Linotype" w:eastAsia="Palatino Linotype" w:hAnsi="Palatino Linotype" w:cs="Palatino Linotype"/>
        </w:rPr>
        <w:t xml:space="preserve">Inconforme con la respuesta recibida, </w:t>
      </w:r>
      <w:r w:rsidRPr="00F86891">
        <w:rPr>
          <w:rFonts w:ascii="Palatino Linotype" w:eastAsia="Palatino Linotype" w:hAnsi="Palatino Linotype" w:cs="Palatino Linotype"/>
          <w:b/>
        </w:rPr>
        <w:t>el Recurrente</w:t>
      </w:r>
      <w:r w:rsidRPr="00F86891">
        <w:rPr>
          <w:rFonts w:ascii="Palatino Linotype" w:eastAsia="Palatino Linotype" w:hAnsi="Palatino Linotype" w:cs="Palatino Linotype"/>
        </w:rPr>
        <w:t xml:space="preserve"> interpuso el </w:t>
      </w:r>
      <w:r w:rsidRPr="00F86891">
        <w:rPr>
          <w:rFonts w:ascii="Palatino Linotype" w:eastAsia="Palatino Linotype" w:hAnsi="Palatino Linotype" w:cs="Palatino Linotype"/>
          <w:b/>
        </w:rPr>
        <w:t>diecinueve de diciembre del año dos mil veintidós</w:t>
      </w:r>
      <w:r w:rsidRPr="00F86891">
        <w:rPr>
          <w:rFonts w:ascii="Palatino Linotype" w:eastAsia="Palatino Linotype" w:hAnsi="Palatino Linotype" w:cs="Palatino Linotype"/>
        </w:rPr>
        <w:t>, el presente medio de impugnación expresando las siguientes manifestaciones:</w:t>
      </w:r>
    </w:p>
    <w:p w14:paraId="490EF513" w14:textId="77777777" w:rsidR="00E7339E" w:rsidRPr="00F86891" w:rsidRDefault="00743CCC">
      <w:pPr>
        <w:spacing w:before="240" w:after="240" w:line="360" w:lineRule="auto"/>
        <w:ind w:left="851" w:right="567"/>
        <w:rPr>
          <w:rFonts w:ascii="Palatino Linotype" w:eastAsia="Palatino Linotype" w:hAnsi="Palatino Linotype" w:cs="Palatino Linotype"/>
          <w:b/>
        </w:rPr>
      </w:pPr>
      <w:r w:rsidRPr="00F86891">
        <w:rPr>
          <w:rFonts w:ascii="Palatino Linotype" w:eastAsia="Palatino Linotype" w:hAnsi="Palatino Linotype" w:cs="Palatino Linotype"/>
          <w:b/>
        </w:rPr>
        <w:t>a) Acto impugnado.</w:t>
      </w:r>
    </w:p>
    <w:p w14:paraId="5DDCC81F" w14:textId="77777777" w:rsidR="00E7339E" w:rsidRPr="00F86891" w:rsidRDefault="00743CCC">
      <w:pPr>
        <w:spacing w:before="240" w:after="240" w:line="276" w:lineRule="auto"/>
        <w:ind w:left="851" w:right="567"/>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 xml:space="preserve">“LA RESPUESTA ENTREGADA” (Sic) </w:t>
      </w:r>
    </w:p>
    <w:p w14:paraId="79F62E84" w14:textId="77777777" w:rsidR="00E7339E" w:rsidRPr="00F86891" w:rsidRDefault="00743CCC">
      <w:pPr>
        <w:spacing w:before="240" w:after="240" w:line="360" w:lineRule="auto"/>
        <w:ind w:left="851" w:right="567"/>
        <w:jc w:val="both"/>
        <w:rPr>
          <w:rFonts w:ascii="Palatino Linotype" w:eastAsia="Palatino Linotype" w:hAnsi="Palatino Linotype" w:cs="Palatino Linotype"/>
          <w:b/>
        </w:rPr>
      </w:pPr>
      <w:r w:rsidRPr="00F86891">
        <w:rPr>
          <w:rFonts w:ascii="Palatino Linotype" w:eastAsia="Palatino Linotype" w:hAnsi="Palatino Linotype" w:cs="Palatino Linotype"/>
          <w:b/>
        </w:rPr>
        <w:t>b) Razones o motivos de inconformidad.</w:t>
      </w:r>
    </w:p>
    <w:p w14:paraId="74637550" w14:textId="77777777" w:rsidR="00E7339E" w:rsidRPr="00F86891" w:rsidRDefault="00743CCC">
      <w:pPr>
        <w:spacing w:before="240" w:after="240" w:line="276" w:lineRule="auto"/>
        <w:ind w:left="851" w:right="567"/>
        <w:jc w:val="both"/>
        <w:rPr>
          <w:rFonts w:ascii="Palatino Linotype" w:eastAsia="Palatino Linotype" w:hAnsi="Palatino Linotype" w:cs="Palatino Linotype"/>
        </w:rPr>
      </w:pPr>
      <w:r w:rsidRPr="00F86891">
        <w:rPr>
          <w:rFonts w:ascii="Palatino Linotype" w:eastAsia="Palatino Linotype" w:hAnsi="Palatino Linotype" w:cs="Palatino Linotype"/>
          <w:i/>
          <w:sz w:val="22"/>
          <w:szCs w:val="22"/>
        </w:rPr>
        <w:lastRenderedPageBreak/>
        <w:t>“</w:t>
      </w:r>
      <w:r w:rsidRPr="00F86891">
        <w:rPr>
          <w:rFonts w:ascii="Palatino Linotype" w:eastAsia="Palatino Linotype" w:hAnsi="Palatino Linotype" w:cs="Palatino Linotype"/>
          <w:b/>
          <w:i/>
          <w:sz w:val="22"/>
          <w:szCs w:val="22"/>
        </w:rPr>
        <w:t xml:space="preserve">NO ABRE EL ARCHIVO QUE COMPRIMIERON </w:t>
      </w:r>
      <w:r w:rsidRPr="00F86891">
        <w:rPr>
          <w:rFonts w:ascii="Palatino Linotype" w:eastAsia="Palatino Linotype" w:hAnsi="Palatino Linotype" w:cs="Palatino Linotype"/>
          <w:i/>
          <w:sz w:val="22"/>
          <w:szCs w:val="22"/>
        </w:rPr>
        <w:t>" (Sic) (Énfasis añadido)</w:t>
      </w:r>
    </w:p>
    <w:p w14:paraId="2698658A"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b/>
        </w:rPr>
        <w:t xml:space="preserve">5. Turno. </w:t>
      </w:r>
      <w:r w:rsidRPr="00F8689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F86891">
        <w:rPr>
          <w:rFonts w:ascii="Palatino Linotype" w:eastAsia="Palatino Linotype" w:hAnsi="Palatino Linotype" w:cs="Palatino Linotype"/>
          <w:b/>
        </w:rPr>
        <w:t>Comisionada Guadalupe Ramírez Peña</w:t>
      </w:r>
      <w:r w:rsidRPr="00F86891">
        <w:rPr>
          <w:rFonts w:ascii="Palatino Linotype" w:eastAsia="Palatino Linotype" w:hAnsi="Palatino Linotype" w:cs="Palatino Linotype"/>
        </w:rPr>
        <w:t xml:space="preserve"> para su análisis, estudio, elaboración del proyecto y presentación ante el Pleno de este Instituto.</w:t>
      </w:r>
    </w:p>
    <w:p w14:paraId="3F7C3321" w14:textId="77777777" w:rsidR="00E7339E" w:rsidRPr="00F86891" w:rsidRDefault="00743CCC">
      <w:pPr>
        <w:spacing w:before="240" w:after="240" w:line="360" w:lineRule="auto"/>
        <w:jc w:val="both"/>
      </w:pPr>
      <w:r w:rsidRPr="00F86891">
        <w:rPr>
          <w:rFonts w:ascii="Palatino Linotype" w:eastAsia="Palatino Linotype" w:hAnsi="Palatino Linotype" w:cs="Palatino Linotype"/>
          <w:b/>
        </w:rPr>
        <w:t xml:space="preserve">6. Admisión. </w:t>
      </w:r>
      <w:r w:rsidRPr="00F86891">
        <w:rPr>
          <w:rFonts w:ascii="Palatino Linotype" w:eastAsia="Palatino Linotype" w:hAnsi="Palatino Linotype" w:cs="Palatino Linotype"/>
        </w:rPr>
        <w:t xml:space="preserve">Mediante auto de fecha </w:t>
      </w:r>
      <w:r w:rsidRPr="00F86891">
        <w:rPr>
          <w:rFonts w:ascii="Palatino Linotype" w:eastAsia="Palatino Linotype" w:hAnsi="Palatino Linotype" w:cs="Palatino Linotype"/>
          <w:b/>
        </w:rPr>
        <w:t>nueve de enero del dos mil veintitrés</w:t>
      </w:r>
      <w:r w:rsidRPr="00F86891">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1AC24438" w14:textId="77777777" w:rsidR="00E7339E" w:rsidRPr="00F86891" w:rsidRDefault="00743CCC">
      <w:pPr>
        <w:widowControl w:val="0"/>
        <w:tabs>
          <w:tab w:val="left" w:pos="709"/>
        </w:tabs>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b/>
        </w:rPr>
        <w:t>7. Manifestaciones.</w:t>
      </w:r>
      <w:r w:rsidRPr="00F86891">
        <w:rPr>
          <w:rFonts w:ascii="Palatino Linotype" w:eastAsia="Palatino Linotype" w:hAnsi="Palatino Linotype" w:cs="Palatino Linotype"/>
          <w:b/>
          <w:sz w:val="28"/>
          <w:szCs w:val="28"/>
        </w:rPr>
        <w:t xml:space="preserve"> </w:t>
      </w:r>
      <w:r w:rsidRPr="00F86891">
        <w:rPr>
          <w:rFonts w:ascii="Palatino Linotype" w:eastAsia="Palatino Linotype" w:hAnsi="Palatino Linotype" w:cs="Palatino Linotype"/>
        </w:rPr>
        <w:t xml:space="preserve">De las constancias que integran el expediente en que se actúan se advierte que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rindió su informe justificado mediante el archivo electrónico “</w:t>
      </w:r>
      <w:r w:rsidRPr="00F86891">
        <w:rPr>
          <w:rFonts w:ascii="Palatino Linotype" w:eastAsia="Palatino Linotype" w:hAnsi="Palatino Linotype" w:cs="Palatino Linotype"/>
          <w:b/>
          <w:i/>
        </w:rPr>
        <w:t xml:space="preserve">RR 17444.pdf”, </w:t>
      </w:r>
      <w:r w:rsidRPr="00F86891">
        <w:rPr>
          <w:rFonts w:ascii="Palatino Linotype" w:eastAsia="Palatino Linotype" w:hAnsi="Palatino Linotype" w:cs="Palatino Linotype"/>
        </w:rPr>
        <w:t>el cual se compone de catorce fojas y esencialmente desvirtúa las manifestaciones de la particular, al señalar que los archivos que obran en la carpeta comprimida si abren y son susceptibles de verse, tal como se advierte en las siguientes impresiones de pantalla:</w:t>
      </w:r>
    </w:p>
    <w:p w14:paraId="29BFD9E8" w14:textId="77777777" w:rsidR="00E7339E" w:rsidRPr="00F86891" w:rsidRDefault="00743CCC">
      <w:pPr>
        <w:widowControl w:val="0"/>
        <w:tabs>
          <w:tab w:val="left" w:pos="709"/>
        </w:tabs>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noProof/>
          <w:lang w:val="es-MX"/>
        </w:rPr>
        <w:lastRenderedPageBreak/>
        <w:drawing>
          <wp:inline distT="0" distB="0" distL="0" distR="0" wp14:anchorId="59D27A77" wp14:editId="7AB11A78">
            <wp:extent cx="5349017" cy="3381402"/>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349017" cy="3381402"/>
                    </a:xfrm>
                    <a:prstGeom prst="rect">
                      <a:avLst/>
                    </a:prstGeom>
                    <a:ln/>
                  </pic:spPr>
                </pic:pic>
              </a:graphicData>
            </a:graphic>
          </wp:inline>
        </w:drawing>
      </w:r>
    </w:p>
    <w:p w14:paraId="401770A6" w14:textId="77777777" w:rsidR="00E7339E" w:rsidRPr="00F86891" w:rsidRDefault="00743CCC">
      <w:pPr>
        <w:widowControl w:val="0"/>
        <w:tabs>
          <w:tab w:val="left" w:pos="709"/>
        </w:tabs>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noProof/>
          <w:lang w:val="es-MX"/>
        </w:rPr>
        <w:lastRenderedPageBreak/>
        <w:drawing>
          <wp:inline distT="0" distB="0" distL="0" distR="0" wp14:anchorId="7751555E" wp14:editId="0644E705">
            <wp:extent cx="5581650" cy="5058182"/>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b="21675"/>
                    <a:stretch>
                      <a:fillRect/>
                    </a:stretch>
                  </pic:blipFill>
                  <pic:spPr>
                    <a:xfrm>
                      <a:off x="0" y="0"/>
                      <a:ext cx="5581650" cy="5058182"/>
                    </a:xfrm>
                    <a:prstGeom prst="rect">
                      <a:avLst/>
                    </a:prstGeom>
                    <a:ln/>
                  </pic:spPr>
                </pic:pic>
              </a:graphicData>
            </a:graphic>
          </wp:inline>
        </w:drawing>
      </w:r>
      <w:r w:rsidRPr="00F86891">
        <w:rPr>
          <w:rFonts w:ascii="Palatino Linotype" w:eastAsia="Palatino Linotype" w:hAnsi="Palatino Linotype" w:cs="Palatino Linotype"/>
        </w:rPr>
        <w:br/>
        <w:t xml:space="preserve">Es de precisar que una vez analizado el informe justificado remitido por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se determinó ponerlo a la vista de </w:t>
      </w:r>
      <w:r w:rsidRPr="00F86891">
        <w:rPr>
          <w:rFonts w:ascii="Palatino Linotype" w:eastAsia="Palatino Linotype" w:hAnsi="Palatino Linotype" w:cs="Palatino Linotype"/>
          <w:b/>
        </w:rPr>
        <w:t xml:space="preserve">la Recurrente, </w:t>
      </w:r>
      <w:r w:rsidRPr="00F86891">
        <w:rPr>
          <w:rFonts w:ascii="Palatino Linotype" w:eastAsia="Palatino Linotype" w:hAnsi="Palatino Linotype" w:cs="Palatino Linotype"/>
        </w:rPr>
        <w:t xml:space="preserve">mediante acuerdo emitido por la Comisionada Ponente, el </w:t>
      </w:r>
      <w:r w:rsidRPr="00F86891">
        <w:rPr>
          <w:rFonts w:ascii="Palatino Linotype" w:eastAsia="Palatino Linotype" w:hAnsi="Palatino Linotype" w:cs="Palatino Linotype"/>
          <w:b/>
        </w:rPr>
        <w:t xml:space="preserve">veintiuno de marzo de dos mil veintitrés, </w:t>
      </w:r>
      <w:r w:rsidRPr="00F86891">
        <w:rPr>
          <w:rFonts w:ascii="Palatino Linotype" w:eastAsia="Palatino Linotype" w:hAnsi="Palatino Linotype" w:cs="Palatino Linotype"/>
        </w:rPr>
        <w:t>sin que</w:t>
      </w:r>
      <w:r w:rsidRPr="00F86891">
        <w:rPr>
          <w:rFonts w:ascii="Palatino Linotype" w:eastAsia="Palatino Linotype" w:hAnsi="Palatino Linotype" w:cs="Palatino Linotype"/>
          <w:b/>
        </w:rPr>
        <w:t xml:space="preserve"> </w:t>
      </w:r>
      <w:r w:rsidRPr="00F86891">
        <w:rPr>
          <w:rFonts w:ascii="Palatino Linotype" w:eastAsia="Palatino Linotype" w:hAnsi="Palatino Linotype" w:cs="Palatino Linotype"/>
        </w:rPr>
        <w:t xml:space="preserve"> emitiera pronunciamiento alguno por parte de </w:t>
      </w:r>
      <w:r w:rsidRPr="00F86891">
        <w:rPr>
          <w:rFonts w:ascii="Palatino Linotype" w:eastAsia="Palatino Linotype" w:hAnsi="Palatino Linotype" w:cs="Palatino Linotype"/>
          <w:b/>
        </w:rPr>
        <w:t>la Recurrente</w:t>
      </w:r>
      <w:r w:rsidRPr="00F86891">
        <w:rPr>
          <w:rFonts w:ascii="Palatino Linotype" w:eastAsia="Palatino Linotype" w:hAnsi="Palatino Linotype" w:cs="Palatino Linotype"/>
        </w:rPr>
        <w:t>, por lo tanto, se tiene por precluido su derecho para tal efecto.</w:t>
      </w:r>
    </w:p>
    <w:p w14:paraId="5E496233" w14:textId="77777777" w:rsidR="00E7339E" w:rsidRPr="00F86891" w:rsidRDefault="00743CCC">
      <w:pPr>
        <w:widowControl w:val="0"/>
        <w:tabs>
          <w:tab w:val="left" w:pos="709"/>
        </w:tabs>
        <w:spacing w:before="240" w:after="240" w:line="360" w:lineRule="auto"/>
        <w:rPr>
          <w:rFonts w:ascii="Palatino Linotype" w:eastAsia="Palatino Linotype" w:hAnsi="Palatino Linotype" w:cs="Palatino Linotype"/>
        </w:rPr>
      </w:pPr>
      <w:r w:rsidRPr="00F86891">
        <w:rPr>
          <w:rFonts w:ascii="Palatino Linotype" w:eastAsia="Palatino Linotype" w:hAnsi="Palatino Linotype" w:cs="Palatino Linotype"/>
          <w:noProof/>
          <w:lang w:val="es-MX"/>
        </w:rPr>
        <w:lastRenderedPageBreak/>
        <w:drawing>
          <wp:inline distT="0" distB="0" distL="0" distR="0" wp14:anchorId="1C5F65A3" wp14:editId="12CAE83F">
            <wp:extent cx="5581015" cy="194627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81015" cy="1946275"/>
                    </a:xfrm>
                    <a:prstGeom prst="rect">
                      <a:avLst/>
                    </a:prstGeom>
                    <a:ln/>
                  </pic:spPr>
                </pic:pic>
              </a:graphicData>
            </a:graphic>
          </wp:inline>
        </w:drawing>
      </w:r>
    </w:p>
    <w:p w14:paraId="40492CD2" w14:textId="77777777" w:rsidR="00E7339E" w:rsidRPr="00F86891" w:rsidRDefault="00743CCC">
      <w:pPr>
        <w:widowControl w:val="0"/>
        <w:tabs>
          <w:tab w:val="left" w:pos="709"/>
        </w:tabs>
        <w:spacing w:before="240" w:after="240" w:line="360" w:lineRule="auto"/>
        <w:jc w:val="both"/>
        <w:rPr>
          <w:rFonts w:ascii="Palatino Linotype" w:eastAsia="Palatino Linotype" w:hAnsi="Palatino Linotype" w:cs="Palatino Linotype"/>
          <w:b/>
          <w:i/>
        </w:rPr>
      </w:pPr>
      <w:r w:rsidRPr="00F86891">
        <w:rPr>
          <w:rFonts w:ascii="Palatino Linotype" w:eastAsia="Palatino Linotype" w:hAnsi="Palatino Linotype" w:cs="Palatino Linotype"/>
          <w:b/>
        </w:rPr>
        <w:t>8.- Ampliación del plazo para emitir resolución.</w:t>
      </w:r>
      <w:r w:rsidRPr="00F86891">
        <w:rPr>
          <w:rFonts w:ascii="Palatino Linotype" w:eastAsia="Palatino Linotype" w:hAnsi="Palatino Linotype" w:cs="Palatino Linotype"/>
        </w:rPr>
        <w:t xml:space="preserve"> El </w:t>
      </w:r>
      <w:r w:rsidRPr="00F86891">
        <w:rPr>
          <w:rFonts w:ascii="Palatino Linotype" w:eastAsia="Palatino Linotype" w:hAnsi="Palatino Linotype" w:cs="Palatino Linotype"/>
          <w:b/>
        </w:rPr>
        <w:t>veintiuno de marzo de dos mil veintitrés</w:t>
      </w:r>
      <w:r w:rsidRPr="00F86891">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2495C83"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dos mil veintiuno dentro del mismo periodo, se ha incrementado aproximadamente un 400%, circunstancia atípica que ha rebasado las capacidades técnicas y humanas del personal encargado de la proyección de las resoluciones a dichos medios de impugnación.</w:t>
      </w:r>
    </w:p>
    <w:p w14:paraId="636F00D4" w14:textId="77777777" w:rsidR="00E7339E" w:rsidRPr="00F86891" w:rsidRDefault="00E7339E">
      <w:pPr>
        <w:spacing w:line="360" w:lineRule="auto"/>
      </w:pPr>
    </w:p>
    <w:p w14:paraId="347FACCB"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F86891">
        <w:rPr>
          <w:rFonts w:ascii="Palatino Linotype" w:eastAsia="Palatino Linotype" w:hAnsi="Palatino Linotype" w:cs="Palatino Linotype"/>
        </w:rPr>
        <w:lastRenderedPageBreak/>
        <w:t>órganos jurisdiccionales federales, aplicables también en procedimientos análogos, como el que nos ocupa.</w:t>
      </w:r>
    </w:p>
    <w:p w14:paraId="2114B12E" w14:textId="77777777" w:rsidR="00E7339E" w:rsidRPr="00F86891" w:rsidRDefault="00E7339E">
      <w:pPr>
        <w:spacing w:line="360" w:lineRule="auto"/>
      </w:pPr>
    </w:p>
    <w:p w14:paraId="31DDE57D"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B9B398" w14:textId="77777777" w:rsidR="00E7339E" w:rsidRPr="00F86891" w:rsidRDefault="00E7339E">
      <w:pPr>
        <w:spacing w:line="360" w:lineRule="auto"/>
      </w:pPr>
    </w:p>
    <w:p w14:paraId="772B971F"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517659" w14:textId="77777777" w:rsidR="00E7339E" w:rsidRPr="00F86891" w:rsidRDefault="00E7339E">
      <w:pPr>
        <w:spacing w:line="360" w:lineRule="auto"/>
      </w:pPr>
    </w:p>
    <w:p w14:paraId="7636185C"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r w:rsidRPr="00F86891">
        <w:br/>
      </w:r>
    </w:p>
    <w:p w14:paraId="14516E12" w14:textId="77777777" w:rsidR="00E7339E" w:rsidRPr="00F86891" w:rsidRDefault="00743CCC">
      <w:pPr>
        <w:numPr>
          <w:ilvl w:val="0"/>
          <w:numId w:val="5"/>
        </w:numPr>
        <w:pBdr>
          <w:top w:val="nil"/>
          <w:left w:val="nil"/>
          <w:bottom w:val="nil"/>
          <w:right w:val="nil"/>
          <w:between w:val="nil"/>
        </w:pBdr>
        <w:spacing w:line="360" w:lineRule="auto"/>
        <w:ind w:left="567" w:right="567" w:hanging="141"/>
        <w:jc w:val="both"/>
      </w:pPr>
      <w:r w:rsidRPr="00F86891">
        <w:rPr>
          <w:rFonts w:ascii="Palatino Linotype" w:eastAsia="Palatino Linotype" w:hAnsi="Palatino Linotype" w:cs="Palatino Linotype"/>
          <w:b/>
        </w:rPr>
        <w:t>Complejidad del Asunto:</w:t>
      </w:r>
      <w:r w:rsidRPr="00F8689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2F86AB4" w14:textId="77777777" w:rsidR="00E7339E" w:rsidRPr="00F86891" w:rsidRDefault="00743CCC">
      <w:pPr>
        <w:numPr>
          <w:ilvl w:val="0"/>
          <w:numId w:val="5"/>
        </w:numPr>
        <w:pBdr>
          <w:top w:val="nil"/>
          <w:left w:val="nil"/>
          <w:bottom w:val="nil"/>
          <w:right w:val="nil"/>
          <w:between w:val="nil"/>
        </w:pBdr>
        <w:spacing w:line="360" w:lineRule="auto"/>
        <w:ind w:left="567" w:right="567" w:hanging="141"/>
        <w:jc w:val="both"/>
      </w:pPr>
      <w:r w:rsidRPr="00F86891">
        <w:rPr>
          <w:rFonts w:ascii="Palatino Linotype" w:eastAsia="Palatino Linotype" w:hAnsi="Palatino Linotype" w:cs="Palatino Linotype"/>
          <w:b/>
        </w:rPr>
        <w:t>Actividad Procesal del interesado</w:t>
      </w:r>
      <w:r w:rsidRPr="00F86891">
        <w:rPr>
          <w:rFonts w:ascii="Palatino Linotype" w:eastAsia="Palatino Linotype" w:hAnsi="Palatino Linotype" w:cs="Palatino Linotype"/>
        </w:rPr>
        <w:t>. Acciones u omisiones del interesado.</w:t>
      </w:r>
    </w:p>
    <w:p w14:paraId="5F223DC7" w14:textId="77777777" w:rsidR="00E7339E" w:rsidRPr="00F86891" w:rsidRDefault="00743CCC">
      <w:pPr>
        <w:numPr>
          <w:ilvl w:val="0"/>
          <w:numId w:val="5"/>
        </w:numPr>
        <w:pBdr>
          <w:top w:val="nil"/>
          <w:left w:val="nil"/>
          <w:bottom w:val="nil"/>
          <w:right w:val="nil"/>
          <w:between w:val="nil"/>
        </w:pBdr>
        <w:spacing w:line="360" w:lineRule="auto"/>
        <w:ind w:left="567" w:right="567" w:hanging="141"/>
        <w:jc w:val="both"/>
      </w:pPr>
      <w:r w:rsidRPr="00F86891">
        <w:rPr>
          <w:rFonts w:ascii="Palatino Linotype" w:eastAsia="Palatino Linotype" w:hAnsi="Palatino Linotype" w:cs="Palatino Linotype"/>
          <w:b/>
        </w:rPr>
        <w:t>Conducta de la Autoridad:</w:t>
      </w:r>
      <w:r w:rsidRPr="00F86891">
        <w:rPr>
          <w:rFonts w:ascii="Palatino Linotype" w:eastAsia="Palatino Linotype" w:hAnsi="Palatino Linotype" w:cs="Palatino Linotype"/>
        </w:rPr>
        <w:t xml:space="preserve"> Las Acciones u omisiones realizadas en el procedimiento. Así como si la autoridad actuó con la debida diligencia.</w:t>
      </w:r>
    </w:p>
    <w:p w14:paraId="3FA8D296" w14:textId="77777777" w:rsidR="00E7339E" w:rsidRPr="00F86891" w:rsidRDefault="00743CCC">
      <w:pPr>
        <w:numPr>
          <w:ilvl w:val="0"/>
          <w:numId w:val="5"/>
        </w:numPr>
        <w:pBdr>
          <w:top w:val="nil"/>
          <w:left w:val="nil"/>
          <w:bottom w:val="nil"/>
          <w:right w:val="nil"/>
          <w:between w:val="nil"/>
        </w:pBdr>
        <w:spacing w:line="360" w:lineRule="auto"/>
        <w:ind w:left="567" w:right="567" w:hanging="141"/>
        <w:jc w:val="both"/>
      </w:pPr>
      <w:r w:rsidRPr="00F86891">
        <w:rPr>
          <w:rFonts w:ascii="Palatino Linotype" w:eastAsia="Palatino Linotype" w:hAnsi="Palatino Linotype" w:cs="Palatino Linotype"/>
          <w:b/>
        </w:rPr>
        <w:lastRenderedPageBreak/>
        <w:t>La afectación generada en la situación jurídica de la persona involucrada en el proceso:</w:t>
      </w:r>
      <w:r w:rsidRPr="00F86891">
        <w:rPr>
          <w:rFonts w:ascii="Palatino Linotype" w:eastAsia="Palatino Linotype" w:hAnsi="Palatino Linotype" w:cs="Palatino Linotype"/>
        </w:rPr>
        <w:t xml:space="preserve"> Violación a sus derechos humanos.</w:t>
      </w:r>
    </w:p>
    <w:p w14:paraId="4AA38F6C" w14:textId="77777777" w:rsidR="00E7339E" w:rsidRPr="00F86891" w:rsidRDefault="00E7339E">
      <w:pPr>
        <w:spacing w:line="360" w:lineRule="auto"/>
      </w:pPr>
    </w:p>
    <w:p w14:paraId="7FC1EE48"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DF4E5F" w14:textId="77777777" w:rsidR="00E7339E" w:rsidRPr="00F86891" w:rsidRDefault="00E7339E">
      <w:pPr>
        <w:spacing w:line="360" w:lineRule="auto"/>
      </w:pPr>
    </w:p>
    <w:p w14:paraId="0ACE6310"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8689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86891">
        <w:rPr>
          <w:rFonts w:ascii="Palatino Linotype" w:eastAsia="Palatino Linotype" w:hAnsi="Palatino Linotype" w:cs="Palatino Linotype"/>
        </w:rPr>
        <w:t>, visible en la Gaceta del Seminario Judicial de la Federación con el registro digital 205635.</w:t>
      </w:r>
    </w:p>
    <w:p w14:paraId="2ABB1A68" w14:textId="77777777" w:rsidR="00E7339E" w:rsidRPr="00F86891" w:rsidRDefault="00E7339E">
      <w:pPr>
        <w:spacing w:line="360" w:lineRule="auto"/>
      </w:pPr>
    </w:p>
    <w:p w14:paraId="66F0C718"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F86891">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3E12D037" w14:textId="77777777" w:rsidR="00E7339E" w:rsidRPr="00F86891" w:rsidRDefault="00E7339E">
      <w:pPr>
        <w:spacing w:line="360" w:lineRule="auto"/>
      </w:pPr>
    </w:p>
    <w:p w14:paraId="72CAA86B"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3ABF3ED" w14:textId="77777777" w:rsidR="00E7339E" w:rsidRPr="00F86891" w:rsidRDefault="00E7339E">
      <w:pPr>
        <w:spacing w:line="360" w:lineRule="auto"/>
      </w:pPr>
    </w:p>
    <w:p w14:paraId="56B9AA08"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 </w:t>
      </w:r>
      <w:r w:rsidRPr="00F86891">
        <w:rPr>
          <w:rFonts w:ascii="Palatino Linotype" w:eastAsia="Palatino Linotype" w:hAnsi="Palatino Linotype" w:cs="Palatino Linotype"/>
          <w:i/>
        </w:rPr>
        <w:t>“PLAZO RAZONABLE PARA RESOLVER. DIMENSIÓN Y EFECTOS DE ESTE CONCEPTO CUANDO SE ADUCE EXCESIVA CARGA DE TRABAJO.”</w:t>
      </w:r>
      <w:r w:rsidRPr="00F86891">
        <w:rPr>
          <w:rFonts w:ascii="Palatino Linotype" w:eastAsia="Palatino Linotype" w:hAnsi="Palatino Linotype" w:cs="Palatino Linotype"/>
        </w:rPr>
        <w:t xml:space="preserve"> consultable en el Seminario Judicial de la Federación y su gaceta, con el registro digital 2002351.</w:t>
      </w:r>
    </w:p>
    <w:p w14:paraId="2BBCD411" w14:textId="77777777" w:rsidR="00E7339E" w:rsidRPr="00F86891" w:rsidRDefault="00E7339E">
      <w:pPr>
        <w:spacing w:line="360" w:lineRule="auto"/>
      </w:pPr>
    </w:p>
    <w:p w14:paraId="06205DE1"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i/>
        </w:rPr>
        <w:t>“PLAZO RAZONABLE PARA RESOLVER. CONCEPTO Y ELEMENTOS QUE LO INTEGRAN A LA LUZ DEL DERECHO INTERNACIONAL DE LOS DERECHOS HUMANOS.”</w:t>
      </w:r>
      <w:r w:rsidRPr="00F86891">
        <w:rPr>
          <w:rFonts w:ascii="Palatino Linotype" w:eastAsia="Palatino Linotype" w:hAnsi="Palatino Linotype" w:cs="Palatino Linotype"/>
        </w:rPr>
        <w:t>, visible en el Seminario Judicial de la Federación y su gaceta, con el registro digital 2002350.</w:t>
      </w:r>
    </w:p>
    <w:p w14:paraId="22BE4214" w14:textId="77777777" w:rsidR="00E7339E" w:rsidRPr="00F86891" w:rsidRDefault="00E7339E">
      <w:pPr>
        <w:spacing w:line="360" w:lineRule="auto"/>
      </w:pPr>
    </w:p>
    <w:p w14:paraId="77F9BBB9" w14:textId="77777777" w:rsidR="00E7339E" w:rsidRPr="00F86891" w:rsidRDefault="00743CCC">
      <w:pPr>
        <w:pBdr>
          <w:top w:val="nil"/>
          <w:left w:val="nil"/>
          <w:bottom w:val="nil"/>
          <w:right w:val="nil"/>
          <w:between w:val="nil"/>
        </w:pBdr>
        <w:spacing w:line="360" w:lineRule="auto"/>
        <w:jc w:val="both"/>
      </w:pPr>
      <w:r w:rsidRPr="00F8689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2A3ACD5" w14:textId="77777777" w:rsidR="00E7339E" w:rsidRPr="00F86891" w:rsidRDefault="00743CCC">
      <w:pPr>
        <w:spacing w:before="240" w:after="240" w:line="360" w:lineRule="auto"/>
        <w:jc w:val="both"/>
        <w:rPr>
          <w:rFonts w:ascii="Palatino Linotype" w:eastAsia="Palatino Linotype" w:hAnsi="Palatino Linotype" w:cs="Palatino Linotype"/>
          <w:b/>
          <w:sz w:val="28"/>
          <w:szCs w:val="28"/>
        </w:rPr>
      </w:pPr>
      <w:r w:rsidRPr="00F86891">
        <w:rPr>
          <w:rFonts w:ascii="Palatino Linotype" w:eastAsia="Palatino Linotype" w:hAnsi="Palatino Linotype" w:cs="Palatino Linotype"/>
          <w:b/>
        </w:rPr>
        <w:t xml:space="preserve">9. Cierre de Instrucción. </w:t>
      </w:r>
      <w:r w:rsidRPr="00F86891">
        <w:rPr>
          <w:rFonts w:ascii="Palatino Linotype" w:eastAsia="Palatino Linotype" w:hAnsi="Palatino Linotype" w:cs="Palatino Linotype"/>
        </w:rPr>
        <w:t xml:space="preserve">El </w:t>
      </w:r>
      <w:r w:rsidRPr="00F86891">
        <w:rPr>
          <w:rFonts w:ascii="Palatino Linotype" w:eastAsia="Palatino Linotype" w:hAnsi="Palatino Linotype" w:cs="Palatino Linotype"/>
          <w:b/>
        </w:rPr>
        <w:t>veintisiete de marzo del año dos mil veintitrés</w:t>
      </w:r>
      <w:r w:rsidRPr="00F86891">
        <w:rPr>
          <w:rFonts w:ascii="Palatino Linotype" w:eastAsia="Palatino Linotype" w:hAnsi="Palatino Linotype" w:cs="Palatino Linotype"/>
        </w:rPr>
        <w:t xml:space="preserve">, se emitió el acuerdo por medio del cual se declaró cerrada la instrucción, pasando el expediente a resolución, debido a que fue debidamente sustanciado el expediente y no existiendo diligencia pendiente de desahogo, en términos del artículo 185 fracciones VI y VIII de la Ley de Transparencia y Acceso a la Información Pública </w:t>
      </w:r>
      <w:r w:rsidRPr="00F86891">
        <w:rPr>
          <w:rFonts w:ascii="Palatino Linotype" w:eastAsia="Palatino Linotype" w:hAnsi="Palatino Linotype" w:cs="Palatino Linotype"/>
        </w:rPr>
        <w:lastRenderedPageBreak/>
        <w:t xml:space="preserve">del Estado de México y Municipios, el cual fue notificado a las partes en la misma fecha. </w:t>
      </w:r>
      <w:r w:rsidRPr="00F86891">
        <w:rPr>
          <w:rFonts w:ascii="Palatino Linotype" w:eastAsia="Palatino Linotype" w:hAnsi="Palatino Linotype" w:cs="Palatino Linotype"/>
          <w:b/>
          <w:sz w:val="28"/>
          <w:szCs w:val="28"/>
        </w:rPr>
        <w:t xml:space="preserve"> </w:t>
      </w:r>
    </w:p>
    <w:p w14:paraId="1C2A2E57"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1940739C" w14:textId="77777777" w:rsidR="00E7339E" w:rsidRPr="00F86891" w:rsidRDefault="00743CCC">
      <w:pPr>
        <w:pStyle w:val="Ttulo2"/>
        <w:spacing w:before="240" w:after="240" w:line="360" w:lineRule="auto"/>
        <w:jc w:val="center"/>
        <w:rPr>
          <w:rFonts w:ascii="Palatino Linotype" w:eastAsia="Palatino Linotype" w:hAnsi="Palatino Linotype" w:cs="Palatino Linotype"/>
          <w:b/>
          <w:color w:val="auto"/>
          <w:sz w:val="24"/>
          <w:szCs w:val="24"/>
        </w:rPr>
      </w:pPr>
      <w:r w:rsidRPr="00F86891">
        <w:rPr>
          <w:rFonts w:ascii="Palatino Linotype" w:eastAsia="Palatino Linotype" w:hAnsi="Palatino Linotype" w:cs="Palatino Linotype"/>
          <w:b/>
          <w:color w:val="auto"/>
          <w:sz w:val="24"/>
          <w:szCs w:val="24"/>
        </w:rPr>
        <w:t>II. C O N S I D E R A N D O S:</w:t>
      </w:r>
    </w:p>
    <w:p w14:paraId="589FDD65" w14:textId="77777777" w:rsidR="00E7339E" w:rsidRPr="00F86891" w:rsidRDefault="00743CCC">
      <w:pPr>
        <w:spacing w:before="240" w:after="240" w:line="360" w:lineRule="auto"/>
        <w:jc w:val="both"/>
        <w:rPr>
          <w:rFonts w:ascii="Palatino Linotype" w:eastAsia="Palatino Linotype" w:hAnsi="Palatino Linotype" w:cs="Palatino Linotype"/>
          <w:b/>
        </w:rPr>
      </w:pPr>
      <w:r w:rsidRPr="00F86891">
        <w:rPr>
          <w:rFonts w:ascii="Palatino Linotype" w:eastAsia="Palatino Linotype" w:hAnsi="Palatino Linotype" w:cs="Palatino Linotype"/>
          <w:b/>
        </w:rPr>
        <w:t>Primero. Competencia</w:t>
      </w:r>
      <w:r w:rsidRPr="00F86891">
        <w:rPr>
          <w:rFonts w:ascii="Palatino Linotype" w:eastAsia="Palatino Linotype" w:hAnsi="Palatino Linotype" w:cs="Palatino Linotype"/>
          <w:b/>
          <w:sz w:val="22"/>
          <w:szCs w:val="22"/>
        </w:rPr>
        <w:t xml:space="preserve">. </w:t>
      </w:r>
      <w:r w:rsidRPr="00F8689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07FD4E9A"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b/>
        </w:rPr>
        <w:t>Segundo. Oportunidad y Procedibilidad del Recurso de Revisión</w:t>
      </w:r>
      <w:r w:rsidRPr="00F8689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BBD146F" w14:textId="77777777" w:rsidR="00E7339E" w:rsidRPr="00F86891" w:rsidRDefault="00743CCC">
      <w:pPr>
        <w:spacing w:before="240" w:after="240" w:line="360" w:lineRule="auto"/>
        <w:jc w:val="both"/>
        <w:rPr>
          <w:rFonts w:ascii="Palatino Linotype" w:eastAsia="Palatino Linotype" w:hAnsi="Palatino Linotype" w:cs="Palatino Linotype"/>
          <w:b/>
        </w:rPr>
      </w:pPr>
      <w:r w:rsidRPr="00F86891">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remitió su respuesta a la solicitud de información el día </w:t>
      </w:r>
      <w:r w:rsidRPr="00F86891">
        <w:rPr>
          <w:rFonts w:ascii="Palatino Linotype" w:eastAsia="Palatino Linotype" w:hAnsi="Palatino Linotype" w:cs="Palatino Linotype"/>
          <w:b/>
        </w:rPr>
        <w:t xml:space="preserve">nueve de diciembre de dos mil veintidós, </w:t>
      </w:r>
      <w:r w:rsidRPr="00F86891">
        <w:rPr>
          <w:rFonts w:ascii="Palatino Linotype" w:eastAsia="Palatino Linotype" w:hAnsi="Palatino Linotype" w:cs="Palatino Linotype"/>
        </w:rPr>
        <w:t xml:space="preserve">mientras que el recurso de revisión interpuesto por </w:t>
      </w:r>
      <w:r w:rsidRPr="00F86891">
        <w:rPr>
          <w:rFonts w:ascii="Palatino Linotype" w:eastAsia="Palatino Linotype" w:hAnsi="Palatino Linotype" w:cs="Palatino Linotype"/>
          <w:b/>
        </w:rPr>
        <w:t>la Recurrente</w:t>
      </w:r>
      <w:r w:rsidRPr="00F86891">
        <w:rPr>
          <w:rFonts w:ascii="Palatino Linotype" w:eastAsia="Palatino Linotype" w:hAnsi="Palatino Linotype" w:cs="Palatino Linotype"/>
        </w:rPr>
        <w:t xml:space="preserve">, se tuvo por presentado el día </w:t>
      </w:r>
      <w:r w:rsidRPr="00F86891">
        <w:rPr>
          <w:rFonts w:ascii="Palatino Linotype" w:eastAsia="Palatino Linotype" w:hAnsi="Palatino Linotype" w:cs="Palatino Linotype"/>
          <w:b/>
        </w:rPr>
        <w:t>diecinueve de diciembre de dos mil veintidós</w:t>
      </w:r>
      <w:r w:rsidRPr="00F86891">
        <w:rPr>
          <w:rFonts w:ascii="Palatino Linotype" w:eastAsia="Palatino Linotype" w:hAnsi="Palatino Linotype" w:cs="Palatino Linotype"/>
        </w:rPr>
        <w:t xml:space="preserve">, esto es, el </w:t>
      </w:r>
      <w:r w:rsidRPr="00F86891">
        <w:rPr>
          <w:rFonts w:ascii="Palatino Linotype" w:eastAsia="Palatino Linotype" w:hAnsi="Palatino Linotype" w:cs="Palatino Linotype"/>
          <w:b/>
        </w:rPr>
        <w:t>sexto día hábil</w:t>
      </w:r>
      <w:r w:rsidRPr="00F86891">
        <w:rPr>
          <w:rFonts w:ascii="Palatino Linotype" w:eastAsia="Palatino Linotype" w:hAnsi="Palatino Linotype" w:cs="Palatino Linotype"/>
        </w:rPr>
        <w:t xml:space="preserve"> en que tuvo conocimiento de la respuesta impugnada</w:t>
      </w:r>
      <w:r w:rsidRPr="00F86891">
        <w:rPr>
          <w:rFonts w:ascii="Palatino Linotype" w:eastAsia="Palatino Linotype" w:hAnsi="Palatino Linotype" w:cs="Palatino Linotype"/>
          <w:b/>
        </w:rPr>
        <w:t>.</w:t>
      </w:r>
    </w:p>
    <w:p w14:paraId="3FC5996D" w14:textId="77777777" w:rsidR="00E7339E" w:rsidRPr="00F86891" w:rsidRDefault="00743CCC">
      <w:pPr>
        <w:spacing w:before="240" w:after="240" w:line="360" w:lineRule="auto"/>
        <w:ind w:right="-93"/>
        <w:jc w:val="both"/>
        <w:rPr>
          <w:rFonts w:ascii="Palatino Linotype" w:eastAsia="Palatino Linotype" w:hAnsi="Palatino Linotype" w:cs="Palatino Linotype"/>
        </w:rPr>
      </w:pPr>
      <w:r w:rsidRPr="00F86891">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A9BBFCB" w14:textId="77777777" w:rsidR="00E7339E" w:rsidRPr="00F86891" w:rsidRDefault="00743CCC">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F86891">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IX de la Ley de Transparencia y Acceso a la Información Pública del Estado de México y Municipios; que a la letra dice:</w:t>
      </w:r>
    </w:p>
    <w:p w14:paraId="64199660" w14:textId="77777777" w:rsidR="00E7339E" w:rsidRPr="00F86891" w:rsidRDefault="00743CCC">
      <w:pPr>
        <w:spacing w:before="240" w:after="240" w:line="276" w:lineRule="auto"/>
        <w:ind w:left="567" w:right="902"/>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w:t>
      </w:r>
      <w:r w:rsidRPr="00F86891">
        <w:rPr>
          <w:rFonts w:ascii="Palatino Linotype" w:eastAsia="Palatino Linotype" w:hAnsi="Palatino Linotype" w:cs="Palatino Linotype"/>
          <w:b/>
          <w:i/>
          <w:sz w:val="22"/>
          <w:szCs w:val="22"/>
        </w:rPr>
        <w:t>Artículo 179</w:t>
      </w:r>
      <w:r w:rsidRPr="00F86891">
        <w:rPr>
          <w:rFonts w:ascii="Palatino Linotype" w:eastAsia="Palatino Linotype" w:hAnsi="Palatino Linotype" w:cs="Palatino Linotype"/>
          <w:b/>
          <w:sz w:val="22"/>
          <w:szCs w:val="22"/>
        </w:rPr>
        <w:t>.-</w:t>
      </w:r>
      <w:r w:rsidRPr="00F86891">
        <w:rPr>
          <w:rFonts w:ascii="Palatino Linotype" w:eastAsia="Palatino Linotype" w:hAnsi="Palatino Linotype" w:cs="Palatino Linotype"/>
          <w:sz w:val="22"/>
          <w:szCs w:val="22"/>
        </w:rPr>
        <w:t xml:space="preserve"> </w:t>
      </w:r>
      <w:r w:rsidRPr="00F8689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4AAD397" w14:textId="77777777" w:rsidR="00E7339E" w:rsidRPr="00F86891" w:rsidRDefault="00743CCC">
      <w:pPr>
        <w:spacing w:before="240" w:after="240" w:line="276" w:lineRule="auto"/>
        <w:ind w:left="567" w:right="902"/>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w:t>
      </w:r>
    </w:p>
    <w:p w14:paraId="68842537" w14:textId="77777777" w:rsidR="00E7339E" w:rsidRPr="00F86891" w:rsidRDefault="00743CCC">
      <w:pPr>
        <w:spacing w:before="240" w:after="240" w:line="276" w:lineRule="auto"/>
        <w:ind w:left="567" w:right="902"/>
        <w:jc w:val="both"/>
        <w:rPr>
          <w:rFonts w:ascii="Palatino Linotype" w:eastAsia="Palatino Linotype" w:hAnsi="Palatino Linotype" w:cs="Palatino Linotype"/>
          <w:b/>
          <w:i/>
          <w:sz w:val="22"/>
          <w:szCs w:val="22"/>
        </w:rPr>
      </w:pPr>
      <w:r w:rsidRPr="00F86891">
        <w:rPr>
          <w:rFonts w:ascii="Palatino Linotype" w:eastAsia="Palatino Linotype" w:hAnsi="Palatino Linotype" w:cs="Palatino Linotype"/>
          <w:b/>
          <w:i/>
          <w:sz w:val="22"/>
          <w:szCs w:val="22"/>
        </w:rPr>
        <w:t>IX. La entrega o puesta a disposición de información en un formato incomprensible y/o no accesible para el solicitante;</w:t>
      </w:r>
      <w:r w:rsidRPr="00F86891">
        <w:rPr>
          <w:rFonts w:ascii="Palatino Linotype" w:eastAsia="Palatino Linotype" w:hAnsi="Palatino Linotype" w:cs="Palatino Linotype"/>
          <w:i/>
          <w:sz w:val="22"/>
          <w:szCs w:val="22"/>
        </w:rPr>
        <w:t xml:space="preserve">” (Sic) (Énfasis añadido)              </w:t>
      </w:r>
    </w:p>
    <w:p w14:paraId="30949542"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b/>
        </w:rPr>
        <w:lastRenderedPageBreak/>
        <w:t xml:space="preserve">Tercero. Materia de la revisión. </w:t>
      </w:r>
      <w:r w:rsidRPr="00F8689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8689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86891">
        <w:rPr>
          <w:rFonts w:ascii="Palatino Linotype" w:eastAsia="Palatino Linotype" w:hAnsi="Palatino Linotype" w:cs="Palatino Linotype"/>
        </w:rPr>
        <w:t xml:space="preserve">de </w:t>
      </w:r>
      <w:r w:rsidRPr="00F86891">
        <w:rPr>
          <w:rFonts w:ascii="Palatino Linotype" w:eastAsia="Palatino Linotype" w:hAnsi="Palatino Linotype" w:cs="Palatino Linotype"/>
          <w:b/>
        </w:rPr>
        <w:t>la Recurrente</w:t>
      </w:r>
      <w:r w:rsidRPr="00F86891">
        <w:rPr>
          <w:rFonts w:ascii="Palatino Linotype" w:eastAsia="Palatino Linotype" w:hAnsi="Palatino Linotype" w:cs="Palatino Linotype"/>
        </w:rPr>
        <w:t>, o en su defecto, en caso de ser procedente, ordenar la entrega de información oportuna.</w:t>
      </w:r>
    </w:p>
    <w:p w14:paraId="4F2EDC7E"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b/>
        </w:rPr>
        <w:t xml:space="preserve">Cuarto. Estudio del asunto. </w:t>
      </w:r>
      <w:r w:rsidRPr="00F86891">
        <w:rPr>
          <w:rFonts w:ascii="Palatino Linotype" w:eastAsia="Palatino Linotype" w:hAnsi="Palatino Linotype" w:cs="Palatino Linotype"/>
        </w:rPr>
        <w:t xml:space="preserve">Antes de entrar al análisis de los pronunciamientos del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3CDAD9B" w14:textId="77777777" w:rsidR="00E7339E" w:rsidRPr="00F86891" w:rsidRDefault="00743CCC">
      <w:pPr>
        <w:pBdr>
          <w:top w:val="nil"/>
          <w:left w:val="nil"/>
          <w:bottom w:val="nil"/>
          <w:right w:val="nil"/>
          <w:between w:val="nil"/>
        </w:pBdr>
        <w:spacing w:before="240" w:after="240"/>
        <w:ind w:left="851" w:right="850"/>
        <w:jc w:val="both"/>
      </w:pPr>
      <w:r w:rsidRPr="00F8689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8689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489F95D" w14:textId="77777777" w:rsidR="00E7339E" w:rsidRPr="00F86891" w:rsidRDefault="00743CCC">
      <w:pPr>
        <w:pBdr>
          <w:top w:val="nil"/>
          <w:left w:val="nil"/>
          <w:bottom w:val="nil"/>
          <w:right w:val="nil"/>
          <w:between w:val="nil"/>
        </w:pBdr>
        <w:spacing w:before="240" w:after="240"/>
        <w:ind w:left="851" w:right="850"/>
        <w:jc w:val="both"/>
      </w:pPr>
      <w:r w:rsidRPr="00F8689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C302766" w14:textId="77777777" w:rsidR="00E7339E" w:rsidRPr="00F86891" w:rsidRDefault="00743CCC">
      <w:pPr>
        <w:pBdr>
          <w:top w:val="nil"/>
          <w:left w:val="nil"/>
          <w:bottom w:val="nil"/>
          <w:right w:val="nil"/>
          <w:between w:val="nil"/>
        </w:pBdr>
        <w:spacing w:before="240" w:after="240"/>
        <w:ind w:left="851" w:right="850"/>
        <w:jc w:val="both"/>
      </w:pPr>
      <w:r w:rsidRPr="00F86891">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de conformidad con los principios de universalidad, </w:t>
      </w:r>
      <w:r w:rsidRPr="00F86891">
        <w:rPr>
          <w:rFonts w:ascii="Palatino Linotype" w:eastAsia="Palatino Linotype" w:hAnsi="Palatino Linotype" w:cs="Palatino Linotype"/>
          <w:b/>
          <w:i/>
          <w:sz w:val="22"/>
          <w:szCs w:val="22"/>
          <w:u w:val="single"/>
        </w:rPr>
        <w:lastRenderedPageBreak/>
        <w:t>interdependencia, indivisibilidad y progresividad.</w:t>
      </w:r>
      <w:r w:rsidRPr="00F8689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E6439E4" w14:textId="77777777" w:rsidR="00E7339E" w:rsidRPr="00F86891" w:rsidRDefault="00743CCC">
      <w:pPr>
        <w:pBdr>
          <w:top w:val="nil"/>
          <w:left w:val="nil"/>
          <w:bottom w:val="nil"/>
          <w:right w:val="nil"/>
          <w:between w:val="nil"/>
        </w:pBdr>
        <w:spacing w:before="240" w:after="240"/>
        <w:ind w:left="851" w:right="850"/>
        <w:jc w:val="both"/>
      </w:pPr>
      <w:r w:rsidRPr="00F86891">
        <w:rPr>
          <w:rFonts w:ascii="Palatino Linotype" w:eastAsia="Palatino Linotype" w:hAnsi="Palatino Linotype" w:cs="Palatino Linotype"/>
          <w:i/>
          <w:sz w:val="22"/>
          <w:szCs w:val="22"/>
        </w:rPr>
        <w:t>[…]</w:t>
      </w:r>
    </w:p>
    <w:p w14:paraId="560D9E64" w14:textId="77777777" w:rsidR="00E7339E" w:rsidRPr="00F86891" w:rsidRDefault="00743CCC">
      <w:pPr>
        <w:pBdr>
          <w:top w:val="nil"/>
          <w:left w:val="nil"/>
          <w:bottom w:val="nil"/>
          <w:right w:val="nil"/>
          <w:between w:val="nil"/>
        </w:pBdr>
        <w:spacing w:before="240" w:after="240"/>
        <w:ind w:left="851" w:right="901"/>
        <w:jc w:val="both"/>
      </w:pPr>
      <w:r w:rsidRPr="00F86891">
        <w:rPr>
          <w:rFonts w:ascii="Palatino Linotype" w:eastAsia="Palatino Linotype" w:hAnsi="Palatino Linotype" w:cs="Palatino Linotype"/>
          <w:b/>
          <w:i/>
          <w:sz w:val="22"/>
          <w:szCs w:val="22"/>
        </w:rPr>
        <w:t>“Artículo 6o.</w:t>
      </w:r>
    </w:p>
    <w:p w14:paraId="638255DE" w14:textId="77777777" w:rsidR="00E7339E" w:rsidRPr="00F86891" w:rsidRDefault="00743CCC">
      <w:pPr>
        <w:pBdr>
          <w:top w:val="nil"/>
          <w:left w:val="nil"/>
          <w:bottom w:val="nil"/>
          <w:right w:val="nil"/>
          <w:between w:val="nil"/>
        </w:pBdr>
        <w:spacing w:before="240" w:after="240"/>
        <w:ind w:left="851" w:right="901"/>
        <w:jc w:val="both"/>
      </w:pPr>
      <w:r w:rsidRPr="00F86891">
        <w:rPr>
          <w:rFonts w:ascii="Palatino Linotype" w:eastAsia="Palatino Linotype" w:hAnsi="Palatino Linotype" w:cs="Palatino Linotype"/>
          <w:i/>
          <w:sz w:val="22"/>
          <w:szCs w:val="22"/>
        </w:rPr>
        <w:t>[...]</w:t>
      </w:r>
    </w:p>
    <w:p w14:paraId="1A2502F0"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b/>
          <w:i/>
          <w:sz w:val="22"/>
          <w:szCs w:val="22"/>
        </w:rPr>
        <w:t xml:space="preserve">A. Para el ejercicio del derecho de acceso a la información, la Federación y </w:t>
      </w:r>
      <w:r w:rsidRPr="00F86891">
        <w:rPr>
          <w:rFonts w:ascii="Palatino Linotype" w:eastAsia="Palatino Linotype" w:hAnsi="Palatino Linotype" w:cs="Palatino Linotype"/>
          <w:b/>
          <w:i/>
          <w:sz w:val="22"/>
          <w:szCs w:val="22"/>
          <w:u w:val="single"/>
        </w:rPr>
        <w:t>las entidades federativas</w:t>
      </w:r>
      <w:r w:rsidRPr="00F86891">
        <w:rPr>
          <w:rFonts w:ascii="Palatino Linotype" w:eastAsia="Palatino Linotype" w:hAnsi="Palatino Linotype" w:cs="Palatino Linotype"/>
          <w:b/>
          <w:i/>
          <w:sz w:val="22"/>
          <w:szCs w:val="22"/>
        </w:rPr>
        <w:t>,</w:t>
      </w:r>
      <w:r w:rsidRPr="00F86891">
        <w:rPr>
          <w:rFonts w:ascii="Palatino Linotype" w:eastAsia="Palatino Linotype" w:hAnsi="Palatino Linotype" w:cs="Palatino Linotype"/>
          <w:i/>
          <w:sz w:val="22"/>
          <w:szCs w:val="22"/>
        </w:rPr>
        <w:t xml:space="preserve"> en el ámbito de sus respectivas competencias, se regirán por los siguientes principios y bases:</w:t>
      </w:r>
    </w:p>
    <w:p w14:paraId="18EE6A23"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i/>
          <w:sz w:val="22"/>
          <w:szCs w:val="22"/>
        </w:rPr>
        <w:t> </w:t>
      </w:r>
      <w:r w:rsidRPr="00F86891">
        <w:rPr>
          <w:rFonts w:ascii="Palatino Linotype" w:eastAsia="Palatino Linotype" w:hAnsi="Palatino Linotype" w:cs="Palatino Linotype"/>
          <w:b/>
          <w:i/>
          <w:sz w:val="22"/>
          <w:szCs w:val="22"/>
        </w:rPr>
        <w:t xml:space="preserve">I. </w:t>
      </w:r>
      <w:r w:rsidRPr="00F8689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86891">
        <w:rPr>
          <w:rFonts w:ascii="Palatino Linotype" w:eastAsia="Palatino Linotype" w:hAnsi="Palatino Linotype" w:cs="Palatino Linotype"/>
          <w:i/>
          <w:sz w:val="22"/>
          <w:szCs w:val="22"/>
        </w:rPr>
        <w:t xml:space="preserve"> Ejecutivo, Legislativo </w:t>
      </w:r>
      <w:r w:rsidRPr="00F86891">
        <w:rPr>
          <w:rFonts w:ascii="Palatino Linotype" w:eastAsia="Palatino Linotype" w:hAnsi="Palatino Linotype" w:cs="Palatino Linotype"/>
          <w:b/>
          <w:i/>
          <w:sz w:val="22"/>
          <w:szCs w:val="22"/>
          <w:u w:val="single"/>
        </w:rPr>
        <w:t>y Judicial</w:t>
      </w:r>
      <w:r w:rsidRPr="00F8689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86891">
        <w:rPr>
          <w:rFonts w:ascii="Palatino Linotype" w:eastAsia="Palatino Linotype" w:hAnsi="Palatino Linotype" w:cs="Palatino Linotype"/>
          <w:b/>
          <w:i/>
          <w:sz w:val="22"/>
          <w:szCs w:val="22"/>
        </w:rPr>
        <w:t>es pública y sólo podrá ser reservada temporalmente por razones de interés público y seguridad nacional,</w:t>
      </w:r>
      <w:r w:rsidRPr="00F8689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6A75FE"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i/>
          <w:sz w:val="22"/>
          <w:szCs w:val="22"/>
        </w:rPr>
        <w:t> </w:t>
      </w:r>
      <w:r w:rsidRPr="00F8689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83D4A5E"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i/>
          <w:sz w:val="22"/>
          <w:szCs w:val="22"/>
        </w:rPr>
        <w:t> </w:t>
      </w:r>
      <w:r w:rsidRPr="00F86891">
        <w:rPr>
          <w:rFonts w:ascii="Palatino Linotype" w:eastAsia="Palatino Linotype" w:hAnsi="Palatino Linotype" w:cs="Palatino Linotype"/>
          <w:b/>
          <w:i/>
          <w:sz w:val="22"/>
          <w:szCs w:val="22"/>
        </w:rPr>
        <w:t xml:space="preserve">III. </w:t>
      </w:r>
      <w:r w:rsidRPr="00F8689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86891">
        <w:rPr>
          <w:rFonts w:ascii="Palatino Linotype" w:eastAsia="Palatino Linotype" w:hAnsi="Palatino Linotype" w:cs="Palatino Linotype"/>
          <w:i/>
          <w:sz w:val="22"/>
          <w:szCs w:val="22"/>
        </w:rPr>
        <w:t xml:space="preserve"> a sus datos personales o a la rectificación de éstos.</w:t>
      </w:r>
    </w:p>
    <w:p w14:paraId="725AE1B8"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i/>
          <w:sz w:val="22"/>
          <w:szCs w:val="22"/>
        </w:rPr>
        <w:t> </w:t>
      </w:r>
      <w:r w:rsidRPr="00F86891">
        <w:rPr>
          <w:rFonts w:ascii="Palatino Linotype" w:eastAsia="Palatino Linotype" w:hAnsi="Palatino Linotype" w:cs="Palatino Linotype"/>
          <w:b/>
          <w:i/>
          <w:sz w:val="22"/>
          <w:szCs w:val="22"/>
        </w:rPr>
        <w:t xml:space="preserve">IV. </w:t>
      </w:r>
      <w:r w:rsidRPr="00F8689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3924D6D"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b/>
          <w:i/>
          <w:sz w:val="22"/>
          <w:szCs w:val="22"/>
        </w:rPr>
        <w:t xml:space="preserve">V. </w:t>
      </w:r>
      <w:r w:rsidRPr="00F8689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EB1128F"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i/>
          <w:sz w:val="22"/>
          <w:szCs w:val="22"/>
        </w:rPr>
        <w:lastRenderedPageBreak/>
        <w:t> </w:t>
      </w:r>
      <w:r w:rsidRPr="00F86891">
        <w:rPr>
          <w:rFonts w:ascii="Palatino Linotype" w:eastAsia="Palatino Linotype" w:hAnsi="Palatino Linotype" w:cs="Palatino Linotype"/>
          <w:b/>
          <w:i/>
          <w:sz w:val="22"/>
          <w:szCs w:val="22"/>
        </w:rPr>
        <w:t xml:space="preserve">VI. </w:t>
      </w:r>
      <w:r w:rsidRPr="00F8689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A21C820" w14:textId="77777777" w:rsidR="00E7339E" w:rsidRPr="00F86891" w:rsidRDefault="00743CCC">
      <w:pPr>
        <w:pBdr>
          <w:top w:val="nil"/>
          <w:left w:val="nil"/>
          <w:bottom w:val="nil"/>
          <w:right w:val="nil"/>
          <w:between w:val="nil"/>
        </w:pBdr>
        <w:spacing w:before="240" w:after="240"/>
        <w:ind w:left="851" w:right="851"/>
        <w:jc w:val="both"/>
      </w:pPr>
      <w:r w:rsidRPr="00F86891">
        <w:rPr>
          <w:rFonts w:ascii="Palatino Linotype" w:eastAsia="Palatino Linotype" w:hAnsi="Palatino Linotype" w:cs="Palatino Linotype"/>
          <w:i/>
          <w:sz w:val="22"/>
          <w:szCs w:val="22"/>
        </w:rPr>
        <w:t> </w:t>
      </w:r>
      <w:r w:rsidRPr="00F86891">
        <w:rPr>
          <w:rFonts w:ascii="Palatino Linotype" w:eastAsia="Palatino Linotype" w:hAnsi="Palatino Linotype" w:cs="Palatino Linotype"/>
          <w:b/>
          <w:i/>
          <w:sz w:val="22"/>
          <w:szCs w:val="22"/>
        </w:rPr>
        <w:t xml:space="preserve">VII. </w:t>
      </w:r>
      <w:r w:rsidRPr="00F8689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D0734BC"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87F0A94" w14:textId="77777777" w:rsidR="00E7339E" w:rsidRPr="00F86891" w:rsidRDefault="00743CCC">
      <w:pPr>
        <w:pBdr>
          <w:top w:val="nil"/>
          <w:left w:val="nil"/>
          <w:bottom w:val="nil"/>
          <w:right w:val="nil"/>
          <w:between w:val="nil"/>
        </w:pBdr>
        <w:spacing w:before="240" w:after="240"/>
        <w:ind w:left="709" w:right="760"/>
        <w:jc w:val="both"/>
      </w:pPr>
      <w:r w:rsidRPr="00F86891">
        <w:rPr>
          <w:rFonts w:ascii="Palatino Linotype" w:eastAsia="Palatino Linotype" w:hAnsi="Palatino Linotype" w:cs="Palatino Linotype"/>
          <w:i/>
          <w:sz w:val="22"/>
          <w:szCs w:val="22"/>
        </w:rPr>
        <w:t>“</w:t>
      </w:r>
      <w:r w:rsidRPr="00F86891">
        <w:rPr>
          <w:rFonts w:ascii="Palatino Linotype" w:eastAsia="Palatino Linotype" w:hAnsi="Palatino Linotype" w:cs="Palatino Linotype"/>
          <w:b/>
          <w:i/>
          <w:sz w:val="22"/>
          <w:szCs w:val="22"/>
        </w:rPr>
        <w:t>Artículo 4</w:t>
      </w:r>
      <w:r w:rsidRPr="00F86891">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CC5BA63" w14:textId="77777777" w:rsidR="00E7339E" w:rsidRPr="00F86891" w:rsidRDefault="00743CCC">
      <w:pPr>
        <w:pBdr>
          <w:top w:val="nil"/>
          <w:left w:val="nil"/>
          <w:bottom w:val="nil"/>
          <w:right w:val="nil"/>
          <w:between w:val="nil"/>
        </w:pBdr>
        <w:spacing w:before="240" w:after="240"/>
        <w:ind w:left="709" w:right="760"/>
        <w:jc w:val="both"/>
      </w:pPr>
      <w:r w:rsidRPr="00F8689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88C5403" w14:textId="77777777" w:rsidR="00E7339E" w:rsidRPr="00F86891" w:rsidRDefault="00743CCC">
      <w:pPr>
        <w:pBdr>
          <w:top w:val="nil"/>
          <w:left w:val="nil"/>
          <w:bottom w:val="nil"/>
          <w:right w:val="nil"/>
          <w:between w:val="nil"/>
        </w:pBdr>
        <w:spacing w:before="240" w:after="240"/>
        <w:ind w:left="709" w:right="760"/>
        <w:jc w:val="both"/>
      </w:pPr>
      <w:r w:rsidRPr="00F86891">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1A7FCE16"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411D10C" w14:textId="77777777" w:rsidR="00E7339E" w:rsidRPr="00F86891" w:rsidRDefault="00743CCC">
      <w:pPr>
        <w:pBdr>
          <w:top w:val="nil"/>
          <w:left w:val="nil"/>
          <w:bottom w:val="nil"/>
          <w:right w:val="nil"/>
          <w:between w:val="nil"/>
        </w:pBdr>
        <w:spacing w:before="240" w:after="240"/>
        <w:ind w:left="567" w:right="758"/>
        <w:jc w:val="both"/>
      </w:pPr>
      <w:r w:rsidRPr="00F86891">
        <w:rPr>
          <w:rFonts w:ascii="Palatino Linotype" w:eastAsia="Palatino Linotype" w:hAnsi="Palatino Linotype" w:cs="Palatino Linotype"/>
          <w:i/>
          <w:sz w:val="22"/>
          <w:szCs w:val="22"/>
        </w:rPr>
        <w:t>“</w:t>
      </w:r>
      <w:r w:rsidRPr="00F86891">
        <w:rPr>
          <w:rFonts w:ascii="Palatino Linotype" w:eastAsia="Palatino Linotype" w:hAnsi="Palatino Linotype" w:cs="Palatino Linotype"/>
          <w:b/>
          <w:i/>
          <w:sz w:val="22"/>
          <w:szCs w:val="22"/>
        </w:rPr>
        <w:t>Artículo 12</w:t>
      </w:r>
      <w:r w:rsidRPr="00F8689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A8D95E6" w14:textId="77777777" w:rsidR="00E7339E" w:rsidRPr="00F86891" w:rsidRDefault="00743CCC">
      <w:pPr>
        <w:pBdr>
          <w:top w:val="nil"/>
          <w:left w:val="nil"/>
          <w:bottom w:val="nil"/>
          <w:right w:val="nil"/>
          <w:between w:val="nil"/>
        </w:pBdr>
        <w:spacing w:before="240" w:after="240"/>
        <w:ind w:left="567" w:right="758"/>
        <w:jc w:val="both"/>
      </w:pPr>
      <w:r w:rsidRPr="00F86891">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4BC588C"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86891">
        <w:rPr>
          <w:rFonts w:ascii="Palatino Linotype" w:eastAsia="Palatino Linotype" w:hAnsi="Palatino Linotype" w:cs="Palatino Linotype"/>
          <w:b/>
        </w:rPr>
        <w:t xml:space="preserve"> </w:t>
      </w:r>
      <w:r w:rsidRPr="00F86891">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86891">
        <w:rPr>
          <w:rFonts w:ascii="Palatino Linotype" w:eastAsia="Palatino Linotype" w:hAnsi="Palatino Linotype" w:cs="Palatino Linotype"/>
          <w:i/>
        </w:rPr>
        <w:t>ad hoc</w:t>
      </w:r>
      <w:r w:rsidRPr="00F86891">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89DAAFC"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b/>
          <w:i/>
          <w:sz w:val="22"/>
          <w:szCs w:val="22"/>
        </w:rPr>
        <w:t>03/17</w:t>
      </w:r>
    </w:p>
    <w:p w14:paraId="73B53AE5"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b/>
          <w:i/>
          <w:sz w:val="22"/>
          <w:szCs w:val="22"/>
        </w:rPr>
        <w:t>“NO EXISTE OBLIGACIÓN DE ELABORAR DOCUMENTOS AD HOC PARA ATENDER LAS SOLICITUDES DE ACCESO A LA INFORMACIÓN.</w:t>
      </w:r>
    </w:p>
    <w:p w14:paraId="0AA1499F"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89217ED"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ACBDA8" w14:textId="77777777" w:rsidR="00E7339E" w:rsidRPr="00F86891" w:rsidRDefault="00743CCC">
      <w:pPr>
        <w:pBdr>
          <w:top w:val="nil"/>
          <w:left w:val="nil"/>
          <w:bottom w:val="nil"/>
          <w:right w:val="nil"/>
          <w:between w:val="nil"/>
        </w:pBdr>
        <w:spacing w:before="240" w:after="240" w:line="360" w:lineRule="auto"/>
        <w:ind w:right="49"/>
        <w:jc w:val="both"/>
      </w:pPr>
      <w:r w:rsidRPr="00F8689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8F4B8B6"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w:t>
      </w:r>
      <w:r w:rsidRPr="00F86891">
        <w:rPr>
          <w:rFonts w:ascii="Palatino Linotype" w:eastAsia="Palatino Linotype" w:hAnsi="Palatino Linotype" w:cs="Palatino Linotype"/>
        </w:rPr>
        <w:lastRenderedPageBreak/>
        <w:t>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F5F006C"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i/>
          <w:sz w:val="22"/>
          <w:szCs w:val="22"/>
        </w:rPr>
        <w:t>“</w:t>
      </w:r>
      <w:r w:rsidRPr="00F86891">
        <w:rPr>
          <w:rFonts w:ascii="Palatino Linotype" w:eastAsia="Palatino Linotype" w:hAnsi="Palatino Linotype" w:cs="Palatino Linotype"/>
          <w:b/>
          <w:i/>
          <w:sz w:val="22"/>
          <w:szCs w:val="22"/>
        </w:rPr>
        <w:t xml:space="preserve">Artículo 3. </w:t>
      </w:r>
      <w:r w:rsidRPr="00F86891">
        <w:rPr>
          <w:rFonts w:ascii="Palatino Linotype" w:eastAsia="Palatino Linotype" w:hAnsi="Palatino Linotype" w:cs="Palatino Linotype"/>
          <w:i/>
          <w:sz w:val="22"/>
          <w:szCs w:val="22"/>
        </w:rPr>
        <w:t>Para los efectos de la presente Ley se entenderá por:</w:t>
      </w:r>
    </w:p>
    <w:p w14:paraId="2AA01510"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i/>
          <w:sz w:val="22"/>
          <w:szCs w:val="22"/>
        </w:rPr>
        <w:t>…</w:t>
      </w:r>
    </w:p>
    <w:p w14:paraId="5A54DAF5"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b/>
          <w:i/>
          <w:sz w:val="22"/>
          <w:szCs w:val="22"/>
        </w:rPr>
        <w:t>XI. Documento:</w:t>
      </w:r>
      <w:r w:rsidRPr="00F86891">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86891">
        <w:rPr>
          <w:rFonts w:ascii="Palatino Linotype" w:eastAsia="Palatino Linotype" w:hAnsi="Palatino Linotype" w:cs="Palatino Linotype"/>
          <w:b/>
          <w:i/>
          <w:sz w:val="22"/>
          <w:szCs w:val="22"/>
        </w:rPr>
        <w:t>…</w:t>
      </w:r>
      <w:r w:rsidRPr="00F86891">
        <w:rPr>
          <w:rFonts w:ascii="Palatino Linotype" w:eastAsia="Palatino Linotype" w:hAnsi="Palatino Linotype" w:cs="Palatino Linotype"/>
          <w:i/>
          <w:sz w:val="22"/>
          <w:szCs w:val="22"/>
        </w:rPr>
        <w:t>” (Sic)</w:t>
      </w:r>
    </w:p>
    <w:p w14:paraId="0460C22C"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F05CB4F"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b/>
          <w:sz w:val="22"/>
          <w:szCs w:val="22"/>
        </w:rPr>
        <w:t>“</w:t>
      </w:r>
      <w:r w:rsidRPr="00F86891">
        <w:rPr>
          <w:rFonts w:ascii="Palatino Linotype" w:eastAsia="Palatino Linotype" w:hAnsi="Palatino Linotype" w:cs="Palatino Linotype"/>
          <w:b/>
          <w:i/>
          <w:sz w:val="22"/>
          <w:szCs w:val="22"/>
        </w:rPr>
        <w:t>CRITERIO 0002-11</w:t>
      </w:r>
    </w:p>
    <w:p w14:paraId="6C554773"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8689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A2F7FF" w14:textId="77777777" w:rsidR="00E7339E" w:rsidRPr="00F86891" w:rsidRDefault="00743CCC">
      <w:pPr>
        <w:pBdr>
          <w:top w:val="nil"/>
          <w:left w:val="nil"/>
          <w:bottom w:val="nil"/>
          <w:right w:val="nil"/>
          <w:between w:val="nil"/>
        </w:pBdr>
        <w:spacing w:before="240" w:after="240"/>
        <w:ind w:left="567" w:right="567"/>
        <w:jc w:val="both"/>
      </w:pPr>
      <w:r w:rsidRPr="00F86891">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6D10B6CB" w14:textId="77777777" w:rsidR="00E7339E" w:rsidRPr="00F86891" w:rsidRDefault="00743CCC">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5417CB0" w14:textId="77777777" w:rsidR="00E7339E" w:rsidRPr="00F86891" w:rsidRDefault="00743CCC">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C5937FE" w14:textId="77777777" w:rsidR="00E7339E" w:rsidRPr="00F86891" w:rsidRDefault="00743CCC">
      <w:pPr>
        <w:pBdr>
          <w:top w:val="nil"/>
          <w:left w:val="nil"/>
          <w:bottom w:val="nil"/>
          <w:right w:val="nil"/>
          <w:between w:val="nil"/>
        </w:pBdr>
        <w:spacing w:before="240" w:after="240"/>
        <w:ind w:left="567" w:right="567" w:hanging="284"/>
        <w:jc w:val="both"/>
      </w:pPr>
      <w:r w:rsidRPr="00F86891">
        <w:rPr>
          <w:rFonts w:ascii="Palatino Linotype" w:eastAsia="Palatino Linotype" w:hAnsi="Palatino Linotype" w:cs="Palatino Linotype"/>
          <w:i/>
          <w:sz w:val="22"/>
          <w:szCs w:val="22"/>
        </w:rPr>
        <w:t xml:space="preserve">3. </w:t>
      </w:r>
      <w:r w:rsidRPr="00F86891">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5C5CCC2" w14:textId="77777777" w:rsidR="00E7339E" w:rsidRPr="00F86891" w:rsidRDefault="00743CCC">
      <w:pPr>
        <w:pBdr>
          <w:top w:val="nil"/>
          <w:left w:val="nil"/>
          <w:bottom w:val="nil"/>
          <w:right w:val="nil"/>
          <w:between w:val="nil"/>
        </w:pBdr>
        <w:spacing w:before="240" w:after="240" w:line="360" w:lineRule="auto"/>
        <w:jc w:val="both"/>
      </w:pPr>
      <w:r w:rsidRPr="00F86891">
        <w:rPr>
          <w:rFonts w:ascii="Palatino Linotype" w:eastAsia="Palatino Linotype" w:hAnsi="Palatino Linotype" w:cs="Palatino Linotype"/>
        </w:rPr>
        <w:t xml:space="preserve">De ahí que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04D253D" w14:textId="77777777" w:rsidR="00E7339E" w:rsidRPr="00F86891" w:rsidRDefault="00743CC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Ahora bien, para profundizar en el estudio del presente asunto, es conveniente recordar que la solicitante requirió al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le proporcionara lo siguiente:</w:t>
      </w:r>
    </w:p>
    <w:p w14:paraId="6A9A6B40" w14:textId="77777777" w:rsidR="00E7339E" w:rsidRPr="00F86891" w:rsidRDefault="00743CCC">
      <w:pPr>
        <w:numPr>
          <w:ilvl w:val="0"/>
          <w:numId w:val="1"/>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rPr>
      </w:pPr>
      <w:r w:rsidRPr="00F86891">
        <w:rPr>
          <w:rFonts w:ascii="Palatino Linotype" w:eastAsia="Palatino Linotype" w:hAnsi="Palatino Linotype" w:cs="Palatino Linotype"/>
          <w:b/>
        </w:rPr>
        <w:t>Todos los documentos de seguridad que recibió la Unidad de Transparencia por parte de los servidores públicos habilitados desde enero del 2022 a la fecha.</w:t>
      </w:r>
    </w:p>
    <w:p w14:paraId="41116B23"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b/>
        </w:rPr>
        <w:t xml:space="preserve"> </w:t>
      </w:r>
      <w:r w:rsidRPr="00F86891">
        <w:rPr>
          <w:rFonts w:ascii="Palatino Linotype" w:eastAsia="Palatino Linotype" w:hAnsi="Palatino Linotype" w:cs="Palatino Linotype"/>
        </w:rPr>
        <w:t xml:space="preserve">En respuesta, el </w:t>
      </w:r>
      <w:r w:rsidRPr="00F86891">
        <w:rPr>
          <w:rFonts w:ascii="Palatino Linotype" w:eastAsia="Palatino Linotype" w:hAnsi="Palatino Linotype" w:cs="Palatino Linotype"/>
          <w:b/>
        </w:rPr>
        <w:t xml:space="preserve">Sujeto Obligado </w:t>
      </w:r>
      <w:r w:rsidRPr="00F86891">
        <w:rPr>
          <w:rFonts w:ascii="Palatino Linotype" w:eastAsia="Palatino Linotype" w:hAnsi="Palatino Linotype" w:cs="Palatino Linotype"/>
        </w:rPr>
        <w:t xml:space="preserve">remitió los siguientes archivos electrónicos y pronunciamientos: </w:t>
      </w:r>
    </w:p>
    <w:p w14:paraId="54480557" w14:textId="77777777" w:rsidR="00E7339E" w:rsidRPr="00F86891" w:rsidRDefault="00743CCC">
      <w:pPr>
        <w:spacing w:before="240" w:after="240" w:line="360" w:lineRule="auto"/>
        <w:ind w:left="567" w:right="851"/>
        <w:jc w:val="both"/>
        <w:rPr>
          <w:rFonts w:ascii="Palatino Linotype" w:eastAsia="Palatino Linotype" w:hAnsi="Palatino Linotype" w:cs="Palatino Linotype"/>
          <w:sz w:val="22"/>
          <w:szCs w:val="22"/>
        </w:rPr>
      </w:pPr>
      <w:r w:rsidRPr="00F86891">
        <w:rPr>
          <w:rFonts w:ascii="Palatino Linotype" w:eastAsia="Palatino Linotype" w:hAnsi="Palatino Linotype" w:cs="Palatino Linotype"/>
          <w:b/>
          <w:i/>
          <w:sz w:val="22"/>
          <w:szCs w:val="22"/>
        </w:rPr>
        <w:lastRenderedPageBreak/>
        <w:t xml:space="preserve">“02386.pdf”: </w:t>
      </w:r>
      <w:r w:rsidRPr="00F86891">
        <w:rPr>
          <w:rFonts w:ascii="Palatino Linotype" w:eastAsia="Palatino Linotype" w:hAnsi="Palatino Linotype" w:cs="Palatino Linotype"/>
          <w:sz w:val="22"/>
          <w:szCs w:val="22"/>
        </w:rPr>
        <w:t>Archivo electrónico que se compone de una foja y medularmente señala que hace entrega de la expresión documental correspondiente lo anterior en términos de los artículos 12 y 24 de la Ley de Transparencia y Acceso a la Información Pública del Estado de México y Municipios.</w:t>
      </w:r>
    </w:p>
    <w:p w14:paraId="6A01BC76" w14:textId="77777777" w:rsidR="00E7339E" w:rsidRPr="00F86891" w:rsidRDefault="00743CCC">
      <w:pPr>
        <w:spacing w:before="240" w:after="240" w:line="360" w:lineRule="auto"/>
        <w:ind w:left="567" w:right="851"/>
        <w:jc w:val="both"/>
        <w:rPr>
          <w:rFonts w:ascii="Palatino Linotype" w:eastAsia="Palatino Linotype" w:hAnsi="Palatino Linotype" w:cs="Palatino Linotype"/>
          <w:sz w:val="22"/>
          <w:szCs w:val="22"/>
        </w:rPr>
      </w:pPr>
      <w:r w:rsidRPr="00F86891">
        <w:rPr>
          <w:rFonts w:ascii="Palatino Linotype" w:eastAsia="Palatino Linotype" w:hAnsi="Palatino Linotype" w:cs="Palatino Linotype"/>
          <w:b/>
          <w:i/>
          <w:sz w:val="22"/>
          <w:szCs w:val="22"/>
        </w:rPr>
        <w:t>“</w:t>
      </w:r>
      <w:proofErr w:type="spellStart"/>
      <w:r w:rsidRPr="00F86891">
        <w:rPr>
          <w:rFonts w:ascii="Palatino Linotype" w:eastAsia="Palatino Linotype" w:hAnsi="Palatino Linotype" w:cs="Palatino Linotype"/>
          <w:b/>
          <w:i/>
          <w:sz w:val="22"/>
          <w:szCs w:val="22"/>
        </w:rPr>
        <w:t>doc</w:t>
      </w:r>
      <w:proofErr w:type="spellEnd"/>
      <w:r w:rsidRPr="00F86891">
        <w:rPr>
          <w:rFonts w:ascii="Palatino Linotype" w:eastAsia="Palatino Linotype" w:hAnsi="Palatino Linotype" w:cs="Palatino Linotype"/>
          <w:b/>
          <w:i/>
          <w:sz w:val="22"/>
          <w:szCs w:val="22"/>
        </w:rPr>
        <w:t xml:space="preserve"> segu_2022.rar”:</w:t>
      </w:r>
      <w:r w:rsidRPr="00F86891">
        <w:rPr>
          <w:rFonts w:ascii="Palatino Linotype" w:eastAsia="Palatino Linotype" w:hAnsi="Palatino Linotype" w:cs="Palatino Linotype"/>
          <w:b/>
          <w:i/>
        </w:rPr>
        <w:t xml:space="preserve"> </w:t>
      </w:r>
      <w:r w:rsidRPr="00F86891">
        <w:rPr>
          <w:rFonts w:ascii="Palatino Linotype" w:eastAsia="Palatino Linotype" w:hAnsi="Palatino Linotype" w:cs="Palatino Linotype"/>
        </w:rPr>
        <w:t>Carpeta comprimida que contiene veintiocho documentos de seguridad.</w:t>
      </w:r>
    </w:p>
    <w:p w14:paraId="5FA7DD3F" w14:textId="77777777" w:rsidR="00E7339E" w:rsidRPr="00F86891" w:rsidRDefault="00743CCC">
      <w:pPr>
        <w:spacing w:before="240" w:after="240" w:line="360" w:lineRule="auto"/>
        <w:jc w:val="both"/>
        <w:rPr>
          <w:rFonts w:ascii="Palatino Linotype" w:eastAsia="Palatino Linotype" w:hAnsi="Palatino Linotype" w:cs="Palatino Linotype"/>
          <w:b/>
          <w:i/>
        </w:rPr>
      </w:pPr>
      <w:r w:rsidRPr="00F86891">
        <w:rPr>
          <w:rFonts w:ascii="Palatino Linotype" w:eastAsia="Palatino Linotype" w:hAnsi="Palatino Linotype" w:cs="Palatino Linotype"/>
        </w:rPr>
        <w:t xml:space="preserve">Una vez conocida la respuesta, el particular interpuso el recurso de revisión que se resuelve, inconformándose en el acto impugnado por la contestación, sin en sus razones o motivos de inconformidad, expresó lo siguiente: </w:t>
      </w:r>
      <w:r w:rsidRPr="00F86891">
        <w:rPr>
          <w:rFonts w:ascii="Palatino Linotype" w:eastAsia="Palatino Linotype" w:hAnsi="Palatino Linotype" w:cs="Palatino Linotype"/>
          <w:b/>
          <w:i/>
        </w:rPr>
        <w:t>“NO ABRE EL ARCHIVO QUE COMPRIMIERON " (Sic) (Énfasis añadido)</w:t>
      </w:r>
    </w:p>
    <w:p w14:paraId="45DFA6AF"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rindió su informe justificado, medularmente señalando que los archivos referidos por la particular si abren, asimismo por cuanto hace a </w:t>
      </w:r>
      <w:r w:rsidRPr="00F86891">
        <w:rPr>
          <w:rFonts w:ascii="Palatino Linotype" w:eastAsia="Palatino Linotype" w:hAnsi="Palatino Linotype" w:cs="Palatino Linotype"/>
          <w:b/>
        </w:rPr>
        <w:t>la parte Recurrente</w:t>
      </w:r>
      <w:r w:rsidRPr="00F86891">
        <w:rPr>
          <w:rFonts w:ascii="Palatino Linotype" w:eastAsia="Palatino Linotype" w:hAnsi="Palatino Linotype" w:cs="Palatino Linotype"/>
        </w:rPr>
        <w:t>, se tiene que fue omisa en pronunciarse, por lo que transcurrido el plazo para hacer del conocimiento de la particular dicha documentación, se procedió a emitir el respectivo cierre de instrucción para su posterior resolución.</w:t>
      </w:r>
    </w:p>
    <w:p w14:paraId="300A5786"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Por lo antes señalado, primeramente es necesario señalar que este Organismo Garante, revisó cada uno de los documentos y logró abrir de manera correcta, todos y cada uno de ellos, incluso se revisó que su contenido fuera legible en su totalidad </w:t>
      </w:r>
      <w:r w:rsidRPr="00F86891">
        <w:rPr>
          <w:rFonts w:ascii="Palatino Linotype" w:eastAsia="Palatino Linotype" w:hAnsi="Palatino Linotype" w:cs="Palatino Linotype"/>
        </w:rPr>
        <w:lastRenderedPageBreak/>
        <w:t>y no se encontraron elementos que dificulten el acceso a la información por no permitir su lectura, sirven de referencia las siguientes capturas de pantalla:</w:t>
      </w:r>
    </w:p>
    <w:p w14:paraId="17CC8241"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noProof/>
          <w:lang w:val="es-MX"/>
        </w:rPr>
        <w:drawing>
          <wp:inline distT="0" distB="0" distL="0" distR="0" wp14:anchorId="0D3C7E0D" wp14:editId="64BC5EEF">
            <wp:extent cx="5581015" cy="214376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581015" cy="2143760"/>
                    </a:xfrm>
                    <a:prstGeom prst="rect">
                      <a:avLst/>
                    </a:prstGeom>
                    <a:ln/>
                  </pic:spPr>
                </pic:pic>
              </a:graphicData>
            </a:graphic>
          </wp:inline>
        </w:drawing>
      </w:r>
    </w:p>
    <w:p w14:paraId="1BADB189"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noProof/>
          <w:lang w:val="es-MX"/>
        </w:rPr>
        <w:lastRenderedPageBreak/>
        <w:drawing>
          <wp:inline distT="0" distB="0" distL="0" distR="0" wp14:anchorId="2992E917" wp14:editId="0404F146">
            <wp:extent cx="5496692" cy="687801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496692" cy="6878010"/>
                    </a:xfrm>
                    <a:prstGeom prst="rect">
                      <a:avLst/>
                    </a:prstGeom>
                    <a:ln/>
                  </pic:spPr>
                </pic:pic>
              </a:graphicData>
            </a:graphic>
          </wp:inline>
        </w:drawing>
      </w:r>
    </w:p>
    <w:p w14:paraId="718097E7" w14:textId="77777777" w:rsidR="00E7339E" w:rsidRPr="00F86891" w:rsidRDefault="00E7339E">
      <w:pPr>
        <w:spacing w:before="240" w:after="240" w:line="360" w:lineRule="auto"/>
        <w:jc w:val="both"/>
        <w:rPr>
          <w:rFonts w:ascii="Palatino Linotype" w:eastAsia="Palatino Linotype" w:hAnsi="Palatino Linotype" w:cs="Palatino Linotype"/>
        </w:rPr>
      </w:pPr>
    </w:p>
    <w:p w14:paraId="6D506F87"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lastRenderedPageBreak/>
        <w:br/>
        <w:t xml:space="preserve">Ahora bien,  a fin  de descartar la posibilidad de que el formato.zip, pudiera afectar al derecho de acceso del Particular, toda vez que únicamente pudiera ser abierto a través de un programa que genere un costo o un pago como lo es </w:t>
      </w:r>
      <w:proofErr w:type="spellStart"/>
      <w:r w:rsidRPr="00F86891">
        <w:rPr>
          <w:rFonts w:ascii="Palatino Linotype" w:eastAsia="Palatino Linotype" w:hAnsi="Palatino Linotype" w:cs="Palatino Linotype"/>
        </w:rPr>
        <w:t>Winzip</w:t>
      </w:r>
      <w:proofErr w:type="spellEnd"/>
      <w:r w:rsidRPr="00F86891">
        <w:rPr>
          <w:rFonts w:ascii="Palatino Linotype" w:eastAsia="Palatino Linotype" w:hAnsi="Palatino Linotype" w:cs="Palatino Linotype"/>
        </w:rPr>
        <w:t xml:space="preserve">, que requiere un pago anual por suscripción,  este Organismo localizó, a través de diversas páginas electrónicas de las que se resaltan la liga de acceso directo </w:t>
      </w:r>
      <w:hyperlink r:id="rId16">
        <w:r w:rsidRPr="00F86891">
          <w:rPr>
            <w:rFonts w:ascii="Palatino Linotype" w:eastAsia="Palatino Linotype" w:hAnsi="Palatino Linotype" w:cs="Palatino Linotype"/>
            <w:u w:val="single"/>
          </w:rPr>
          <w:t>https://support.microsoft.com/es-es/windows/comprimir-y-descomprimir-archivos-f6dde0a7-0fec-8294-e1d3-703ed85e7ebc</w:t>
        </w:r>
      </w:hyperlink>
      <w:r w:rsidRPr="00F86891">
        <w:rPr>
          <w:rFonts w:ascii="Palatino Linotype" w:eastAsia="Palatino Linotype" w:hAnsi="Palatino Linotype" w:cs="Palatino Linotype"/>
        </w:rPr>
        <w:t>, el cual consiste en un tutorial para la descarga de información en formato .zip.</w:t>
      </w:r>
    </w:p>
    <w:p w14:paraId="41D37C90"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De manera que la afirmación de la Particular no encuentra sustento ni en el archivo remitido por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ni tampoco en las herramientas tecnológicas a que tiene lugar. </w:t>
      </w:r>
    </w:p>
    <w:p w14:paraId="695E7727"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Es así, que para convalidar la información fue entregada en respuesta y en informe justificado, es necesario hacer un estudio de esta, no sin antes enfatizar, que sobre las afirmaciones realizadas por el Sujeto Obligado, este Organismo Garante, no puede pronunciarse respecto a su veracidad, esto en atención al criterio histórico del Instituto Nacional de Transparencia, Acceso a la Información y Protección de Datos Personales, con clave de control SO/031/2010, que lleva por rubro y texto:</w:t>
      </w:r>
    </w:p>
    <w:p w14:paraId="680E0103"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w:t>
      </w:r>
      <w:r w:rsidRPr="00F8689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8689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F86891">
        <w:rPr>
          <w:rFonts w:ascii="Palatino Linotype" w:eastAsia="Palatino Linotype" w:hAnsi="Palatino Linotype" w:cs="Palatino Linotype"/>
          <w:i/>
          <w:sz w:val="22"/>
          <w:szCs w:val="22"/>
        </w:rPr>
        <w:lastRenderedPageBreak/>
        <w:t xml:space="preserve">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 </w:t>
      </w:r>
    </w:p>
    <w:p w14:paraId="7C49B4DD"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Es así que no se puede dudar de la veracidad de la información aportada en respuesta, sin embargo, si se debe ver si las mismas son exhaustivas y congruentes, esto es, si se pronuncia sobre la información requerida y si esta, encuentra conexidad entre lo requerido y lo entregado, esto se convalida con el análisis del Instituto Nacional de Transparencia, Acceso a la Información y Protección de Datos Personales, que en su criterio de interpretación con clave de control SO/002/2017, contempla: </w:t>
      </w:r>
    </w:p>
    <w:p w14:paraId="32AC8E41" w14:textId="77777777" w:rsidR="00E7339E" w:rsidRPr="00F86891" w:rsidRDefault="00743CCC">
      <w:pPr>
        <w:spacing w:before="240" w:after="240" w:line="276" w:lineRule="auto"/>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w:t>
      </w:r>
      <w:r w:rsidRPr="00F86891">
        <w:rPr>
          <w:rFonts w:ascii="Palatino Linotype" w:eastAsia="Palatino Linotype" w:hAnsi="Palatino Linotype" w:cs="Palatino Linotype"/>
          <w:b/>
          <w:i/>
          <w:sz w:val="22"/>
          <w:szCs w:val="22"/>
        </w:rPr>
        <w:t>Congruencia y exhaustividad. Sus alcances para garantizar el derecho de acceso a la información</w:t>
      </w:r>
      <w:r w:rsidRPr="00F86891">
        <w:rPr>
          <w:rFonts w:ascii="Palatino Linotype" w:eastAsia="Palatino Linotype" w:hAnsi="Palatino Linotype" w:cs="Palatino Linotype"/>
          <w:i/>
          <w:sz w:val="22"/>
          <w:szCs w:val="22"/>
        </w:rPr>
        <w:t>.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0DA12C8" w14:textId="77777777" w:rsidR="00E7339E" w:rsidRPr="00F86891" w:rsidRDefault="00743CCC">
      <w:pPr>
        <w:spacing w:before="8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De la revisión de las constancias electrónicas se puede afirmar que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entregó un total de veintiocho documentos de seguridad, sin embargo, la </w:t>
      </w:r>
      <w:r w:rsidRPr="00F86891">
        <w:rPr>
          <w:rFonts w:ascii="Palatino Linotype" w:eastAsia="Palatino Linotype" w:hAnsi="Palatino Linotype" w:cs="Palatino Linotype"/>
        </w:rPr>
        <w:lastRenderedPageBreak/>
        <w:t>duda radica en la naturaleza de la información entregada y en saber si la misma se encuentra completa.</w:t>
      </w:r>
    </w:p>
    <w:p w14:paraId="690F3ADA"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En tal tesitura, la Ley de Protección de Datos Personales en Posesión de Sujetos Obligados del Estado de México y Municipios la cual tiene por objeto establecer las bases, principios y procedimiento para tutelar y garantizar el derecho que tienen todas las personas a la protección de sus datos personales, en posesión de los sujetos obligados, en los artículos 4, fracción XVIII,  48 y 49 establece lo siguiente respecto a los documentos de seguridad: </w:t>
      </w:r>
    </w:p>
    <w:p w14:paraId="08519FE1" w14:textId="77777777" w:rsidR="00E7339E" w:rsidRPr="00F86891" w:rsidRDefault="00743CCC">
      <w:pPr>
        <w:spacing w:before="120" w:after="120"/>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b/>
          <w:i/>
          <w:sz w:val="22"/>
          <w:szCs w:val="22"/>
        </w:rPr>
        <w:t>“Artículo 4.</w:t>
      </w:r>
      <w:r w:rsidRPr="00F86891">
        <w:rPr>
          <w:rFonts w:ascii="Palatino Linotype" w:eastAsia="Palatino Linotype" w:hAnsi="Palatino Linotype" w:cs="Palatino Linotype"/>
          <w:i/>
          <w:sz w:val="22"/>
          <w:szCs w:val="22"/>
        </w:rPr>
        <w:t xml:space="preserve"> Para los efectos de esta Ley se entenderá por:</w:t>
      </w:r>
    </w:p>
    <w:p w14:paraId="3E6F36AE" w14:textId="77777777" w:rsidR="00E7339E" w:rsidRPr="00F86891" w:rsidRDefault="00743CCC">
      <w:pPr>
        <w:spacing w:before="120" w:after="120"/>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b/>
          <w:i/>
          <w:sz w:val="22"/>
          <w:szCs w:val="22"/>
        </w:rPr>
        <w:t>…</w:t>
      </w:r>
    </w:p>
    <w:p w14:paraId="4B91970A" w14:textId="77777777" w:rsidR="00E7339E" w:rsidRPr="00F86891" w:rsidRDefault="00743CCC">
      <w:pPr>
        <w:spacing w:before="120" w:after="120"/>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b/>
          <w:i/>
          <w:sz w:val="22"/>
          <w:szCs w:val="22"/>
        </w:rPr>
        <w:t>XVIII. Documento de seguridad</w:t>
      </w:r>
      <w:r w:rsidRPr="00F86891">
        <w:rPr>
          <w:rFonts w:ascii="Palatino Linotype" w:eastAsia="Palatino Linotype" w:hAnsi="Palatino Linotype" w:cs="Palatino Linotype"/>
          <w:i/>
          <w:sz w:val="22"/>
          <w:szCs w:val="22"/>
        </w:rPr>
        <w:t xml:space="preserve">: al instrumento que describe y </w:t>
      </w:r>
      <w:r w:rsidRPr="00F86891">
        <w:rPr>
          <w:rFonts w:ascii="Palatino Linotype" w:eastAsia="Palatino Linotype" w:hAnsi="Palatino Linotype" w:cs="Palatino Linotype"/>
          <w:b/>
          <w:i/>
          <w:sz w:val="22"/>
          <w:szCs w:val="22"/>
        </w:rPr>
        <w:t>da cuenta de manera general sobre las medidas de seguridad técnicas, físicas y administrativas</w:t>
      </w:r>
      <w:r w:rsidRPr="00F86891">
        <w:rPr>
          <w:rFonts w:ascii="Palatino Linotype" w:eastAsia="Palatino Linotype" w:hAnsi="Palatino Linotype" w:cs="Palatino Linotype"/>
          <w:i/>
          <w:sz w:val="22"/>
          <w:szCs w:val="22"/>
        </w:rPr>
        <w:t xml:space="preserve"> adoptadas por el responsable para garantizar la confidencialidad, integridad y disponibilidad de la información contenida en los sistemas y bases de datos personales</w:t>
      </w:r>
    </w:p>
    <w:p w14:paraId="2B5C2EB4" w14:textId="77777777" w:rsidR="00E7339E" w:rsidRPr="00F86891" w:rsidRDefault="00743CCC">
      <w:pPr>
        <w:spacing w:before="120" w:after="120"/>
        <w:ind w:left="567" w:right="851"/>
        <w:jc w:val="both"/>
        <w:rPr>
          <w:rFonts w:ascii="Palatino Linotype" w:eastAsia="Palatino Linotype" w:hAnsi="Palatino Linotype" w:cs="Palatino Linotype"/>
          <w:b/>
          <w:i/>
          <w:sz w:val="22"/>
          <w:szCs w:val="22"/>
        </w:rPr>
      </w:pPr>
      <w:r w:rsidRPr="00F86891">
        <w:rPr>
          <w:rFonts w:ascii="Palatino Linotype" w:eastAsia="Palatino Linotype" w:hAnsi="Palatino Linotype" w:cs="Palatino Linotype"/>
          <w:b/>
          <w:i/>
          <w:sz w:val="22"/>
          <w:szCs w:val="22"/>
        </w:rPr>
        <w:t>...</w:t>
      </w:r>
    </w:p>
    <w:p w14:paraId="0A788197" w14:textId="77777777" w:rsidR="00E7339E" w:rsidRPr="00F86891" w:rsidRDefault="00743CCC">
      <w:pPr>
        <w:spacing w:before="120" w:after="120"/>
        <w:ind w:left="567" w:right="851"/>
        <w:jc w:val="both"/>
        <w:rPr>
          <w:rFonts w:ascii="Palatino Linotype" w:eastAsia="Palatino Linotype" w:hAnsi="Palatino Linotype" w:cs="Palatino Linotype"/>
          <w:b/>
          <w:i/>
          <w:sz w:val="22"/>
          <w:szCs w:val="22"/>
        </w:rPr>
      </w:pPr>
      <w:r w:rsidRPr="00F86891">
        <w:rPr>
          <w:rFonts w:ascii="Palatino Linotype" w:eastAsia="Palatino Linotype" w:hAnsi="Palatino Linotype" w:cs="Palatino Linotype"/>
          <w:b/>
          <w:i/>
          <w:sz w:val="22"/>
          <w:szCs w:val="22"/>
        </w:rPr>
        <w:t>Artículo 48</w:t>
      </w:r>
      <w:r w:rsidRPr="00F86891">
        <w:rPr>
          <w:rFonts w:ascii="Palatino Linotype" w:eastAsia="Palatino Linotype" w:hAnsi="Palatino Linotype" w:cs="Palatino Linotype"/>
          <w:i/>
          <w:sz w:val="22"/>
          <w:szCs w:val="22"/>
        </w:rPr>
        <w:t xml:space="preserve">. Los sujetos obligados elaborarán y </w:t>
      </w:r>
      <w:r w:rsidRPr="00F86891">
        <w:rPr>
          <w:rFonts w:ascii="Palatino Linotype" w:eastAsia="Palatino Linotype" w:hAnsi="Palatino Linotype" w:cs="Palatino Linotype"/>
          <w:b/>
          <w:i/>
          <w:sz w:val="22"/>
          <w:szCs w:val="22"/>
          <w:u w:val="single"/>
        </w:rPr>
        <w:t>aprobarán un documento que contenga las medidas de seguridad aplicables a las bases y sistemas de datos personales</w:t>
      </w:r>
      <w:r w:rsidRPr="00F86891">
        <w:rPr>
          <w:rFonts w:ascii="Palatino Linotype" w:eastAsia="Palatino Linotype" w:hAnsi="Palatino Linotype" w:cs="Palatino Linotype"/>
          <w:i/>
          <w:sz w:val="22"/>
          <w:szCs w:val="22"/>
        </w:rPr>
        <w:t>, tomando en cuenta los estándares internacionales de seguridad, la presente Ley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w:t>
      </w:r>
    </w:p>
    <w:p w14:paraId="4C103B4C" w14:textId="77777777" w:rsidR="00E7339E" w:rsidRPr="00F86891" w:rsidRDefault="00743CCC">
      <w:pPr>
        <w:pBdr>
          <w:top w:val="nil"/>
          <w:left w:val="nil"/>
          <w:bottom w:val="nil"/>
          <w:right w:val="nil"/>
          <w:between w:val="nil"/>
        </w:pBdr>
        <w:tabs>
          <w:tab w:val="left" w:pos="0"/>
        </w:tabs>
        <w:spacing w:before="120" w:after="120"/>
        <w:ind w:left="567" w:right="851"/>
        <w:jc w:val="both"/>
        <w:rPr>
          <w:rFonts w:ascii="Palatino Linotype" w:eastAsia="Palatino Linotype" w:hAnsi="Palatino Linotype" w:cs="Palatino Linotype"/>
          <w:sz w:val="22"/>
          <w:szCs w:val="22"/>
        </w:rPr>
      </w:pPr>
      <w:r w:rsidRPr="00F86891">
        <w:rPr>
          <w:rFonts w:ascii="Palatino Linotype" w:eastAsia="Palatino Linotype" w:hAnsi="Palatino Linotype" w:cs="Palatino Linotype"/>
          <w:sz w:val="22"/>
          <w:szCs w:val="22"/>
        </w:rPr>
        <w:t>...</w:t>
      </w:r>
    </w:p>
    <w:p w14:paraId="25BFAA5A" w14:textId="77777777" w:rsidR="00E7339E" w:rsidRPr="00F86891" w:rsidRDefault="00743CCC">
      <w:pPr>
        <w:pBdr>
          <w:top w:val="nil"/>
          <w:left w:val="nil"/>
          <w:bottom w:val="nil"/>
          <w:right w:val="nil"/>
          <w:between w:val="nil"/>
        </w:pBdr>
        <w:spacing w:before="120" w:after="120"/>
        <w:ind w:left="567" w:right="851"/>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b/>
          <w:i/>
          <w:sz w:val="22"/>
          <w:szCs w:val="22"/>
        </w:rPr>
        <w:t xml:space="preserve">Artículo 49. </w:t>
      </w:r>
      <w:r w:rsidRPr="00F86891">
        <w:rPr>
          <w:rFonts w:ascii="Palatino Linotype" w:eastAsia="Palatino Linotype" w:hAnsi="Palatino Linotype" w:cs="Palatino Linotype"/>
          <w:i/>
          <w:sz w:val="22"/>
          <w:szCs w:val="22"/>
        </w:rPr>
        <w:t>El documento de seguridad deberá contener como mínimo lo siguiente:</w:t>
      </w:r>
    </w:p>
    <w:p w14:paraId="44F70D12" w14:textId="77777777" w:rsidR="00E7339E" w:rsidRPr="00F86891" w:rsidRDefault="00743CCC">
      <w:pPr>
        <w:widowControl w:val="0"/>
        <w:numPr>
          <w:ilvl w:val="0"/>
          <w:numId w:val="3"/>
        </w:numPr>
        <w:pBdr>
          <w:top w:val="nil"/>
          <w:left w:val="nil"/>
          <w:bottom w:val="nil"/>
          <w:right w:val="nil"/>
          <w:between w:val="nil"/>
        </w:pBdr>
        <w:tabs>
          <w:tab w:val="left" w:pos="265"/>
        </w:tabs>
        <w:spacing w:before="120" w:after="120"/>
        <w:ind w:left="567"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Respecto de los sistemas de datos personales:</w:t>
      </w:r>
    </w:p>
    <w:p w14:paraId="54BD453A" w14:textId="77777777" w:rsidR="00E7339E" w:rsidRPr="00F86891" w:rsidRDefault="00743CCC">
      <w:pPr>
        <w:widowControl w:val="0"/>
        <w:numPr>
          <w:ilvl w:val="0"/>
          <w:numId w:val="2"/>
        </w:numPr>
        <w:pBdr>
          <w:top w:val="nil"/>
          <w:left w:val="nil"/>
          <w:bottom w:val="nil"/>
          <w:right w:val="nil"/>
          <w:between w:val="nil"/>
        </w:pBdr>
        <w:tabs>
          <w:tab w:val="left" w:pos="325"/>
          <w:tab w:val="left" w:pos="1701"/>
        </w:tabs>
        <w:spacing w:before="120" w:after="120"/>
        <w:ind w:left="1418" w:right="1276"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El nombre.</w:t>
      </w:r>
    </w:p>
    <w:p w14:paraId="7C15AC2A" w14:textId="77777777" w:rsidR="00E7339E" w:rsidRPr="00F86891" w:rsidRDefault="00743CCC">
      <w:pPr>
        <w:widowControl w:val="0"/>
        <w:numPr>
          <w:ilvl w:val="0"/>
          <w:numId w:val="2"/>
        </w:numPr>
        <w:pBdr>
          <w:top w:val="nil"/>
          <w:left w:val="nil"/>
          <w:bottom w:val="nil"/>
          <w:right w:val="nil"/>
          <w:between w:val="nil"/>
        </w:pBdr>
        <w:tabs>
          <w:tab w:val="left" w:pos="335"/>
          <w:tab w:val="left" w:pos="1701"/>
        </w:tabs>
        <w:spacing w:before="120" w:after="120"/>
        <w:ind w:left="1418" w:right="1276"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 xml:space="preserve">El nombre, cargo y adscripción del administrador de cada sistema </w:t>
      </w:r>
      <w:r w:rsidRPr="00F86891">
        <w:rPr>
          <w:rFonts w:ascii="Palatino Linotype" w:eastAsia="Palatino Linotype" w:hAnsi="Palatino Linotype" w:cs="Palatino Linotype"/>
          <w:i/>
          <w:sz w:val="22"/>
          <w:szCs w:val="22"/>
        </w:rPr>
        <w:lastRenderedPageBreak/>
        <w:t>y base de datos.</w:t>
      </w:r>
    </w:p>
    <w:p w14:paraId="667ACF40" w14:textId="77777777" w:rsidR="00E7339E" w:rsidRPr="00F86891" w:rsidRDefault="00743CCC">
      <w:pPr>
        <w:widowControl w:val="0"/>
        <w:numPr>
          <w:ilvl w:val="0"/>
          <w:numId w:val="2"/>
        </w:numPr>
        <w:pBdr>
          <w:top w:val="nil"/>
          <w:left w:val="nil"/>
          <w:bottom w:val="nil"/>
          <w:right w:val="nil"/>
          <w:between w:val="nil"/>
        </w:pBdr>
        <w:tabs>
          <w:tab w:val="left" w:pos="325"/>
          <w:tab w:val="left" w:pos="1701"/>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Las funciones y obligaciones del responsable, encargado o encargados y todas las personas que traten datos personales.</w:t>
      </w:r>
    </w:p>
    <w:p w14:paraId="106DBE2B" w14:textId="77777777" w:rsidR="00E7339E" w:rsidRPr="00F86891" w:rsidRDefault="00743CCC">
      <w:pPr>
        <w:widowControl w:val="0"/>
        <w:numPr>
          <w:ilvl w:val="0"/>
          <w:numId w:val="2"/>
        </w:numPr>
        <w:pBdr>
          <w:top w:val="nil"/>
          <w:left w:val="nil"/>
          <w:bottom w:val="nil"/>
          <w:right w:val="nil"/>
          <w:between w:val="nil"/>
        </w:pBdr>
        <w:tabs>
          <w:tab w:val="left" w:pos="335"/>
          <w:tab w:val="left" w:pos="1701"/>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El folio del registro del sistema y base de datos.</w:t>
      </w:r>
    </w:p>
    <w:p w14:paraId="5D252B05" w14:textId="77777777" w:rsidR="00E7339E" w:rsidRPr="00F86891" w:rsidRDefault="00743CCC">
      <w:pPr>
        <w:widowControl w:val="0"/>
        <w:numPr>
          <w:ilvl w:val="0"/>
          <w:numId w:val="2"/>
        </w:numPr>
        <w:pBdr>
          <w:top w:val="nil"/>
          <w:left w:val="nil"/>
          <w:bottom w:val="nil"/>
          <w:right w:val="nil"/>
          <w:between w:val="nil"/>
        </w:pBdr>
        <w:tabs>
          <w:tab w:val="left" w:pos="325"/>
          <w:tab w:val="left" w:pos="1701"/>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El inventario o la especificación detallada del tipo de datos personales contenidos.</w:t>
      </w:r>
    </w:p>
    <w:p w14:paraId="75F04FE1" w14:textId="77777777" w:rsidR="00E7339E" w:rsidRPr="00F86891" w:rsidRDefault="00743CCC">
      <w:pPr>
        <w:widowControl w:val="0"/>
        <w:numPr>
          <w:ilvl w:val="0"/>
          <w:numId w:val="2"/>
        </w:numPr>
        <w:pBdr>
          <w:top w:val="nil"/>
          <w:left w:val="nil"/>
          <w:bottom w:val="nil"/>
          <w:right w:val="nil"/>
          <w:between w:val="nil"/>
        </w:pBdr>
        <w:tabs>
          <w:tab w:val="left" w:pos="289"/>
          <w:tab w:val="left" w:pos="1701"/>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La estructura y descripción de los sistemas y bases de datos personales, lo cual consiste en precisar y describir el tipo de soporte, así como las características del lugar donde se resguardan.</w:t>
      </w:r>
    </w:p>
    <w:p w14:paraId="1F356E9D" w14:textId="77777777" w:rsidR="00E7339E" w:rsidRPr="00F86891" w:rsidRDefault="00743CCC">
      <w:pPr>
        <w:widowControl w:val="0"/>
        <w:numPr>
          <w:ilvl w:val="0"/>
          <w:numId w:val="3"/>
        </w:numPr>
        <w:pBdr>
          <w:top w:val="nil"/>
          <w:left w:val="nil"/>
          <w:bottom w:val="nil"/>
          <w:right w:val="nil"/>
          <w:between w:val="nil"/>
        </w:pBdr>
        <w:tabs>
          <w:tab w:val="left" w:pos="31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 xml:space="preserve">Respecto de las </w:t>
      </w:r>
      <w:r w:rsidRPr="00F86891">
        <w:rPr>
          <w:rFonts w:ascii="Palatino Linotype" w:eastAsia="Palatino Linotype" w:hAnsi="Palatino Linotype" w:cs="Palatino Linotype"/>
          <w:b/>
          <w:i/>
          <w:sz w:val="22"/>
          <w:szCs w:val="22"/>
        </w:rPr>
        <w:t>medidas de seguridad implementadas</w:t>
      </w:r>
      <w:r w:rsidRPr="00F86891">
        <w:rPr>
          <w:rFonts w:ascii="Palatino Linotype" w:eastAsia="Palatino Linotype" w:hAnsi="Palatino Linotype" w:cs="Palatino Linotype"/>
          <w:i/>
          <w:sz w:val="22"/>
          <w:szCs w:val="22"/>
        </w:rPr>
        <w:t xml:space="preserve"> deberá incluir lo siguiente:</w:t>
      </w:r>
    </w:p>
    <w:p w14:paraId="5FE14AE2" w14:textId="77777777" w:rsidR="00E7339E" w:rsidRPr="00F86891" w:rsidRDefault="00743CCC">
      <w:pPr>
        <w:widowControl w:val="0"/>
        <w:numPr>
          <w:ilvl w:val="0"/>
          <w:numId w:val="4"/>
        </w:numPr>
        <w:pBdr>
          <w:top w:val="nil"/>
          <w:left w:val="nil"/>
          <w:bottom w:val="nil"/>
          <w:right w:val="nil"/>
          <w:between w:val="nil"/>
        </w:pBdr>
        <w:tabs>
          <w:tab w:val="left" w:pos="32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Transferencia y remisiones.</w:t>
      </w:r>
    </w:p>
    <w:p w14:paraId="6102B5BD" w14:textId="77777777" w:rsidR="00E7339E" w:rsidRPr="00F86891" w:rsidRDefault="00743CCC">
      <w:pPr>
        <w:widowControl w:val="0"/>
        <w:numPr>
          <w:ilvl w:val="0"/>
          <w:numId w:val="4"/>
        </w:numPr>
        <w:pBdr>
          <w:top w:val="nil"/>
          <w:left w:val="nil"/>
          <w:bottom w:val="nil"/>
          <w:right w:val="nil"/>
          <w:between w:val="nil"/>
        </w:pBdr>
        <w:tabs>
          <w:tab w:val="left" w:pos="33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Resguardo de soportes físicos y electrónicos.</w:t>
      </w:r>
    </w:p>
    <w:p w14:paraId="4002F43E" w14:textId="77777777" w:rsidR="00E7339E" w:rsidRPr="00F86891" w:rsidRDefault="00743CCC">
      <w:pPr>
        <w:widowControl w:val="0"/>
        <w:numPr>
          <w:ilvl w:val="0"/>
          <w:numId w:val="4"/>
        </w:numPr>
        <w:pBdr>
          <w:top w:val="nil"/>
          <w:left w:val="nil"/>
          <w:bottom w:val="nil"/>
          <w:right w:val="nil"/>
          <w:between w:val="nil"/>
        </w:pBdr>
        <w:tabs>
          <w:tab w:val="left" w:pos="32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Bitácoras para accesos, operación cotidiana y violaciones a la seguridad de los datos personales.</w:t>
      </w:r>
    </w:p>
    <w:p w14:paraId="4C60CD88" w14:textId="77777777" w:rsidR="00E7339E" w:rsidRPr="00F86891" w:rsidRDefault="00743CCC">
      <w:pPr>
        <w:widowControl w:val="0"/>
        <w:numPr>
          <w:ilvl w:val="0"/>
          <w:numId w:val="4"/>
        </w:numPr>
        <w:pBdr>
          <w:top w:val="nil"/>
          <w:left w:val="nil"/>
          <w:bottom w:val="nil"/>
          <w:right w:val="nil"/>
          <w:between w:val="nil"/>
        </w:pBdr>
        <w:tabs>
          <w:tab w:val="left" w:pos="33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El análisis de riesgos.</w:t>
      </w:r>
    </w:p>
    <w:p w14:paraId="38B9C089" w14:textId="77777777" w:rsidR="00E7339E" w:rsidRPr="00F86891" w:rsidRDefault="00743CCC">
      <w:pPr>
        <w:widowControl w:val="0"/>
        <w:numPr>
          <w:ilvl w:val="0"/>
          <w:numId w:val="4"/>
        </w:numPr>
        <w:pBdr>
          <w:top w:val="nil"/>
          <w:left w:val="nil"/>
          <w:bottom w:val="nil"/>
          <w:right w:val="nil"/>
          <w:between w:val="nil"/>
        </w:pBdr>
        <w:tabs>
          <w:tab w:val="left" w:pos="32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El análisis de brecha.</w:t>
      </w:r>
    </w:p>
    <w:p w14:paraId="491C1159" w14:textId="77777777" w:rsidR="00E7339E" w:rsidRPr="00F86891" w:rsidRDefault="00743CCC">
      <w:pPr>
        <w:widowControl w:val="0"/>
        <w:numPr>
          <w:ilvl w:val="0"/>
          <w:numId w:val="4"/>
        </w:numPr>
        <w:pBdr>
          <w:top w:val="nil"/>
          <w:left w:val="nil"/>
          <w:bottom w:val="nil"/>
          <w:right w:val="nil"/>
          <w:between w:val="nil"/>
        </w:pBdr>
        <w:tabs>
          <w:tab w:val="left" w:pos="284"/>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Gestión de incidentes.</w:t>
      </w:r>
    </w:p>
    <w:p w14:paraId="54D26B68" w14:textId="77777777" w:rsidR="00E7339E" w:rsidRPr="00F86891" w:rsidRDefault="00743CCC">
      <w:pPr>
        <w:widowControl w:val="0"/>
        <w:numPr>
          <w:ilvl w:val="0"/>
          <w:numId w:val="4"/>
        </w:numPr>
        <w:pBdr>
          <w:top w:val="nil"/>
          <w:left w:val="nil"/>
          <w:bottom w:val="nil"/>
          <w:right w:val="nil"/>
          <w:between w:val="nil"/>
        </w:pBdr>
        <w:tabs>
          <w:tab w:val="left" w:pos="33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Acceso a las instalaciones.</w:t>
      </w:r>
    </w:p>
    <w:p w14:paraId="276F5A16" w14:textId="77777777" w:rsidR="00E7339E" w:rsidRPr="00F86891" w:rsidRDefault="00743CCC">
      <w:pPr>
        <w:widowControl w:val="0"/>
        <w:numPr>
          <w:ilvl w:val="0"/>
          <w:numId w:val="4"/>
        </w:numPr>
        <w:pBdr>
          <w:top w:val="nil"/>
          <w:left w:val="nil"/>
          <w:bottom w:val="nil"/>
          <w:right w:val="nil"/>
          <w:between w:val="nil"/>
        </w:pBdr>
        <w:tabs>
          <w:tab w:val="left" w:pos="33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Identificación y autenticación.</w:t>
      </w:r>
    </w:p>
    <w:p w14:paraId="75DFC7A5" w14:textId="77777777" w:rsidR="00E7339E" w:rsidRPr="00F86891" w:rsidRDefault="00743CCC">
      <w:pPr>
        <w:widowControl w:val="0"/>
        <w:numPr>
          <w:ilvl w:val="0"/>
          <w:numId w:val="4"/>
        </w:numPr>
        <w:pBdr>
          <w:top w:val="nil"/>
          <w:left w:val="nil"/>
          <w:bottom w:val="nil"/>
          <w:right w:val="nil"/>
          <w:between w:val="nil"/>
        </w:pBdr>
        <w:tabs>
          <w:tab w:val="left" w:pos="27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Procedimientos de respaldo y recuperación de datos.</w:t>
      </w:r>
    </w:p>
    <w:p w14:paraId="24FAF3FD" w14:textId="77777777" w:rsidR="00E7339E" w:rsidRPr="00F86891" w:rsidRDefault="00743CCC">
      <w:pPr>
        <w:widowControl w:val="0"/>
        <w:numPr>
          <w:ilvl w:val="0"/>
          <w:numId w:val="4"/>
        </w:numPr>
        <w:pBdr>
          <w:top w:val="nil"/>
          <w:left w:val="nil"/>
          <w:bottom w:val="nil"/>
          <w:right w:val="nil"/>
          <w:between w:val="nil"/>
        </w:pBdr>
        <w:tabs>
          <w:tab w:val="left" w:pos="27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Plan de contingencia.</w:t>
      </w:r>
    </w:p>
    <w:p w14:paraId="4A6EEBE1" w14:textId="77777777" w:rsidR="00E7339E" w:rsidRPr="00F86891" w:rsidRDefault="00743CCC">
      <w:pPr>
        <w:widowControl w:val="0"/>
        <w:numPr>
          <w:ilvl w:val="0"/>
          <w:numId w:val="4"/>
        </w:numPr>
        <w:pBdr>
          <w:top w:val="nil"/>
          <w:left w:val="nil"/>
          <w:bottom w:val="nil"/>
          <w:right w:val="nil"/>
          <w:between w:val="nil"/>
        </w:pBdr>
        <w:tabs>
          <w:tab w:val="left" w:pos="32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Auditorías.</w:t>
      </w:r>
    </w:p>
    <w:p w14:paraId="1C5BEEB5" w14:textId="77777777" w:rsidR="00E7339E" w:rsidRPr="00F86891" w:rsidRDefault="00743CCC">
      <w:pPr>
        <w:widowControl w:val="0"/>
        <w:numPr>
          <w:ilvl w:val="0"/>
          <w:numId w:val="4"/>
        </w:numPr>
        <w:pBdr>
          <w:top w:val="nil"/>
          <w:left w:val="nil"/>
          <w:bottom w:val="nil"/>
          <w:right w:val="nil"/>
          <w:between w:val="nil"/>
        </w:pBdr>
        <w:tabs>
          <w:tab w:val="left" w:pos="27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Supresión y borrado seguro de datos.</w:t>
      </w:r>
    </w:p>
    <w:p w14:paraId="0DE152AD" w14:textId="77777777" w:rsidR="00E7339E" w:rsidRPr="00F86891" w:rsidRDefault="00743CCC">
      <w:pPr>
        <w:widowControl w:val="0"/>
        <w:numPr>
          <w:ilvl w:val="0"/>
          <w:numId w:val="4"/>
        </w:numPr>
        <w:pBdr>
          <w:top w:val="nil"/>
          <w:left w:val="nil"/>
          <w:bottom w:val="nil"/>
          <w:right w:val="nil"/>
          <w:between w:val="nil"/>
        </w:pBdr>
        <w:tabs>
          <w:tab w:val="left" w:pos="38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El plan de trabajo.</w:t>
      </w:r>
    </w:p>
    <w:p w14:paraId="182D5DD0" w14:textId="77777777" w:rsidR="00E7339E" w:rsidRPr="00F86891" w:rsidRDefault="00743CCC">
      <w:pPr>
        <w:widowControl w:val="0"/>
        <w:numPr>
          <w:ilvl w:val="0"/>
          <w:numId w:val="4"/>
        </w:numPr>
        <w:pBdr>
          <w:top w:val="nil"/>
          <w:left w:val="nil"/>
          <w:bottom w:val="nil"/>
          <w:right w:val="nil"/>
          <w:between w:val="nil"/>
        </w:pBdr>
        <w:tabs>
          <w:tab w:val="left" w:pos="33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Los mecanismos de monitoreo y revisión de las medidas de seguridad.</w:t>
      </w:r>
    </w:p>
    <w:p w14:paraId="1F74B96D" w14:textId="77777777" w:rsidR="00E7339E" w:rsidRPr="00F86891" w:rsidRDefault="00743CCC">
      <w:pPr>
        <w:widowControl w:val="0"/>
        <w:numPr>
          <w:ilvl w:val="0"/>
          <w:numId w:val="4"/>
        </w:numPr>
        <w:pBdr>
          <w:top w:val="nil"/>
          <w:left w:val="nil"/>
          <w:bottom w:val="nil"/>
          <w:right w:val="nil"/>
          <w:between w:val="nil"/>
        </w:pBdr>
        <w:tabs>
          <w:tab w:val="left" w:pos="335"/>
        </w:tabs>
        <w:spacing w:before="120" w:after="120"/>
        <w:ind w:left="1134" w:right="851" w:firstLine="0"/>
        <w:jc w:val="both"/>
        <w:rPr>
          <w:rFonts w:ascii="Palatino Linotype" w:eastAsia="Palatino Linotype" w:hAnsi="Palatino Linotype" w:cs="Palatino Linotype"/>
          <w:i/>
          <w:sz w:val="22"/>
          <w:szCs w:val="22"/>
        </w:rPr>
      </w:pPr>
      <w:r w:rsidRPr="00F86891">
        <w:rPr>
          <w:rFonts w:ascii="Palatino Linotype" w:eastAsia="Palatino Linotype" w:hAnsi="Palatino Linotype" w:cs="Palatino Linotype"/>
          <w:i/>
          <w:sz w:val="22"/>
          <w:szCs w:val="22"/>
        </w:rPr>
        <w:t>El programa general de capacitación.”</w:t>
      </w:r>
    </w:p>
    <w:p w14:paraId="5BFA3B4D" w14:textId="77777777" w:rsidR="00E7339E" w:rsidRPr="00F86891" w:rsidRDefault="00743CCC">
      <w:pPr>
        <w:pBdr>
          <w:top w:val="nil"/>
          <w:left w:val="nil"/>
          <w:bottom w:val="nil"/>
          <w:right w:val="nil"/>
          <w:between w:val="nil"/>
        </w:pBdr>
        <w:tabs>
          <w:tab w:val="left" w:pos="0"/>
        </w:tabs>
        <w:spacing w:before="240" w:after="240" w:line="360" w:lineRule="auto"/>
        <w:ind w:right="51"/>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De los preceptos jurídicos citados, se desprende que tanto la Ley General como la Ley Estatal establecen los conceptos mínimos que deben contener los documentos de seguridad, entre los cuales, se advierten datos, por su naturaleza, son </w:t>
      </w:r>
      <w:r w:rsidRPr="00F86891">
        <w:rPr>
          <w:rFonts w:ascii="Palatino Linotype" w:eastAsia="Palatino Linotype" w:hAnsi="Palatino Linotype" w:cs="Palatino Linotype"/>
        </w:rPr>
        <w:lastRenderedPageBreak/>
        <w:t xml:space="preserve">susceptibles de clasificar como información confidencial, tales como las medidas de seguridad. </w:t>
      </w:r>
    </w:p>
    <w:p w14:paraId="29C1D55C" w14:textId="77777777" w:rsidR="00E7339E" w:rsidRPr="00F86891" w:rsidRDefault="00743CCC">
      <w:pPr>
        <w:pBdr>
          <w:top w:val="nil"/>
          <w:left w:val="nil"/>
          <w:bottom w:val="nil"/>
          <w:right w:val="nil"/>
          <w:between w:val="nil"/>
        </w:pBdr>
        <w:tabs>
          <w:tab w:val="left" w:pos="0"/>
        </w:tabs>
        <w:spacing w:before="240" w:after="240" w:line="360" w:lineRule="auto"/>
        <w:ind w:right="51"/>
        <w:jc w:val="both"/>
        <w:rPr>
          <w:rFonts w:ascii="Palatino Linotype" w:eastAsia="Palatino Linotype" w:hAnsi="Palatino Linotype" w:cs="Palatino Linotype"/>
        </w:rPr>
      </w:pPr>
      <w:r w:rsidRPr="00F86891">
        <w:rPr>
          <w:rFonts w:ascii="Palatino Linotype" w:eastAsia="Palatino Linotype" w:hAnsi="Palatino Linotype" w:cs="Palatino Linotype"/>
        </w:rPr>
        <w:t>Ahora bien, es necesario enfatizar, que los artículos 3, fracciones XX, XXI, XXII y XXIII de la Ley General de Protección de Datos Personales en Posesión de Sujetos Obligados, y 4, fracciones XVIII, XXX, XXXI, XXXII y XXXIII de la Ley de Protección de Datos Personales en Posesión de Sujetos Obligados del Estado de México y Municipios, establecen que  las medidas de seguridad son las acciones, actividades, controles o mecanismos administrativos, técnicos y físicos que permiten proteger los datos personales, entendiéndose estos a las medidas de seguridad administrativas, técnicas y físicas, las cuales deben describirse en los documentos de seguridad para garantizar la confidencialidad, integridad y disponibilidad de la información contenida en los sistemas y bases de datos personales.</w:t>
      </w:r>
    </w:p>
    <w:p w14:paraId="0C2302D7" w14:textId="77777777" w:rsidR="00E7339E" w:rsidRPr="00F86891" w:rsidRDefault="00743CCC">
      <w:pPr>
        <w:pBdr>
          <w:top w:val="nil"/>
          <w:left w:val="nil"/>
          <w:bottom w:val="nil"/>
          <w:right w:val="nil"/>
          <w:between w:val="nil"/>
        </w:pBdr>
        <w:tabs>
          <w:tab w:val="left" w:pos="0"/>
        </w:tabs>
        <w:spacing w:before="240" w:after="240" w:line="360" w:lineRule="auto"/>
        <w:ind w:right="51"/>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En este entendido, la Ley en la materia establece lo siguiente: </w:t>
      </w:r>
    </w:p>
    <w:p w14:paraId="3630B278" w14:textId="77777777" w:rsidR="00E7339E" w:rsidRPr="00F86891" w:rsidRDefault="00743CCC">
      <w:pPr>
        <w:spacing w:before="120" w:after="120"/>
        <w:ind w:left="851" w:right="851"/>
        <w:jc w:val="both"/>
        <w:rPr>
          <w:rFonts w:ascii="Palatino Linotype" w:eastAsia="Palatino Linotype" w:hAnsi="Palatino Linotype" w:cs="Palatino Linotype"/>
          <w:b/>
          <w:i/>
          <w:sz w:val="22"/>
          <w:szCs w:val="22"/>
        </w:rPr>
      </w:pPr>
      <w:r w:rsidRPr="00F86891">
        <w:rPr>
          <w:rFonts w:ascii="Palatino Linotype" w:eastAsia="Palatino Linotype" w:hAnsi="Palatino Linotype" w:cs="Palatino Linotype"/>
          <w:sz w:val="22"/>
          <w:szCs w:val="22"/>
        </w:rPr>
        <w:t>“</w:t>
      </w:r>
      <w:r w:rsidRPr="00F86891">
        <w:rPr>
          <w:rFonts w:ascii="Palatino Linotype" w:eastAsia="Palatino Linotype" w:hAnsi="Palatino Linotype" w:cs="Palatino Linotype"/>
          <w:b/>
          <w:i/>
          <w:sz w:val="22"/>
          <w:szCs w:val="22"/>
        </w:rPr>
        <w:t>Artículo 43.</w:t>
      </w:r>
      <w:r w:rsidRPr="00F86891">
        <w:rPr>
          <w:rFonts w:ascii="Palatino Linotype" w:eastAsia="Palatino Linotype" w:hAnsi="Palatino Linotype" w:cs="Palatino Linotype"/>
          <w:i/>
          <w:sz w:val="22"/>
          <w:szCs w:val="22"/>
        </w:rPr>
        <w:t xml:space="preserve"> </w:t>
      </w:r>
      <w:r w:rsidRPr="00F86891">
        <w:rPr>
          <w:rFonts w:ascii="Palatino Linotype" w:eastAsia="Palatino Linotype" w:hAnsi="Palatino Linotype" w:cs="Palatino Linotype"/>
          <w:b/>
          <w:i/>
          <w:sz w:val="22"/>
          <w:szCs w:val="22"/>
        </w:rPr>
        <w:t>Las medidas de seguridad</w:t>
      </w:r>
      <w:r w:rsidRPr="00F86891">
        <w:rPr>
          <w:rFonts w:ascii="Palatino Linotype" w:eastAsia="Palatino Linotype" w:hAnsi="Palatino Linotype" w:cs="Palatino Linotype"/>
          <w:i/>
          <w:sz w:val="22"/>
          <w:szCs w:val="22"/>
        </w:rPr>
        <w:t xml:space="preserve"> previstas en este capítulo constituyen mínimos exigibles, por lo que el sujeto obligado adoptará las medidas adicionales que estime necesarias para brindar mayor garantía en la protección y resguardo de los sistemas y bases de datos personales. </w:t>
      </w:r>
      <w:r w:rsidRPr="00F86891">
        <w:rPr>
          <w:rFonts w:ascii="Palatino Linotype" w:eastAsia="Palatino Linotype" w:hAnsi="Palatino Linotype" w:cs="Palatino Linotype"/>
          <w:b/>
          <w:i/>
          <w:sz w:val="22"/>
          <w:szCs w:val="22"/>
        </w:rPr>
        <w:t>Por la naturaleza de la información, las medidas de seguridad que se adopten serán consideradas confidenciales</w:t>
      </w:r>
      <w:r w:rsidRPr="00F86891">
        <w:rPr>
          <w:rFonts w:ascii="Palatino Linotype" w:eastAsia="Palatino Linotype" w:hAnsi="Palatino Linotype" w:cs="Palatino Linotype"/>
          <w:i/>
          <w:sz w:val="22"/>
          <w:szCs w:val="22"/>
        </w:rPr>
        <w:t xml:space="preserve"> y únicamente se comunicará al Instituto, para su registro, el nivel de seguridad aplicable.</w:t>
      </w:r>
    </w:p>
    <w:p w14:paraId="053B8090" w14:textId="77777777" w:rsidR="00E7339E" w:rsidRPr="00F86891" w:rsidRDefault="00743CCC">
      <w:pPr>
        <w:tabs>
          <w:tab w:val="left" w:pos="5415"/>
        </w:tabs>
        <w:spacing w:before="240" w:after="240" w:line="360" w:lineRule="auto"/>
        <w:ind w:right="51"/>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Es así que, es importante precisar que </w:t>
      </w:r>
      <w:r w:rsidRPr="00F86891">
        <w:rPr>
          <w:rFonts w:ascii="Palatino Linotype" w:eastAsia="Palatino Linotype" w:hAnsi="Palatino Linotype" w:cs="Palatino Linotype"/>
          <w:b/>
        </w:rPr>
        <w:t xml:space="preserve">las medidas de seguridad aplicables a los sistemas de datos personales por parte de los Sujetos Obligados, </w:t>
      </w:r>
      <w:r w:rsidRPr="00F86891">
        <w:rPr>
          <w:rFonts w:ascii="Palatino Linotype" w:eastAsia="Palatino Linotype" w:hAnsi="Palatino Linotype" w:cs="Palatino Linotype"/>
          <w:b/>
          <w:u w:val="single"/>
        </w:rPr>
        <w:t>son información de carácter confidencial</w:t>
      </w:r>
      <w:r w:rsidRPr="00F86891">
        <w:rPr>
          <w:rFonts w:ascii="Palatino Linotype" w:eastAsia="Palatino Linotype" w:hAnsi="Palatino Linotype" w:cs="Palatino Linotype"/>
        </w:rPr>
        <w:t xml:space="preserve"> por mandato expreso del artículo 43 de la Ley de Protección de Datos Personales en Posesión de Sujetos Obligados del Estado de México y Municipios, razón por la cual no pueden ser proporcionadas al solicitante, toda vez que la puesta a disposición de las mismas pueden causar una alteración, </w:t>
      </w:r>
      <w:r w:rsidRPr="00F86891">
        <w:rPr>
          <w:rFonts w:ascii="Palatino Linotype" w:eastAsia="Palatino Linotype" w:hAnsi="Palatino Linotype" w:cs="Palatino Linotype"/>
        </w:rPr>
        <w:lastRenderedPageBreak/>
        <w:t xml:space="preserve">pérdida, destrucción o el uso, transferencia, acceso o cualquier tratamiento no autorizado o ilícito a la información que se encuentra en tratamiento en las bases y sistemas de datos personales del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circunstancia que no aconteció en el caso particular, toda vez que al remitir su respuesta, se dejó visible dicha información.</w:t>
      </w:r>
    </w:p>
    <w:p w14:paraId="56BFB50E" w14:textId="77777777" w:rsidR="00E7339E" w:rsidRPr="00F86891" w:rsidRDefault="00743CCC">
      <w:pPr>
        <w:spacing w:before="24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Por ello resulta importante señalar que deberá hacerse del conocimiento de la Dirección General de Protección de Datos Personales de este Instituto sobre las posibles infracciones en las que </w:t>
      </w:r>
      <w:r w:rsidRPr="00F86891">
        <w:rPr>
          <w:rFonts w:ascii="Palatino Linotype" w:eastAsia="Palatino Linotype" w:hAnsi="Palatino Linotype" w:cs="Palatino Linotype"/>
          <w:b/>
        </w:rPr>
        <w:t>el Sujeto Obligado</w:t>
      </w:r>
      <w:r w:rsidRPr="00F86891">
        <w:rPr>
          <w:rFonts w:ascii="Palatino Linotype" w:eastAsia="Palatino Linotype" w:hAnsi="Palatino Linotype" w:cs="Palatino Linotype"/>
        </w:rPr>
        <w:t xml:space="preserve"> incurrió, al dejar visible información susceptible de ser considerada confidencial en los soportes documentales remitidos en la respuesta, lo anterior, de conformidad con el artículo 82, fracción XXVII de la Ley de Protección de Datos Personales del Estado de México y Municipios y el artículo 24, fracciones V, XI y XII, del Reglamento Interior del Instituto de Transparencia, Acceso a la Información Pública y Protección de Datos Personales del Estado de México y Municipios, a efecto de que investigue y sancione las posibles omisiones en las que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para que este determine lo que conforme derecho corresponda, cuyo resultado deberá ser informado a este Instituto.</w:t>
      </w:r>
    </w:p>
    <w:p w14:paraId="1391C264" w14:textId="77777777" w:rsidR="00E7339E" w:rsidRPr="00F86891" w:rsidRDefault="00743CCC">
      <w:pPr>
        <w:spacing w:before="8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 xml:space="preserve">Finalmente, no pasa desapercibido para este Organismo Garante que la pretensión de la particular versa sobre conocer todos los documentos de seguridad que recibió la Unidad de Transparencia por parte de los Servidores Públicos habilitados desde </w:t>
      </w:r>
      <w:r w:rsidRPr="00F86891">
        <w:rPr>
          <w:rFonts w:ascii="Palatino Linotype" w:eastAsia="Palatino Linotype" w:hAnsi="Palatino Linotype" w:cs="Palatino Linotype"/>
        </w:rPr>
        <w:lastRenderedPageBreak/>
        <w:t xml:space="preserve">enero del 2022 a la fecha, mismos que fueron remitidos por el servidor público habilitado competente, y pudieron ser consultados por este organismo garante, consecuentemente, es dable, confirmar la respuesta aportada por 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xml:space="preserve">. </w:t>
      </w:r>
    </w:p>
    <w:p w14:paraId="59DB23CF" w14:textId="77777777" w:rsidR="00E7339E" w:rsidRPr="00F86891" w:rsidRDefault="00743CCC">
      <w:pPr>
        <w:spacing w:before="80" w:after="240"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rPr>
        <w:t>Así, con fundamento en lo prescrito en los</w:t>
      </w:r>
      <w:r w:rsidRPr="00F86891">
        <w:t xml:space="preserve"> </w:t>
      </w:r>
      <w:r w:rsidRPr="00F86891">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6F99FDB" w14:textId="77777777" w:rsidR="00E7339E" w:rsidRPr="00F86891" w:rsidRDefault="00743CCC">
      <w:pPr>
        <w:spacing w:line="259" w:lineRule="auto"/>
        <w:ind w:left="-142" w:right="49"/>
        <w:jc w:val="center"/>
        <w:rPr>
          <w:rFonts w:ascii="Palatino Linotype" w:eastAsia="Palatino Linotype" w:hAnsi="Palatino Linotype" w:cs="Palatino Linotype"/>
          <w:b/>
          <w:sz w:val="28"/>
          <w:szCs w:val="28"/>
        </w:rPr>
      </w:pPr>
      <w:bookmarkStart w:id="0" w:name="_heading=h.gjdgxs" w:colFirst="0" w:colLast="0"/>
      <w:bookmarkEnd w:id="0"/>
      <w:r w:rsidRPr="00F86891">
        <w:rPr>
          <w:rFonts w:ascii="Palatino Linotype" w:eastAsia="Palatino Linotype" w:hAnsi="Palatino Linotype" w:cs="Palatino Linotype"/>
          <w:b/>
          <w:sz w:val="28"/>
          <w:szCs w:val="28"/>
        </w:rPr>
        <w:t>R E S U E L V E:</w:t>
      </w:r>
    </w:p>
    <w:p w14:paraId="71765E5C" w14:textId="77777777" w:rsidR="00E7339E" w:rsidRPr="00F86891" w:rsidRDefault="00E7339E">
      <w:pPr>
        <w:spacing w:line="259" w:lineRule="auto"/>
        <w:ind w:left="-142" w:right="49"/>
        <w:jc w:val="center"/>
        <w:rPr>
          <w:rFonts w:ascii="Palatino Linotype" w:eastAsia="Palatino Linotype" w:hAnsi="Palatino Linotype" w:cs="Palatino Linotype"/>
          <w:b/>
          <w:sz w:val="28"/>
          <w:szCs w:val="28"/>
        </w:rPr>
      </w:pPr>
    </w:p>
    <w:p w14:paraId="650EEC66" w14:textId="77777777" w:rsidR="00E7339E" w:rsidRPr="00F86891" w:rsidRDefault="00743CCC">
      <w:pPr>
        <w:spacing w:line="360" w:lineRule="auto"/>
        <w:jc w:val="both"/>
      </w:pPr>
      <w:bookmarkStart w:id="1" w:name="_heading=h.1fob9te" w:colFirst="0" w:colLast="0"/>
      <w:bookmarkEnd w:id="1"/>
      <w:r w:rsidRPr="00F86891">
        <w:rPr>
          <w:rFonts w:ascii="Palatino Linotype" w:eastAsia="Palatino Linotype" w:hAnsi="Palatino Linotype" w:cs="Palatino Linotype"/>
          <w:b/>
        </w:rPr>
        <w:t>Primero.</w:t>
      </w:r>
      <w:r w:rsidRPr="00F86891">
        <w:rPr>
          <w:rFonts w:ascii="Palatino Linotype" w:eastAsia="Palatino Linotype" w:hAnsi="Palatino Linotype" w:cs="Palatino Linotype"/>
        </w:rPr>
        <w:t xml:space="preserve"> Resultan </w:t>
      </w:r>
      <w:r w:rsidRPr="00F86891">
        <w:rPr>
          <w:rFonts w:ascii="Palatino Linotype" w:eastAsia="Palatino Linotype" w:hAnsi="Palatino Linotype" w:cs="Palatino Linotype"/>
          <w:b/>
        </w:rPr>
        <w:t>infundados</w:t>
      </w:r>
      <w:r w:rsidRPr="00F86891">
        <w:rPr>
          <w:rFonts w:ascii="Palatino Linotype" w:eastAsia="Palatino Linotype" w:hAnsi="Palatino Linotype" w:cs="Palatino Linotype"/>
        </w:rPr>
        <w:t xml:space="preserve"> los motivos de inconformidad aducidos por la parte </w:t>
      </w:r>
      <w:r w:rsidRPr="00F86891">
        <w:rPr>
          <w:rFonts w:ascii="Palatino Linotype" w:eastAsia="Palatino Linotype" w:hAnsi="Palatino Linotype" w:cs="Palatino Linotype"/>
          <w:b/>
        </w:rPr>
        <w:t>Recurrente</w:t>
      </w:r>
      <w:r w:rsidRPr="00F86891">
        <w:rPr>
          <w:rFonts w:ascii="Palatino Linotype" w:eastAsia="Palatino Linotype" w:hAnsi="Palatino Linotype" w:cs="Palatino Linotype"/>
        </w:rPr>
        <w:t xml:space="preserve"> en el recurso de revisión </w:t>
      </w:r>
      <w:r w:rsidRPr="00F86891">
        <w:rPr>
          <w:rFonts w:ascii="Palatino Linotype" w:eastAsia="Palatino Linotype" w:hAnsi="Palatino Linotype" w:cs="Palatino Linotype"/>
          <w:b/>
        </w:rPr>
        <w:t>17444/INFOEM/IP/RR/2022</w:t>
      </w:r>
      <w:r w:rsidRPr="00F86891">
        <w:rPr>
          <w:rFonts w:ascii="Palatino Linotype" w:eastAsia="Palatino Linotype" w:hAnsi="Palatino Linotype" w:cs="Palatino Linotype"/>
        </w:rPr>
        <w:t xml:space="preserve">; por lo que, en términos de los argumentos señalados en el Considerando Cuarto, se </w:t>
      </w:r>
      <w:r w:rsidRPr="00F86891">
        <w:rPr>
          <w:rFonts w:ascii="Palatino Linotype" w:eastAsia="Palatino Linotype" w:hAnsi="Palatino Linotype" w:cs="Palatino Linotype"/>
          <w:b/>
        </w:rPr>
        <w:t>CONFIRMA</w:t>
      </w:r>
      <w:r w:rsidRPr="00F86891">
        <w:rPr>
          <w:rFonts w:ascii="Palatino Linotype" w:eastAsia="Palatino Linotype" w:hAnsi="Palatino Linotype" w:cs="Palatino Linotype"/>
        </w:rPr>
        <w:t xml:space="preserve"> la respuesta emitida por el </w:t>
      </w:r>
      <w:r w:rsidRPr="00F86891">
        <w:rPr>
          <w:rFonts w:ascii="Palatino Linotype" w:eastAsia="Palatino Linotype" w:hAnsi="Palatino Linotype" w:cs="Palatino Linotype"/>
          <w:b/>
        </w:rPr>
        <w:t>Sujeto Obligado.</w:t>
      </w:r>
    </w:p>
    <w:p w14:paraId="0890045D" w14:textId="77777777" w:rsidR="00E7339E" w:rsidRPr="00F86891" w:rsidRDefault="00E7339E">
      <w:pPr>
        <w:spacing w:line="360" w:lineRule="auto"/>
      </w:pPr>
    </w:p>
    <w:p w14:paraId="18040834" w14:textId="77777777" w:rsidR="00E7339E" w:rsidRPr="00F86891" w:rsidRDefault="00743CCC">
      <w:pPr>
        <w:spacing w:line="360" w:lineRule="auto"/>
        <w:jc w:val="both"/>
      </w:pPr>
      <w:r w:rsidRPr="00F86891">
        <w:rPr>
          <w:rFonts w:ascii="Palatino Linotype" w:eastAsia="Palatino Linotype" w:hAnsi="Palatino Linotype" w:cs="Palatino Linotype"/>
          <w:b/>
        </w:rPr>
        <w:t>Segundo</w:t>
      </w:r>
      <w:r w:rsidRPr="00F86891">
        <w:rPr>
          <w:rFonts w:ascii="Palatino Linotype" w:eastAsia="Palatino Linotype" w:hAnsi="Palatino Linotype" w:cs="Palatino Linotype"/>
        </w:rPr>
        <w:t xml:space="preserve">. Notifíquese, vía </w:t>
      </w:r>
      <w:r w:rsidRPr="00F86891">
        <w:rPr>
          <w:rFonts w:ascii="Palatino Linotype" w:eastAsia="Palatino Linotype" w:hAnsi="Palatino Linotype" w:cs="Palatino Linotype"/>
          <w:b/>
        </w:rPr>
        <w:t>SAIMEX</w:t>
      </w:r>
      <w:r w:rsidRPr="00F86891">
        <w:rPr>
          <w:rFonts w:ascii="Palatino Linotype" w:eastAsia="Palatino Linotype" w:hAnsi="Palatino Linotype" w:cs="Palatino Linotype"/>
        </w:rPr>
        <w:t xml:space="preserve">, al  Titular  de la Unidad de Transparencia del </w:t>
      </w:r>
      <w:r w:rsidRPr="00F86891">
        <w:rPr>
          <w:rFonts w:ascii="Palatino Linotype" w:eastAsia="Palatino Linotype" w:hAnsi="Palatino Linotype" w:cs="Palatino Linotype"/>
          <w:b/>
        </w:rPr>
        <w:t>Sujeto Obligado</w:t>
      </w:r>
      <w:r w:rsidRPr="00F86891">
        <w:rPr>
          <w:rFonts w:ascii="Palatino Linotype" w:eastAsia="Palatino Linotype" w:hAnsi="Palatino Linotype" w:cs="Palatino Linotype"/>
        </w:rPr>
        <w:t>, la presente resolución para su conocimiento.</w:t>
      </w:r>
    </w:p>
    <w:p w14:paraId="6DBB7101" w14:textId="77777777" w:rsidR="00E7339E" w:rsidRPr="00F86891" w:rsidRDefault="00E7339E">
      <w:pPr>
        <w:spacing w:line="360" w:lineRule="auto"/>
      </w:pPr>
    </w:p>
    <w:p w14:paraId="4AEB2375" w14:textId="77777777" w:rsidR="00E7339E" w:rsidRPr="00F86891" w:rsidRDefault="00743CCC">
      <w:pPr>
        <w:spacing w:line="360" w:lineRule="auto"/>
        <w:jc w:val="both"/>
        <w:rPr>
          <w:rFonts w:ascii="Palatino Linotype" w:eastAsia="Palatino Linotype" w:hAnsi="Palatino Linotype" w:cs="Palatino Linotype"/>
        </w:rPr>
      </w:pPr>
      <w:r w:rsidRPr="00F86891">
        <w:rPr>
          <w:rFonts w:ascii="Palatino Linotype" w:eastAsia="Palatino Linotype" w:hAnsi="Palatino Linotype" w:cs="Palatino Linotype"/>
          <w:b/>
        </w:rPr>
        <w:t xml:space="preserve">Tercero.  Notifíquese, </w:t>
      </w:r>
      <w:r w:rsidRPr="00F86891">
        <w:rPr>
          <w:rFonts w:ascii="Palatino Linotype" w:eastAsia="Palatino Linotype" w:hAnsi="Palatino Linotype" w:cs="Palatino Linotype"/>
        </w:rPr>
        <w:t xml:space="preserve">a la </w:t>
      </w:r>
      <w:r w:rsidRPr="00F86891">
        <w:rPr>
          <w:rFonts w:ascii="Palatino Linotype" w:eastAsia="Palatino Linotype" w:hAnsi="Palatino Linotype" w:cs="Palatino Linotype"/>
          <w:b/>
        </w:rPr>
        <w:t>Recurrente</w:t>
      </w:r>
      <w:r w:rsidRPr="00F86891">
        <w:rPr>
          <w:rFonts w:ascii="Palatino Linotype" w:eastAsia="Palatino Linotype" w:hAnsi="Palatino Linotype" w:cs="Palatino Linotype"/>
        </w:rPr>
        <w:t xml:space="preserve"> la presente resolución vía </w:t>
      </w:r>
      <w:r w:rsidRPr="00F86891">
        <w:rPr>
          <w:rFonts w:ascii="Palatino Linotype" w:eastAsia="Palatino Linotype" w:hAnsi="Palatino Linotype" w:cs="Palatino Linotype"/>
          <w:b/>
        </w:rPr>
        <w:t>SAIMEX</w:t>
      </w:r>
      <w:r w:rsidRPr="00F86891">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39BC0F27" w14:textId="77777777" w:rsidR="00E7339E" w:rsidRPr="00F86891" w:rsidRDefault="00743CCC">
      <w:pPr>
        <w:widowControl w:val="0"/>
        <w:tabs>
          <w:tab w:val="left" w:pos="1701"/>
        </w:tabs>
        <w:spacing w:before="240" w:after="240" w:line="360" w:lineRule="auto"/>
        <w:ind w:right="49"/>
        <w:jc w:val="both"/>
        <w:rPr>
          <w:rFonts w:ascii="Palatino Linotype" w:eastAsia="Palatino Linotype" w:hAnsi="Palatino Linotype" w:cs="Palatino Linotype"/>
        </w:rPr>
      </w:pPr>
      <w:r w:rsidRPr="00F86891">
        <w:rPr>
          <w:rFonts w:ascii="Palatino Linotype" w:eastAsia="Palatino Linotype" w:hAnsi="Palatino Linotype" w:cs="Palatino Linotype"/>
          <w:b/>
        </w:rPr>
        <w:t xml:space="preserve">Cuarto. Gírese oficio </w:t>
      </w:r>
      <w:r w:rsidRPr="00F86891">
        <w:rPr>
          <w:rFonts w:ascii="Palatino Linotype" w:eastAsia="Palatino Linotype" w:hAnsi="Palatino Linotype" w:cs="Palatino Linotype"/>
        </w:rPr>
        <w:t xml:space="preserve">a la </w:t>
      </w:r>
      <w:r w:rsidRPr="00F86891">
        <w:rPr>
          <w:rFonts w:ascii="Palatino Linotype" w:eastAsia="Palatino Linotype" w:hAnsi="Palatino Linotype" w:cs="Palatino Linotype"/>
          <w:b/>
        </w:rPr>
        <w:t>Dirección General de Protección de Datos Personales</w:t>
      </w:r>
      <w:r w:rsidRPr="00F86891">
        <w:rPr>
          <w:rFonts w:ascii="Palatino Linotype" w:eastAsia="Palatino Linotype" w:hAnsi="Palatino Linotype" w:cs="Palatino Linotype"/>
        </w:rPr>
        <w:t xml:space="preserve"> </w:t>
      </w:r>
      <w:r w:rsidRPr="00F86891">
        <w:rPr>
          <w:rFonts w:ascii="Palatino Linotype" w:eastAsia="Palatino Linotype" w:hAnsi="Palatino Linotype" w:cs="Palatino Linotype"/>
        </w:rPr>
        <w:lastRenderedPageBreak/>
        <w:t xml:space="preserve">en atención al artículo 82, fracción XXVII de la Ley de Protección de Datos Personales del Estado de México y Municipios, a fin de que determine lo conducente en términos del </w:t>
      </w:r>
      <w:r w:rsidRPr="00F86891">
        <w:rPr>
          <w:rFonts w:ascii="Palatino Linotype" w:eastAsia="Palatino Linotype" w:hAnsi="Palatino Linotype" w:cs="Palatino Linotype"/>
          <w:b/>
        </w:rPr>
        <w:t>Considerando</w:t>
      </w:r>
      <w:r w:rsidRPr="00F86891">
        <w:rPr>
          <w:rFonts w:ascii="Palatino Linotype" w:eastAsia="Palatino Linotype" w:hAnsi="Palatino Linotype" w:cs="Palatino Linotype"/>
        </w:rPr>
        <w:t xml:space="preserve"> </w:t>
      </w:r>
      <w:r w:rsidRPr="00F86891">
        <w:rPr>
          <w:rFonts w:ascii="Palatino Linotype" w:eastAsia="Palatino Linotype" w:hAnsi="Palatino Linotype" w:cs="Palatino Linotype"/>
          <w:b/>
        </w:rPr>
        <w:t xml:space="preserve">Cuarto </w:t>
      </w:r>
      <w:r w:rsidRPr="00F86891">
        <w:rPr>
          <w:rFonts w:ascii="Palatino Linotype" w:eastAsia="Palatino Linotype" w:hAnsi="Palatino Linotype" w:cs="Palatino Linotype"/>
        </w:rPr>
        <w:t>de la presente resolución.</w:t>
      </w:r>
    </w:p>
    <w:p w14:paraId="7E9E283A" w14:textId="77777777" w:rsidR="00E7339E" w:rsidRPr="00F86891" w:rsidRDefault="00743CCC">
      <w:pPr>
        <w:widowControl w:val="0"/>
        <w:tabs>
          <w:tab w:val="left" w:pos="1701"/>
        </w:tabs>
        <w:spacing w:before="240" w:after="240" w:line="360" w:lineRule="auto"/>
        <w:ind w:right="49"/>
        <w:jc w:val="both"/>
        <w:rPr>
          <w:rFonts w:ascii="Palatino Linotype" w:eastAsia="Palatino Linotype" w:hAnsi="Palatino Linotype" w:cs="Palatino Linotype"/>
        </w:rPr>
        <w:sectPr w:rsidR="00E7339E" w:rsidRPr="00F86891">
          <w:headerReference w:type="default" r:id="rId17"/>
          <w:footerReference w:type="default" r:id="rId18"/>
          <w:headerReference w:type="first" r:id="rId19"/>
          <w:footerReference w:type="first" r:id="rId20"/>
          <w:pgSz w:w="12240" w:h="15840"/>
          <w:pgMar w:top="1417" w:right="1750" w:bottom="1417" w:left="1701" w:header="709" w:footer="709" w:gutter="0"/>
          <w:pgNumType w:start="1"/>
          <w:cols w:space="720"/>
          <w:titlePg/>
        </w:sectPr>
      </w:pPr>
      <w:bookmarkStart w:id="2" w:name="_heading=h.30j0zll" w:colFirst="0" w:colLast="0"/>
      <w:bookmarkEnd w:id="2"/>
      <w:r w:rsidRPr="00F8689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DE MARZO DEL DOS MIL VEINTITRÉS, ANTE EL SECRETARIO TÉCNICO DEL PLENO, ALEXIS TAPIA RAMÍREZ.</w:t>
      </w:r>
    </w:p>
    <w:p w14:paraId="147A29D7" w14:textId="77777777" w:rsidR="00E7339E" w:rsidRPr="00F86891" w:rsidRDefault="00E7339E">
      <w:pPr>
        <w:spacing w:before="240" w:after="240" w:line="360" w:lineRule="auto"/>
        <w:jc w:val="both"/>
        <w:rPr>
          <w:rFonts w:ascii="Palatino Linotype" w:eastAsia="Palatino Linotype" w:hAnsi="Palatino Linotype" w:cs="Palatino Linotype"/>
        </w:rPr>
      </w:pPr>
    </w:p>
    <w:sectPr w:rsidR="00E7339E" w:rsidRPr="00F86891">
      <w:headerReference w:type="first" r:id="rId21"/>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24997" w14:textId="77777777" w:rsidR="007C3E7C" w:rsidRDefault="007C3E7C">
      <w:r>
        <w:separator/>
      </w:r>
    </w:p>
  </w:endnote>
  <w:endnote w:type="continuationSeparator" w:id="0">
    <w:p w14:paraId="4FA57C70" w14:textId="77777777" w:rsidR="007C3E7C" w:rsidRDefault="007C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FBA2" w14:textId="77777777" w:rsidR="00E7339E" w:rsidRDefault="00743CC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86891">
      <w:rPr>
        <w:rFonts w:ascii="Arial" w:eastAsia="Arial" w:hAnsi="Arial" w:cs="Arial"/>
        <w:b/>
        <w:noProof/>
        <w:color w:val="000000"/>
        <w:sz w:val="20"/>
        <w:szCs w:val="20"/>
      </w:rPr>
      <w:t>17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86891">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02C06CFE" w14:textId="77777777" w:rsidR="00E7339E" w:rsidRDefault="00E7339E">
    <w:pPr>
      <w:pBdr>
        <w:top w:val="nil"/>
        <w:left w:val="nil"/>
        <w:bottom w:val="nil"/>
        <w:right w:val="nil"/>
        <w:between w:val="nil"/>
      </w:pBdr>
      <w:tabs>
        <w:tab w:val="center" w:pos="4252"/>
        <w:tab w:val="right" w:pos="8504"/>
      </w:tabs>
      <w:rPr>
        <w:color w:val="000000"/>
      </w:rPr>
    </w:pPr>
  </w:p>
  <w:p w14:paraId="2B21F88F" w14:textId="77777777" w:rsidR="00E7339E" w:rsidRDefault="00E7339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3FCB" w14:textId="77777777" w:rsidR="00E7339E" w:rsidRDefault="00743CC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8689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86891">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2B511F25" w14:textId="77777777" w:rsidR="00E7339E" w:rsidRDefault="00E7339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8BCB5" w14:textId="77777777" w:rsidR="007C3E7C" w:rsidRDefault="007C3E7C">
      <w:r>
        <w:separator/>
      </w:r>
    </w:p>
  </w:footnote>
  <w:footnote w:type="continuationSeparator" w:id="0">
    <w:p w14:paraId="6E3751C7" w14:textId="77777777" w:rsidR="007C3E7C" w:rsidRDefault="007C3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1D6A" w14:textId="77777777" w:rsidR="00E7339E" w:rsidRDefault="00743CCC">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1742B4D" wp14:editId="40AE194A">
          <wp:simplePos x="0" y="0"/>
          <wp:positionH relativeFrom="column">
            <wp:posOffset>-943607</wp:posOffset>
          </wp:positionH>
          <wp:positionV relativeFrom="paragraph">
            <wp:posOffset>-309877</wp:posOffset>
          </wp:positionV>
          <wp:extent cx="7635600" cy="9943200"/>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6240" w:type="dxa"/>
      <w:tblInd w:w="3746" w:type="dxa"/>
      <w:tblLayout w:type="fixed"/>
      <w:tblLook w:val="0400" w:firstRow="0" w:lastRow="0" w:firstColumn="0" w:lastColumn="0" w:noHBand="0" w:noVBand="1"/>
    </w:tblPr>
    <w:tblGrid>
      <w:gridCol w:w="2553"/>
      <w:gridCol w:w="3687"/>
    </w:tblGrid>
    <w:tr w:rsidR="00E7339E" w14:paraId="07509A0C" w14:textId="77777777">
      <w:tc>
        <w:tcPr>
          <w:tcW w:w="2553" w:type="dxa"/>
          <w:vAlign w:val="center"/>
        </w:tcPr>
        <w:p w14:paraId="1B323564"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036F48C" w14:textId="77777777" w:rsidR="00E7339E" w:rsidRDefault="00743CCC">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17444/INFOEM/IP/RR/2022</w:t>
          </w:r>
        </w:p>
      </w:tc>
    </w:tr>
    <w:tr w:rsidR="00E7339E" w14:paraId="743BD953" w14:textId="77777777">
      <w:trPr>
        <w:trHeight w:val="228"/>
      </w:trPr>
      <w:tc>
        <w:tcPr>
          <w:tcW w:w="2553" w:type="dxa"/>
          <w:vAlign w:val="center"/>
        </w:tcPr>
        <w:p w14:paraId="3A326326"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A1289C3" w14:textId="77777777" w:rsidR="00E7339E" w:rsidRDefault="00743CCC">
          <w:pPr>
            <w:tabs>
              <w:tab w:val="left" w:pos="1531"/>
            </w:tabs>
            <w:ind w:right="6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E7339E" w14:paraId="10D14676" w14:textId="77777777">
      <w:tc>
        <w:tcPr>
          <w:tcW w:w="2553" w:type="dxa"/>
          <w:vAlign w:val="center"/>
        </w:tcPr>
        <w:p w14:paraId="370D3D0A"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1EB7417" w14:textId="77777777" w:rsidR="00E7339E" w:rsidRDefault="00743CC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88E7DF" w14:textId="77777777" w:rsidR="00E7339E" w:rsidRDefault="00743CC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7C21" w14:textId="77777777" w:rsidR="00E7339E" w:rsidRDefault="00743CC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720D106F" wp14:editId="7A3C6962">
          <wp:simplePos x="0" y="0"/>
          <wp:positionH relativeFrom="column">
            <wp:posOffset>-973450</wp:posOffset>
          </wp:positionH>
          <wp:positionV relativeFrom="paragraph">
            <wp:posOffset>-354961</wp:posOffset>
          </wp:positionV>
          <wp:extent cx="7635600" cy="994320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8"/>
      <w:tblW w:w="6240" w:type="dxa"/>
      <w:tblInd w:w="3685" w:type="dxa"/>
      <w:tblLayout w:type="fixed"/>
      <w:tblLook w:val="0400" w:firstRow="0" w:lastRow="0" w:firstColumn="0" w:lastColumn="0" w:noHBand="0" w:noVBand="1"/>
    </w:tblPr>
    <w:tblGrid>
      <w:gridCol w:w="2553"/>
      <w:gridCol w:w="3687"/>
    </w:tblGrid>
    <w:tr w:rsidR="00E7339E" w14:paraId="2651E7FE" w14:textId="77777777">
      <w:tc>
        <w:tcPr>
          <w:tcW w:w="2553" w:type="dxa"/>
          <w:vAlign w:val="center"/>
        </w:tcPr>
        <w:p w14:paraId="4FB99F2E"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F1C9376"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17444/INFOEM/IP/RR/2022</w:t>
          </w:r>
        </w:p>
      </w:tc>
    </w:tr>
    <w:tr w:rsidR="00E7339E" w14:paraId="53870D40" w14:textId="77777777">
      <w:tc>
        <w:tcPr>
          <w:tcW w:w="2553" w:type="dxa"/>
          <w:vAlign w:val="center"/>
        </w:tcPr>
        <w:p w14:paraId="2F3DB1BF"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CD8C83F" w14:textId="707650A1" w:rsidR="00E7339E" w:rsidRDefault="00B26222">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w:t>
          </w:r>
        </w:p>
      </w:tc>
    </w:tr>
    <w:tr w:rsidR="00E7339E" w14:paraId="2A8C9AE8" w14:textId="77777777">
      <w:trPr>
        <w:trHeight w:val="228"/>
      </w:trPr>
      <w:tc>
        <w:tcPr>
          <w:tcW w:w="2553" w:type="dxa"/>
          <w:vAlign w:val="center"/>
        </w:tcPr>
        <w:p w14:paraId="7F142D88"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423C014" w14:textId="77777777" w:rsidR="00E7339E" w:rsidRDefault="00743CCC">
          <w:pPr>
            <w:ind w:right="73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E7339E" w14:paraId="46F1D612" w14:textId="77777777">
      <w:tc>
        <w:tcPr>
          <w:tcW w:w="2553" w:type="dxa"/>
          <w:vAlign w:val="center"/>
        </w:tcPr>
        <w:p w14:paraId="6F1F6F60" w14:textId="77777777" w:rsidR="00E7339E" w:rsidRDefault="00743C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4009F73" w14:textId="77777777" w:rsidR="00E7339E" w:rsidRDefault="00743CC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AE3B78" w14:textId="77777777" w:rsidR="00E7339E" w:rsidRDefault="00E7339E">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60A6D" w14:textId="77777777" w:rsidR="00E7339E" w:rsidRDefault="00743CC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728ABCFA" w14:textId="77777777" w:rsidR="00E7339E" w:rsidRDefault="00E7339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7338"/>
    <w:multiLevelType w:val="multilevel"/>
    <w:tmpl w:val="F7A4E54C"/>
    <w:lvl w:ilvl="0">
      <w:start w:val="1"/>
      <w:numFmt w:val="lowerLetter"/>
      <w:lvlText w:val="%1)"/>
      <w:lvlJc w:val="left"/>
      <w:pPr>
        <w:ind w:left="112" w:hanging="212"/>
      </w:pPr>
      <w:rPr>
        <w:rFonts w:ascii="Palatino Linotype" w:eastAsia="Palatino Linotype" w:hAnsi="Palatino Linotype" w:cs="Palatino Linotype"/>
        <w:b/>
        <w:sz w:val="20"/>
        <w:szCs w:val="20"/>
        <w:vertAlign w:val="baseline"/>
      </w:rPr>
    </w:lvl>
    <w:lvl w:ilvl="1">
      <w:start w:val="1"/>
      <w:numFmt w:val="bullet"/>
      <w:lvlText w:val="•"/>
      <w:lvlJc w:val="left"/>
      <w:pPr>
        <w:ind w:left="1128" w:hanging="212"/>
      </w:pPr>
    </w:lvl>
    <w:lvl w:ilvl="2">
      <w:start w:val="1"/>
      <w:numFmt w:val="bullet"/>
      <w:lvlText w:val="•"/>
      <w:lvlJc w:val="left"/>
      <w:pPr>
        <w:ind w:left="2136" w:hanging="212"/>
      </w:pPr>
    </w:lvl>
    <w:lvl w:ilvl="3">
      <w:start w:val="1"/>
      <w:numFmt w:val="bullet"/>
      <w:lvlText w:val="•"/>
      <w:lvlJc w:val="left"/>
      <w:pPr>
        <w:ind w:left="3144" w:hanging="212"/>
      </w:pPr>
    </w:lvl>
    <w:lvl w:ilvl="4">
      <w:start w:val="1"/>
      <w:numFmt w:val="bullet"/>
      <w:lvlText w:val="•"/>
      <w:lvlJc w:val="left"/>
      <w:pPr>
        <w:ind w:left="4152" w:hanging="212"/>
      </w:pPr>
    </w:lvl>
    <w:lvl w:ilvl="5">
      <w:start w:val="1"/>
      <w:numFmt w:val="bullet"/>
      <w:lvlText w:val="•"/>
      <w:lvlJc w:val="left"/>
      <w:pPr>
        <w:ind w:left="5161" w:hanging="212"/>
      </w:pPr>
    </w:lvl>
    <w:lvl w:ilvl="6">
      <w:start w:val="1"/>
      <w:numFmt w:val="bullet"/>
      <w:lvlText w:val="•"/>
      <w:lvlJc w:val="left"/>
      <w:pPr>
        <w:ind w:left="6169" w:hanging="212"/>
      </w:pPr>
    </w:lvl>
    <w:lvl w:ilvl="7">
      <w:start w:val="1"/>
      <w:numFmt w:val="bullet"/>
      <w:lvlText w:val="•"/>
      <w:lvlJc w:val="left"/>
      <w:pPr>
        <w:ind w:left="7177" w:hanging="212"/>
      </w:pPr>
    </w:lvl>
    <w:lvl w:ilvl="8">
      <w:start w:val="1"/>
      <w:numFmt w:val="bullet"/>
      <w:lvlText w:val="•"/>
      <w:lvlJc w:val="left"/>
      <w:pPr>
        <w:ind w:left="8185" w:hanging="212"/>
      </w:pPr>
    </w:lvl>
  </w:abstractNum>
  <w:abstractNum w:abstractNumId="1" w15:restartNumberingAfterBreak="0">
    <w:nsid w:val="10967070"/>
    <w:multiLevelType w:val="multilevel"/>
    <w:tmpl w:val="76B45C7A"/>
    <w:lvl w:ilvl="0">
      <w:start w:val="1"/>
      <w:numFmt w:val="upperRoman"/>
      <w:lvlText w:val="%1."/>
      <w:lvlJc w:val="left"/>
      <w:pPr>
        <w:ind w:left="264" w:hanging="152"/>
      </w:pPr>
      <w:rPr>
        <w:rFonts w:ascii="Palatino Linotype" w:eastAsia="Palatino Linotype" w:hAnsi="Palatino Linotype" w:cs="Palatino Linotype"/>
        <w:b/>
        <w:sz w:val="22"/>
        <w:szCs w:val="22"/>
        <w:vertAlign w:val="baseline"/>
      </w:rPr>
    </w:lvl>
    <w:lvl w:ilvl="1">
      <w:start w:val="1"/>
      <w:numFmt w:val="bullet"/>
      <w:lvlText w:val="•"/>
      <w:lvlJc w:val="left"/>
      <w:pPr>
        <w:ind w:left="1254" w:hanging="152"/>
      </w:pPr>
    </w:lvl>
    <w:lvl w:ilvl="2">
      <w:start w:val="1"/>
      <w:numFmt w:val="bullet"/>
      <w:lvlText w:val="•"/>
      <w:lvlJc w:val="left"/>
      <w:pPr>
        <w:ind w:left="2248" w:hanging="152"/>
      </w:pPr>
    </w:lvl>
    <w:lvl w:ilvl="3">
      <w:start w:val="1"/>
      <w:numFmt w:val="bullet"/>
      <w:lvlText w:val="•"/>
      <w:lvlJc w:val="left"/>
      <w:pPr>
        <w:ind w:left="3242" w:hanging="152"/>
      </w:pPr>
    </w:lvl>
    <w:lvl w:ilvl="4">
      <w:start w:val="1"/>
      <w:numFmt w:val="bullet"/>
      <w:lvlText w:val="•"/>
      <w:lvlJc w:val="left"/>
      <w:pPr>
        <w:ind w:left="4236" w:hanging="151"/>
      </w:pPr>
    </w:lvl>
    <w:lvl w:ilvl="5">
      <w:start w:val="1"/>
      <w:numFmt w:val="bullet"/>
      <w:lvlText w:val="•"/>
      <w:lvlJc w:val="left"/>
      <w:pPr>
        <w:ind w:left="5231" w:hanging="152"/>
      </w:pPr>
    </w:lvl>
    <w:lvl w:ilvl="6">
      <w:start w:val="1"/>
      <w:numFmt w:val="bullet"/>
      <w:lvlText w:val="•"/>
      <w:lvlJc w:val="left"/>
      <w:pPr>
        <w:ind w:left="6225" w:hanging="152"/>
      </w:pPr>
    </w:lvl>
    <w:lvl w:ilvl="7">
      <w:start w:val="1"/>
      <w:numFmt w:val="bullet"/>
      <w:lvlText w:val="•"/>
      <w:lvlJc w:val="left"/>
      <w:pPr>
        <w:ind w:left="7219" w:hanging="152"/>
      </w:pPr>
    </w:lvl>
    <w:lvl w:ilvl="8">
      <w:start w:val="1"/>
      <w:numFmt w:val="bullet"/>
      <w:lvlText w:val="•"/>
      <w:lvlJc w:val="left"/>
      <w:pPr>
        <w:ind w:left="8213" w:hanging="152"/>
      </w:pPr>
    </w:lvl>
  </w:abstractNum>
  <w:abstractNum w:abstractNumId="2" w15:restartNumberingAfterBreak="0">
    <w:nsid w:val="210F640F"/>
    <w:multiLevelType w:val="multilevel"/>
    <w:tmpl w:val="A02669E4"/>
    <w:lvl w:ilvl="0">
      <w:start w:val="1"/>
      <w:numFmt w:val="lowerLetter"/>
      <w:lvlText w:val="%1)"/>
      <w:lvlJc w:val="left"/>
      <w:pPr>
        <w:ind w:left="324" w:hanging="212"/>
      </w:pPr>
      <w:rPr>
        <w:rFonts w:ascii="Palatino Linotype" w:eastAsia="Palatino Linotype" w:hAnsi="Palatino Linotype" w:cs="Palatino Linotype"/>
        <w:b/>
        <w:sz w:val="20"/>
        <w:szCs w:val="20"/>
        <w:vertAlign w:val="baseline"/>
      </w:rPr>
    </w:lvl>
    <w:lvl w:ilvl="1">
      <w:start w:val="1"/>
      <w:numFmt w:val="bullet"/>
      <w:lvlText w:val="•"/>
      <w:lvlJc w:val="left"/>
      <w:pPr>
        <w:ind w:left="1308" w:hanging="212"/>
      </w:pPr>
    </w:lvl>
    <w:lvl w:ilvl="2">
      <w:start w:val="1"/>
      <w:numFmt w:val="bullet"/>
      <w:lvlText w:val="•"/>
      <w:lvlJc w:val="left"/>
      <w:pPr>
        <w:ind w:left="2296" w:hanging="212"/>
      </w:pPr>
    </w:lvl>
    <w:lvl w:ilvl="3">
      <w:start w:val="1"/>
      <w:numFmt w:val="bullet"/>
      <w:lvlText w:val="•"/>
      <w:lvlJc w:val="left"/>
      <w:pPr>
        <w:ind w:left="3284" w:hanging="212"/>
      </w:pPr>
    </w:lvl>
    <w:lvl w:ilvl="4">
      <w:start w:val="1"/>
      <w:numFmt w:val="bullet"/>
      <w:lvlText w:val="•"/>
      <w:lvlJc w:val="left"/>
      <w:pPr>
        <w:ind w:left="4272" w:hanging="212"/>
      </w:pPr>
    </w:lvl>
    <w:lvl w:ilvl="5">
      <w:start w:val="1"/>
      <w:numFmt w:val="bullet"/>
      <w:lvlText w:val="•"/>
      <w:lvlJc w:val="left"/>
      <w:pPr>
        <w:ind w:left="5261" w:hanging="212"/>
      </w:pPr>
    </w:lvl>
    <w:lvl w:ilvl="6">
      <w:start w:val="1"/>
      <w:numFmt w:val="bullet"/>
      <w:lvlText w:val="•"/>
      <w:lvlJc w:val="left"/>
      <w:pPr>
        <w:ind w:left="6249" w:hanging="212"/>
      </w:pPr>
    </w:lvl>
    <w:lvl w:ilvl="7">
      <w:start w:val="1"/>
      <w:numFmt w:val="bullet"/>
      <w:lvlText w:val="•"/>
      <w:lvlJc w:val="left"/>
      <w:pPr>
        <w:ind w:left="7237" w:hanging="212"/>
      </w:pPr>
    </w:lvl>
    <w:lvl w:ilvl="8">
      <w:start w:val="1"/>
      <w:numFmt w:val="bullet"/>
      <w:lvlText w:val="•"/>
      <w:lvlJc w:val="left"/>
      <w:pPr>
        <w:ind w:left="8225" w:hanging="212"/>
      </w:pPr>
    </w:lvl>
  </w:abstractNum>
  <w:abstractNum w:abstractNumId="3" w15:restartNumberingAfterBreak="0">
    <w:nsid w:val="529E3D58"/>
    <w:multiLevelType w:val="multilevel"/>
    <w:tmpl w:val="48EAD13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76E46A95"/>
    <w:multiLevelType w:val="multilevel"/>
    <w:tmpl w:val="4DD8AE8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7D4B57"/>
    <w:multiLevelType w:val="multilevel"/>
    <w:tmpl w:val="382E8F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39E"/>
    <w:rsid w:val="00402C08"/>
    <w:rsid w:val="00743CCC"/>
    <w:rsid w:val="007C3E7C"/>
    <w:rsid w:val="00B26222"/>
    <w:rsid w:val="00E7339E"/>
    <w:rsid w:val="00F868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58D27"/>
  <w15:docId w15:val="{F95FB1A4-B1BD-43BE-BF3C-572508210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072B47"/>
    <w:rPr>
      <w:color w:val="800080" w:themeColor="followedHyperlink"/>
      <w:u w:val="single"/>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upport.microsoft.com/es-es/windows/comprimir-y-descomprimir-archivos-f6dde0a7-0fec-8294-e1d3-703ed85e7eb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R/U3Jm32BeHyhR8+KJPfDrAqw==">AMUW2mXWdkzsVc3++UIDxqzXLWaK3ZMqRNCKsFy3kL2yrWTT3FSbTb2JUl6ro04gdUY8IWcRAsLdI+rDctOdxfGL6cotX4aKQ7AqhXvb7R36I9nyW1LohUlOnEx9jz9m3drydQqDB5026LxEU2Zgj9HVt7k+AHPuuA==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6708</Words>
  <Characters>36896</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dcterms:created xsi:type="dcterms:W3CDTF">2023-04-11T05:01:00Z</dcterms:created>
  <dcterms:modified xsi:type="dcterms:W3CDTF">2023-04-11T05:01:00Z</dcterms:modified>
</cp:coreProperties>
</file>