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DD5CE"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diecinueve de abril de dos mil veintitrés. </w:t>
      </w:r>
    </w:p>
    <w:p w14:paraId="36B02391" w14:textId="77777777" w:rsidR="00CA2EA9" w:rsidRDefault="00CA2EA9">
      <w:pPr>
        <w:spacing w:line="360" w:lineRule="auto"/>
        <w:jc w:val="both"/>
        <w:rPr>
          <w:rFonts w:ascii="Palatino Linotype" w:eastAsia="Palatino Linotype" w:hAnsi="Palatino Linotype" w:cs="Palatino Linotype"/>
        </w:rPr>
      </w:pPr>
    </w:p>
    <w:p w14:paraId="1E514273" w14:textId="31631D8A"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00239/INFOEM/IP/RR/2023</w:t>
      </w:r>
      <w:r>
        <w:rPr>
          <w:rFonts w:ascii="Palatino Linotype" w:eastAsia="Palatino Linotype" w:hAnsi="Palatino Linotype" w:cs="Palatino Linotype"/>
        </w:rPr>
        <w:t>, interpuesto por quien dijo ser</w:t>
      </w:r>
      <w:r>
        <w:rPr>
          <w:rFonts w:ascii="Palatino Linotype" w:eastAsia="Palatino Linotype" w:hAnsi="Palatino Linotype" w:cs="Palatino Linotype"/>
          <w:b/>
        </w:rPr>
        <w:t xml:space="preserve"> </w:t>
      </w:r>
      <w:r w:rsidR="0026482B">
        <w:rPr>
          <w:rFonts w:ascii="Palatino Linotype" w:eastAsia="Palatino Linotype" w:hAnsi="Palatino Linotype" w:cs="Palatino Linotype"/>
          <w:b/>
        </w:rPr>
        <w:t>XXXXXXXXX XXXXXXX XX</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 RECURRENTE,</w:t>
      </w:r>
      <w:r>
        <w:rPr>
          <w:rFonts w:ascii="Palatino Linotype" w:eastAsia="Palatino Linotype" w:hAnsi="Palatino Linotype" w:cs="Palatino Linotype"/>
        </w:rPr>
        <w:t xml:space="preserve"> en contra de la respuesta a la solicitud </w:t>
      </w:r>
      <w:r>
        <w:rPr>
          <w:rFonts w:ascii="Palatino Linotype" w:eastAsia="Palatino Linotype" w:hAnsi="Palatino Linotype" w:cs="Palatino Linotype"/>
          <w:b/>
        </w:rPr>
        <w:t xml:space="preserve">00982/NAUCALPA/IP/2022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Ayuntamiento de Naucalpan de Juárez, </w:t>
      </w:r>
      <w:r>
        <w:rPr>
          <w:rFonts w:ascii="Palatino Linotype" w:eastAsia="Palatino Linotype" w:hAnsi="Palatino Linotype" w:cs="Palatino Linotype"/>
        </w:rPr>
        <w:t xml:space="preserve">en lo sucesivo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se procede a dictar la presente resolución con base en los siguientes: </w:t>
      </w:r>
    </w:p>
    <w:p w14:paraId="2E6F0846" w14:textId="77777777" w:rsidR="00CA2EA9" w:rsidRDefault="00CA2EA9">
      <w:pPr>
        <w:spacing w:line="360" w:lineRule="auto"/>
        <w:jc w:val="both"/>
        <w:rPr>
          <w:rFonts w:ascii="Palatino Linotype" w:eastAsia="Palatino Linotype" w:hAnsi="Palatino Linotype" w:cs="Palatino Linotype"/>
        </w:rPr>
      </w:pPr>
    </w:p>
    <w:p w14:paraId="749D3EBE" w14:textId="77777777" w:rsidR="00CA2EA9" w:rsidRDefault="00F073C1">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4F7CECA5" w14:textId="77777777" w:rsidR="00CA2EA9" w:rsidRDefault="00CA2EA9">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068F45E5" w14:textId="77777777" w:rsidR="00CA2EA9" w:rsidRDefault="00F073C1">
      <w:pPr>
        <w:spacing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quince de noviembre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través del Sistema de Acceso a la Información Mexiquense o SAIMEX</w:t>
      </w:r>
      <w:r>
        <w:rPr>
          <w:rFonts w:ascii="Palatino Linotype" w:eastAsia="Palatino Linotype" w:hAnsi="Palatino Linotype" w:cs="Palatino Linotype"/>
          <w:b/>
        </w:rPr>
        <w:t>,</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w:t>
      </w:r>
      <w:r>
        <w:rPr>
          <w:rFonts w:ascii="Palatino Linotype" w:eastAsia="Palatino Linotype" w:hAnsi="Palatino Linotype" w:cs="Palatino Linotype"/>
          <w:b/>
        </w:rPr>
        <w:t xml:space="preserve"> 00982/NAUCALPA/IP/2022, </w:t>
      </w:r>
      <w:r>
        <w:rPr>
          <w:rFonts w:ascii="Palatino Linotype" w:eastAsia="Palatino Linotype" w:hAnsi="Palatino Linotype" w:cs="Palatino Linotype"/>
        </w:rPr>
        <w:t xml:space="preserve">mediante la cual requirió la información siguiente: </w:t>
      </w:r>
    </w:p>
    <w:p w14:paraId="41790E66"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C2A3F56"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r>
        <w:rPr>
          <w:rFonts w:ascii="Palatino Linotype" w:eastAsia="Palatino Linotype" w:hAnsi="Palatino Linotype" w:cs="Palatino Linotype"/>
          <w:i/>
          <w:color w:val="000000"/>
          <w:sz w:val="22"/>
          <w:szCs w:val="22"/>
        </w:rPr>
        <w:t>Copia del Convenio de Prestaciones de Ley y Colaterales 2022 firmado entre el SUTEYM Naucalpan y el Ayuntamiento de Naucalpan</w:t>
      </w:r>
      <w:r>
        <w:rPr>
          <w:rFonts w:ascii="Palatino Linotype" w:eastAsia="Palatino Linotype" w:hAnsi="Palatino Linotype" w:cs="Palatino Linotype"/>
          <w:i/>
          <w:color w:val="404040"/>
          <w:sz w:val="22"/>
          <w:szCs w:val="22"/>
        </w:rPr>
        <w:t>” (Sic)</w:t>
      </w:r>
    </w:p>
    <w:p w14:paraId="5BCCAFBD"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67EDC45"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5BD53182" w14:textId="77777777" w:rsidR="00CA2EA9" w:rsidRDefault="00CA2EA9">
      <w:pPr>
        <w:spacing w:line="360" w:lineRule="auto"/>
        <w:jc w:val="both"/>
        <w:rPr>
          <w:rFonts w:ascii="Palatino Linotype" w:eastAsia="Palatino Linotype" w:hAnsi="Palatino Linotype" w:cs="Palatino Linotype"/>
          <w:b/>
        </w:rPr>
      </w:pPr>
    </w:p>
    <w:p w14:paraId="1CD93E64"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siete de diciembre de dos mil veintidós, EL SUJETO OBLIGADO </w:t>
      </w:r>
      <w:r>
        <w:rPr>
          <w:rFonts w:ascii="Palatino Linotype" w:eastAsia="Palatino Linotype" w:hAnsi="Palatino Linotype" w:cs="Palatino Linotype"/>
        </w:rPr>
        <w:t xml:space="preserve">respondió a este requerimiento en los siguientes términos: </w:t>
      </w:r>
    </w:p>
    <w:p w14:paraId="553B46F6"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E1E33E4"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“Naucalpan de Juárez, México a 07 de </w:t>
      </w:r>
      <w:proofErr w:type="gramStart"/>
      <w:r>
        <w:rPr>
          <w:rFonts w:ascii="Palatino Linotype" w:eastAsia="Palatino Linotype" w:hAnsi="Palatino Linotype" w:cs="Palatino Linotype"/>
          <w:i/>
          <w:color w:val="404040"/>
          <w:sz w:val="22"/>
          <w:szCs w:val="22"/>
        </w:rPr>
        <w:t>Diciembre</w:t>
      </w:r>
      <w:proofErr w:type="gramEnd"/>
      <w:r>
        <w:rPr>
          <w:rFonts w:ascii="Palatino Linotype" w:eastAsia="Palatino Linotype" w:hAnsi="Palatino Linotype" w:cs="Palatino Linotype"/>
          <w:i/>
          <w:color w:val="404040"/>
          <w:sz w:val="22"/>
          <w:szCs w:val="22"/>
        </w:rPr>
        <w:t xml:space="preserve"> de 2022</w:t>
      </w:r>
    </w:p>
    <w:p w14:paraId="47B99A94"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Nombre del solicitante: C. Solicitante</w:t>
      </w:r>
    </w:p>
    <w:p w14:paraId="366BF70F"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Folio de la solicitud: 00982/NAUCALPA/IP/2022</w:t>
      </w:r>
    </w:p>
    <w:p w14:paraId="66F1C560"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2DE64A"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De conformidad con lo estipulado por el </w:t>
      </w:r>
      <w:proofErr w:type="spellStart"/>
      <w:r>
        <w:rPr>
          <w:rFonts w:ascii="Palatino Linotype" w:eastAsia="Palatino Linotype" w:hAnsi="Palatino Linotype" w:cs="Palatino Linotype"/>
          <w:i/>
          <w:color w:val="404040"/>
          <w:sz w:val="22"/>
          <w:szCs w:val="22"/>
        </w:rPr>
        <w:t>númeral</w:t>
      </w:r>
      <w:proofErr w:type="spellEnd"/>
      <w:r>
        <w:rPr>
          <w:rFonts w:ascii="Palatino Linotype" w:eastAsia="Palatino Linotype" w:hAnsi="Palatino Linotype" w:cs="Palatino Linotype"/>
          <w:i/>
          <w:color w:val="404040"/>
          <w:sz w:val="22"/>
          <w:szCs w:val="22"/>
        </w:rPr>
        <w:t xml:space="preserve"> 53, Fracciones: II, V y VI de la Ley de Transparencia y Acceso a la Información Pública del Estado de México y Municipios, le contestamos:</w:t>
      </w:r>
    </w:p>
    <w:p w14:paraId="4FE88CBC"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ATENTAMENTE</w:t>
      </w:r>
    </w:p>
    <w:p w14:paraId="276BD8B2"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MTRO. CARLOS MICHEL MOLINA HERRERA” (Sic) </w:t>
      </w:r>
    </w:p>
    <w:p w14:paraId="6F64FAAE"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FF1D322"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adjuntó el archivo </w:t>
      </w:r>
      <w:hyperlink r:id="rId8">
        <w:r>
          <w:rPr>
            <w:rFonts w:ascii="Palatino Linotype" w:eastAsia="Palatino Linotype" w:hAnsi="Palatino Linotype" w:cs="Palatino Linotype"/>
            <w:i/>
            <w:color w:val="000000"/>
          </w:rPr>
          <w:t xml:space="preserve">Respuesta </w:t>
        </w:r>
        <w:proofErr w:type="spellStart"/>
        <w:r>
          <w:rPr>
            <w:rFonts w:ascii="Palatino Linotype" w:eastAsia="Palatino Linotype" w:hAnsi="Palatino Linotype" w:cs="Palatino Linotype"/>
            <w:i/>
            <w:color w:val="000000"/>
          </w:rPr>
          <w:t>saimex</w:t>
        </w:r>
        <w:proofErr w:type="spellEnd"/>
        <w:r>
          <w:rPr>
            <w:rFonts w:ascii="Palatino Linotype" w:eastAsia="Palatino Linotype" w:hAnsi="Palatino Linotype" w:cs="Palatino Linotype"/>
            <w:i/>
            <w:color w:val="000000"/>
          </w:rPr>
          <w:t xml:space="preserve"> 982.pdf</w:t>
        </w:r>
      </w:hyperlink>
      <w:r>
        <w:rPr>
          <w:rFonts w:ascii="Palatino Linotype" w:eastAsia="Palatino Linotype" w:hAnsi="Palatino Linotype" w:cs="Palatino Linotype"/>
        </w:rPr>
        <w:t xml:space="preserve"> que contiene el oficio </w:t>
      </w:r>
      <w:r>
        <w:rPr>
          <w:rFonts w:ascii="Palatino Linotype" w:eastAsia="Palatino Linotype" w:hAnsi="Palatino Linotype" w:cs="Palatino Linotype"/>
          <w:i/>
        </w:rPr>
        <w:t>DGA/SRH/M/2032/2022</w:t>
      </w:r>
      <w:r>
        <w:rPr>
          <w:rFonts w:ascii="Palatino Linotype" w:eastAsia="Palatino Linotype" w:hAnsi="Palatino Linotype" w:cs="Palatino Linotype"/>
        </w:rPr>
        <w:t xml:space="preserve"> de fecha seis de diciembre de dos mil veintidós, suscrito por la Dirección General de Administración del Ayuntamiento de Naucalpan de Juárez en el cual hizo del conocimiento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que </w:t>
      </w:r>
      <w:r>
        <w:rPr>
          <w:rFonts w:ascii="Palatino Linotype" w:eastAsia="Palatino Linotype" w:hAnsi="Palatino Linotype" w:cs="Palatino Linotype"/>
          <w:i/>
        </w:rPr>
        <w:t xml:space="preserve">“… dicho convenio </w:t>
      </w:r>
      <w:r>
        <w:rPr>
          <w:rFonts w:ascii="Palatino Linotype" w:eastAsia="Palatino Linotype" w:hAnsi="Palatino Linotype" w:cs="Palatino Linotype"/>
          <w:b/>
          <w:i/>
          <w:u w:val="single"/>
        </w:rPr>
        <w:t>se encuentra en proceso de registro</w:t>
      </w:r>
      <w:r>
        <w:rPr>
          <w:rFonts w:ascii="Palatino Linotype" w:eastAsia="Palatino Linotype" w:hAnsi="Palatino Linotype" w:cs="Palatino Linotype"/>
          <w:i/>
        </w:rPr>
        <w:t xml:space="preserve"> ante el Tribunal Estatal de Conciliación y Arbitraje del Estado de México…” (Sic) </w:t>
      </w:r>
    </w:p>
    <w:p w14:paraId="4B3D84CF" w14:textId="77777777" w:rsidR="00CA2EA9" w:rsidRDefault="00CA2EA9">
      <w:pPr>
        <w:spacing w:line="360" w:lineRule="auto"/>
        <w:rPr>
          <w:rFonts w:ascii="Palatino Linotype" w:eastAsia="Palatino Linotype" w:hAnsi="Palatino Linotype" w:cs="Palatino Linotype"/>
        </w:rPr>
      </w:pPr>
    </w:p>
    <w:p w14:paraId="121CE1A7" w14:textId="77777777" w:rsidR="00CA2EA9" w:rsidRDefault="00F073C1">
      <w:pPr>
        <w:spacing w:line="360" w:lineRule="auto"/>
        <w:jc w:val="both"/>
        <w:rPr>
          <w:rFonts w:ascii="Palatino Linotype" w:eastAsia="Palatino Linotype" w:hAnsi="Palatino Linotype" w:cs="Palatino Linotype"/>
        </w:rPr>
      </w:pPr>
      <w:bookmarkStart w:id="1" w:name="_heading=h.2et92p0" w:colFirst="0" w:colLast="0"/>
      <w:bookmarkEnd w:id="1"/>
      <w:r>
        <w:rPr>
          <w:rFonts w:ascii="Palatino Linotype" w:eastAsia="Palatino Linotype" w:hAnsi="Palatino Linotype" w:cs="Palatino Linotype"/>
          <w:b/>
          <w:sz w:val="22"/>
          <w:szCs w:val="22"/>
        </w:rPr>
        <w:t>3.</w:t>
      </w:r>
      <w:r>
        <w:rPr>
          <w:rFonts w:ascii="Palatino Linotype" w:eastAsia="Palatino Linotype" w:hAnsi="Palatino Linotype" w:cs="Palatino Linotype"/>
          <w:b/>
        </w:rPr>
        <w:t xml:space="preserve"> Interposición del recurso de revisión. </w:t>
      </w:r>
      <w:r>
        <w:rPr>
          <w:rFonts w:ascii="Palatino Linotype" w:eastAsia="Palatino Linotype" w:hAnsi="Palatino Linotype" w:cs="Palatino Linotype"/>
        </w:rPr>
        <w:t xml:space="preserve">Inconforme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el día</w:t>
      </w:r>
      <w:r>
        <w:rPr>
          <w:rFonts w:ascii="Palatino Linotype" w:eastAsia="Palatino Linotype" w:hAnsi="Palatino Linotype" w:cs="Palatino Linotype"/>
          <w:b/>
        </w:rPr>
        <w:t xml:space="preserve"> trece de enero de dos mil veintitrés,</w:t>
      </w:r>
      <w:r>
        <w:rPr>
          <w:rFonts w:ascii="Palatino Linotype" w:eastAsia="Palatino Linotype" w:hAnsi="Palatino Linotype" w:cs="Palatino Linotype"/>
        </w:rPr>
        <w:t xml:space="preserve"> interpuso el recurso de revisión a través de SAIMEX,</w:t>
      </w:r>
      <w:r>
        <w:rPr>
          <w:rFonts w:ascii="Palatino Linotype" w:eastAsia="Palatino Linotype" w:hAnsi="Palatino Linotype" w:cs="Palatino Linotype"/>
          <w:b/>
        </w:rPr>
        <w:t xml:space="preserve"> </w:t>
      </w:r>
      <w:r>
        <w:rPr>
          <w:rFonts w:ascii="Palatino Linotype" w:eastAsia="Palatino Linotype" w:hAnsi="Palatino Linotype" w:cs="Palatino Linotype"/>
        </w:rPr>
        <w:t>en donde se manifestó de la siguiente manera:</w:t>
      </w:r>
    </w:p>
    <w:p w14:paraId="79097F15" w14:textId="77777777" w:rsidR="00CA2EA9" w:rsidRDefault="00CA2EA9">
      <w:pPr>
        <w:spacing w:line="360" w:lineRule="auto"/>
        <w:jc w:val="both"/>
        <w:rPr>
          <w:rFonts w:ascii="Palatino Linotype" w:eastAsia="Palatino Linotype" w:hAnsi="Palatino Linotype" w:cs="Palatino Linotype"/>
        </w:rPr>
      </w:pPr>
    </w:p>
    <w:p w14:paraId="7C5D4A67" w14:textId="77777777" w:rsidR="00CA2EA9" w:rsidRDefault="00F073C1">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21FC4256"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6589ACE4"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000000"/>
          <w:sz w:val="22"/>
          <w:szCs w:val="22"/>
        </w:rPr>
        <w:t>“En su respuesta el sujeto obligado no entrega la información solicitada.” (Sic)</w:t>
      </w:r>
    </w:p>
    <w:p w14:paraId="6DBA83E3"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27628C3C" w14:textId="77777777" w:rsidR="00CA2EA9" w:rsidRDefault="00F073C1">
      <w:pPr>
        <w:spacing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14:paraId="0AAA9B83"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E1CAF8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000000"/>
          <w:sz w:val="22"/>
          <w:szCs w:val="22"/>
        </w:rPr>
        <w:t>“En su respuesta el sujeto obligado no entrega la información solicitada.” (Sic)</w:t>
      </w:r>
    </w:p>
    <w:p w14:paraId="3D86BE10"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536347D" w14:textId="77777777" w:rsidR="00CA2EA9" w:rsidRDefault="00F073C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B88A6F5" w14:textId="77777777" w:rsidR="00CA2EA9" w:rsidRDefault="00CA2EA9">
      <w:pPr>
        <w:spacing w:line="360" w:lineRule="auto"/>
        <w:ind w:right="51"/>
        <w:jc w:val="both"/>
        <w:rPr>
          <w:rFonts w:ascii="Palatino Linotype" w:eastAsia="Palatino Linotype" w:hAnsi="Palatino Linotype" w:cs="Palatino Linotype"/>
        </w:rPr>
      </w:pPr>
    </w:p>
    <w:p w14:paraId="0479CF1D"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dieciocho de enero de dos mil veintitrés, </w:t>
      </w:r>
      <w:r>
        <w:rPr>
          <w:rFonts w:ascii="Palatino Linotype" w:eastAsia="Palatino Linotype" w:hAnsi="Palatino Linotype" w:cs="Palatino Linotype"/>
        </w:rPr>
        <w:t xml:space="preserve">este Instituto de Transparencia, admitió a trámite el recurso de revisión que ahora se resuelve, dando un plazo máximo de siete días hábiles para que las partes manifestaran lo que a su derecho resultara conveniente, ofrecieran pruebas, formularan alegatos y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presentara su Informe Justificado.</w:t>
      </w:r>
    </w:p>
    <w:p w14:paraId="500B314C" w14:textId="77777777" w:rsidR="00CA2EA9" w:rsidRDefault="00CA2EA9">
      <w:pPr>
        <w:spacing w:line="360" w:lineRule="auto"/>
        <w:jc w:val="both"/>
        <w:rPr>
          <w:rFonts w:ascii="Palatino Linotype" w:eastAsia="Palatino Linotype" w:hAnsi="Palatino Linotype" w:cs="Palatino Linotype"/>
          <w:b/>
        </w:rPr>
      </w:pPr>
    </w:p>
    <w:p w14:paraId="586F1F6D" w14:textId="77777777" w:rsidR="00CA2EA9" w:rsidRDefault="00F073C1">
      <w:pPr>
        <w:spacing w:line="360" w:lineRule="auto"/>
        <w:ind w:right="49"/>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integran el expediente electrónico en que se actúa, se advierte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hizo uso de su derecho procesal remitiendo sus manifestaciones a través del archivo </w:t>
      </w:r>
      <w:hyperlink r:id="rId9">
        <w:r>
          <w:rPr>
            <w:rFonts w:ascii="Palatino Linotype" w:eastAsia="Palatino Linotype" w:hAnsi="Palatino Linotype" w:cs="Palatino Linotype"/>
            <w:i/>
            <w:color w:val="000000"/>
          </w:rPr>
          <w:t>DGA-SRH-M-0174-2023.pdf</w:t>
        </w:r>
      </w:hyperlink>
      <w:r>
        <w:rPr>
          <w:rFonts w:ascii="Palatino Linotype" w:eastAsia="Palatino Linotype" w:hAnsi="Palatino Linotype" w:cs="Palatino Linotype"/>
          <w:i/>
        </w:rPr>
        <w:t>,</w:t>
      </w:r>
      <w:r>
        <w:rPr>
          <w:rFonts w:ascii="Palatino Linotype" w:eastAsia="Palatino Linotype" w:hAnsi="Palatino Linotype" w:cs="Palatino Linotype"/>
        </w:rPr>
        <w:t xml:space="preserve"> que contiene el oficio </w:t>
      </w:r>
      <w:r>
        <w:rPr>
          <w:rFonts w:ascii="Palatino Linotype" w:eastAsia="Palatino Linotype" w:hAnsi="Palatino Linotype" w:cs="Palatino Linotype"/>
          <w:i/>
        </w:rPr>
        <w:t>DGA/SRH/M/0174/202</w:t>
      </w:r>
      <w:r>
        <w:rPr>
          <w:rFonts w:ascii="Palatino Linotype" w:eastAsia="Palatino Linotype" w:hAnsi="Palatino Linotype" w:cs="Palatino Linotype"/>
        </w:rPr>
        <w:t xml:space="preserve">3 de fecha veintisiete de enero de dos mil veintitrés, signado por la Persona Encargada de Despacho de la Dirección General de Administración, y mediante el cual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otorgó respuesta al recurso de revisión </w:t>
      </w:r>
      <w:r>
        <w:rPr>
          <w:rFonts w:ascii="Palatino Linotype" w:eastAsia="Palatino Linotype" w:hAnsi="Palatino Linotype" w:cs="Palatino Linotype"/>
          <w:b/>
        </w:rPr>
        <w:t>00239/INFOEM/IP/RR/2023,</w:t>
      </w:r>
      <w:r>
        <w:rPr>
          <w:rFonts w:ascii="Palatino Linotype" w:eastAsia="Palatino Linotype" w:hAnsi="Palatino Linotype" w:cs="Palatino Linotype"/>
        </w:rPr>
        <w:t xml:space="preserve"> en términos </w:t>
      </w:r>
      <w:r>
        <w:rPr>
          <w:rFonts w:ascii="Palatino Linotype" w:eastAsia="Palatino Linotype" w:hAnsi="Palatino Linotype" w:cs="Palatino Linotype"/>
        </w:rPr>
        <w:lastRenderedPageBreak/>
        <w:t xml:space="preserve">sustanciales referentes a que </w:t>
      </w:r>
      <w:r>
        <w:rPr>
          <w:rFonts w:ascii="Palatino Linotype" w:eastAsia="Palatino Linotype" w:hAnsi="Palatino Linotype" w:cs="Palatino Linotype"/>
          <w:i/>
        </w:rPr>
        <w:t>“… Ratificamos todas y cada una de las partes señalas en el oficio con número DGA/SRH/M/2032/2022, entregado en la Unidad de Transparencia el pasado 09 de diciembre de 2022…” (Sic)</w:t>
      </w:r>
      <w:r>
        <w:rPr>
          <w:rFonts w:ascii="Palatino Linotype" w:eastAsia="Palatino Linotype" w:hAnsi="Palatino Linotype" w:cs="Palatino Linotype"/>
        </w:rPr>
        <w:t xml:space="preserve"> y adjunta como anexo el oficio </w:t>
      </w:r>
      <w:r>
        <w:rPr>
          <w:rFonts w:ascii="Palatino Linotype" w:eastAsia="Palatino Linotype" w:hAnsi="Palatino Linotype" w:cs="Palatino Linotype"/>
          <w:i/>
        </w:rPr>
        <w:t xml:space="preserve">DGA/SRH/M/2032/2022 </w:t>
      </w:r>
      <w:r>
        <w:rPr>
          <w:rFonts w:ascii="Palatino Linotype" w:eastAsia="Palatino Linotype" w:hAnsi="Palatino Linotype" w:cs="Palatino Linotype"/>
        </w:rPr>
        <w:t>que consta de dos fojas</w:t>
      </w:r>
      <w:r>
        <w:rPr>
          <w:rFonts w:ascii="Palatino Linotype" w:eastAsia="Palatino Linotype" w:hAnsi="Palatino Linotype" w:cs="Palatino Linotype"/>
          <w:i/>
        </w:rPr>
        <w:t xml:space="preserve">. </w:t>
      </w:r>
    </w:p>
    <w:p w14:paraId="3A158B3D" w14:textId="77777777" w:rsidR="00CA2EA9" w:rsidRDefault="00CA2EA9">
      <w:pPr>
        <w:spacing w:line="360" w:lineRule="auto"/>
        <w:ind w:right="49"/>
        <w:jc w:val="both"/>
        <w:rPr>
          <w:rFonts w:ascii="Palatino Linotype" w:eastAsia="Palatino Linotype" w:hAnsi="Palatino Linotype" w:cs="Palatino Linotype"/>
        </w:rPr>
      </w:pPr>
    </w:p>
    <w:p w14:paraId="678B798D" w14:textId="77777777" w:rsidR="00CA2EA9" w:rsidRDefault="00F073C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No pasa por inadvertido para esta Autoridad, señalar que el referido oficio </w:t>
      </w:r>
      <w:r>
        <w:rPr>
          <w:rFonts w:ascii="Palatino Linotype" w:eastAsia="Palatino Linotype" w:hAnsi="Palatino Linotype" w:cs="Palatino Linotype"/>
          <w:i/>
        </w:rPr>
        <w:t xml:space="preserve">DGA/SRH/M/2032/2022, </w:t>
      </w:r>
      <w:r>
        <w:rPr>
          <w:rFonts w:ascii="Palatino Linotype" w:eastAsia="Palatino Linotype" w:hAnsi="Palatino Linotype" w:cs="Palatino Linotype"/>
        </w:rPr>
        <w:t xml:space="preserve">que es anexo del Informe Justificado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diverso en sus términos al mismo que fue remitido como respuesta primigenia a la solicitud </w:t>
      </w:r>
      <w:r>
        <w:rPr>
          <w:rFonts w:ascii="Palatino Linotype" w:eastAsia="Palatino Linotype" w:hAnsi="Palatino Linotype" w:cs="Palatino Linotype"/>
          <w:b/>
        </w:rPr>
        <w:t xml:space="preserve">00982/NAUCALPA/IP/2022, </w:t>
      </w:r>
      <w:r>
        <w:rPr>
          <w:rFonts w:ascii="Palatino Linotype" w:eastAsia="Palatino Linotype" w:hAnsi="Palatino Linotype" w:cs="Palatino Linotype"/>
        </w:rPr>
        <w:t xml:space="preserve">pues estos comparten identidad en los números de oficio, en las fechas y en el firmante, pero no en el contenido. </w:t>
      </w:r>
    </w:p>
    <w:p w14:paraId="6CC3009E" w14:textId="77777777" w:rsidR="00CA2EA9" w:rsidRDefault="00CA2EA9">
      <w:pPr>
        <w:spacing w:line="360" w:lineRule="auto"/>
        <w:ind w:right="49"/>
        <w:jc w:val="both"/>
        <w:rPr>
          <w:rFonts w:ascii="Palatino Linotype" w:eastAsia="Palatino Linotype" w:hAnsi="Palatino Linotype" w:cs="Palatino Linotype"/>
        </w:rPr>
      </w:pPr>
    </w:p>
    <w:p w14:paraId="0FFBAAE8" w14:textId="77777777" w:rsidR="00CA2EA9" w:rsidRDefault="00F073C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El referido anexo sirvió al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para modificar su respuesta y señalar que con fundamento en los artículos 62, 70 y 79 de la Ley General de Transparencia y Acceso a la Información Pública </w:t>
      </w:r>
      <w:r>
        <w:rPr>
          <w:rFonts w:ascii="Palatino Linotype" w:eastAsia="Palatino Linotype" w:hAnsi="Palatino Linotype" w:cs="Palatino Linotype"/>
          <w:i/>
        </w:rPr>
        <w:t xml:space="preserve">“… se informa que el Convenio Sindical 2022, firmados entre el Sindicato Único de Trabajadores de los Poderes, Municipios e Instituciones Descentralizadas del Estado de México (SUTEYM) y el Ayuntamiento Municipal de Naucalpan de Juárez, será dado a conocer de acuerdo con los plazos y lugares que la ley establece…” (Sic) </w:t>
      </w:r>
    </w:p>
    <w:p w14:paraId="44D84359" w14:textId="77777777" w:rsidR="00CA2EA9" w:rsidRDefault="00CA2EA9">
      <w:pPr>
        <w:spacing w:line="360" w:lineRule="auto"/>
        <w:ind w:right="49"/>
        <w:jc w:val="both"/>
        <w:rPr>
          <w:rFonts w:ascii="Palatino Linotype" w:eastAsia="Palatino Linotype" w:hAnsi="Palatino Linotype" w:cs="Palatino Linotype"/>
        </w:rPr>
      </w:pPr>
    </w:p>
    <w:p w14:paraId="379C8898" w14:textId="77777777" w:rsidR="00CA2EA9" w:rsidRDefault="00F073C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Dicho Informe Justificado fue hecho del conocimiento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el pasado </w:t>
      </w:r>
      <w:r>
        <w:rPr>
          <w:rFonts w:ascii="Palatino Linotype" w:eastAsia="Palatino Linotype" w:hAnsi="Palatino Linotype" w:cs="Palatino Linotype"/>
          <w:b/>
        </w:rPr>
        <w:t>once de abril de dos mil veintitrés,</w:t>
      </w:r>
      <w:r>
        <w:rPr>
          <w:rFonts w:ascii="Palatino Linotype" w:eastAsia="Palatino Linotype" w:hAnsi="Palatino Linotype" w:cs="Palatino Linotype"/>
        </w:rPr>
        <w:t xml:space="preserve"> para que en un plazo de tres días hábiles se manifestara por las cuestiones novedosas invocadas por </w:t>
      </w:r>
      <w:r>
        <w:rPr>
          <w:rFonts w:ascii="Palatino Linotype" w:eastAsia="Palatino Linotype" w:hAnsi="Palatino Linotype" w:cs="Palatino Linotype"/>
          <w:b/>
        </w:rPr>
        <w:t xml:space="preserve">EL </w:t>
      </w:r>
      <w:r>
        <w:rPr>
          <w:rFonts w:ascii="Palatino Linotype" w:eastAsia="Palatino Linotype" w:hAnsi="Palatino Linotype" w:cs="Palatino Linotype"/>
          <w:b/>
        </w:rPr>
        <w:lastRenderedPageBreak/>
        <w:t xml:space="preserve">SUJETO OBLIGADO, </w:t>
      </w:r>
      <w:r>
        <w:rPr>
          <w:rFonts w:ascii="Palatino Linotype" w:eastAsia="Palatino Linotype" w:hAnsi="Palatino Linotype" w:cs="Palatino Linotype"/>
        </w:rPr>
        <w:t xml:space="preserve">sin embargo, quien se duele de la información entregada decidió no pronunciarse, tal como se muestra en la imagen que sigue: </w:t>
      </w:r>
    </w:p>
    <w:p w14:paraId="0B311234" w14:textId="77777777" w:rsidR="00CA2EA9" w:rsidRDefault="00CA2EA9">
      <w:pPr>
        <w:spacing w:line="360" w:lineRule="auto"/>
        <w:ind w:right="49"/>
        <w:jc w:val="both"/>
      </w:pPr>
    </w:p>
    <w:p w14:paraId="74940657" w14:textId="77777777" w:rsidR="00CA2EA9" w:rsidRDefault="00F073C1">
      <w:pPr>
        <w:spacing w:line="360" w:lineRule="auto"/>
        <w:ind w:right="49"/>
        <w:jc w:val="center"/>
        <w:rPr>
          <w:rFonts w:ascii="Palatino Linotype" w:eastAsia="Palatino Linotype" w:hAnsi="Palatino Linotype" w:cs="Palatino Linotype"/>
        </w:rPr>
      </w:pPr>
      <w:r>
        <w:rPr>
          <w:noProof/>
        </w:rPr>
        <w:drawing>
          <wp:inline distT="0" distB="0" distL="0" distR="0" wp14:anchorId="7D7F4210" wp14:editId="16165168">
            <wp:extent cx="5740557" cy="2429116"/>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2295" t="12025" r="6693" b="27030"/>
                    <a:stretch>
                      <a:fillRect/>
                    </a:stretch>
                  </pic:blipFill>
                  <pic:spPr>
                    <a:xfrm>
                      <a:off x="0" y="0"/>
                      <a:ext cx="5740557" cy="2429116"/>
                    </a:xfrm>
                    <a:prstGeom prst="rect">
                      <a:avLst/>
                    </a:prstGeom>
                    <a:ln/>
                  </pic:spPr>
                </pic:pic>
              </a:graphicData>
            </a:graphic>
          </wp:inline>
        </w:drawing>
      </w:r>
    </w:p>
    <w:p w14:paraId="6DC4334F" w14:textId="77777777" w:rsidR="00CA2EA9" w:rsidRDefault="00CA2EA9">
      <w:pPr>
        <w:spacing w:line="360" w:lineRule="auto"/>
        <w:ind w:right="49"/>
        <w:jc w:val="both"/>
        <w:rPr>
          <w:rFonts w:ascii="Palatino Linotype" w:eastAsia="Palatino Linotype" w:hAnsi="Palatino Linotype" w:cs="Palatino Linotype"/>
        </w:rPr>
      </w:pPr>
    </w:p>
    <w:p w14:paraId="1AF159B5" w14:textId="77777777" w:rsidR="00CA2EA9" w:rsidRDefault="00F073C1">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El pasado </w:t>
      </w:r>
      <w:r>
        <w:rPr>
          <w:rFonts w:ascii="Palatino Linotype" w:eastAsia="Palatino Linotype" w:hAnsi="Palatino Linotype" w:cs="Palatino Linotype"/>
          <w:b/>
        </w:rPr>
        <w:t>doce de abril de dos mil veintitrés,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380B3FE8" w14:textId="77777777" w:rsidR="00CA2EA9" w:rsidRDefault="00CA2EA9">
      <w:pPr>
        <w:widowControl w:val="0"/>
        <w:spacing w:line="360" w:lineRule="auto"/>
        <w:jc w:val="both"/>
        <w:rPr>
          <w:rFonts w:ascii="Palatino Linotype" w:eastAsia="Palatino Linotype" w:hAnsi="Palatino Linotype" w:cs="Palatino Linotype"/>
        </w:rPr>
      </w:pPr>
    </w:p>
    <w:p w14:paraId="229F883E" w14:textId="77777777" w:rsidR="00CA2EA9" w:rsidRDefault="00F073C1">
      <w:pPr>
        <w:spacing w:line="360" w:lineRule="auto"/>
        <w:jc w:val="both"/>
        <w:rPr>
          <w:rFonts w:ascii="Palatino Linotype" w:eastAsia="Palatino Linotype" w:hAnsi="Palatino Linotype" w:cs="Palatino Linotype"/>
        </w:rPr>
      </w:pPr>
      <w:bookmarkStart w:id="4" w:name="_heading=h.3znysh7" w:colFirst="0" w:colLast="0"/>
      <w:bookmarkEnd w:id="4"/>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5D3A67A5"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4A71CD4" w14:textId="77777777" w:rsidR="00CA2EA9" w:rsidRDefault="00CA2EA9">
      <w:pPr>
        <w:spacing w:line="360" w:lineRule="auto"/>
        <w:jc w:val="both"/>
        <w:rPr>
          <w:rFonts w:ascii="Palatino Linotype" w:eastAsia="Palatino Linotype" w:hAnsi="Palatino Linotype" w:cs="Palatino Linotype"/>
        </w:rPr>
      </w:pPr>
    </w:p>
    <w:p w14:paraId="3A09BC78"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2901E10" w14:textId="77777777" w:rsidR="00CA2EA9" w:rsidRDefault="00CA2EA9">
      <w:pPr>
        <w:spacing w:line="360" w:lineRule="auto"/>
        <w:jc w:val="both"/>
        <w:rPr>
          <w:rFonts w:ascii="Palatino Linotype" w:eastAsia="Palatino Linotype" w:hAnsi="Palatino Linotype" w:cs="Palatino Linotype"/>
        </w:rPr>
      </w:pPr>
    </w:p>
    <w:p w14:paraId="0DDE16D2"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1E22F3" w14:textId="77777777" w:rsidR="00CA2EA9" w:rsidRDefault="00CA2EA9">
      <w:pPr>
        <w:spacing w:line="360" w:lineRule="auto"/>
        <w:jc w:val="both"/>
        <w:rPr>
          <w:rFonts w:ascii="Palatino Linotype" w:eastAsia="Palatino Linotype" w:hAnsi="Palatino Linotype" w:cs="Palatino Linotype"/>
        </w:rPr>
      </w:pPr>
    </w:p>
    <w:p w14:paraId="4B2F81A5"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88D67B6" w14:textId="77777777" w:rsidR="00CA2EA9" w:rsidRDefault="00CA2EA9">
      <w:pPr>
        <w:spacing w:line="360" w:lineRule="auto"/>
        <w:jc w:val="both"/>
        <w:rPr>
          <w:rFonts w:ascii="Palatino Linotype" w:eastAsia="Palatino Linotype" w:hAnsi="Palatino Linotype" w:cs="Palatino Linotype"/>
          <w:strike/>
          <w:color w:val="FF0000"/>
        </w:rPr>
      </w:pPr>
    </w:p>
    <w:p w14:paraId="63D0A9FA" w14:textId="77777777" w:rsidR="00CA2EA9" w:rsidRDefault="00F073C1">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Complejidad del Asunto: </w:t>
      </w:r>
      <w:r>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5715B535" w14:textId="77777777" w:rsidR="00CA2EA9" w:rsidRDefault="00F073C1">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Actividad Procesal del interesado:</w:t>
      </w:r>
      <w:r>
        <w:rPr>
          <w:rFonts w:ascii="Palatino Linotype" w:eastAsia="Palatino Linotype" w:hAnsi="Palatino Linotype" w:cs="Palatino Linotype"/>
        </w:rPr>
        <w:t xml:space="preserve"> Acciones u omisiones del interesado.</w:t>
      </w:r>
    </w:p>
    <w:p w14:paraId="76D5A6D7" w14:textId="77777777" w:rsidR="00CA2EA9" w:rsidRDefault="00F073C1">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7D6E7838" w14:textId="77777777" w:rsidR="00CA2EA9" w:rsidRDefault="00F073C1">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14:paraId="1206EEC3" w14:textId="77777777" w:rsidR="00CA2EA9" w:rsidRDefault="00CA2EA9">
      <w:pPr>
        <w:spacing w:line="360" w:lineRule="auto"/>
        <w:ind w:left="567"/>
        <w:jc w:val="both"/>
        <w:rPr>
          <w:rFonts w:ascii="Palatino Linotype" w:eastAsia="Palatino Linotype" w:hAnsi="Palatino Linotype" w:cs="Palatino Linotype"/>
        </w:rPr>
      </w:pPr>
    </w:p>
    <w:p w14:paraId="2F027067"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9EF6CA" w14:textId="77777777" w:rsidR="00CA2EA9" w:rsidRDefault="00CA2EA9">
      <w:pPr>
        <w:spacing w:line="360" w:lineRule="auto"/>
        <w:jc w:val="both"/>
        <w:rPr>
          <w:rFonts w:ascii="Palatino Linotype" w:eastAsia="Palatino Linotype" w:hAnsi="Palatino Linotype" w:cs="Palatino Linotype"/>
        </w:rPr>
      </w:pPr>
    </w:p>
    <w:p w14:paraId="6C6E4EEA"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b/>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b/>
        </w:rPr>
        <w:t>,</w:t>
      </w:r>
      <w:r>
        <w:rPr>
          <w:rFonts w:ascii="Palatino Linotype" w:eastAsia="Palatino Linotype" w:hAnsi="Palatino Linotype" w:cs="Palatino Linotype"/>
        </w:rPr>
        <w:t xml:space="preserve"> visible en la Gaceta del Seminario Judicial de la Federación con el registro digital 205635.</w:t>
      </w:r>
    </w:p>
    <w:p w14:paraId="5ED6554D" w14:textId="77777777" w:rsidR="00CA2EA9" w:rsidRDefault="00CA2EA9">
      <w:pPr>
        <w:spacing w:line="360" w:lineRule="auto"/>
        <w:jc w:val="both"/>
        <w:rPr>
          <w:rFonts w:ascii="Palatino Linotype" w:eastAsia="Palatino Linotype" w:hAnsi="Palatino Linotype" w:cs="Palatino Linotype"/>
          <w:b/>
        </w:rPr>
      </w:pPr>
    </w:p>
    <w:p w14:paraId="5F935332"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1EB9868" w14:textId="77777777" w:rsidR="00CA2EA9" w:rsidRDefault="00CA2EA9">
      <w:pPr>
        <w:spacing w:line="360" w:lineRule="auto"/>
        <w:jc w:val="both"/>
        <w:rPr>
          <w:rFonts w:ascii="Palatino Linotype" w:eastAsia="Palatino Linotype" w:hAnsi="Palatino Linotype" w:cs="Palatino Linotype"/>
        </w:rPr>
      </w:pPr>
    </w:p>
    <w:p w14:paraId="36428F32"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27C3A98" w14:textId="77777777" w:rsidR="00CA2EA9" w:rsidRDefault="00CA2EA9">
      <w:pPr>
        <w:spacing w:line="360" w:lineRule="auto"/>
        <w:jc w:val="both"/>
        <w:rPr>
          <w:rFonts w:ascii="Palatino Linotype" w:eastAsia="Palatino Linotype" w:hAnsi="Palatino Linotype" w:cs="Palatino Linotype"/>
        </w:rPr>
      </w:pPr>
    </w:p>
    <w:p w14:paraId="62E0B35B"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614D979A" w14:textId="77777777" w:rsidR="00CA2EA9" w:rsidRDefault="00CA2EA9">
      <w:pPr>
        <w:spacing w:line="360" w:lineRule="auto"/>
        <w:jc w:val="both"/>
        <w:rPr>
          <w:rFonts w:ascii="Palatino Linotype" w:eastAsia="Palatino Linotype" w:hAnsi="Palatino Linotype" w:cs="Palatino Linotype"/>
        </w:rPr>
      </w:pPr>
    </w:p>
    <w:p w14:paraId="78BDDE36"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“PLAZO RAZONABLE PARA RESOLVER. CONCEPTO Y ELEMENTOS QUE LO INTEGRAN A LA LUZ DEL DERECHO INTERNACIONAL DE LOS DERECHOS HUMANOS.”</w:t>
      </w:r>
      <w:r>
        <w:rPr>
          <w:rFonts w:ascii="Palatino Linotype" w:eastAsia="Palatino Linotype" w:hAnsi="Palatino Linotype" w:cs="Palatino Linotype"/>
          <w:b/>
        </w:rPr>
        <w:t>,</w:t>
      </w:r>
      <w:r>
        <w:rPr>
          <w:rFonts w:ascii="Palatino Linotype" w:eastAsia="Palatino Linotype" w:hAnsi="Palatino Linotype" w:cs="Palatino Linotype"/>
        </w:rPr>
        <w:t xml:space="preserve"> visible en el Seminario Judicial de la Federación y su gaceta, con el registro digital 2002350.</w:t>
      </w:r>
    </w:p>
    <w:p w14:paraId="2702B3B5" w14:textId="77777777" w:rsidR="00CA2EA9" w:rsidRDefault="00CA2EA9">
      <w:pPr>
        <w:spacing w:line="360" w:lineRule="auto"/>
        <w:jc w:val="both"/>
        <w:rPr>
          <w:rFonts w:ascii="Palatino Linotype" w:eastAsia="Palatino Linotype" w:hAnsi="Palatino Linotype" w:cs="Palatino Linotype"/>
        </w:rPr>
      </w:pPr>
    </w:p>
    <w:p w14:paraId="2DB4E46C"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0FABC985" w14:textId="77777777" w:rsidR="00CA2EA9" w:rsidRDefault="00CA2EA9">
      <w:pPr>
        <w:spacing w:line="360" w:lineRule="auto"/>
        <w:jc w:val="both"/>
        <w:rPr>
          <w:rFonts w:ascii="Palatino Linotype" w:eastAsia="Palatino Linotype" w:hAnsi="Palatino Linotype" w:cs="Palatino Linotype"/>
          <w:b/>
        </w:rPr>
      </w:pPr>
    </w:p>
    <w:p w14:paraId="4C5EB554"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diecisiete de abril de dos mil veintitrés</w:t>
      </w:r>
      <w:r>
        <w:rPr>
          <w:rFonts w:ascii="Palatino Linotype" w:eastAsia="Palatino Linotype" w:hAnsi="Palatino Linotype" w:cs="Palatino Linotype"/>
        </w:rPr>
        <w:t xml:space="preserve">, la </w:t>
      </w:r>
      <w:r>
        <w:rPr>
          <w:rFonts w:ascii="Palatino Linotype" w:eastAsia="Palatino Linotype" w:hAnsi="Palatino Linotype" w:cs="Palatino Linotype"/>
          <w:b/>
        </w:rPr>
        <w:t>Comisionada Ponente</w:t>
      </w:r>
      <w:r>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685F3254" w14:textId="77777777" w:rsidR="00CA2EA9" w:rsidRDefault="00CA2EA9">
      <w:pPr>
        <w:spacing w:line="360" w:lineRule="auto"/>
        <w:jc w:val="both"/>
        <w:rPr>
          <w:rFonts w:ascii="Palatino Linotype" w:eastAsia="Palatino Linotype" w:hAnsi="Palatino Linotype" w:cs="Palatino Linotype"/>
          <w:b/>
        </w:rPr>
      </w:pPr>
    </w:p>
    <w:p w14:paraId="271AA00D"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437ADCE7" w14:textId="77777777" w:rsidR="00CA2EA9" w:rsidRDefault="00CA2EA9">
      <w:pPr>
        <w:spacing w:line="360" w:lineRule="auto"/>
        <w:jc w:val="both"/>
        <w:rPr>
          <w:rFonts w:ascii="Palatino Linotype" w:eastAsia="Palatino Linotype" w:hAnsi="Palatino Linotype" w:cs="Palatino Linotype"/>
          <w:sz w:val="22"/>
          <w:szCs w:val="22"/>
        </w:rPr>
      </w:pPr>
    </w:p>
    <w:p w14:paraId="5B795D03" w14:textId="77777777" w:rsidR="00CA2EA9" w:rsidRDefault="00F073C1">
      <w:pPr>
        <w:widowControl w:val="0"/>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C O N S I D E R A N D O </w:t>
      </w:r>
    </w:p>
    <w:p w14:paraId="59F226C9" w14:textId="77777777" w:rsidR="00CA2EA9" w:rsidRDefault="00CA2EA9">
      <w:pPr>
        <w:widowControl w:val="0"/>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39C6E009"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w:t>
      </w:r>
      <w:r>
        <w:rPr>
          <w:rFonts w:ascii="Palatino Linotype" w:eastAsia="Palatino Linotype" w:hAnsi="Palatino Linotype" w:cs="Palatino Linotype"/>
        </w:rPr>
        <w:lastRenderedPageBreak/>
        <w:t>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D8D8C25" w14:textId="77777777" w:rsidR="00CA2EA9" w:rsidRDefault="00CA2EA9">
      <w:pPr>
        <w:spacing w:line="360" w:lineRule="auto"/>
        <w:jc w:val="both"/>
        <w:rPr>
          <w:rFonts w:ascii="Palatino Linotype" w:eastAsia="Palatino Linotype" w:hAnsi="Palatino Linotype" w:cs="Palatino Linotype"/>
          <w:b/>
        </w:rPr>
      </w:pPr>
    </w:p>
    <w:p w14:paraId="5A4616DF"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DE84207" w14:textId="77777777" w:rsidR="00CA2EA9" w:rsidRDefault="00CA2EA9">
      <w:pPr>
        <w:spacing w:line="360" w:lineRule="auto"/>
        <w:jc w:val="both"/>
        <w:rPr>
          <w:rFonts w:ascii="Palatino Linotype" w:eastAsia="Palatino Linotype" w:hAnsi="Palatino Linotype" w:cs="Palatino Linotype"/>
        </w:rPr>
      </w:pPr>
    </w:p>
    <w:p w14:paraId="6239D84A"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siete de diciembre de dos mil veintidós,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trece de enero de dos mil veintitrés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quinto y último día hábil</w:t>
      </w:r>
      <w:r>
        <w:rPr>
          <w:rFonts w:ascii="Palatino Linotype" w:eastAsia="Palatino Linotype" w:hAnsi="Palatino Linotype" w:cs="Palatino Linotype"/>
        </w:rPr>
        <w:t xml:space="preserve"> en que tuvo conocimiento de la respuesta. </w:t>
      </w:r>
    </w:p>
    <w:p w14:paraId="602B6F3D" w14:textId="77777777" w:rsidR="00CA2EA9" w:rsidRDefault="00CA2EA9">
      <w:pPr>
        <w:spacing w:line="360" w:lineRule="auto"/>
        <w:jc w:val="both"/>
        <w:rPr>
          <w:rFonts w:ascii="Palatino Linotype" w:eastAsia="Palatino Linotype" w:hAnsi="Palatino Linotype" w:cs="Palatino Linotype"/>
        </w:rPr>
      </w:pPr>
    </w:p>
    <w:p w14:paraId="7D5767A0"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Asimismo, por cuanto hace a la procedibilidad del recurso de revisión, es de suma importancia señalar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una vez realizado el análisis de los formatos de interposición del recurso, se concluye la acreditación plena de los elementos formales precisados por el artículo 180 de la Ley de Transparencia y Acceso a la </w:t>
      </w:r>
      <w:r>
        <w:rPr>
          <w:rFonts w:ascii="Palatino Linotype" w:eastAsia="Palatino Linotype" w:hAnsi="Palatino Linotype" w:cs="Palatino Linotype"/>
        </w:rPr>
        <w:lastRenderedPageBreak/>
        <w:t>Información Pública del Estado de México y Municipios, en atención a que fue presentado mediante el formato visible en el SAIMEX.</w:t>
      </w:r>
    </w:p>
    <w:p w14:paraId="1D2F579E" w14:textId="77777777" w:rsidR="00CA2EA9" w:rsidRDefault="00CA2EA9">
      <w:pPr>
        <w:spacing w:line="360" w:lineRule="auto"/>
        <w:jc w:val="both"/>
        <w:rPr>
          <w:rFonts w:ascii="Palatino Linotype" w:eastAsia="Palatino Linotype" w:hAnsi="Palatino Linotype" w:cs="Palatino Linotype"/>
        </w:rPr>
      </w:pPr>
    </w:p>
    <w:p w14:paraId="3C4110DB"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en sus motivos de inconformidad, de acuerdo a la fracción I del artículo 179 del ordenamiento legal citado, que a la letra dice: </w:t>
      </w:r>
    </w:p>
    <w:p w14:paraId="27306DD6"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7F28123"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Artículo 179.</w:t>
      </w:r>
      <w:r>
        <w:rPr>
          <w:rFonts w:ascii="Palatino Linotype" w:eastAsia="Palatino Linotype" w:hAnsi="Palatino Linotype" w:cs="Palatino Linotype"/>
          <w:i/>
          <w:color w:val="404040"/>
          <w:sz w:val="22"/>
          <w:szCs w:val="22"/>
        </w:rPr>
        <w:t xml:space="preserve"> El recurso de revisión es un medio de protección que la Ley otorga a los particulares, para hacer valer su derecho de acceso a la información pública, y procederá en contra de las siguientes causas:</w:t>
      </w:r>
    </w:p>
    <w:p w14:paraId="7D50DFBF"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b/>
          <w:i/>
          <w:color w:val="404040"/>
          <w:sz w:val="22"/>
          <w:szCs w:val="22"/>
        </w:rPr>
        <w:t>I. La negativa a la información solicitada;</w:t>
      </w:r>
    </w:p>
    <w:p w14:paraId="22A49FE5"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b/>
          <w:i/>
          <w:color w:val="404040"/>
          <w:sz w:val="22"/>
          <w:szCs w:val="22"/>
        </w:rPr>
        <w:t>(…)</w:t>
      </w:r>
    </w:p>
    <w:p w14:paraId="2096D143" w14:textId="77777777" w:rsidR="00CA2EA9" w:rsidRDefault="00CA2EA9">
      <w:pPr>
        <w:rPr>
          <w:color w:val="FF0000"/>
        </w:rPr>
      </w:pPr>
    </w:p>
    <w:p w14:paraId="54E6AC3D"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o en su defecto, en caso de ser procedente, ordenar la entrega de información oportuna.</w:t>
      </w:r>
    </w:p>
    <w:p w14:paraId="306A8324" w14:textId="77777777" w:rsidR="00CA2EA9" w:rsidRDefault="00CA2EA9">
      <w:pPr>
        <w:spacing w:line="360" w:lineRule="auto"/>
        <w:jc w:val="both"/>
        <w:rPr>
          <w:rFonts w:ascii="Palatino Linotype" w:eastAsia="Palatino Linotype" w:hAnsi="Palatino Linotype" w:cs="Palatino Linotype"/>
        </w:rPr>
      </w:pPr>
    </w:p>
    <w:p w14:paraId="0135D3E6"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CUARTO. ESTUDIO DEL ASUNTO. </w:t>
      </w:r>
      <w:r>
        <w:rPr>
          <w:rFonts w:ascii="Palatino Linotype" w:eastAsia="Palatino Linotype" w:hAnsi="Palatino Linotype" w:cs="Palatino Linotype"/>
          <w:color w:val="000000"/>
        </w:rPr>
        <w:t xml:space="preserve">Antes de entrar al análisis de los pronunciamientos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w:t>
      </w:r>
      <w:r>
        <w:rPr>
          <w:rFonts w:ascii="Palatino Linotype" w:eastAsia="Palatino Linotype" w:hAnsi="Palatino Linotype" w:cs="Palatino Linotype"/>
          <w:color w:val="000000"/>
        </w:rPr>
        <w:lastRenderedPageBreak/>
        <w:t>arábigos 1 párrafos primero, segundo y tercero y 6 apartado A fracciones I, II, III, IV, V, VI y VII que a la letra señalan:</w:t>
      </w:r>
    </w:p>
    <w:p w14:paraId="090ECD8A"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17EFD65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color w:val="404040"/>
          <w:sz w:val="22"/>
          <w:szCs w:val="22"/>
        </w:rPr>
        <w:t>, así como de las garantías para su protección, cuyo ejercicio no podrá restringirse ni suspenderse, salvo en los casos y bajo las condiciones que esta Constitución establece.</w:t>
      </w:r>
    </w:p>
    <w:p w14:paraId="66FE9737" w14:textId="77777777" w:rsidR="00CA2EA9" w:rsidRDefault="00CA2EA9"/>
    <w:p w14:paraId="4FFC05BD"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b/>
          <w:i/>
          <w:color w:val="404040"/>
          <w:sz w:val="22"/>
          <w:szCs w:val="22"/>
        </w:rPr>
        <w:t>Las normas relativas a los derechos humanos se interpretarán de conformidad con esta Constitución y con los tratados internacionales de la materia favoreciendo en todo tiempo a las personas la protección más amplia.</w:t>
      </w:r>
    </w:p>
    <w:p w14:paraId="12750346" w14:textId="77777777" w:rsidR="00CA2EA9" w:rsidRDefault="00CA2EA9"/>
    <w:p w14:paraId="2E0B3F3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rPr>
      </w:pPr>
      <w:r>
        <w:rPr>
          <w:rFonts w:ascii="Palatino Linotype" w:eastAsia="Palatino Linotype" w:hAnsi="Palatino Linotype" w:cs="Palatino Linotype"/>
          <w:b/>
          <w:i/>
          <w:color w:val="40404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color w:val="404040"/>
          <w:sz w:val="22"/>
          <w:szCs w:val="22"/>
        </w:rPr>
        <w:t xml:space="preserve"> En consecuencia, el Estado deberá prevenir, investigar, sancionar y reparar las violaciones a los derechos humanos, en los términos que establezca la ley.</w:t>
      </w:r>
    </w:p>
    <w:p w14:paraId="0084EFF6"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06F64EB8" w14:textId="77777777" w:rsidR="00CA2EA9" w:rsidRDefault="00CA2EA9"/>
    <w:p w14:paraId="32368B9D"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rPr>
      </w:pPr>
      <w:r>
        <w:rPr>
          <w:rFonts w:ascii="Palatino Linotype" w:eastAsia="Palatino Linotype" w:hAnsi="Palatino Linotype" w:cs="Palatino Linotype"/>
          <w:b/>
          <w:i/>
          <w:color w:val="404040"/>
          <w:sz w:val="22"/>
          <w:szCs w:val="22"/>
        </w:rPr>
        <w:t>Artículo 6o.</w:t>
      </w:r>
    </w:p>
    <w:p w14:paraId="7196CFCD"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rPr>
      </w:pPr>
      <w:r>
        <w:rPr>
          <w:rFonts w:ascii="Palatino Linotype" w:eastAsia="Palatino Linotype" w:hAnsi="Palatino Linotype" w:cs="Palatino Linotype"/>
          <w:i/>
          <w:color w:val="404040"/>
          <w:sz w:val="22"/>
          <w:szCs w:val="22"/>
        </w:rPr>
        <w:t>[...]</w:t>
      </w:r>
    </w:p>
    <w:p w14:paraId="41AED1CA"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A. Para el ejercicio del derecho de acceso a la información, la Federación y </w:t>
      </w:r>
      <w:r>
        <w:rPr>
          <w:rFonts w:ascii="Palatino Linotype" w:eastAsia="Palatino Linotype" w:hAnsi="Palatino Linotype" w:cs="Palatino Linotype"/>
          <w:b/>
          <w:i/>
          <w:color w:val="404040"/>
          <w:sz w:val="22"/>
          <w:szCs w:val="22"/>
          <w:u w:val="single"/>
        </w:rPr>
        <w:t>las entidades federativas</w:t>
      </w:r>
      <w:r>
        <w:rPr>
          <w:rFonts w:ascii="Palatino Linotype" w:eastAsia="Palatino Linotype" w:hAnsi="Palatino Linotype" w:cs="Palatino Linotype"/>
          <w:b/>
          <w:i/>
          <w:color w:val="404040"/>
          <w:sz w:val="22"/>
          <w:szCs w:val="22"/>
        </w:rPr>
        <w:t>,</w:t>
      </w:r>
      <w:r>
        <w:rPr>
          <w:rFonts w:ascii="Palatino Linotype" w:eastAsia="Palatino Linotype" w:hAnsi="Palatino Linotype" w:cs="Palatino Linotype"/>
          <w:i/>
          <w:color w:val="404040"/>
          <w:sz w:val="22"/>
          <w:szCs w:val="22"/>
        </w:rPr>
        <w:t xml:space="preserve"> en el ámbito de sus respectivas competencias, se regirán por los siguientes principios y bases:</w:t>
      </w:r>
    </w:p>
    <w:p w14:paraId="6AB2FA3D"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I. </w:t>
      </w:r>
      <w:r>
        <w:rPr>
          <w:rFonts w:ascii="Palatino Linotype" w:eastAsia="Palatino Linotype" w:hAnsi="Palatino Linotype" w:cs="Palatino Linotype"/>
          <w:b/>
          <w:i/>
          <w:color w:val="404040"/>
          <w:sz w:val="22"/>
          <w:szCs w:val="22"/>
          <w:u w:val="single"/>
        </w:rPr>
        <w:t>Toda la información en posesión de cualquier autoridad, entidad, órgano y organismo de los Poderes</w:t>
      </w:r>
      <w:r>
        <w:rPr>
          <w:rFonts w:ascii="Palatino Linotype" w:eastAsia="Palatino Linotype" w:hAnsi="Palatino Linotype" w:cs="Palatino Linotype"/>
          <w:i/>
          <w:color w:val="404040"/>
          <w:sz w:val="22"/>
          <w:szCs w:val="22"/>
        </w:rPr>
        <w:t xml:space="preserve"> Ejecutivo, Legislativo </w:t>
      </w:r>
      <w:r>
        <w:rPr>
          <w:rFonts w:ascii="Palatino Linotype" w:eastAsia="Palatino Linotype" w:hAnsi="Palatino Linotype" w:cs="Palatino Linotype"/>
          <w:b/>
          <w:i/>
          <w:color w:val="404040"/>
          <w:sz w:val="22"/>
          <w:szCs w:val="22"/>
          <w:u w:val="single"/>
        </w:rPr>
        <w:t>y Judicial</w:t>
      </w:r>
      <w:r>
        <w:rPr>
          <w:rFonts w:ascii="Palatino Linotype" w:eastAsia="Palatino Linotype" w:hAnsi="Palatino Linotype" w:cs="Palatino Linotype"/>
          <w:i/>
          <w:color w:val="40404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color w:val="404040"/>
          <w:sz w:val="22"/>
          <w:szCs w:val="22"/>
        </w:rPr>
        <w:t>es pública y sólo podrá ser reservada temporalmente por razones de interés público y seguridad nacional,</w:t>
      </w:r>
      <w:r>
        <w:rPr>
          <w:rFonts w:ascii="Palatino Linotype" w:eastAsia="Palatino Linotype" w:hAnsi="Palatino Linotype" w:cs="Palatino Linotype"/>
          <w:i/>
          <w:color w:val="404040"/>
          <w:sz w:val="22"/>
          <w:szCs w:val="22"/>
        </w:rPr>
        <w:t xml:space="preserve"> en los términos que fijen las leyes. En la interpretación de este derecho deberá prevalecer el principio de máxima publicidad. Los sujetos obligados deberán documentar todo acto que derive del ejercicio de sus facultades, </w:t>
      </w:r>
      <w:r>
        <w:rPr>
          <w:rFonts w:ascii="Palatino Linotype" w:eastAsia="Palatino Linotype" w:hAnsi="Palatino Linotype" w:cs="Palatino Linotype"/>
          <w:i/>
          <w:color w:val="404040"/>
          <w:sz w:val="22"/>
          <w:szCs w:val="22"/>
        </w:rPr>
        <w:lastRenderedPageBreak/>
        <w:t>competencias o funciones, la ley determinará los supuestos específicos bajo los cuales procederá la declaración de inexistencia de la información.</w:t>
      </w:r>
    </w:p>
    <w:p w14:paraId="6F36D76A" w14:textId="77777777" w:rsidR="00CA2EA9" w:rsidRDefault="00CA2EA9"/>
    <w:p w14:paraId="25F2F4DF"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II. La información que se refiere a la vida privada y los datos personales será protegida en los términos y con las excepciones que fijen las leyes.</w:t>
      </w:r>
    </w:p>
    <w:p w14:paraId="74A8D01F" w14:textId="77777777" w:rsidR="00CA2EA9" w:rsidRDefault="00CA2EA9"/>
    <w:p w14:paraId="0B452F8C"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III. </w:t>
      </w:r>
      <w:r>
        <w:rPr>
          <w:rFonts w:ascii="Palatino Linotype" w:eastAsia="Palatino Linotype" w:hAnsi="Palatino Linotype" w:cs="Palatino Linotype"/>
          <w:b/>
          <w:i/>
          <w:color w:val="404040"/>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color w:val="404040"/>
          <w:sz w:val="22"/>
          <w:szCs w:val="22"/>
        </w:rPr>
        <w:t xml:space="preserve"> a sus datos personales o a la rectificación de éstos.</w:t>
      </w:r>
    </w:p>
    <w:p w14:paraId="783DD21E" w14:textId="77777777" w:rsidR="00CA2EA9" w:rsidRDefault="00CA2EA9"/>
    <w:p w14:paraId="76B2B4F1"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IV. </w:t>
      </w:r>
      <w:r>
        <w:rPr>
          <w:rFonts w:ascii="Palatino Linotype" w:eastAsia="Palatino Linotype" w:hAnsi="Palatino Linotype" w:cs="Palatino Linotype"/>
          <w:i/>
          <w:color w:val="404040"/>
          <w:sz w:val="22"/>
          <w:szCs w:val="22"/>
        </w:rPr>
        <w:t>Se establecerán mecanismos de acceso a la información y procedimientos de revisión expeditos que se sustanciarán ante los organismos autónomos especializados e imparciales que establece esta Constitución.</w:t>
      </w:r>
    </w:p>
    <w:p w14:paraId="40D47F0E" w14:textId="77777777" w:rsidR="00CA2EA9" w:rsidRDefault="00CA2EA9"/>
    <w:p w14:paraId="331B1F84"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V. </w:t>
      </w:r>
      <w:r>
        <w:rPr>
          <w:rFonts w:ascii="Palatino Linotype" w:eastAsia="Palatino Linotype" w:hAnsi="Palatino Linotype" w:cs="Palatino Linotype"/>
          <w:i/>
          <w:color w:val="40404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294E638" w14:textId="77777777" w:rsidR="00CA2EA9" w:rsidRDefault="00CA2EA9"/>
    <w:p w14:paraId="1550AEF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VI. </w:t>
      </w:r>
      <w:r>
        <w:rPr>
          <w:rFonts w:ascii="Palatino Linotype" w:eastAsia="Palatino Linotype" w:hAnsi="Palatino Linotype" w:cs="Palatino Linotype"/>
          <w:i/>
          <w:color w:val="404040"/>
          <w:sz w:val="22"/>
          <w:szCs w:val="22"/>
        </w:rPr>
        <w:t>Las leyes determinarán la manera en que los sujetos obligados deberán hacer pública la información relativa a los recursos públicos que entreguen a personas físicas o morales.</w:t>
      </w:r>
    </w:p>
    <w:p w14:paraId="5354EB2F" w14:textId="77777777" w:rsidR="00CA2EA9" w:rsidRDefault="00CA2EA9"/>
    <w:p w14:paraId="7BCF3F6A"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w:t>
      </w:r>
      <w:r>
        <w:rPr>
          <w:rFonts w:ascii="Palatino Linotype" w:eastAsia="Palatino Linotype" w:hAnsi="Palatino Linotype" w:cs="Palatino Linotype"/>
          <w:b/>
          <w:i/>
          <w:color w:val="404040"/>
          <w:sz w:val="22"/>
          <w:szCs w:val="22"/>
        </w:rPr>
        <w:t xml:space="preserve">VII. </w:t>
      </w:r>
      <w:r>
        <w:rPr>
          <w:rFonts w:ascii="Palatino Linotype" w:eastAsia="Palatino Linotype" w:hAnsi="Palatino Linotype" w:cs="Palatino Linotype"/>
          <w:i/>
          <w:color w:val="404040"/>
          <w:sz w:val="22"/>
          <w:szCs w:val="22"/>
        </w:rPr>
        <w:t xml:space="preserve">La inobservancia a las disposiciones en materia de acceso a la información pública será sancionada en los términos que dispongan las leyes. </w:t>
      </w:r>
    </w:p>
    <w:p w14:paraId="58C0C170"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75C9D04F" w14:textId="77777777" w:rsidR="00CA2EA9" w:rsidRDefault="00CA2EA9"/>
    <w:p w14:paraId="5A4952BF"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color w:val="000000"/>
        </w:rPr>
        <w:lastRenderedPageBreak/>
        <w:t>privilegiando el principio de máxima publicidad, como así lo establece dicha determinación, que a continuación se transcribe para un mejor entendimiento:</w:t>
      </w:r>
    </w:p>
    <w:p w14:paraId="49F84087"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14:paraId="53D05E66"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Artículo 4</w:t>
      </w:r>
      <w:r>
        <w:rPr>
          <w:rFonts w:ascii="Palatino Linotype" w:eastAsia="Palatino Linotype" w:hAnsi="Palatino Linotype" w:cs="Palatino Linotype"/>
          <w:i/>
          <w:color w:val="40404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BC24358" w14:textId="77777777" w:rsidR="00CA2EA9" w:rsidRDefault="00CA2EA9"/>
    <w:p w14:paraId="669E946E"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r>
        <w:rPr>
          <w:rFonts w:ascii="Palatino Linotype" w:eastAsia="Palatino Linotype" w:hAnsi="Palatino Linotype" w:cs="Palatino Linotype"/>
          <w:b/>
          <w:i/>
          <w:color w:val="40404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B13DC3" w14:textId="77777777" w:rsidR="00CA2EA9" w:rsidRDefault="00CA2EA9"/>
    <w:p w14:paraId="669B6111"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
    <w:p w14:paraId="71E7B37F" w14:textId="77777777" w:rsidR="00CA2EA9" w:rsidRDefault="00CA2EA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0DE05AC"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08C7F1C" w14:textId="77777777" w:rsidR="00CA2EA9" w:rsidRDefault="00CA2EA9">
      <w:pPr>
        <w:pBdr>
          <w:top w:val="nil"/>
          <w:left w:val="nil"/>
          <w:bottom w:val="nil"/>
          <w:right w:val="nil"/>
          <w:between w:val="nil"/>
        </w:pBdr>
        <w:ind w:left="864" w:right="864"/>
        <w:jc w:val="both"/>
        <w:rPr>
          <w:i/>
          <w:color w:val="404040"/>
        </w:rPr>
      </w:pPr>
    </w:p>
    <w:p w14:paraId="68F5370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Artículo 12</w:t>
      </w:r>
      <w:r>
        <w:rPr>
          <w:rFonts w:ascii="Palatino Linotype" w:eastAsia="Palatino Linotype" w:hAnsi="Palatino Linotype" w:cs="Palatino Linotype"/>
          <w:i/>
          <w:color w:val="404040"/>
          <w:sz w:val="22"/>
          <w:szCs w:val="22"/>
        </w:rPr>
        <w:t>. Quienes generen, recopilen, administren, manejen, procesen, archiven o conserven información pública serán responsables de la misma en los términos de las disposiciones jurídicas aplicables. </w:t>
      </w:r>
    </w:p>
    <w:p w14:paraId="224CE9ED" w14:textId="77777777" w:rsidR="00CA2EA9" w:rsidRDefault="00CA2EA9"/>
    <w:p w14:paraId="7BB6EF8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10045B" w14:textId="77777777" w:rsidR="00CA2EA9" w:rsidRDefault="00CA2EA9">
      <w:pPr>
        <w:pBdr>
          <w:top w:val="nil"/>
          <w:left w:val="nil"/>
          <w:bottom w:val="nil"/>
          <w:right w:val="nil"/>
          <w:between w:val="nil"/>
        </w:pBdr>
        <w:ind w:left="864" w:right="864"/>
        <w:jc w:val="both"/>
        <w:rPr>
          <w:i/>
          <w:color w:val="404040"/>
        </w:rPr>
      </w:pPr>
    </w:p>
    <w:p w14:paraId="6583E9B4"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0A985A5"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278C9F5"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03/17</w:t>
      </w:r>
    </w:p>
    <w:p w14:paraId="7EE88CA0"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NO EXISTE OBLIGACIÓN DE ELABORAR DOCUMENTOS AD HOC PARA ATENDER LAS SOLICITUDES DE ACCESO A LA INFORMACIÓN.</w:t>
      </w:r>
    </w:p>
    <w:p w14:paraId="3A67C10C"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965CAFE"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1293FC1"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y aunado a lo antepuesto, el último párrafo del artículo 24 de la Ley de la materia, dispone que los Sujetos Obligados sólo proporcionarán la información </w:t>
      </w:r>
      <w:r>
        <w:rPr>
          <w:rFonts w:ascii="Palatino Linotype" w:eastAsia="Palatino Linotype" w:hAnsi="Palatino Linotype" w:cs="Palatino Linotype"/>
          <w:color w:val="000000"/>
        </w:rPr>
        <w:lastRenderedPageBreak/>
        <w:t>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67F7B8B" w14:textId="77777777" w:rsidR="00CA2EA9" w:rsidRDefault="00CA2EA9">
      <w:pPr>
        <w:pBdr>
          <w:top w:val="nil"/>
          <w:left w:val="nil"/>
          <w:bottom w:val="nil"/>
          <w:right w:val="nil"/>
          <w:between w:val="nil"/>
        </w:pBdr>
        <w:spacing w:line="360" w:lineRule="auto"/>
        <w:jc w:val="both"/>
        <w:rPr>
          <w:color w:val="000000"/>
        </w:rPr>
      </w:pPr>
    </w:p>
    <w:p w14:paraId="13B378B0" w14:textId="77777777" w:rsidR="00CA2EA9" w:rsidRDefault="00F073C1">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729AEB5" w14:textId="77777777" w:rsidR="00CA2EA9" w:rsidRDefault="00CA2EA9">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45204D7D"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349984B"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39642D98"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Artículo 3. </w:t>
      </w:r>
      <w:r>
        <w:rPr>
          <w:rFonts w:ascii="Palatino Linotype" w:eastAsia="Palatino Linotype" w:hAnsi="Palatino Linotype" w:cs="Palatino Linotype"/>
          <w:i/>
          <w:color w:val="404040"/>
          <w:sz w:val="22"/>
          <w:szCs w:val="22"/>
        </w:rPr>
        <w:t>Para los efectos de la presente Ley se entenderá por:</w:t>
      </w:r>
    </w:p>
    <w:p w14:paraId="5335EA79"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56711506"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lastRenderedPageBreak/>
        <w:t>XI. Documento:</w:t>
      </w:r>
      <w:r>
        <w:rPr>
          <w:rFonts w:ascii="Palatino Linotype" w:eastAsia="Palatino Linotype" w:hAnsi="Palatino Linotype" w:cs="Palatino Linotype"/>
          <w:i/>
          <w:color w:val="40404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B4064B1"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w:t>
      </w:r>
      <w:r>
        <w:rPr>
          <w:rFonts w:ascii="Palatino Linotype" w:eastAsia="Palatino Linotype" w:hAnsi="Palatino Linotype" w:cs="Palatino Linotype"/>
          <w:i/>
          <w:color w:val="404040"/>
          <w:sz w:val="22"/>
          <w:szCs w:val="22"/>
        </w:rPr>
        <w:t>)</w:t>
      </w:r>
    </w:p>
    <w:p w14:paraId="0063A828"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A36AF72" w14:textId="77777777" w:rsidR="00CA2EA9" w:rsidRDefault="00F073C1">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EF562A2"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6D5CE3D"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CRITERIO 0002-11</w:t>
      </w:r>
    </w:p>
    <w:p w14:paraId="6355CC5B"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D8DA2DC"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En </w:t>
      </w:r>
      <w:proofErr w:type="gramStart"/>
      <w:r>
        <w:rPr>
          <w:rFonts w:ascii="Palatino Linotype" w:eastAsia="Palatino Linotype" w:hAnsi="Palatino Linotype" w:cs="Palatino Linotype"/>
          <w:i/>
          <w:color w:val="404040"/>
          <w:sz w:val="22"/>
          <w:szCs w:val="22"/>
        </w:rPr>
        <w:t>consecuencia</w:t>
      </w:r>
      <w:proofErr w:type="gramEnd"/>
      <w:r>
        <w:rPr>
          <w:rFonts w:ascii="Palatino Linotype" w:eastAsia="Palatino Linotype" w:hAnsi="Palatino Linotype" w:cs="Palatino Linotype"/>
          <w:i/>
          <w:color w:val="404040"/>
          <w:sz w:val="22"/>
          <w:szCs w:val="22"/>
        </w:rPr>
        <w:t xml:space="preserve"> el acceso a la información se refiere a que se cumplan cualquiera de los siguientes tres supuestos:</w:t>
      </w:r>
    </w:p>
    <w:p w14:paraId="6DADD006"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1. Que se trate de información registrada en cualquier soporte documental, </w:t>
      </w:r>
      <w:proofErr w:type="gramStart"/>
      <w:r>
        <w:rPr>
          <w:rFonts w:ascii="Palatino Linotype" w:eastAsia="Palatino Linotype" w:hAnsi="Palatino Linotype" w:cs="Palatino Linotype"/>
          <w:i/>
          <w:color w:val="404040"/>
          <w:sz w:val="22"/>
          <w:szCs w:val="22"/>
        </w:rPr>
        <w:t>que</w:t>
      </w:r>
      <w:proofErr w:type="gramEnd"/>
      <w:r>
        <w:rPr>
          <w:rFonts w:ascii="Palatino Linotype" w:eastAsia="Palatino Linotype" w:hAnsi="Palatino Linotype" w:cs="Palatino Linotype"/>
          <w:i/>
          <w:color w:val="404040"/>
          <w:sz w:val="22"/>
          <w:szCs w:val="22"/>
        </w:rPr>
        <w:t xml:space="preserve"> en ejercicio de las atribuciones conferidas, sea generada por los Sujetos Obligados;</w:t>
      </w:r>
    </w:p>
    <w:p w14:paraId="40126AFE"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2. Que se trate de información registrada en cualquier soporte documental, </w:t>
      </w:r>
      <w:proofErr w:type="gramStart"/>
      <w:r>
        <w:rPr>
          <w:rFonts w:ascii="Palatino Linotype" w:eastAsia="Palatino Linotype" w:hAnsi="Palatino Linotype" w:cs="Palatino Linotype"/>
          <w:i/>
          <w:color w:val="404040"/>
          <w:sz w:val="22"/>
          <w:szCs w:val="22"/>
        </w:rPr>
        <w:t>que</w:t>
      </w:r>
      <w:proofErr w:type="gramEnd"/>
      <w:r>
        <w:rPr>
          <w:rFonts w:ascii="Palatino Linotype" w:eastAsia="Palatino Linotype" w:hAnsi="Palatino Linotype" w:cs="Palatino Linotype"/>
          <w:i/>
          <w:color w:val="404040"/>
          <w:sz w:val="22"/>
          <w:szCs w:val="22"/>
        </w:rPr>
        <w:t xml:space="preserve"> en ejercicio de las atribuciones conferidas, sea administrada por los Sujetos Obligados, y</w:t>
      </w:r>
    </w:p>
    <w:p w14:paraId="1D9F7302"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3. Que se trate de información registrada en cualquier soporte documental, </w:t>
      </w:r>
      <w:proofErr w:type="gramStart"/>
      <w:r>
        <w:rPr>
          <w:rFonts w:ascii="Palatino Linotype" w:eastAsia="Palatino Linotype" w:hAnsi="Palatino Linotype" w:cs="Palatino Linotype"/>
          <w:i/>
          <w:color w:val="404040"/>
          <w:sz w:val="22"/>
          <w:szCs w:val="22"/>
        </w:rPr>
        <w:t>que</w:t>
      </w:r>
      <w:proofErr w:type="gramEnd"/>
      <w:r>
        <w:rPr>
          <w:rFonts w:ascii="Palatino Linotype" w:eastAsia="Palatino Linotype" w:hAnsi="Palatino Linotype" w:cs="Palatino Linotype"/>
          <w:i/>
          <w:color w:val="404040"/>
          <w:sz w:val="22"/>
          <w:szCs w:val="22"/>
        </w:rPr>
        <w:t xml:space="preserve"> en ejercicio de las atribuciones conferidas, se encuentre en posesión de los Sujetos Obligados.</w:t>
      </w:r>
    </w:p>
    <w:p w14:paraId="090BDA50" w14:textId="77777777" w:rsidR="00CA2EA9" w:rsidRDefault="00CA2EA9">
      <w:pPr>
        <w:pBdr>
          <w:top w:val="nil"/>
          <w:left w:val="nil"/>
          <w:bottom w:val="nil"/>
          <w:right w:val="nil"/>
          <w:between w:val="nil"/>
        </w:pBdr>
        <w:spacing w:line="360" w:lineRule="auto"/>
        <w:ind w:left="567" w:right="567" w:hanging="284"/>
        <w:jc w:val="both"/>
        <w:rPr>
          <w:color w:val="000000"/>
        </w:rPr>
      </w:pPr>
    </w:p>
    <w:p w14:paraId="26C2E696"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 ahí que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1E14D2D3" w14:textId="77777777" w:rsidR="00CA2EA9" w:rsidRDefault="00CA2EA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FE8A353"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Apuntado lo anterior, este Órgano Garante centrará su atención en el estudio de fondo del agravio hecho valer por </w:t>
      </w:r>
      <w:r>
        <w:rPr>
          <w:rFonts w:ascii="Palatino Linotype" w:eastAsia="Palatino Linotype" w:hAnsi="Palatino Linotype" w:cs="Palatino Linotype"/>
          <w:b/>
          <w:color w:val="000000"/>
        </w:rPr>
        <w:t xml:space="preserve">LA PARTE RECURRENTE, </w:t>
      </w:r>
      <w:r>
        <w:rPr>
          <w:rFonts w:ascii="Palatino Linotype" w:eastAsia="Palatino Linotype" w:hAnsi="Palatino Linotype" w:cs="Palatino Linotype"/>
          <w:color w:val="000000"/>
        </w:rPr>
        <w:t xml:space="preserve">pues en la solicitud </w:t>
      </w:r>
      <w:r>
        <w:rPr>
          <w:rFonts w:ascii="Palatino Linotype" w:eastAsia="Palatino Linotype" w:hAnsi="Palatino Linotype" w:cs="Palatino Linotype"/>
          <w:b/>
        </w:rPr>
        <w:t>00982/NAUCALPA/IP/2022</w:t>
      </w:r>
      <w:r>
        <w:rPr>
          <w:rFonts w:ascii="Arial" w:eastAsia="Arial" w:hAnsi="Arial" w:cs="Arial"/>
          <w:b/>
          <w:sz w:val="15"/>
          <w:szCs w:val="15"/>
        </w:rPr>
        <w:t xml:space="preserve"> </w:t>
      </w:r>
      <w:r>
        <w:rPr>
          <w:rFonts w:ascii="Palatino Linotype" w:eastAsia="Palatino Linotype" w:hAnsi="Palatino Linotype" w:cs="Palatino Linotype"/>
          <w:color w:val="000000"/>
        </w:rPr>
        <w:t xml:space="preserve">requirió información relativa a: </w:t>
      </w:r>
    </w:p>
    <w:p w14:paraId="3ACE633F" w14:textId="77777777" w:rsidR="00CA2EA9" w:rsidRDefault="00CA2EA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AC2354A" w14:textId="77777777" w:rsidR="00CA2EA9" w:rsidRDefault="00F073C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Copia del Convenio de prestaciones de ley y colaterales, firmado entre el SUTEYM y el Ayuntamiento de Naucalpan del año 2022. </w:t>
      </w:r>
    </w:p>
    <w:p w14:paraId="278323B6" w14:textId="77777777" w:rsidR="00CA2EA9" w:rsidRDefault="00CA2EA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CFDD00F"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color w:val="000000"/>
        </w:rPr>
        <w:t xml:space="preserve">Entonces,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mediante la Persona Servidora Pública Habilitada de la Dirección General de Administración, respondió con el </w:t>
      </w:r>
      <w:r>
        <w:rPr>
          <w:rFonts w:ascii="Palatino Linotype" w:eastAsia="Palatino Linotype" w:hAnsi="Palatino Linotype" w:cs="Palatino Linotype"/>
        </w:rPr>
        <w:t xml:space="preserve">oficio </w:t>
      </w:r>
      <w:r>
        <w:rPr>
          <w:rFonts w:ascii="Palatino Linotype" w:eastAsia="Palatino Linotype" w:hAnsi="Palatino Linotype" w:cs="Palatino Linotype"/>
          <w:i/>
        </w:rPr>
        <w:t>DGA/SRH/M/2032/2022</w:t>
      </w:r>
      <w:r>
        <w:rPr>
          <w:rFonts w:ascii="Palatino Linotype" w:eastAsia="Palatino Linotype" w:hAnsi="Palatino Linotype" w:cs="Palatino Linotype"/>
        </w:rPr>
        <w:t xml:space="preserve"> de fecha seis de diciembre de dos mil veintidós, en el cual hizo del conocimiento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que </w:t>
      </w:r>
      <w:r>
        <w:rPr>
          <w:rFonts w:ascii="Palatino Linotype" w:eastAsia="Palatino Linotype" w:hAnsi="Palatino Linotype" w:cs="Palatino Linotype"/>
          <w:i/>
        </w:rPr>
        <w:t xml:space="preserve">“… dicho convenio se encuentra en proceso de registro ante el Tribunal Estatal de Conciliación y Arbitraje del Estado de México…” (Sic) </w:t>
      </w:r>
    </w:p>
    <w:p w14:paraId="6023D292" w14:textId="77777777" w:rsidR="00CA2EA9" w:rsidRDefault="00CA2EA9">
      <w:pPr>
        <w:spacing w:line="360" w:lineRule="auto"/>
        <w:jc w:val="both"/>
        <w:rPr>
          <w:rFonts w:ascii="Palatino Linotype" w:eastAsia="Palatino Linotype" w:hAnsi="Palatino Linotype" w:cs="Palatino Linotype"/>
          <w:i/>
          <w:color w:val="404040"/>
          <w:sz w:val="22"/>
          <w:szCs w:val="22"/>
        </w:rPr>
      </w:pPr>
    </w:p>
    <w:p w14:paraId="59522672"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Se debe resaltar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con la información remitida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este no niega contar ella</w:t>
      </w:r>
      <w:r>
        <w:rPr>
          <w:rFonts w:ascii="Palatino Linotype" w:eastAsia="Palatino Linotype" w:hAnsi="Palatino Linotype" w:cs="Palatino Linotype"/>
          <w:b/>
        </w:rPr>
        <w:t>,</w:t>
      </w:r>
      <w:r>
        <w:rPr>
          <w:rFonts w:ascii="Palatino Linotype" w:eastAsia="Palatino Linotype" w:hAnsi="Palatino Linotype" w:cs="Palatino Linotype"/>
        </w:rPr>
        <w:t xml:space="preserve"> sino por el contrario; señala que el convenio requerido por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se encuentra en proceso de registro ante el Tribunal Estatal de Conciliación y Arbitraje</w:t>
      </w:r>
      <w:r>
        <w:rPr>
          <w:rFonts w:ascii="Palatino Linotype" w:eastAsia="Palatino Linotype" w:hAnsi="Palatino Linotype" w:cs="Palatino Linotype"/>
          <w:i/>
        </w:rPr>
        <w:t>,</w:t>
      </w:r>
      <w:r>
        <w:rPr>
          <w:rFonts w:ascii="Palatino Linotype" w:eastAsia="Palatino Linotype" w:hAnsi="Palatino Linotype" w:cs="Palatino Linotype"/>
        </w:rPr>
        <w:t xml:space="preserve"> entonces, la competencia para generar, poseer y administrar la información solicitada, en el caso concreto, es obvia.</w:t>
      </w:r>
    </w:p>
    <w:p w14:paraId="3F99C379" w14:textId="77777777" w:rsidR="00CA2EA9" w:rsidRDefault="00CA2EA9">
      <w:pPr>
        <w:spacing w:line="360" w:lineRule="auto"/>
        <w:jc w:val="both"/>
        <w:rPr>
          <w:rFonts w:ascii="Palatino Linotype" w:eastAsia="Palatino Linotype" w:hAnsi="Palatino Linotype" w:cs="Palatino Linotype"/>
        </w:rPr>
      </w:pPr>
    </w:p>
    <w:p w14:paraId="08ECCD8E"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lo anterior este Organismo Garante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 razón por la cual se considera pertinente referir que se entiende por convenio, en ese sentido el Diccionario de la Real Academia Española establece:</w:t>
      </w:r>
    </w:p>
    <w:p w14:paraId="7F9676D5"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A59B6B3"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 Convenio De convenir. </w:t>
      </w:r>
    </w:p>
    <w:p w14:paraId="6EC2CB7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1. m. Acuerdo o pacto.</w:t>
      </w:r>
    </w:p>
    <w:p w14:paraId="42047749" w14:textId="77777777" w:rsidR="00CA2EA9" w:rsidRDefault="00CA2EA9">
      <w:pPr>
        <w:pBdr>
          <w:top w:val="nil"/>
          <w:left w:val="nil"/>
          <w:bottom w:val="nil"/>
          <w:right w:val="nil"/>
          <w:between w:val="nil"/>
        </w:pBdr>
        <w:spacing w:line="360" w:lineRule="auto"/>
        <w:ind w:left="864" w:right="864"/>
        <w:jc w:val="both"/>
        <w:rPr>
          <w:rFonts w:ascii="Palatino Linotype" w:eastAsia="Palatino Linotype" w:hAnsi="Palatino Linotype" w:cs="Palatino Linotype"/>
          <w:i/>
          <w:color w:val="404040"/>
          <w:sz w:val="22"/>
          <w:szCs w:val="22"/>
        </w:rPr>
      </w:pPr>
    </w:p>
    <w:p w14:paraId="40610A74"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mismo orden de ideas debe mencionarse que el Código Civil del Estado de México establece:</w:t>
      </w:r>
    </w:p>
    <w:p w14:paraId="65DAE34C" w14:textId="77777777" w:rsidR="00CA2EA9" w:rsidRDefault="00CA2EA9">
      <w:pPr>
        <w:spacing w:line="360" w:lineRule="auto"/>
        <w:jc w:val="both"/>
        <w:rPr>
          <w:rFonts w:ascii="Palatino Linotype" w:eastAsia="Palatino Linotype" w:hAnsi="Palatino Linotype" w:cs="Palatino Linotype"/>
        </w:rPr>
      </w:pPr>
    </w:p>
    <w:p w14:paraId="194ECEAD"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Concepto de convenio </w:t>
      </w:r>
    </w:p>
    <w:p w14:paraId="7F5B842E"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Artículo 7.30.- Convenio es el acuerdo de dos o más personas para crear, transferir, modificar o extinguir obligaciones.</w:t>
      </w:r>
    </w:p>
    <w:p w14:paraId="74EAE7E5" w14:textId="77777777" w:rsidR="00CA2EA9" w:rsidRDefault="00CA2EA9">
      <w:pPr>
        <w:spacing w:line="360" w:lineRule="auto"/>
        <w:jc w:val="both"/>
        <w:rPr>
          <w:rFonts w:ascii="Palatino Linotype" w:eastAsia="Palatino Linotype" w:hAnsi="Palatino Linotype" w:cs="Palatino Linotype"/>
        </w:rPr>
      </w:pPr>
    </w:p>
    <w:p w14:paraId="72CF40E3"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Concepto de contrato </w:t>
      </w:r>
    </w:p>
    <w:p w14:paraId="13F938AF"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Artículo 7.31.- Los convenios que crean o transfieren obligaciones y derechos, reciben el nombre de contratos.</w:t>
      </w:r>
    </w:p>
    <w:p w14:paraId="5B003A8F" w14:textId="77777777" w:rsidR="00CA2EA9" w:rsidRDefault="00CA2EA9">
      <w:pPr>
        <w:spacing w:line="360" w:lineRule="auto"/>
        <w:jc w:val="both"/>
        <w:rPr>
          <w:rFonts w:ascii="Palatino Linotype" w:eastAsia="Palatino Linotype" w:hAnsi="Palatino Linotype" w:cs="Palatino Linotype"/>
        </w:rPr>
      </w:pPr>
    </w:p>
    <w:p w14:paraId="32D36780"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otra parte, la Ley del Trabajo de los Servidores Públicos del Estado y Municipios tiene por objeto regular las relaciones de trabajo, comprendidas entre los poderes públicos del Estado y los Municipios y sus respectivos servidores públicos, debe agregase que el artículo 54 de dicho cuerpo normativo refiere que cada institución pública o, en su caso, dependencia, en razón de la naturaleza de sus funciones, contará con un Reglamento de Condiciones Generales de Trabajo aplicables a los servidores públicos sindicalizados y generales.</w:t>
      </w:r>
    </w:p>
    <w:p w14:paraId="73367463" w14:textId="77777777" w:rsidR="00CA2EA9" w:rsidRDefault="00CA2EA9">
      <w:pPr>
        <w:spacing w:line="360" w:lineRule="auto"/>
        <w:jc w:val="both"/>
        <w:rPr>
          <w:rFonts w:ascii="Palatino Linotype" w:eastAsia="Palatino Linotype" w:hAnsi="Palatino Linotype" w:cs="Palatino Linotype"/>
        </w:rPr>
      </w:pPr>
    </w:p>
    <w:p w14:paraId="0B1BE078"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ratificarse o modificarse a su término; los Convenios de sueldos y prestaciones celebrados con el Sindicato se aplicarán solo a los trabajadores miembros y reconocidos por la agrupación Sindical de conformidad con la normatividad aplicable.</w:t>
      </w:r>
    </w:p>
    <w:p w14:paraId="477F21A7" w14:textId="77777777" w:rsidR="00CA2EA9" w:rsidRDefault="00CA2EA9">
      <w:pPr>
        <w:spacing w:line="360" w:lineRule="auto"/>
        <w:jc w:val="both"/>
        <w:rPr>
          <w:rFonts w:ascii="Palatino Linotype" w:eastAsia="Palatino Linotype" w:hAnsi="Palatino Linotype" w:cs="Palatino Linotype"/>
        </w:rPr>
      </w:pPr>
    </w:p>
    <w:p w14:paraId="733AD723"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considera que con la información proporcionada por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no se atiende el requerimiento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afirma lo anterior, en virtud de que el servidor público habilitado se concretó en señalar  mediante su respuesta que dicho instrumento jurídico se encontraba en </w:t>
      </w:r>
      <w:r>
        <w:rPr>
          <w:rFonts w:ascii="Palatino Linotype" w:eastAsia="Palatino Linotype" w:hAnsi="Palatino Linotype" w:cs="Palatino Linotype"/>
        </w:rPr>
        <w:lastRenderedPageBreak/>
        <w:t>proceso de registro ante el Tribunal Estatal de Conciliación y Arbitraje, advirtiéndose de tal manifestación, que efectivamente el Convenio se celebró entre el Ayuntamiento de Naucalpan de Juárez y el Sindicato Único de Trabajadores del Estado y sus Municipios (</w:t>
      </w:r>
      <w:proofErr w:type="spellStart"/>
      <w:r>
        <w:rPr>
          <w:rFonts w:ascii="Palatino Linotype" w:eastAsia="Palatino Linotype" w:hAnsi="Palatino Linotype" w:cs="Palatino Linotype"/>
        </w:rPr>
        <w:t>SUTEyM</w:t>
      </w:r>
      <w:proofErr w:type="spellEnd"/>
      <w:r>
        <w:rPr>
          <w:rFonts w:ascii="Palatino Linotype" w:eastAsia="Palatino Linotype" w:hAnsi="Palatino Linotype" w:cs="Palatino Linotype"/>
        </w:rPr>
        <w:t>) sección Naucalpan, sin embargo y como se observa, se encontraba ante una imposibilidad de otorgar el documento solicitado en ese momento.</w:t>
      </w:r>
    </w:p>
    <w:p w14:paraId="335C40E4" w14:textId="77777777" w:rsidR="00CA2EA9" w:rsidRDefault="00CA2EA9">
      <w:pPr>
        <w:spacing w:line="360" w:lineRule="auto"/>
        <w:jc w:val="both"/>
        <w:rPr>
          <w:rFonts w:ascii="Palatino Linotype" w:eastAsia="Palatino Linotype" w:hAnsi="Palatino Linotype" w:cs="Palatino Linotype"/>
        </w:rPr>
      </w:pPr>
    </w:p>
    <w:p w14:paraId="7532494F" w14:textId="77777777" w:rsidR="00CA2EA9" w:rsidRDefault="00F073C1">
      <w:pPr>
        <w:spacing w:line="360" w:lineRule="auto"/>
        <w:jc w:val="both"/>
        <w:rPr>
          <w:rFonts w:ascii="Palatino Linotype" w:eastAsia="Palatino Linotype" w:hAnsi="Palatino Linotype" w:cs="Palatino Linotype"/>
          <w:color w:val="0C0C0C"/>
          <w:highlight w:val="white"/>
        </w:rPr>
      </w:pPr>
      <w:r>
        <w:rPr>
          <w:rFonts w:ascii="Palatino Linotype" w:eastAsia="Palatino Linotype" w:hAnsi="Palatino Linotype" w:cs="Palatino Linotype"/>
        </w:rPr>
        <w:t xml:space="preserve">Incluso, dicha firma de convenio fue publicada el pasado once de noviembre de dos mil veintidós, mediante Boletín oficial denominado </w:t>
      </w:r>
      <w:r>
        <w:rPr>
          <w:rFonts w:ascii="Palatino Linotype" w:eastAsia="Palatino Linotype" w:hAnsi="Palatino Linotype" w:cs="Palatino Linotype"/>
          <w:i/>
          <w:color w:val="0C0C0C"/>
          <w:highlight w:val="white"/>
        </w:rPr>
        <w:t xml:space="preserve">COMUNICADO INFORMATIVO 347, </w:t>
      </w:r>
      <w:r>
        <w:rPr>
          <w:rFonts w:ascii="Palatino Linotype" w:eastAsia="Palatino Linotype" w:hAnsi="Palatino Linotype" w:cs="Palatino Linotype"/>
          <w:color w:val="0C0C0C"/>
          <w:highlight w:val="white"/>
        </w:rPr>
        <w:t xml:space="preserve">de rubro y texto siguientes: </w:t>
      </w:r>
    </w:p>
    <w:p w14:paraId="25335DC7" w14:textId="77777777" w:rsidR="00CA2EA9" w:rsidRDefault="00CA2EA9">
      <w:pPr>
        <w:spacing w:line="360" w:lineRule="auto"/>
        <w:jc w:val="both"/>
      </w:pPr>
    </w:p>
    <w:p w14:paraId="3EA15B5B" w14:textId="77777777" w:rsidR="00CA2EA9" w:rsidRDefault="00F073C1">
      <w:pPr>
        <w:spacing w:line="360" w:lineRule="auto"/>
        <w:jc w:val="center"/>
        <w:rPr>
          <w:rFonts w:ascii="Palatino Linotype" w:eastAsia="Palatino Linotype" w:hAnsi="Palatino Linotype" w:cs="Palatino Linotype"/>
          <w:color w:val="0C0C0C"/>
          <w:highlight w:val="white"/>
        </w:rPr>
      </w:pPr>
      <w:r>
        <w:rPr>
          <w:noProof/>
        </w:rPr>
        <w:drawing>
          <wp:inline distT="0" distB="0" distL="0" distR="0" wp14:anchorId="713DC457" wp14:editId="69A23B55">
            <wp:extent cx="4659989" cy="3807102"/>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6917" t="10113" r="35128" b="5710"/>
                    <a:stretch>
                      <a:fillRect/>
                    </a:stretch>
                  </pic:blipFill>
                  <pic:spPr>
                    <a:xfrm>
                      <a:off x="0" y="0"/>
                      <a:ext cx="4659989" cy="3807102"/>
                    </a:xfrm>
                    <a:prstGeom prst="rect">
                      <a:avLst/>
                    </a:prstGeom>
                    <a:ln/>
                  </pic:spPr>
                </pic:pic>
              </a:graphicData>
            </a:graphic>
          </wp:inline>
        </w:drawing>
      </w:r>
    </w:p>
    <w:p w14:paraId="4F3A9783"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“NOTAS PERIODISTICAS, EL CONOCIMIENTO QUE DE ELLAS SE OBTIENE NO CONSTITUYE ‘UN HECHO PUBLICO Y NOTORIO’”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15D3542F" w14:textId="77777777" w:rsidR="00CA2EA9" w:rsidRDefault="00CA2EA9">
      <w:pPr>
        <w:spacing w:line="360" w:lineRule="auto"/>
        <w:jc w:val="both"/>
        <w:rPr>
          <w:rFonts w:ascii="Palatino Linotype" w:eastAsia="Palatino Linotype" w:hAnsi="Palatino Linotype" w:cs="Palatino Linotype"/>
        </w:rPr>
      </w:pPr>
    </w:p>
    <w:p w14:paraId="67514F83"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Entonces, el hecho de que el convenio estuviera en proceso de registro ante el Tribunal Estatal de Conciliación y Arbitraje del Estado de México; no era óbice para que la información se hubiera proporcionado, pues es dable entender que la misma ya se encontraba en los archivos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no significaba impedimento hacer para la entrega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w:t>
      </w:r>
    </w:p>
    <w:p w14:paraId="35643686" w14:textId="77777777" w:rsidR="00CA2EA9" w:rsidRDefault="00CA2EA9">
      <w:pPr>
        <w:spacing w:line="360" w:lineRule="auto"/>
        <w:jc w:val="both"/>
        <w:rPr>
          <w:rFonts w:ascii="Palatino Linotype" w:eastAsia="Palatino Linotype" w:hAnsi="Palatino Linotype" w:cs="Palatino Linotype"/>
        </w:rPr>
      </w:pPr>
    </w:p>
    <w:p w14:paraId="608C75AA"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que, en su caso, una de las restricciones al Derecho de Acceso a la Información es que la misma actualice algún supuesto de clasificación, sin </w:t>
      </w:r>
      <w:proofErr w:type="gramStart"/>
      <w:r>
        <w:rPr>
          <w:rFonts w:ascii="Palatino Linotype" w:eastAsia="Palatino Linotype" w:hAnsi="Palatino Linotype" w:cs="Palatino Linotype"/>
        </w:rPr>
        <w:t>embargo</w:t>
      </w:r>
      <w:proofErr w:type="gramEnd"/>
      <w:r>
        <w:rPr>
          <w:rFonts w:ascii="Palatino Linotype" w:eastAsia="Palatino Linotype" w:hAnsi="Palatino Linotype" w:cs="Palatino Linotype"/>
        </w:rPr>
        <w:t xml:space="preserve"> en el caso particular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acredita ninguno de los supuestos </w:t>
      </w:r>
      <w:r>
        <w:rPr>
          <w:rFonts w:ascii="Palatino Linotype" w:eastAsia="Palatino Linotype" w:hAnsi="Palatino Linotype" w:cs="Palatino Linotype"/>
        </w:rPr>
        <w:lastRenderedPageBreak/>
        <w:t>específicos por los cuales debiera clasificarse la información, en este sentido, no se encuentra debidamente fundamentada y motivada la restricción al acceso a la información invocada por el sujeto obligado.  Por lo que se trae a colación las siguientes Tesis de Jurisprudencia:</w:t>
      </w:r>
    </w:p>
    <w:p w14:paraId="078AE370" w14:textId="77777777" w:rsidR="00CA2EA9" w:rsidRDefault="00CA2EA9">
      <w:pPr>
        <w:spacing w:line="360" w:lineRule="auto"/>
        <w:jc w:val="both"/>
        <w:rPr>
          <w:rFonts w:ascii="Palatino Linotype" w:eastAsia="Palatino Linotype" w:hAnsi="Palatino Linotype" w:cs="Palatino Linotype"/>
        </w:rPr>
      </w:pPr>
    </w:p>
    <w:p w14:paraId="7643E9A5" w14:textId="77777777" w:rsidR="00CA2EA9" w:rsidRDefault="00F073C1">
      <w:pPr>
        <w:pBdr>
          <w:top w:val="nil"/>
          <w:left w:val="nil"/>
          <w:bottom w:val="nil"/>
          <w:right w:val="nil"/>
          <w:between w:val="nil"/>
        </w:pBdr>
        <w:spacing w:before="200" w:after="160"/>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Jurisprudencia I.3o.C. J/47, de Tribunales Colegiados de Circuito, visible en la página 1964 del Semanario Judicial de la Federación y su Gaceta, Tomo XXVII, febrero de 2008, Novena Época, de rubro: FUNDAMENTACIÓN Y MOTIVACIÓN. LA DIFERENCIA ENTRE LA FALTA Y LA INDEBIDA SATISFACCIÓN DE AMBOS REQUISITOS CONSTITUCIONALES TRASCIENDE AL ORDEN EN QUE DEBEN ESTUDIARSE LOS CONCEPTOS DE VIOLACIÓN Y A LOS EFECTOS DEL FALLO PROTECTOR. Misma que, en la parte que nos interesa, señala… Se produce la falta de fundamentación y motivación, cuando se omite expresar el dispositivo legal aplicable al asunto y las razones que se hayan considerado para estimar que el caso puede subsumirse en la hipótesis prevista en esa norma jurídica. </w:t>
      </w:r>
    </w:p>
    <w:p w14:paraId="2667545B" w14:textId="77777777" w:rsidR="00CA2EA9" w:rsidRDefault="00F073C1">
      <w:pPr>
        <w:pBdr>
          <w:top w:val="nil"/>
          <w:left w:val="nil"/>
          <w:bottom w:val="nil"/>
          <w:right w:val="nil"/>
          <w:between w:val="nil"/>
        </w:pBdr>
        <w:spacing w:before="200" w:after="160"/>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Jurisprudencia IV.2o.C. J/12, de Tribunales Colegiados de Circuito, visible en la página 2053 del Semanario Judicial de la Federación y su Gaceta, Tomo XXXIII, febrero de 2011, Novena Época, de rubro y texto siguientes: FUNDAMENTACIÓN Y MOTIVACIÓN. ARGUMENTOS QUE DEBEN EXAMINARSE PARA DETERMINAR LO FUNDADO O INFUNDADO DE UNA INCONFORMIDAD CUANDO SE ALEGA LA AUSENCIA DE AQUÉLLA O SE TACHA DE INDEBIDA. Al atender un motivo de desacuerdo relacionado con la fundamentación y motivación, para producir una respuesta congruente debe, del contexto integral de la argumentación del inconforme, advertirse si lo que imputa es ausencia de aquélla, o solamente la tacha de indebida, pues en la </w:t>
      </w:r>
      <w:proofErr w:type="gramStart"/>
      <w:r>
        <w:rPr>
          <w:rFonts w:ascii="Palatino Linotype" w:eastAsia="Palatino Linotype" w:hAnsi="Palatino Linotype" w:cs="Palatino Linotype"/>
          <w:i/>
          <w:color w:val="404040"/>
          <w:sz w:val="22"/>
          <w:szCs w:val="22"/>
        </w:rPr>
        <w:t>primer hipótesis</w:t>
      </w:r>
      <w:proofErr w:type="gramEnd"/>
      <w:r>
        <w:rPr>
          <w:rFonts w:ascii="Palatino Linotype" w:eastAsia="Palatino Linotype" w:hAnsi="Palatino Linotype" w:cs="Palatino Linotype"/>
          <w:i/>
          <w:color w:val="404040"/>
          <w:sz w:val="22"/>
          <w:szCs w:val="22"/>
        </w:rPr>
        <w:t xml:space="preserve"> bastará observar si la resolución contiene o no argumentos apoyados en la cita de preceptos legales para quedar en aptitud de declarar fundado o infundado el atinente motivo de desacuerdo. En cambio, en el segundo supuesto, cuando la fundamentación y motivación se tachan de indebidas, es menester apreciar los argumentos del motivo de desacuerdo, expresados para explicar por qué la invocación de preceptos legales se estima errónea, o por qué la motivación es incorrecta o insuficiente, pues será a la luz de tales razones que pueda establecerse lo fundado o infundado de la inconformidad.</w:t>
      </w:r>
    </w:p>
    <w:p w14:paraId="651BF2CF"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No se omite mencionar que en el caso de la información reservada, es aquella que cuando, de manera excepcional y por razones de interés público, su publicidad puede causar un daño al interés jurídico tutelado por la ley, en alguno de los supuestos establecidos en el artículo 140 de la ley de la materia, para ello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desarrollar la prueba de daño de acuerdo a lo establecido en los Lineamientos Generales en materia de Clasificación y Desclasificación de la Información, así como para Elaboración de Versiones Públicas, misma que será caso por caso, ya que no se podrá clasificar la información únicamente por estar vinculada con los supuestos establecidos en la ley sino que además se demostrará que efectivamente dar a conocer la información que se clasifica podría afectar las funciones y el actuar de los diversos Sujetos Obligados.</w:t>
      </w:r>
    </w:p>
    <w:p w14:paraId="7C3EE189" w14:textId="77777777" w:rsidR="00CA2EA9" w:rsidRDefault="00CA2EA9">
      <w:pPr>
        <w:spacing w:line="360" w:lineRule="auto"/>
        <w:jc w:val="both"/>
        <w:rPr>
          <w:rFonts w:ascii="Palatino Linotype" w:eastAsia="Palatino Linotype" w:hAnsi="Palatino Linotype" w:cs="Palatino Linotype"/>
        </w:rPr>
      </w:pPr>
    </w:p>
    <w:p w14:paraId="135F4C05"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Dicha prueba de daño, consiste en exponer los argumentos y razones, basados en elementos verificables, a partir de los cuales se derive que la divulgación de información, en particular, puede afectar, poner en riesgo o dañar el interés protegido. Asimismo, esta no debe basarse en meras especulaciones o suposiciones, sino en elementos objetivos que deban evaluar que existe un riego actual e inminente. </w:t>
      </w:r>
    </w:p>
    <w:p w14:paraId="49F40A0C" w14:textId="77777777" w:rsidR="00CA2EA9" w:rsidRDefault="00CA2EA9">
      <w:pPr>
        <w:spacing w:line="360" w:lineRule="auto"/>
        <w:jc w:val="both"/>
        <w:rPr>
          <w:rFonts w:ascii="Palatino Linotype" w:eastAsia="Palatino Linotype" w:hAnsi="Palatino Linotype" w:cs="Palatino Linotype"/>
        </w:rPr>
      </w:pPr>
    </w:p>
    <w:p w14:paraId="32324AF9" w14:textId="77777777" w:rsidR="00CA2EA9" w:rsidRDefault="00F073C1">
      <w:pPr>
        <w:spacing w:line="360" w:lineRule="auto"/>
        <w:jc w:val="both"/>
      </w:pPr>
      <w:r>
        <w:rPr>
          <w:rFonts w:ascii="Palatino Linotype" w:eastAsia="Palatino Linotype" w:hAnsi="Palatino Linotype" w:cs="Palatino Linotype"/>
        </w:rPr>
        <w:t>Por lo señalado, es que el Sujeto Obligado no acreditó la Clasificación de la Información además de que la información solicitada, es considerada como</w:t>
      </w:r>
      <w:r>
        <w:t xml:space="preserve"> </w:t>
      </w:r>
      <w:r>
        <w:rPr>
          <w:rFonts w:ascii="Palatino Linotype" w:eastAsia="Palatino Linotype" w:hAnsi="Palatino Linotype" w:cs="Palatino Linotype"/>
        </w:rPr>
        <w:t xml:space="preserve">Obligación de Transparencia Común contenida en la fracción XX del artículo 92 de la Ley de Transparencia y Acceso a la Información Pública del Estado de México y Municipios, que dice: </w:t>
      </w:r>
    </w:p>
    <w:p w14:paraId="4E72F96A"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2BD731DF"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Capítulo II De las Obligaciones de Transparencia Comunes </w:t>
      </w:r>
    </w:p>
    <w:p w14:paraId="79A11418"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8CE5FD"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3F5FEBC2"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XX. Las condiciones generales de trabajo, contratos o</w:t>
      </w:r>
      <w:r>
        <w:rPr>
          <w:rFonts w:ascii="Palatino Linotype" w:eastAsia="Palatino Linotype" w:hAnsi="Palatino Linotype" w:cs="Palatino Linotype"/>
          <w:b/>
          <w:i/>
          <w:color w:val="404040"/>
          <w:sz w:val="22"/>
          <w:szCs w:val="22"/>
        </w:rPr>
        <w:t xml:space="preserve"> convenios que regulen las relaciones laborales del personal de base o de confianza, </w:t>
      </w:r>
      <w:r>
        <w:rPr>
          <w:rFonts w:ascii="Palatino Linotype" w:eastAsia="Palatino Linotype" w:hAnsi="Palatino Linotype" w:cs="Palatino Linotype"/>
          <w:i/>
          <w:color w:val="404040"/>
          <w:sz w:val="22"/>
          <w:szCs w:val="22"/>
        </w:rPr>
        <w:t>así como los recursos públicos económicos, en especie o donativos, que sean entregados a los Sindicatos y ejerzan como recursos públicos;</w:t>
      </w:r>
    </w:p>
    <w:p w14:paraId="5DE44AF0"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1A1BD4BF" w14:textId="77777777" w:rsidR="00CA2EA9" w:rsidRDefault="00CA2EA9">
      <w:pPr>
        <w:spacing w:line="360" w:lineRule="auto"/>
        <w:rPr>
          <w:rFonts w:ascii="Palatino Linotype" w:eastAsia="Palatino Linotype" w:hAnsi="Palatino Linotype" w:cs="Palatino Linotype"/>
        </w:rPr>
      </w:pPr>
    </w:p>
    <w:p w14:paraId="38BD6B05"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es preciso señalar que en materia de Transparencia, para que resulte procedente la entrega de la información que se solicite, es necesario que esta obre en cualquier documento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genere, posea o administre, en consecuencia, los documentos como ya ha quedado establecido y como el mismo lo refirió en respuesta obran en sus archivos, lo que significa que debe hacer la entrega del documento que ya obre en su poder y que contenga la información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desea conocer; por lo que resulta procedente proporcionar los documentos ya que se entiende que a pesar de que encuentre en trámite su registro este ya no sufrirá modificación alguna, además de que en caso de sufrir alguna modificación se debe generar otro documento, pero el convenio solicitado al ya haber sido suscrito por el Ayuntamiento en ejercicio de sus funciones resulta ser público, ahora bien, resulta prudente tomar en consideración lo plasmado en el criterio 09/2004 emitido por la Suprema Corte de Justicia de la Nación, cuya literalidad es la siguiente:</w:t>
      </w:r>
    </w:p>
    <w:p w14:paraId="55BF6B2B" w14:textId="77777777" w:rsidR="00CA2EA9" w:rsidRDefault="00F073C1">
      <w:pPr>
        <w:pBdr>
          <w:top w:val="nil"/>
          <w:left w:val="nil"/>
          <w:bottom w:val="nil"/>
          <w:right w:val="nil"/>
          <w:between w:val="nil"/>
        </w:pBdr>
        <w:spacing w:before="200" w:after="160"/>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lastRenderedPageBreak/>
        <w:t>INFORMACIÓN SUJETA A REVISIÓN. SI YA CONSTA EN UN DOCUMENTO DEFINITIVO, DEBE PERMITIRSE EL ACCESO A ÉSTE.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 10/2004-J, 19 de mayo de 2004. Unanimidad de votos</w:t>
      </w:r>
    </w:p>
    <w:p w14:paraId="2B7F2DFC" w14:textId="77777777" w:rsidR="00CA2EA9" w:rsidRDefault="00CA2EA9"/>
    <w:p w14:paraId="4913DC76" w14:textId="77777777" w:rsidR="00CA2EA9" w:rsidRDefault="00F073C1">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pues, es dable para el </w:t>
      </w:r>
      <w:proofErr w:type="spellStart"/>
      <w:r>
        <w:rPr>
          <w:rFonts w:ascii="Palatino Linotype" w:eastAsia="Palatino Linotype" w:hAnsi="Palatino Linotype" w:cs="Palatino Linotype"/>
        </w:rPr>
        <w:t>Infoem</w:t>
      </w:r>
      <w:proofErr w:type="spellEnd"/>
      <w:r>
        <w:rPr>
          <w:rFonts w:ascii="Palatino Linotype" w:eastAsia="Palatino Linotype" w:hAnsi="Palatino Linotype" w:cs="Palatino Linotype"/>
        </w:rPr>
        <w:t xml:space="preserve">, ordenar la entrega del </w:t>
      </w:r>
      <w:hyperlink r:id="rId12" w:anchor="overlay-context=informacion_interes">
        <w:r>
          <w:rPr>
            <w:rFonts w:ascii="Palatino Linotype" w:eastAsia="Palatino Linotype" w:hAnsi="Palatino Linotype" w:cs="Palatino Linotype"/>
            <w:color w:val="000000"/>
          </w:rPr>
          <w:t>Convenio de Prestaciones de Ley y Colaterales</w:t>
        </w:r>
      </w:hyperlink>
      <w:r>
        <w:rPr>
          <w:rFonts w:ascii="Palatino Linotype" w:eastAsia="Palatino Linotype" w:hAnsi="Palatino Linotype" w:cs="Palatino Linotype"/>
        </w:rPr>
        <w:t xml:space="preserve">, firmado por el Ayuntamiento de Naucalpan de Juárez y el Sindicato Único de Trabajadores de los Poderes, Municipios e Instituciones Descentralizadas del Estado de México en el año de dos mil veintidós, requerido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pues como ha sido demostrado,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encuentra facultado para satisfacer este derecho ciudadano, atendiendo al Considerando. </w:t>
      </w:r>
    </w:p>
    <w:p w14:paraId="19FD7263" w14:textId="77777777" w:rsidR="00CA2EA9" w:rsidRDefault="00CA2EA9">
      <w:pPr>
        <w:spacing w:line="360" w:lineRule="auto"/>
        <w:jc w:val="both"/>
        <w:rPr>
          <w:rFonts w:ascii="Palatino Linotype" w:eastAsia="Palatino Linotype" w:hAnsi="Palatino Linotype" w:cs="Palatino Linotype"/>
        </w:rPr>
      </w:pPr>
    </w:p>
    <w:p w14:paraId="2B19F970" w14:textId="77777777" w:rsidR="00CA2EA9" w:rsidRDefault="00F073C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para dar satisfacción de la Derecho Humano de Acceso a la Información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deberá considerar que ello no es absoluto, sino que encuentra como excepciones que la información sobre la cual se peticiona el acceso, contenga datos que deban ser clasificados en los términos que la misma ley de la materia señala,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tendrá que elaborar la versión pública de los documentos </w:t>
      </w:r>
      <w:r>
        <w:rPr>
          <w:rFonts w:ascii="Palatino Linotype" w:eastAsia="Palatino Linotype" w:hAnsi="Palatino Linotype" w:cs="Palatino Linotype"/>
        </w:rPr>
        <w:lastRenderedPageBreak/>
        <w:t xml:space="preserve">que vaya entregar para dar cumplimiento a esta resolución, a fin de satisfacer el Derecho de Acceso a la Información Pública de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sin menoscabar el Derecho a la Protección de los Datos Personales de terceros.</w:t>
      </w:r>
    </w:p>
    <w:p w14:paraId="1E82FD61" w14:textId="77777777" w:rsidR="00CA2EA9" w:rsidRDefault="00CA2EA9">
      <w:pPr>
        <w:spacing w:line="360" w:lineRule="auto"/>
        <w:ind w:right="49"/>
        <w:jc w:val="both"/>
        <w:rPr>
          <w:rFonts w:ascii="Palatino Linotype" w:eastAsia="Palatino Linotype" w:hAnsi="Palatino Linotype" w:cs="Palatino Linotype"/>
        </w:rPr>
      </w:pPr>
    </w:p>
    <w:p w14:paraId="223F34DA" w14:textId="77777777" w:rsidR="00CA2EA9" w:rsidRDefault="00F073C1">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6DDB5507"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1259D279"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Artículo 3</w:t>
      </w:r>
      <w:r>
        <w:rPr>
          <w:rFonts w:ascii="Palatino Linotype" w:eastAsia="Palatino Linotype" w:hAnsi="Palatino Linotype" w:cs="Palatino Linotype"/>
          <w:i/>
          <w:color w:val="404040"/>
          <w:sz w:val="22"/>
          <w:szCs w:val="22"/>
        </w:rPr>
        <w:t>. Para los efectos de la presente Ley se entenderá por:</w:t>
      </w:r>
    </w:p>
    <w:p w14:paraId="1AEC3936"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735B8A81"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IX. Datos personales:</w:t>
      </w:r>
      <w:r>
        <w:rPr>
          <w:rFonts w:ascii="Palatino Linotype" w:eastAsia="Palatino Linotype" w:hAnsi="Palatino Linotype" w:cs="Palatino Linotype"/>
          <w:i/>
          <w:color w:val="404040"/>
          <w:sz w:val="22"/>
          <w:szCs w:val="22"/>
        </w:rPr>
        <w:t xml:space="preserve"> La información concerniente a una persona, identificada o identificable según lo dispuesto por la Ley de Protección de Datos Personales del Estado de México; </w:t>
      </w:r>
    </w:p>
    <w:p w14:paraId="19DD786B"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XX. Información clasificada</w:t>
      </w:r>
      <w:r>
        <w:rPr>
          <w:rFonts w:ascii="Palatino Linotype" w:eastAsia="Palatino Linotype" w:hAnsi="Palatino Linotype" w:cs="Palatino Linotype"/>
          <w:i/>
          <w:color w:val="404040"/>
          <w:sz w:val="22"/>
          <w:szCs w:val="22"/>
        </w:rPr>
        <w:t>: Aquella considerada por la presente Ley como reservada o confidencial;</w:t>
      </w:r>
    </w:p>
    <w:p w14:paraId="60615698"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XXI. Información confidencial:</w:t>
      </w:r>
      <w:r>
        <w:rPr>
          <w:rFonts w:ascii="Palatino Linotype" w:eastAsia="Palatino Linotype" w:hAnsi="Palatino Linotype" w:cs="Palatino Linotype"/>
          <w:i/>
          <w:color w:val="404040"/>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143E821"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XLV. Versión pública:</w:t>
      </w:r>
      <w:r>
        <w:rPr>
          <w:rFonts w:ascii="Palatino Linotype" w:eastAsia="Palatino Linotype" w:hAnsi="Palatino Linotype" w:cs="Palatino Linotype"/>
          <w:i/>
          <w:color w:val="404040"/>
          <w:sz w:val="22"/>
          <w:szCs w:val="22"/>
        </w:rPr>
        <w:t xml:space="preserve"> Documento en el que se elimine, suprime o borra la información clasificada como reservada o confidencial para permitir su acceso.</w:t>
      </w:r>
    </w:p>
    <w:p w14:paraId="752CE478"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5645CF6C"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F333794"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Artículo 91. </w:t>
      </w:r>
      <w:r>
        <w:rPr>
          <w:rFonts w:ascii="Palatino Linotype" w:eastAsia="Palatino Linotype" w:hAnsi="Palatino Linotype" w:cs="Palatino Linotype"/>
          <w:i/>
          <w:color w:val="404040"/>
          <w:sz w:val="22"/>
          <w:szCs w:val="22"/>
        </w:rPr>
        <w:t>El acceso a la información pública será restringido excepcionalmente, cuando ésta sea clasificada como reservada o confidencial.</w:t>
      </w:r>
    </w:p>
    <w:p w14:paraId="7AE7FE55"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14:paraId="3114ED5A"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Artículo 132. </w:t>
      </w:r>
      <w:r>
        <w:rPr>
          <w:rFonts w:ascii="Palatino Linotype" w:eastAsia="Palatino Linotype" w:hAnsi="Palatino Linotype" w:cs="Palatino Linotype"/>
          <w:i/>
          <w:color w:val="404040"/>
          <w:sz w:val="22"/>
          <w:szCs w:val="22"/>
        </w:rPr>
        <w:t>La clasificación de la información se llevará a cabo en el momento en que:</w:t>
      </w:r>
    </w:p>
    <w:p w14:paraId="0AE273E2"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w:t>
      </w:r>
      <w:r>
        <w:rPr>
          <w:rFonts w:ascii="Palatino Linotype" w:eastAsia="Palatino Linotype" w:hAnsi="Palatino Linotype" w:cs="Palatino Linotype"/>
          <w:i/>
          <w:color w:val="404040"/>
          <w:sz w:val="22"/>
          <w:szCs w:val="22"/>
        </w:rPr>
        <w:t>. Se reciba una solicitud de acceso a la información;</w:t>
      </w:r>
    </w:p>
    <w:p w14:paraId="2C8464F1"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II</w:t>
      </w:r>
      <w:r>
        <w:rPr>
          <w:rFonts w:ascii="Palatino Linotype" w:eastAsia="Palatino Linotype" w:hAnsi="Palatino Linotype" w:cs="Palatino Linotype"/>
          <w:i/>
          <w:color w:val="404040"/>
          <w:sz w:val="22"/>
          <w:szCs w:val="22"/>
        </w:rPr>
        <w:t>. Se determine mediante resolución de autoridad competente; o</w:t>
      </w:r>
    </w:p>
    <w:p w14:paraId="6E214219"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III</w:t>
      </w:r>
      <w:r>
        <w:rPr>
          <w:rFonts w:ascii="Palatino Linotype" w:eastAsia="Palatino Linotype" w:hAnsi="Palatino Linotype" w:cs="Palatino Linotype"/>
          <w:i/>
          <w:color w:val="404040"/>
          <w:sz w:val="22"/>
          <w:szCs w:val="22"/>
        </w:rPr>
        <w:t>. Se generen versiones públicas para dar cumplimiento a las obligaciones de transparencia previstas en esta Ley.</w:t>
      </w:r>
    </w:p>
    <w:p w14:paraId="0CF19D0A"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2C224819"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14:paraId="3A34BB2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lastRenderedPageBreak/>
        <w:t>Artículo 143</w:t>
      </w:r>
      <w:r>
        <w:rPr>
          <w:rFonts w:ascii="Palatino Linotype" w:eastAsia="Palatino Linotype" w:hAnsi="Palatino Linotype" w:cs="Palatino Linotype"/>
          <w:i/>
          <w:color w:val="404040"/>
          <w:sz w:val="22"/>
          <w:szCs w:val="22"/>
        </w:rPr>
        <w:t>. Para los efectos de esta Ley se considera información confidencial, la clasificada como tal, de manera permanente, por su naturaleza, cuando:</w:t>
      </w:r>
    </w:p>
    <w:p w14:paraId="13FC995E"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w:t>
      </w:r>
      <w:r>
        <w:rPr>
          <w:rFonts w:ascii="Palatino Linotype" w:eastAsia="Palatino Linotype" w:hAnsi="Palatino Linotype" w:cs="Palatino Linotype"/>
          <w:i/>
          <w:color w:val="404040"/>
          <w:sz w:val="22"/>
          <w:szCs w:val="22"/>
        </w:rPr>
        <w:t xml:space="preserve"> Se refiera a la información privada y los datos personales concernientes a una persona física o jurídico colectiva identificada o identificable;</w:t>
      </w:r>
    </w:p>
    <w:p w14:paraId="5C94689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II.</w:t>
      </w:r>
      <w:r>
        <w:rPr>
          <w:rFonts w:ascii="Palatino Linotype" w:eastAsia="Palatino Linotype" w:hAnsi="Palatino Linotype" w:cs="Palatino Linotype"/>
          <w:i/>
          <w:color w:val="404040"/>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47D4099"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III</w:t>
      </w:r>
      <w:r>
        <w:rPr>
          <w:rFonts w:ascii="Palatino Linotype" w:eastAsia="Palatino Linotype" w:hAnsi="Palatino Linotype" w:cs="Palatino Linotype"/>
          <w:i/>
          <w:color w:val="404040"/>
          <w:sz w:val="22"/>
          <w:szCs w:val="22"/>
        </w:rPr>
        <w:t>. La que presenten los particulares a los sujetos obligados, de conformidad con lo dispuesto por las leyes o los tratados internacionales.</w:t>
      </w:r>
    </w:p>
    <w:p w14:paraId="1423FBF6"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La información confidencial no estará sujeta a temporalidad alguna y sólo podrán tener acceso a ella los titulares de la misma, sus representantes y los servidores públicos facultados para ello.</w:t>
      </w:r>
    </w:p>
    <w:p w14:paraId="4385BFB1"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No se considerará confidencial la información que se encuentre en los registros públicos o en fuentes de acceso público, ni tampoco la que sea considerada por la presente ley como información pública.</w:t>
      </w:r>
    </w:p>
    <w:p w14:paraId="7D17D365"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i/>
          <w:color w:val="404040"/>
        </w:rPr>
      </w:pPr>
    </w:p>
    <w:p w14:paraId="1615D1B0"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E1A1A7D" w14:textId="77777777" w:rsidR="00CA2EA9" w:rsidRDefault="00CA2EA9">
      <w:pPr>
        <w:spacing w:line="360" w:lineRule="auto"/>
        <w:jc w:val="both"/>
        <w:rPr>
          <w:rFonts w:ascii="Palatino Linotype" w:eastAsia="Palatino Linotype" w:hAnsi="Palatino Linotype" w:cs="Palatino Linotype"/>
        </w:rPr>
      </w:pPr>
    </w:p>
    <w:p w14:paraId="2A77072D"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35B140D" w14:textId="77777777" w:rsidR="00CA2EA9" w:rsidRDefault="00CA2EA9">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14:paraId="481D143C"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Quincuagésimo sexto</w:t>
      </w:r>
      <w:r>
        <w:rPr>
          <w:rFonts w:ascii="Palatino Linotype" w:eastAsia="Palatino Linotype" w:hAnsi="Palatino Linotype" w:cs="Palatino Linotype"/>
          <w:i/>
          <w:color w:val="404040"/>
          <w:sz w:val="22"/>
          <w:szCs w:val="22"/>
        </w:rPr>
        <w:t xml:space="preserve">. La versión pública del documento o expediente que contenga partes o secciones reservadas o confidenciales, será elaborada por los </w:t>
      </w:r>
      <w:r>
        <w:rPr>
          <w:rFonts w:ascii="Palatino Linotype" w:eastAsia="Palatino Linotype" w:hAnsi="Palatino Linotype" w:cs="Palatino Linotype"/>
          <w:i/>
          <w:color w:val="404040"/>
          <w:sz w:val="22"/>
          <w:szCs w:val="22"/>
        </w:rPr>
        <w:lastRenderedPageBreak/>
        <w:t>sujetos obligados, previo pago de los costos de reproducción, a través de sus áreas y deberá ser aprobada por su Comité de Transparencia</w:t>
      </w:r>
    </w:p>
    <w:p w14:paraId="1E9E0FA6"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Quincuagésimo séptimo</w:t>
      </w:r>
      <w:r>
        <w:rPr>
          <w:rFonts w:ascii="Palatino Linotype" w:eastAsia="Palatino Linotype" w:hAnsi="Palatino Linotype" w:cs="Palatino Linotype"/>
          <w:i/>
          <w:color w:val="404040"/>
          <w:sz w:val="22"/>
          <w:szCs w:val="22"/>
        </w:rPr>
        <w:t xml:space="preserve">. Se considera, en principio, como información pública y no podrá omitirse de las versiones públicas la siguiente: </w:t>
      </w:r>
    </w:p>
    <w:p w14:paraId="30CB2294"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w:t>
      </w:r>
      <w:r>
        <w:rPr>
          <w:rFonts w:ascii="Palatino Linotype" w:eastAsia="Palatino Linotype" w:hAnsi="Palatino Linotype" w:cs="Palatino Linotype"/>
          <w:i/>
          <w:color w:val="404040"/>
          <w:sz w:val="22"/>
          <w:szCs w:val="22"/>
        </w:rPr>
        <w:t xml:space="preserve">. La relativa a las Obligaciones de Transparencia que contempla el Título V de la Ley General y las demás disposiciones legales aplicables; </w:t>
      </w:r>
    </w:p>
    <w:p w14:paraId="7BFA6858"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II.</w:t>
      </w:r>
      <w:r>
        <w:rPr>
          <w:rFonts w:ascii="Palatino Linotype" w:eastAsia="Palatino Linotype" w:hAnsi="Palatino Linotype" w:cs="Palatino Linotype"/>
          <w:i/>
          <w:color w:val="404040"/>
          <w:sz w:val="22"/>
          <w:szCs w:val="22"/>
        </w:rPr>
        <w:t xml:space="preserve"> El nombre de los servidores públicos en los documentos, y sus firmas autógrafas, cuando sean utilizados en el ejercicio de las facultades conferidas para el desempeño del servicio público, y </w:t>
      </w:r>
    </w:p>
    <w:p w14:paraId="5081FD57"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III.</w:t>
      </w:r>
      <w:r>
        <w:rPr>
          <w:rFonts w:ascii="Palatino Linotype" w:eastAsia="Palatino Linotype" w:hAnsi="Palatino Linotype" w:cs="Palatino Linotype"/>
          <w:i/>
          <w:color w:val="404040"/>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5E0D8BC"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Lo anterior, siempre y cuando no se acredite alguna causal de clasificación, prevista en las leyes o en los tratados </w:t>
      </w:r>
      <w:proofErr w:type="gramStart"/>
      <w:r>
        <w:rPr>
          <w:rFonts w:ascii="Palatino Linotype" w:eastAsia="Palatino Linotype" w:hAnsi="Palatino Linotype" w:cs="Palatino Linotype"/>
          <w:i/>
          <w:color w:val="404040"/>
          <w:sz w:val="22"/>
          <w:szCs w:val="22"/>
        </w:rPr>
        <w:t>internaciones suscritos</w:t>
      </w:r>
      <w:proofErr w:type="gramEnd"/>
      <w:r>
        <w:rPr>
          <w:rFonts w:ascii="Palatino Linotype" w:eastAsia="Palatino Linotype" w:hAnsi="Palatino Linotype" w:cs="Palatino Linotype"/>
          <w:i/>
          <w:color w:val="404040"/>
          <w:sz w:val="22"/>
          <w:szCs w:val="22"/>
        </w:rPr>
        <w:t xml:space="preserve"> por el Estado mexicano.</w:t>
      </w:r>
    </w:p>
    <w:p w14:paraId="3DE76DE0" w14:textId="77777777" w:rsidR="00CA2EA9" w:rsidRDefault="00CA2EA9"/>
    <w:p w14:paraId="726F1273" w14:textId="77777777" w:rsidR="00CA2EA9" w:rsidRDefault="00F073C1">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Quincuagésimo octavo</w:t>
      </w:r>
      <w:r>
        <w:rPr>
          <w:rFonts w:ascii="Palatino Linotype" w:eastAsia="Palatino Linotype" w:hAnsi="Palatino Linotype" w:cs="Palatino Linotype"/>
          <w:i/>
          <w:color w:val="404040"/>
          <w:sz w:val="22"/>
          <w:szCs w:val="22"/>
        </w:rPr>
        <w:t>. Los sujetos obligados garantizarán que los sistemas o medios empleados para eliminar la información en las versiones públicas no permitan la recuperación o visualización de la misma.</w:t>
      </w:r>
    </w:p>
    <w:p w14:paraId="2A23AB15" w14:textId="77777777" w:rsidR="00CA2EA9" w:rsidRDefault="00CA2EA9">
      <w:pPr>
        <w:spacing w:line="360" w:lineRule="auto"/>
        <w:ind w:left="567" w:right="902"/>
        <w:jc w:val="both"/>
        <w:rPr>
          <w:rFonts w:ascii="Palatino Linotype" w:eastAsia="Palatino Linotype" w:hAnsi="Palatino Linotype" w:cs="Palatino Linotype"/>
          <w:i/>
          <w:sz w:val="22"/>
          <w:szCs w:val="22"/>
        </w:rPr>
      </w:pPr>
    </w:p>
    <w:p w14:paraId="35670E49"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D9BCF33" w14:textId="77777777" w:rsidR="00CA2EA9" w:rsidRDefault="00CA2EA9">
      <w:pPr>
        <w:spacing w:line="360" w:lineRule="auto"/>
        <w:jc w:val="both"/>
        <w:rPr>
          <w:rFonts w:ascii="Palatino Linotype" w:eastAsia="Palatino Linotype" w:hAnsi="Palatino Linotype" w:cs="Palatino Linotype"/>
        </w:rPr>
      </w:pPr>
    </w:p>
    <w:p w14:paraId="6D68B8B5"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relación directa con ello, los Lineamientos en estudio establecen los formatos para la clasificación parcial y total de los documentos, que atienden a lo siguiente:</w:t>
      </w:r>
    </w:p>
    <w:tbl>
      <w:tblPr>
        <w:tblStyle w:val="a3"/>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A2EA9" w14:paraId="1F7AD64F" w14:textId="77777777">
        <w:tc>
          <w:tcPr>
            <w:tcW w:w="4253" w:type="dxa"/>
            <w:gridSpan w:val="2"/>
            <w:tcBorders>
              <w:top w:val="nil"/>
              <w:left w:val="nil"/>
              <w:right w:val="nil"/>
            </w:tcBorders>
          </w:tcPr>
          <w:p w14:paraId="6582E825" w14:textId="77777777" w:rsidR="00CA2EA9" w:rsidRDefault="00F073C1">
            <w:pPr>
              <w:spacing w:line="360"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6A10BEF6" w14:textId="77777777" w:rsidR="00CA2EA9" w:rsidRDefault="00F073C1">
            <w:pPr>
              <w:spacing w:line="360"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CA2EA9" w14:paraId="71C798BA" w14:textId="77777777">
        <w:tc>
          <w:tcPr>
            <w:tcW w:w="1134" w:type="dxa"/>
          </w:tcPr>
          <w:p w14:paraId="467C609A" w14:textId="77777777" w:rsidR="00CA2EA9" w:rsidRDefault="00F073C1">
            <w:pPr>
              <w:spacing w:line="360"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2C92CDDC" w14:textId="77777777" w:rsidR="00CA2EA9" w:rsidRDefault="00F073C1">
            <w:pPr>
              <w:spacing w:line="360"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16F04991" w14:textId="77777777" w:rsidR="00CA2EA9" w:rsidRDefault="00F073C1">
            <w:pPr>
              <w:spacing w:line="360"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1B42EE95" w14:textId="77777777" w:rsidR="00CA2EA9" w:rsidRDefault="00F073C1">
            <w:pPr>
              <w:spacing w:line="360"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CA2EA9" w14:paraId="206856FF" w14:textId="77777777">
        <w:tc>
          <w:tcPr>
            <w:tcW w:w="8828" w:type="dxa"/>
            <w:gridSpan w:val="4"/>
          </w:tcPr>
          <w:p w14:paraId="113B062B" w14:textId="77777777" w:rsidR="00CA2EA9" w:rsidRDefault="00F073C1">
            <w:pPr>
              <w:spacing w:line="360" w:lineRule="auto"/>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CA2EA9" w14:paraId="03BAD64A" w14:textId="77777777">
        <w:tc>
          <w:tcPr>
            <w:tcW w:w="1134" w:type="dxa"/>
          </w:tcPr>
          <w:p w14:paraId="5DDE3107"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300BC2D2"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E3DADA2"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2F3AF44C"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A2EA9" w14:paraId="5A943AE9" w14:textId="77777777">
        <w:tc>
          <w:tcPr>
            <w:tcW w:w="1134" w:type="dxa"/>
          </w:tcPr>
          <w:p w14:paraId="31BB7DB8"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00D2D576"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3353CCA3"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30DE489B"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CA2EA9" w14:paraId="305A1421" w14:textId="77777777">
        <w:tc>
          <w:tcPr>
            <w:tcW w:w="1134" w:type="dxa"/>
          </w:tcPr>
          <w:p w14:paraId="03A4E19D"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67700179"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4EF57D10"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3ACB9D30"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CA2EA9" w14:paraId="062018AB" w14:textId="77777777">
        <w:tc>
          <w:tcPr>
            <w:tcW w:w="1134" w:type="dxa"/>
          </w:tcPr>
          <w:p w14:paraId="0AC2F9BA"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74F30FD6"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2BB37895"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1F25BF14"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A2EA9" w14:paraId="25BFCF42" w14:textId="77777777">
        <w:tc>
          <w:tcPr>
            <w:tcW w:w="1134" w:type="dxa"/>
          </w:tcPr>
          <w:p w14:paraId="185F06A8"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108F06CB"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A045038"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72865034"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A2EA9" w14:paraId="0EB5D640" w14:textId="77777777">
        <w:tc>
          <w:tcPr>
            <w:tcW w:w="1134" w:type="dxa"/>
          </w:tcPr>
          <w:p w14:paraId="4A7ECDE6"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7DADCFDC"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100C2CED"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3E243945"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A2EA9" w14:paraId="20CB8D58" w14:textId="77777777">
        <w:tc>
          <w:tcPr>
            <w:tcW w:w="1134" w:type="dxa"/>
          </w:tcPr>
          <w:p w14:paraId="70E901FB"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35FDE4E2"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8427EC0"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5A0584FC"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CA2EA9" w14:paraId="674E24B5" w14:textId="77777777">
        <w:tc>
          <w:tcPr>
            <w:tcW w:w="1134" w:type="dxa"/>
          </w:tcPr>
          <w:p w14:paraId="3BFA1B9F"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05027483"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4A3C7F96"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0DF7679A"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A2EA9" w14:paraId="5E161F1C" w14:textId="77777777">
        <w:tc>
          <w:tcPr>
            <w:tcW w:w="1134" w:type="dxa"/>
          </w:tcPr>
          <w:p w14:paraId="3BE32293"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13B22DAF"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358F429B"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53FAF858"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CA2EA9" w14:paraId="13FDDD03" w14:textId="77777777">
        <w:tc>
          <w:tcPr>
            <w:tcW w:w="1134" w:type="dxa"/>
          </w:tcPr>
          <w:p w14:paraId="11B45888"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4EB50756"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11E75559"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72C1E868"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CA2EA9" w14:paraId="0BBFD042" w14:textId="77777777">
        <w:tc>
          <w:tcPr>
            <w:tcW w:w="1134" w:type="dxa"/>
          </w:tcPr>
          <w:p w14:paraId="0D14800E" w14:textId="77777777" w:rsidR="00CA2EA9" w:rsidRDefault="00CA2EA9">
            <w:pPr>
              <w:spacing w:line="360" w:lineRule="auto"/>
              <w:jc w:val="both"/>
              <w:rPr>
                <w:rFonts w:ascii="Palatino Linotype" w:eastAsia="Palatino Linotype" w:hAnsi="Palatino Linotype" w:cs="Palatino Linotype"/>
                <w:b/>
                <w:sz w:val="12"/>
                <w:szCs w:val="12"/>
              </w:rPr>
            </w:pPr>
          </w:p>
        </w:tc>
        <w:tc>
          <w:tcPr>
            <w:tcW w:w="3119" w:type="dxa"/>
          </w:tcPr>
          <w:p w14:paraId="668142E5" w14:textId="77777777" w:rsidR="00CA2EA9" w:rsidRDefault="00CA2EA9">
            <w:pPr>
              <w:spacing w:line="360" w:lineRule="auto"/>
              <w:jc w:val="both"/>
              <w:rPr>
                <w:rFonts w:ascii="Palatino Linotype" w:eastAsia="Palatino Linotype" w:hAnsi="Palatino Linotype" w:cs="Palatino Linotype"/>
                <w:sz w:val="12"/>
                <w:szCs w:val="12"/>
              </w:rPr>
            </w:pPr>
          </w:p>
        </w:tc>
        <w:tc>
          <w:tcPr>
            <w:tcW w:w="1129" w:type="dxa"/>
          </w:tcPr>
          <w:p w14:paraId="07F032AC"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24D49E0B"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CA2EA9" w14:paraId="45359F11" w14:textId="77777777">
        <w:tc>
          <w:tcPr>
            <w:tcW w:w="1134" w:type="dxa"/>
          </w:tcPr>
          <w:p w14:paraId="58A539A9" w14:textId="77777777" w:rsidR="00CA2EA9" w:rsidRDefault="00CA2EA9">
            <w:pPr>
              <w:spacing w:line="360" w:lineRule="auto"/>
              <w:jc w:val="both"/>
              <w:rPr>
                <w:rFonts w:ascii="Palatino Linotype" w:eastAsia="Palatino Linotype" w:hAnsi="Palatino Linotype" w:cs="Palatino Linotype"/>
                <w:b/>
                <w:sz w:val="12"/>
                <w:szCs w:val="12"/>
              </w:rPr>
            </w:pPr>
          </w:p>
        </w:tc>
        <w:tc>
          <w:tcPr>
            <w:tcW w:w="3119" w:type="dxa"/>
          </w:tcPr>
          <w:p w14:paraId="55A1DF63" w14:textId="77777777" w:rsidR="00CA2EA9" w:rsidRDefault="00CA2EA9">
            <w:pPr>
              <w:spacing w:line="360" w:lineRule="auto"/>
              <w:jc w:val="both"/>
              <w:rPr>
                <w:rFonts w:ascii="Palatino Linotype" w:eastAsia="Palatino Linotype" w:hAnsi="Palatino Linotype" w:cs="Palatino Linotype"/>
                <w:sz w:val="12"/>
                <w:szCs w:val="12"/>
              </w:rPr>
            </w:pPr>
          </w:p>
        </w:tc>
        <w:tc>
          <w:tcPr>
            <w:tcW w:w="1129" w:type="dxa"/>
          </w:tcPr>
          <w:p w14:paraId="3E03AE62" w14:textId="77777777" w:rsidR="00CA2EA9" w:rsidRDefault="00F073C1">
            <w:pPr>
              <w:spacing w:line="360" w:lineRule="auto"/>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2E45C224" w14:textId="77777777" w:rsidR="00CA2EA9" w:rsidRDefault="00F073C1">
            <w:pPr>
              <w:spacing w:line="360" w:lineRule="auto"/>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35242DA9" w14:textId="77777777" w:rsidR="00CA2EA9" w:rsidRDefault="00CA2EA9">
      <w:pPr>
        <w:spacing w:line="360" w:lineRule="auto"/>
        <w:jc w:val="both"/>
        <w:rPr>
          <w:rFonts w:ascii="Palatino Linotype" w:eastAsia="Palatino Linotype" w:hAnsi="Palatino Linotype" w:cs="Palatino Linotype"/>
        </w:rPr>
      </w:pPr>
    </w:p>
    <w:p w14:paraId="47F8881B"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hasta aquí expuesto, se concluye que los motivos de inconformidad de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 xml:space="preserve">devienen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siendo procedente </w:t>
      </w:r>
      <w:r>
        <w:rPr>
          <w:rFonts w:ascii="Palatino Linotype" w:eastAsia="Palatino Linotype" w:hAnsi="Palatino Linotype" w:cs="Palatino Linotype"/>
          <w:b/>
        </w:rPr>
        <w:t>REVOCAR</w:t>
      </w:r>
      <w:r>
        <w:rPr>
          <w:rFonts w:ascii="Palatino Linotype" w:eastAsia="Palatino Linotype" w:hAnsi="Palatino Linotype" w:cs="Palatino Linotype"/>
        </w:rPr>
        <w:t xml:space="preserve"> la respuesta y ordenar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la entrega de la información</w:t>
      </w:r>
      <w:r>
        <w:rPr>
          <w:rFonts w:ascii="Palatino Linotype" w:eastAsia="Palatino Linotype" w:hAnsi="Palatino Linotype" w:cs="Palatino Linotype"/>
          <w:b/>
        </w:rPr>
        <w:t xml:space="preserve"> </w:t>
      </w:r>
      <w:r>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248A5A3D" w14:textId="77777777" w:rsidR="00CA2EA9" w:rsidRDefault="00CA2EA9">
      <w:pPr>
        <w:pBdr>
          <w:top w:val="nil"/>
          <w:left w:val="nil"/>
          <w:bottom w:val="nil"/>
          <w:right w:val="nil"/>
          <w:between w:val="nil"/>
        </w:pBdr>
        <w:spacing w:line="360" w:lineRule="auto"/>
        <w:jc w:val="both"/>
        <w:rPr>
          <w:rFonts w:ascii="Palatino Linotype" w:eastAsia="Palatino Linotype" w:hAnsi="Palatino Linotype" w:cs="Palatino Linotype"/>
        </w:rPr>
      </w:pPr>
    </w:p>
    <w:p w14:paraId="6AB4953F" w14:textId="77777777" w:rsidR="00CA2EA9" w:rsidRDefault="00F073C1">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CCE8FD8" w14:textId="77777777" w:rsidR="00CA2EA9" w:rsidRDefault="00CA2EA9">
      <w:pPr>
        <w:pBdr>
          <w:top w:val="nil"/>
          <w:left w:val="nil"/>
          <w:bottom w:val="nil"/>
          <w:right w:val="nil"/>
          <w:between w:val="nil"/>
        </w:pBdr>
        <w:spacing w:line="360" w:lineRule="auto"/>
        <w:jc w:val="both"/>
        <w:rPr>
          <w:rFonts w:ascii="Palatino Linotype" w:eastAsia="Palatino Linotype" w:hAnsi="Palatino Linotype" w:cs="Palatino Linotype"/>
        </w:rPr>
      </w:pPr>
    </w:p>
    <w:p w14:paraId="0B7111E9" w14:textId="77777777" w:rsidR="00CA2EA9" w:rsidRDefault="00F073C1">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R E S U E L V E: </w:t>
      </w:r>
    </w:p>
    <w:p w14:paraId="0BC8D337" w14:textId="77777777" w:rsidR="00CA2EA9" w:rsidRDefault="00CA2EA9">
      <w:pPr>
        <w:pBdr>
          <w:top w:val="nil"/>
          <w:left w:val="nil"/>
          <w:bottom w:val="nil"/>
          <w:right w:val="nil"/>
          <w:between w:val="nil"/>
        </w:pBdr>
        <w:spacing w:line="360" w:lineRule="auto"/>
        <w:ind w:left="1080"/>
        <w:rPr>
          <w:rFonts w:ascii="Palatino Linotype" w:eastAsia="Palatino Linotype" w:hAnsi="Palatino Linotype" w:cs="Palatino Linotype"/>
          <w:b/>
          <w:color w:val="000000"/>
        </w:rPr>
      </w:pPr>
    </w:p>
    <w:p w14:paraId="325BA7F8" w14:textId="77777777" w:rsidR="00CA2EA9" w:rsidRDefault="00F073C1">
      <w:pPr>
        <w:spacing w:line="360" w:lineRule="auto"/>
        <w:jc w:val="both"/>
        <w:rPr>
          <w:rFonts w:ascii="Palatino Linotype" w:eastAsia="Palatino Linotype" w:hAnsi="Palatino Linotype" w:cs="Palatino Linotype"/>
          <w:b/>
          <w:color w:val="FF0000"/>
        </w:rPr>
      </w:pPr>
      <w:bookmarkStart w:id="5" w:name="_heading=h.3rdcrjn" w:colFirst="0" w:colLast="0"/>
      <w:bookmarkEnd w:id="5"/>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00239/INFOEM/IP/RR/2023</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a la solicitud </w:t>
      </w:r>
      <w:r>
        <w:rPr>
          <w:rFonts w:ascii="Palatino Linotype" w:eastAsia="Palatino Linotype" w:hAnsi="Palatino Linotype" w:cs="Palatino Linotype"/>
          <w:b/>
        </w:rPr>
        <w:t>00982/NAUCALPA/IP/2022,</w:t>
      </w:r>
      <w:r>
        <w:rPr>
          <w:rFonts w:ascii="Palatino Linotype" w:eastAsia="Palatino Linotype" w:hAnsi="Palatino Linotype" w:cs="Palatino Linotype"/>
        </w:rPr>
        <w:t xml:space="preserve"> emitida por </w:t>
      </w:r>
      <w:r>
        <w:rPr>
          <w:rFonts w:ascii="Palatino Linotype" w:eastAsia="Palatino Linotype" w:hAnsi="Palatino Linotype" w:cs="Palatino Linotype"/>
          <w:b/>
        </w:rPr>
        <w:t>EL SUJETO OBLIGADO.</w:t>
      </w:r>
      <w:r>
        <w:rPr>
          <w:rFonts w:ascii="Palatino Linotype" w:eastAsia="Palatino Linotype" w:hAnsi="Palatino Linotype" w:cs="Palatino Linotype"/>
          <w:b/>
          <w:color w:val="FF0000"/>
        </w:rPr>
        <w:t xml:space="preserve"> </w:t>
      </w:r>
    </w:p>
    <w:p w14:paraId="01479769" w14:textId="77777777" w:rsidR="00CA2EA9" w:rsidRDefault="00CA2EA9">
      <w:pPr>
        <w:spacing w:line="360" w:lineRule="auto"/>
        <w:jc w:val="both"/>
        <w:rPr>
          <w:rFonts w:ascii="Palatino Linotype" w:eastAsia="Palatino Linotype" w:hAnsi="Palatino Linotype" w:cs="Palatino Linotype"/>
          <w:b/>
          <w:color w:val="FF0000"/>
        </w:rPr>
      </w:pPr>
    </w:p>
    <w:p w14:paraId="3288411B" w14:textId="77777777" w:rsidR="00CA2EA9" w:rsidRDefault="00F073C1">
      <w:pPr>
        <w:spacing w:line="360" w:lineRule="auto"/>
        <w:ind w:right="49"/>
        <w:jc w:val="both"/>
        <w:rPr>
          <w:rFonts w:ascii="Palatino Linotype" w:eastAsia="Palatino Linotype" w:hAnsi="Palatino Linotype" w:cs="Palatino Linotype"/>
        </w:rPr>
      </w:pPr>
      <w:bookmarkStart w:id="6" w:name="_heading=h.1fob9te" w:colFirst="0" w:colLast="0"/>
      <w:bookmarkEnd w:id="6"/>
      <w:r>
        <w:rPr>
          <w:rFonts w:ascii="Palatino Linotype" w:eastAsia="Palatino Linotype" w:hAnsi="Palatino Linotype" w:cs="Palatino Linotype"/>
          <w:b/>
        </w:rPr>
        <w:lastRenderedPageBreak/>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haga entrega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vía SAIMEX, de ser el caso en versión en términos de los </w:t>
      </w:r>
      <w:r>
        <w:rPr>
          <w:rFonts w:ascii="Palatino Linotype" w:eastAsia="Palatino Linotype" w:hAnsi="Palatino Linotype" w:cs="Palatino Linotype"/>
          <w:b/>
        </w:rPr>
        <w:t>CONSIDERANDOS CUARTO y QUINTO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de los documentos donde conste: </w:t>
      </w:r>
    </w:p>
    <w:p w14:paraId="303677DC" w14:textId="77777777" w:rsidR="00CA2EA9" w:rsidRDefault="00CA2EA9">
      <w:pPr>
        <w:spacing w:line="360" w:lineRule="auto"/>
        <w:ind w:right="49"/>
        <w:jc w:val="both"/>
        <w:rPr>
          <w:rFonts w:ascii="Palatino Linotype" w:eastAsia="Palatino Linotype" w:hAnsi="Palatino Linotype" w:cs="Palatino Linotype"/>
        </w:rPr>
      </w:pPr>
    </w:p>
    <w:p w14:paraId="34A10A1A" w14:textId="77777777" w:rsidR="00CA2EA9" w:rsidRDefault="00F073C1">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Copia del Convenio de prestaciones de ley y colaterales, firmado entre el SUTEYM y el Ayuntamiento de Naucalpan del año 2022. </w:t>
      </w:r>
    </w:p>
    <w:p w14:paraId="210D5B1B" w14:textId="77777777" w:rsidR="00CA2EA9" w:rsidRDefault="00F073C1">
      <w:pPr>
        <w:pBdr>
          <w:top w:val="nil"/>
          <w:left w:val="nil"/>
          <w:bottom w:val="nil"/>
          <w:right w:val="nil"/>
          <w:between w:val="nil"/>
        </w:pBdr>
        <w:ind w:left="720"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Pr>
          <w:rFonts w:ascii="Palatino Linotype" w:eastAsia="Palatino Linotype" w:hAnsi="Palatino Linotype" w:cs="Palatino Linotype"/>
          <w:b/>
          <w:i/>
          <w:color w:val="404040"/>
          <w:sz w:val="22"/>
          <w:szCs w:val="22"/>
        </w:rPr>
        <w:t>LA PARTE</w:t>
      </w:r>
      <w:r>
        <w:rPr>
          <w:rFonts w:ascii="Palatino Linotype" w:eastAsia="Palatino Linotype" w:hAnsi="Palatino Linotype" w:cs="Palatino Linotype"/>
          <w:i/>
          <w:color w:val="404040"/>
          <w:sz w:val="22"/>
          <w:szCs w:val="22"/>
        </w:rPr>
        <w:t xml:space="preserve"> </w:t>
      </w:r>
      <w:r>
        <w:rPr>
          <w:rFonts w:ascii="Palatino Linotype" w:eastAsia="Palatino Linotype" w:hAnsi="Palatino Linotype" w:cs="Palatino Linotype"/>
          <w:b/>
          <w:i/>
          <w:color w:val="404040"/>
          <w:sz w:val="22"/>
          <w:szCs w:val="22"/>
        </w:rPr>
        <w:t>RECURRENTE</w:t>
      </w:r>
      <w:r>
        <w:rPr>
          <w:rFonts w:ascii="Palatino Linotype" w:eastAsia="Palatino Linotype" w:hAnsi="Palatino Linotype" w:cs="Palatino Linotype"/>
          <w:i/>
          <w:color w:val="404040"/>
          <w:sz w:val="22"/>
          <w:szCs w:val="22"/>
        </w:rPr>
        <w:t>.</w:t>
      </w:r>
    </w:p>
    <w:p w14:paraId="186CD9DD" w14:textId="77777777" w:rsidR="00CA2EA9" w:rsidRDefault="00CA2EA9">
      <w:pPr>
        <w:spacing w:line="360" w:lineRule="auto"/>
        <w:jc w:val="both"/>
        <w:rPr>
          <w:rFonts w:ascii="Palatino Linotype" w:eastAsia="Palatino Linotype" w:hAnsi="Palatino Linotype" w:cs="Palatino Linotype"/>
          <w:b/>
        </w:rPr>
      </w:pPr>
    </w:p>
    <w:p w14:paraId="22EEB436"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TERCERO. NOTIFÍQUESE </w:t>
      </w:r>
      <w:r>
        <w:rPr>
          <w:rFonts w:ascii="Palatino Linotype" w:eastAsia="Palatino Linotype" w:hAnsi="Palatino Linotype" w:cs="Palatino Linotype"/>
        </w:rPr>
        <w:t xml:space="preserve">la presente resolución al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A84514C" w14:textId="77777777" w:rsidR="00CA2EA9" w:rsidRDefault="00CA2EA9">
      <w:pPr>
        <w:spacing w:line="360" w:lineRule="auto"/>
        <w:jc w:val="both"/>
        <w:rPr>
          <w:rFonts w:ascii="Palatino Linotype" w:eastAsia="Palatino Linotype" w:hAnsi="Palatino Linotype" w:cs="Palatino Linotype"/>
          <w:b/>
        </w:rPr>
      </w:pPr>
    </w:p>
    <w:p w14:paraId="012FB25C"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Pr>
          <w:rFonts w:ascii="Palatino Linotype" w:eastAsia="Palatino Linotype" w:hAnsi="Palatino Linotype" w:cs="Palatino Linotype"/>
        </w:rPr>
        <w:lastRenderedPageBreak/>
        <w:t xml:space="preserve">procedente,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DDA11D8" w14:textId="77777777" w:rsidR="00CA2EA9" w:rsidRDefault="00CA2EA9">
      <w:pPr>
        <w:spacing w:line="360" w:lineRule="auto"/>
        <w:jc w:val="both"/>
        <w:rPr>
          <w:rFonts w:ascii="Palatino Linotype" w:eastAsia="Palatino Linotype" w:hAnsi="Palatino Linotype" w:cs="Palatino Linotype"/>
        </w:rPr>
      </w:pPr>
    </w:p>
    <w:p w14:paraId="51EB5B91" w14:textId="77777777"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w:t>
      </w:r>
      <w:r>
        <w:rPr>
          <w:rFonts w:ascii="Palatino Linotype" w:eastAsia="Palatino Linotype" w:hAnsi="Palatino Linotype" w:cs="Palatino Linotype"/>
        </w:rPr>
        <w:t>Notifíquese vía SAIMEX,</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D24B5AF" w14:textId="77777777" w:rsidR="00CA2EA9" w:rsidRDefault="00CA2EA9">
      <w:pPr>
        <w:spacing w:line="360" w:lineRule="auto"/>
        <w:jc w:val="both"/>
        <w:rPr>
          <w:rFonts w:ascii="Palatino Linotype" w:eastAsia="Palatino Linotype" w:hAnsi="Palatino Linotype" w:cs="Palatino Linotype"/>
        </w:rPr>
      </w:pPr>
    </w:p>
    <w:p w14:paraId="145AE13B" w14:textId="6F986BF0" w:rsidR="00CA2EA9" w:rsidRDefault="00F073C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DIECINUEVE DE ABRIL DE DOS MIL VEINTITRÉS, ANTE EL SECRETARIO TÉCNICO DEL PLENO ALEXIS TAPIA RAMÍREZ.</w:t>
      </w:r>
    </w:p>
    <w:p w14:paraId="4571D44B" w14:textId="3AEA0FB2" w:rsidR="007658E7" w:rsidRDefault="007658E7">
      <w:pPr>
        <w:spacing w:line="360" w:lineRule="auto"/>
        <w:jc w:val="both"/>
        <w:rPr>
          <w:rFonts w:ascii="Palatino Linotype" w:eastAsia="Palatino Linotype" w:hAnsi="Palatino Linotype" w:cs="Palatino Linotype"/>
        </w:rPr>
      </w:pPr>
    </w:p>
    <w:p w14:paraId="40690052" w14:textId="173E2FC5" w:rsidR="007658E7" w:rsidRDefault="007658E7">
      <w:pPr>
        <w:spacing w:line="360" w:lineRule="auto"/>
        <w:jc w:val="both"/>
        <w:rPr>
          <w:rFonts w:ascii="Palatino Linotype" w:eastAsia="Palatino Linotype" w:hAnsi="Palatino Linotype" w:cs="Palatino Linotype"/>
        </w:rPr>
      </w:pPr>
    </w:p>
    <w:p w14:paraId="47BB5436" w14:textId="789A6591" w:rsidR="007658E7" w:rsidRDefault="007658E7">
      <w:pPr>
        <w:spacing w:line="360" w:lineRule="auto"/>
        <w:jc w:val="both"/>
        <w:rPr>
          <w:rFonts w:ascii="Palatino Linotype" w:eastAsia="Palatino Linotype" w:hAnsi="Palatino Linotype" w:cs="Palatino Linotype"/>
        </w:rPr>
      </w:pPr>
    </w:p>
    <w:p w14:paraId="56377698" w14:textId="28CD7611" w:rsidR="007658E7" w:rsidRDefault="007658E7">
      <w:pPr>
        <w:spacing w:line="360" w:lineRule="auto"/>
        <w:jc w:val="both"/>
        <w:rPr>
          <w:rFonts w:ascii="Palatino Linotype" w:eastAsia="Palatino Linotype" w:hAnsi="Palatino Linotype" w:cs="Palatino Linotype"/>
        </w:rPr>
      </w:pPr>
    </w:p>
    <w:p w14:paraId="6D3743A3" w14:textId="7C2ABFC5" w:rsidR="007658E7" w:rsidRDefault="007658E7">
      <w:pPr>
        <w:spacing w:line="360" w:lineRule="auto"/>
        <w:jc w:val="both"/>
        <w:rPr>
          <w:rFonts w:ascii="Palatino Linotype" w:eastAsia="Palatino Linotype" w:hAnsi="Palatino Linotype" w:cs="Palatino Linotype"/>
        </w:rPr>
      </w:pPr>
    </w:p>
    <w:p w14:paraId="0F0BD6A4" w14:textId="5435FE9C" w:rsidR="007658E7" w:rsidRDefault="007658E7">
      <w:pPr>
        <w:spacing w:line="360" w:lineRule="auto"/>
        <w:jc w:val="both"/>
        <w:rPr>
          <w:rFonts w:ascii="Palatino Linotype" w:eastAsia="Palatino Linotype" w:hAnsi="Palatino Linotype" w:cs="Palatino Linotype"/>
        </w:rPr>
      </w:pPr>
    </w:p>
    <w:p w14:paraId="367586E1" w14:textId="55C44845" w:rsidR="007658E7" w:rsidRDefault="007658E7">
      <w:pPr>
        <w:spacing w:line="360" w:lineRule="auto"/>
        <w:jc w:val="both"/>
        <w:rPr>
          <w:rFonts w:ascii="Palatino Linotype" w:eastAsia="Palatino Linotype" w:hAnsi="Palatino Linotype" w:cs="Palatino Linotype"/>
        </w:rPr>
      </w:pPr>
    </w:p>
    <w:p w14:paraId="6615536F" w14:textId="77777777" w:rsidR="007658E7" w:rsidRDefault="007658E7">
      <w:pPr>
        <w:spacing w:line="360" w:lineRule="auto"/>
        <w:jc w:val="both"/>
        <w:rPr>
          <w:rFonts w:ascii="Palatino Linotype" w:eastAsia="Palatino Linotype" w:hAnsi="Palatino Linotype" w:cs="Palatino Linotype"/>
        </w:rPr>
      </w:pPr>
    </w:p>
    <w:sectPr w:rsidR="007658E7">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337A2" w14:textId="77777777" w:rsidR="00F073C1" w:rsidRDefault="00F073C1">
      <w:r>
        <w:separator/>
      </w:r>
    </w:p>
  </w:endnote>
  <w:endnote w:type="continuationSeparator" w:id="0">
    <w:p w14:paraId="5E3BFC54" w14:textId="77777777" w:rsidR="00F073C1" w:rsidRDefault="00F0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8058" w14:textId="77777777" w:rsidR="00CA2EA9" w:rsidRDefault="00F073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58E7">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58E7">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15198E62" w14:textId="77777777" w:rsidR="00CA2EA9" w:rsidRDefault="00CA2EA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7AF8D" w14:textId="77777777" w:rsidR="00CA2EA9" w:rsidRDefault="00F073C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658E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658E7">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04169290" w14:textId="77777777" w:rsidR="00CA2EA9" w:rsidRDefault="00CA2EA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AA0ED" w14:textId="77777777" w:rsidR="00F073C1" w:rsidRDefault="00F073C1">
      <w:r>
        <w:separator/>
      </w:r>
    </w:p>
  </w:footnote>
  <w:footnote w:type="continuationSeparator" w:id="0">
    <w:p w14:paraId="24EB7F75" w14:textId="77777777" w:rsidR="00F073C1" w:rsidRDefault="00F07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9292E" w14:textId="77777777" w:rsidR="00CA2EA9" w:rsidRDefault="00F073C1">
    <w:pPr>
      <w:rPr>
        <w:rFonts w:ascii="Cambria" w:eastAsia="Cambria" w:hAnsi="Cambria" w:cs="Cambria"/>
      </w:rPr>
    </w:pPr>
    <w:r>
      <w:rPr>
        <w:noProof/>
      </w:rPr>
      <w:drawing>
        <wp:anchor distT="0" distB="0" distL="0" distR="0" simplePos="0" relativeHeight="251658240" behindDoc="1" locked="0" layoutInCell="1" hidden="0" allowOverlap="1" wp14:anchorId="26AD4E28" wp14:editId="619C13C5">
          <wp:simplePos x="0" y="0"/>
          <wp:positionH relativeFrom="column">
            <wp:posOffset>-1080122</wp:posOffset>
          </wp:positionH>
          <wp:positionV relativeFrom="paragraph">
            <wp:posOffset>-488300</wp:posOffset>
          </wp:positionV>
          <wp:extent cx="7809865" cy="10165715"/>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953" w:type="dxa"/>
      <w:tblInd w:w="3261" w:type="dxa"/>
      <w:tblLayout w:type="fixed"/>
      <w:tblLook w:val="0400" w:firstRow="0" w:lastRow="0" w:firstColumn="0" w:lastColumn="0" w:noHBand="0" w:noVBand="1"/>
    </w:tblPr>
    <w:tblGrid>
      <w:gridCol w:w="2489"/>
      <w:gridCol w:w="3464"/>
    </w:tblGrid>
    <w:tr w:rsidR="00CA2EA9" w14:paraId="0B84DD9F" w14:textId="77777777">
      <w:tc>
        <w:tcPr>
          <w:tcW w:w="2489" w:type="dxa"/>
          <w:shd w:val="clear" w:color="auto" w:fill="auto"/>
        </w:tcPr>
        <w:p w14:paraId="13AD8D99" w14:textId="77777777" w:rsidR="00CA2EA9" w:rsidRDefault="00F073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41DEFCA" w14:textId="77777777" w:rsidR="00CA2EA9" w:rsidRDefault="00F073C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00239/INFOEM/IP/RR/2023</w:t>
          </w:r>
        </w:p>
      </w:tc>
    </w:tr>
    <w:tr w:rsidR="00CA2EA9" w14:paraId="330356F5" w14:textId="77777777">
      <w:trPr>
        <w:trHeight w:val="228"/>
      </w:trPr>
      <w:tc>
        <w:tcPr>
          <w:tcW w:w="2489" w:type="dxa"/>
          <w:shd w:val="clear" w:color="auto" w:fill="auto"/>
          <w:vAlign w:val="center"/>
        </w:tcPr>
        <w:p w14:paraId="0336C9F3" w14:textId="77777777" w:rsidR="00CA2EA9" w:rsidRDefault="00F073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7EE10B1" w14:textId="77777777" w:rsidR="00CA2EA9" w:rsidRDefault="00F073C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CA2EA9" w14:paraId="1B6091C6" w14:textId="77777777">
      <w:tc>
        <w:tcPr>
          <w:tcW w:w="2489" w:type="dxa"/>
          <w:shd w:val="clear" w:color="auto" w:fill="auto"/>
          <w:vAlign w:val="center"/>
        </w:tcPr>
        <w:p w14:paraId="222BBAC4" w14:textId="77777777" w:rsidR="00CA2EA9" w:rsidRDefault="00F073C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2A8A8CE" w14:textId="77777777" w:rsidR="00CA2EA9" w:rsidRDefault="00F073C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C50F7A" w14:textId="77777777" w:rsidR="00CA2EA9" w:rsidRDefault="00F073C1">
    <w:pPr>
      <w:rPr>
        <w:rFonts w:ascii="Cambria" w:eastAsia="Cambria" w:hAnsi="Cambria" w:cs="Cambria"/>
      </w:rPr>
    </w:pPr>
    <w:r>
      <w:rPr>
        <w:rFonts w:ascii="Cambria" w:eastAsia="Cambria" w:hAnsi="Cambria" w:cs="Cambr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EBB" w14:textId="77777777" w:rsidR="00CA2EA9" w:rsidRDefault="00CA2EA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5670" w:type="dxa"/>
      <w:tblInd w:w="3261" w:type="dxa"/>
      <w:tblLayout w:type="fixed"/>
      <w:tblLook w:val="0400" w:firstRow="0" w:lastRow="0" w:firstColumn="0" w:lastColumn="0" w:noHBand="0" w:noVBand="1"/>
    </w:tblPr>
    <w:tblGrid>
      <w:gridCol w:w="2551"/>
      <w:gridCol w:w="3119"/>
    </w:tblGrid>
    <w:tr w:rsidR="00CA2EA9" w14:paraId="21447EF0" w14:textId="77777777">
      <w:tc>
        <w:tcPr>
          <w:tcW w:w="2551" w:type="dxa"/>
          <w:shd w:val="clear" w:color="auto" w:fill="auto"/>
          <w:vAlign w:val="center"/>
        </w:tcPr>
        <w:p w14:paraId="4622C103" w14:textId="77777777" w:rsidR="00CA2EA9" w:rsidRDefault="00F073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E536B34" w14:textId="77777777" w:rsidR="00CA2EA9" w:rsidRDefault="00F073C1">
          <w:pPr>
            <w:tabs>
              <w:tab w:val="left" w:pos="3153"/>
            </w:tabs>
            <w:ind w:left="-45"/>
            <w:jc w:val="both"/>
            <w:rPr>
              <w:rFonts w:ascii="Palatino Linotype" w:eastAsia="Palatino Linotype" w:hAnsi="Palatino Linotype" w:cs="Palatino Linotype"/>
              <w:b/>
              <w:sz w:val="22"/>
              <w:szCs w:val="22"/>
              <w:highlight w:val="yellow"/>
            </w:rPr>
          </w:pPr>
          <w:r>
            <w:rPr>
              <w:rFonts w:ascii="Palatino Linotype" w:eastAsia="Palatino Linotype" w:hAnsi="Palatino Linotype" w:cs="Palatino Linotype"/>
              <w:b/>
              <w:sz w:val="22"/>
              <w:szCs w:val="22"/>
            </w:rPr>
            <w:t>00239/INFOEM/IP/RR/2023</w:t>
          </w:r>
        </w:p>
      </w:tc>
    </w:tr>
    <w:tr w:rsidR="00CA2EA9" w14:paraId="077AD947" w14:textId="77777777">
      <w:trPr>
        <w:trHeight w:val="130"/>
      </w:trPr>
      <w:tc>
        <w:tcPr>
          <w:tcW w:w="2551" w:type="dxa"/>
          <w:shd w:val="clear" w:color="auto" w:fill="auto"/>
          <w:vAlign w:val="center"/>
        </w:tcPr>
        <w:p w14:paraId="5BC676E2" w14:textId="77777777" w:rsidR="00CA2EA9" w:rsidRDefault="00F073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7CB90B2" w14:textId="670FC8B9" w:rsidR="00CA2EA9" w:rsidRDefault="0026482B">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 XXXXXXX XX</w:t>
          </w:r>
        </w:p>
      </w:tc>
    </w:tr>
    <w:tr w:rsidR="00CA2EA9" w14:paraId="4582CB9F" w14:textId="77777777">
      <w:trPr>
        <w:trHeight w:val="228"/>
      </w:trPr>
      <w:tc>
        <w:tcPr>
          <w:tcW w:w="2551" w:type="dxa"/>
          <w:shd w:val="clear" w:color="auto" w:fill="auto"/>
          <w:vAlign w:val="center"/>
        </w:tcPr>
        <w:p w14:paraId="0EEE3FC1" w14:textId="77777777" w:rsidR="00CA2EA9" w:rsidRDefault="00F073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510831D" w14:textId="77777777" w:rsidR="00CA2EA9" w:rsidRDefault="00F073C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CA2EA9" w14:paraId="3C1F908F" w14:textId="77777777">
      <w:tc>
        <w:tcPr>
          <w:tcW w:w="2551" w:type="dxa"/>
          <w:shd w:val="clear" w:color="auto" w:fill="auto"/>
          <w:vAlign w:val="center"/>
        </w:tcPr>
        <w:p w14:paraId="45CA75AB" w14:textId="77777777" w:rsidR="00CA2EA9" w:rsidRDefault="00F073C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310F1F9" w14:textId="77777777" w:rsidR="00CA2EA9" w:rsidRDefault="00F073C1">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F99326" w14:textId="77777777" w:rsidR="00CA2EA9" w:rsidRDefault="00F073C1">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3BAF5218" wp14:editId="4FED4147">
          <wp:simplePos x="0" y="0"/>
          <wp:positionH relativeFrom="column">
            <wp:posOffset>-1089647</wp:posOffset>
          </wp:positionH>
          <wp:positionV relativeFrom="paragraph">
            <wp:posOffset>-1169657</wp:posOffset>
          </wp:positionV>
          <wp:extent cx="7809865" cy="10165715"/>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D0287"/>
    <w:multiLevelType w:val="multilevel"/>
    <w:tmpl w:val="2A2A092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3B72F65"/>
    <w:multiLevelType w:val="multilevel"/>
    <w:tmpl w:val="FEB645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C56775"/>
    <w:multiLevelType w:val="multilevel"/>
    <w:tmpl w:val="6C48791A"/>
    <w:lvl w:ilvl="0">
      <w:start w:val="1"/>
      <w:numFmt w:val="decimal"/>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47340AB"/>
    <w:multiLevelType w:val="multilevel"/>
    <w:tmpl w:val="5144244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EA9"/>
    <w:rsid w:val="0026482B"/>
    <w:rsid w:val="007658E7"/>
    <w:rsid w:val="00CA2EA9"/>
    <w:rsid w:val="00F073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3BB43"/>
  <w15:docId w15:val="{6E568329-BF10-4552-BCD2-D055FBC0F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A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1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1"/>
    <w:tblPr>
      <w:tblStyleRowBandSize w:val="1"/>
      <w:tblStyleColBandSize w:val="1"/>
      <w:tblCellMar>
        <w:left w:w="115" w:type="dxa"/>
        <w:right w:w="115" w:type="dxa"/>
      </w:tblCellMar>
    </w:tblPr>
  </w:style>
  <w:style w:type="table" w:customStyle="1" w:styleId="9">
    <w:name w:val="9"/>
    <w:basedOn w:val="TableNormal11"/>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1"/>
    <w:tblPr>
      <w:tblStyleRowBandSize w:val="1"/>
      <w:tblStyleColBandSize w:val="1"/>
      <w:tblCellMar>
        <w:left w:w="115" w:type="dxa"/>
        <w:right w:w="115" w:type="dxa"/>
      </w:tblCellMar>
    </w:tblPr>
  </w:style>
  <w:style w:type="table" w:customStyle="1" w:styleId="7">
    <w:name w:val="7"/>
    <w:basedOn w:val="TableNormal11"/>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3"/>
    <w:tblPr>
      <w:tblStyleRowBandSize w:val="1"/>
      <w:tblStyleColBandSize w:val="1"/>
      <w:tblCellMar>
        <w:left w:w="115" w:type="dxa"/>
        <w:right w:w="115" w:type="dxa"/>
      </w:tblCellMar>
    </w:tblPr>
  </w:style>
  <w:style w:type="table" w:customStyle="1" w:styleId="3">
    <w:name w:val="3"/>
    <w:basedOn w:val="TableNormal3"/>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23">
    <w:name w:val="23"/>
    <w:basedOn w:val="TableNormal5"/>
    <w:tblPr>
      <w:tblStyleRowBandSize w:val="1"/>
      <w:tblStyleColBandSize w:val="1"/>
      <w:tblCellMar>
        <w:left w:w="115" w:type="dxa"/>
        <w:right w:w="115" w:type="dxa"/>
      </w:tblCellMar>
    </w:tblPr>
  </w:style>
  <w:style w:type="table" w:customStyle="1" w:styleId="22">
    <w:name w:val="22"/>
    <w:basedOn w:val="TableNormal5"/>
    <w:tblPr>
      <w:tblStyleRowBandSize w:val="1"/>
      <w:tblStyleColBandSize w:val="1"/>
      <w:tblCellMar>
        <w:left w:w="115" w:type="dxa"/>
        <w:right w:w="115" w:type="dxa"/>
      </w:tblCellMar>
    </w:tblPr>
  </w:style>
  <w:style w:type="table" w:customStyle="1" w:styleId="21">
    <w:name w:val="21"/>
    <w:basedOn w:val="TableNormal6"/>
    <w:tblPr>
      <w:tblStyleRowBandSize w:val="1"/>
      <w:tblStyleColBandSize w:val="1"/>
      <w:tblCellMar>
        <w:left w:w="115" w:type="dxa"/>
        <w:right w:w="115" w:type="dxa"/>
      </w:tblCellMar>
    </w:tblPr>
  </w:style>
  <w:style w:type="table" w:customStyle="1" w:styleId="20">
    <w:name w:val="20"/>
    <w:basedOn w:val="TableNormal6"/>
    <w:tblPr>
      <w:tblStyleRowBandSize w:val="1"/>
      <w:tblStyleColBandSize w:val="1"/>
      <w:tblCellMar>
        <w:left w:w="115" w:type="dxa"/>
        <w:right w:w="115" w:type="dxa"/>
      </w:tblCellMar>
    </w:tblPr>
  </w:style>
  <w:style w:type="table" w:customStyle="1" w:styleId="19">
    <w:name w:val="1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8">
    <w:name w:val="18"/>
    <w:basedOn w:val="TableNormal7"/>
    <w:tblPr>
      <w:tblStyleRowBandSize w:val="1"/>
      <w:tblStyleColBandSize w:val="1"/>
      <w:tblCellMar>
        <w:left w:w="115" w:type="dxa"/>
        <w:right w:w="115" w:type="dxa"/>
      </w:tblCellMar>
    </w:tblPr>
  </w:style>
  <w:style w:type="table" w:customStyle="1" w:styleId="17">
    <w:name w:val="17"/>
    <w:basedOn w:val="TableNormal7"/>
    <w:tblPr>
      <w:tblStyleRowBandSize w:val="1"/>
      <w:tblStyleColBandSize w:val="1"/>
      <w:tblCellMar>
        <w:left w:w="115" w:type="dxa"/>
        <w:right w:w="115" w:type="dxa"/>
      </w:tblCellMar>
    </w:tblPr>
  </w:style>
  <w:style w:type="table" w:customStyle="1" w:styleId="16">
    <w:name w:val="16"/>
    <w:basedOn w:val="TableNormal8"/>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5">
    <w:name w:val="15"/>
    <w:basedOn w:val="TableNormal8"/>
    <w:tblPr>
      <w:tblStyleRowBandSize w:val="1"/>
      <w:tblStyleColBandSize w:val="1"/>
      <w:tblCellMar>
        <w:left w:w="115" w:type="dxa"/>
        <w:right w:w="115" w:type="dxa"/>
      </w:tblCellMar>
    </w:tblPr>
  </w:style>
  <w:style w:type="table" w:customStyle="1" w:styleId="14">
    <w:name w:val="14"/>
    <w:basedOn w:val="TableNormal8"/>
    <w:tblPr>
      <w:tblStyleRowBandSize w:val="1"/>
      <w:tblStyleColBandSize w:val="1"/>
      <w:tblCellMar>
        <w:left w:w="115" w:type="dxa"/>
        <w:right w:w="115" w:type="dxa"/>
      </w:tblCellMar>
    </w:tblPr>
  </w:style>
  <w:style w:type="table" w:customStyle="1" w:styleId="13">
    <w:name w:val="13"/>
    <w:basedOn w:val="TableNormal9"/>
    <w:tblPr>
      <w:tblStyleRowBandSize w:val="1"/>
      <w:tblStyleColBandSize w:val="1"/>
      <w:tblCellMar>
        <w:left w:w="115" w:type="dxa"/>
        <w:right w:w="115" w:type="dxa"/>
      </w:tblCellMar>
    </w:tblPr>
  </w:style>
  <w:style w:type="table" w:customStyle="1" w:styleId="12">
    <w:name w:val="12"/>
    <w:basedOn w:val="TableNormal9"/>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96387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8A3C5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A3C56"/>
    <w:rPr>
      <w:i/>
      <w:iCs/>
      <w:color w:val="404040" w:themeColor="text1" w:themeTint="BF"/>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57509.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ca.edomex.gob.mx/glosari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1693147.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o2YbH7ToEDfLgvG02SouxrRGeQ==">AMUW2mW/+QFw3Q/+ohdYkuoKcqhJpyucrUu3PihMdd1qm4EX6KtCRr2vuPC0LKoRUXcIIM3klJbnu0zdKD5Bs8PJZfAGU0bcFq9lt3TnpKOXF9MrLwH/Itv8tofy4zG3CKtyeEg3OC1pkxVIYQQd8x+DDswD4v7qeConKI5OxkmQTA+K32Iuo/nM3piAZBaQPzklhGaMrAzWRvXslz714IdTmDIfC8xeRg==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8301</Words>
  <Characters>45659</Characters>
  <Application>Microsoft Office Word</Application>
  <DocSecurity>0</DocSecurity>
  <Lines>380</Lines>
  <Paragraphs>107</Paragraphs>
  <ScaleCrop>false</ScaleCrop>
  <Company/>
  <LinksUpToDate>false</LinksUpToDate>
  <CharactersWithSpaces>53853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2023-04-20T19:18:00Z</cp:lastPrinted>
  <dcterms:created xsi:type="dcterms:W3CDTF">2023-04-28T19:07:00Z</dcterms:created>
  <dcterms:modified xsi:type="dcterms:W3CDTF">2023-04-28T19:07:00Z</dcterms:modified>
</cp:coreProperties>
</file>