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EB2CA" w14:textId="77777777" w:rsidR="0009142A" w:rsidRPr="00592B64" w:rsidRDefault="003E30A1">
      <w:pPr>
        <w:spacing w:before="240"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agosto de dos mil veintitrés.</w:t>
      </w:r>
    </w:p>
    <w:p w14:paraId="1DADB6DE" w14:textId="77777777" w:rsidR="0009142A" w:rsidRPr="00592B64" w:rsidRDefault="0009142A"/>
    <w:p w14:paraId="2C4D2111" w14:textId="36A77FE6" w:rsidR="0009142A" w:rsidRPr="00592B64" w:rsidRDefault="003E30A1">
      <w:pPr>
        <w:spacing w:after="0" w:line="360" w:lineRule="auto"/>
        <w:jc w:val="both"/>
        <w:rPr>
          <w:rFonts w:ascii="Palatino Linotype" w:eastAsia="Palatino Linotype" w:hAnsi="Palatino Linotype" w:cs="Palatino Linotype"/>
          <w:b/>
          <w:sz w:val="24"/>
          <w:szCs w:val="24"/>
        </w:rPr>
      </w:pPr>
      <w:r w:rsidRPr="00592B64">
        <w:rPr>
          <w:rFonts w:ascii="Palatino Linotype" w:eastAsia="Palatino Linotype" w:hAnsi="Palatino Linotype" w:cs="Palatino Linotype"/>
          <w:b/>
          <w:sz w:val="24"/>
          <w:szCs w:val="24"/>
        </w:rPr>
        <w:t xml:space="preserve">Visto </w:t>
      </w:r>
      <w:r w:rsidRPr="00592B64">
        <w:rPr>
          <w:rFonts w:ascii="Palatino Linotype" w:eastAsia="Palatino Linotype" w:hAnsi="Palatino Linotype" w:cs="Palatino Linotype"/>
          <w:sz w:val="24"/>
          <w:szCs w:val="24"/>
        </w:rPr>
        <w:t xml:space="preserve">el expediente relativo al recurso de revisión </w:t>
      </w:r>
      <w:r w:rsidRPr="00592B64">
        <w:rPr>
          <w:rFonts w:ascii="Palatino Linotype" w:eastAsia="Palatino Linotype" w:hAnsi="Palatino Linotype" w:cs="Palatino Linotype"/>
          <w:b/>
          <w:sz w:val="24"/>
          <w:szCs w:val="24"/>
        </w:rPr>
        <w:t>00459/INFOEM/IP/RR/2023</w:t>
      </w:r>
      <w:r w:rsidRPr="00592B64">
        <w:rPr>
          <w:rFonts w:ascii="Palatino Linotype" w:eastAsia="Palatino Linotype" w:hAnsi="Palatino Linotype" w:cs="Palatino Linotype"/>
          <w:sz w:val="24"/>
          <w:szCs w:val="24"/>
        </w:rPr>
        <w:t xml:space="preserve">, interpuesto por </w:t>
      </w:r>
      <w:r w:rsidR="009F03BD">
        <w:rPr>
          <w:rFonts w:ascii="Palatino Linotype" w:eastAsia="Palatino Linotype" w:hAnsi="Palatino Linotype" w:cs="Palatino Linotype"/>
          <w:b/>
          <w:sz w:val="24"/>
          <w:szCs w:val="24"/>
        </w:rPr>
        <w:t>XXXXXXX,</w:t>
      </w:r>
      <w:bookmarkStart w:id="0" w:name="_GoBack"/>
      <w:bookmarkEnd w:id="0"/>
      <w:r w:rsidRPr="00592B64">
        <w:rPr>
          <w:rFonts w:ascii="Palatino Linotype" w:eastAsia="Palatino Linotype" w:hAnsi="Palatino Linotype" w:cs="Palatino Linotype"/>
          <w:b/>
          <w:sz w:val="24"/>
          <w:szCs w:val="24"/>
        </w:rPr>
        <w:t xml:space="preserve"> </w:t>
      </w:r>
      <w:r w:rsidRPr="00592B64">
        <w:rPr>
          <w:rFonts w:ascii="Palatino Linotype" w:eastAsia="Palatino Linotype" w:hAnsi="Palatino Linotype" w:cs="Palatino Linotype"/>
          <w:sz w:val="24"/>
          <w:szCs w:val="24"/>
        </w:rPr>
        <w:t xml:space="preserve">a quien en lo sucesivo se le denominara </w:t>
      </w:r>
      <w:r w:rsidRPr="00592B64">
        <w:rPr>
          <w:rFonts w:ascii="Palatino Linotype" w:eastAsia="Palatino Linotype" w:hAnsi="Palatino Linotype" w:cs="Palatino Linotype"/>
          <w:b/>
          <w:sz w:val="24"/>
          <w:szCs w:val="24"/>
        </w:rPr>
        <w:t>LA PARTE RECURRENTE</w:t>
      </w:r>
      <w:r w:rsidRPr="00592B64">
        <w:rPr>
          <w:rFonts w:ascii="Palatino Linotype" w:eastAsia="Palatino Linotype" w:hAnsi="Palatino Linotype" w:cs="Palatino Linotype"/>
          <w:sz w:val="24"/>
          <w:szCs w:val="24"/>
        </w:rPr>
        <w:t xml:space="preserve">, en contra de la respuesta a la solicitud de información con número de folio </w:t>
      </w:r>
      <w:r w:rsidRPr="00592B64">
        <w:rPr>
          <w:rFonts w:ascii="Palatino Linotype" w:eastAsia="Palatino Linotype" w:hAnsi="Palatino Linotype" w:cs="Palatino Linotype"/>
          <w:b/>
          <w:sz w:val="24"/>
          <w:szCs w:val="24"/>
        </w:rPr>
        <w:t>00057/SSEM/IP/2023</w:t>
      </w:r>
      <w:r w:rsidRPr="00592B64">
        <w:rPr>
          <w:rFonts w:ascii="Palatino Linotype" w:eastAsia="Palatino Linotype" w:hAnsi="Palatino Linotype" w:cs="Palatino Linotype"/>
          <w:sz w:val="24"/>
          <w:szCs w:val="24"/>
        </w:rPr>
        <w:t xml:space="preserve">, por parte de la </w:t>
      </w:r>
      <w:r w:rsidRPr="00592B64">
        <w:rPr>
          <w:rFonts w:ascii="Palatino Linotype" w:eastAsia="Palatino Linotype" w:hAnsi="Palatino Linotype" w:cs="Palatino Linotype"/>
          <w:b/>
          <w:sz w:val="24"/>
          <w:szCs w:val="24"/>
        </w:rPr>
        <w:t>Secretaría de Seguridad</w:t>
      </w:r>
      <w:r w:rsidRPr="00592B64">
        <w:rPr>
          <w:rFonts w:ascii="Palatino Linotype" w:eastAsia="Palatino Linotype" w:hAnsi="Palatino Linotype" w:cs="Palatino Linotype"/>
          <w:sz w:val="24"/>
          <w:szCs w:val="24"/>
        </w:rPr>
        <w:t xml:space="preserve">, en lo sucesivo </w:t>
      </w:r>
      <w:r w:rsidRPr="00592B64">
        <w:rPr>
          <w:rFonts w:ascii="Palatino Linotype" w:eastAsia="Palatino Linotype" w:hAnsi="Palatino Linotype" w:cs="Palatino Linotype"/>
          <w:b/>
          <w:sz w:val="24"/>
          <w:szCs w:val="24"/>
        </w:rPr>
        <w:t>EL</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 xml:space="preserve">SUJETO OBLIGADO; </w:t>
      </w:r>
      <w:r w:rsidRPr="00592B64">
        <w:rPr>
          <w:rFonts w:ascii="Palatino Linotype" w:eastAsia="Palatino Linotype" w:hAnsi="Palatino Linotype" w:cs="Palatino Linotype"/>
          <w:sz w:val="24"/>
          <w:szCs w:val="24"/>
        </w:rPr>
        <w:t>se procede a dictar la presente resolución, con base en lo siguiente.</w:t>
      </w:r>
    </w:p>
    <w:p w14:paraId="25FA486B" w14:textId="77777777" w:rsidR="0009142A" w:rsidRPr="00592B64" w:rsidRDefault="0009142A"/>
    <w:p w14:paraId="0DB8F00A" w14:textId="77777777" w:rsidR="0009142A" w:rsidRPr="00592B64" w:rsidRDefault="003E30A1">
      <w:pPr>
        <w:spacing w:after="0" w:line="360" w:lineRule="auto"/>
        <w:jc w:val="center"/>
        <w:rPr>
          <w:rFonts w:ascii="Palatino Linotype" w:eastAsia="Palatino Linotype" w:hAnsi="Palatino Linotype" w:cs="Palatino Linotype"/>
          <w:b/>
        </w:rPr>
      </w:pPr>
      <w:r w:rsidRPr="00592B64">
        <w:rPr>
          <w:rFonts w:ascii="Palatino Linotype" w:eastAsia="Palatino Linotype" w:hAnsi="Palatino Linotype" w:cs="Palatino Linotype"/>
          <w:b/>
        </w:rPr>
        <w:t xml:space="preserve">A N T E C E D E N T E S </w:t>
      </w:r>
    </w:p>
    <w:p w14:paraId="0ADD67D5"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6AE512B2" w14:textId="77777777" w:rsidR="0009142A" w:rsidRPr="00592B64" w:rsidRDefault="003E30A1">
      <w:pP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1.</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 xml:space="preserve">SOLICITUD DE INFORMACIÓN. </w:t>
      </w:r>
      <w:r w:rsidRPr="00592B64">
        <w:rPr>
          <w:rFonts w:ascii="Palatino Linotype" w:eastAsia="Palatino Linotype" w:hAnsi="Palatino Linotype" w:cs="Palatino Linotype"/>
          <w:sz w:val="24"/>
          <w:szCs w:val="24"/>
        </w:rPr>
        <w:t xml:space="preserve">Con fecha veinte de enero de dos mil veintitrés, </w:t>
      </w:r>
      <w:r w:rsidRPr="00592B64">
        <w:rPr>
          <w:rFonts w:ascii="Palatino Linotype" w:eastAsia="Palatino Linotype" w:hAnsi="Palatino Linotype" w:cs="Palatino Linotype"/>
          <w:b/>
          <w:sz w:val="24"/>
          <w:szCs w:val="24"/>
        </w:rPr>
        <w:t>LA PARTE RECURRENTE</w:t>
      </w:r>
      <w:r w:rsidRPr="00592B64">
        <w:rPr>
          <w:rFonts w:ascii="Palatino Linotype" w:eastAsia="Palatino Linotype" w:hAnsi="Palatino Linotype" w:cs="Palatino Linotype"/>
          <w:sz w:val="24"/>
          <w:szCs w:val="24"/>
        </w:rPr>
        <w:t>, presentó a través de la Plataforma Nacional de Transparencia (PNT) vinculada al Sistema de Acceso a la Información Mexiquense (</w:t>
      </w:r>
      <w:r w:rsidRPr="00592B64">
        <w:rPr>
          <w:rFonts w:ascii="Palatino Linotype" w:eastAsia="Palatino Linotype" w:hAnsi="Palatino Linotype" w:cs="Palatino Linotype"/>
          <w:b/>
          <w:sz w:val="24"/>
          <w:szCs w:val="24"/>
        </w:rPr>
        <w:t>SAIMEX)</w:t>
      </w:r>
      <w:r w:rsidRPr="00592B64">
        <w:rPr>
          <w:rFonts w:ascii="Palatino Linotype" w:eastAsia="Palatino Linotype" w:hAnsi="Palatino Linotype" w:cs="Palatino Linotype"/>
          <w:sz w:val="24"/>
          <w:szCs w:val="24"/>
        </w:rPr>
        <w:t xml:space="preserve"> ante </w:t>
      </w:r>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solicitud de acceso a la información pública, registrada bajo el número de expediente</w:t>
      </w:r>
      <w:r w:rsidRPr="00592B64">
        <w:rPr>
          <w:rFonts w:ascii="Verdana" w:eastAsia="Verdana" w:hAnsi="Verdana" w:cs="Verdana"/>
          <w:b/>
        </w:rPr>
        <w:t> </w:t>
      </w:r>
      <w:r w:rsidRPr="00592B64">
        <w:rPr>
          <w:rFonts w:ascii="Palatino Linotype" w:eastAsia="Palatino Linotype" w:hAnsi="Palatino Linotype" w:cs="Palatino Linotype"/>
          <w:b/>
          <w:sz w:val="24"/>
          <w:szCs w:val="24"/>
        </w:rPr>
        <w:t>00057/SSEM/IP/2023</w:t>
      </w: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b/>
          <w:sz w:val="24"/>
          <w:szCs w:val="24"/>
        </w:rPr>
        <w:t xml:space="preserve"> </w:t>
      </w:r>
      <w:r w:rsidRPr="00592B64">
        <w:rPr>
          <w:rFonts w:ascii="Palatino Linotype" w:eastAsia="Palatino Linotype" w:hAnsi="Palatino Linotype" w:cs="Palatino Linotype"/>
          <w:sz w:val="24"/>
          <w:szCs w:val="24"/>
        </w:rPr>
        <w:t>mediante la cual solicitó la siguiente información:</w:t>
      </w:r>
    </w:p>
    <w:p w14:paraId="710B18F8" w14:textId="77777777" w:rsidR="0009142A" w:rsidRPr="00592B64" w:rsidRDefault="0009142A">
      <w:pPr>
        <w:spacing w:after="0" w:line="360" w:lineRule="auto"/>
        <w:ind w:right="49"/>
        <w:jc w:val="both"/>
        <w:rPr>
          <w:rFonts w:ascii="Palatino Linotype" w:eastAsia="Palatino Linotype" w:hAnsi="Palatino Linotype" w:cs="Palatino Linotype"/>
          <w:sz w:val="24"/>
          <w:szCs w:val="24"/>
        </w:rPr>
      </w:pPr>
    </w:p>
    <w:p w14:paraId="51C9C7EC" w14:textId="77777777" w:rsidR="0009142A" w:rsidRPr="00592B64" w:rsidRDefault="003E30A1">
      <w:pPr>
        <w:spacing w:after="0" w:line="276" w:lineRule="auto"/>
        <w:ind w:left="709" w:right="758"/>
        <w:jc w:val="both"/>
        <w:rPr>
          <w:rFonts w:ascii="Palatino Linotype" w:eastAsia="Palatino Linotype" w:hAnsi="Palatino Linotype" w:cs="Palatino Linotype"/>
          <w:i/>
        </w:rPr>
      </w:pPr>
      <w:r w:rsidRPr="00592B64">
        <w:rPr>
          <w:rFonts w:ascii="Palatino Linotype" w:eastAsia="Palatino Linotype" w:hAnsi="Palatino Linotype" w:cs="Palatino Linotype"/>
          <w:i/>
        </w:rPr>
        <w:t xml:space="preserve">“Por medio de la presente nos dirigimos a la Unidad de Transparencia de la Secretaría de Seguridad del Estado de México y con base en los artículos 7, 9 fracciones VII, VIII y X, artículo 16, 18, 19, 24 fracciones IV, V, IX y XI, artículo 75, 82, 92 fracciones II, VII y XXXIV de la Ley de Transparencia y Acceso a la </w:t>
      </w:r>
      <w:r w:rsidRPr="00592B64">
        <w:rPr>
          <w:rFonts w:ascii="Palatino Linotype" w:eastAsia="Palatino Linotype" w:hAnsi="Palatino Linotype" w:cs="Palatino Linotype"/>
          <w:i/>
        </w:rPr>
        <w:lastRenderedPageBreak/>
        <w:t>Información Pública del Estado de México y Municipios y con fundamento en lo que establece el artículo 8, fracción II, artículo 39 fracciones VI, VII y IX del Reglamento Interior de la Secretaría de Seguridad del Estado de México para solicitar información proveniente de los registros de llamada a través del número de emergencias 911 (C4) de los municipios de Ecatepec de Morelos, Naucalpan de Juárez, Nezahualcóyotl y Toluca; del 01 de enero al 31 de diciembre del 2022 referente al: 1. Desglose mensual del número de reportes al 911 (C4) por Robo a casa habitación 2. Desglose mensual del número de reportes al 911 (C4) por Robo a negocio 3. Desglose mensual del número de reportes al 911 (C4) por Robo a transeúnte 4. Desglose mensual del número de reportes al 911 (C4) por Robo de vehículo 5. Desglose mensual del número de reportes al 911 (C4) por Robo con violencia Favor de enviar la información en formato de Excel .xlsx, en formato editable (no protegido) Para el envío de la información solicitada me permito poner a su disposición los siguientes correos electrónicos: mayra.legaspit.ocl@gmail.com, pablo.ramirez@ocl.org.mx, así como la dirección y teléfonos enunciados en este oficio, no omito señalar que el Observatorio Ciudadano de León, A.C., colabora de manera constante con la ciudadanía y gobierno para coadyuvar” (Sic).</w:t>
      </w:r>
    </w:p>
    <w:p w14:paraId="45077CE1" w14:textId="77777777" w:rsidR="0009142A" w:rsidRPr="00592B64" w:rsidRDefault="0009142A">
      <w:pPr>
        <w:spacing w:after="0" w:line="276" w:lineRule="auto"/>
        <w:ind w:left="709" w:right="758"/>
        <w:jc w:val="both"/>
        <w:rPr>
          <w:rFonts w:ascii="Palatino Linotype" w:eastAsia="Palatino Linotype" w:hAnsi="Palatino Linotype" w:cs="Palatino Linotype"/>
          <w:i/>
        </w:rPr>
      </w:pPr>
    </w:p>
    <w:p w14:paraId="4B4E9CE7" w14:textId="77777777" w:rsidR="0009142A" w:rsidRPr="00592B64" w:rsidRDefault="003E30A1">
      <w:pP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Modalidad de entrega: A través del </w:t>
      </w:r>
      <w:r w:rsidRPr="00592B64">
        <w:rPr>
          <w:rFonts w:ascii="Palatino Linotype" w:eastAsia="Palatino Linotype" w:hAnsi="Palatino Linotype" w:cs="Palatino Linotype"/>
          <w:b/>
          <w:sz w:val="24"/>
          <w:szCs w:val="24"/>
        </w:rPr>
        <w:t>SAIMEX</w:t>
      </w:r>
      <w:r w:rsidRPr="00592B64">
        <w:rPr>
          <w:rFonts w:ascii="Palatino Linotype" w:eastAsia="Palatino Linotype" w:hAnsi="Palatino Linotype" w:cs="Palatino Linotype"/>
          <w:sz w:val="24"/>
          <w:szCs w:val="24"/>
        </w:rPr>
        <w:t xml:space="preserve"> y correo electrónico.</w:t>
      </w:r>
    </w:p>
    <w:p w14:paraId="21E6299B" w14:textId="77777777" w:rsidR="0009142A" w:rsidRPr="00592B64" w:rsidRDefault="0009142A"/>
    <w:p w14:paraId="15D6D110" w14:textId="77777777" w:rsidR="0009142A" w:rsidRPr="00592B64" w:rsidRDefault="003E30A1">
      <w:pPr>
        <w:spacing w:after="0" w:line="360" w:lineRule="auto"/>
        <w:jc w:val="both"/>
      </w:pPr>
      <w:r w:rsidRPr="00592B64">
        <w:rPr>
          <w:rFonts w:ascii="Palatino Linotype" w:eastAsia="Palatino Linotype" w:hAnsi="Palatino Linotype" w:cs="Palatino Linotype"/>
          <w:b/>
          <w:sz w:val="24"/>
          <w:szCs w:val="24"/>
        </w:rPr>
        <w:t xml:space="preserve">2. RESPUESTA.  </w:t>
      </w:r>
      <w:r w:rsidRPr="00592B64">
        <w:rPr>
          <w:rFonts w:ascii="Palatino Linotype" w:eastAsia="Palatino Linotype" w:hAnsi="Palatino Linotype" w:cs="Palatino Linotype"/>
          <w:sz w:val="24"/>
          <w:szCs w:val="24"/>
        </w:rPr>
        <w:t xml:space="preserve">Con fecha veinticinco de enero del dos mil veintitrés, </w:t>
      </w:r>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592B64">
        <w:t xml:space="preserve"> </w:t>
      </w:r>
    </w:p>
    <w:p w14:paraId="6D1F1DAA" w14:textId="77777777" w:rsidR="0009142A" w:rsidRPr="00592B64" w:rsidRDefault="0009142A">
      <w:pPr>
        <w:spacing w:after="0" w:line="360" w:lineRule="auto"/>
        <w:jc w:val="both"/>
      </w:pPr>
    </w:p>
    <w:p w14:paraId="5DC1EE34" w14:textId="77777777" w:rsidR="0009142A" w:rsidRPr="00592B64" w:rsidRDefault="003E30A1">
      <w:pPr>
        <w:spacing w:after="0" w:line="276" w:lineRule="auto"/>
        <w:ind w:left="851" w:right="900"/>
        <w:jc w:val="both"/>
        <w:rPr>
          <w:rFonts w:ascii="Palatino Linotype" w:eastAsia="Palatino Linotype" w:hAnsi="Palatino Linotype" w:cs="Palatino Linotype"/>
          <w:i/>
        </w:rPr>
      </w:pPr>
      <w:r w:rsidRPr="00592B64">
        <w:rPr>
          <w:rFonts w:ascii="Palatino Linotype" w:eastAsia="Palatino Linotype" w:hAnsi="Palatino Linotype" w:cs="Palatino Linotype"/>
          <w:i/>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w:t>
      </w:r>
    </w:p>
    <w:p w14:paraId="73DC2D02" w14:textId="77777777" w:rsidR="0009142A" w:rsidRPr="00592B64" w:rsidRDefault="003E30A1">
      <w:pPr>
        <w:spacing w:after="0" w:line="276" w:lineRule="auto"/>
        <w:ind w:left="851" w:right="900"/>
        <w:jc w:val="both"/>
        <w:rPr>
          <w:rFonts w:ascii="Palatino Linotype" w:eastAsia="Palatino Linotype" w:hAnsi="Palatino Linotype" w:cs="Palatino Linotype"/>
          <w:i/>
        </w:rPr>
      </w:pPr>
      <w:r w:rsidRPr="00592B64">
        <w:rPr>
          <w:rFonts w:ascii="Palatino Linotype" w:eastAsia="Palatino Linotype" w:hAnsi="Palatino Linotype" w:cs="Palatino Linotype"/>
          <w:i/>
        </w:rPr>
        <w:t>ATENTAMENTE</w:t>
      </w:r>
    </w:p>
    <w:p w14:paraId="60B7AA0C" w14:textId="77777777" w:rsidR="0009142A" w:rsidRPr="00592B64" w:rsidRDefault="003E30A1">
      <w:pPr>
        <w:spacing w:after="0" w:line="276" w:lineRule="auto"/>
        <w:ind w:left="851" w:right="900"/>
        <w:jc w:val="both"/>
        <w:rPr>
          <w:rFonts w:ascii="Palatino Linotype" w:eastAsia="Palatino Linotype" w:hAnsi="Palatino Linotype" w:cs="Palatino Linotype"/>
          <w:i/>
        </w:rPr>
      </w:pPr>
      <w:r w:rsidRPr="00592B64">
        <w:rPr>
          <w:rFonts w:ascii="Palatino Linotype" w:eastAsia="Palatino Linotype" w:hAnsi="Palatino Linotype" w:cs="Palatino Linotype"/>
          <w:i/>
        </w:rPr>
        <w:t>Mtra. Larissa León Arce”</w:t>
      </w:r>
    </w:p>
    <w:p w14:paraId="0103862D" w14:textId="77777777" w:rsidR="0009142A" w:rsidRPr="00592B64" w:rsidRDefault="0009142A">
      <w:pPr>
        <w:spacing w:after="0" w:line="276" w:lineRule="auto"/>
        <w:ind w:left="851" w:right="900"/>
        <w:jc w:val="both"/>
        <w:rPr>
          <w:rFonts w:ascii="Palatino Linotype" w:eastAsia="Palatino Linotype" w:hAnsi="Palatino Linotype" w:cs="Palatino Linotype"/>
          <w:i/>
        </w:rPr>
      </w:pPr>
    </w:p>
    <w:p w14:paraId="7F3F0A77" w14:textId="77777777" w:rsidR="0009142A" w:rsidRPr="00592B64" w:rsidRDefault="003E30A1">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xml:space="preserve"> adjuntó para tal efecto los archivos electrónicos:</w:t>
      </w:r>
    </w:p>
    <w:p w14:paraId="3081782F"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b/>
          <w:i/>
          <w:sz w:val="24"/>
          <w:szCs w:val="24"/>
          <w:u w:val="single"/>
        </w:rPr>
        <w:t>Incompetencia 57.pdf</w:t>
      </w:r>
      <w:r w:rsidRPr="00592B64">
        <w:rPr>
          <w:rFonts w:ascii="Palatino Linotype" w:eastAsia="Palatino Linotype" w:hAnsi="Palatino Linotype" w:cs="Palatino Linotype"/>
          <w:sz w:val="24"/>
          <w:szCs w:val="24"/>
        </w:rPr>
        <w:t xml:space="preserve">”: Oficio de fecha veinticinco de enero del dos mil veintitrés, signado por la Titular de la Unidad de Transparencia, mediante el cual menciona que una vez analizada la petición, la Secretaria de Seguridad del Estado de México, es la dependencia encargada de planear, formular, conducir, coordinar, ejecutar, supervisar y evaluar las políticas, programas y acciones en materia de seguridad que le competen al Gobierno del Estado de México, motivo por el cual carece de competencia para dar respuesta a la solicitud de información, ya que corresponde al Municipio de Ecatepec de Morelos, Naucalpan de Juárez, Nezahualcóyotl y Toluca dar atención al requerimiento, esto con fundamento en el artículo 115 de la Constitución Política de los Estados Unidos Mexicanos, artículo 122 de la Constitución del Estado Libre y Soberano de México, artículo 48 fracción XII y artículo 125 fracción VIII de la Ley Orgánica Municipal del Estado de México, por lo que sugiere dirigir su solicitud a dichos Ayuntamientos. </w:t>
      </w:r>
    </w:p>
    <w:p w14:paraId="71EC7950"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7F6F4E4" w14:textId="77777777" w:rsidR="0009142A" w:rsidRPr="00592B64" w:rsidRDefault="003E30A1">
      <w:pPr>
        <w:spacing w:after="240" w:line="360" w:lineRule="auto"/>
        <w:ind w:right="-234"/>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3. DEL RECURSO DE REVISIÓN. </w:t>
      </w:r>
      <w:r w:rsidRPr="00592B64">
        <w:rPr>
          <w:rFonts w:ascii="Palatino Linotype" w:eastAsia="Palatino Linotype" w:hAnsi="Palatino Linotype" w:cs="Palatino Linotype"/>
          <w:sz w:val="24"/>
          <w:szCs w:val="24"/>
        </w:rPr>
        <w:t>Inconforme con la respuesta del</w:t>
      </w:r>
      <w:r w:rsidRPr="00592B64">
        <w:rPr>
          <w:rFonts w:ascii="Palatino Linotype" w:eastAsia="Palatino Linotype" w:hAnsi="Palatino Linotype" w:cs="Palatino Linotype"/>
          <w:b/>
          <w:sz w:val="24"/>
          <w:szCs w:val="24"/>
        </w:rPr>
        <w:t xml:space="preserve"> SUJETO OBLIGADO, </w:t>
      </w:r>
      <w:r w:rsidRPr="00592B64">
        <w:rPr>
          <w:rFonts w:ascii="Palatino Linotype" w:eastAsia="Palatino Linotype" w:hAnsi="Palatino Linotype" w:cs="Palatino Linotype"/>
          <w:sz w:val="24"/>
          <w:szCs w:val="24"/>
        </w:rPr>
        <w:t>en fecha veintiséis de enero de dos mil veintitrés</w:t>
      </w:r>
      <w:r w:rsidRPr="00592B64">
        <w:rPr>
          <w:rFonts w:ascii="Palatino Linotype" w:eastAsia="Palatino Linotype" w:hAnsi="Palatino Linotype" w:cs="Palatino Linotype"/>
          <w:b/>
          <w:sz w:val="24"/>
          <w:szCs w:val="24"/>
        </w:rPr>
        <w:t xml:space="preserve">, LA PARTE RECURRENTE </w:t>
      </w:r>
      <w:r w:rsidRPr="00592B64">
        <w:rPr>
          <w:rFonts w:ascii="Palatino Linotype" w:eastAsia="Palatino Linotype" w:hAnsi="Palatino Linotype" w:cs="Palatino Linotype"/>
          <w:sz w:val="24"/>
          <w:szCs w:val="24"/>
        </w:rPr>
        <w:t>interpuso el recurso de revisión, el cual fue registrado</w:t>
      </w:r>
      <w:r w:rsidRPr="00592B64">
        <w:rPr>
          <w:rFonts w:ascii="Palatino Linotype" w:eastAsia="Palatino Linotype" w:hAnsi="Palatino Linotype" w:cs="Palatino Linotype"/>
          <w:b/>
          <w:sz w:val="24"/>
          <w:szCs w:val="24"/>
        </w:rPr>
        <w:t xml:space="preserve"> </w:t>
      </w:r>
      <w:r w:rsidRPr="00592B64">
        <w:rPr>
          <w:rFonts w:ascii="Palatino Linotype" w:eastAsia="Palatino Linotype" w:hAnsi="Palatino Linotype" w:cs="Palatino Linotype"/>
          <w:sz w:val="24"/>
          <w:szCs w:val="24"/>
        </w:rPr>
        <w:t xml:space="preserve">en el sistema electrónico con el expediente número </w:t>
      </w:r>
      <w:r w:rsidRPr="00592B64">
        <w:rPr>
          <w:rFonts w:ascii="Palatino Linotype" w:eastAsia="Palatino Linotype" w:hAnsi="Palatino Linotype" w:cs="Palatino Linotype"/>
          <w:b/>
          <w:sz w:val="24"/>
          <w:szCs w:val="24"/>
        </w:rPr>
        <w:t>00459/INFOEM/IP/RR/2023</w:t>
      </w:r>
      <w:r w:rsidRPr="00592B64">
        <w:rPr>
          <w:rFonts w:ascii="Palatino Linotype" w:eastAsia="Palatino Linotype" w:hAnsi="Palatino Linotype" w:cs="Palatino Linotype"/>
          <w:sz w:val="24"/>
          <w:szCs w:val="24"/>
        </w:rPr>
        <w:t>, en el cual manifestó, lo siguiente:</w:t>
      </w:r>
    </w:p>
    <w:p w14:paraId="781D87FF" w14:textId="77777777" w:rsidR="0009142A" w:rsidRPr="00592B64" w:rsidRDefault="0009142A">
      <w:pPr>
        <w:spacing w:after="240" w:line="360" w:lineRule="auto"/>
        <w:ind w:right="-234"/>
        <w:jc w:val="both"/>
        <w:rPr>
          <w:rFonts w:ascii="Palatino Linotype" w:eastAsia="Palatino Linotype" w:hAnsi="Palatino Linotype" w:cs="Palatino Linotype"/>
          <w:sz w:val="24"/>
          <w:szCs w:val="24"/>
        </w:rPr>
      </w:pPr>
    </w:p>
    <w:p w14:paraId="1FF7322E" w14:textId="77777777" w:rsidR="0009142A" w:rsidRPr="00592B64" w:rsidRDefault="0009142A">
      <w:pPr>
        <w:spacing w:after="240" w:line="360" w:lineRule="auto"/>
        <w:ind w:right="-234"/>
        <w:jc w:val="both"/>
        <w:rPr>
          <w:rFonts w:ascii="Palatino Linotype" w:eastAsia="Palatino Linotype" w:hAnsi="Palatino Linotype" w:cs="Palatino Linotype"/>
          <w:sz w:val="24"/>
          <w:szCs w:val="24"/>
        </w:rPr>
      </w:pPr>
    </w:p>
    <w:p w14:paraId="694CE1F4" w14:textId="77777777" w:rsidR="0009142A" w:rsidRPr="00592B64" w:rsidRDefault="003E30A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592B64">
        <w:rPr>
          <w:rFonts w:ascii="Palatino Linotype" w:eastAsia="Palatino Linotype" w:hAnsi="Palatino Linotype" w:cs="Palatino Linotype"/>
          <w:b/>
          <w:i/>
          <w:sz w:val="24"/>
          <w:szCs w:val="24"/>
        </w:rPr>
        <w:lastRenderedPageBreak/>
        <w:t>Acto Impugnado:</w:t>
      </w:r>
    </w:p>
    <w:p w14:paraId="45854646" w14:textId="77777777" w:rsidR="0009142A" w:rsidRPr="00592B64" w:rsidRDefault="003E30A1">
      <w:pPr>
        <w:spacing w:before="240" w:after="240" w:line="276" w:lineRule="auto"/>
        <w:ind w:left="851"/>
        <w:jc w:val="both"/>
        <w:rPr>
          <w:rFonts w:ascii="Palatino Linotype" w:eastAsia="Palatino Linotype" w:hAnsi="Palatino Linotype" w:cs="Palatino Linotype"/>
          <w:i/>
        </w:rPr>
      </w:pPr>
      <w:r w:rsidRPr="00592B64">
        <w:rPr>
          <w:rFonts w:ascii="Palatino Linotype" w:eastAsia="Palatino Linotype" w:hAnsi="Palatino Linotype" w:cs="Palatino Linotype"/>
          <w:i/>
        </w:rPr>
        <w:t>“Por medio de la presente nos dirigimos a la Unidad de Transparencia de la Secretaría de Seguridad del Estado de México y con base en los artículos 7, 9 fracciones VII, VIII y X, artículo 16, 18, 19, 24 fracciones IV, V, IX y XI, artículo 75, 82, 92 fracciones II, VII y XXXIV de la Ley de Transparencia y Acceso a la Información Pública del Estado de México y Municipios para presentar este medio de revisión, porque el sujeto obligado presume de incompetencia a dar respuesta a la solicitud de información. Todo lo anterior con base en lo que establece el: Reglamento Interior de la Secretaría de Seguridad del Estado de México Artículo 8. Para el estudio, planeación y despacho de los asuntos de su competencia, así como para atender las funciones de control y evaluación que le corresponden, la Secretaría se auxiliará de las Unidades Administrativas siguientes: [...] III. Centro de Control, Comando, Comunicación, Cómputo y Calidad; [...] Artículo 39. Corresponden al Centro de Control, Comando, Comunicación, Cómputo y Calidad las atribuciones siguientes: VI. Analizar y procesar la información obtenida de los sistemas tecnológicos con los que se cuenten, para realizar consignas operativas; VII. Proporcionar, en el ámbito de su competencia, la información obtenida de los equipos y sistemas tecnológicos con los que se operan [...] y IX. Actualizar permanentemente la información relacionada con los registros y bases de datos de los sistemas tecnológicos y generar los reportes correspondientes; Cabe resaltar que mediante la solicitud 00009/ECATEPEC/IP/2023, dirigida al Ayuntamiento de Ecatepec informo que "No es Sujeto Obligado para dar atención a su requerimiento" [sic]. Sugiriendo dirigir la información a la Secretaría de Seguridad del Gobierno del Estado de México. Por la razones expuestas se solicita a la Comisión de Transparencia en turno para dar solución a este medio de revisión y se cumpla con el derecho a la información pública.” [sic]</w:t>
      </w:r>
    </w:p>
    <w:p w14:paraId="24E5D634" w14:textId="77777777" w:rsidR="0009142A" w:rsidRPr="00592B64" w:rsidRDefault="003E30A1">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92B64">
        <w:rPr>
          <w:rFonts w:ascii="Palatino Linotype" w:eastAsia="Palatino Linotype" w:hAnsi="Palatino Linotype" w:cs="Palatino Linotype"/>
          <w:b/>
          <w:i/>
          <w:sz w:val="24"/>
          <w:szCs w:val="24"/>
        </w:rPr>
        <w:t>Razones o Motivos de Inconformidad</w:t>
      </w:r>
      <w:r w:rsidRPr="00592B64">
        <w:rPr>
          <w:rFonts w:ascii="Palatino Linotype" w:eastAsia="Palatino Linotype" w:hAnsi="Palatino Linotype" w:cs="Palatino Linotype"/>
          <w:i/>
          <w:sz w:val="24"/>
          <w:szCs w:val="24"/>
        </w:rPr>
        <w:t>:</w:t>
      </w:r>
    </w:p>
    <w:p w14:paraId="20575C83" w14:textId="77777777" w:rsidR="0009142A" w:rsidRPr="00592B64" w:rsidRDefault="003E30A1">
      <w:pPr>
        <w:spacing w:before="240" w:after="0" w:line="276" w:lineRule="auto"/>
        <w:ind w:left="851"/>
        <w:jc w:val="both"/>
        <w:rPr>
          <w:rFonts w:ascii="Palatino Linotype" w:eastAsia="Palatino Linotype" w:hAnsi="Palatino Linotype" w:cs="Palatino Linotype"/>
        </w:rPr>
      </w:pPr>
      <w:r w:rsidRPr="00592B64">
        <w:rPr>
          <w:rFonts w:ascii="Palatino Linotype" w:eastAsia="Palatino Linotype" w:hAnsi="Palatino Linotype" w:cs="Palatino Linotype"/>
          <w:sz w:val="24"/>
          <w:szCs w:val="24"/>
        </w:rPr>
        <w:t>No se advierten manifestaciones.</w:t>
      </w:r>
    </w:p>
    <w:p w14:paraId="5284DC57" w14:textId="77777777" w:rsidR="0009142A" w:rsidRPr="00592B64" w:rsidRDefault="0009142A">
      <w:pPr>
        <w:spacing w:after="0" w:line="360" w:lineRule="auto"/>
        <w:jc w:val="both"/>
      </w:pPr>
    </w:p>
    <w:p w14:paraId="4E05CBC6"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Adjuntado el archivo electrónico: </w:t>
      </w:r>
    </w:p>
    <w:p w14:paraId="4F67406C"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471F52BD"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lastRenderedPageBreak/>
        <w:t>“</w:t>
      </w:r>
      <w:r w:rsidRPr="00592B64">
        <w:rPr>
          <w:rFonts w:ascii="Palatino Linotype" w:eastAsia="Palatino Linotype" w:hAnsi="Palatino Linotype" w:cs="Palatino Linotype"/>
          <w:b/>
          <w:i/>
          <w:sz w:val="24"/>
          <w:szCs w:val="24"/>
          <w:u w:val="single"/>
        </w:rPr>
        <w:t>Archivo1674754016038.pdf</w:t>
      </w:r>
      <w:r w:rsidRPr="00592B64">
        <w:rPr>
          <w:rFonts w:ascii="Palatino Linotype" w:eastAsia="Palatino Linotype" w:hAnsi="Palatino Linotype" w:cs="Palatino Linotype"/>
          <w:sz w:val="24"/>
          <w:szCs w:val="24"/>
        </w:rPr>
        <w:t xml:space="preserve">”: Oficio de fecha nueve de enero de dos mil veintitrés, signado por el Titular de la Unidad de Transparencia del Ayuntamiento de Ecatepec de Morelos, mediante el cual menciona que no es el Sujeto Obligado competente para otorgar respuesta a su solicitud de información, siendo la Secretaria de Seguridad, el Sujeto Obligado competente para otorgar respuesta. </w:t>
      </w:r>
    </w:p>
    <w:p w14:paraId="17B5FEE5"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3C004FB0"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4. TURNO. </w:t>
      </w:r>
      <w:r w:rsidRPr="00592B64">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92B64">
        <w:rPr>
          <w:rFonts w:ascii="Palatino Linotype" w:eastAsia="Palatino Linotype" w:hAnsi="Palatino Linotype" w:cs="Palatino Linotype"/>
          <w:b/>
          <w:sz w:val="24"/>
          <w:szCs w:val="24"/>
        </w:rPr>
        <w:t xml:space="preserve">Guadalupe Ramírez Peña, </w:t>
      </w:r>
      <w:r w:rsidRPr="00592B64">
        <w:rPr>
          <w:rFonts w:ascii="Palatino Linotype" w:eastAsia="Palatino Linotype" w:hAnsi="Palatino Linotype" w:cs="Palatino Linotype"/>
          <w:sz w:val="24"/>
          <w:szCs w:val="24"/>
        </w:rPr>
        <w:t xml:space="preserve">a efecto de que analizara sobre su admisión o su </w:t>
      </w:r>
      <w:proofErr w:type="spellStart"/>
      <w:r w:rsidRPr="00592B64">
        <w:rPr>
          <w:rFonts w:ascii="Palatino Linotype" w:eastAsia="Palatino Linotype" w:hAnsi="Palatino Linotype" w:cs="Palatino Linotype"/>
          <w:sz w:val="24"/>
          <w:szCs w:val="24"/>
        </w:rPr>
        <w:t>desechamiento</w:t>
      </w:r>
      <w:proofErr w:type="spellEnd"/>
      <w:r w:rsidRPr="00592B64">
        <w:rPr>
          <w:rFonts w:ascii="Palatino Linotype" w:eastAsia="Palatino Linotype" w:hAnsi="Palatino Linotype" w:cs="Palatino Linotype"/>
          <w:sz w:val="24"/>
          <w:szCs w:val="24"/>
        </w:rPr>
        <w:t>.</w:t>
      </w:r>
    </w:p>
    <w:p w14:paraId="72FDEB20" w14:textId="77777777" w:rsidR="0009142A" w:rsidRPr="00592B64" w:rsidRDefault="0009142A">
      <w:pPr>
        <w:spacing w:after="0" w:line="360" w:lineRule="auto"/>
      </w:pPr>
    </w:p>
    <w:p w14:paraId="123222D0"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5. ADMISIÓN DEL RECURSO DE REVISIÓN.</w:t>
      </w:r>
      <w:r w:rsidRPr="00592B64">
        <w:rPr>
          <w:rFonts w:ascii="Palatino Linotype" w:eastAsia="Palatino Linotype" w:hAnsi="Palatino Linotype" w:cs="Palatino Linotype"/>
          <w:sz w:val="24"/>
          <w:szCs w:val="24"/>
        </w:rPr>
        <w:t xml:space="preserve"> Con fecha</w:t>
      </w:r>
      <w:r w:rsidRPr="00592B64">
        <w:rPr>
          <w:rFonts w:ascii="Palatino Linotype" w:eastAsia="Palatino Linotype" w:hAnsi="Palatino Linotype" w:cs="Palatino Linotype"/>
          <w:b/>
          <w:sz w:val="24"/>
          <w:szCs w:val="24"/>
        </w:rPr>
        <w:t xml:space="preserve"> treinta y uno enero de dos mil veintitrés, </w:t>
      </w:r>
      <w:r w:rsidRPr="00592B64">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92B64">
        <w:rPr>
          <w:rFonts w:ascii="Palatino Linotype" w:eastAsia="Palatino Linotype" w:hAnsi="Palatino Linotype" w:cs="Palatino Linotype"/>
          <w:b/>
          <w:sz w:val="24"/>
          <w:szCs w:val="24"/>
        </w:rPr>
        <w:t xml:space="preserve">SUJETO OBLIGADO </w:t>
      </w:r>
      <w:r w:rsidRPr="00592B64">
        <w:rPr>
          <w:rFonts w:ascii="Palatino Linotype" w:eastAsia="Palatino Linotype" w:hAnsi="Palatino Linotype" w:cs="Palatino Linotype"/>
          <w:sz w:val="24"/>
          <w:szCs w:val="24"/>
        </w:rPr>
        <w:t>presentará su informe justificado.</w:t>
      </w:r>
    </w:p>
    <w:p w14:paraId="286E4687"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9946F07" w14:textId="77777777" w:rsidR="0009142A" w:rsidRPr="00592B64" w:rsidRDefault="003E30A1">
      <w:pP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6. MANIFESTACIONES.</w:t>
      </w:r>
      <w:r w:rsidRPr="00592B64">
        <w:rPr>
          <w:rFonts w:ascii="Palatino Linotype" w:eastAsia="Palatino Linotype" w:hAnsi="Palatino Linotype" w:cs="Palatino Linotype"/>
          <w:sz w:val="24"/>
          <w:szCs w:val="24"/>
        </w:rPr>
        <w:t xml:space="preserve"> El diez de febrero de dos mil veintitrés se recibió, a través del Sistema de Acceso a la Información Mexiquense (SAIMEX), el Informe </w:t>
      </w:r>
      <w:r w:rsidRPr="00592B64">
        <w:rPr>
          <w:rFonts w:ascii="Palatino Linotype" w:eastAsia="Palatino Linotype" w:hAnsi="Palatino Linotype" w:cs="Palatino Linotype"/>
          <w:sz w:val="24"/>
          <w:szCs w:val="24"/>
        </w:rPr>
        <w:lastRenderedPageBreak/>
        <w:t xml:space="preserve">Justificado del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b/>
          <w:sz w:val="24"/>
          <w:szCs w:val="24"/>
        </w:rPr>
        <w:t xml:space="preserve"> </w:t>
      </w:r>
      <w:r w:rsidRPr="00592B64">
        <w:rPr>
          <w:rFonts w:ascii="Palatino Linotype" w:eastAsia="Palatino Linotype" w:hAnsi="Palatino Linotype" w:cs="Palatino Linotype"/>
          <w:sz w:val="24"/>
          <w:szCs w:val="24"/>
        </w:rPr>
        <w:t xml:space="preserve">a través de los siguientes archivos electrónicos: </w:t>
      </w:r>
    </w:p>
    <w:p w14:paraId="3E742C0C" w14:textId="77777777" w:rsidR="0009142A" w:rsidRPr="00592B64" w:rsidRDefault="0009142A">
      <w:pPr>
        <w:spacing w:after="0" w:line="360" w:lineRule="auto"/>
        <w:ind w:right="49"/>
        <w:jc w:val="both"/>
        <w:rPr>
          <w:rFonts w:ascii="Palatino Linotype" w:eastAsia="Palatino Linotype" w:hAnsi="Palatino Linotype" w:cs="Palatino Linotype"/>
          <w:sz w:val="24"/>
          <w:szCs w:val="24"/>
        </w:rPr>
      </w:pPr>
    </w:p>
    <w:p w14:paraId="09CA8D4C"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b/>
          <w:i/>
          <w:sz w:val="24"/>
          <w:szCs w:val="24"/>
          <w:u w:val="single"/>
        </w:rPr>
        <w:t>Informe justificado RR00459 .</w:t>
      </w:r>
      <w:proofErr w:type="spellStart"/>
      <w:r w:rsidRPr="00592B64">
        <w:rPr>
          <w:rFonts w:ascii="Palatino Linotype" w:eastAsia="Palatino Linotype" w:hAnsi="Palatino Linotype" w:cs="Palatino Linotype"/>
          <w:b/>
          <w:i/>
          <w:sz w:val="24"/>
          <w:szCs w:val="24"/>
          <w:u w:val="single"/>
        </w:rPr>
        <w:t>pdf</w:t>
      </w:r>
      <w:proofErr w:type="spellEnd"/>
      <w:r w:rsidRPr="00592B64">
        <w:rPr>
          <w:rFonts w:ascii="Palatino Linotype" w:eastAsia="Palatino Linotype" w:hAnsi="Palatino Linotype" w:cs="Palatino Linotype"/>
          <w:sz w:val="24"/>
          <w:szCs w:val="24"/>
        </w:rPr>
        <w:t xml:space="preserve">”: Oficio signado por la Titular de la Unidad de Transparencia, mediante el cual describe las constancias que obran en el SAIMEX, además de mencionar que la Secretaria de Seguridad Pública del Estado de México cuenta con un Centro de Control, Comando, Comunicación, Cómputo y Calidad (C5), que permite ser un enlace entre la ciudadanía y las corporaciones de auxilio, donde llega la señal de cámara de video vigilancia, arcos carreteros con lector de placas para detectar vehículos involucrados en siniestros y el Centro de Atención de Emergencias. </w:t>
      </w:r>
    </w:p>
    <w:p w14:paraId="3A9B5448"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73FD266B"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El Centro de Control, Comando, Comunicación, Cómputo (C4) o Centros de Mando Municipal son instancias que administran la infraestructura tecnológica, esto de conformidad al artículo 2 fracción II, artículo 6 fracción III de la Ley que Regula el Uso de Tecnologías de la Información y Comunicación para la Seguridad Pública del Estado de México; artículo 28 fracción I del Reglamento de la Ley que Regula el Uso de Tecnologías de la Información y Comunicación para la Seguridad Pública del Estado de México; artículo 94 del Bando Municipal de Ecatepec de Morelos, Estado de México; artículo 11.5 fracción III del Reglamento Orgánico de la Administración Pública Municipal de Naucalpan de Juárez; artículo 55 fracción VIII del Reglamento Orgánico de la Administración Pública Municipal de Nezahualcóyotl y el artículo 78 fracción XVI del Bando Municipal de Toluca.     </w:t>
      </w:r>
    </w:p>
    <w:p w14:paraId="51B7D606"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49A8776"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lastRenderedPageBreak/>
        <w:t xml:space="preserve">No obstante, el Servidor Público Habilitado del Centro de Control, Comando, Comunicación, Cómputo y Calidad, refiere que remitió la información que se obtuvo de la búsqueda realizada en el sistema en donde se registran las llamadas que recibe el Centro de Atención de Llamadas de Emergencias 9-1-1 de conformidad al Catálogo Nacional de Incidencias de Emergencias del periodo del primero de enero al treinta y uno de diciembre de 2022, por lo que solicita el sobreseimiento del recurso de revisión. </w:t>
      </w:r>
    </w:p>
    <w:p w14:paraId="074B8732"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778E4E05"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b/>
          <w:i/>
          <w:sz w:val="24"/>
          <w:szCs w:val="24"/>
          <w:u w:val="single"/>
        </w:rPr>
        <w:t>ANEXO informe justificado .</w:t>
      </w:r>
      <w:proofErr w:type="spellStart"/>
      <w:r w:rsidRPr="00592B64">
        <w:rPr>
          <w:rFonts w:ascii="Palatino Linotype" w:eastAsia="Palatino Linotype" w:hAnsi="Palatino Linotype" w:cs="Palatino Linotype"/>
          <w:b/>
          <w:i/>
          <w:sz w:val="24"/>
          <w:szCs w:val="24"/>
          <w:u w:val="single"/>
        </w:rPr>
        <w:t>pdf</w:t>
      </w:r>
      <w:proofErr w:type="spellEnd"/>
      <w:r w:rsidRPr="00592B64">
        <w:rPr>
          <w:rFonts w:ascii="Palatino Linotype" w:eastAsia="Palatino Linotype" w:hAnsi="Palatino Linotype" w:cs="Palatino Linotype"/>
          <w:sz w:val="24"/>
          <w:szCs w:val="24"/>
        </w:rPr>
        <w:t xml:space="preserve">”: Registro de llamadas a través del C.A.LL.E. 9-1-1 del 01 de enero al 31 de diciembre de 2022: </w:t>
      </w:r>
    </w:p>
    <w:p w14:paraId="29541340"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noProof/>
        </w:rPr>
        <w:drawing>
          <wp:inline distT="0" distB="0" distL="0" distR="0" wp14:anchorId="1EF13574" wp14:editId="269C721E">
            <wp:extent cx="5803544" cy="331412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5629" t="25949" r="9876" b="8570"/>
                    <a:stretch>
                      <a:fillRect/>
                    </a:stretch>
                  </pic:blipFill>
                  <pic:spPr>
                    <a:xfrm>
                      <a:off x="0" y="0"/>
                      <a:ext cx="5803544" cy="3314129"/>
                    </a:xfrm>
                    <a:prstGeom prst="rect">
                      <a:avLst/>
                    </a:prstGeom>
                    <a:ln/>
                  </pic:spPr>
                </pic:pic>
              </a:graphicData>
            </a:graphic>
          </wp:inline>
        </w:drawing>
      </w:r>
    </w:p>
    <w:p w14:paraId="1973346D"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Mismo que se pusieron a la vista de la </w:t>
      </w:r>
      <w:r w:rsidRPr="00592B64">
        <w:rPr>
          <w:rFonts w:ascii="Palatino Linotype" w:eastAsia="Palatino Linotype" w:hAnsi="Palatino Linotype" w:cs="Palatino Linotype"/>
          <w:b/>
          <w:sz w:val="24"/>
          <w:szCs w:val="24"/>
        </w:rPr>
        <w:t xml:space="preserve">PARTE RECURRENTE </w:t>
      </w:r>
      <w:r w:rsidRPr="00592B64">
        <w:rPr>
          <w:rFonts w:ascii="Palatino Linotype" w:eastAsia="Palatino Linotype" w:hAnsi="Palatino Linotype" w:cs="Palatino Linotype"/>
          <w:sz w:val="24"/>
          <w:szCs w:val="24"/>
        </w:rPr>
        <w:t xml:space="preserve">en fecha treinta y uno de julio de dos mil veintitrés, mismo que fue omiso de emitir sus manifestaciones, conforme a derecho le corresponde. </w:t>
      </w:r>
    </w:p>
    <w:p w14:paraId="73AEF995"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AA9CDFB"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7. AMPLIACIÓN DEL TÉRMINO PARA RESOLVER</w:t>
      </w:r>
      <w:r w:rsidRPr="00592B64">
        <w:rPr>
          <w:rFonts w:ascii="Palatino Linotype" w:eastAsia="Palatino Linotype" w:hAnsi="Palatino Linotype" w:cs="Palatino Linotype"/>
          <w:sz w:val="24"/>
          <w:szCs w:val="24"/>
        </w:rPr>
        <w:t>.</w:t>
      </w:r>
      <w:r w:rsidRPr="00592B64">
        <w:rPr>
          <w:rFonts w:ascii="Palatino Linotype" w:eastAsia="Palatino Linotype" w:hAnsi="Palatino Linotype" w:cs="Palatino Linotype"/>
        </w:rPr>
        <w:t xml:space="preserve"> </w:t>
      </w:r>
      <w:r w:rsidRPr="00592B64">
        <w:rPr>
          <w:rFonts w:ascii="Palatino Linotype" w:eastAsia="Palatino Linotype" w:hAnsi="Palatino Linotype" w:cs="Palatino Linotype"/>
          <w:sz w:val="24"/>
          <w:szCs w:val="24"/>
        </w:rPr>
        <w:t xml:space="preserve">En fecha dos de agosto de dos mil veintitrés, se amplió el término para resolver el recurso de revisión en términos del artículo 181 párrafo tercero de la Ley de Transparencia y Acceso a la Información Pública del Estado de México y Municipios. </w:t>
      </w:r>
    </w:p>
    <w:p w14:paraId="7F4FCB9B"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3342E6B4"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89968B9"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053592D"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90D044"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6928E08"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592B64">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5F5F8DC4"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6FCE6F44"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8F8674"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6625E8A1" w14:textId="77777777" w:rsidR="0009142A" w:rsidRPr="00592B64" w:rsidRDefault="003E30A1">
      <w:pPr>
        <w:spacing w:after="0" w:line="360" w:lineRule="auto"/>
        <w:jc w:val="both"/>
        <w:rPr>
          <w:rFonts w:ascii="Palatino Linotype" w:eastAsia="Palatino Linotype" w:hAnsi="Palatino Linotype" w:cs="Palatino Linotype"/>
          <w:strike/>
          <w:sz w:val="24"/>
          <w:szCs w:val="24"/>
        </w:rPr>
      </w:pPr>
      <w:r w:rsidRPr="00592B6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75A562F" w14:textId="77777777" w:rsidR="0009142A" w:rsidRPr="00592B64" w:rsidRDefault="003E30A1">
      <w:pPr>
        <w:numPr>
          <w:ilvl w:val="0"/>
          <w:numId w:val="2"/>
        </w:num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FA91FEB" w14:textId="77777777" w:rsidR="0009142A" w:rsidRPr="00592B64" w:rsidRDefault="0009142A">
      <w:pPr>
        <w:spacing w:after="0" w:line="360" w:lineRule="auto"/>
        <w:ind w:left="927"/>
        <w:jc w:val="both"/>
        <w:rPr>
          <w:rFonts w:ascii="Palatino Linotype" w:eastAsia="Palatino Linotype" w:hAnsi="Palatino Linotype" w:cs="Palatino Linotype"/>
          <w:sz w:val="24"/>
          <w:szCs w:val="24"/>
        </w:rPr>
      </w:pPr>
    </w:p>
    <w:p w14:paraId="563A41DA" w14:textId="77777777" w:rsidR="0009142A" w:rsidRPr="00592B64" w:rsidRDefault="003E30A1">
      <w:pPr>
        <w:numPr>
          <w:ilvl w:val="0"/>
          <w:numId w:val="2"/>
        </w:num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Actividad Procesal del interesado. Acciones u omisiones del interesado.</w:t>
      </w:r>
    </w:p>
    <w:p w14:paraId="13FD2CFA"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72B3320F" w14:textId="77777777" w:rsidR="0009142A" w:rsidRPr="00592B64" w:rsidRDefault="003E30A1">
      <w:pPr>
        <w:numPr>
          <w:ilvl w:val="0"/>
          <w:numId w:val="2"/>
        </w:num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5F944EFA" w14:textId="77777777" w:rsidR="0009142A" w:rsidRPr="00592B64" w:rsidRDefault="003E30A1">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57A6AB74" w14:textId="77777777" w:rsidR="0009142A" w:rsidRPr="00592B64" w:rsidRDefault="0009142A">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300C6ACA"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w:t>
      </w:r>
      <w:r w:rsidRPr="00592B64">
        <w:rPr>
          <w:rFonts w:ascii="Palatino Linotype" w:eastAsia="Palatino Linotype" w:hAnsi="Palatino Linotype" w:cs="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769A591"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5B0191E0"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92B64">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592B64">
        <w:rPr>
          <w:rFonts w:ascii="Palatino Linotype" w:eastAsia="Palatino Linotype" w:hAnsi="Palatino Linotype" w:cs="Palatino Linotype"/>
          <w:sz w:val="24"/>
          <w:szCs w:val="24"/>
        </w:rPr>
        <w:t>, visible en la Gaceta del Seminario Judicial de la Federación con el registro digital 205635.</w:t>
      </w:r>
    </w:p>
    <w:p w14:paraId="66463549"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77157A"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97FA8A3"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1753B5A"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9729FC6"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i/>
          <w:sz w:val="24"/>
          <w:szCs w:val="24"/>
        </w:rPr>
        <w:t>“PLAZO RAZONABLE PARA RESOLVER. DIMENSIÓN Y EFECTOS DE ESTE CONCEPTO CUANDO SE ADUCE EXCESIVA CARGA DE TRABAJO.”</w:t>
      </w:r>
      <w:r w:rsidRPr="00592B64">
        <w:rPr>
          <w:rFonts w:ascii="Palatino Linotype" w:eastAsia="Palatino Linotype" w:hAnsi="Palatino Linotype" w:cs="Palatino Linotype"/>
          <w:sz w:val="24"/>
          <w:szCs w:val="24"/>
        </w:rPr>
        <w:t xml:space="preserve"> consultable en el Seminario Judicial de la Federación y su gaceta, con el registro digital 2002351.</w:t>
      </w:r>
    </w:p>
    <w:p w14:paraId="2D682BA0"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05E518D"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592B64">
        <w:rPr>
          <w:rFonts w:ascii="Palatino Linotype" w:eastAsia="Palatino Linotype" w:hAnsi="Palatino Linotype" w:cs="Palatino Linotype"/>
          <w:sz w:val="24"/>
          <w:szCs w:val="24"/>
        </w:rPr>
        <w:t>, visible en el Seminario Judicial de la Federación y su gaceta, con el registro digital 2002350.</w:t>
      </w:r>
    </w:p>
    <w:p w14:paraId="0D6B3916"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6579B092"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877B7FF"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73DA54C6"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8. CIERRE DE INSTRUCCIÓN. </w:t>
      </w:r>
      <w:r w:rsidRPr="00592B64">
        <w:rPr>
          <w:rFonts w:ascii="Palatino Linotype" w:eastAsia="Palatino Linotype" w:hAnsi="Palatino Linotype" w:cs="Palatino Linotype"/>
          <w:sz w:val="24"/>
          <w:szCs w:val="24"/>
        </w:rPr>
        <w:t>El ocho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9F33767"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2A12D7B"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1C5A90F7" w14:textId="77777777" w:rsidR="0009142A" w:rsidRPr="00592B64" w:rsidRDefault="0009142A"/>
    <w:p w14:paraId="59781FEE" w14:textId="77777777" w:rsidR="0009142A" w:rsidRPr="00592B64" w:rsidRDefault="003E30A1">
      <w:pPr>
        <w:widowControl w:val="0"/>
        <w:tabs>
          <w:tab w:val="left" w:pos="2550"/>
          <w:tab w:val="center" w:pos="4419"/>
        </w:tabs>
        <w:spacing w:after="0" w:line="360" w:lineRule="auto"/>
        <w:jc w:val="center"/>
        <w:rPr>
          <w:rFonts w:ascii="Palatino Linotype" w:eastAsia="Palatino Linotype" w:hAnsi="Palatino Linotype" w:cs="Palatino Linotype"/>
          <w:b/>
          <w:sz w:val="24"/>
          <w:szCs w:val="24"/>
        </w:rPr>
      </w:pPr>
      <w:r w:rsidRPr="00592B64">
        <w:rPr>
          <w:rFonts w:ascii="Palatino Linotype" w:eastAsia="Palatino Linotype" w:hAnsi="Palatino Linotype" w:cs="Palatino Linotype"/>
          <w:b/>
          <w:sz w:val="24"/>
          <w:szCs w:val="24"/>
        </w:rPr>
        <w:t>C O N S I D E R A N D O S</w:t>
      </w:r>
    </w:p>
    <w:p w14:paraId="706DE33F" w14:textId="77777777" w:rsidR="0009142A" w:rsidRPr="00592B64" w:rsidRDefault="0009142A">
      <w:pPr>
        <w:spacing w:after="0" w:line="360" w:lineRule="auto"/>
        <w:jc w:val="both"/>
        <w:rPr>
          <w:rFonts w:ascii="Palatino Linotype" w:eastAsia="Palatino Linotype" w:hAnsi="Palatino Linotype" w:cs="Palatino Linotype"/>
          <w:b/>
          <w:sz w:val="24"/>
          <w:szCs w:val="24"/>
        </w:rPr>
      </w:pPr>
    </w:p>
    <w:p w14:paraId="42B3D668"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PRIMERO. COMPETENCIA.</w:t>
      </w:r>
      <w:r w:rsidRPr="00592B6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w:t>
      </w:r>
      <w:r w:rsidR="00F552C1" w:rsidRPr="00592B64">
        <w:rPr>
          <w:rFonts w:ascii="Palatino Linotype" w:eastAsia="Palatino Linotype" w:hAnsi="Palatino Linotype" w:cs="Palatino Linotype"/>
          <w:sz w:val="24"/>
          <w:szCs w:val="24"/>
        </w:rPr>
        <w:t>os Unidos Mexicanos; 5 párrafos</w:t>
      </w:r>
      <w:r w:rsidRPr="00592B64">
        <w:rPr>
          <w:rFonts w:ascii="Palatino Linotype" w:eastAsia="Palatino Linotype" w:hAnsi="Palatino Linotype" w:cs="Palatino Linotype"/>
          <w:sz w:val="24"/>
          <w:szCs w:val="24"/>
        </w:rPr>
        <w:t xml:space="preserve"> trigésimo segundo</w:t>
      </w:r>
      <w:r w:rsidR="00F552C1" w:rsidRPr="00592B64">
        <w:rPr>
          <w:rFonts w:ascii="Palatino Linotype" w:eastAsia="Palatino Linotype" w:hAnsi="Palatino Linotype" w:cs="Palatino Linotype"/>
          <w:sz w:val="24"/>
          <w:szCs w:val="24"/>
        </w:rPr>
        <w:t>, trigésimo tercero y trigésimo cuarto</w:t>
      </w:r>
      <w:r w:rsidRPr="00592B64">
        <w:rPr>
          <w:rFonts w:ascii="Palatino Linotype" w:eastAsia="Palatino Linotype" w:hAnsi="Palatino Linotype" w:cs="Palatino Linotype"/>
          <w:sz w:val="24"/>
          <w:szCs w:val="24"/>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352AA0" w14:textId="77777777" w:rsidR="0009142A" w:rsidRPr="00592B64" w:rsidRDefault="0009142A"/>
    <w:p w14:paraId="7AB1039A" w14:textId="77777777" w:rsidR="0009142A" w:rsidRPr="00592B64" w:rsidRDefault="003E30A1">
      <w:pPr>
        <w:spacing w:after="0" w:line="360" w:lineRule="auto"/>
        <w:ind w:right="-234"/>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SEGUNDO. OPORTUNIDAD Y PROCEDIBILIDAD DEL RECURSO DE REVISIÓN.  </w:t>
      </w:r>
      <w:r w:rsidRPr="00592B64">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73E43616" w14:textId="77777777" w:rsidR="0009142A" w:rsidRPr="00592B64" w:rsidRDefault="0009142A"/>
    <w:p w14:paraId="14FBCFAC" w14:textId="77777777" w:rsidR="0009142A" w:rsidRPr="00592B64" w:rsidRDefault="003E30A1">
      <w:pPr>
        <w:spacing w:after="0" w:line="360" w:lineRule="auto"/>
        <w:ind w:right="-234"/>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92B64">
        <w:rPr>
          <w:rFonts w:ascii="Palatino Linotype" w:eastAsia="Palatino Linotype" w:hAnsi="Palatino Linotype" w:cs="Palatino Linotype"/>
          <w:b/>
          <w:sz w:val="24"/>
          <w:szCs w:val="24"/>
        </w:rPr>
        <w:t xml:space="preserve"> EL SUJETO OBLIGADO </w:t>
      </w:r>
      <w:r w:rsidRPr="00592B64">
        <w:rPr>
          <w:rFonts w:ascii="Palatino Linotype" w:eastAsia="Palatino Linotype" w:hAnsi="Palatino Linotype" w:cs="Palatino Linotype"/>
          <w:sz w:val="24"/>
          <w:szCs w:val="24"/>
        </w:rPr>
        <w:t xml:space="preserve">emitió la respuesta, toda vez que esta fue pronunciada el veinticinco de enero de dos mil veintitrés, mientras que </w:t>
      </w:r>
      <w:r w:rsidRPr="00592B64">
        <w:rPr>
          <w:rFonts w:ascii="Palatino Linotype" w:eastAsia="Palatino Linotype" w:hAnsi="Palatino Linotype" w:cs="Palatino Linotype"/>
          <w:b/>
          <w:sz w:val="24"/>
          <w:szCs w:val="24"/>
        </w:rPr>
        <w:t>LA PARTE</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 xml:space="preserve"> interpuso el recurso de revisión en fecha veintiséis de enero de dos mil veintitrés, esto es al siguiente día hábil de haber recibido la respuesta. </w:t>
      </w:r>
    </w:p>
    <w:p w14:paraId="1B5ABFB2"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0378CAB6"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En ese sentido, al considerar la fecha en que se formuló la solicitud y la fecha en la que respondieron a estas </w:t>
      </w:r>
      <w:r w:rsidRPr="00592B64">
        <w:rPr>
          <w:rFonts w:ascii="Palatino Linotype" w:eastAsia="Palatino Linotype" w:hAnsi="Palatino Linotype" w:cs="Palatino Linotype"/>
          <w:b/>
          <w:sz w:val="24"/>
          <w:szCs w:val="24"/>
        </w:rPr>
        <w:t>EL</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4C0560B0"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055B1F1A"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592B64">
        <w:rPr>
          <w:rFonts w:ascii="Palatino Linotype" w:eastAsia="Palatino Linotype" w:hAnsi="Palatino Linotype" w:cs="Palatino Linotype"/>
          <w:b/>
          <w:sz w:val="24"/>
          <w:szCs w:val="24"/>
        </w:rPr>
        <w:t>LA PARTE</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C4CFC9"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0064135C" w14:textId="77777777" w:rsidR="0009142A" w:rsidRPr="00592B64" w:rsidRDefault="003E30A1">
      <w:pPr>
        <w:spacing w:after="0" w:line="240"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i/>
        </w:rPr>
        <w:t>"</w:t>
      </w:r>
      <w:r w:rsidRPr="00592B64">
        <w:rPr>
          <w:rFonts w:ascii="Palatino Linotype" w:eastAsia="Palatino Linotype" w:hAnsi="Palatino Linotype" w:cs="Palatino Linotype"/>
          <w:b/>
          <w:i/>
        </w:rPr>
        <w:t xml:space="preserve">Las solicitudes </w:t>
      </w:r>
      <w:r w:rsidRPr="00592B64">
        <w:rPr>
          <w:rFonts w:ascii="Palatino Linotype" w:eastAsia="Palatino Linotype" w:hAnsi="Palatino Linotype" w:cs="Palatino Linotype"/>
          <w:i/>
        </w:rPr>
        <w:t xml:space="preserve">anónimas, </w:t>
      </w:r>
      <w:r w:rsidRPr="00592B64">
        <w:rPr>
          <w:rFonts w:ascii="Palatino Linotype" w:eastAsia="Palatino Linotype" w:hAnsi="Palatino Linotype" w:cs="Palatino Linotype"/>
          <w:b/>
          <w:i/>
        </w:rPr>
        <w:t>con</w:t>
      </w:r>
      <w:r w:rsidRPr="00592B64">
        <w:rPr>
          <w:rFonts w:ascii="Palatino Linotype" w:eastAsia="Palatino Linotype" w:hAnsi="Palatino Linotype" w:cs="Palatino Linotype"/>
          <w:i/>
        </w:rPr>
        <w:t xml:space="preserve"> nombre incompleto o </w:t>
      </w:r>
      <w:r w:rsidRPr="00592B64">
        <w:rPr>
          <w:rFonts w:ascii="Palatino Linotype" w:eastAsia="Palatino Linotype" w:hAnsi="Palatino Linotype" w:cs="Palatino Linotype"/>
          <w:b/>
          <w:i/>
        </w:rPr>
        <w:t>seudónimo</w:t>
      </w:r>
      <w:r w:rsidRPr="00592B64">
        <w:rPr>
          <w:rFonts w:ascii="Palatino Linotype" w:eastAsia="Palatino Linotype" w:hAnsi="Palatino Linotype" w:cs="Palatino Linotype"/>
          <w:i/>
        </w:rPr>
        <w:t xml:space="preserve"> serán procedentes para su trámite por parte del sujeto obligado ante quien se presente. </w:t>
      </w:r>
      <w:r w:rsidRPr="00592B64">
        <w:rPr>
          <w:rFonts w:ascii="Palatino Linotype" w:eastAsia="Palatino Linotype" w:hAnsi="Palatino Linotype" w:cs="Palatino Linotype"/>
          <w:i/>
        </w:rPr>
        <w:lastRenderedPageBreak/>
        <w:t>No podrá requerirse información adicional con motivo del nombre proporcionado por el solicitante."</w:t>
      </w:r>
    </w:p>
    <w:p w14:paraId="1A4772E3" w14:textId="77777777" w:rsidR="0009142A" w:rsidRPr="00592B64" w:rsidRDefault="0009142A">
      <w:pPr>
        <w:spacing w:after="0" w:line="360" w:lineRule="auto"/>
        <w:ind w:left="851" w:right="902"/>
        <w:jc w:val="both"/>
        <w:rPr>
          <w:rFonts w:ascii="Palatino Linotype" w:eastAsia="Palatino Linotype" w:hAnsi="Palatino Linotype" w:cs="Palatino Linotype"/>
          <w:i/>
        </w:rPr>
      </w:pPr>
    </w:p>
    <w:p w14:paraId="420F265D" w14:textId="77777777" w:rsidR="0009142A" w:rsidRPr="00592B64" w:rsidRDefault="003E30A1">
      <w:pPr>
        <w:spacing w:after="0" w:line="360" w:lineRule="auto"/>
        <w:jc w:val="both"/>
        <w:rPr>
          <w:rFonts w:ascii="Palatino Linotype" w:eastAsia="Palatino Linotype" w:hAnsi="Palatino Linotype" w:cs="Palatino Linotype"/>
          <w:b/>
          <w:sz w:val="24"/>
          <w:szCs w:val="24"/>
        </w:rPr>
      </w:pPr>
      <w:r w:rsidRPr="00592B64">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92B64">
        <w:rPr>
          <w:rFonts w:ascii="Palatino Linotype" w:eastAsia="Palatino Linotype" w:hAnsi="Palatino Linotype" w:cs="Palatino Linotype"/>
          <w:b/>
          <w:sz w:val="24"/>
          <w:szCs w:val="24"/>
        </w:rPr>
        <w:t xml:space="preserve">EL SAIMEX.  </w:t>
      </w:r>
    </w:p>
    <w:p w14:paraId="5A3F92F5"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53F5B6DD" w14:textId="77777777" w:rsidR="0009142A" w:rsidRPr="00592B64" w:rsidRDefault="003E30A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Finalmente, resulta procedente la interposición del recurso, según lo aducido por </w:t>
      </w:r>
      <w:r w:rsidRPr="00592B64">
        <w:rPr>
          <w:rFonts w:ascii="Palatino Linotype" w:eastAsia="Palatino Linotype" w:hAnsi="Palatino Linotype" w:cs="Palatino Linotype"/>
          <w:b/>
          <w:sz w:val="24"/>
          <w:szCs w:val="24"/>
        </w:rPr>
        <w:t>la parte RECURRENTE</w:t>
      </w:r>
      <w:r w:rsidRPr="00592B64">
        <w:rPr>
          <w:rFonts w:ascii="Palatino Linotype" w:eastAsia="Palatino Linotype" w:hAnsi="Palatino Linotype" w:cs="Palatino Linotype"/>
          <w:sz w:val="24"/>
          <w:szCs w:val="24"/>
        </w:rPr>
        <w:t xml:space="preserve"> en sus razones o motivos de inconformidad, de acuerdo al artículo 179, fracción IV de la Ley de Transparencia y Acceso a la Información Pública del Estado de México y Municipios; que a la letra dice:</w:t>
      </w:r>
    </w:p>
    <w:p w14:paraId="147531C7" w14:textId="77777777" w:rsidR="0009142A" w:rsidRPr="00592B64" w:rsidRDefault="0009142A">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F034B93" w14:textId="77777777" w:rsidR="0009142A" w:rsidRPr="00592B64" w:rsidRDefault="003E30A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92B64">
        <w:rPr>
          <w:rFonts w:ascii="Palatino Linotype" w:eastAsia="Palatino Linotype" w:hAnsi="Palatino Linotype" w:cs="Palatino Linotype"/>
          <w:b/>
          <w:i/>
        </w:rPr>
        <w:t>“Artículo 179</w:t>
      </w:r>
      <w:r w:rsidRPr="00592B64">
        <w:rPr>
          <w:rFonts w:ascii="Palatino Linotype" w:eastAsia="Palatino Linotype" w:hAnsi="Palatino Linotype" w:cs="Palatino Linotype"/>
          <w:i/>
        </w:rPr>
        <w:t xml:space="preserve">. </w:t>
      </w:r>
      <w:r w:rsidRPr="00592B64">
        <w:rPr>
          <w:rFonts w:ascii="Palatino Linotype" w:eastAsia="Palatino Linotype" w:hAnsi="Palatino Linotype" w:cs="Palatino Linotype"/>
          <w:b/>
          <w:i/>
        </w:rPr>
        <w:t>El recurso de revisión</w:t>
      </w:r>
      <w:r w:rsidRPr="00592B6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92B64">
        <w:rPr>
          <w:rFonts w:ascii="Palatino Linotype" w:eastAsia="Palatino Linotype" w:hAnsi="Palatino Linotype" w:cs="Palatino Linotype"/>
          <w:b/>
          <w:i/>
        </w:rPr>
        <w:t>, y procederá en contra de las siguientes causas</w:t>
      </w:r>
      <w:r w:rsidRPr="00592B64">
        <w:rPr>
          <w:rFonts w:ascii="Palatino Linotype" w:eastAsia="Palatino Linotype" w:hAnsi="Palatino Linotype" w:cs="Palatino Linotype"/>
          <w:i/>
        </w:rPr>
        <w:t>:</w:t>
      </w:r>
    </w:p>
    <w:p w14:paraId="6C772DA7" w14:textId="77777777" w:rsidR="0009142A" w:rsidRPr="00592B64" w:rsidRDefault="003E30A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92B64">
        <w:rPr>
          <w:rFonts w:ascii="Palatino Linotype" w:eastAsia="Palatino Linotype" w:hAnsi="Palatino Linotype" w:cs="Palatino Linotype"/>
          <w:b/>
          <w:i/>
        </w:rPr>
        <w:t>(</w:t>
      </w:r>
      <w:r w:rsidRPr="00592B64">
        <w:rPr>
          <w:rFonts w:ascii="Palatino Linotype" w:eastAsia="Palatino Linotype" w:hAnsi="Palatino Linotype" w:cs="Palatino Linotype"/>
          <w:i/>
        </w:rPr>
        <w:t>…)</w:t>
      </w:r>
    </w:p>
    <w:p w14:paraId="331F4532" w14:textId="77777777" w:rsidR="0009142A" w:rsidRPr="00592B64" w:rsidRDefault="003E30A1">
      <w:pPr>
        <w:pBdr>
          <w:top w:val="nil"/>
          <w:left w:val="nil"/>
          <w:bottom w:val="nil"/>
          <w:right w:val="nil"/>
          <w:between w:val="nil"/>
        </w:pBdr>
        <w:spacing w:after="0"/>
        <w:ind w:right="1043"/>
        <w:jc w:val="both"/>
        <w:rPr>
          <w:rFonts w:ascii="Palatino Linotype" w:eastAsia="Palatino Linotype" w:hAnsi="Palatino Linotype" w:cs="Palatino Linotype"/>
          <w:i/>
        </w:rPr>
      </w:pPr>
      <w:r w:rsidRPr="00592B64">
        <w:rPr>
          <w:rFonts w:ascii="Palatino Linotype" w:eastAsia="Palatino Linotype" w:hAnsi="Palatino Linotype" w:cs="Palatino Linotype"/>
          <w:i/>
        </w:rPr>
        <w:t xml:space="preserve">                  IV. La declaración de incompetencia por el sujeto obligado;”  </w:t>
      </w:r>
    </w:p>
    <w:p w14:paraId="51AE6DCC" w14:textId="77777777" w:rsidR="0009142A" w:rsidRPr="00592B64" w:rsidRDefault="0009142A">
      <w:pPr>
        <w:spacing w:after="0" w:line="360" w:lineRule="auto"/>
        <w:ind w:right="-234"/>
        <w:jc w:val="both"/>
        <w:rPr>
          <w:rFonts w:ascii="Palatino Linotype" w:eastAsia="Palatino Linotype" w:hAnsi="Palatino Linotype" w:cs="Palatino Linotype"/>
          <w:b/>
          <w:sz w:val="24"/>
          <w:szCs w:val="24"/>
        </w:rPr>
      </w:pPr>
    </w:p>
    <w:p w14:paraId="2BB714C3" w14:textId="77777777" w:rsidR="0009142A" w:rsidRPr="00592B64" w:rsidRDefault="003E30A1">
      <w:pP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TERCERO ANÁLISIS DE LAS CAUSALES DE SOBRESEIMIENTO DEL RECURSO DE REVISIÓN.</w:t>
      </w:r>
      <w:r w:rsidRPr="00592B64">
        <w:rPr>
          <w:rFonts w:ascii="Palatino Linotype" w:eastAsia="Palatino Linotype" w:hAnsi="Palatino Linotype" w:cs="Palatino Linotype"/>
          <w:sz w:val="24"/>
          <w:szCs w:val="24"/>
        </w:rPr>
        <w:t xml:space="preserve">  En primera instancia, debe apuntarse que del análisis al recurso de revisión que ahora se resuelve, se tiene que se actualiza la causal de sobreseimiento del recurso de revisión establecido en la fracción III del artículo 192 en relación con el diverso 186 fracción I, ambos de la Ley de Transparencia y Acceso a la Información Pública del Estado de México y Municipios, derivado del contenido del informe justificado y su alcance, rendido por el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w:t>
      </w:r>
    </w:p>
    <w:p w14:paraId="29A434AA" w14:textId="77777777" w:rsidR="0009142A" w:rsidRPr="00592B64" w:rsidRDefault="0009142A">
      <w:pPr>
        <w:spacing w:after="0" w:line="360" w:lineRule="auto"/>
        <w:ind w:right="49"/>
      </w:pPr>
    </w:p>
    <w:p w14:paraId="1B851D99" w14:textId="77777777" w:rsidR="0009142A" w:rsidRPr="00592B64" w:rsidRDefault="003E30A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 xml:space="preserve"> requirió al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le proporcione los registros de llamada a través del número de emergencias 911 (C4) de los municipios de Ecatepec de Morelos, Naucalpan de Juárez, Nezahualcóyotl y Toluca del 01 de enero al 31 de diciembre del 2022, en formato de Excel .xlsx, en formato editable (no protegido), lo siguiente:</w:t>
      </w:r>
    </w:p>
    <w:p w14:paraId="5CCD4721" w14:textId="77777777" w:rsidR="0009142A" w:rsidRPr="00592B64" w:rsidRDefault="0009142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A2EA0F1" w14:textId="77777777" w:rsidR="0009142A" w:rsidRPr="00592B64" w:rsidRDefault="003E30A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Desglose mensual del número de reportes al 911 (C4) por Robo a casa habitación.</w:t>
      </w:r>
    </w:p>
    <w:p w14:paraId="79E1233A" w14:textId="77777777" w:rsidR="0009142A" w:rsidRPr="00592B64" w:rsidRDefault="003E30A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Desglose mensual del número de reportes al 911 (C4) por Robo a negocio.</w:t>
      </w:r>
    </w:p>
    <w:p w14:paraId="4D115491" w14:textId="77777777" w:rsidR="0009142A" w:rsidRPr="00592B64" w:rsidRDefault="003E30A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Desglose mensual del número de reportes al 911 (C4) por Robo a transeúnte.</w:t>
      </w:r>
    </w:p>
    <w:p w14:paraId="2CE6191E" w14:textId="77777777" w:rsidR="0009142A" w:rsidRPr="00592B64" w:rsidRDefault="003E30A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Desglose mensual del número de reportes al 911 (C4) por Robo de vehículo.</w:t>
      </w:r>
    </w:p>
    <w:p w14:paraId="125E5098" w14:textId="77777777" w:rsidR="0009142A" w:rsidRPr="00592B64" w:rsidRDefault="003E30A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Desglose mensual del número de reportes al 911 (C4) por Robo con violencia.</w:t>
      </w:r>
    </w:p>
    <w:p w14:paraId="47468FA4"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En respuesta, </w:t>
      </w:r>
      <w:r w:rsidRPr="00592B64">
        <w:rPr>
          <w:rFonts w:ascii="Palatino Linotype" w:eastAsia="Palatino Linotype" w:hAnsi="Palatino Linotype" w:cs="Palatino Linotype"/>
          <w:b/>
          <w:sz w:val="24"/>
          <w:szCs w:val="24"/>
        </w:rPr>
        <w:t>EL</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 xml:space="preserve">SUJETO OBLIGADO </w:t>
      </w:r>
      <w:r w:rsidRPr="00592B64">
        <w:rPr>
          <w:rFonts w:ascii="Palatino Linotype" w:eastAsia="Palatino Linotype" w:hAnsi="Palatino Linotype" w:cs="Palatino Linotype"/>
          <w:sz w:val="24"/>
          <w:szCs w:val="24"/>
        </w:rPr>
        <w:t xml:space="preserve">por conducto de la Titular de la Unidad de Transparencia, mediante el cual menciona que una vez analizada la petición, la Secretaria de Seguridad del Estado de México, es la dependencia encargada de planear, formular, conducir, coordinar, ejecutar, supervisar y evaluar las políticas, programas y acciones en materia de seguridad que le competen al Gobierno del Estado de México, motivo por el cual carece de competencia para dar respuesta a la solicitud de información, ya que corresponde al Municipio de Ecatepec de Morelos, Naucalpan de Juárez, Nezahualcóyotl y Toluca dar atención al requerimiento, esto con fundamento en el artículo 115 de la Constitución Política de los Estados Unidos Mexicanos, artículo 122 de la Constitución del Estado Libre y Soberano de México, </w:t>
      </w:r>
      <w:r w:rsidRPr="00592B64">
        <w:rPr>
          <w:rFonts w:ascii="Palatino Linotype" w:eastAsia="Palatino Linotype" w:hAnsi="Palatino Linotype" w:cs="Palatino Linotype"/>
          <w:sz w:val="24"/>
          <w:szCs w:val="24"/>
        </w:rPr>
        <w:lastRenderedPageBreak/>
        <w:t xml:space="preserve">artículo 48 fracción XII y artículo 125 fracción VIII de la Ley Orgánica Municipal del Estado de México, por lo que sugiere dirigir su solicitud a dichos Ayuntamientos. </w:t>
      </w:r>
    </w:p>
    <w:p w14:paraId="790157CC"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4392296A"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 la incompetencia, adjuntando un oficio, signado por el Titular de la Unidad de Transparencia del Ayuntamiento de Ecatepec de Morelos, mediante el cual menciona que no es el Sujeto Obligado competente para otorgar respuesta a su solicitud de información, siendo la Secretaría de Seguridad, el Sujeto Obligado competente para otorgar respuesta. </w:t>
      </w:r>
    </w:p>
    <w:p w14:paraId="594BAE88"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47738E3E"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Admitido el presente recurso de revisión, en términos del artículo 185 fracción II</w:t>
      </w:r>
      <w:r w:rsidRPr="00592B64">
        <w:rPr>
          <w:rFonts w:ascii="Palatino Linotype" w:eastAsia="Palatino Linotype" w:hAnsi="Palatino Linotype" w:cs="Palatino Linotype"/>
          <w:sz w:val="24"/>
          <w:szCs w:val="24"/>
          <w:vertAlign w:val="superscript"/>
        </w:rPr>
        <w:footnoteReference w:id="1"/>
      </w:r>
      <w:r w:rsidRPr="00592B64">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en donde </w:t>
      </w:r>
      <w:r w:rsidRPr="00592B64">
        <w:rPr>
          <w:rFonts w:ascii="Palatino Linotype" w:eastAsia="Palatino Linotype" w:hAnsi="Palatino Linotype" w:cs="Palatino Linotype"/>
          <w:b/>
          <w:sz w:val="24"/>
          <w:szCs w:val="24"/>
        </w:rPr>
        <w:t xml:space="preserve">EL SUJETO OBLIGADO </w:t>
      </w:r>
      <w:r w:rsidRPr="00592B64">
        <w:rPr>
          <w:rFonts w:ascii="Palatino Linotype" w:eastAsia="Palatino Linotype" w:hAnsi="Palatino Linotype" w:cs="Palatino Linotype"/>
          <w:sz w:val="24"/>
          <w:szCs w:val="24"/>
        </w:rPr>
        <w:t xml:space="preserve">refiere que la Secretaria de Seguridad Pública del Estado de México cuenta con un Centro de Control, Comando, Comunicación, Cómputo y Calidad (C5), que permite ser un enlace entre la ciudadanía y las corporaciones de auxilio, donde llega la señal de cámara de video vigilancia, arcos carreteros con lector de placas para detectar vehículos involucrados en siniestros y el Centro de Atención de Emergencias. </w:t>
      </w:r>
    </w:p>
    <w:p w14:paraId="3724BD83"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7870E07"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El Centro de Control, Comando, Comunicación, Cómputo (C4) o Centros de Mando Municipal son instancias que administran la infraestructura tecnológica, esto de conformidad al artículo 2 fracción II, artículo 6 fracción III de la Ley que Regula el Uso de Tecnologías de la Información y Comunicación para la Seguridad Pública del Estado de México; artículo 28 fracción I del Reglamento de la Ley que Regula el Uso de Tecnologías de la Información y Comunicación para la Seguridad Pública del Estado de México; artículo 94 del Bando Municipal de Ecatepec de Morelos, Estado de México; artículo 11.5 fracción III del Reglamento Orgánico de la Administración Pública Municipal de Naucalpan de Juárez; artículo 55 fracción VIII del Reglamento Orgánico de la Administración Pública Municipal de Nezahualcóyotl y el artículo 78 fracción XVI del Bando Municipal de Toluca.     </w:t>
      </w:r>
    </w:p>
    <w:p w14:paraId="3331E84D"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1CA9AFEF"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No obstante, el Servidor Público Habilitado del Centro de Control, Comando, Comunicación, Cómputo y Calidad, refiere que remitió el registro de las llamadas que recibe el Centro de Atención de Llamadas de Emergencias 9-1-1 de conformidad al Catálogo Nacional de Incidencias de Emergencias del periodo del primero de enero al treinta y uno de diciembre de 2022, como se advierte a continuación: </w:t>
      </w:r>
    </w:p>
    <w:p w14:paraId="34CF351F"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noProof/>
        </w:rPr>
        <w:lastRenderedPageBreak/>
        <w:drawing>
          <wp:inline distT="0" distB="0" distL="0" distR="0" wp14:anchorId="5AD2AD9B" wp14:editId="5F5B02CD">
            <wp:extent cx="5803544" cy="331412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5629" t="25949" r="9876" b="8570"/>
                    <a:stretch>
                      <a:fillRect/>
                    </a:stretch>
                  </pic:blipFill>
                  <pic:spPr>
                    <a:xfrm>
                      <a:off x="0" y="0"/>
                      <a:ext cx="5803544" cy="3314129"/>
                    </a:xfrm>
                    <a:prstGeom prst="rect">
                      <a:avLst/>
                    </a:prstGeom>
                    <a:ln/>
                  </pic:spPr>
                </pic:pic>
              </a:graphicData>
            </a:graphic>
          </wp:inline>
        </w:drawing>
      </w:r>
    </w:p>
    <w:p w14:paraId="0C35C32D"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058D51D2"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Por lo que corresponde a </w:t>
      </w:r>
      <w:r w:rsidRPr="00592B64">
        <w:rPr>
          <w:rFonts w:ascii="Palatino Linotype" w:eastAsia="Palatino Linotype" w:hAnsi="Palatino Linotype" w:cs="Palatino Linotype"/>
          <w:b/>
          <w:sz w:val="24"/>
          <w:szCs w:val="24"/>
        </w:rPr>
        <w:t>LA PARTE</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 resultó omisa de emitir sus manifestaciones, conforme a derecho le corresponde.</w:t>
      </w:r>
    </w:p>
    <w:p w14:paraId="198888CF"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25F5246C" w14:textId="77777777" w:rsidR="0009142A" w:rsidRPr="00592B64" w:rsidRDefault="003E30A1">
      <w:pPr>
        <w:widowControl w:val="0"/>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En este sentido, es de resaltar, que de acuerdo a lo manifestado por </w:t>
      </w:r>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xml:space="preserve"> en informe justificado fue remitido por la Dirección de Administración, la cual cuenta con las siguientes atribuciones: </w:t>
      </w:r>
    </w:p>
    <w:p w14:paraId="4883180E" w14:textId="77777777" w:rsidR="0009142A" w:rsidRPr="00592B64" w:rsidRDefault="0009142A">
      <w:pPr>
        <w:widowControl w:val="0"/>
        <w:spacing w:after="0" w:line="360" w:lineRule="auto"/>
        <w:jc w:val="both"/>
        <w:rPr>
          <w:rFonts w:ascii="Palatino Linotype" w:eastAsia="Palatino Linotype" w:hAnsi="Palatino Linotype" w:cs="Palatino Linotype"/>
          <w:i/>
        </w:rPr>
      </w:pPr>
    </w:p>
    <w:p w14:paraId="683E9C3D" w14:textId="77777777" w:rsidR="0009142A" w:rsidRPr="00592B64" w:rsidRDefault="003E30A1">
      <w:pPr>
        <w:spacing w:after="0" w:line="240" w:lineRule="auto"/>
        <w:ind w:left="1077" w:right="919"/>
        <w:jc w:val="both"/>
        <w:rPr>
          <w:rFonts w:ascii="Palatino Linotype" w:eastAsia="Palatino Linotype" w:hAnsi="Palatino Linotype" w:cs="Palatino Linotype"/>
          <w:b/>
          <w:i/>
        </w:rPr>
      </w:pPr>
      <w:r w:rsidRPr="00592B64">
        <w:rPr>
          <w:rFonts w:ascii="Palatino Linotype" w:eastAsia="Palatino Linotype" w:hAnsi="Palatino Linotype" w:cs="Palatino Linotype"/>
          <w:b/>
          <w:i/>
        </w:rPr>
        <w:t>MANUAL GENERAL DE ORGANIZACIÓN DE LA</w:t>
      </w:r>
    </w:p>
    <w:p w14:paraId="44FCB11E" w14:textId="77777777" w:rsidR="0009142A" w:rsidRPr="00592B64" w:rsidRDefault="003E30A1">
      <w:pPr>
        <w:spacing w:after="0" w:line="240" w:lineRule="auto"/>
        <w:ind w:left="1077" w:right="919"/>
        <w:jc w:val="both"/>
        <w:rPr>
          <w:rFonts w:ascii="Palatino Linotype" w:eastAsia="Palatino Linotype" w:hAnsi="Palatino Linotype" w:cs="Palatino Linotype"/>
          <w:b/>
          <w:i/>
        </w:rPr>
      </w:pPr>
      <w:r w:rsidRPr="00592B64">
        <w:rPr>
          <w:rFonts w:ascii="Palatino Linotype" w:eastAsia="Palatino Linotype" w:hAnsi="Palatino Linotype" w:cs="Palatino Linotype"/>
          <w:b/>
          <w:i/>
        </w:rPr>
        <w:t xml:space="preserve">SECRETARÍA DE SEGURIDAD. </w:t>
      </w:r>
    </w:p>
    <w:p w14:paraId="2D23A763" w14:textId="77777777" w:rsidR="0009142A" w:rsidRPr="00592B64" w:rsidRDefault="0009142A">
      <w:pPr>
        <w:spacing w:after="0" w:line="240" w:lineRule="auto"/>
        <w:ind w:left="1077" w:right="919"/>
        <w:jc w:val="both"/>
        <w:rPr>
          <w:rFonts w:ascii="Palatino Linotype" w:eastAsia="Palatino Linotype" w:hAnsi="Palatino Linotype" w:cs="Palatino Linotype"/>
          <w:sz w:val="24"/>
          <w:szCs w:val="24"/>
        </w:rPr>
      </w:pPr>
    </w:p>
    <w:p w14:paraId="4BD9527D"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20600202000000L CENTRO DE CONTROL, COMANDO, COMUNICACIÓN, CÓMPUTO Y CALIDAD</w:t>
      </w:r>
    </w:p>
    <w:p w14:paraId="6B3E50DC"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OBJETIVO:</w:t>
      </w:r>
    </w:p>
    <w:p w14:paraId="50B104C0"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 xml:space="preserve">Proponer, planear y coadyuvar en el establecimiento de estrategias para la instrumentación y actualización de sistemas tecnológicos que permitan </w:t>
      </w:r>
      <w:r w:rsidRPr="00592B64">
        <w:rPr>
          <w:rFonts w:ascii="Palatino Linotype" w:eastAsia="Palatino Linotype" w:hAnsi="Palatino Linotype" w:cs="Palatino Linotype"/>
          <w:i/>
        </w:rPr>
        <w:lastRenderedPageBreak/>
        <w:t>atender de forma inmediata los reportes que ingresen al Centro de Atención de Llamadas de Emergencia 9-1-1 y los Sistemas de Denuncia Anónima 089, Infracción Transparente, Videovigilancia Urbana, Área de Estrategia y Referenciación, reportes policiales y demás fuentes relacionadas, e integrar las bases de datos y los sistemas y aplicativos necesarios para su registro en los sistemas estatales, a efecto de intercambiar información con las instancias estatales responsables de la seguridad pública, protección civil, procuración de justicia y de reinserción social y con el Sistema Nacional de Seguridad Pública, así como, emitir dictámenes para la adquisición de bienes y servicios en materia de seguridad pública.</w:t>
      </w:r>
    </w:p>
    <w:p w14:paraId="32102B44" w14:textId="77777777" w:rsidR="0009142A" w:rsidRPr="00592B64" w:rsidRDefault="0009142A">
      <w:pPr>
        <w:spacing w:after="0" w:line="240" w:lineRule="auto"/>
        <w:ind w:left="1077" w:right="919"/>
        <w:jc w:val="both"/>
        <w:rPr>
          <w:rFonts w:ascii="Palatino Linotype" w:eastAsia="Palatino Linotype" w:hAnsi="Palatino Linotype" w:cs="Palatino Linotype"/>
          <w:i/>
        </w:rPr>
      </w:pPr>
    </w:p>
    <w:p w14:paraId="3158B0A9"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FUNCIONES:</w:t>
      </w:r>
    </w:p>
    <w:p w14:paraId="327E1EE2"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 Coordinar los servicios que atiende el Centro de Atención de Llamadas de Emergencia 9-1-1, los Sistemas de Denuncia Anónima 089, Infracción Transparente, Videovigilancia Urbana, el Área de Estrategias y Referenciación, reportes policiales, programas estatales complementarios y demás fuentes relacionadas, a efecto de integrar las bases de datos correspondientes, así como, proyectar e implementar la metodología para su funcionamiento.</w:t>
      </w:r>
    </w:p>
    <w:p w14:paraId="2B7395A0"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w:t>
      </w:r>
    </w:p>
    <w:p w14:paraId="0C3FE695"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 Dirigir el análisis y suministro de la información obtenida a través de los equipos y sistemas tecnológicos con los que se cuenta, de conformidad a la normatividad aplicable.</w:t>
      </w:r>
    </w:p>
    <w:p w14:paraId="0A7D923D" w14:textId="77777777" w:rsidR="0009142A" w:rsidRPr="00592B64" w:rsidRDefault="003E30A1">
      <w:pPr>
        <w:spacing w:after="0" w:line="24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w:t>
      </w:r>
    </w:p>
    <w:p w14:paraId="0E5FD2CE" w14:textId="77777777" w:rsidR="0009142A" w:rsidRPr="00592B64" w:rsidRDefault="003E30A1">
      <w:pPr>
        <w:spacing w:after="0" w:line="360" w:lineRule="auto"/>
        <w:ind w:left="1077" w:right="919"/>
        <w:jc w:val="both"/>
        <w:rPr>
          <w:rFonts w:ascii="Palatino Linotype" w:eastAsia="Palatino Linotype" w:hAnsi="Palatino Linotype" w:cs="Palatino Linotype"/>
          <w:i/>
        </w:rPr>
      </w:pPr>
      <w:r w:rsidRPr="00592B64">
        <w:rPr>
          <w:rFonts w:ascii="Palatino Linotype" w:eastAsia="Palatino Linotype" w:hAnsi="Palatino Linotype" w:cs="Palatino Linotype"/>
          <w:i/>
        </w:rPr>
        <w:t>− Proponer y establecer en el ámbito de su competencia, políticas para el uso, acceso, manejo de la confidencialidad, registro y resguardo de la información que se obtenga de los Sistemas de Videovigilancia Urbana, Centro de Atención de Llamadas de Emergencia 9-1-1, Denuncia Anónima 089, Arcos Carreteros, Botones de Pánico, Sistema de Posicionamiento Global y demás sistemas e infraestructuras complementarias.</w:t>
      </w:r>
    </w:p>
    <w:p w14:paraId="0D26D57F" w14:textId="77777777" w:rsidR="0009142A" w:rsidRPr="00592B64" w:rsidRDefault="003E30A1">
      <w:pPr>
        <w:widowControl w:val="0"/>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De acuerdo a lo anterior, el Centro de Control, Comando, Comunicación, Cómputo y Calidad propone, planea y coadyuva en el establecimiento de estrategias para la instrumentación y actualización de sistemas tecnológicos que permitan atender de forma inmediata los reportes que ingresen al Centro de Atención de Llamadas de </w:t>
      </w:r>
      <w:r w:rsidRPr="00592B64">
        <w:rPr>
          <w:rFonts w:ascii="Palatino Linotype" w:eastAsia="Palatino Linotype" w:hAnsi="Palatino Linotype" w:cs="Palatino Linotype"/>
          <w:sz w:val="24"/>
          <w:szCs w:val="24"/>
        </w:rPr>
        <w:lastRenderedPageBreak/>
        <w:t>Emergencia 9-1-1</w:t>
      </w:r>
      <w:r w:rsidRPr="00592B64">
        <w:t xml:space="preserve"> </w:t>
      </w:r>
      <w:r w:rsidRPr="00592B64">
        <w:rPr>
          <w:rFonts w:ascii="Palatino Linotype" w:eastAsia="Palatino Linotype" w:hAnsi="Palatino Linotype" w:cs="Palatino Linotype"/>
          <w:sz w:val="24"/>
          <w:szCs w:val="24"/>
        </w:rPr>
        <w:t xml:space="preserve">e integrar las bases de datos y los sistemas y aplicativos necesarios para su registro en los sistemas estatales por lo que dirigirá el análisis y suministro de la información obtenida a través de los equipos y sistemas tecnológicos con los que se cuenta debiendo proponer y establecer políticas para el uso acceso, manejo de la confidencialidad, registro y resguardo de la información que se obtenga del Centro de Atención de Llamadas de Emergencia 9-1-1. </w:t>
      </w:r>
    </w:p>
    <w:p w14:paraId="25D92681" w14:textId="77777777" w:rsidR="0009142A" w:rsidRPr="00592B64" w:rsidRDefault="0009142A">
      <w:pPr>
        <w:widowControl w:val="0"/>
        <w:spacing w:after="0" w:line="360" w:lineRule="auto"/>
        <w:jc w:val="both"/>
        <w:rPr>
          <w:rFonts w:ascii="Palatino Linotype" w:eastAsia="Palatino Linotype" w:hAnsi="Palatino Linotype" w:cs="Palatino Linotype"/>
          <w:sz w:val="24"/>
          <w:szCs w:val="24"/>
        </w:rPr>
      </w:pPr>
    </w:p>
    <w:p w14:paraId="16A6F3A4" w14:textId="77777777" w:rsidR="0009142A" w:rsidRPr="00592B64" w:rsidRDefault="003E30A1">
      <w:pP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Aclarado lo anterior, cobra relevancia reiterar que mediante su respuesta inicial, declara su incompetencia, sin embargo, mediante informe justificado, hace entrega del registro de las llamadas que recibe el Centro de Atención de Llamadas de Emergencias 9-1-1 del periodo del primero de enero al treinta y uno de diciembre de 2022, por el robo a casa habitación, robo a negocio, robo a transeúnte, robo de vehículo y robo con violencia</w:t>
      </w:r>
    </w:p>
    <w:p w14:paraId="1DDD86B7" w14:textId="77777777" w:rsidR="0009142A" w:rsidRPr="00592B64" w:rsidRDefault="0009142A">
      <w:pPr>
        <w:spacing w:after="0" w:line="360" w:lineRule="auto"/>
        <w:jc w:val="both"/>
        <w:rPr>
          <w:rFonts w:ascii="Palatino Linotype" w:eastAsia="Palatino Linotype" w:hAnsi="Palatino Linotype" w:cs="Palatino Linotype"/>
          <w:sz w:val="24"/>
          <w:szCs w:val="24"/>
        </w:rPr>
      </w:pPr>
    </w:p>
    <w:p w14:paraId="5685CD6E" w14:textId="77777777" w:rsidR="0009142A" w:rsidRPr="00592B64" w:rsidRDefault="003E30A1">
      <w:pPr>
        <w:spacing w:after="0" w:line="360" w:lineRule="auto"/>
        <w:jc w:val="both"/>
        <w:rPr>
          <w:rFonts w:ascii="Times New Roman" w:eastAsia="Times New Roman" w:hAnsi="Times New Roman" w:cs="Times New Roman"/>
          <w:sz w:val="28"/>
          <w:szCs w:val="28"/>
        </w:rPr>
      </w:pPr>
      <w:r w:rsidRPr="00592B64">
        <w:rPr>
          <w:rFonts w:ascii="Palatino Linotype" w:eastAsia="Palatino Linotype" w:hAnsi="Palatino Linotype" w:cs="Palatino Linotype"/>
          <w:sz w:val="24"/>
          <w:szCs w:val="24"/>
        </w:rPr>
        <w:t xml:space="preserve">En este sentido, de conformidad con lo establecido en el artículo 12 de la Ley de Transparencia y Acceso a la Información Pública del Estado de México y Municipios, anteriormente invocado el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sólo proporcionará la información que obra en sus archivos, lo que a</w:t>
      </w:r>
      <w:r w:rsidRPr="00592B64">
        <w:rPr>
          <w:rFonts w:ascii="Palatino Linotype" w:eastAsia="Palatino Linotype" w:hAnsi="Palatino Linotype" w:cs="Palatino Linotype"/>
          <w:i/>
          <w:sz w:val="24"/>
          <w:szCs w:val="24"/>
        </w:rPr>
        <w:t xml:space="preserve"> contrario sensu</w:t>
      </w:r>
      <w:r w:rsidRPr="00592B64">
        <w:rPr>
          <w:rFonts w:ascii="Palatino Linotype" w:eastAsia="Palatino Linotype" w:hAnsi="Palatino Linotype" w:cs="Palatino Linotype"/>
          <w:sz w:val="24"/>
          <w:szCs w:val="24"/>
        </w:rPr>
        <w:t xml:space="preserve"> significa que no se está obligado a proporcionar lo que no obre en sus archivos; motivo por el cual se colma el derecho de acceso a la información pública del particular.</w:t>
      </w:r>
    </w:p>
    <w:p w14:paraId="6626E294" w14:textId="77777777" w:rsidR="0009142A" w:rsidRPr="00592B64" w:rsidRDefault="0009142A">
      <w:pPr>
        <w:widowControl w:val="0"/>
        <w:spacing w:after="0" w:line="360" w:lineRule="auto"/>
        <w:jc w:val="both"/>
        <w:rPr>
          <w:rFonts w:ascii="Palatino Linotype" w:eastAsia="Palatino Linotype" w:hAnsi="Palatino Linotype" w:cs="Palatino Linotype"/>
          <w:sz w:val="24"/>
          <w:szCs w:val="24"/>
        </w:rPr>
      </w:pPr>
    </w:p>
    <w:p w14:paraId="7CCF3E00" w14:textId="77777777" w:rsidR="0009142A" w:rsidRPr="00592B64" w:rsidRDefault="003E30A1">
      <w:pPr>
        <w:spacing w:after="0" w:line="360" w:lineRule="auto"/>
        <w:jc w:val="both"/>
        <w:rPr>
          <w:rFonts w:ascii="Times New Roman" w:eastAsia="Times New Roman" w:hAnsi="Times New Roman" w:cs="Times New Roman"/>
          <w:sz w:val="28"/>
          <w:szCs w:val="28"/>
        </w:rPr>
      </w:pPr>
      <w:r w:rsidRPr="00592B64">
        <w:rPr>
          <w:rFonts w:ascii="Palatino Linotype" w:eastAsia="Palatino Linotype" w:hAnsi="Palatino Linotype" w:cs="Palatino Linotype"/>
          <w:sz w:val="24"/>
          <w:szCs w:val="24"/>
        </w:rPr>
        <w:t>Cabe aclarar que éste Órgano Garante no está facultado para pronunciarse sobre</w:t>
      </w:r>
      <w:r w:rsidRPr="00592B64">
        <w:rPr>
          <w:rFonts w:ascii="Times New Roman" w:eastAsia="Times New Roman" w:hAnsi="Times New Roman" w:cs="Times New Roman"/>
          <w:sz w:val="28"/>
          <w:szCs w:val="28"/>
        </w:rPr>
        <w:t xml:space="preserve"> </w:t>
      </w:r>
      <w:r w:rsidRPr="00592B64">
        <w:rPr>
          <w:rFonts w:ascii="Palatino Linotype" w:eastAsia="Palatino Linotype" w:hAnsi="Palatino Linotype" w:cs="Palatino Linotype"/>
          <w:sz w:val="24"/>
          <w:szCs w:val="24"/>
        </w:rPr>
        <w:t>la veracidad de la información que los Sujetos Obligados ponen a disposición de</w:t>
      </w:r>
      <w:r w:rsidRPr="00592B64">
        <w:rPr>
          <w:rFonts w:ascii="Times New Roman" w:eastAsia="Times New Roman" w:hAnsi="Times New Roman" w:cs="Times New Roman"/>
          <w:sz w:val="28"/>
          <w:szCs w:val="28"/>
        </w:rPr>
        <w:t xml:space="preserve"> </w:t>
      </w:r>
      <w:r w:rsidRPr="00592B64">
        <w:rPr>
          <w:rFonts w:ascii="Palatino Linotype" w:eastAsia="Palatino Linotype" w:hAnsi="Palatino Linotype" w:cs="Palatino Linotype"/>
          <w:sz w:val="24"/>
          <w:szCs w:val="24"/>
        </w:rPr>
        <w:t>los solicitantes; situación que se aleja de las atribuciones de este Instituto máxime</w:t>
      </w:r>
      <w:r w:rsidRPr="00592B64">
        <w:rPr>
          <w:rFonts w:ascii="Times New Roman" w:eastAsia="Times New Roman" w:hAnsi="Times New Roman" w:cs="Times New Roman"/>
          <w:sz w:val="28"/>
          <w:szCs w:val="28"/>
        </w:rPr>
        <w:t xml:space="preserve"> </w:t>
      </w:r>
      <w:r w:rsidRPr="00592B64">
        <w:rPr>
          <w:rFonts w:ascii="Palatino Linotype" w:eastAsia="Palatino Linotype" w:hAnsi="Palatino Linotype" w:cs="Palatino Linotype"/>
          <w:sz w:val="24"/>
          <w:szCs w:val="24"/>
        </w:rPr>
        <w:t xml:space="preserve">que </w:t>
      </w:r>
      <w:r w:rsidRPr="00592B64">
        <w:rPr>
          <w:rFonts w:ascii="Palatino Linotype" w:eastAsia="Palatino Linotype" w:hAnsi="Palatino Linotype" w:cs="Palatino Linotype"/>
          <w:sz w:val="24"/>
          <w:szCs w:val="24"/>
        </w:rPr>
        <w:lastRenderedPageBreak/>
        <w:t>al momento que ponen a disposición ésta, la misma tiene el carácter oficial y</w:t>
      </w:r>
      <w:r w:rsidRPr="00592B64">
        <w:rPr>
          <w:rFonts w:ascii="Times New Roman" w:eastAsia="Times New Roman" w:hAnsi="Times New Roman" w:cs="Times New Roman"/>
          <w:sz w:val="28"/>
          <w:szCs w:val="28"/>
        </w:rPr>
        <w:t xml:space="preserve"> </w:t>
      </w:r>
      <w:r w:rsidRPr="00592B64">
        <w:rPr>
          <w:rFonts w:ascii="Palatino Linotype" w:eastAsia="Palatino Linotype" w:hAnsi="Palatino Linotype" w:cs="Palatino Linotype"/>
          <w:sz w:val="24"/>
          <w:szCs w:val="24"/>
        </w:rPr>
        <w:t>se presume veraz, tan es así que la misma queda registrada en el Sistema de</w:t>
      </w:r>
      <w:r w:rsidRPr="00592B64">
        <w:rPr>
          <w:rFonts w:ascii="Times New Roman" w:eastAsia="Times New Roman" w:hAnsi="Times New Roman" w:cs="Times New Roman"/>
          <w:sz w:val="28"/>
          <w:szCs w:val="28"/>
        </w:rPr>
        <w:t xml:space="preserve"> </w:t>
      </w:r>
      <w:r w:rsidRPr="00592B64">
        <w:rPr>
          <w:rFonts w:ascii="Palatino Linotype" w:eastAsia="Palatino Linotype" w:hAnsi="Palatino Linotype" w:cs="Palatino Linotype"/>
          <w:sz w:val="24"/>
          <w:szCs w:val="24"/>
        </w:rPr>
        <w:t>Acceso a la Información Mexiquense (SAIMEX).</w:t>
      </w:r>
    </w:p>
    <w:p w14:paraId="358A77F8" w14:textId="77777777" w:rsidR="0009142A" w:rsidRPr="00592B64" w:rsidRDefault="0009142A">
      <w:pPr>
        <w:tabs>
          <w:tab w:val="left" w:pos="709"/>
        </w:tabs>
        <w:spacing w:after="0" w:line="360" w:lineRule="auto"/>
        <w:ind w:right="40"/>
        <w:jc w:val="both"/>
        <w:rPr>
          <w:rFonts w:ascii="Palatino Linotype" w:eastAsia="Palatino Linotype" w:hAnsi="Palatino Linotype" w:cs="Palatino Linotype"/>
          <w:sz w:val="24"/>
          <w:szCs w:val="24"/>
        </w:rPr>
      </w:pPr>
    </w:p>
    <w:p w14:paraId="1C292336" w14:textId="77777777" w:rsidR="0009142A" w:rsidRPr="00592B64" w:rsidRDefault="003E30A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14:paraId="71389858" w14:textId="77777777" w:rsidR="0009142A" w:rsidRPr="00592B64" w:rsidRDefault="0009142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3395DFC" w14:textId="77777777" w:rsidR="0009142A" w:rsidRPr="00592B64" w:rsidRDefault="003E30A1">
      <w:pPr>
        <w:spacing w:after="0" w:line="276" w:lineRule="auto"/>
        <w:ind w:left="567" w:right="616"/>
        <w:jc w:val="both"/>
        <w:rPr>
          <w:rFonts w:ascii="Palatino Linotype" w:eastAsia="Palatino Linotype" w:hAnsi="Palatino Linotype" w:cs="Palatino Linotype"/>
          <w:i/>
        </w:rPr>
      </w:pPr>
      <w:r w:rsidRPr="00592B64">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D74351" w14:textId="77777777" w:rsidR="0009142A" w:rsidRPr="00592B64" w:rsidRDefault="0009142A">
      <w:pPr>
        <w:spacing w:line="360" w:lineRule="auto"/>
        <w:jc w:val="both"/>
        <w:rPr>
          <w:rFonts w:ascii="Palatino Linotype" w:eastAsia="Palatino Linotype" w:hAnsi="Palatino Linotype" w:cs="Palatino Linotype"/>
          <w:i/>
          <w:strike/>
        </w:rPr>
      </w:pPr>
    </w:p>
    <w:p w14:paraId="5F3E7229" w14:textId="77777777" w:rsidR="0009142A" w:rsidRPr="00592B64" w:rsidRDefault="003E30A1">
      <w:p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No escapa de la óptica de este Instituto que la información se requirió en Excel .xlsx, en formato editable (no protegido), por lo que resulta importante apuntar que, en términos del artículo 3 fracción XVI de la Ley de Acceso a la Información Pública del Estado de México y Municipios, los datos abiertos son entendidos como </w:t>
      </w:r>
      <w:r w:rsidRPr="00592B64">
        <w:rPr>
          <w:rFonts w:ascii="Palatino Linotype" w:eastAsia="Palatino Linotype" w:hAnsi="Palatino Linotype" w:cs="Palatino Linotype"/>
          <w:i/>
          <w:sz w:val="24"/>
          <w:szCs w:val="24"/>
        </w:rPr>
        <w:t xml:space="preserve">el conjunto de características técnicas y de presentación de la información que corresponden a la </w:t>
      </w:r>
      <w:r w:rsidRPr="00592B64">
        <w:rPr>
          <w:rFonts w:ascii="Palatino Linotype" w:eastAsia="Palatino Linotype" w:hAnsi="Palatino Linotype" w:cs="Palatino Linotype"/>
          <w:i/>
          <w:sz w:val="24"/>
          <w:szCs w:val="24"/>
        </w:rPr>
        <w:lastRenderedPageBreak/>
        <w:t xml:space="preserve">estructura lógica usada para almacenar datos de forma integral y </w:t>
      </w:r>
      <w:r w:rsidRPr="00592B64">
        <w:rPr>
          <w:rFonts w:ascii="Palatino Linotype" w:eastAsia="Palatino Linotype" w:hAnsi="Palatino Linotype" w:cs="Palatino Linotype"/>
          <w:b/>
          <w:i/>
          <w:sz w:val="24"/>
          <w:szCs w:val="24"/>
        </w:rPr>
        <w:t>facilitan su procesamiento digital</w:t>
      </w:r>
      <w:r w:rsidRPr="00592B64">
        <w:rPr>
          <w:rFonts w:ascii="Palatino Linotype" w:eastAsia="Palatino Linotype" w:hAnsi="Palatino Linotype" w:cs="Palatino Linotype"/>
          <w:i/>
          <w:sz w:val="24"/>
          <w:szCs w:val="24"/>
        </w:rPr>
        <w:t xml:space="preserve">, cuyas especificaciones están disponibles públicamente y que </w:t>
      </w:r>
      <w:r w:rsidRPr="00592B64">
        <w:rPr>
          <w:rFonts w:ascii="Palatino Linotype" w:eastAsia="Palatino Linotype" w:hAnsi="Palatino Linotype" w:cs="Palatino Linotype"/>
          <w:b/>
          <w:i/>
          <w:sz w:val="24"/>
          <w:szCs w:val="24"/>
        </w:rPr>
        <w:t>permiten el acceso sin restricción de uso</w:t>
      </w:r>
      <w:r w:rsidRPr="00592B64">
        <w:rPr>
          <w:rFonts w:ascii="Palatino Linotype" w:eastAsia="Palatino Linotype" w:hAnsi="Palatino Linotype" w:cs="Palatino Linotype"/>
          <w:i/>
          <w:sz w:val="24"/>
          <w:szCs w:val="24"/>
        </w:rPr>
        <w:t xml:space="preserve"> por parte de los usuarios</w:t>
      </w:r>
      <w:r w:rsidRPr="00592B64">
        <w:rPr>
          <w:rFonts w:ascii="Palatino Linotype" w:eastAsia="Palatino Linotype" w:hAnsi="Palatino Linotype" w:cs="Palatino Linotype"/>
          <w:sz w:val="24"/>
          <w:szCs w:val="24"/>
        </w:rPr>
        <w:t>.</w:t>
      </w:r>
    </w:p>
    <w:p w14:paraId="79AE72EC"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47BB462" w14:textId="77777777" w:rsidR="0009142A" w:rsidRPr="00592B64" w:rsidRDefault="003E30A1">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En el mismo tenor, el Diccionario de Transparencia y Acceso a la Información Pública del Instituto Nacional de Transparencia, Acceso a la Información y protección de Datos Personales, INAI, define el “formato abierto” como se lee a continuación:</w:t>
      </w:r>
    </w:p>
    <w:p w14:paraId="08C3D5C4" w14:textId="77777777" w:rsidR="0009142A" w:rsidRPr="00592B64" w:rsidRDefault="003E30A1">
      <w:pPr>
        <w:spacing w:before="120" w:after="0"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“Formato abierto</w:t>
      </w:r>
      <w:r w:rsidRPr="00592B64">
        <w:rPr>
          <w:rFonts w:ascii="Palatino Linotype" w:eastAsia="Palatino Linotype" w:hAnsi="Palatino Linotype" w:cs="Palatino Linotype"/>
          <w:i/>
        </w:rPr>
        <w:t xml:space="preserve"> </w:t>
      </w:r>
    </w:p>
    <w:p w14:paraId="5BEC8297" w14:textId="77777777" w:rsidR="0009142A" w:rsidRPr="00592B64" w:rsidRDefault="003E30A1">
      <w:pPr>
        <w:spacing w:after="0"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i/>
        </w:rPr>
        <w:t xml:space="preserve">Cuando un sujeto obligado proporciona información pública de manera electrónica </w:t>
      </w:r>
      <w:r w:rsidRPr="00592B64">
        <w:rPr>
          <w:rFonts w:ascii="Palatino Linotype" w:eastAsia="Palatino Linotype" w:hAnsi="Palatino Linotype" w:cs="Palatino Linotype"/>
          <w:b/>
          <w:i/>
        </w:rPr>
        <w:t>es necesario garantizar su interoperabilidad</w:t>
      </w:r>
      <w:r w:rsidRPr="00592B64">
        <w:rPr>
          <w:rFonts w:ascii="Palatino Linotype" w:eastAsia="Palatino Linotype" w:hAnsi="Palatino Linotype" w:cs="Palatino Linotype"/>
          <w:i/>
        </w:rPr>
        <w:t xml:space="preserve">. Es decir, </w:t>
      </w:r>
      <w:r w:rsidRPr="00592B64">
        <w:rPr>
          <w:rFonts w:ascii="Palatino Linotype" w:eastAsia="Palatino Linotype" w:hAnsi="Palatino Linotype" w:cs="Palatino Linotype"/>
          <w:b/>
          <w:i/>
        </w:rPr>
        <w:t xml:space="preserve">que esta información </w:t>
      </w:r>
      <w:r w:rsidRPr="00592B64">
        <w:rPr>
          <w:rFonts w:ascii="Palatino Linotype" w:eastAsia="Palatino Linotype" w:hAnsi="Palatino Linotype" w:cs="Palatino Linotype"/>
          <w:b/>
          <w:i/>
          <w:u w:val="single"/>
        </w:rPr>
        <w:t>contenga datos en formatos y estándares abiertos para su reproducción y reutilización electrónica</w:t>
      </w:r>
      <w:r w:rsidRPr="00592B64">
        <w:rPr>
          <w:rFonts w:ascii="Palatino Linotype" w:eastAsia="Palatino Linotype" w:hAnsi="Palatino Linotype" w:cs="Palatino Linotype"/>
          <w:b/>
          <w:i/>
        </w:rPr>
        <w:t>; de manera libre, sin ninguna restricción, obligación o compensación</w:t>
      </w:r>
      <w:r w:rsidRPr="00592B64">
        <w:rPr>
          <w:rFonts w:ascii="Palatino Linotype" w:eastAsia="Palatino Linotype" w:hAnsi="Palatino Linotype" w:cs="Palatino Linotype"/>
          <w:i/>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1B5AB226" w14:textId="77777777" w:rsidR="0009142A" w:rsidRPr="00592B64" w:rsidRDefault="0009142A">
      <w:pPr>
        <w:spacing w:after="0" w:line="360" w:lineRule="auto"/>
        <w:ind w:left="851" w:right="900"/>
        <w:jc w:val="both"/>
        <w:rPr>
          <w:rFonts w:ascii="Palatino Linotype" w:eastAsia="Palatino Linotype" w:hAnsi="Palatino Linotype" w:cs="Palatino Linotype"/>
          <w:i/>
        </w:rPr>
      </w:pPr>
    </w:p>
    <w:p w14:paraId="017126BD" w14:textId="77777777" w:rsidR="0009142A" w:rsidRPr="00592B64" w:rsidRDefault="003E30A1">
      <w:pPr>
        <w:spacing w:after="0" w:line="360" w:lineRule="auto"/>
        <w:ind w:right="51"/>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6CE7C659" w14:textId="77777777" w:rsidR="0009142A" w:rsidRPr="00592B64" w:rsidRDefault="0009142A">
      <w:pPr>
        <w:spacing w:after="0" w:line="360" w:lineRule="auto"/>
        <w:ind w:right="51"/>
        <w:jc w:val="both"/>
        <w:rPr>
          <w:rFonts w:ascii="Palatino Linotype" w:eastAsia="Palatino Linotype" w:hAnsi="Palatino Linotype" w:cs="Palatino Linotype"/>
          <w:sz w:val="24"/>
          <w:szCs w:val="24"/>
        </w:rPr>
      </w:pPr>
    </w:p>
    <w:p w14:paraId="12B12C30" w14:textId="77777777" w:rsidR="0009142A" w:rsidRPr="00592B64" w:rsidRDefault="003E30A1">
      <w:pPr>
        <w:spacing w:line="276" w:lineRule="auto"/>
        <w:ind w:left="851" w:right="902"/>
        <w:jc w:val="both"/>
        <w:rPr>
          <w:rFonts w:ascii="Palatino Linotype" w:eastAsia="Palatino Linotype" w:hAnsi="Palatino Linotype" w:cs="Palatino Linotype"/>
          <w:b/>
          <w:i/>
        </w:rPr>
      </w:pPr>
      <w:r w:rsidRPr="00592B64">
        <w:rPr>
          <w:rFonts w:ascii="Palatino Linotype" w:eastAsia="Palatino Linotype" w:hAnsi="Palatino Linotype" w:cs="Palatino Linotype"/>
          <w:b/>
          <w:i/>
        </w:rPr>
        <w:t>“...</w:t>
      </w:r>
    </w:p>
    <w:p w14:paraId="31F8E303"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lastRenderedPageBreak/>
        <w:t>a) Accesibles:</w:t>
      </w:r>
      <w:r w:rsidRPr="00592B64">
        <w:rPr>
          <w:rFonts w:ascii="Palatino Linotype" w:eastAsia="Palatino Linotype" w:hAnsi="Palatino Linotype" w:cs="Palatino Linotype"/>
          <w:i/>
        </w:rPr>
        <w:t xml:space="preserve"> Los datos están disponibles para la gama más amplia de usuarios, para cualquier propósito; </w:t>
      </w:r>
    </w:p>
    <w:p w14:paraId="3429BF0F"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b) Integrales</w:t>
      </w:r>
      <w:r w:rsidRPr="00592B64">
        <w:rPr>
          <w:rFonts w:ascii="Palatino Linotype" w:eastAsia="Palatino Linotype" w:hAnsi="Palatino Linotype" w:cs="Palatino Linotype"/>
          <w:i/>
        </w:rPr>
        <w:t xml:space="preserve">: Contienen el tema que describen a detalle y con los metadatos necesarios; </w:t>
      </w:r>
    </w:p>
    <w:p w14:paraId="40937B8A"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c) Gratuitos</w:t>
      </w:r>
      <w:r w:rsidRPr="00592B64">
        <w:rPr>
          <w:rFonts w:ascii="Palatino Linotype" w:eastAsia="Palatino Linotype" w:hAnsi="Palatino Linotype" w:cs="Palatino Linotype"/>
          <w:i/>
        </w:rPr>
        <w:t xml:space="preserve">: Se obtienen sin entregar a cambio contraprestación alguna; </w:t>
      </w:r>
    </w:p>
    <w:p w14:paraId="74F735D8"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d) No discriminatorios</w:t>
      </w:r>
      <w:r w:rsidRPr="00592B64">
        <w:rPr>
          <w:rFonts w:ascii="Palatino Linotype" w:eastAsia="Palatino Linotype" w:hAnsi="Palatino Linotype" w:cs="Palatino Linotype"/>
          <w:i/>
        </w:rPr>
        <w:t xml:space="preserve">: Los datos están disponibles para cualquier persona, sin necesidad de registro; </w:t>
      </w:r>
    </w:p>
    <w:p w14:paraId="4AD9A212"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e) Oportunos:</w:t>
      </w:r>
      <w:r w:rsidRPr="00592B64">
        <w:rPr>
          <w:rFonts w:ascii="Palatino Linotype" w:eastAsia="Palatino Linotype" w:hAnsi="Palatino Linotype" w:cs="Palatino Linotype"/>
          <w:i/>
        </w:rPr>
        <w:t xml:space="preserve"> Son actualizados, periódicamente, conforme se generen; </w:t>
      </w:r>
    </w:p>
    <w:p w14:paraId="1A2B5718"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f) Permanentes</w:t>
      </w:r>
      <w:r w:rsidRPr="00592B64">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14:paraId="0BB9034C"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g) Primarios:</w:t>
      </w:r>
      <w:r w:rsidRPr="00592B64">
        <w:rPr>
          <w:rFonts w:ascii="Palatino Linotype" w:eastAsia="Palatino Linotype" w:hAnsi="Palatino Linotype" w:cs="Palatino Linotype"/>
          <w:i/>
        </w:rPr>
        <w:t xml:space="preserve"> Provienen de la fuente de origen con el máximo nivel de desagregación posible; </w:t>
      </w:r>
    </w:p>
    <w:p w14:paraId="53C02A56"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h) Legibles por máquinas</w:t>
      </w:r>
      <w:r w:rsidRPr="00592B64">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14:paraId="0E251A22"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i) En formatos abiertos</w:t>
      </w:r>
      <w:r w:rsidRPr="00592B64">
        <w:rPr>
          <w:rFonts w:ascii="Palatino Linotype" w:eastAsia="Palatino Linotype" w:hAnsi="Palatino Linotype" w:cs="Palatino Linotype"/>
          <w:i/>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40684B9D" w14:textId="77777777" w:rsidR="0009142A" w:rsidRPr="00592B64" w:rsidRDefault="003E30A1">
      <w:pPr>
        <w:spacing w:line="276" w:lineRule="auto"/>
        <w:ind w:left="851" w:right="902"/>
        <w:jc w:val="both"/>
        <w:rPr>
          <w:rFonts w:ascii="Palatino Linotype" w:eastAsia="Palatino Linotype" w:hAnsi="Palatino Linotype" w:cs="Palatino Linotype"/>
          <w:i/>
        </w:rPr>
      </w:pPr>
      <w:r w:rsidRPr="00592B64">
        <w:rPr>
          <w:rFonts w:ascii="Palatino Linotype" w:eastAsia="Palatino Linotype" w:hAnsi="Palatino Linotype" w:cs="Palatino Linotype"/>
          <w:b/>
          <w:i/>
        </w:rPr>
        <w:t>j) De libre uso</w:t>
      </w:r>
      <w:r w:rsidRPr="00592B64">
        <w:rPr>
          <w:rFonts w:ascii="Palatino Linotype" w:eastAsia="Palatino Linotype" w:hAnsi="Palatino Linotype" w:cs="Palatino Linotype"/>
          <w:i/>
        </w:rPr>
        <w:t>: Citan la fuente de origen como único requerimiento para ser utilizados libremente.”</w:t>
      </w:r>
    </w:p>
    <w:p w14:paraId="7C29A7E3" w14:textId="77777777" w:rsidR="0009142A" w:rsidRPr="00592B64" w:rsidRDefault="003E30A1">
      <w:pPr>
        <w:pBdr>
          <w:top w:val="nil"/>
          <w:left w:val="nil"/>
          <w:bottom w:val="nil"/>
          <w:right w:val="nil"/>
          <w:between w:val="nil"/>
        </w:pBdr>
        <w:spacing w:before="160"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De lo hasta aquí expuesto, se concluye si bien la persona solicitante requirió la información en Excel .xlsx, en formato editable (no protegido); </w:t>
      </w:r>
      <w:r w:rsidRPr="00592B64">
        <w:rPr>
          <w:rFonts w:ascii="Palatino Linotype" w:eastAsia="Palatino Linotype" w:hAnsi="Palatino Linotype" w:cs="Palatino Linotype"/>
          <w:b/>
          <w:sz w:val="24"/>
          <w:szCs w:val="24"/>
        </w:rPr>
        <w:t>EL</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entrego la información en un formato que sirve para su reproducción y reutilización electrónica, siendo el formato en el que obra en sus archivos, </w:t>
      </w:r>
    </w:p>
    <w:p w14:paraId="651AB835"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D19B620"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lastRenderedPageBreak/>
        <w:t xml:space="preserve">En esta tesitura, se estima que la información remitida por </w:t>
      </w:r>
      <w:r w:rsidRPr="00592B64">
        <w:rPr>
          <w:rFonts w:ascii="Palatino Linotype" w:eastAsia="Palatino Linotype" w:hAnsi="Palatino Linotype" w:cs="Palatino Linotype"/>
          <w:b/>
          <w:sz w:val="24"/>
          <w:szCs w:val="24"/>
        </w:rPr>
        <w:t>EL</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 xml:space="preserve">SUJETO OBLIGADO </w:t>
      </w:r>
      <w:r w:rsidRPr="00592B64">
        <w:rPr>
          <w:rFonts w:ascii="Palatino Linotype" w:eastAsia="Palatino Linotype" w:hAnsi="Palatino Linotype" w:cs="Palatino Linotype"/>
          <w:sz w:val="24"/>
          <w:szCs w:val="24"/>
        </w:rPr>
        <w:t>en la etapa de manifestaciones</w:t>
      </w:r>
      <w:r w:rsidRPr="00592B64">
        <w:rPr>
          <w:rFonts w:ascii="Palatino Linotype" w:eastAsia="Palatino Linotype" w:hAnsi="Palatino Linotype" w:cs="Palatino Linotype"/>
          <w:b/>
          <w:sz w:val="24"/>
          <w:szCs w:val="24"/>
        </w:rPr>
        <w:t xml:space="preserve"> </w:t>
      </w:r>
      <w:r w:rsidRPr="00592B64">
        <w:rPr>
          <w:rFonts w:ascii="Palatino Linotype" w:eastAsia="Palatino Linotype" w:hAnsi="Palatino Linotype" w:cs="Palatino Linotype"/>
          <w:sz w:val="24"/>
          <w:szCs w:val="24"/>
        </w:rPr>
        <w:t>es suficiente para tener por atendido el derecho de acceso a la información de la persona solicitante.</w:t>
      </w:r>
    </w:p>
    <w:p w14:paraId="6E6CC08A"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D2362F2" w14:textId="77777777" w:rsidR="0009142A" w:rsidRPr="00592B64" w:rsidRDefault="003E30A1">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Por ende, se estima que se actualiza el artículo 192, fracción III de la Ley de Transparencia y Acceso a la Información Pública del Estado de México y Municipios vigente, a saber</w:t>
      </w:r>
      <w:r w:rsidRPr="00592B64">
        <w:rPr>
          <w:rFonts w:ascii="Palatino Linotype" w:eastAsia="Palatino Linotype" w:hAnsi="Palatino Linotype" w:cs="Palatino Linotype"/>
        </w:rPr>
        <w:t>:</w:t>
      </w:r>
    </w:p>
    <w:p w14:paraId="3197BEA6" w14:textId="77777777" w:rsidR="0009142A" w:rsidRPr="00592B64" w:rsidRDefault="0009142A">
      <w:pPr>
        <w:pBdr>
          <w:top w:val="nil"/>
          <w:left w:val="nil"/>
          <w:bottom w:val="nil"/>
          <w:right w:val="nil"/>
          <w:between w:val="nil"/>
        </w:pBdr>
        <w:spacing w:before="240" w:after="0" w:line="360" w:lineRule="auto"/>
        <w:jc w:val="both"/>
        <w:rPr>
          <w:rFonts w:ascii="Times New Roman" w:eastAsia="Times New Roman" w:hAnsi="Times New Roman" w:cs="Times New Roman"/>
          <w:sz w:val="24"/>
          <w:szCs w:val="24"/>
        </w:rPr>
      </w:pPr>
    </w:p>
    <w:p w14:paraId="2579ACE4" w14:textId="77777777" w:rsidR="0009142A" w:rsidRPr="00592B64" w:rsidRDefault="003E30A1">
      <w:pPr>
        <w:pBdr>
          <w:top w:val="nil"/>
          <w:left w:val="nil"/>
          <w:bottom w:val="nil"/>
          <w:right w:val="nil"/>
          <w:between w:val="nil"/>
        </w:pBdr>
        <w:spacing w:after="0" w:line="360" w:lineRule="auto"/>
        <w:ind w:left="851" w:right="900"/>
        <w:jc w:val="both"/>
        <w:rPr>
          <w:rFonts w:ascii="Times New Roman" w:eastAsia="Times New Roman" w:hAnsi="Times New Roman" w:cs="Times New Roman"/>
          <w:sz w:val="24"/>
          <w:szCs w:val="24"/>
        </w:rPr>
      </w:pPr>
      <w:r w:rsidRPr="00592B64">
        <w:rPr>
          <w:rFonts w:ascii="Palatino Linotype" w:eastAsia="Palatino Linotype" w:hAnsi="Palatino Linotype" w:cs="Palatino Linotype"/>
          <w:i/>
        </w:rPr>
        <w:t>“</w:t>
      </w:r>
      <w:r w:rsidRPr="00592B64">
        <w:rPr>
          <w:rFonts w:ascii="Palatino Linotype" w:eastAsia="Palatino Linotype" w:hAnsi="Palatino Linotype" w:cs="Palatino Linotype"/>
          <w:b/>
          <w:i/>
        </w:rPr>
        <w:t>Artículo 192</w:t>
      </w:r>
      <w:r w:rsidRPr="00592B64">
        <w:rPr>
          <w:rFonts w:ascii="Palatino Linotype" w:eastAsia="Palatino Linotype" w:hAnsi="Palatino Linotype" w:cs="Palatino Linotype"/>
          <w:i/>
        </w:rPr>
        <w:t xml:space="preserve">. </w:t>
      </w:r>
      <w:r w:rsidRPr="00592B64">
        <w:rPr>
          <w:rFonts w:ascii="Palatino Linotype" w:eastAsia="Palatino Linotype" w:hAnsi="Palatino Linotype" w:cs="Palatino Linotype"/>
          <w:b/>
          <w:i/>
        </w:rPr>
        <w:t>El recurso será sobreseído</w:t>
      </w:r>
      <w:r w:rsidRPr="00592B64">
        <w:rPr>
          <w:rFonts w:ascii="Palatino Linotype" w:eastAsia="Palatino Linotype" w:hAnsi="Palatino Linotype" w:cs="Palatino Linotype"/>
          <w:i/>
        </w:rPr>
        <w:t xml:space="preserve">, </w:t>
      </w:r>
      <w:r w:rsidRPr="00592B64">
        <w:rPr>
          <w:rFonts w:ascii="Palatino Linotype" w:eastAsia="Palatino Linotype" w:hAnsi="Palatino Linotype" w:cs="Palatino Linotype"/>
          <w:b/>
          <w:i/>
        </w:rPr>
        <w:t>en todo o en parte,</w:t>
      </w:r>
      <w:r w:rsidRPr="00592B64">
        <w:rPr>
          <w:rFonts w:ascii="Palatino Linotype" w:eastAsia="Palatino Linotype" w:hAnsi="Palatino Linotype" w:cs="Palatino Linotype"/>
          <w:i/>
        </w:rPr>
        <w:t xml:space="preserve"> </w:t>
      </w:r>
      <w:r w:rsidRPr="00592B64">
        <w:rPr>
          <w:rFonts w:ascii="Palatino Linotype" w:eastAsia="Palatino Linotype" w:hAnsi="Palatino Linotype" w:cs="Palatino Linotype"/>
          <w:b/>
          <w:i/>
        </w:rPr>
        <w:t>cuando una vez admitido, se actualicen alguno de los siguientes supuestos</w:t>
      </w:r>
      <w:r w:rsidRPr="00592B64">
        <w:rPr>
          <w:rFonts w:ascii="Palatino Linotype" w:eastAsia="Palatino Linotype" w:hAnsi="Palatino Linotype" w:cs="Palatino Linotype"/>
          <w:i/>
        </w:rPr>
        <w:t>: </w:t>
      </w:r>
    </w:p>
    <w:p w14:paraId="47EA5E5A" w14:textId="77777777" w:rsidR="0009142A" w:rsidRPr="00592B64" w:rsidRDefault="003E30A1">
      <w:pPr>
        <w:pBdr>
          <w:top w:val="nil"/>
          <w:left w:val="nil"/>
          <w:bottom w:val="nil"/>
          <w:right w:val="nil"/>
          <w:between w:val="nil"/>
        </w:pBdr>
        <w:spacing w:after="240" w:line="360" w:lineRule="auto"/>
        <w:ind w:left="1134" w:right="900"/>
        <w:jc w:val="both"/>
        <w:rPr>
          <w:rFonts w:ascii="Times New Roman" w:eastAsia="Times New Roman" w:hAnsi="Times New Roman" w:cs="Times New Roman"/>
          <w:sz w:val="24"/>
          <w:szCs w:val="24"/>
        </w:rPr>
      </w:pPr>
      <w:r w:rsidRPr="00592B64">
        <w:rPr>
          <w:rFonts w:ascii="Palatino Linotype" w:eastAsia="Palatino Linotype" w:hAnsi="Palatino Linotype" w:cs="Palatino Linotype"/>
          <w:i/>
        </w:rPr>
        <w:t>(…)</w:t>
      </w:r>
    </w:p>
    <w:p w14:paraId="05326D07" w14:textId="77777777" w:rsidR="0009142A" w:rsidRPr="00592B64" w:rsidRDefault="003E30A1">
      <w:pPr>
        <w:pBdr>
          <w:top w:val="nil"/>
          <w:left w:val="nil"/>
          <w:bottom w:val="nil"/>
          <w:right w:val="nil"/>
          <w:between w:val="nil"/>
        </w:pBdr>
        <w:spacing w:before="240" w:after="240" w:line="360" w:lineRule="auto"/>
        <w:ind w:left="1134" w:right="900"/>
        <w:jc w:val="both"/>
        <w:rPr>
          <w:rFonts w:ascii="Times New Roman" w:eastAsia="Times New Roman" w:hAnsi="Times New Roman" w:cs="Times New Roman"/>
          <w:sz w:val="24"/>
          <w:szCs w:val="24"/>
        </w:rPr>
      </w:pPr>
      <w:r w:rsidRPr="00592B64">
        <w:rPr>
          <w:rFonts w:ascii="Palatino Linotype" w:eastAsia="Palatino Linotype" w:hAnsi="Palatino Linotype" w:cs="Palatino Linotype"/>
          <w:b/>
          <w:i/>
        </w:rPr>
        <w:t>III. El sujeto obligado responsable del acto, lo modifique o revoque de tal manera que el recurso de revisión quede sin materia...</w:t>
      </w:r>
      <w:r w:rsidRPr="00592B64">
        <w:rPr>
          <w:rFonts w:ascii="Palatino Linotype" w:eastAsia="Palatino Linotype" w:hAnsi="Palatino Linotype" w:cs="Palatino Linotype"/>
          <w:i/>
        </w:rPr>
        <w:t>”</w:t>
      </w:r>
    </w:p>
    <w:p w14:paraId="7A8D6035" w14:textId="77777777" w:rsidR="0009142A" w:rsidRPr="00592B64" w:rsidRDefault="003E30A1">
      <w:p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De lo establecido en el precepto legal citado se advierte que el sobreseimiento del recurso de revisión procede en los siguientes casos</w:t>
      </w:r>
    </w:p>
    <w:p w14:paraId="1CB0DA13" w14:textId="77777777" w:rsidR="0009142A" w:rsidRPr="00592B64" w:rsidRDefault="0009142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7AAD874" w14:textId="77777777" w:rsidR="0009142A" w:rsidRPr="00592B64" w:rsidRDefault="003E30A1">
      <w:pPr>
        <w:pBdr>
          <w:top w:val="nil"/>
          <w:left w:val="nil"/>
          <w:bottom w:val="nil"/>
          <w:right w:val="nil"/>
          <w:between w:val="nil"/>
        </w:pBdr>
        <w:spacing w:after="0" w:line="360" w:lineRule="auto"/>
        <w:ind w:left="284"/>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a) Cuando el sujeto obligado modifique el acto impugnado. </w:t>
      </w:r>
    </w:p>
    <w:p w14:paraId="003EB3E9" w14:textId="77777777" w:rsidR="0009142A" w:rsidRPr="00592B64" w:rsidRDefault="0009142A">
      <w:pPr>
        <w:pBdr>
          <w:top w:val="nil"/>
          <w:left w:val="nil"/>
          <w:bottom w:val="nil"/>
          <w:right w:val="nil"/>
          <w:between w:val="nil"/>
        </w:pBdr>
        <w:spacing w:after="0" w:line="360" w:lineRule="auto"/>
        <w:ind w:left="284"/>
        <w:jc w:val="both"/>
        <w:rPr>
          <w:rFonts w:ascii="Times New Roman" w:eastAsia="Times New Roman" w:hAnsi="Times New Roman" w:cs="Times New Roman"/>
          <w:sz w:val="24"/>
          <w:szCs w:val="24"/>
        </w:rPr>
      </w:pPr>
    </w:p>
    <w:p w14:paraId="008895FD" w14:textId="77777777" w:rsidR="0009142A" w:rsidRPr="00592B64" w:rsidRDefault="003E30A1">
      <w:pPr>
        <w:pBdr>
          <w:top w:val="nil"/>
          <w:left w:val="nil"/>
          <w:bottom w:val="nil"/>
          <w:right w:val="nil"/>
          <w:between w:val="nil"/>
        </w:pBdr>
        <w:spacing w:after="0" w:line="360" w:lineRule="auto"/>
        <w:ind w:left="284"/>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b) Cuando el sujeto obligado revoque el acto impugnado; </w:t>
      </w:r>
    </w:p>
    <w:p w14:paraId="12EEC210"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Quedando en ambos casos el acto combatido sin materia o sin efectos.</w:t>
      </w:r>
    </w:p>
    <w:p w14:paraId="6C9795AC" w14:textId="77777777" w:rsidR="0009142A" w:rsidRPr="00592B64" w:rsidRDefault="0009142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E55CCF1"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Como se observa de lo anterior, un acto impugnado es modificado en aquellos casos en los que el Sujeto Obligado después de haber otorgado una respuesta, o haber omitido hacerlo (acto de no hacer), emite una o una diversa de manera posterior y </w:t>
      </w:r>
      <w:r w:rsidRPr="00592B64">
        <w:rPr>
          <w:rFonts w:ascii="Palatino Linotype" w:eastAsia="Palatino Linotype" w:hAnsi="Palatino Linotype" w:cs="Palatino Linotype"/>
          <w:sz w:val="24"/>
          <w:szCs w:val="24"/>
        </w:rPr>
        <w:lastRenderedPageBreak/>
        <w:t xml:space="preserve">en ésta subsana las deficiencias que hubiera tenido, quedando satisfecho el derecho subjetivo accionado por </w:t>
      </w:r>
      <w:r w:rsidRPr="00592B64">
        <w:rPr>
          <w:rFonts w:ascii="Palatino Linotype" w:eastAsia="Palatino Linotype" w:hAnsi="Palatino Linotype" w:cs="Palatino Linotype"/>
          <w:b/>
          <w:sz w:val="24"/>
          <w:szCs w:val="24"/>
        </w:rPr>
        <w:t>LA PARTE</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w:t>
      </w:r>
    </w:p>
    <w:p w14:paraId="0CA3EAEF"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7787AD7"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340D3D6F" w14:textId="77777777" w:rsidR="0009142A" w:rsidRPr="00592B64" w:rsidRDefault="0009142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AFA8F0E"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En este orden de ideas, un acto impugnado queda sin efectos, cuando aun existiendo jurídicamente (esto es, que no se ha modificado, ni revocado) ya no genera ninguna consecuencia legal.</w:t>
      </w:r>
    </w:p>
    <w:p w14:paraId="794F1414" w14:textId="77777777" w:rsidR="0009142A" w:rsidRPr="00592B64" w:rsidRDefault="0009142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9C2372D"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En tanto que, un acto impugnado queda sin materia, cuando ha sido satisfecha la pretensión del recurrente de manera que </w:t>
      </w:r>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xml:space="preserve"> entrega una respuesta aunque sea posterior a los términos previstos en la ley y mediante ésta concede la información solicitada.</w:t>
      </w:r>
    </w:p>
    <w:p w14:paraId="5ACBB98C"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49A27E5"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De lo hasta aquí expuesto, resulta evidente que el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modificó la respuesta a la solicitud de acceso a la información pública de la persona solicitante, aunque ello haya sido de manera posterior a su respuesta inicial, por tal motivo, debe tenerse que con lo entregado por </w:t>
      </w:r>
      <w:r w:rsidRPr="00592B64">
        <w:rPr>
          <w:rFonts w:ascii="Palatino Linotype" w:eastAsia="Palatino Linotype" w:hAnsi="Palatino Linotype" w:cs="Palatino Linotype"/>
          <w:b/>
          <w:sz w:val="24"/>
          <w:szCs w:val="24"/>
        </w:rPr>
        <w:t>EL SUJETO OBLIGADO</w:t>
      </w:r>
      <w:r w:rsidRPr="00592B64">
        <w:rPr>
          <w:rFonts w:ascii="Palatino Linotype" w:eastAsia="Palatino Linotype" w:hAnsi="Palatino Linotype" w:cs="Palatino Linotype"/>
          <w:sz w:val="24"/>
          <w:szCs w:val="24"/>
        </w:rPr>
        <w:t>, se satisface la solicitud planteada, con lo cual quedo sin materia el presente recurso de revisión, actualizándose entonces, la causal prevista en la fracción III del artículo 192 de la Ley de la Materia vigente en la Entidad, antes transcrita. </w:t>
      </w:r>
    </w:p>
    <w:p w14:paraId="38F95595"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055035A"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92B64">
        <w:rPr>
          <w:rFonts w:ascii="Palatino Linotype" w:eastAsia="Palatino Linotype" w:hAnsi="Palatino Linotype" w:cs="Palatino Linotype"/>
          <w:sz w:val="24"/>
          <w:szCs w:val="24"/>
        </w:rPr>
        <w:t xml:space="preserve">Siendo el </w:t>
      </w:r>
      <w:r w:rsidRPr="00592B64">
        <w:rPr>
          <w:rFonts w:ascii="Palatino Linotype" w:eastAsia="Palatino Linotype" w:hAnsi="Palatino Linotype" w:cs="Palatino Linotype"/>
          <w:i/>
          <w:sz w:val="24"/>
          <w:szCs w:val="24"/>
        </w:rPr>
        <w:t>sobreseimiento</w:t>
      </w:r>
      <w:r w:rsidRPr="00592B64">
        <w:rPr>
          <w:rFonts w:ascii="Palatino Linotype" w:eastAsia="Palatino Linotype" w:hAnsi="Palatino Linotype" w:cs="Palatino Linotype"/>
          <w:sz w:val="24"/>
          <w:szCs w:val="24"/>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92B64">
        <w:rPr>
          <w:rFonts w:ascii="Palatino Linotype" w:eastAsia="Palatino Linotype" w:hAnsi="Palatino Linotype" w:cs="Palatino Linotype"/>
          <w:b/>
          <w:sz w:val="24"/>
          <w:szCs w:val="24"/>
        </w:rPr>
        <w:t>SOBRESEIMIENTO, NO PERMITE ENTRAR AL ESTUDIO DE LAS CUESTIONES DE FONDO.</w:t>
      </w:r>
    </w:p>
    <w:p w14:paraId="686E85CF"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3104889"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 xml:space="preserve">Así, con fundamento en lo prescrito en los artículos 5 párrafos </w:t>
      </w:r>
      <w:r w:rsidR="00F552C1" w:rsidRPr="00592B64">
        <w:rPr>
          <w:rFonts w:ascii="Palatino Linotype" w:eastAsia="Palatino Linotype" w:hAnsi="Palatino Linotype" w:cs="Palatino Linotype"/>
          <w:sz w:val="24"/>
          <w:szCs w:val="24"/>
        </w:rPr>
        <w:t>trigésimo segundo, trigésimo tercero y trigésimo cuarto</w:t>
      </w:r>
      <w:r w:rsidRPr="00592B64">
        <w:rPr>
          <w:rFonts w:ascii="Palatino Linotype" w:eastAsia="Palatino Linotype" w:hAnsi="Palatino Linotype" w:cs="Palatino Linotype"/>
          <w:sz w:val="24"/>
          <w:szCs w:val="24"/>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52BBB704"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668E90D"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1C14DFA" w14:textId="77777777" w:rsidR="0009142A" w:rsidRPr="00592B64" w:rsidRDefault="003E30A1">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592B64">
        <w:rPr>
          <w:rFonts w:ascii="Palatino Linotype" w:eastAsia="Palatino Linotype" w:hAnsi="Palatino Linotype" w:cs="Palatino Linotype"/>
          <w:b/>
          <w:sz w:val="24"/>
          <w:szCs w:val="24"/>
        </w:rPr>
        <w:t>R E S U E L V E</w:t>
      </w:r>
    </w:p>
    <w:p w14:paraId="6FD91069" w14:textId="77777777" w:rsidR="0009142A" w:rsidRPr="00592B64" w:rsidRDefault="0009142A">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75578CDF"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PRIMERO. </w:t>
      </w:r>
      <w:r w:rsidRPr="00592B64">
        <w:rPr>
          <w:rFonts w:ascii="Palatino Linotype" w:eastAsia="Palatino Linotype" w:hAnsi="Palatino Linotype" w:cs="Palatino Linotype"/>
          <w:sz w:val="24"/>
          <w:szCs w:val="24"/>
        </w:rPr>
        <w:t>Se</w:t>
      </w:r>
      <w:r w:rsidRPr="00592B64">
        <w:rPr>
          <w:rFonts w:ascii="Palatino Linotype" w:eastAsia="Palatino Linotype" w:hAnsi="Palatino Linotype" w:cs="Palatino Linotype"/>
          <w:b/>
          <w:sz w:val="24"/>
          <w:szCs w:val="24"/>
        </w:rPr>
        <w:t xml:space="preserve"> Sobresee </w:t>
      </w:r>
      <w:r w:rsidRPr="00592B64">
        <w:rPr>
          <w:rFonts w:ascii="Palatino Linotype" w:eastAsia="Palatino Linotype" w:hAnsi="Palatino Linotype" w:cs="Palatino Linotype"/>
          <w:sz w:val="24"/>
          <w:szCs w:val="24"/>
        </w:rPr>
        <w:t xml:space="preserve">el recurso de revisión número </w:t>
      </w:r>
      <w:r w:rsidRPr="00592B64">
        <w:rPr>
          <w:rFonts w:ascii="Palatino Linotype" w:eastAsia="Palatino Linotype" w:hAnsi="Palatino Linotype" w:cs="Palatino Linotype"/>
          <w:b/>
          <w:sz w:val="24"/>
          <w:szCs w:val="24"/>
        </w:rPr>
        <w:t xml:space="preserve">00459/INFOEM/IP/RR/2023, </w:t>
      </w:r>
      <w:r w:rsidRPr="00592B64">
        <w:rPr>
          <w:rFonts w:ascii="Palatino Linotype" w:eastAsia="Palatino Linotype" w:hAnsi="Palatino Linotype" w:cs="Palatino Linotype"/>
          <w:sz w:val="24"/>
          <w:szCs w:val="24"/>
        </w:rPr>
        <w:t xml:space="preserve">porque al </w:t>
      </w:r>
      <w:r w:rsidRPr="00592B64">
        <w:rPr>
          <w:rFonts w:ascii="Palatino Linotype" w:eastAsia="Palatino Linotype" w:hAnsi="Palatino Linotype" w:cs="Palatino Linotype"/>
          <w:b/>
          <w:sz w:val="24"/>
          <w:szCs w:val="24"/>
        </w:rPr>
        <w:t>modificar la respuesta</w:t>
      </w:r>
      <w:r w:rsidRPr="00592B64">
        <w:rPr>
          <w:rFonts w:ascii="Palatino Linotype" w:eastAsia="Palatino Linotype" w:hAnsi="Palatino Linotype" w:cs="Palatino Linotype"/>
          <w:sz w:val="24"/>
          <w:szCs w:val="24"/>
        </w:rPr>
        <w:t xml:space="preserve"> se actualizó la causal prevista en el artículo 192, fracción III, de la Ley de Transparencia y Acceso a la Información Pública del Estado de México y Municipios, quedando sin materia en términos del considerando tercero de la presente Resolución.</w:t>
      </w:r>
    </w:p>
    <w:p w14:paraId="3AC43A2D"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4F8B13C"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SEGUNDO. Notifíquese vía </w:t>
      </w:r>
      <w:r w:rsidRPr="00592B64">
        <w:rPr>
          <w:rFonts w:ascii="Palatino Linotype" w:eastAsia="Palatino Linotype" w:hAnsi="Palatino Linotype" w:cs="Palatino Linotype"/>
          <w:sz w:val="24"/>
          <w:szCs w:val="24"/>
        </w:rPr>
        <w:t>Sistema de Acceso a la Información Mexiquense (</w:t>
      </w:r>
      <w:r w:rsidRPr="00592B64">
        <w:rPr>
          <w:rFonts w:ascii="Palatino Linotype" w:eastAsia="Palatino Linotype" w:hAnsi="Palatino Linotype" w:cs="Palatino Linotype"/>
          <w:b/>
          <w:sz w:val="24"/>
          <w:szCs w:val="24"/>
        </w:rPr>
        <w:t>SAIMEX)</w:t>
      </w:r>
      <w:r w:rsidRPr="00592B64">
        <w:rPr>
          <w:rFonts w:ascii="Palatino Linotype" w:eastAsia="Palatino Linotype" w:hAnsi="Palatino Linotype" w:cs="Palatino Linotype"/>
          <w:b/>
          <w:i/>
          <w:sz w:val="24"/>
          <w:szCs w:val="24"/>
        </w:rPr>
        <w:t xml:space="preserve">, </w:t>
      </w:r>
      <w:r w:rsidRPr="00592B64">
        <w:rPr>
          <w:rFonts w:ascii="Palatino Linotype" w:eastAsia="Palatino Linotype" w:hAnsi="Palatino Linotype" w:cs="Palatino Linotype"/>
          <w:sz w:val="24"/>
          <w:szCs w:val="24"/>
        </w:rPr>
        <w:t xml:space="preserve">al Titular de la Unidad de Transparencia del </w:t>
      </w:r>
      <w:r w:rsidRPr="00592B64">
        <w:rPr>
          <w:rFonts w:ascii="Palatino Linotype" w:eastAsia="Palatino Linotype" w:hAnsi="Palatino Linotype" w:cs="Palatino Linotype"/>
          <w:b/>
          <w:sz w:val="24"/>
          <w:szCs w:val="24"/>
        </w:rPr>
        <w:t>SUJETO OBLIGADO</w:t>
      </w:r>
      <w:r w:rsidRPr="00592B64">
        <w:rPr>
          <w:rFonts w:ascii="Palatino Linotype" w:eastAsia="Palatino Linotype" w:hAnsi="Palatino Linotype" w:cs="Palatino Linotype"/>
          <w:sz w:val="24"/>
          <w:szCs w:val="24"/>
        </w:rPr>
        <w:t xml:space="preserve"> la presente resolución, para su conocimiento.</w:t>
      </w:r>
    </w:p>
    <w:p w14:paraId="23B3F8F4" w14:textId="77777777" w:rsidR="0009142A" w:rsidRPr="00592B64" w:rsidRDefault="0009142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A627E49" w14:textId="77777777" w:rsidR="0009142A" w:rsidRPr="00592B64" w:rsidRDefault="003E30A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b/>
          <w:sz w:val="24"/>
          <w:szCs w:val="24"/>
        </w:rPr>
        <w:t xml:space="preserve">TERCERO. Notifíquese, </w:t>
      </w:r>
      <w:r w:rsidRPr="00592B64">
        <w:rPr>
          <w:rFonts w:ascii="Palatino Linotype" w:eastAsia="Palatino Linotype" w:hAnsi="Palatino Linotype" w:cs="Palatino Linotype"/>
          <w:sz w:val="24"/>
          <w:szCs w:val="24"/>
        </w:rPr>
        <w:t>vía</w:t>
      </w:r>
      <w:r w:rsidRPr="00592B64">
        <w:rPr>
          <w:rFonts w:ascii="Palatino Linotype" w:eastAsia="Palatino Linotype" w:hAnsi="Palatino Linotype" w:cs="Palatino Linotype"/>
          <w:b/>
          <w:sz w:val="24"/>
          <w:szCs w:val="24"/>
        </w:rPr>
        <w:t xml:space="preserve"> SAIMEX</w:t>
      </w:r>
      <w:r w:rsidRPr="00592B64">
        <w:rPr>
          <w:rFonts w:ascii="Palatino Linotype" w:eastAsia="Palatino Linotype" w:hAnsi="Palatino Linotype" w:cs="Palatino Linotype"/>
          <w:sz w:val="24"/>
          <w:szCs w:val="24"/>
        </w:rPr>
        <w:t xml:space="preserve"> y correo electrónico a</w:t>
      </w:r>
      <w:r w:rsidRPr="00592B64">
        <w:rPr>
          <w:rFonts w:ascii="Palatino Linotype" w:eastAsia="Palatino Linotype" w:hAnsi="Palatino Linotype" w:cs="Palatino Linotype"/>
          <w:b/>
          <w:sz w:val="24"/>
          <w:szCs w:val="24"/>
        </w:rPr>
        <w:t xml:space="preserve"> LA PARTE</w:t>
      </w:r>
      <w:r w:rsidRPr="00592B64">
        <w:rPr>
          <w:rFonts w:ascii="Palatino Linotype" w:eastAsia="Palatino Linotype" w:hAnsi="Palatino Linotype" w:cs="Palatino Linotype"/>
          <w:sz w:val="24"/>
          <w:szCs w:val="24"/>
        </w:rPr>
        <w:t xml:space="preserve"> </w:t>
      </w:r>
      <w:r w:rsidRPr="00592B64">
        <w:rPr>
          <w:rFonts w:ascii="Palatino Linotype" w:eastAsia="Palatino Linotype" w:hAnsi="Palatino Linotype" w:cs="Palatino Linotype"/>
          <w:b/>
          <w:sz w:val="24"/>
          <w:szCs w:val="24"/>
        </w:rPr>
        <w:t>RECURRENTE</w:t>
      </w:r>
      <w:r w:rsidRPr="00592B64">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F938199" w14:textId="77777777" w:rsidR="0009142A" w:rsidRPr="00592B64" w:rsidRDefault="000914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8DFA493" w14:textId="26F0C062" w:rsidR="0009142A" w:rsidRDefault="003E30A1">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r w:rsidRPr="00592B6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7D112998" w14:textId="16759CB0"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3908D824" w14:textId="2358AC81"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1BDE9906" w14:textId="45A12B95"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5311DA01" w14:textId="6EE54143"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6C058C91" w14:textId="2BEE7FCD"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77A9AF50" w14:textId="43B79A15"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759EE195" w14:textId="6B40F5AE"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361E0B6C" w14:textId="39A907C6"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249C1318" w14:textId="1295433B" w:rsidR="00F34418"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0340FB2A" w14:textId="77777777" w:rsidR="00F34418" w:rsidRPr="00592B64" w:rsidRDefault="00F34418">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p>
    <w:p w14:paraId="56B954A6" w14:textId="77777777" w:rsidR="0009142A" w:rsidRPr="00592B64" w:rsidRDefault="0009142A">
      <w:pPr>
        <w:widowControl w:val="0"/>
        <w:spacing w:after="0" w:line="360" w:lineRule="auto"/>
        <w:jc w:val="both"/>
        <w:rPr>
          <w:rFonts w:ascii="Palatino Linotype" w:eastAsia="Palatino Linotype" w:hAnsi="Palatino Linotype" w:cs="Palatino Linotype"/>
          <w:sz w:val="24"/>
          <w:szCs w:val="24"/>
        </w:rPr>
      </w:pPr>
    </w:p>
    <w:sectPr w:rsidR="0009142A" w:rsidRPr="00592B6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6FCC3" w14:textId="77777777" w:rsidR="007D5833" w:rsidRDefault="007D5833">
      <w:pPr>
        <w:spacing w:after="0" w:line="240" w:lineRule="auto"/>
      </w:pPr>
      <w:r>
        <w:separator/>
      </w:r>
    </w:p>
  </w:endnote>
  <w:endnote w:type="continuationSeparator" w:id="0">
    <w:p w14:paraId="0D31E027" w14:textId="77777777" w:rsidR="007D5833" w:rsidRDefault="007D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03212" w14:textId="77777777" w:rsidR="0009142A" w:rsidRDefault="003E30A1">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03B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03B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32D8DC5" w14:textId="77777777" w:rsidR="0009142A" w:rsidRDefault="0009142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5E747" w14:textId="77777777" w:rsidR="0009142A" w:rsidRDefault="003E30A1">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03B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03B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5863BAC" w14:textId="77777777" w:rsidR="0009142A" w:rsidRDefault="0009142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42CA0" w14:textId="77777777" w:rsidR="007D5833" w:rsidRDefault="007D5833">
      <w:pPr>
        <w:spacing w:after="0" w:line="240" w:lineRule="auto"/>
      </w:pPr>
      <w:r>
        <w:separator/>
      </w:r>
    </w:p>
  </w:footnote>
  <w:footnote w:type="continuationSeparator" w:id="0">
    <w:p w14:paraId="3037AA37" w14:textId="77777777" w:rsidR="007D5833" w:rsidRDefault="007D5833">
      <w:pPr>
        <w:spacing w:after="0" w:line="240" w:lineRule="auto"/>
      </w:pPr>
      <w:r>
        <w:continuationSeparator/>
      </w:r>
    </w:p>
  </w:footnote>
  <w:footnote w:id="1">
    <w:p w14:paraId="6CC9E0B9" w14:textId="77777777" w:rsidR="0009142A" w:rsidRDefault="003E30A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7BEFBD1" w14:textId="77777777" w:rsidR="0009142A" w:rsidRDefault="003E30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E042" w14:textId="77777777" w:rsidR="0009142A" w:rsidRDefault="0009142A">
    <w:pPr>
      <w:widowControl w:val="0"/>
      <w:pBdr>
        <w:top w:val="nil"/>
        <w:left w:val="nil"/>
        <w:bottom w:val="nil"/>
        <w:right w:val="nil"/>
        <w:between w:val="nil"/>
      </w:pBdr>
      <w:spacing w:after="0" w:line="276" w:lineRule="auto"/>
      <w:rPr>
        <w:color w:val="000000"/>
      </w:rPr>
    </w:pPr>
  </w:p>
  <w:tbl>
    <w:tblPr>
      <w:tblStyle w:val="a0"/>
      <w:tblW w:w="10273" w:type="dxa"/>
      <w:tblInd w:w="-1281" w:type="dxa"/>
      <w:tblLayout w:type="fixed"/>
      <w:tblLook w:val="0400" w:firstRow="0" w:lastRow="0" w:firstColumn="0" w:lastColumn="0" w:noHBand="0" w:noVBand="1"/>
    </w:tblPr>
    <w:tblGrid>
      <w:gridCol w:w="5716"/>
      <w:gridCol w:w="4557"/>
    </w:tblGrid>
    <w:tr w:rsidR="0009142A" w14:paraId="16BDBFA7" w14:textId="77777777">
      <w:trPr>
        <w:trHeight w:val="246"/>
      </w:trPr>
      <w:tc>
        <w:tcPr>
          <w:tcW w:w="5716" w:type="dxa"/>
        </w:tcPr>
        <w:p w14:paraId="54DBEAA3" w14:textId="77777777" w:rsidR="0009142A" w:rsidRDefault="003E30A1">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3C564EE" w14:textId="77777777" w:rsidR="0009142A" w:rsidRDefault="003E30A1">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00459/INFOEM/IP/RR/2023.</w:t>
          </w:r>
        </w:p>
      </w:tc>
    </w:tr>
    <w:tr w:rsidR="0009142A" w14:paraId="3F428A65" w14:textId="77777777">
      <w:trPr>
        <w:trHeight w:val="264"/>
      </w:trPr>
      <w:tc>
        <w:tcPr>
          <w:tcW w:w="5716" w:type="dxa"/>
        </w:tcPr>
        <w:p w14:paraId="086E1E32" w14:textId="77777777" w:rsidR="0009142A" w:rsidRDefault="003E30A1">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0389244F" w14:textId="77777777" w:rsidR="0009142A" w:rsidRDefault="003E30A1">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Secretaría de Seguridad</w:t>
          </w:r>
        </w:p>
      </w:tc>
    </w:tr>
    <w:tr w:rsidR="0009142A" w14:paraId="3271C506" w14:textId="77777777">
      <w:trPr>
        <w:trHeight w:val="373"/>
      </w:trPr>
      <w:tc>
        <w:tcPr>
          <w:tcW w:w="5716" w:type="dxa"/>
        </w:tcPr>
        <w:p w14:paraId="76C41829" w14:textId="77777777" w:rsidR="0009142A" w:rsidRDefault="003E30A1">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 Comisionada Ponente:</w:t>
          </w:r>
        </w:p>
      </w:tc>
      <w:tc>
        <w:tcPr>
          <w:tcW w:w="4557" w:type="dxa"/>
        </w:tcPr>
        <w:p w14:paraId="5BDFC412" w14:textId="77777777" w:rsidR="0009142A" w:rsidRDefault="003E30A1">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1A052E4" w14:textId="77777777" w:rsidR="0009142A" w:rsidRDefault="003E30A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E35DD1A" wp14:editId="2370238F">
          <wp:simplePos x="0" y="0"/>
          <wp:positionH relativeFrom="column">
            <wp:posOffset>-693419</wp:posOffset>
          </wp:positionH>
          <wp:positionV relativeFrom="paragraph">
            <wp:posOffset>-1348104</wp:posOffset>
          </wp:positionV>
          <wp:extent cx="7353300" cy="865822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2B4D" w14:textId="77777777" w:rsidR="0009142A" w:rsidRDefault="0009142A">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09142A" w14:paraId="5FB1ECCE" w14:textId="77777777">
      <w:trPr>
        <w:trHeight w:val="246"/>
      </w:trPr>
      <w:tc>
        <w:tcPr>
          <w:tcW w:w="5716" w:type="dxa"/>
        </w:tcPr>
        <w:p w14:paraId="7EEEDC96" w14:textId="77777777" w:rsidR="0009142A" w:rsidRDefault="003E30A1">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2C915D38" w14:textId="77777777" w:rsidR="0009142A" w:rsidRDefault="003E30A1">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00459/INFOEM/IP/RR/2023.</w:t>
          </w:r>
        </w:p>
      </w:tc>
    </w:tr>
    <w:tr w:rsidR="0009142A" w14:paraId="6112D025" w14:textId="77777777">
      <w:trPr>
        <w:trHeight w:val="212"/>
      </w:trPr>
      <w:tc>
        <w:tcPr>
          <w:tcW w:w="5716" w:type="dxa"/>
        </w:tcPr>
        <w:p w14:paraId="47D69545" w14:textId="77777777" w:rsidR="0009142A" w:rsidRDefault="003E30A1">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E294A44" w14:textId="7F497CEF" w:rsidR="0009142A" w:rsidRDefault="009F03BD" w:rsidP="009F03B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w:t>
          </w:r>
        </w:p>
      </w:tc>
    </w:tr>
    <w:tr w:rsidR="0009142A" w14:paraId="1CEEB578" w14:textId="77777777">
      <w:trPr>
        <w:trHeight w:val="264"/>
      </w:trPr>
      <w:tc>
        <w:tcPr>
          <w:tcW w:w="5716" w:type="dxa"/>
        </w:tcPr>
        <w:p w14:paraId="29C7F32F" w14:textId="77777777" w:rsidR="0009142A" w:rsidRDefault="003E30A1">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6C92072" w14:textId="77777777" w:rsidR="0009142A" w:rsidRDefault="003E30A1">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Secretaría de Seguridad</w:t>
          </w:r>
        </w:p>
      </w:tc>
    </w:tr>
    <w:tr w:rsidR="0009142A" w14:paraId="65A2012B" w14:textId="77777777">
      <w:trPr>
        <w:trHeight w:val="373"/>
      </w:trPr>
      <w:tc>
        <w:tcPr>
          <w:tcW w:w="5716" w:type="dxa"/>
        </w:tcPr>
        <w:p w14:paraId="0CB48068" w14:textId="77777777" w:rsidR="0009142A" w:rsidRDefault="003E30A1">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 Comisionada Ponente:</w:t>
          </w:r>
        </w:p>
      </w:tc>
      <w:tc>
        <w:tcPr>
          <w:tcW w:w="4557" w:type="dxa"/>
        </w:tcPr>
        <w:p w14:paraId="03AED806" w14:textId="77777777" w:rsidR="0009142A" w:rsidRDefault="003E30A1">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313C828" w14:textId="77777777" w:rsidR="0009142A" w:rsidRDefault="003E30A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2010FB32" wp14:editId="46816343">
          <wp:simplePos x="0" y="0"/>
          <wp:positionH relativeFrom="column">
            <wp:posOffset>-1080134</wp:posOffset>
          </wp:positionH>
          <wp:positionV relativeFrom="paragraph">
            <wp:posOffset>-1367154</wp:posOffset>
          </wp:positionV>
          <wp:extent cx="7353300" cy="8658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7059D"/>
    <w:multiLevelType w:val="multilevel"/>
    <w:tmpl w:val="005048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76D4972"/>
    <w:multiLevelType w:val="multilevel"/>
    <w:tmpl w:val="AD0ADFC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BD87381"/>
    <w:multiLevelType w:val="multilevel"/>
    <w:tmpl w:val="D332D8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2A"/>
    <w:rsid w:val="0009142A"/>
    <w:rsid w:val="003E30A1"/>
    <w:rsid w:val="00592B64"/>
    <w:rsid w:val="007D5833"/>
    <w:rsid w:val="009F03BD"/>
    <w:rsid w:val="00C05897"/>
    <w:rsid w:val="00F34418"/>
    <w:rsid w:val="00F552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028E"/>
  <w15:docId w15:val="{FC6C2092-9CC7-4471-A5A4-DB71D0F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A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442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2A5"/>
  </w:style>
  <w:style w:type="paragraph" w:styleId="Piedepgina">
    <w:name w:val="footer"/>
    <w:basedOn w:val="Normal"/>
    <w:link w:val="PiedepginaCar"/>
    <w:uiPriority w:val="99"/>
    <w:unhideWhenUsed/>
    <w:rsid w:val="002442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2A5"/>
  </w:style>
  <w:style w:type="paragraph" w:styleId="Prrafodelista">
    <w:name w:val="List Paragraph"/>
    <w:basedOn w:val="Normal"/>
    <w:uiPriority w:val="34"/>
    <w:qFormat/>
    <w:rsid w:val="00DD4DA8"/>
    <w:pPr>
      <w:ind w:left="720"/>
      <w:contextualSpacing/>
    </w:pPr>
  </w:style>
  <w:style w:type="paragraph" w:styleId="NormalWeb">
    <w:name w:val="Normal (Web)"/>
    <w:basedOn w:val="Normal"/>
    <w:uiPriority w:val="99"/>
    <w:rsid w:val="00F0046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IpyHoJX9n7sl3aafNo6yIJM3w==">CgMxLjAyCGguZ2pkZ3hzOAByITF2dW1xcmZnOUFuZUxGb0YzekFINmJrNnk1MV9zRVQzYw==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6121</Words>
  <Characters>33669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2023-08-12T18:58:00Z</cp:lastPrinted>
  <dcterms:created xsi:type="dcterms:W3CDTF">2023-08-16T19:46:00Z</dcterms:created>
  <dcterms:modified xsi:type="dcterms:W3CDTF">2023-08-16T19:46:00Z</dcterms:modified>
</cp:coreProperties>
</file>