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764BF" w:rsidRPr="006257F6" w:rsidRDefault="0058544B">
      <w:pPr>
        <w:spacing w:before="120" w:after="0" w:line="360" w:lineRule="auto"/>
        <w:ind w:right="49"/>
        <w:jc w:val="both"/>
        <w:rPr>
          <w:rFonts w:ascii="Palatino Linotype" w:eastAsia="Palatino Linotype" w:hAnsi="Palatino Linotype" w:cs="Palatino Linotype"/>
          <w:sz w:val="24"/>
          <w:szCs w:val="24"/>
        </w:rPr>
      </w:pPr>
      <w:bookmarkStart w:id="0" w:name="_GoBack"/>
      <w:bookmarkEnd w:id="0"/>
      <w:r w:rsidRPr="006257F6">
        <w:rPr>
          <w:rFonts w:ascii="Palatino Linotype" w:eastAsia="Palatino Linotype" w:hAnsi="Palatino Linotype" w:cs="Palatino Linotype"/>
          <w:sz w:val="24"/>
          <w:szCs w:val="24"/>
        </w:rPr>
        <w:t xml:space="preserve">Resolución del Pleno del Instituto de Transparencia, Acceso a la Información Pública y Protección de Datos Personales del Estado de México y Municipios, con domicilio en Metepec, Estado de México, a tres de </w:t>
      </w:r>
      <w:r w:rsidR="006B6782" w:rsidRPr="006257F6">
        <w:rPr>
          <w:rFonts w:ascii="Palatino Linotype" w:eastAsia="Palatino Linotype" w:hAnsi="Palatino Linotype" w:cs="Palatino Linotype"/>
          <w:sz w:val="24"/>
          <w:szCs w:val="24"/>
        </w:rPr>
        <w:t>octubre</w:t>
      </w:r>
      <w:r w:rsidRPr="006257F6">
        <w:rPr>
          <w:rFonts w:ascii="Palatino Linotype" w:eastAsia="Palatino Linotype" w:hAnsi="Palatino Linotype" w:cs="Palatino Linotype"/>
          <w:sz w:val="24"/>
          <w:szCs w:val="24"/>
        </w:rPr>
        <w:t xml:space="preserve"> de dos mil veintitrés.</w:t>
      </w:r>
    </w:p>
    <w:p w:rsidR="00B764BF" w:rsidRPr="006257F6" w:rsidRDefault="00B764BF"/>
    <w:p w:rsidR="00B764BF" w:rsidRPr="006257F6" w:rsidRDefault="0058544B">
      <w:pPr>
        <w:spacing w:before="120"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 xml:space="preserve">Visto </w:t>
      </w:r>
      <w:r w:rsidRPr="006257F6">
        <w:rPr>
          <w:rFonts w:ascii="Palatino Linotype" w:eastAsia="Palatino Linotype" w:hAnsi="Palatino Linotype" w:cs="Palatino Linotype"/>
          <w:sz w:val="24"/>
          <w:szCs w:val="24"/>
        </w:rPr>
        <w:t xml:space="preserve">el expediente relativo al recurso de revisión </w:t>
      </w:r>
      <w:r w:rsidRPr="006257F6">
        <w:rPr>
          <w:rFonts w:ascii="Palatino Linotype" w:eastAsia="Palatino Linotype" w:hAnsi="Palatino Linotype" w:cs="Palatino Linotype"/>
          <w:b/>
          <w:sz w:val="24"/>
          <w:szCs w:val="24"/>
        </w:rPr>
        <w:t>01989/INFOEM/IP/RR/2023</w:t>
      </w:r>
      <w:r w:rsidRPr="006257F6">
        <w:rPr>
          <w:rFonts w:ascii="Palatino Linotype" w:eastAsia="Palatino Linotype" w:hAnsi="Palatino Linotype" w:cs="Palatino Linotype"/>
          <w:sz w:val="24"/>
          <w:szCs w:val="24"/>
        </w:rPr>
        <w:t>, interpuesto por</w:t>
      </w:r>
      <w:r w:rsidRPr="006257F6">
        <w:rPr>
          <w:rFonts w:ascii="Palatino Linotype" w:eastAsia="Palatino Linotype" w:hAnsi="Palatino Linotype" w:cs="Palatino Linotype"/>
          <w:b/>
          <w:sz w:val="24"/>
          <w:szCs w:val="24"/>
        </w:rPr>
        <w:t xml:space="preserve"> </w:t>
      </w:r>
      <w:r w:rsidRPr="006257F6">
        <w:rPr>
          <w:rFonts w:ascii="Palatino Linotype" w:eastAsia="Palatino Linotype" w:hAnsi="Palatino Linotype" w:cs="Palatino Linotype"/>
          <w:sz w:val="24"/>
          <w:szCs w:val="24"/>
        </w:rPr>
        <w:t xml:space="preserve">un particular de manera anónima, en lo sucesivo se le denominara </w:t>
      </w:r>
      <w:r w:rsidRPr="006257F6">
        <w:rPr>
          <w:rFonts w:ascii="Palatino Linotype" w:eastAsia="Palatino Linotype" w:hAnsi="Palatino Linotype" w:cs="Palatino Linotype"/>
          <w:b/>
          <w:sz w:val="24"/>
          <w:szCs w:val="24"/>
        </w:rPr>
        <w:t>LA PARTE RECURRENTE</w:t>
      </w:r>
      <w:r w:rsidRPr="006257F6">
        <w:rPr>
          <w:rFonts w:ascii="Palatino Linotype" w:eastAsia="Palatino Linotype" w:hAnsi="Palatino Linotype" w:cs="Palatino Linotype"/>
          <w:sz w:val="24"/>
          <w:szCs w:val="24"/>
        </w:rPr>
        <w:t xml:space="preserve">, en contra de la respuesta a la solicitud de información con número de folio </w:t>
      </w:r>
      <w:r w:rsidRPr="006257F6">
        <w:rPr>
          <w:rFonts w:ascii="Palatino Linotype" w:eastAsia="Palatino Linotype" w:hAnsi="Palatino Linotype" w:cs="Palatino Linotype"/>
          <w:b/>
          <w:sz w:val="24"/>
          <w:szCs w:val="24"/>
        </w:rPr>
        <w:t>00044/TEOLOYU/IP/2023,</w:t>
      </w:r>
      <w:r w:rsidRPr="006257F6">
        <w:rPr>
          <w:rFonts w:ascii="Palatino Linotype" w:eastAsia="Palatino Linotype" w:hAnsi="Palatino Linotype" w:cs="Palatino Linotype"/>
          <w:sz w:val="24"/>
          <w:szCs w:val="24"/>
        </w:rPr>
        <w:t xml:space="preserve"> por parte del</w:t>
      </w:r>
      <w:r w:rsidRPr="006257F6">
        <w:rPr>
          <w:rFonts w:ascii="Palatino Linotype" w:eastAsia="Palatino Linotype" w:hAnsi="Palatino Linotype" w:cs="Palatino Linotype"/>
          <w:b/>
          <w:sz w:val="24"/>
          <w:szCs w:val="24"/>
        </w:rPr>
        <w:t xml:space="preserve"> Ayuntamiento de Teoloyucan</w:t>
      </w:r>
      <w:r w:rsidRPr="006257F6">
        <w:rPr>
          <w:rFonts w:ascii="Palatino Linotype" w:eastAsia="Palatino Linotype" w:hAnsi="Palatino Linotype" w:cs="Palatino Linotype"/>
          <w:sz w:val="24"/>
          <w:szCs w:val="24"/>
        </w:rPr>
        <w:t>, en lo sucesivo</w:t>
      </w:r>
      <w:r w:rsidRPr="006257F6">
        <w:rPr>
          <w:rFonts w:ascii="Palatino Linotype" w:eastAsia="Palatino Linotype" w:hAnsi="Palatino Linotype" w:cs="Palatino Linotype"/>
          <w:b/>
          <w:sz w:val="24"/>
          <w:szCs w:val="24"/>
        </w:rPr>
        <w:t xml:space="preserve"> EL SUJETO OBLIGADO; </w:t>
      </w:r>
      <w:r w:rsidRPr="006257F6">
        <w:rPr>
          <w:rFonts w:ascii="Palatino Linotype" w:eastAsia="Palatino Linotype" w:hAnsi="Palatino Linotype" w:cs="Palatino Linotype"/>
          <w:sz w:val="24"/>
          <w:szCs w:val="24"/>
        </w:rPr>
        <w:t xml:space="preserve">se procede a dictar la presente resolución, con base en lo siguiente. </w:t>
      </w:r>
    </w:p>
    <w:p w:rsidR="00B764BF" w:rsidRPr="006257F6" w:rsidRDefault="00B764BF"/>
    <w:p w:rsidR="00B764BF" w:rsidRPr="006257F6" w:rsidRDefault="0058544B">
      <w:pPr>
        <w:spacing w:after="0" w:line="360" w:lineRule="auto"/>
        <w:ind w:right="49"/>
        <w:jc w:val="center"/>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A N T E C E D E N T E S</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ind w:right="49"/>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1.</w:t>
      </w: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sz w:val="24"/>
          <w:szCs w:val="24"/>
        </w:rPr>
        <w:t xml:space="preserve">SOLICITUD DE INFORMACIÓN. </w:t>
      </w:r>
      <w:r w:rsidRPr="006257F6">
        <w:rPr>
          <w:rFonts w:ascii="Palatino Linotype" w:eastAsia="Palatino Linotype" w:hAnsi="Palatino Linotype" w:cs="Palatino Linotype"/>
          <w:sz w:val="24"/>
          <w:szCs w:val="24"/>
        </w:rPr>
        <w:t xml:space="preserve">Con fecha catorce de marzo de dos mil veintitrés, </w:t>
      </w:r>
      <w:r w:rsidRPr="006257F6">
        <w:rPr>
          <w:rFonts w:ascii="Palatino Linotype" w:eastAsia="Palatino Linotype" w:hAnsi="Palatino Linotype" w:cs="Palatino Linotype"/>
          <w:b/>
          <w:sz w:val="24"/>
          <w:szCs w:val="24"/>
        </w:rPr>
        <w:t>LA RECURRENTE</w:t>
      </w:r>
      <w:r w:rsidRPr="006257F6">
        <w:rPr>
          <w:rFonts w:ascii="Palatino Linotype" w:eastAsia="Palatino Linotype" w:hAnsi="Palatino Linotype" w:cs="Palatino Linotype"/>
          <w:sz w:val="24"/>
          <w:szCs w:val="24"/>
        </w:rPr>
        <w:t>, presentó a través del Sistema de Acceso a la Información Mexiquense (</w:t>
      </w:r>
      <w:r w:rsidRPr="006257F6">
        <w:rPr>
          <w:rFonts w:ascii="Palatino Linotype" w:eastAsia="Palatino Linotype" w:hAnsi="Palatino Linotype" w:cs="Palatino Linotype"/>
          <w:b/>
          <w:sz w:val="24"/>
          <w:szCs w:val="24"/>
        </w:rPr>
        <w:t>SAIMEX)</w:t>
      </w:r>
      <w:r w:rsidRPr="006257F6">
        <w:rPr>
          <w:rFonts w:ascii="Palatino Linotype" w:eastAsia="Palatino Linotype" w:hAnsi="Palatino Linotype" w:cs="Palatino Linotype"/>
          <w:sz w:val="24"/>
          <w:szCs w:val="24"/>
        </w:rPr>
        <w:t xml:space="preserve"> ante </w:t>
      </w:r>
      <w:r w:rsidRPr="006257F6">
        <w:rPr>
          <w:rFonts w:ascii="Palatino Linotype" w:eastAsia="Palatino Linotype" w:hAnsi="Palatino Linotype" w:cs="Palatino Linotype"/>
          <w:b/>
          <w:sz w:val="24"/>
          <w:szCs w:val="24"/>
        </w:rPr>
        <w:t>EL SUJETO OBLIGADO</w:t>
      </w:r>
      <w:r w:rsidRPr="006257F6">
        <w:rPr>
          <w:rFonts w:ascii="Palatino Linotype" w:eastAsia="Palatino Linotype" w:hAnsi="Palatino Linotype" w:cs="Palatino Linotype"/>
          <w:sz w:val="24"/>
          <w:szCs w:val="24"/>
        </w:rPr>
        <w:t>, solicitud de acceso a la información pública, registrada bajo el número de expediente</w:t>
      </w:r>
      <w:r w:rsidRPr="006257F6">
        <w:rPr>
          <w:rFonts w:ascii="Verdana" w:eastAsia="Verdana" w:hAnsi="Verdana" w:cs="Verdana"/>
          <w:b/>
        </w:rPr>
        <w:t> </w:t>
      </w:r>
      <w:r w:rsidRPr="006257F6">
        <w:rPr>
          <w:rFonts w:ascii="Palatino Linotype" w:eastAsia="Palatino Linotype" w:hAnsi="Palatino Linotype" w:cs="Palatino Linotype"/>
          <w:b/>
          <w:sz w:val="24"/>
          <w:szCs w:val="24"/>
        </w:rPr>
        <w:t>00044/TEOLOYU/IP/2023</w:t>
      </w: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sz w:val="24"/>
          <w:szCs w:val="24"/>
        </w:rPr>
        <w:t xml:space="preserve"> </w:t>
      </w:r>
      <w:r w:rsidRPr="006257F6">
        <w:rPr>
          <w:rFonts w:ascii="Palatino Linotype" w:eastAsia="Palatino Linotype" w:hAnsi="Palatino Linotype" w:cs="Palatino Linotype"/>
          <w:sz w:val="24"/>
          <w:szCs w:val="24"/>
        </w:rPr>
        <w:t>mediante la cual solicitó la siguiente información:</w:t>
      </w:r>
    </w:p>
    <w:p w:rsidR="00B764BF" w:rsidRPr="006257F6" w:rsidRDefault="00B764BF">
      <w:pPr>
        <w:spacing w:after="0" w:line="360" w:lineRule="auto"/>
        <w:ind w:right="49"/>
        <w:jc w:val="both"/>
        <w:rPr>
          <w:rFonts w:ascii="Palatino Linotype" w:eastAsia="Palatino Linotype" w:hAnsi="Palatino Linotype" w:cs="Palatino Linotype"/>
          <w:sz w:val="24"/>
          <w:szCs w:val="24"/>
        </w:rPr>
      </w:pPr>
    </w:p>
    <w:p w:rsidR="00B764BF" w:rsidRPr="006257F6" w:rsidRDefault="0058544B">
      <w:pPr>
        <w:spacing w:after="0" w:line="276" w:lineRule="auto"/>
        <w:ind w:left="709" w:right="758"/>
        <w:jc w:val="both"/>
        <w:rPr>
          <w:rFonts w:ascii="Palatino Linotype" w:eastAsia="Palatino Linotype" w:hAnsi="Palatino Linotype" w:cs="Palatino Linotype"/>
          <w:i/>
        </w:rPr>
      </w:pPr>
      <w:r w:rsidRPr="006257F6">
        <w:rPr>
          <w:rFonts w:ascii="Palatino Linotype" w:eastAsia="Palatino Linotype" w:hAnsi="Palatino Linotype" w:cs="Palatino Linotype"/>
          <w:i/>
        </w:rPr>
        <w:t>“solicito cuantas peticiones se han recivido por oficialia de partes desde enero 2022 a la fecha, quiero copias de los libros o anexos donde se señalan los folios de las peticiones , sin violar los datos personales de las personas , y solicito el registro de cuantas de ellas se les ha dado respuesta favorable a lo que piden” (Sic).</w:t>
      </w:r>
    </w:p>
    <w:p w:rsidR="00B764BF" w:rsidRPr="006257F6" w:rsidRDefault="00B764BF">
      <w:pPr>
        <w:spacing w:after="0" w:line="276" w:lineRule="auto"/>
        <w:ind w:left="709" w:right="758"/>
        <w:jc w:val="both"/>
        <w:rPr>
          <w:rFonts w:ascii="Palatino Linotype" w:eastAsia="Palatino Linotype" w:hAnsi="Palatino Linotype" w:cs="Palatino Linotype"/>
          <w:i/>
        </w:rPr>
      </w:pPr>
    </w:p>
    <w:p w:rsidR="00B764BF" w:rsidRPr="006257F6" w:rsidRDefault="0058544B">
      <w:pPr>
        <w:spacing w:after="0" w:line="360" w:lineRule="auto"/>
        <w:ind w:right="49"/>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lastRenderedPageBreak/>
        <w:t xml:space="preserve">Modalidad de entrega: A través del </w:t>
      </w:r>
      <w:r w:rsidRPr="006257F6">
        <w:rPr>
          <w:rFonts w:ascii="Palatino Linotype" w:eastAsia="Palatino Linotype" w:hAnsi="Palatino Linotype" w:cs="Palatino Linotype"/>
          <w:b/>
          <w:sz w:val="24"/>
          <w:szCs w:val="24"/>
        </w:rPr>
        <w:t>SAIMEX</w:t>
      </w:r>
      <w:r w:rsidRPr="006257F6">
        <w:rPr>
          <w:rFonts w:ascii="Palatino Linotype" w:eastAsia="Palatino Linotype" w:hAnsi="Palatino Linotype" w:cs="Palatino Linotype"/>
          <w:sz w:val="24"/>
          <w:szCs w:val="24"/>
        </w:rPr>
        <w:t>.</w:t>
      </w:r>
    </w:p>
    <w:p w:rsidR="00B764BF" w:rsidRPr="006257F6" w:rsidRDefault="00B764BF"/>
    <w:p w:rsidR="00B764BF" w:rsidRPr="006257F6" w:rsidRDefault="0058544B">
      <w:pPr>
        <w:spacing w:after="0" w:line="360" w:lineRule="auto"/>
        <w:jc w:val="both"/>
      </w:pPr>
      <w:r w:rsidRPr="006257F6">
        <w:rPr>
          <w:rFonts w:ascii="Palatino Linotype" w:eastAsia="Palatino Linotype" w:hAnsi="Palatino Linotype" w:cs="Palatino Linotype"/>
          <w:b/>
          <w:sz w:val="24"/>
          <w:szCs w:val="24"/>
        </w:rPr>
        <w:t xml:space="preserve">2. RESPUESTA.  </w:t>
      </w:r>
      <w:r w:rsidRPr="006257F6">
        <w:rPr>
          <w:rFonts w:ascii="Palatino Linotype" w:eastAsia="Palatino Linotype" w:hAnsi="Palatino Linotype" w:cs="Palatino Linotype"/>
          <w:sz w:val="24"/>
          <w:szCs w:val="24"/>
        </w:rPr>
        <w:t xml:space="preserve">Con fecha trece de abril del dos mil veintitrés, </w:t>
      </w:r>
      <w:r w:rsidRPr="006257F6">
        <w:rPr>
          <w:rFonts w:ascii="Palatino Linotype" w:eastAsia="Palatino Linotype" w:hAnsi="Palatino Linotype" w:cs="Palatino Linotype"/>
          <w:b/>
          <w:sz w:val="24"/>
          <w:szCs w:val="24"/>
        </w:rPr>
        <w:t>EL SUJETO OBLIGADO</w:t>
      </w:r>
      <w:r w:rsidRPr="006257F6">
        <w:rPr>
          <w:rFonts w:ascii="Palatino Linotype" w:eastAsia="Palatino Linotype" w:hAnsi="Palatino Linotype" w:cs="Palatino Linotype"/>
          <w:sz w:val="24"/>
          <w:szCs w:val="24"/>
        </w:rPr>
        <w:t xml:space="preserve"> otorgó, a través del SAIMEX, respuesta a la solicitud de acceso a la información de la siguiente manera:</w:t>
      </w:r>
      <w:r w:rsidRPr="006257F6">
        <w:t xml:space="preserve"> </w:t>
      </w:r>
    </w:p>
    <w:p w:rsidR="00B764BF" w:rsidRPr="006257F6" w:rsidRDefault="00B764BF">
      <w:pPr>
        <w:spacing w:after="0" w:line="360" w:lineRule="auto"/>
        <w:jc w:val="both"/>
      </w:pPr>
    </w:p>
    <w:p w:rsidR="00B764BF" w:rsidRPr="006257F6" w:rsidRDefault="0058544B">
      <w:pPr>
        <w:spacing w:after="0" w:line="276" w:lineRule="auto"/>
        <w:ind w:left="851" w:right="900"/>
        <w:jc w:val="both"/>
        <w:rPr>
          <w:rFonts w:ascii="Palatino Linotype" w:eastAsia="Palatino Linotype" w:hAnsi="Palatino Linotype" w:cs="Palatino Linotype"/>
          <w:i/>
        </w:rPr>
      </w:pPr>
      <w:r w:rsidRPr="006257F6">
        <w:rPr>
          <w:rFonts w:ascii="Palatino Linotype" w:eastAsia="Palatino Linotype" w:hAnsi="Palatino Linotype" w:cs="Palatino Linotype"/>
          <w:i/>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B764BF" w:rsidRPr="006257F6" w:rsidRDefault="0058544B">
      <w:pPr>
        <w:spacing w:after="0" w:line="276" w:lineRule="auto"/>
        <w:ind w:left="851" w:right="900"/>
        <w:jc w:val="both"/>
        <w:rPr>
          <w:rFonts w:ascii="Palatino Linotype" w:eastAsia="Palatino Linotype" w:hAnsi="Palatino Linotype" w:cs="Palatino Linotype"/>
          <w:i/>
        </w:rPr>
      </w:pPr>
      <w:r w:rsidRPr="006257F6">
        <w:rPr>
          <w:rFonts w:ascii="Palatino Linotype" w:eastAsia="Palatino Linotype" w:hAnsi="Palatino Linotype" w:cs="Palatino Linotype"/>
          <w:i/>
        </w:rPr>
        <w:t>Se adjunta respuesta integradora.</w:t>
      </w:r>
    </w:p>
    <w:p w:rsidR="00B764BF" w:rsidRPr="006257F6" w:rsidRDefault="0058544B">
      <w:pPr>
        <w:spacing w:after="0" w:line="276" w:lineRule="auto"/>
        <w:ind w:left="851" w:right="900"/>
        <w:jc w:val="both"/>
        <w:rPr>
          <w:rFonts w:ascii="Palatino Linotype" w:eastAsia="Palatino Linotype" w:hAnsi="Palatino Linotype" w:cs="Palatino Linotype"/>
          <w:i/>
        </w:rPr>
      </w:pPr>
      <w:r w:rsidRPr="006257F6">
        <w:rPr>
          <w:rFonts w:ascii="Palatino Linotype" w:eastAsia="Palatino Linotype" w:hAnsi="Palatino Linotype" w:cs="Palatino Linotype"/>
          <w:i/>
        </w:rPr>
        <w:t>ATENTAMENTE</w:t>
      </w:r>
    </w:p>
    <w:p w:rsidR="00B764BF" w:rsidRPr="006257F6" w:rsidRDefault="0058544B">
      <w:pPr>
        <w:spacing w:after="0" w:line="276" w:lineRule="auto"/>
        <w:ind w:left="851" w:right="900"/>
        <w:jc w:val="both"/>
        <w:rPr>
          <w:rFonts w:ascii="Palatino Linotype" w:eastAsia="Palatino Linotype" w:hAnsi="Palatino Linotype" w:cs="Palatino Linotype"/>
          <w:i/>
        </w:rPr>
      </w:pPr>
      <w:r w:rsidRPr="006257F6">
        <w:rPr>
          <w:rFonts w:ascii="Palatino Linotype" w:eastAsia="Palatino Linotype" w:hAnsi="Palatino Linotype" w:cs="Palatino Linotype"/>
          <w:i/>
        </w:rPr>
        <w:t>Lic. Karen Martinez Peregrino”</w:t>
      </w:r>
    </w:p>
    <w:p w:rsidR="00B764BF" w:rsidRPr="006257F6" w:rsidRDefault="00B764BF">
      <w:pPr>
        <w:spacing w:after="0" w:line="360" w:lineRule="auto"/>
        <w:jc w:val="both"/>
        <w:rPr>
          <w:rFonts w:ascii="Palatino Linotype" w:eastAsia="Palatino Linotype" w:hAnsi="Palatino Linotype" w:cs="Palatino Linotype"/>
          <w:b/>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EL SUJETO OBLIGADO</w:t>
      </w:r>
      <w:r w:rsidRPr="006257F6">
        <w:rPr>
          <w:rFonts w:ascii="Palatino Linotype" w:eastAsia="Palatino Linotype" w:hAnsi="Palatino Linotype" w:cs="Palatino Linotype"/>
          <w:sz w:val="24"/>
          <w:szCs w:val="24"/>
        </w:rPr>
        <w:t xml:space="preserve"> adjuntó para tal efecto los archivos electrónicos:</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Mayo.pdf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Control de oficios ingresados a la oficialía de partes del mes de mayo de 2022. </w:t>
      </w:r>
    </w:p>
    <w:p w:rsidR="00B764BF" w:rsidRPr="006257F6" w:rsidRDefault="00B764BF">
      <w:pPr>
        <w:spacing w:after="0" w:line="360" w:lineRule="auto"/>
        <w:rPr>
          <w:rFonts w:ascii="Palatino Linotype" w:eastAsia="Palatino Linotype" w:hAnsi="Palatino Linotype" w:cs="Palatino Linotype"/>
          <w:b/>
          <w:i/>
          <w:sz w:val="24"/>
          <w:szCs w:val="24"/>
          <w:u w:val="single"/>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RESPUESTA INTEGRADORA SOLICITUD 0044.docx</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Escrito dirigido por la Titular de la Unidad de Transparencia, mediante el cual menciona que la solicitud fue turnada a la Secretaria del Ayuntamiento,  destacando que se remite el oficio, SA/SAHS/29-03-2023 suscrito por el Secretario del Ayuntamiento de Teoloyucan, el acuerdo emitido por el comité de Transparencia del Ayuntamiento de Teoloyucan donde refiere la clasificación de la información como confidencial de los datos personales contenidos en el control de oficios ingresados a la oficialía de partes del </w:t>
      </w:r>
      <w:r w:rsidRPr="006257F6">
        <w:rPr>
          <w:rFonts w:ascii="Palatino Linotype" w:eastAsia="Palatino Linotype" w:hAnsi="Palatino Linotype" w:cs="Palatino Linotype"/>
          <w:sz w:val="24"/>
          <w:szCs w:val="24"/>
        </w:rPr>
        <w:lastRenderedPageBreak/>
        <w:t>Ayuntamiento de Teoloyucan, el oficio OP/PPEO/010/17-032023 de la oficialía de partes y el control de oficios ingresados a la oficialía de partes.</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SA SAHS 29 03 2023 SEC AYUNT (1).pdf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Oficio de fecha treinta y uno de marzo de dos mil veintitrés, signado por el Secretario del Ayuntamiento, mediante el cual menciona que la respuesta fue entregada de manera digital y que con fundamento en el artículo 12 de la Ley de Transparencia y Acceso a la Información Pública del Estado de México y Municipios, los sujetos obligados sólo proporcionaran la información pública que se les requiera y que obra en sus archivos y en el estado en que se encuentre, la obligación de proporcionar información no comprende el procedimiento de la misma ni el presentarla conforme al interés del solicitante; no estarán obligados a generarla, resumirla, efectuar cálculos o practicar investigaciones. </w:t>
      </w:r>
    </w:p>
    <w:p w:rsidR="00B764BF" w:rsidRPr="006257F6" w:rsidRDefault="00B764BF">
      <w:pPr>
        <w:rPr>
          <w:rFonts w:ascii="Palatino Linotype" w:eastAsia="Palatino Linotype" w:hAnsi="Palatino Linotype" w:cs="Palatino Linotype"/>
          <w:sz w:val="24"/>
          <w:szCs w:val="24"/>
        </w:rPr>
      </w:pPr>
    </w:p>
    <w:p w:rsidR="00B764BF" w:rsidRPr="006257F6" w:rsidRDefault="0058544B">
      <w:pPr>
        <w:spacing w:after="0" w:line="360" w:lineRule="auto"/>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Marzo 23.pdf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Control de oficios ingresados a la oficialía de partes del primero al veintitrés de marzo de 2023. </w:t>
      </w:r>
    </w:p>
    <w:p w:rsidR="00B764BF" w:rsidRPr="006257F6" w:rsidRDefault="00B764BF">
      <w:pPr>
        <w:rPr>
          <w:rFonts w:ascii="Palatino Linotype" w:eastAsia="Palatino Linotype" w:hAnsi="Palatino Linotype" w:cs="Palatino Linotype"/>
          <w:b/>
          <w:i/>
          <w:sz w:val="24"/>
          <w:szCs w:val="24"/>
          <w:u w:val="single"/>
        </w:rPr>
      </w:pPr>
    </w:p>
    <w:p w:rsidR="00B764BF" w:rsidRPr="006257F6" w:rsidRDefault="0058544B">
      <w:pPr>
        <w:spacing w:after="0" w:line="360" w:lineRule="auto"/>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Junio.pdf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Control de oficios ingresados a la oficialía de partes del mes de junio de 2022. </w:t>
      </w:r>
    </w:p>
    <w:p w:rsidR="00B764BF" w:rsidRPr="006257F6" w:rsidRDefault="00B764BF">
      <w:pPr>
        <w:rPr>
          <w:rFonts w:ascii="Palatino Linotype" w:eastAsia="Palatino Linotype" w:hAnsi="Palatino Linotype" w:cs="Palatino Linotype"/>
          <w:b/>
          <w:i/>
          <w:sz w:val="24"/>
          <w:szCs w:val="24"/>
          <w:u w:val="single"/>
        </w:rPr>
      </w:pPr>
    </w:p>
    <w:p w:rsidR="00B764BF" w:rsidRPr="006257F6" w:rsidRDefault="0058544B">
      <w:pPr>
        <w:spacing w:after="0" w:line="360" w:lineRule="auto"/>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Abril.pdf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Control de oficios ingresados a la oficialía de partes del mes de abril de 2022. </w:t>
      </w:r>
    </w:p>
    <w:p w:rsidR="00B764BF" w:rsidRPr="006257F6" w:rsidRDefault="00B764BF">
      <w:pPr>
        <w:rPr>
          <w:rFonts w:ascii="Palatino Linotype" w:eastAsia="Palatino Linotype" w:hAnsi="Palatino Linotype" w:cs="Palatino Linotype"/>
          <w:sz w:val="24"/>
          <w:szCs w:val="24"/>
        </w:rPr>
      </w:pPr>
    </w:p>
    <w:p w:rsidR="00B764BF" w:rsidRPr="006257F6" w:rsidRDefault="00B764BF">
      <w:pPr>
        <w:rPr>
          <w:rFonts w:ascii="Palatino Linotype" w:eastAsia="Palatino Linotype" w:hAnsi="Palatino Linotype" w:cs="Palatino Linotype"/>
          <w:b/>
          <w:i/>
          <w:sz w:val="24"/>
          <w:szCs w:val="24"/>
          <w:u w:val="single"/>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Marzo.pdf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Control de oficios ingresados a la oficialía de partes del mes de abril de 2022. </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OP PPEO 010 17 03 2023.pdf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Oficio de fecha diecisiete de marzo del año dos mil diecisiete signado por la encargada de la oficialía de partes, en donde informa que han sido recibidas cinco mil cuatrocientas setenta y siete peticiones del mes de enero del año 2022 a la fecha, por lo que envía el registro de las mismas, asimismo informa que el seguimiento, así como la respuesta a las peticiones se encuentra a cargo de las áreas a las que fueron turnadas. </w:t>
      </w:r>
    </w:p>
    <w:p w:rsidR="00B764BF" w:rsidRPr="006257F6" w:rsidRDefault="00B764BF">
      <w:pPr>
        <w:rPr>
          <w:rFonts w:ascii="Palatino Linotype" w:eastAsia="Palatino Linotype" w:hAnsi="Palatino Linotype" w:cs="Palatino Linotype"/>
          <w:b/>
          <w:i/>
          <w:sz w:val="24"/>
          <w:szCs w:val="24"/>
          <w:u w:val="single"/>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Octubre.pdf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Control de oficios ingresados a la oficialía de partes del mes de octubre de 2022. </w:t>
      </w:r>
    </w:p>
    <w:p w:rsidR="00B764BF" w:rsidRPr="006257F6" w:rsidRDefault="00B764BF">
      <w:pPr>
        <w:rPr>
          <w:rFonts w:ascii="Palatino Linotype" w:eastAsia="Palatino Linotype" w:hAnsi="Palatino Linotype" w:cs="Palatino Linotype"/>
          <w:b/>
          <w:i/>
          <w:sz w:val="24"/>
          <w:szCs w:val="24"/>
          <w:u w:val="single"/>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Enero.pdf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Control de oficios ingresados a la oficialía de partes del mes de enero de 2022. </w:t>
      </w:r>
    </w:p>
    <w:p w:rsidR="00B764BF" w:rsidRPr="006257F6" w:rsidRDefault="00B764BF">
      <w:pPr>
        <w:rPr>
          <w:rFonts w:ascii="Palatino Linotype" w:eastAsia="Palatino Linotype" w:hAnsi="Palatino Linotype" w:cs="Palatino Linotype"/>
          <w:b/>
          <w:i/>
          <w:sz w:val="24"/>
          <w:szCs w:val="24"/>
          <w:u w:val="single"/>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Julio.pdf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Control de oficios ingresados a la oficialía de partes del mes de julio de 2022. </w:t>
      </w:r>
    </w:p>
    <w:p w:rsidR="00B764BF" w:rsidRPr="006257F6" w:rsidRDefault="00B764BF">
      <w:pPr>
        <w:rPr>
          <w:rFonts w:ascii="Palatino Linotype" w:eastAsia="Palatino Linotype" w:hAnsi="Palatino Linotype" w:cs="Palatino Linotype"/>
          <w:b/>
          <w:i/>
          <w:sz w:val="24"/>
          <w:szCs w:val="24"/>
          <w:u w:val="single"/>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Septiembre.pdf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Control de oficios ingresados a la oficialía de partes del mes de septiembre de 2022. </w:t>
      </w:r>
    </w:p>
    <w:p w:rsidR="00B764BF" w:rsidRPr="006257F6" w:rsidRDefault="00B764BF">
      <w:pPr>
        <w:rPr>
          <w:rFonts w:ascii="Palatino Linotype" w:eastAsia="Palatino Linotype" w:hAnsi="Palatino Linotype" w:cs="Palatino Linotype"/>
          <w:b/>
          <w:i/>
          <w:sz w:val="24"/>
          <w:szCs w:val="24"/>
          <w:u w:val="single"/>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lastRenderedPageBreak/>
        <w:t>“</w:t>
      </w:r>
      <w:r w:rsidRPr="006257F6">
        <w:rPr>
          <w:rFonts w:ascii="Palatino Linotype" w:eastAsia="Palatino Linotype" w:hAnsi="Palatino Linotype" w:cs="Palatino Linotype"/>
          <w:b/>
          <w:i/>
          <w:sz w:val="24"/>
          <w:szCs w:val="24"/>
          <w:u w:val="single"/>
        </w:rPr>
        <w:t>Agosto.pdf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Control de oficios ingresados a la oficialía de partes del mes de agosto de 2022. </w:t>
      </w: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i/>
          <w:sz w:val="24"/>
          <w:szCs w:val="24"/>
          <w:u w:val="single"/>
        </w:rPr>
        <w:t>Febrero 23.pdf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Control de oficios ingresados a la oficialía de partes del mes de febrero de 2023. </w:t>
      </w:r>
    </w:p>
    <w:p w:rsidR="00B764BF" w:rsidRPr="006257F6" w:rsidRDefault="00B764BF">
      <w:pPr>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i/>
          <w:sz w:val="24"/>
          <w:szCs w:val="24"/>
          <w:u w:val="single"/>
        </w:rPr>
        <w:t>Febrero.pdf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Control de oficios ingresados a la oficialía de partes del mes de febrero de 2022. </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i/>
          <w:sz w:val="24"/>
          <w:szCs w:val="24"/>
          <w:u w:val="single"/>
        </w:rPr>
        <w:t>Enero 23.pdf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Control de oficios ingresados a la oficialía de partes del mes de enero de 2023.</w:t>
      </w:r>
    </w:p>
    <w:p w:rsidR="00B764BF" w:rsidRPr="006257F6" w:rsidRDefault="00B764BF">
      <w:pPr>
        <w:spacing w:after="0" w:line="360" w:lineRule="auto"/>
        <w:jc w:val="both"/>
        <w:rPr>
          <w:rFonts w:ascii="Palatino Linotype" w:eastAsia="Palatino Linotype" w:hAnsi="Palatino Linotype" w:cs="Palatino Linotype"/>
          <w:b/>
          <w:i/>
          <w:sz w:val="24"/>
          <w:szCs w:val="24"/>
          <w:u w:val="single"/>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Diciembre .pdf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Control de oficios ingresados a la oficialía de partes del mes de diciembre de 2022.</w:t>
      </w:r>
    </w:p>
    <w:p w:rsidR="00B764BF" w:rsidRPr="006257F6" w:rsidRDefault="00B764BF">
      <w:pPr>
        <w:spacing w:after="0" w:line="360" w:lineRule="auto"/>
        <w:jc w:val="both"/>
        <w:rPr>
          <w:rFonts w:ascii="Palatino Linotype" w:eastAsia="Palatino Linotype" w:hAnsi="Palatino Linotype" w:cs="Palatino Linotype"/>
          <w:b/>
          <w:i/>
          <w:sz w:val="24"/>
          <w:szCs w:val="24"/>
          <w:u w:val="single"/>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i/>
          <w:sz w:val="24"/>
          <w:szCs w:val="24"/>
          <w:u w:val="single"/>
        </w:rPr>
        <w:t>Noviembre.pdf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Control de oficios ingresados a la oficialía de partes del mes de noviembre de 2022.</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i/>
          <w:sz w:val="24"/>
          <w:szCs w:val="24"/>
          <w:u w:val="single"/>
        </w:rPr>
        <w:t>TERCER ACT OCTAVA EXTRA 2023 TEOLO 2023.pdf</w:t>
      </w:r>
      <w:r w:rsidRPr="006257F6">
        <w:rPr>
          <w:rFonts w:ascii="Palatino Linotype" w:eastAsia="Palatino Linotype" w:hAnsi="Palatino Linotype" w:cs="Palatino Linotype"/>
          <w:b/>
          <w:i/>
          <w:sz w:val="24"/>
          <w:szCs w:val="24"/>
        </w:rPr>
        <w:t>”</w:t>
      </w:r>
      <w:r w:rsidRPr="006257F6">
        <w:rPr>
          <w:rFonts w:ascii="Palatino Linotype" w:eastAsia="Palatino Linotype" w:hAnsi="Palatino Linotype" w:cs="Palatino Linotype"/>
          <w:sz w:val="24"/>
          <w:szCs w:val="24"/>
        </w:rPr>
        <w:t xml:space="preserve">: Acuerdo que emite el Comité de Transparencia del Municipio de Teoloyucan, respecto de la clasificación de la información como confidencial de los datos personales contenidos en el control de oficios ingresados a oficialía de partes, de conformidad a su tercer punto del orden del día. </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ind w:right="-234"/>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lastRenderedPageBreak/>
        <w:t xml:space="preserve">3. DEL RECURSO DE REVISIÓN. </w:t>
      </w:r>
      <w:r w:rsidRPr="006257F6">
        <w:rPr>
          <w:rFonts w:ascii="Palatino Linotype" w:eastAsia="Palatino Linotype" w:hAnsi="Palatino Linotype" w:cs="Palatino Linotype"/>
          <w:sz w:val="24"/>
          <w:szCs w:val="24"/>
        </w:rPr>
        <w:t>Inconforme con la respuesta del</w:t>
      </w:r>
      <w:r w:rsidRPr="006257F6">
        <w:rPr>
          <w:rFonts w:ascii="Palatino Linotype" w:eastAsia="Palatino Linotype" w:hAnsi="Palatino Linotype" w:cs="Palatino Linotype"/>
          <w:b/>
          <w:sz w:val="24"/>
          <w:szCs w:val="24"/>
        </w:rPr>
        <w:t xml:space="preserve"> SUJETO OBLIGADO, </w:t>
      </w:r>
      <w:r w:rsidRPr="006257F6">
        <w:rPr>
          <w:rFonts w:ascii="Palatino Linotype" w:eastAsia="Palatino Linotype" w:hAnsi="Palatino Linotype" w:cs="Palatino Linotype"/>
          <w:sz w:val="24"/>
          <w:szCs w:val="24"/>
        </w:rPr>
        <w:t>en fecha diecisiete de abril de dos mil veintitrés,</w:t>
      </w:r>
      <w:r w:rsidRPr="006257F6">
        <w:rPr>
          <w:rFonts w:ascii="Palatino Linotype" w:eastAsia="Palatino Linotype" w:hAnsi="Palatino Linotype" w:cs="Palatino Linotype"/>
          <w:b/>
          <w:sz w:val="24"/>
          <w:szCs w:val="24"/>
        </w:rPr>
        <w:t xml:space="preserve"> LA PARTE RECURRENTE </w:t>
      </w:r>
      <w:r w:rsidRPr="006257F6">
        <w:rPr>
          <w:rFonts w:ascii="Palatino Linotype" w:eastAsia="Palatino Linotype" w:hAnsi="Palatino Linotype" w:cs="Palatino Linotype"/>
          <w:sz w:val="24"/>
          <w:szCs w:val="24"/>
        </w:rPr>
        <w:t>interpuso el recurso de revisión, el cual fue registrado</w:t>
      </w:r>
      <w:r w:rsidRPr="006257F6">
        <w:rPr>
          <w:rFonts w:ascii="Palatino Linotype" w:eastAsia="Palatino Linotype" w:hAnsi="Palatino Linotype" w:cs="Palatino Linotype"/>
          <w:b/>
          <w:sz w:val="24"/>
          <w:szCs w:val="24"/>
        </w:rPr>
        <w:t xml:space="preserve"> </w:t>
      </w:r>
      <w:r w:rsidRPr="006257F6">
        <w:rPr>
          <w:rFonts w:ascii="Palatino Linotype" w:eastAsia="Palatino Linotype" w:hAnsi="Palatino Linotype" w:cs="Palatino Linotype"/>
          <w:sz w:val="24"/>
          <w:szCs w:val="24"/>
        </w:rPr>
        <w:t xml:space="preserve">en el sistema electrónico con el expediente número </w:t>
      </w:r>
      <w:r w:rsidRPr="006257F6">
        <w:rPr>
          <w:rFonts w:ascii="Palatino Linotype" w:eastAsia="Palatino Linotype" w:hAnsi="Palatino Linotype" w:cs="Palatino Linotype"/>
          <w:b/>
          <w:sz w:val="24"/>
          <w:szCs w:val="24"/>
        </w:rPr>
        <w:t>01989/INFOEM/IP/RR/2023</w:t>
      </w:r>
      <w:r w:rsidRPr="006257F6">
        <w:rPr>
          <w:rFonts w:ascii="Palatino Linotype" w:eastAsia="Palatino Linotype" w:hAnsi="Palatino Linotype" w:cs="Palatino Linotype"/>
          <w:sz w:val="24"/>
          <w:szCs w:val="24"/>
        </w:rPr>
        <w:t>, en el cual manifiesta, lo siguiente:</w:t>
      </w:r>
    </w:p>
    <w:p w:rsidR="00B764BF" w:rsidRPr="006257F6" w:rsidRDefault="0058544B">
      <w:pPr>
        <w:spacing w:after="0" w:line="360" w:lineRule="auto"/>
        <w:ind w:right="-234"/>
        <w:jc w:val="both"/>
        <w:rPr>
          <w:rFonts w:ascii="Palatino Linotype" w:eastAsia="Palatino Linotype" w:hAnsi="Palatino Linotype" w:cs="Palatino Linotype"/>
          <w:b/>
          <w:sz w:val="24"/>
          <w:szCs w:val="24"/>
        </w:rPr>
      </w:pPr>
      <w:r w:rsidRPr="006257F6">
        <w:rPr>
          <w:rFonts w:ascii="Palatino Linotype" w:eastAsia="Palatino Linotype" w:hAnsi="Palatino Linotype" w:cs="Palatino Linotype"/>
          <w:sz w:val="24"/>
          <w:szCs w:val="24"/>
        </w:rPr>
        <w:t xml:space="preserve"> </w:t>
      </w:r>
    </w:p>
    <w:p w:rsidR="00B764BF" w:rsidRPr="006257F6" w:rsidRDefault="0058544B">
      <w:pPr>
        <w:numPr>
          <w:ilvl w:val="0"/>
          <w:numId w:val="2"/>
        </w:numPr>
        <w:pBdr>
          <w:top w:val="nil"/>
          <w:left w:val="nil"/>
          <w:bottom w:val="nil"/>
          <w:right w:val="nil"/>
          <w:between w:val="nil"/>
        </w:pBdr>
        <w:spacing w:after="240" w:line="360" w:lineRule="auto"/>
        <w:jc w:val="both"/>
        <w:rPr>
          <w:rFonts w:ascii="Palatino Linotype" w:eastAsia="Palatino Linotype" w:hAnsi="Palatino Linotype" w:cs="Palatino Linotype"/>
          <w:b/>
          <w:i/>
          <w:sz w:val="24"/>
          <w:szCs w:val="24"/>
        </w:rPr>
      </w:pPr>
      <w:r w:rsidRPr="006257F6">
        <w:rPr>
          <w:rFonts w:ascii="Palatino Linotype" w:eastAsia="Palatino Linotype" w:hAnsi="Palatino Linotype" w:cs="Palatino Linotype"/>
          <w:b/>
          <w:i/>
          <w:sz w:val="24"/>
          <w:szCs w:val="24"/>
        </w:rPr>
        <w:t>Acto Impugnado:</w:t>
      </w:r>
    </w:p>
    <w:p w:rsidR="00B764BF" w:rsidRPr="006257F6" w:rsidRDefault="0058544B">
      <w:pPr>
        <w:tabs>
          <w:tab w:val="left" w:pos="8222"/>
        </w:tabs>
        <w:spacing w:before="240" w:after="240" w:line="276" w:lineRule="auto"/>
        <w:ind w:left="851" w:right="616"/>
        <w:jc w:val="both"/>
        <w:rPr>
          <w:rFonts w:ascii="Palatino Linotype" w:eastAsia="Palatino Linotype" w:hAnsi="Palatino Linotype" w:cs="Palatino Linotype"/>
          <w:i/>
        </w:rPr>
      </w:pPr>
      <w:r w:rsidRPr="006257F6">
        <w:rPr>
          <w:rFonts w:ascii="Palatino Linotype" w:eastAsia="Palatino Linotype" w:hAnsi="Palatino Linotype" w:cs="Palatino Linotype"/>
          <w:i/>
        </w:rPr>
        <w:t>“informacion incomplera” [sic]</w:t>
      </w:r>
    </w:p>
    <w:p w:rsidR="00B764BF" w:rsidRPr="006257F6" w:rsidRDefault="0058544B">
      <w:pPr>
        <w:numPr>
          <w:ilvl w:val="0"/>
          <w:numId w:val="2"/>
        </w:numPr>
        <w:pBdr>
          <w:top w:val="nil"/>
          <w:left w:val="nil"/>
          <w:bottom w:val="nil"/>
          <w:right w:val="nil"/>
          <w:between w:val="nil"/>
        </w:pBdr>
        <w:spacing w:before="240" w:after="240" w:line="360" w:lineRule="auto"/>
        <w:rPr>
          <w:rFonts w:ascii="Palatino Linotype" w:eastAsia="Palatino Linotype" w:hAnsi="Palatino Linotype" w:cs="Palatino Linotype"/>
          <w:i/>
          <w:sz w:val="24"/>
          <w:szCs w:val="24"/>
        </w:rPr>
      </w:pPr>
      <w:r w:rsidRPr="006257F6">
        <w:rPr>
          <w:rFonts w:ascii="Palatino Linotype" w:eastAsia="Palatino Linotype" w:hAnsi="Palatino Linotype" w:cs="Palatino Linotype"/>
          <w:b/>
          <w:i/>
          <w:sz w:val="24"/>
          <w:szCs w:val="24"/>
        </w:rPr>
        <w:t>Razones o Motivos de Inconformidad</w:t>
      </w:r>
      <w:r w:rsidRPr="006257F6">
        <w:rPr>
          <w:rFonts w:ascii="Palatino Linotype" w:eastAsia="Palatino Linotype" w:hAnsi="Palatino Linotype" w:cs="Palatino Linotype"/>
          <w:i/>
          <w:sz w:val="24"/>
          <w:szCs w:val="24"/>
        </w:rPr>
        <w:t>:</w:t>
      </w:r>
    </w:p>
    <w:p w:rsidR="00B764BF" w:rsidRPr="006257F6" w:rsidRDefault="0058544B">
      <w:pPr>
        <w:spacing w:before="240" w:after="0" w:line="276" w:lineRule="auto"/>
        <w:ind w:left="851" w:right="616"/>
        <w:jc w:val="both"/>
        <w:rPr>
          <w:rFonts w:ascii="Palatino Linotype" w:eastAsia="Palatino Linotype" w:hAnsi="Palatino Linotype" w:cs="Palatino Linotype"/>
          <w:i/>
        </w:rPr>
      </w:pPr>
      <w:r w:rsidRPr="006257F6">
        <w:rPr>
          <w:rFonts w:ascii="Palatino Linotype" w:eastAsia="Palatino Linotype" w:hAnsi="Palatino Linotype" w:cs="Palatino Linotype"/>
          <w:i/>
          <w:sz w:val="24"/>
          <w:szCs w:val="24"/>
        </w:rPr>
        <w:t>“</w:t>
      </w:r>
      <w:r w:rsidRPr="006257F6">
        <w:rPr>
          <w:rFonts w:ascii="Palatino Linotype" w:eastAsia="Palatino Linotype" w:hAnsi="Palatino Linotype" w:cs="Palatino Linotype"/>
          <w:i/>
        </w:rPr>
        <w:t>informacion incompleta” [sic]</w:t>
      </w:r>
    </w:p>
    <w:p w:rsidR="00B764BF" w:rsidRPr="006257F6" w:rsidRDefault="00B764BF">
      <w:pPr>
        <w:spacing w:after="0" w:line="360" w:lineRule="auto"/>
        <w:jc w:val="both"/>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 xml:space="preserve">4. TURNO. </w:t>
      </w:r>
      <w:r w:rsidRPr="006257F6">
        <w:rPr>
          <w:rFonts w:ascii="Palatino Linotype" w:eastAsia="Palatino Linotype" w:hAnsi="Palatino Linotype" w:cs="Palatino Linotype"/>
          <w:sz w:val="24"/>
          <w:szCs w:val="24"/>
        </w:rPr>
        <w:t xml:space="preserve">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del Estado de México y Municipios, a la Comisionada </w:t>
      </w:r>
      <w:r w:rsidRPr="006257F6">
        <w:rPr>
          <w:rFonts w:ascii="Palatino Linotype" w:eastAsia="Palatino Linotype" w:hAnsi="Palatino Linotype" w:cs="Palatino Linotype"/>
          <w:b/>
          <w:sz w:val="24"/>
          <w:szCs w:val="24"/>
        </w:rPr>
        <w:t xml:space="preserve">Guadalupe Ramírez Peña, </w:t>
      </w:r>
      <w:r w:rsidRPr="006257F6">
        <w:rPr>
          <w:rFonts w:ascii="Palatino Linotype" w:eastAsia="Palatino Linotype" w:hAnsi="Palatino Linotype" w:cs="Palatino Linotype"/>
          <w:sz w:val="24"/>
          <w:szCs w:val="24"/>
        </w:rPr>
        <w:t>a efecto de que analizara sobre su admisión o su desechamiento.</w:t>
      </w:r>
    </w:p>
    <w:p w:rsidR="00B764BF" w:rsidRPr="006257F6" w:rsidRDefault="00B764BF">
      <w:pPr>
        <w:spacing w:after="0" w:line="360" w:lineRule="auto"/>
        <w:jc w:val="both"/>
        <w:rPr>
          <w:rFonts w:ascii="Palatino Linotype" w:eastAsia="Palatino Linotype" w:hAnsi="Palatino Linotype" w:cs="Palatino Linotype"/>
          <w:b/>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5. ADMISIÓN DEL RECURSO DE REVISIÓN.</w:t>
      </w:r>
      <w:r w:rsidRPr="006257F6">
        <w:rPr>
          <w:rFonts w:ascii="Palatino Linotype" w:eastAsia="Palatino Linotype" w:hAnsi="Palatino Linotype" w:cs="Palatino Linotype"/>
          <w:sz w:val="24"/>
          <w:szCs w:val="24"/>
        </w:rPr>
        <w:t xml:space="preserve"> Con fecha</w:t>
      </w:r>
      <w:r w:rsidRPr="006257F6">
        <w:rPr>
          <w:rFonts w:ascii="Palatino Linotype" w:eastAsia="Palatino Linotype" w:hAnsi="Palatino Linotype" w:cs="Palatino Linotype"/>
          <w:b/>
          <w:sz w:val="24"/>
          <w:szCs w:val="24"/>
        </w:rPr>
        <w:t xml:space="preserve"> veinte de abril de dos mil veintitrés</w:t>
      </w: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sz w:val="24"/>
          <w:szCs w:val="24"/>
        </w:rPr>
        <w:t xml:space="preserve"> </w:t>
      </w:r>
      <w:r w:rsidRPr="006257F6">
        <w:rPr>
          <w:rFonts w:ascii="Palatino Linotype" w:eastAsia="Palatino Linotype" w:hAnsi="Palatino Linotype" w:cs="Palatino Linotype"/>
          <w:sz w:val="24"/>
          <w:szCs w:val="24"/>
        </w:rPr>
        <w:t xml:space="preserve">este Instituto de Transparencia, Acceso a la Información Pública y Protección de Datos Personales del Estado de México y Municipios, admitió a trámite el recurso de revisión que ahora se resuelve, dando un plazo máximo de siete días hábiles para que las partes manifestaran lo que a su derecho resultara </w:t>
      </w:r>
      <w:r w:rsidRPr="006257F6">
        <w:rPr>
          <w:rFonts w:ascii="Palatino Linotype" w:eastAsia="Palatino Linotype" w:hAnsi="Palatino Linotype" w:cs="Palatino Linotype"/>
          <w:sz w:val="24"/>
          <w:szCs w:val="24"/>
        </w:rPr>
        <w:lastRenderedPageBreak/>
        <w:t xml:space="preserve">conveniente, ofrecieran pruebas, formularan alegatos y el </w:t>
      </w:r>
      <w:r w:rsidRPr="006257F6">
        <w:rPr>
          <w:rFonts w:ascii="Palatino Linotype" w:eastAsia="Palatino Linotype" w:hAnsi="Palatino Linotype" w:cs="Palatino Linotype"/>
          <w:b/>
          <w:sz w:val="24"/>
          <w:szCs w:val="24"/>
        </w:rPr>
        <w:t xml:space="preserve">SUJETO OBLIGADO </w:t>
      </w:r>
      <w:r w:rsidRPr="006257F6">
        <w:rPr>
          <w:rFonts w:ascii="Palatino Linotype" w:eastAsia="Palatino Linotype" w:hAnsi="Palatino Linotype" w:cs="Palatino Linotype"/>
          <w:sz w:val="24"/>
          <w:szCs w:val="24"/>
        </w:rPr>
        <w:t>presentará su informe justificado.</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ind w:right="49"/>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6. MANIFESTACIONES.</w:t>
      </w:r>
      <w:r w:rsidRPr="006257F6">
        <w:rPr>
          <w:rFonts w:ascii="Palatino Linotype" w:eastAsia="Palatino Linotype" w:hAnsi="Palatino Linotype" w:cs="Palatino Linotype"/>
          <w:sz w:val="24"/>
          <w:szCs w:val="24"/>
        </w:rPr>
        <w:t xml:space="preserve"> Con fecha cuatro de mayo dos mil veintitrés se recibió, a través del Sistema de Acceso a la Información Mexiquense (SAIMEX), el Informe Justificado del </w:t>
      </w:r>
      <w:r w:rsidRPr="006257F6">
        <w:rPr>
          <w:rFonts w:ascii="Palatino Linotype" w:eastAsia="Palatino Linotype" w:hAnsi="Palatino Linotype" w:cs="Palatino Linotype"/>
          <w:b/>
          <w:sz w:val="24"/>
          <w:szCs w:val="24"/>
        </w:rPr>
        <w:t>SUJETO OBLIGADO</w:t>
      </w: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b/>
          <w:sz w:val="24"/>
          <w:szCs w:val="24"/>
        </w:rPr>
        <w:t xml:space="preserve"> </w:t>
      </w:r>
      <w:r w:rsidRPr="006257F6">
        <w:rPr>
          <w:rFonts w:ascii="Palatino Linotype" w:eastAsia="Palatino Linotype" w:hAnsi="Palatino Linotype" w:cs="Palatino Linotype"/>
          <w:sz w:val="24"/>
          <w:szCs w:val="24"/>
        </w:rPr>
        <w:t xml:space="preserve">a través de los siguientes archivos electrónicos: </w:t>
      </w:r>
    </w:p>
    <w:p w:rsidR="00B764BF" w:rsidRPr="006257F6" w:rsidRDefault="00B764BF">
      <w:pPr>
        <w:spacing w:after="0" w:line="360" w:lineRule="auto"/>
        <w:ind w:right="49"/>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i/>
          <w:sz w:val="24"/>
          <w:szCs w:val="24"/>
          <w:u w:val="single"/>
        </w:rPr>
        <w:t>INFORME JUSTIFICADO SOLICITUD 044.pdf</w:t>
      </w:r>
      <w:r w:rsidRPr="006257F6">
        <w:rPr>
          <w:rFonts w:ascii="Palatino Linotype" w:eastAsia="Palatino Linotype" w:hAnsi="Palatino Linotype" w:cs="Palatino Linotype"/>
          <w:sz w:val="24"/>
          <w:szCs w:val="24"/>
        </w:rPr>
        <w:t xml:space="preserve">”: Oficio de fecha once cuatro de mayo de dos mil veintitrés, signado por la Titular de la Unidad de Transparencia, en donde describe las constancias que obran en el SAIMEX, además de mencionar que  </w:t>
      </w:r>
      <w:r w:rsidRPr="006257F6">
        <w:rPr>
          <w:rFonts w:ascii="Palatino Linotype" w:eastAsia="Palatino Linotype" w:hAnsi="Palatino Linotype" w:cs="Palatino Linotype"/>
          <w:b/>
          <w:sz w:val="24"/>
          <w:szCs w:val="24"/>
        </w:rPr>
        <w:t xml:space="preserve">LA PARTE RECURRENTE </w:t>
      </w:r>
      <w:r w:rsidRPr="006257F6">
        <w:rPr>
          <w:rFonts w:ascii="Palatino Linotype" w:eastAsia="Palatino Linotype" w:hAnsi="Palatino Linotype" w:cs="Palatino Linotype"/>
          <w:sz w:val="24"/>
          <w:szCs w:val="24"/>
        </w:rPr>
        <w:t>expresó que la información está incompleta, sin embargo, se entregó el control completo de los oficios recibidos en oficialía de partes en versión pública; respecto al registro de a cuantas de ellas se les ha dado una respuesta favorable es una información que la jefatura de Oficialía de Partes no tiene, y se le hizo de conocimiento al solicitante con el oficio suscrito por la encargada de Oficialía de Partes.</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Los oficios y peticiones recibidos en Oficialía de Partes son canalizados al área correspondiente las cuales no rinden un informe estadístico de cuantas son resueltas favorablemente o no, sólo se verifica que la unidad correspondiente reciba la documentación para su seguimiento.</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lastRenderedPageBreak/>
        <w:t>“</w:t>
      </w:r>
      <w:r w:rsidRPr="006257F6">
        <w:rPr>
          <w:rFonts w:ascii="Palatino Linotype" w:eastAsia="Palatino Linotype" w:hAnsi="Palatino Linotype" w:cs="Palatino Linotype"/>
          <w:b/>
          <w:i/>
          <w:sz w:val="24"/>
          <w:szCs w:val="24"/>
          <w:u w:val="single"/>
        </w:rPr>
        <w:t>SA JCHS CI AMMS 0605 05 2023.pdf</w:t>
      </w:r>
      <w:r w:rsidRPr="006257F6">
        <w:rPr>
          <w:rFonts w:ascii="Palatino Linotype" w:eastAsia="Palatino Linotype" w:hAnsi="Palatino Linotype" w:cs="Palatino Linotype"/>
          <w:sz w:val="24"/>
          <w:szCs w:val="24"/>
        </w:rPr>
        <w:t xml:space="preserve">”: Oficio de fecha dos de mayo de dos mil veintitrés, signado por el Secretario del Ayuntamiento, mediante le cual menciona que una vez analizada la impugnación en la que refiere como motivo de inconformidad “información incompleta” solicita la resolución del Instituto, toda vez que hizo entrega de toda la información que se posee con respecto de lo solicitado. </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Mismos que se pusieron a la vista de </w:t>
      </w:r>
      <w:r w:rsidRPr="006257F6">
        <w:rPr>
          <w:rFonts w:ascii="Palatino Linotype" w:eastAsia="Palatino Linotype" w:hAnsi="Palatino Linotype" w:cs="Palatino Linotype"/>
          <w:b/>
          <w:sz w:val="24"/>
          <w:szCs w:val="24"/>
        </w:rPr>
        <w:t xml:space="preserve">LA PARTE RECURRENTE </w:t>
      </w:r>
      <w:r w:rsidRPr="006257F6">
        <w:rPr>
          <w:rFonts w:ascii="Palatino Linotype" w:eastAsia="Palatino Linotype" w:hAnsi="Palatino Linotype" w:cs="Palatino Linotype"/>
          <w:sz w:val="24"/>
          <w:szCs w:val="24"/>
        </w:rPr>
        <w:t xml:space="preserve">en fecha veinticinco de septiembre de dos mil veintitrés, misma que resultó omisa en emitir sus manifestaciones conforme a derecho le corresponde. </w:t>
      </w: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 </w:t>
      </w: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7. AMPLIACIÓN DEL TÉRMINO PARA RESOLVER</w:t>
      </w:r>
      <w:r w:rsidRPr="006257F6">
        <w:rPr>
          <w:rFonts w:ascii="Palatino Linotype" w:eastAsia="Palatino Linotype" w:hAnsi="Palatino Linotype" w:cs="Palatino Linotype"/>
          <w:sz w:val="24"/>
          <w:szCs w:val="24"/>
        </w:rPr>
        <w:t>.</w:t>
      </w:r>
      <w:r w:rsidRPr="006257F6">
        <w:rPr>
          <w:rFonts w:ascii="Palatino Linotype" w:eastAsia="Palatino Linotype" w:hAnsi="Palatino Linotype" w:cs="Palatino Linotype"/>
        </w:rPr>
        <w:t xml:space="preserve"> </w:t>
      </w:r>
      <w:r w:rsidRPr="006257F6">
        <w:rPr>
          <w:rFonts w:ascii="Palatino Linotype" w:eastAsia="Palatino Linotype" w:hAnsi="Palatino Linotype" w:cs="Palatino Linotype"/>
          <w:sz w:val="24"/>
          <w:szCs w:val="24"/>
        </w:rPr>
        <w:t xml:space="preserve">El veintisiete de septiembre de dos mil veintitrés, se amplió el término para resolver el recurso de revisión en términos del artículo 181 párrafo tercero de la Ley de Transparencia y Acceso a la Información Pública del Estado de México y Municipios. </w:t>
      </w:r>
    </w:p>
    <w:p w:rsidR="00B764BF" w:rsidRPr="006257F6" w:rsidRDefault="00B764BF">
      <w:pPr>
        <w:spacing w:after="0" w:line="360" w:lineRule="auto"/>
        <w:jc w:val="both"/>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Este organismo garante no pasa por alto justificar, que el plazo para emitir la resolución en el presente asunto encuentra justificación en el alto número de recursos de revisión recibidos dentro del año dos mil veintidós, que, en comparación con los recibidos el año dos mil veintiuno, se incrementó aproximadamente un 300%, circunstancia atípica que ha rebasado las capacidades técnicas y humanas del personal encargado de la proyección de las resoluciones a dichos medios de impugnación.</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lastRenderedPageBreak/>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Por ello, excepcionalmente, si un asunto es resuelto con posterioridad a los plazos señalados por la norma debe analizarse la razonabilidad del tiempo necesario para su resolución, atentos a los siguientes criterios: </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numPr>
          <w:ilvl w:val="0"/>
          <w:numId w:val="3"/>
        </w:num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lastRenderedPageBreak/>
        <w:t xml:space="preserve">Complejidad del Asunto: La complejidad de la prueba, la pluralidad de sujetos procesales, el tiempo transcurrido, las características y contexto del recurso. </w:t>
      </w:r>
    </w:p>
    <w:p w:rsidR="00B764BF" w:rsidRPr="006257F6" w:rsidRDefault="00B764BF">
      <w:pPr>
        <w:spacing w:after="0" w:line="360" w:lineRule="auto"/>
        <w:ind w:left="927"/>
        <w:jc w:val="both"/>
        <w:rPr>
          <w:rFonts w:ascii="Palatino Linotype" w:eastAsia="Palatino Linotype" w:hAnsi="Palatino Linotype" w:cs="Palatino Linotype"/>
          <w:sz w:val="24"/>
          <w:szCs w:val="24"/>
        </w:rPr>
      </w:pPr>
    </w:p>
    <w:p w:rsidR="00B764BF" w:rsidRPr="006257F6" w:rsidRDefault="0058544B">
      <w:pPr>
        <w:numPr>
          <w:ilvl w:val="0"/>
          <w:numId w:val="3"/>
        </w:num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Actividad Procesal del interesado. Acciones u omisiones del interesado.</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numPr>
          <w:ilvl w:val="0"/>
          <w:numId w:val="3"/>
        </w:num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Conducta de la Autoridad: Las Acciones u omisiones realizadas en el procedimiento. Así como si la autoridad actuó con la debida diligencia.</w:t>
      </w:r>
    </w:p>
    <w:p w:rsidR="00B764BF" w:rsidRPr="006257F6" w:rsidRDefault="00B764BF">
      <w:pPr>
        <w:spacing w:after="0" w:line="360" w:lineRule="auto"/>
        <w:ind w:left="708"/>
        <w:rPr>
          <w:rFonts w:ascii="Palatino Linotype" w:eastAsia="Palatino Linotype" w:hAnsi="Palatino Linotype" w:cs="Palatino Linotype"/>
          <w:sz w:val="24"/>
          <w:szCs w:val="24"/>
        </w:rPr>
      </w:pPr>
    </w:p>
    <w:p w:rsidR="00B764BF" w:rsidRPr="006257F6" w:rsidRDefault="0058544B">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La afectación generada en la situación jurídica de la persona involucrada en el proceso: Violación a sus derechos humanos.</w:t>
      </w:r>
    </w:p>
    <w:p w:rsidR="00B764BF" w:rsidRPr="006257F6" w:rsidRDefault="00B764BF">
      <w:pPr>
        <w:pBdr>
          <w:top w:val="nil"/>
          <w:left w:val="nil"/>
          <w:bottom w:val="nil"/>
          <w:right w:val="nil"/>
          <w:between w:val="nil"/>
        </w:pBdr>
        <w:spacing w:after="0" w:line="360" w:lineRule="auto"/>
        <w:ind w:left="927"/>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b/>
          <w:sz w:val="24"/>
          <w:szCs w:val="24"/>
        </w:rPr>
      </w:pPr>
      <w:r w:rsidRPr="006257F6">
        <w:rPr>
          <w:rFonts w:ascii="Palatino Linotype" w:eastAsia="Palatino Linotype" w:hAnsi="Palatino Linotype" w:cs="Palatino Linotype"/>
          <w:sz w:val="24"/>
          <w:szCs w:val="24"/>
        </w:rPr>
        <w:t xml:space="preserve">Argumento que encuentra sustento en la jurisprudencia P./J. 32/92 emitida por el Pleno de la Suprema Corte de Justicia de la Nación de rubro </w:t>
      </w:r>
      <w:r w:rsidRPr="006257F6">
        <w:rPr>
          <w:rFonts w:ascii="Palatino Linotype" w:eastAsia="Palatino Linotype" w:hAnsi="Palatino Linotype" w:cs="Palatino Linotype"/>
          <w:i/>
          <w:sz w:val="24"/>
          <w:szCs w:val="24"/>
        </w:rPr>
        <w:t xml:space="preserve">“TÉRMINOS PROCESALES. PARA DETERMINAR SI UN FUNCIONARIO JUDICIAL ACTUÓ INDEBIDAMENTE POR NO RESPETARLOS SE DEBE ATENDER AL </w:t>
      </w:r>
      <w:r w:rsidRPr="006257F6">
        <w:rPr>
          <w:rFonts w:ascii="Palatino Linotype" w:eastAsia="Palatino Linotype" w:hAnsi="Palatino Linotype" w:cs="Palatino Linotype"/>
          <w:i/>
          <w:sz w:val="24"/>
          <w:szCs w:val="24"/>
        </w:rPr>
        <w:lastRenderedPageBreak/>
        <w:t>PRESUPUESTO QUE CONSIDERÓ EL LEGISLADOR AL FIJARLOS Y LAS CARACTERÍSTICAS DEL CASO.”</w:t>
      </w:r>
      <w:r w:rsidRPr="006257F6">
        <w:rPr>
          <w:rFonts w:ascii="Palatino Linotype" w:eastAsia="Palatino Linotype" w:hAnsi="Palatino Linotype" w:cs="Palatino Linotype"/>
          <w:sz w:val="24"/>
          <w:szCs w:val="24"/>
        </w:rPr>
        <w:t>, visible en la Gaceta del Seminario Judicial de la Federación con el registro digital 205635.</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Al respecto, también son de considerar los criterios sostenidos por el Cuarto Tribunal Colegiado en Materia Administrativa del Primer Circuito, cuyos rubros y datos de identificación son los siguientes:</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i/>
          <w:sz w:val="24"/>
          <w:szCs w:val="24"/>
        </w:rPr>
        <w:t>“PLAZO RAZONABLE PARA RESOLVER. DIMENSIÓN Y EFECTOS DE ESTE CONCEPTO CUANDO SE ADUCE EXCESIVA CARGA DE TRABAJO.”</w:t>
      </w:r>
      <w:r w:rsidRPr="006257F6">
        <w:rPr>
          <w:rFonts w:ascii="Palatino Linotype" w:eastAsia="Palatino Linotype" w:hAnsi="Palatino Linotype" w:cs="Palatino Linotype"/>
          <w:sz w:val="24"/>
          <w:szCs w:val="24"/>
        </w:rPr>
        <w:t xml:space="preserve"> consultable en el Seminario Judicial de la Federación y su gaceta, con el registro digital 2002351.</w:t>
      </w:r>
    </w:p>
    <w:p w:rsidR="00B764BF" w:rsidRPr="006257F6" w:rsidRDefault="00B764BF">
      <w:pPr>
        <w:spacing w:after="0" w:line="360" w:lineRule="auto"/>
        <w:jc w:val="both"/>
        <w:rPr>
          <w:rFonts w:ascii="Palatino Linotype" w:eastAsia="Palatino Linotype" w:hAnsi="Palatino Linotype" w:cs="Palatino Linotype"/>
          <w:b/>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i/>
          <w:sz w:val="24"/>
          <w:szCs w:val="24"/>
        </w:rPr>
        <w:lastRenderedPageBreak/>
        <w:t>“PLAZO RAZONABLE PARA RESOLVER. CONCEPTO Y ELEMENTOS QUE LO INTEGRAN A LA LUZ DEL DERECHO INTERNACIONAL DE LOS DERECHOS HUMANOS.”</w:t>
      </w:r>
      <w:r w:rsidRPr="006257F6">
        <w:rPr>
          <w:rFonts w:ascii="Palatino Linotype" w:eastAsia="Palatino Linotype" w:hAnsi="Palatino Linotype" w:cs="Palatino Linotype"/>
          <w:sz w:val="24"/>
          <w:szCs w:val="24"/>
        </w:rPr>
        <w:t>, visible en el Seminario Judicial de la Federación y su gaceta, con el registro digital 2002350.</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Por ello, este organismo garante comprometido con la tutela de los derechos humanos confiados, señala que este exceso del plazo legal para resolver el presente asunto, resulta de carácter excepcional.</w:t>
      </w:r>
    </w:p>
    <w:p w:rsidR="006B6782" w:rsidRPr="006257F6" w:rsidRDefault="006B6782">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 xml:space="preserve">8. CIERRE DE INSTRUCCIÓN. </w:t>
      </w:r>
      <w:r w:rsidRPr="006257F6">
        <w:rPr>
          <w:rFonts w:ascii="Palatino Linotype" w:eastAsia="Palatino Linotype" w:hAnsi="Palatino Linotype" w:cs="Palatino Linotype"/>
          <w:sz w:val="24"/>
          <w:szCs w:val="24"/>
        </w:rPr>
        <w:t>El veintinueve de septiembre de dos mil veintitrés, al no existir diligencias pendientes por desahogar, se emitió el acuerdo por medio del cual se declaró cerrada la instrucción y se determinó pasar el expediente a resolución, en términos del artículo 185 fracción VI y VIII de la Ley de Transparencia y Acceso a la Información Pública del Estado de México y Municipios, iniciando el término legal para dictar resolución definitiva del asunto.</w:t>
      </w:r>
    </w:p>
    <w:p w:rsidR="00B764BF" w:rsidRPr="006257F6" w:rsidRDefault="00B764BF">
      <w:pPr>
        <w:rPr>
          <w:rFonts w:ascii="Palatino Linotype" w:eastAsia="Palatino Linotype" w:hAnsi="Palatino Linotype" w:cs="Palatino Linotype"/>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En razón de que fue debidamente sustanciado el expediente electrónico y no existe diligencia pendiente de desahogo, se emite la Resolución que conforme a Derecho proceda, de acuerdo con los siguientes:</w:t>
      </w:r>
    </w:p>
    <w:p w:rsidR="00B764BF" w:rsidRPr="006257F6" w:rsidRDefault="00B764BF">
      <w:pPr>
        <w:spacing w:after="0" w:line="360" w:lineRule="auto"/>
        <w:jc w:val="both"/>
      </w:pPr>
    </w:p>
    <w:p w:rsidR="00B764BF" w:rsidRPr="006257F6" w:rsidRDefault="0058544B">
      <w:pPr>
        <w:widowControl w:val="0"/>
        <w:spacing w:after="0" w:line="360" w:lineRule="auto"/>
        <w:jc w:val="center"/>
        <w:rPr>
          <w:rFonts w:ascii="Palatino Linotype" w:eastAsia="Palatino Linotype" w:hAnsi="Palatino Linotype" w:cs="Palatino Linotype"/>
          <w:b/>
          <w:sz w:val="24"/>
          <w:szCs w:val="24"/>
        </w:rPr>
      </w:pPr>
      <w:r w:rsidRPr="006257F6">
        <w:rPr>
          <w:rFonts w:ascii="Palatino Linotype" w:eastAsia="Palatino Linotype" w:hAnsi="Palatino Linotype" w:cs="Palatino Linotype"/>
          <w:b/>
          <w:sz w:val="24"/>
          <w:szCs w:val="24"/>
        </w:rPr>
        <w:t>C O N S I D E R A N D O S</w:t>
      </w:r>
    </w:p>
    <w:p w:rsidR="00B764BF" w:rsidRPr="006257F6" w:rsidRDefault="00B764BF">
      <w:pPr>
        <w:widowControl w:val="0"/>
        <w:spacing w:after="0" w:line="360" w:lineRule="auto"/>
        <w:jc w:val="center"/>
        <w:rPr>
          <w:rFonts w:ascii="Palatino Linotype" w:eastAsia="Palatino Linotype" w:hAnsi="Palatino Linotype" w:cs="Palatino Linotype"/>
          <w:b/>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PRIMERO. COMPETENCIA.</w:t>
      </w:r>
      <w:r w:rsidRPr="006257F6">
        <w:rPr>
          <w:rFonts w:ascii="Palatino Linotype" w:eastAsia="Palatino Linotype" w:hAnsi="Palatino Linotype" w:cs="Palatino Linotype"/>
          <w:sz w:val="24"/>
          <w:szCs w:val="24"/>
        </w:rPr>
        <w:t xml:space="preserve"> El Instituto de Transparencia, Acceso a la Información Pública y Protección de Datos Personales del Estado de México y </w:t>
      </w:r>
      <w:r w:rsidRPr="006257F6">
        <w:rPr>
          <w:rFonts w:ascii="Palatino Linotype" w:eastAsia="Palatino Linotype" w:hAnsi="Palatino Linotype" w:cs="Palatino Linotype"/>
          <w:sz w:val="24"/>
          <w:szCs w:val="24"/>
        </w:rPr>
        <w:lastRenderedPageBreak/>
        <w:t>Municipios, es competente para conocer y resolver el presente recurso de revisión interpuesto por la parte recurrente, conforme a lo dispuesto en los artículos 6, apartado A de la Constitución Política de los Estados Unidos Mexicanos; 5 párrafos trigésimo segundo, trigésimo tercero y trigésimo cuarto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XXIII y 11 del Reglamento Interior del Instituto de Transparencia, Acceso a la Información Pública y Protección de Datos Personales del Estado de México y Municipios.</w:t>
      </w:r>
    </w:p>
    <w:p w:rsidR="00B764BF" w:rsidRPr="006257F6" w:rsidRDefault="00B764BF">
      <w:pPr>
        <w:spacing w:after="0" w:line="360" w:lineRule="auto"/>
        <w:jc w:val="both"/>
      </w:pPr>
    </w:p>
    <w:p w:rsidR="00B764BF" w:rsidRPr="006257F6" w:rsidRDefault="0058544B">
      <w:pPr>
        <w:spacing w:after="0" w:line="360" w:lineRule="auto"/>
        <w:ind w:right="49"/>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 xml:space="preserve">SEGUNDO. OPORTUNIDAD Y PROCEDIBILIDAD DEL RECURSO DE REVISIÓN.  </w:t>
      </w:r>
      <w:r w:rsidRPr="006257F6">
        <w:rPr>
          <w:rFonts w:ascii="Palatino Linotype" w:eastAsia="Palatino Linotype" w:hAnsi="Palatino Linotype" w:cs="Palatino Linotype"/>
          <w:sz w:val="24"/>
          <w:szCs w:val="24"/>
        </w:rPr>
        <w:t>Previo al estudio del fondo del asunto, se procede a analizar los requisitos de oportunidad y procedibilidad que debe reunir el recurso de revisión interpuesto, previsto en el artículo 178 y 180 de la Ley de Transparencia y Acceso a la Información Pública del Estado de México y Municipios.</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ind w:right="49"/>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El recurso de revisión fue interpuesto dentro del plazo de quince días hábiles previsto en el artículo 178 de la Ley de Transparencia y Acceso a la Información Pública del Estado de México y Municipios, contados a partir de la fecha en que</w:t>
      </w:r>
      <w:r w:rsidRPr="006257F6">
        <w:rPr>
          <w:rFonts w:ascii="Palatino Linotype" w:eastAsia="Palatino Linotype" w:hAnsi="Palatino Linotype" w:cs="Palatino Linotype"/>
          <w:b/>
          <w:sz w:val="24"/>
          <w:szCs w:val="24"/>
        </w:rPr>
        <w:t xml:space="preserve"> EL SUJETO OBLIGADO </w:t>
      </w:r>
      <w:r w:rsidRPr="006257F6">
        <w:rPr>
          <w:rFonts w:ascii="Palatino Linotype" w:eastAsia="Palatino Linotype" w:hAnsi="Palatino Linotype" w:cs="Palatino Linotype"/>
          <w:sz w:val="24"/>
          <w:szCs w:val="24"/>
        </w:rPr>
        <w:t xml:space="preserve">emitió la respuesta, toda vez que esta fue pronunciada el día trece de abril de dos mil veintitrés, mientras que </w:t>
      </w:r>
      <w:r w:rsidRPr="006257F6">
        <w:rPr>
          <w:rFonts w:ascii="Palatino Linotype" w:eastAsia="Palatino Linotype" w:hAnsi="Palatino Linotype" w:cs="Palatino Linotype"/>
          <w:b/>
          <w:sz w:val="24"/>
          <w:szCs w:val="24"/>
        </w:rPr>
        <w:t>LA PARTE</w:t>
      </w: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sz w:val="24"/>
          <w:szCs w:val="24"/>
        </w:rPr>
        <w:t>RECURRENTE</w:t>
      </w:r>
      <w:r w:rsidRPr="006257F6">
        <w:rPr>
          <w:rFonts w:ascii="Palatino Linotype" w:eastAsia="Palatino Linotype" w:hAnsi="Palatino Linotype" w:cs="Palatino Linotype"/>
          <w:sz w:val="24"/>
          <w:szCs w:val="24"/>
        </w:rPr>
        <w:t xml:space="preserve"> interpuso el recurso de revisión en fecha diecisiete de abril de dos mil veintitrés, esto es al segundo día hábil siguiente de haber recibido la respuesta. </w:t>
      </w:r>
    </w:p>
    <w:p w:rsidR="00B764BF" w:rsidRPr="006257F6" w:rsidRDefault="00B764BF">
      <w:pPr>
        <w:spacing w:after="0" w:line="360" w:lineRule="auto"/>
        <w:jc w:val="both"/>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Además, por cuanto hace a la procedibilidad del recurso de revisión, es de suma importancia señalar que </w:t>
      </w:r>
      <w:r w:rsidRPr="006257F6">
        <w:rPr>
          <w:rFonts w:ascii="Palatino Linotype" w:eastAsia="Palatino Linotype" w:hAnsi="Palatino Linotype" w:cs="Palatino Linotype"/>
          <w:b/>
          <w:sz w:val="24"/>
          <w:szCs w:val="24"/>
        </w:rPr>
        <w:t>LA PARTE</w:t>
      </w: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sz w:val="24"/>
          <w:szCs w:val="24"/>
        </w:rPr>
        <w:t>RECURRENTE</w:t>
      </w:r>
      <w:r w:rsidRPr="006257F6">
        <w:rPr>
          <w:rFonts w:ascii="Palatino Linotype" w:eastAsia="Palatino Linotype" w:hAnsi="Palatino Linotype" w:cs="Palatino Linotype"/>
          <w:sz w:val="24"/>
          <w:szCs w:val="24"/>
        </w:rPr>
        <w:t>, no proporcionó un nombre, como se advierte en el detalle de seguimiento del SAIMEX, no obstante lo anterior, el no proporcionar un nombre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rsidR="00B764BF" w:rsidRPr="006257F6" w:rsidRDefault="0058544B">
      <w:pPr>
        <w:spacing w:after="0" w:line="276" w:lineRule="auto"/>
        <w:ind w:left="851" w:right="902"/>
        <w:jc w:val="both"/>
        <w:rPr>
          <w:rFonts w:ascii="Palatino Linotype" w:eastAsia="Palatino Linotype" w:hAnsi="Palatino Linotype" w:cs="Palatino Linotype"/>
          <w:i/>
        </w:rPr>
      </w:pPr>
      <w:r w:rsidRPr="006257F6">
        <w:rPr>
          <w:rFonts w:ascii="Palatino Linotype" w:eastAsia="Palatino Linotype" w:hAnsi="Palatino Linotype" w:cs="Palatino Linotype"/>
          <w:i/>
        </w:rPr>
        <w:t>"</w:t>
      </w:r>
      <w:r w:rsidRPr="006257F6">
        <w:rPr>
          <w:rFonts w:ascii="Palatino Linotype" w:eastAsia="Palatino Linotype" w:hAnsi="Palatino Linotype" w:cs="Palatino Linotype"/>
          <w:b/>
          <w:i/>
        </w:rPr>
        <w:t>Las solicitudes anónimas</w:t>
      </w:r>
      <w:r w:rsidRPr="006257F6">
        <w:rPr>
          <w:rFonts w:ascii="Palatino Linotype" w:eastAsia="Palatino Linotype" w:hAnsi="Palatino Linotype" w:cs="Palatino Linotype"/>
          <w:i/>
        </w:rPr>
        <w:t xml:space="preserve">, con nombre incompleto o seudónimo </w:t>
      </w:r>
      <w:r w:rsidRPr="006257F6">
        <w:rPr>
          <w:rFonts w:ascii="Palatino Linotype" w:eastAsia="Palatino Linotype" w:hAnsi="Palatino Linotype" w:cs="Palatino Linotype"/>
          <w:b/>
          <w:i/>
        </w:rPr>
        <w:t>serán procedentes para su trámite por parte del sujeto obligado ante quien se presente</w:t>
      </w:r>
      <w:r w:rsidRPr="006257F6">
        <w:rPr>
          <w:rFonts w:ascii="Palatino Linotype" w:eastAsia="Palatino Linotype" w:hAnsi="Palatino Linotype" w:cs="Palatino Linotype"/>
          <w:i/>
        </w:rPr>
        <w:t>. No podrá requerirse información adicional con motivo del nombre proporcionado por el solicitante."</w:t>
      </w:r>
    </w:p>
    <w:p w:rsidR="00B764BF" w:rsidRPr="006257F6" w:rsidRDefault="00B764BF">
      <w:pPr>
        <w:spacing w:after="0" w:line="360" w:lineRule="auto"/>
        <w:ind w:left="851" w:right="902"/>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b/>
          <w:sz w:val="24"/>
          <w:szCs w:val="24"/>
        </w:rPr>
      </w:pPr>
      <w:r w:rsidRPr="006257F6">
        <w:rPr>
          <w:rFonts w:ascii="Palatino Linotype" w:eastAsia="Palatino Linotype" w:hAnsi="Palatino Linotype" w:cs="Palatino Linotype"/>
          <w:sz w:val="24"/>
          <w:szCs w:val="24"/>
        </w:rPr>
        <w:t xml:space="preserve">Ahora bien, del análisis efectuado se advierte que resulta procedente la interposición del recurso y se concluye la acreditación plena de todos y cada uno de los elementos formales exigidos por el artículo 180 de la Ley de Transparencia y Acceso a la Información Pública del Estado de México y Municipios en vigor, en atención a que fue presentado mediante el formato visible </w:t>
      </w:r>
      <w:r w:rsidRPr="006257F6">
        <w:rPr>
          <w:rFonts w:ascii="Palatino Linotype" w:eastAsia="Palatino Linotype" w:hAnsi="Palatino Linotype" w:cs="Palatino Linotype"/>
          <w:b/>
          <w:sz w:val="24"/>
          <w:szCs w:val="24"/>
        </w:rPr>
        <w:t xml:space="preserve">EL SAIMEX.  </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pBdr>
          <w:top w:val="nil"/>
          <w:left w:val="nil"/>
          <w:bottom w:val="nil"/>
          <w:right w:val="nil"/>
          <w:between w:val="nil"/>
        </w:pBdr>
        <w:spacing w:after="0" w:line="360" w:lineRule="auto"/>
        <w:ind w:right="-147"/>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Finalmente, resulta procedente la interposición del recurso, según lo aducido por </w:t>
      </w:r>
      <w:r w:rsidRPr="006257F6">
        <w:rPr>
          <w:rFonts w:ascii="Palatino Linotype" w:eastAsia="Palatino Linotype" w:hAnsi="Palatino Linotype" w:cs="Palatino Linotype"/>
          <w:b/>
          <w:sz w:val="24"/>
          <w:szCs w:val="24"/>
        </w:rPr>
        <w:t>la parte RECURRENTE</w:t>
      </w:r>
      <w:r w:rsidRPr="006257F6">
        <w:rPr>
          <w:rFonts w:ascii="Palatino Linotype" w:eastAsia="Palatino Linotype" w:hAnsi="Palatino Linotype" w:cs="Palatino Linotype"/>
          <w:sz w:val="24"/>
          <w:szCs w:val="24"/>
        </w:rPr>
        <w:t xml:space="preserve"> en sus razones o motivos de inconformidad, de acuerdo al artículo 179, fracción V</w:t>
      </w:r>
      <w:r w:rsidRPr="006257F6">
        <w:rPr>
          <w:rFonts w:ascii="Palatino Linotype" w:eastAsia="Palatino Linotype" w:hAnsi="Palatino Linotype" w:cs="Palatino Linotype"/>
          <w:sz w:val="32"/>
          <w:szCs w:val="32"/>
        </w:rPr>
        <w:t xml:space="preserve"> </w:t>
      </w:r>
      <w:r w:rsidRPr="006257F6">
        <w:rPr>
          <w:rFonts w:ascii="Palatino Linotype" w:eastAsia="Palatino Linotype" w:hAnsi="Palatino Linotype" w:cs="Palatino Linotype"/>
          <w:sz w:val="24"/>
          <w:szCs w:val="24"/>
        </w:rPr>
        <w:t>de la Ley de Transparencia y Acceso a la Información Pública del Estado de México y Municipios; que a la letra dice:</w:t>
      </w:r>
    </w:p>
    <w:p w:rsidR="00B764BF" w:rsidRPr="006257F6" w:rsidRDefault="00B764BF">
      <w:pPr>
        <w:pBdr>
          <w:top w:val="nil"/>
          <w:left w:val="nil"/>
          <w:bottom w:val="nil"/>
          <w:right w:val="nil"/>
          <w:between w:val="nil"/>
        </w:pBdr>
        <w:spacing w:after="0" w:line="360" w:lineRule="auto"/>
        <w:ind w:right="-147"/>
        <w:jc w:val="both"/>
        <w:rPr>
          <w:rFonts w:ascii="Palatino Linotype" w:eastAsia="Palatino Linotype" w:hAnsi="Palatino Linotype" w:cs="Palatino Linotype"/>
          <w:sz w:val="24"/>
          <w:szCs w:val="24"/>
        </w:rPr>
      </w:pPr>
    </w:p>
    <w:p w:rsidR="00B764BF" w:rsidRPr="006257F6" w:rsidRDefault="0058544B">
      <w:pPr>
        <w:pBdr>
          <w:top w:val="nil"/>
          <w:left w:val="nil"/>
          <w:bottom w:val="nil"/>
          <w:right w:val="nil"/>
          <w:between w:val="nil"/>
        </w:pBdr>
        <w:spacing w:after="0"/>
        <w:ind w:left="992" w:right="1043"/>
        <w:jc w:val="both"/>
        <w:rPr>
          <w:rFonts w:ascii="Palatino Linotype" w:eastAsia="Palatino Linotype" w:hAnsi="Palatino Linotype" w:cs="Palatino Linotype"/>
          <w:i/>
        </w:rPr>
      </w:pPr>
      <w:r w:rsidRPr="006257F6">
        <w:rPr>
          <w:rFonts w:ascii="Palatino Linotype" w:eastAsia="Palatino Linotype" w:hAnsi="Palatino Linotype" w:cs="Palatino Linotype"/>
          <w:b/>
          <w:i/>
        </w:rPr>
        <w:lastRenderedPageBreak/>
        <w:t>“Artículo 179</w:t>
      </w:r>
      <w:r w:rsidRPr="006257F6">
        <w:rPr>
          <w:rFonts w:ascii="Palatino Linotype" w:eastAsia="Palatino Linotype" w:hAnsi="Palatino Linotype" w:cs="Palatino Linotype"/>
          <w:i/>
        </w:rPr>
        <w:t xml:space="preserve">. </w:t>
      </w:r>
      <w:r w:rsidRPr="006257F6">
        <w:rPr>
          <w:rFonts w:ascii="Palatino Linotype" w:eastAsia="Palatino Linotype" w:hAnsi="Palatino Linotype" w:cs="Palatino Linotype"/>
          <w:b/>
          <w:i/>
        </w:rPr>
        <w:t>El recurso de revisión</w:t>
      </w:r>
      <w:r w:rsidRPr="006257F6">
        <w:rPr>
          <w:rFonts w:ascii="Palatino Linotype" w:eastAsia="Palatino Linotype" w:hAnsi="Palatino Linotype" w:cs="Palatino Linotype"/>
          <w:i/>
        </w:rPr>
        <w:t xml:space="preserve"> es un medio de protección que la Ley otorga a los particulares, para hacer valer su derecho de acceso a la información pública</w:t>
      </w:r>
      <w:r w:rsidRPr="006257F6">
        <w:rPr>
          <w:rFonts w:ascii="Palatino Linotype" w:eastAsia="Palatino Linotype" w:hAnsi="Palatino Linotype" w:cs="Palatino Linotype"/>
          <w:b/>
          <w:i/>
        </w:rPr>
        <w:t>, y procederá en contra de las siguientes causas</w:t>
      </w:r>
      <w:r w:rsidRPr="006257F6">
        <w:rPr>
          <w:rFonts w:ascii="Palatino Linotype" w:eastAsia="Palatino Linotype" w:hAnsi="Palatino Linotype" w:cs="Palatino Linotype"/>
          <w:i/>
        </w:rPr>
        <w:t>:</w:t>
      </w:r>
    </w:p>
    <w:p w:rsidR="00B764BF" w:rsidRPr="006257F6" w:rsidRDefault="0058544B">
      <w:pPr>
        <w:pBdr>
          <w:top w:val="nil"/>
          <w:left w:val="nil"/>
          <w:bottom w:val="nil"/>
          <w:right w:val="nil"/>
          <w:between w:val="nil"/>
        </w:pBdr>
        <w:spacing w:after="0"/>
        <w:ind w:left="992" w:right="1043"/>
        <w:jc w:val="both"/>
        <w:rPr>
          <w:rFonts w:ascii="Palatino Linotype" w:eastAsia="Palatino Linotype" w:hAnsi="Palatino Linotype" w:cs="Palatino Linotype"/>
          <w:b/>
          <w:i/>
        </w:rPr>
      </w:pPr>
      <w:r w:rsidRPr="006257F6">
        <w:rPr>
          <w:rFonts w:ascii="Palatino Linotype" w:eastAsia="Palatino Linotype" w:hAnsi="Palatino Linotype" w:cs="Palatino Linotype"/>
          <w:b/>
          <w:i/>
        </w:rPr>
        <w:t>(…)</w:t>
      </w:r>
    </w:p>
    <w:p w:rsidR="00B764BF" w:rsidRPr="006257F6" w:rsidRDefault="0058544B">
      <w:pPr>
        <w:pBdr>
          <w:top w:val="nil"/>
          <w:left w:val="nil"/>
          <w:bottom w:val="nil"/>
          <w:right w:val="nil"/>
          <w:between w:val="nil"/>
        </w:pBdr>
        <w:spacing w:after="0"/>
        <w:ind w:left="992" w:right="1043"/>
        <w:jc w:val="both"/>
        <w:rPr>
          <w:rFonts w:ascii="Palatino Linotype" w:eastAsia="Palatino Linotype" w:hAnsi="Palatino Linotype" w:cs="Palatino Linotype"/>
          <w:b/>
          <w:i/>
        </w:rPr>
      </w:pPr>
      <w:r w:rsidRPr="006257F6">
        <w:rPr>
          <w:rFonts w:ascii="Palatino Linotype" w:eastAsia="Palatino Linotype" w:hAnsi="Palatino Linotype" w:cs="Palatino Linotype"/>
          <w:b/>
          <w:i/>
        </w:rPr>
        <w:t>V. La entrega de información incompleta;</w:t>
      </w:r>
    </w:p>
    <w:p w:rsidR="00B764BF" w:rsidRPr="006257F6" w:rsidRDefault="00B764BF">
      <w:pPr>
        <w:pBdr>
          <w:top w:val="nil"/>
          <w:left w:val="nil"/>
          <w:bottom w:val="nil"/>
          <w:right w:val="nil"/>
          <w:between w:val="nil"/>
        </w:pBdr>
        <w:spacing w:after="0"/>
        <w:ind w:right="1043"/>
        <w:jc w:val="both"/>
        <w:rPr>
          <w:rFonts w:ascii="Palatino Linotype" w:eastAsia="Palatino Linotype" w:hAnsi="Palatino Linotype" w:cs="Palatino Linotype"/>
          <w:b/>
          <w:i/>
        </w:rPr>
      </w:pPr>
    </w:p>
    <w:p w:rsidR="00B764BF" w:rsidRPr="006257F6" w:rsidRDefault="0058544B">
      <w:pPr>
        <w:spacing w:after="0" w:line="360" w:lineRule="auto"/>
        <w:ind w:right="-234"/>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 xml:space="preserve">TERCERO. MATERIA DE LA REVISIÓN. </w:t>
      </w:r>
      <w:r w:rsidRPr="006257F6">
        <w:rPr>
          <w:rFonts w:ascii="Palatino Linotype" w:eastAsia="Palatino Linotype" w:hAnsi="Palatino Linotype" w:cs="Palatino Linotype"/>
          <w:sz w:val="24"/>
          <w:szCs w:val="24"/>
        </w:rPr>
        <w:t>De la revisión a las constancias y documentos que obran en el expediente electrónico se advierte, que el tema sobre el que este Organismo Garante de Transparencia y Acceso a la Información se pronunciará será: verificar si la respuesta e informe justificado otorgado por</w:t>
      </w:r>
      <w:r w:rsidRPr="006257F6">
        <w:rPr>
          <w:rFonts w:ascii="Palatino Linotype" w:eastAsia="Palatino Linotype" w:hAnsi="Palatino Linotype" w:cs="Palatino Linotype"/>
          <w:b/>
          <w:sz w:val="24"/>
          <w:szCs w:val="24"/>
        </w:rPr>
        <w:t xml:space="preserve"> EL</w:t>
      </w: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sz w:val="24"/>
          <w:szCs w:val="24"/>
        </w:rPr>
        <w:t>SUJETO OBLIGADO</w:t>
      </w:r>
      <w:r w:rsidRPr="006257F6">
        <w:rPr>
          <w:rFonts w:ascii="Palatino Linotype" w:eastAsia="Palatino Linotype" w:hAnsi="Palatino Linotype" w:cs="Palatino Linotype"/>
          <w:sz w:val="24"/>
          <w:szCs w:val="24"/>
        </w:rPr>
        <w:t xml:space="preserve"> es adecuada y suficiente para satisfacer el derecho de acceso a la información pública de </w:t>
      </w:r>
      <w:r w:rsidRPr="006257F6">
        <w:rPr>
          <w:rFonts w:ascii="Palatino Linotype" w:eastAsia="Palatino Linotype" w:hAnsi="Palatino Linotype" w:cs="Palatino Linotype"/>
          <w:b/>
          <w:sz w:val="24"/>
          <w:szCs w:val="24"/>
        </w:rPr>
        <w:t>LA PARTE</w:t>
      </w: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sz w:val="24"/>
          <w:szCs w:val="24"/>
        </w:rPr>
        <w:t>RECURRENTE</w:t>
      </w:r>
      <w:r w:rsidRPr="006257F6">
        <w:rPr>
          <w:rFonts w:ascii="Palatino Linotype" w:eastAsia="Palatino Linotype" w:hAnsi="Palatino Linotype" w:cs="Palatino Linotype"/>
          <w:sz w:val="24"/>
          <w:szCs w:val="24"/>
        </w:rPr>
        <w:t>, o en su defecto, en caso de ser procedente, ordenar la entrega de información.</w:t>
      </w:r>
    </w:p>
    <w:p w:rsidR="00B764BF" w:rsidRPr="006257F6" w:rsidRDefault="00B764BF">
      <w:pPr>
        <w:pBdr>
          <w:top w:val="nil"/>
          <w:left w:val="nil"/>
          <w:bottom w:val="nil"/>
          <w:right w:val="nil"/>
          <w:between w:val="nil"/>
        </w:pBdr>
        <w:spacing w:after="0"/>
        <w:ind w:right="1043"/>
        <w:jc w:val="both"/>
        <w:rPr>
          <w:rFonts w:ascii="Palatino Linotype" w:eastAsia="Palatino Linotype" w:hAnsi="Palatino Linotype" w:cs="Palatino Linotype"/>
          <w:b/>
          <w:i/>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 xml:space="preserve">CUARTO. ESTUDIO Y RESOLUCIÓN DEL ASUNTO.  </w:t>
      </w:r>
      <w:r w:rsidRPr="006257F6">
        <w:rPr>
          <w:rFonts w:ascii="Palatino Linotype" w:eastAsia="Palatino Linotype" w:hAnsi="Palatino Linotype" w:cs="Palatino Linotype"/>
          <w:sz w:val="24"/>
          <w:szCs w:val="24"/>
        </w:rPr>
        <w:t>En primer término, se estima pertinente mencionar que el derecho de acceso a la información está consagrado en instrumentos internacionales de los cuales el Estado Mexicano se ha adherido, sin oponer reserva alguna sobre lo que nos interesa, adoptando dichas disposiciones al Derecho Interno, específicamente a nivel Constitucional, tal y como lo prevén los arábigos 1 párrafos primero, segundo y tercero y 6 apartado A fracciones I, II, III, IV, V, VI y VII que a la letra señalan:</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tabs>
          <w:tab w:val="left" w:pos="709"/>
        </w:tabs>
        <w:spacing w:line="276" w:lineRule="auto"/>
        <w:ind w:left="851" w:right="850"/>
        <w:jc w:val="both"/>
        <w:rPr>
          <w:rFonts w:ascii="Palatino Linotype" w:eastAsia="Palatino Linotype" w:hAnsi="Palatino Linotype" w:cs="Palatino Linotype"/>
          <w:i/>
        </w:rPr>
      </w:pPr>
      <w:r w:rsidRPr="006257F6">
        <w:rPr>
          <w:rFonts w:ascii="Palatino Linotype" w:eastAsia="Palatino Linotype" w:hAnsi="Palatino Linotype" w:cs="Palatino Linotype"/>
          <w:b/>
          <w:i/>
          <w:u w:val="single"/>
        </w:rPr>
        <w:t>Artículo 1o. En los Estados Unidos Mexicanos todas las personas gozarán de los derechos humanos reconocidos en esta Constitución y en los tratados internacionales de los que el Estado Mexicano sea parte</w:t>
      </w:r>
      <w:r w:rsidRPr="006257F6">
        <w:rPr>
          <w:rFonts w:ascii="Palatino Linotype" w:eastAsia="Palatino Linotype" w:hAnsi="Palatino Linotype" w:cs="Palatino Linotype"/>
          <w:i/>
        </w:rPr>
        <w:t xml:space="preserve">, así como de las garantías para su protección, cuyo ejercicio no podrá restringirse ni </w:t>
      </w:r>
      <w:r w:rsidRPr="006257F6">
        <w:rPr>
          <w:rFonts w:ascii="Palatino Linotype" w:eastAsia="Palatino Linotype" w:hAnsi="Palatino Linotype" w:cs="Palatino Linotype"/>
          <w:i/>
        </w:rPr>
        <w:lastRenderedPageBreak/>
        <w:t>suspenderse, salvo en los casos y bajo las condiciones que esta Constitución establece.</w:t>
      </w:r>
    </w:p>
    <w:p w:rsidR="00B764BF" w:rsidRPr="006257F6" w:rsidRDefault="0058544B">
      <w:pPr>
        <w:tabs>
          <w:tab w:val="left" w:pos="709"/>
        </w:tabs>
        <w:spacing w:line="276" w:lineRule="auto"/>
        <w:ind w:left="851" w:right="850"/>
        <w:jc w:val="both"/>
        <w:rPr>
          <w:rFonts w:ascii="Palatino Linotype" w:eastAsia="Palatino Linotype" w:hAnsi="Palatino Linotype" w:cs="Palatino Linotype"/>
          <w:b/>
          <w:i/>
        </w:rPr>
      </w:pPr>
      <w:r w:rsidRPr="006257F6">
        <w:rPr>
          <w:rFonts w:ascii="Palatino Linotype" w:eastAsia="Palatino Linotype" w:hAnsi="Palatino Linotype" w:cs="Palatino Linotype"/>
          <w:b/>
          <w:i/>
        </w:rPr>
        <w:t>Las normas relativas a los derechos humanos se interpretarán de conformidad con esta Constitución y con los tratados internacionales de la materia favoreciendo en todo tiempo a las personas la protección más amplia.</w:t>
      </w:r>
    </w:p>
    <w:p w:rsidR="00B764BF" w:rsidRPr="006257F6" w:rsidRDefault="0058544B">
      <w:pPr>
        <w:tabs>
          <w:tab w:val="left" w:pos="709"/>
        </w:tabs>
        <w:spacing w:line="276" w:lineRule="auto"/>
        <w:ind w:left="851" w:right="850"/>
        <w:jc w:val="both"/>
        <w:rPr>
          <w:rFonts w:ascii="Palatino Linotype" w:eastAsia="Palatino Linotype" w:hAnsi="Palatino Linotype" w:cs="Palatino Linotype"/>
          <w:i/>
        </w:rPr>
      </w:pPr>
      <w:r w:rsidRPr="006257F6">
        <w:rPr>
          <w:rFonts w:ascii="Palatino Linotype" w:eastAsia="Palatino Linotype" w:hAnsi="Palatino Linotype" w:cs="Palatino Linotype"/>
          <w:b/>
          <w:i/>
          <w:u w:val="single"/>
        </w:rPr>
        <w:t>Todas las autoridades, en el ámbito de sus competencias, tienen la obligación de promover, respetar, proteger y garantizar los derechos humanos de conformidad con los principios de universalidad, interdependencia, indivisibilidad y progresividad.</w:t>
      </w:r>
      <w:r w:rsidRPr="006257F6">
        <w:rPr>
          <w:rFonts w:ascii="Palatino Linotype" w:eastAsia="Palatino Linotype" w:hAnsi="Palatino Linotype" w:cs="Palatino Linotype"/>
          <w:i/>
        </w:rPr>
        <w:t xml:space="preserve"> En consecuencia, el Estado deberá prevenir, investigar, sancionar y reparar las violaciones a los derechos humanos, en los términos que establezca la ley</w:t>
      </w:r>
    </w:p>
    <w:p w:rsidR="00B764BF" w:rsidRPr="006257F6" w:rsidRDefault="0058544B">
      <w:pPr>
        <w:tabs>
          <w:tab w:val="left" w:pos="709"/>
        </w:tabs>
        <w:ind w:left="851" w:right="850"/>
        <w:jc w:val="both"/>
        <w:rPr>
          <w:rFonts w:ascii="Palatino Linotype" w:eastAsia="Palatino Linotype" w:hAnsi="Palatino Linotype" w:cs="Palatino Linotype"/>
          <w:i/>
        </w:rPr>
      </w:pPr>
      <w:r w:rsidRPr="006257F6">
        <w:rPr>
          <w:rFonts w:ascii="Palatino Linotype" w:eastAsia="Palatino Linotype" w:hAnsi="Palatino Linotype" w:cs="Palatino Linotype"/>
          <w:i/>
        </w:rPr>
        <w:t>[…]</w:t>
      </w:r>
    </w:p>
    <w:p w:rsidR="00B764BF" w:rsidRPr="006257F6" w:rsidRDefault="0058544B">
      <w:pPr>
        <w:ind w:left="851" w:right="901"/>
        <w:jc w:val="both"/>
        <w:rPr>
          <w:rFonts w:ascii="Palatino Linotype" w:eastAsia="Palatino Linotype" w:hAnsi="Palatino Linotype" w:cs="Palatino Linotype"/>
          <w:i/>
        </w:rPr>
      </w:pPr>
      <w:r w:rsidRPr="006257F6">
        <w:rPr>
          <w:rFonts w:ascii="Palatino Linotype" w:eastAsia="Palatino Linotype" w:hAnsi="Palatino Linotype" w:cs="Palatino Linotype"/>
          <w:b/>
          <w:i/>
        </w:rPr>
        <w:t>“Artículo 6o.</w:t>
      </w:r>
    </w:p>
    <w:p w:rsidR="00B764BF" w:rsidRPr="006257F6" w:rsidRDefault="0058544B">
      <w:pPr>
        <w:ind w:left="851" w:right="901"/>
        <w:jc w:val="both"/>
        <w:rPr>
          <w:rFonts w:ascii="Palatino Linotype" w:eastAsia="Palatino Linotype" w:hAnsi="Palatino Linotype" w:cs="Palatino Linotype"/>
          <w:i/>
        </w:rPr>
      </w:pPr>
      <w:r w:rsidRPr="006257F6">
        <w:rPr>
          <w:rFonts w:ascii="Palatino Linotype" w:eastAsia="Palatino Linotype" w:hAnsi="Palatino Linotype" w:cs="Palatino Linotype"/>
          <w:i/>
        </w:rPr>
        <w:t>[...]</w:t>
      </w:r>
    </w:p>
    <w:p w:rsidR="00B764BF" w:rsidRPr="006257F6" w:rsidRDefault="0058544B">
      <w:pPr>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b/>
          <w:i/>
        </w:rPr>
        <w:t xml:space="preserve">A. Para el ejercicio del derecho de acceso a la información, la Federación y </w:t>
      </w:r>
      <w:r w:rsidRPr="006257F6">
        <w:rPr>
          <w:rFonts w:ascii="Palatino Linotype" w:eastAsia="Palatino Linotype" w:hAnsi="Palatino Linotype" w:cs="Palatino Linotype"/>
          <w:b/>
          <w:i/>
          <w:u w:val="single"/>
        </w:rPr>
        <w:t>las entidades federativas</w:t>
      </w:r>
      <w:r w:rsidRPr="006257F6">
        <w:rPr>
          <w:rFonts w:ascii="Palatino Linotype" w:eastAsia="Palatino Linotype" w:hAnsi="Palatino Linotype" w:cs="Palatino Linotype"/>
          <w:b/>
          <w:i/>
        </w:rPr>
        <w:t>,</w:t>
      </w:r>
      <w:r w:rsidRPr="006257F6">
        <w:rPr>
          <w:rFonts w:ascii="Palatino Linotype" w:eastAsia="Palatino Linotype" w:hAnsi="Palatino Linotype" w:cs="Palatino Linotype"/>
          <w:i/>
        </w:rPr>
        <w:t xml:space="preserve"> en el ámbito de sus respectivas competencias, se regirán por los siguientes principios y bases:</w:t>
      </w:r>
    </w:p>
    <w:p w:rsidR="00B764BF" w:rsidRPr="006257F6" w:rsidRDefault="0058544B">
      <w:pPr>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i/>
        </w:rPr>
        <w:t> </w:t>
      </w:r>
    </w:p>
    <w:p w:rsidR="00B764BF" w:rsidRPr="006257F6" w:rsidRDefault="0058544B">
      <w:pPr>
        <w:spacing w:line="276" w:lineRule="auto"/>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b/>
          <w:i/>
        </w:rPr>
        <w:t xml:space="preserve">I. </w:t>
      </w:r>
      <w:r w:rsidRPr="006257F6">
        <w:rPr>
          <w:rFonts w:ascii="Palatino Linotype" w:eastAsia="Palatino Linotype" w:hAnsi="Palatino Linotype" w:cs="Palatino Linotype"/>
          <w:b/>
          <w:i/>
          <w:u w:val="single"/>
        </w:rPr>
        <w:t>Toda la información en posesión de cualquier autoridad, entidad, órgano y organismo de los Poderes</w:t>
      </w:r>
      <w:r w:rsidRPr="006257F6">
        <w:rPr>
          <w:rFonts w:ascii="Palatino Linotype" w:eastAsia="Palatino Linotype" w:hAnsi="Palatino Linotype" w:cs="Palatino Linotype"/>
          <w:i/>
        </w:rPr>
        <w:t xml:space="preserve"> Ejecutivo, Legislativo </w:t>
      </w:r>
      <w:r w:rsidRPr="006257F6">
        <w:rPr>
          <w:rFonts w:ascii="Palatino Linotype" w:eastAsia="Palatino Linotype" w:hAnsi="Palatino Linotype" w:cs="Palatino Linotype"/>
          <w:b/>
          <w:i/>
          <w:u w:val="single"/>
        </w:rPr>
        <w:t>y Judicial</w:t>
      </w:r>
      <w:r w:rsidRPr="006257F6">
        <w:rPr>
          <w:rFonts w:ascii="Palatino Linotype" w:eastAsia="Palatino Linotype" w:hAnsi="Palatino Linotype" w:cs="Palatino Linotype"/>
          <w:i/>
        </w:rPr>
        <w:t xml:space="preserve">, órganos autónomos, partidos políticos, fideicomisos y fondos públicos, así como de cualquier persona física, moral o sindicato que reciba y ejerza recursos públicos o realice actos de autoridad en el ámbito federal, estatal y municipal, </w:t>
      </w:r>
      <w:r w:rsidRPr="006257F6">
        <w:rPr>
          <w:rFonts w:ascii="Palatino Linotype" w:eastAsia="Palatino Linotype" w:hAnsi="Palatino Linotype" w:cs="Palatino Linotype"/>
          <w:b/>
          <w:i/>
        </w:rPr>
        <w:t>es pública y sólo podrá ser reservada temporalmente por razones de interés público y seguridad nacional,</w:t>
      </w:r>
      <w:r w:rsidRPr="006257F6">
        <w:rPr>
          <w:rFonts w:ascii="Palatino Linotype" w:eastAsia="Palatino Linotype" w:hAnsi="Palatino Linotype" w:cs="Palatino Linotype"/>
          <w:i/>
        </w:rPr>
        <w:t xml:space="preserve">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B764BF" w:rsidRPr="006257F6" w:rsidRDefault="0058544B">
      <w:pPr>
        <w:spacing w:line="276" w:lineRule="auto"/>
        <w:ind w:left="851" w:right="851"/>
        <w:jc w:val="both"/>
        <w:rPr>
          <w:rFonts w:ascii="Palatino Linotype" w:eastAsia="Palatino Linotype" w:hAnsi="Palatino Linotype" w:cs="Palatino Linotype"/>
          <w:b/>
          <w:i/>
        </w:rPr>
      </w:pPr>
      <w:r w:rsidRPr="006257F6">
        <w:rPr>
          <w:rFonts w:ascii="Palatino Linotype" w:eastAsia="Palatino Linotype" w:hAnsi="Palatino Linotype" w:cs="Palatino Linotype"/>
          <w:b/>
          <w:i/>
        </w:rPr>
        <w:lastRenderedPageBreak/>
        <w:t>II. La información que se refiere a la vida privada y los datos personales será protegida en los términos y con las excepciones que fijen las leyes.</w:t>
      </w:r>
    </w:p>
    <w:p w:rsidR="00B764BF" w:rsidRPr="006257F6" w:rsidRDefault="0058544B">
      <w:pPr>
        <w:spacing w:line="276" w:lineRule="auto"/>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i/>
        </w:rPr>
        <w:t> </w:t>
      </w:r>
    </w:p>
    <w:p w:rsidR="00B764BF" w:rsidRPr="006257F6" w:rsidRDefault="0058544B">
      <w:pPr>
        <w:spacing w:line="276" w:lineRule="auto"/>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b/>
          <w:i/>
        </w:rPr>
        <w:t xml:space="preserve">III. </w:t>
      </w:r>
      <w:r w:rsidRPr="006257F6">
        <w:rPr>
          <w:rFonts w:ascii="Palatino Linotype" w:eastAsia="Palatino Linotype" w:hAnsi="Palatino Linotype" w:cs="Palatino Linotype"/>
          <w:b/>
          <w:i/>
          <w:u w:val="single"/>
        </w:rPr>
        <w:t>Toda persona, sin necesidad de acreditar interés alguno o justificar su utilización, tendrá acceso gratuito a la información pública,</w:t>
      </w:r>
      <w:r w:rsidRPr="006257F6">
        <w:rPr>
          <w:rFonts w:ascii="Palatino Linotype" w:eastAsia="Palatino Linotype" w:hAnsi="Palatino Linotype" w:cs="Palatino Linotype"/>
          <w:i/>
        </w:rPr>
        <w:t xml:space="preserve"> a sus datos personales o a la rectificación de éstos.</w:t>
      </w:r>
    </w:p>
    <w:p w:rsidR="00B764BF" w:rsidRPr="006257F6" w:rsidRDefault="0058544B">
      <w:pPr>
        <w:spacing w:line="276" w:lineRule="auto"/>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i/>
        </w:rPr>
        <w:t> </w:t>
      </w:r>
    </w:p>
    <w:p w:rsidR="00B764BF" w:rsidRPr="006257F6" w:rsidRDefault="0058544B">
      <w:pPr>
        <w:spacing w:line="276" w:lineRule="auto"/>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b/>
          <w:i/>
        </w:rPr>
        <w:t xml:space="preserve">IV. </w:t>
      </w:r>
      <w:r w:rsidRPr="006257F6">
        <w:rPr>
          <w:rFonts w:ascii="Palatino Linotype" w:eastAsia="Palatino Linotype" w:hAnsi="Palatino Linotype" w:cs="Palatino Linotype"/>
          <w:i/>
        </w:rPr>
        <w:t>Se establecerán mecanismos de acceso a la información y procedimientos de revisión expeditos que se sustanciarán ante los organismos autónomos especializados e imparciales que establece esta Constitución.</w:t>
      </w:r>
    </w:p>
    <w:p w:rsidR="00B764BF" w:rsidRPr="006257F6" w:rsidRDefault="0058544B">
      <w:pPr>
        <w:spacing w:line="276" w:lineRule="auto"/>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b/>
          <w:i/>
        </w:rPr>
        <w:t xml:space="preserve">V. </w:t>
      </w:r>
      <w:r w:rsidRPr="006257F6">
        <w:rPr>
          <w:rFonts w:ascii="Palatino Linotype" w:eastAsia="Palatino Linotype" w:hAnsi="Palatino Linotype" w:cs="Palatino Linotype"/>
          <w:i/>
        </w:rPr>
        <w:t>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B764BF" w:rsidRPr="006257F6" w:rsidRDefault="0058544B">
      <w:pPr>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i/>
        </w:rPr>
        <w:t> </w:t>
      </w:r>
      <w:r w:rsidRPr="006257F6">
        <w:rPr>
          <w:rFonts w:ascii="Palatino Linotype" w:eastAsia="Palatino Linotype" w:hAnsi="Palatino Linotype" w:cs="Palatino Linotype"/>
          <w:b/>
          <w:i/>
        </w:rPr>
        <w:t xml:space="preserve">VI. </w:t>
      </w:r>
      <w:r w:rsidRPr="006257F6">
        <w:rPr>
          <w:rFonts w:ascii="Palatino Linotype" w:eastAsia="Palatino Linotype" w:hAnsi="Palatino Linotype" w:cs="Palatino Linotype"/>
          <w:i/>
        </w:rPr>
        <w:t>Las leyes determinarán la manera en que los sujetos obligados deberán hacer pública la información relativa a los recursos públicos que entreguen a personas físicas o morales.</w:t>
      </w:r>
    </w:p>
    <w:p w:rsidR="00B764BF" w:rsidRPr="006257F6" w:rsidRDefault="0058544B">
      <w:pPr>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b/>
          <w:i/>
        </w:rPr>
        <w:t xml:space="preserve">VII. </w:t>
      </w:r>
      <w:r w:rsidRPr="006257F6">
        <w:rPr>
          <w:rFonts w:ascii="Palatino Linotype" w:eastAsia="Palatino Linotype" w:hAnsi="Palatino Linotype" w:cs="Palatino Linotype"/>
          <w:i/>
        </w:rPr>
        <w:t>La inobservancia a las disposiciones en materia de acceso a la información pública será sancionada en los términos que dispongan las leyes. [...]</w:t>
      </w:r>
    </w:p>
    <w:p w:rsidR="00B764BF" w:rsidRPr="006257F6" w:rsidRDefault="00B764BF">
      <w:pPr>
        <w:ind w:right="851"/>
        <w:jc w:val="both"/>
        <w:rPr>
          <w:rFonts w:ascii="Palatino Linotype" w:eastAsia="Palatino Linotype" w:hAnsi="Palatino Linotype" w:cs="Palatino Linotype"/>
          <w:i/>
        </w:rPr>
      </w:pPr>
    </w:p>
    <w:p w:rsidR="00B764BF" w:rsidRPr="006257F6" w:rsidRDefault="0058544B">
      <w:pPr>
        <w:tabs>
          <w:tab w:val="left" w:pos="709"/>
        </w:tabs>
        <w:spacing w:before="160"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Así, de la interpretación sistémica de los numerales inmersos en los instrumentos legales Internacionales y Nacional, el derecho de acceso a la información es un derecho del cual goza toda persona sin discriminación alguna, el cual se ejerce ante los Poderes del Estado, entidades, dependencias o cualquiera persona física o moral que reciba y ejerza recursos públicos, siendo pública toda la información que posean </w:t>
      </w:r>
      <w:r w:rsidRPr="006257F6">
        <w:rPr>
          <w:rFonts w:ascii="Palatino Linotype" w:eastAsia="Palatino Linotype" w:hAnsi="Palatino Linotype" w:cs="Palatino Linotype"/>
          <w:sz w:val="24"/>
          <w:szCs w:val="24"/>
        </w:rPr>
        <w:lastRenderedPageBreak/>
        <w:t>con las excepciones enmarcadas, para lo cual queda demostrado que el presente sujeto obligado debe cumplir con dichos dispositivos legales.</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En primer lugar, es conveniente analizar si la respuesta del </w:t>
      </w:r>
      <w:r w:rsidRPr="006257F6">
        <w:rPr>
          <w:rFonts w:ascii="Palatino Linotype" w:eastAsia="Palatino Linotype" w:hAnsi="Palatino Linotype" w:cs="Palatino Linotype"/>
          <w:b/>
          <w:sz w:val="24"/>
          <w:szCs w:val="24"/>
        </w:rPr>
        <w:t>SUJETO OBLIGADO</w:t>
      </w:r>
      <w:r w:rsidRPr="006257F6">
        <w:rPr>
          <w:rFonts w:ascii="Palatino Linotype" w:eastAsia="Palatino Linotype" w:hAnsi="Palatino Linotype" w:cs="Palatino Linotype"/>
          <w:sz w:val="24"/>
          <w:szCs w:val="24"/>
        </w:rPr>
        <w:t xml:space="preserve"> cumple con los requisitos y procedimientos del derecho de acceso a la información pública, en atención a que en la Ley de Transparencia y Acceso a la Información Pública del Estado de México y Municipios en su artículo 4,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trascribe para un mejor entendimiento:</w:t>
      </w:r>
    </w:p>
    <w:p w:rsidR="00B764BF" w:rsidRPr="006257F6" w:rsidRDefault="0058544B">
      <w:pPr>
        <w:spacing w:after="0" w:line="276" w:lineRule="auto"/>
        <w:ind w:left="709" w:right="760"/>
        <w:jc w:val="both"/>
        <w:rPr>
          <w:rFonts w:ascii="Palatino Linotype" w:eastAsia="Palatino Linotype" w:hAnsi="Palatino Linotype" w:cs="Palatino Linotype"/>
          <w:i/>
        </w:rPr>
      </w:pPr>
      <w:r w:rsidRPr="006257F6">
        <w:rPr>
          <w:rFonts w:ascii="Palatino Linotype" w:eastAsia="Palatino Linotype" w:hAnsi="Palatino Linotype" w:cs="Palatino Linotype"/>
          <w:i/>
        </w:rPr>
        <w:t>“</w:t>
      </w:r>
      <w:r w:rsidRPr="006257F6">
        <w:rPr>
          <w:rFonts w:ascii="Palatino Linotype" w:eastAsia="Palatino Linotype" w:hAnsi="Palatino Linotype" w:cs="Palatino Linotype"/>
          <w:b/>
          <w:i/>
        </w:rPr>
        <w:t>Artículo 4.</w:t>
      </w:r>
      <w:r w:rsidRPr="006257F6">
        <w:rPr>
          <w:rFonts w:ascii="Palatino Linotype" w:eastAsia="Palatino Linotype" w:hAnsi="Palatino Linotype" w:cs="Palatino Linotype"/>
          <w:i/>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B764BF" w:rsidRPr="006257F6" w:rsidRDefault="00B764BF">
      <w:pPr>
        <w:spacing w:after="0" w:line="276" w:lineRule="auto"/>
        <w:ind w:left="709" w:right="760"/>
        <w:jc w:val="both"/>
        <w:rPr>
          <w:rFonts w:ascii="Palatino Linotype" w:eastAsia="Palatino Linotype" w:hAnsi="Palatino Linotype" w:cs="Palatino Linotype"/>
          <w:i/>
        </w:rPr>
      </w:pPr>
    </w:p>
    <w:p w:rsidR="00B764BF" w:rsidRPr="006257F6" w:rsidRDefault="0058544B">
      <w:pPr>
        <w:spacing w:line="276" w:lineRule="auto"/>
        <w:ind w:left="709" w:right="760"/>
        <w:jc w:val="both"/>
        <w:rPr>
          <w:rFonts w:ascii="Palatino Linotype" w:eastAsia="Palatino Linotype" w:hAnsi="Palatino Linotype" w:cs="Palatino Linotype"/>
          <w:i/>
        </w:rPr>
      </w:pPr>
      <w:r w:rsidRPr="006257F6">
        <w:rPr>
          <w:rFonts w:ascii="Palatino Linotype" w:eastAsia="Palatino Linotype" w:hAnsi="Palatino Linotype" w:cs="Palatino Linotype"/>
          <w:b/>
          <w:i/>
        </w:rPr>
        <w:t>Toda la información generada, obtenida, adquirida, transformada, administrada o en posesión de los sujetos obligados es pública y accesible de manera permanente a cualquier persona</w:t>
      </w:r>
      <w:r w:rsidRPr="006257F6">
        <w:rPr>
          <w:rFonts w:ascii="Palatino Linotype" w:eastAsia="Palatino Linotype" w:hAnsi="Palatino Linotype" w:cs="Palatino Linotype"/>
          <w:i/>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rsidR="00B764BF" w:rsidRPr="006257F6" w:rsidRDefault="0058544B">
      <w:pPr>
        <w:spacing w:after="0" w:line="276" w:lineRule="auto"/>
        <w:ind w:left="709" w:right="760"/>
        <w:jc w:val="both"/>
        <w:rPr>
          <w:rFonts w:ascii="Palatino Linotype" w:eastAsia="Palatino Linotype" w:hAnsi="Palatino Linotype" w:cs="Palatino Linotype"/>
          <w:i/>
        </w:rPr>
      </w:pPr>
      <w:r w:rsidRPr="006257F6">
        <w:rPr>
          <w:rFonts w:ascii="Palatino Linotype" w:eastAsia="Palatino Linotype" w:hAnsi="Palatino Linotype" w:cs="Palatino Linotype"/>
          <w:b/>
          <w:i/>
        </w:rPr>
        <w:lastRenderedPageBreak/>
        <w:t>Los sujetos obligados deben poner en práctica, políticas y programas de acceso a la información que se apeguen a criterios de publicidad, veracidad, oportunidad, precisión y suficiencia en beneficio de los solicitantes</w:t>
      </w:r>
      <w:r w:rsidRPr="006257F6">
        <w:rPr>
          <w:rFonts w:ascii="Palatino Linotype" w:eastAsia="Palatino Linotype" w:hAnsi="Palatino Linotype" w:cs="Palatino Linotype"/>
          <w:i/>
        </w:rPr>
        <w:t>.”(Sic)</w:t>
      </w:r>
    </w:p>
    <w:p w:rsidR="00B764BF" w:rsidRPr="006257F6" w:rsidRDefault="00B764BF">
      <w:pPr>
        <w:spacing w:after="0" w:line="360" w:lineRule="auto"/>
        <w:ind w:left="709" w:right="760"/>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De lo anterior, se desprende que los Sujetos Obligados tienen el deber de atender las solicitudes de acceso a la información pública que se les hagan de su conocimiento y proporcionar la información pública que obre en su poder conforme el estado que se encuentra y no hacer un procesamiento de la misma, ni presentarla conforme al interés del solicitante; como así lo establece el artículo 12 de la Ley de Transparencia y Acceso a la Información Pública del Estado de México y Municipios, el cual a la letra dice:</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line="276" w:lineRule="auto"/>
        <w:ind w:left="567" w:right="758"/>
        <w:jc w:val="both"/>
        <w:rPr>
          <w:rFonts w:ascii="Palatino Linotype" w:eastAsia="Palatino Linotype" w:hAnsi="Palatino Linotype" w:cs="Palatino Linotype"/>
          <w:i/>
        </w:rPr>
      </w:pPr>
      <w:r w:rsidRPr="006257F6">
        <w:rPr>
          <w:rFonts w:ascii="Palatino Linotype" w:eastAsia="Palatino Linotype" w:hAnsi="Palatino Linotype" w:cs="Palatino Linotype"/>
          <w:i/>
        </w:rPr>
        <w:t>“</w:t>
      </w:r>
      <w:r w:rsidRPr="006257F6">
        <w:rPr>
          <w:rFonts w:ascii="Palatino Linotype" w:eastAsia="Palatino Linotype" w:hAnsi="Palatino Linotype" w:cs="Palatino Linotype"/>
          <w:b/>
          <w:i/>
        </w:rPr>
        <w:t>Artículo12.-</w:t>
      </w:r>
      <w:r w:rsidRPr="006257F6">
        <w:rPr>
          <w:rFonts w:ascii="Palatino Linotype" w:eastAsia="Palatino Linotype" w:hAnsi="Palatino Linotype" w:cs="Palatino Linotype"/>
          <w:i/>
        </w:rPr>
        <w:t xml:space="preserve"> Quienes generen, recopilen, administren, manejen, procesen, archiven o conserven información pública serán responsables de la misma en los términos de las disposiciones jurídicas aplicables. </w:t>
      </w:r>
    </w:p>
    <w:p w:rsidR="00B764BF" w:rsidRPr="006257F6" w:rsidRDefault="0058544B">
      <w:pPr>
        <w:spacing w:after="0" w:line="276" w:lineRule="auto"/>
        <w:ind w:left="567" w:right="758"/>
        <w:jc w:val="both"/>
        <w:rPr>
          <w:rFonts w:ascii="Palatino Linotype" w:eastAsia="Palatino Linotype" w:hAnsi="Palatino Linotype" w:cs="Palatino Linotype"/>
          <w:b/>
          <w:i/>
        </w:rPr>
      </w:pPr>
      <w:r w:rsidRPr="006257F6">
        <w:rPr>
          <w:rFonts w:ascii="Palatino Linotype" w:eastAsia="Palatino Linotype" w:hAnsi="Palatino Linotype" w:cs="Palatino Linotype"/>
          <w:b/>
          <w:i/>
        </w:rPr>
        <w:t>Los sujetos obligados sólo proporcionarán la información pública que se les requiera y que obre en sus archivos y en el estado en que ésta se encuentre</w:t>
      </w:r>
      <w:r w:rsidRPr="006257F6">
        <w:rPr>
          <w:rFonts w:ascii="Palatino Linotype" w:eastAsia="Palatino Linotype" w:hAnsi="Palatino Linotype" w:cs="Palatino Linotype"/>
          <w:i/>
        </w:rPr>
        <w:t xml:space="preserve">. </w:t>
      </w:r>
      <w:r w:rsidRPr="006257F6">
        <w:rPr>
          <w:rFonts w:ascii="Palatino Linotype" w:eastAsia="Palatino Linotype" w:hAnsi="Palatino Linotype" w:cs="Palatino Linotype"/>
          <w:b/>
          <w:i/>
        </w:rPr>
        <w:t>La obligación de proporcionar información no comprende el procesamiento de la misma, ni el presentarla conforme al interés del solicitante; no estarán obligados a generarla, resumirla, efectuar cálculos o practicar investigaciones.” (Sic)</w:t>
      </w:r>
    </w:p>
    <w:p w:rsidR="00B764BF" w:rsidRPr="006257F6" w:rsidRDefault="00B764BF">
      <w:pPr>
        <w:spacing w:after="0" w:line="360" w:lineRule="auto"/>
        <w:ind w:left="567" w:right="758"/>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En esa tesitura, el artículo 24 en su último párrafo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w:t>
      </w:r>
      <w:r w:rsidRPr="006257F6">
        <w:rPr>
          <w:rFonts w:ascii="Palatino Linotype" w:eastAsia="Palatino Linotype" w:hAnsi="Palatino Linotype" w:cs="Palatino Linotype"/>
          <w:sz w:val="24"/>
          <w:szCs w:val="24"/>
        </w:rPr>
        <w:lastRenderedPageBreak/>
        <w:t>que es deber de los Sujetos Obligados, garantizar el Derecho de Acceso a la Información Pública, lo que no sucedió en el presente caso.</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ind w:right="49"/>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rsidR="00B764BF" w:rsidRPr="006257F6" w:rsidRDefault="00B764BF">
      <w:pPr>
        <w:spacing w:after="0" w:line="360" w:lineRule="auto"/>
        <w:ind w:right="49"/>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Por otra parte, conviene mencionar que la Ley de Transparencia vigente en el Estado de México refiere: </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line="276" w:lineRule="auto"/>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b/>
          <w:i/>
        </w:rPr>
        <w:t>“Artículo 18.</w:t>
      </w:r>
      <w:r w:rsidRPr="006257F6">
        <w:rPr>
          <w:rFonts w:ascii="Palatino Linotype" w:eastAsia="Palatino Linotype" w:hAnsi="Palatino Linotype" w:cs="Palatino Linotype"/>
          <w:i/>
        </w:rPr>
        <w:t xml:space="preserve"> </w:t>
      </w:r>
      <w:r w:rsidRPr="006257F6">
        <w:rPr>
          <w:rFonts w:ascii="Palatino Linotype" w:eastAsia="Palatino Linotype" w:hAnsi="Palatino Linotype" w:cs="Palatino Linotype"/>
          <w:b/>
          <w:i/>
          <w:u w:val="single"/>
        </w:rPr>
        <w:t>Los sujetos obligados deberán documentar todo acto que derive del ejercicio de sus facultades, competencias o funciones, considerando desde su origen la eventual publicidad</w:t>
      </w:r>
      <w:r w:rsidRPr="006257F6">
        <w:rPr>
          <w:rFonts w:ascii="Palatino Linotype" w:eastAsia="Palatino Linotype" w:hAnsi="Palatino Linotype" w:cs="Palatino Linotype"/>
          <w:i/>
        </w:rPr>
        <w:t xml:space="preserve"> y reutilización de la información que generen.</w:t>
      </w:r>
    </w:p>
    <w:p w:rsidR="00B764BF" w:rsidRPr="006257F6" w:rsidRDefault="0058544B">
      <w:pPr>
        <w:spacing w:line="276" w:lineRule="auto"/>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b/>
          <w:i/>
        </w:rPr>
        <w:t xml:space="preserve">Artículo 19. </w:t>
      </w:r>
      <w:r w:rsidRPr="006257F6">
        <w:rPr>
          <w:rFonts w:ascii="Palatino Linotype" w:eastAsia="Palatino Linotype" w:hAnsi="Palatino Linotype" w:cs="Palatino Linotype"/>
          <w:b/>
          <w:i/>
          <w:u w:val="single"/>
        </w:rPr>
        <w:t>Se presume que la información debe existir si se refiere a las facultades, competencias y funciones que los ordenamientos jurídicos aplicables otorgan a los sujetos obligados</w:t>
      </w:r>
      <w:r w:rsidRPr="006257F6">
        <w:rPr>
          <w:rFonts w:ascii="Palatino Linotype" w:eastAsia="Palatino Linotype" w:hAnsi="Palatino Linotype" w:cs="Palatino Linotype"/>
          <w:i/>
        </w:rPr>
        <w:t>.</w:t>
      </w:r>
    </w:p>
    <w:p w:rsidR="00B764BF" w:rsidRPr="006257F6" w:rsidRDefault="0058544B">
      <w:pPr>
        <w:spacing w:line="276" w:lineRule="auto"/>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i/>
        </w:rPr>
        <w:t xml:space="preserve">En los casos en que ciertas facultades, competencias o funciones no se hayan ejercido, se debe motivar la respuesta en función de las causas que motiven tal circunstancia. </w:t>
      </w:r>
    </w:p>
    <w:p w:rsidR="00B764BF" w:rsidRPr="006257F6" w:rsidRDefault="0058544B">
      <w:pPr>
        <w:spacing w:line="276" w:lineRule="auto"/>
        <w:ind w:left="851" w:right="851"/>
        <w:jc w:val="both"/>
        <w:rPr>
          <w:rFonts w:ascii="Palatino Linotype" w:eastAsia="Palatino Linotype" w:hAnsi="Palatino Linotype" w:cs="Palatino Linotype"/>
          <w:i/>
        </w:rPr>
      </w:pPr>
      <w:r w:rsidRPr="006257F6">
        <w:rPr>
          <w:rFonts w:ascii="Palatino Linotype" w:eastAsia="Palatino Linotype" w:hAnsi="Palatino Linotype" w:cs="Palatino Linotype"/>
          <w:i/>
        </w:rPr>
        <w:t xml:space="preserve">Si el sujeto obligado, en el ejercicio de sus atribuciones, debía generar, poseer o administrar la información, pero ésta no se encuentra, el Comité de transparencia </w:t>
      </w:r>
      <w:r w:rsidRPr="006257F6">
        <w:rPr>
          <w:rFonts w:ascii="Palatino Linotype" w:eastAsia="Palatino Linotype" w:hAnsi="Palatino Linotype" w:cs="Palatino Linotype"/>
          <w:i/>
        </w:rPr>
        <w:lastRenderedPageBreak/>
        <w:t>deberá emitir un acuerdo de inexistencia, debidamente fundado y motivado, en el que detalle las razones del por qué no obra en sus archivos.”</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De los dispositivos legales en comento, se aprecia que todo acto de autoridad en el ejercicio de sus funciones y atribuciones debe estar documentado, por lo que para dar atención a una solicitud de información el Sujeto Obligado debe entregar el soporte documental en donde conste la información requerida, debiendo contemplar que no se trate de información reservada o confidencial, por lo que debe cuidar dicha información a través del acuerdo clasificatorio del comité de transparencia y la versión pública que emita cada Sujeto Obligado; como así se establece en la Ley de Transparencia y Acceso a la Información Pública del Estado de México y Municipios.</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line="276" w:lineRule="auto"/>
        <w:ind w:left="851" w:right="899"/>
        <w:jc w:val="both"/>
        <w:rPr>
          <w:rFonts w:ascii="Palatino Linotype" w:eastAsia="Palatino Linotype" w:hAnsi="Palatino Linotype" w:cs="Palatino Linotype"/>
          <w:i/>
        </w:rPr>
      </w:pPr>
      <w:r w:rsidRPr="006257F6">
        <w:rPr>
          <w:rFonts w:ascii="Palatino Linotype" w:eastAsia="Palatino Linotype" w:hAnsi="Palatino Linotype" w:cs="Palatino Linotype"/>
          <w:i/>
        </w:rPr>
        <w:t>“</w:t>
      </w:r>
      <w:r w:rsidRPr="006257F6">
        <w:rPr>
          <w:rFonts w:ascii="Palatino Linotype" w:eastAsia="Palatino Linotype" w:hAnsi="Palatino Linotype" w:cs="Palatino Linotype"/>
          <w:b/>
          <w:i/>
        </w:rPr>
        <w:t xml:space="preserve">Artículo 3. </w:t>
      </w:r>
      <w:r w:rsidRPr="006257F6">
        <w:rPr>
          <w:rFonts w:ascii="Palatino Linotype" w:eastAsia="Palatino Linotype" w:hAnsi="Palatino Linotype" w:cs="Palatino Linotype"/>
          <w:i/>
        </w:rPr>
        <w:t>Para los efectos de la presente Ley se entenderá por:</w:t>
      </w:r>
    </w:p>
    <w:p w:rsidR="00B764BF" w:rsidRPr="006257F6" w:rsidRDefault="0058544B">
      <w:pPr>
        <w:spacing w:line="276" w:lineRule="auto"/>
        <w:ind w:left="851" w:right="899"/>
        <w:jc w:val="both"/>
        <w:rPr>
          <w:rFonts w:ascii="Palatino Linotype" w:eastAsia="Palatino Linotype" w:hAnsi="Palatino Linotype" w:cs="Palatino Linotype"/>
          <w:i/>
        </w:rPr>
      </w:pPr>
      <w:r w:rsidRPr="006257F6">
        <w:rPr>
          <w:rFonts w:ascii="Palatino Linotype" w:eastAsia="Palatino Linotype" w:hAnsi="Palatino Linotype" w:cs="Palatino Linotype"/>
          <w:i/>
        </w:rPr>
        <w:lastRenderedPageBreak/>
        <w:t>…</w:t>
      </w:r>
    </w:p>
    <w:p w:rsidR="00B764BF" w:rsidRPr="006257F6" w:rsidRDefault="0058544B">
      <w:pPr>
        <w:spacing w:after="0" w:line="276" w:lineRule="auto"/>
        <w:ind w:left="851" w:right="899"/>
        <w:jc w:val="both"/>
        <w:rPr>
          <w:rFonts w:ascii="Palatino Linotype" w:eastAsia="Palatino Linotype" w:hAnsi="Palatino Linotype" w:cs="Palatino Linotype"/>
          <w:i/>
        </w:rPr>
      </w:pPr>
      <w:r w:rsidRPr="006257F6">
        <w:rPr>
          <w:rFonts w:ascii="Palatino Linotype" w:eastAsia="Palatino Linotype" w:hAnsi="Palatino Linotype" w:cs="Palatino Linotype"/>
          <w:b/>
          <w:i/>
        </w:rPr>
        <w:t>XI. Documento:</w:t>
      </w:r>
      <w:r w:rsidRPr="006257F6">
        <w:rPr>
          <w:rFonts w:ascii="Palatino Linotype" w:eastAsia="Palatino Linotype" w:hAnsi="Palatino Linotype" w:cs="Palatino Linotype"/>
          <w:i/>
        </w:rPr>
        <w:t xml:space="preserve"> Los expedientes, reportes, estudios, actas</w:t>
      </w:r>
      <w:r w:rsidRPr="006257F6">
        <w:rPr>
          <w:rFonts w:ascii="Palatino Linotype" w:eastAsia="Palatino Linotype" w:hAnsi="Palatino Linotype" w:cs="Palatino Linotype"/>
          <w:b/>
          <w:i/>
        </w:rPr>
        <w:t>,</w:t>
      </w:r>
      <w:r w:rsidRPr="006257F6">
        <w:rPr>
          <w:rFonts w:ascii="Palatino Linotype" w:eastAsia="Palatino Linotype" w:hAnsi="Palatino Linotype" w:cs="Palatino Linotype"/>
          <w:i/>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rsidR="00B764BF" w:rsidRPr="006257F6" w:rsidRDefault="00B764BF">
      <w:pPr>
        <w:spacing w:after="0" w:line="360" w:lineRule="auto"/>
        <w:ind w:left="851" w:right="899"/>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276" w:lineRule="auto"/>
        <w:ind w:left="851" w:right="899"/>
        <w:jc w:val="both"/>
        <w:rPr>
          <w:rFonts w:ascii="Palatino Linotype" w:eastAsia="Palatino Linotype" w:hAnsi="Palatino Linotype" w:cs="Palatino Linotype"/>
          <w:b/>
          <w:i/>
        </w:rPr>
      </w:pPr>
      <w:r w:rsidRPr="006257F6">
        <w:rPr>
          <w:rFonts w:ascii="Palatino Linotype" w:eastAsia="Palatino Linotype" w:hAnsi="Palatino Linotype" w:cs="Palatino Linotype"/>
          <w:b/>
        </w:rPr>
        <w:t>“</w:t>
      </w:r>
      <w:r w:rsidRPr="006257F6">
        <w:rPr>
          <w:rFonts w:ascii="Palatino Linotype" w:eastAsia="Palatino Linotype" w:hAnsi="Palatino Linotype" w:cs="Palatino Linotype"/>
          <w:b/>
          <w:i/>
        </w:rPr>
        <w:t>CRITERIO 0002-11</w:t>
      </w:r>
    </w:p>
    <w:p w:rsidR="00B764BF" w:rsidRPr="006257F6" w:rsidRDefault="0058544B">
      <w:pPr>
        <w:spacing w:line="276" w:lineRule="auto"/>
        <w:ind w:left="851" w:right="899"/>
        <w:jc w:val="both"/>
        <w:rPr>
          <w:rFonts w:ascii="Palatino Linotype" w:eastAsia="Palatino Linotype" w:hAnsi="Palatino Linotype" w:cs="Palatino Linotype"/>
          <w:i/>
        </w:rPr>
      </w:pPr>
      <w:r w:rsidRPr="006257F6">
        <w:rPr>
          <w:rFonts w:ascii="Palatino Linotype" w:eastAsia="Palatino Linotype" w:hAnsi="Palatino Linotype" w:cs="Palatino Linotype"/>
          <w:b/>
          <w:i/>
        </w:rPr>
        <w:t>INFORMACIÓN PÚBLICA, CONCEPTO DE, EN MATERIA DE TRANSPARENCIA. INTERPRETACIÓN SISTEMÁTICA DE LOS ARTÍCULOS 2°, FRACCIÓN V, XV, Y XVI, 3°, 4°, 11 Y 41.</w:t>
      </w:r>
      <w:r w:rsidRPr="006257F6">
        <w:rPr>
          <w:rFonts w:ascii="Palatino Linotype" w:eastAsia="Palatino Linotype" w:hAnsi="Palatino Linotype" w:cs="Palatino Linotype"/>
          <w:i/>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B764BF" w:rsidRPr="006257F6" w:rsidRDefault="0058544B">
      <w:pPr>
        <w:spacing w:line="276" w:lineRule="auto"/>
        <w:ind w:left="851" w:right="899"/>
        <w:jc w:val="both"/>
        <w:rPr>
          <w:rFonts w:ascii="Palatino Linotype" w:eastAsia="Palatino Linotype" w:hAnsi="Palatino Linotype" w:cs="Palatino Linotype"/>
          <w:i/>
        </w:rPr>
      </w:pPr>
      <w:r w:rsidRPr="006257F6">
        <w:rPr>
          <w:rFonts w:ascii="Palatino Linotype" w:eastAsia="Palatino Linotype" w:hAnsi="Palatino Linotype" w:cs="Palatino Linotype"/>
          <w:i/>
        </w:rPr>
        <w:t>En consecuencia el acceso a la información se refiere a que se cumplan cualquiera de los siguientes tres supuestos:</w:t>
      </w:r>
    </w:p>
    <w:p w:rsidR="00B764BF" w:rsidRPr="006257F6" w:rsidRDefault="0058544B">
      <w:pPr>
        <w:spacing w:line="276" w:lineRule="auto"/>
        <w:ind w:left="851" w:right="899"/>
        <w:jc w:val="both"/>
        <w:rPr>
          <w:rFonts w:ascii="Palatino Linotype" w:eastAsia="Palatino Linotype" w:hAnsi="Palatino Linotype" w:cs="Palatino Linotype"/>
          <w:i/>
        </w:rPr>
      </w:pPr>
      <w:r w:rsidRPr="006257F6">
        <w:rPr>
          <w:rFonts w:ascii="Palatino Linotype" w:eastAsia="Palatino Linotype" w:hAnsi="Palatino Linotype" w:cs="Palatino Linotype"/>
          <w:i/>
        </w:rPr>
        <w:t>1) Que se trate de información registrada en cualquier soporte documental, que en ejercicio de las atribuciones conferidas, sea generada por los Sujetos Obligados;</w:t>
      </w:r>
    </w:p>
    <w:p w:rsidR="00B764BF" w:rsidRPr="006257F6" w:rsidRDefault="0058544B">
      <w:pPr>
        <w:spacing w:line="276" w:lineRule="auto"/>
        <w:ind w:left="851" w:right="899"/>
        <w:jc w:val="both"/>
        <w:rPr>
          <w:rFonts w:ascii="Palatino Linotype" w:eastAsia="Palatino Linotype" w:hAnsi="Palatino Linotype" w:cs="Palatino Linotype"/>
          <w:i/>
        </w:rPr>
      </w:pPr>
      <w:r w:rsidRPr="006257F6">
        <w:rPr>
          <w:rFonts w:ascii="Palatino Linotype" w:eastAsia="Palatino Linotype" w:hAnsi="Palatino Linotype" w:cs="Palatino Linotype"/>
          <w:i/>
        </w:rPr>
        <w:lastRenderedPageBreak/>
        <w:t>2) Que se trate de información registrada en cualquier soporte documental, que en ejercicio de las atribuciones conferidas, sea administrada por los Sujetos Obligados, y</w:t>
      </w:r>
    </w:p>
    <w:p w:rsidR="00B764BF" w:rsidRPr="006257F6" w:rsidRDefault="0058544B">
      <w:pPr>
        <w:spacing w:after="0" w:line="276" w:lineRule="auto"/>
        <w:ind w:left="851" w:right="899"/>
        <w:jc w:val="both"/>
        <w:rPr>
          <w:rFonts w:ascii="Palatino Linotype" w:eastAsia="Palatino Linotype" w:hAnsi="Palatino Linotype" w:cs="Palatino Linotype"/>
          <w:i/>
        </w:rPr>
      </w:pPr>
      <w:r w:rsidRPr="006257F6">
        <w:rPr>
          <w:rFonts w:ascii="Palatino Linotype" w:eastAsia="Palatino Linotype" w:hAnsi="Palatino Linotype" w:cs="Palatino Linotype"/>
          <w:i/>
        </w:rPr>
        <w:t xml:space="preserve">3) Que se trate de información registrada en cualquier soporte documental, que en ejercicio de las atribuciones conferidas, se encuentre en posesión de los Sujetos Obligados.” </w:t>
      </w:r>
    </w:p>
    <w:p w:rsidR="00B764BF" w:rsidRPr="006257F6" w:rsidRDefault="00B764BF">
      <w:pPr>
        <w:spacing w:after="0" w:line="360" w:lineRule="auto"/>
        <w:ind w:left="851" w:right="899"/>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De ahí que </w:t>
      </w:r>
      <w:r w:rsidRPr="006257F6">
        <w:rPr>
          <w:rFonts w:ascii="Palatino Linotype" w:eastAsia="Palatino Linotype" w:hAnsi="Palatino Linotype" w:cs="Palatino Linotype"/>
          <w:b/>
          <w:sz w:val="24"/>
          <w:szCs w:val="24"/>
        </w:rPr>
        <w:t>EL</w:t>
      </w: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sz w:val="24"/>
          <w:szCs w:val="24"/>
        </w:rPr>
        <w:t>SUJETO OBLIGADO</w:t>
      </w:r>
      <w:r w:rsidRPr="006257F6">
        <w:rPr>
          <w:rFonts w:ascii="Palatino Linotype" w:eastAsia="Palatino Linotype" w:hAnsi="Palatino Linotype" w:cs="Palatino Linotype"/>
          <w:sz w:val="24"/>
          <w:szCs w:val="24"/>
        </w:rPr>
        <w:t xml:space="preserve"> cuenta con el deber de satisfacer las solicitudes de acceso a la información que le sean formuladas y entregar la información pública que obre en sus archivos pudiendo ser de manera electrónica; más aún si la misma se trata de información relativa a obligaciones de transparencia, la cual se relaciona con aquella que se genere de acuerdo con sus facultades, atribuciones y obligaciones señaladas por la Ley en la materia</w:t>
      </w:r>
      <w:r w:rsidRPr="006257F6">
        <w:rPr>
          <w:rFonts w:ascii="Palatino Linotype" w:eastAsia="Palatino Linotype" w:hAnsi="Palatino Linotype" w:cs="Palatino Linotype"/>
          <w:sz w:val="24"/>
          <w:szCs w:val="24"/>
          <w:vertAlign w:val="superscript"/>
        </w:rPr>
        <w:footnoteReference w:id="1"/>
      </w:r>
      <w:r w:rsidRPr="006257F6">
        <w:rPr>
          <w:rFonts w:ascii="Palatino Linotype" w:eastAsia="Palatino Linotype" w:hAnsi="Palatino Linotype" w:cs="Palatino Linotype"/>
          <w:sz w:val="24"/>
          <w:szCs w:val="24"/>
        </w:rPr>
        <w:t>, así como de interés público, es decir, aquella que resulta relevante o beneficiosa para la sociedad y no simplemente de interés individual, y cuya divulgación resulta útil para que el público comprenda las actividades que llevan a cabo los Sujetos Obligados</w:t>
      </w:r>
      <w:r w:rsidRPr="006257F6">
        <w:rPr>
          <w:rFonts w:ascii="Palatino Linotype" w:eastAsia="Palatino Linotype" w:hAnsi="Palatino Linotype" w:cs="Palatino Linotype"/>
          <w:sz w:val="24"/>
          <w:szCs w:val="24"/>
          <w:vertAlign w:val="superscript"/>
        </w:rPr>
        <w:footnoteReference w:id="2"/>
      </w:r>
      <w:r w:rsidRPr="006257F6">
        <w:rPr>
          <w:rFonts w:ascii="Palatino Linotype" w:eastAsia="Palatino Linotype" w:hAnsi="Palatino Linotype" w:cs="Palatino Linotype"/>
          <w:sz w:val="24"/>
          <w:szCs w:val="24"/>
        </w:rPr>
        <w:t>, como pudiera tratarse de aquella relacionada con las obligaciones de transparencia señaladas en los artículos 92 y 100 de la Ley de la Materia.</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28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lastRenderedPageBreak/>
        <w:t xml:space="preserve">En este sentido, cabe reiterar que el particular solicitó al </w:t>
      </w:r>
      <w:r w:rsidRPr="006257F6">
        <w:rPr>
          <w:rFonts w:ascii="Palatino Linotype" w:eastAsia="Palatino Linotype" w:hAnsi="Palatino Linotype" w:cs="Palatino Linotype"/>
          <w:b/>
          <w:sz w:val="24"/>
          <w:szCs w:val="24"/>
        </w:rPr>
        <w:t xml:space="preserve">SUJETO OBLIGADO, </w:t>
      </w:r>
      <w:r w:rsidRPr="006257F6">
        <w:rPr>
          <w:rFonts w:ascii="Palatino Linotype" w:eastAsia="Palatino Linotype" w:hAnsi="Palatino Linotype" w:cs="Palatino Linotype"/>
          <w:sz w:val="24"/>
          <w:szCs w:val="24"/>
        </w:rPr>
        <w:t>lo siguiente:</w:t>
      </w:r>
    </w:p>
    <w:p w:rsidR="00B764BF" w:rsidRPr="006257F6" w:rsidRDefault="0058544B">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Cuantas peticiones se han recibido por oficialía de partes desde enero 2022 a la fecha. </w:t>
      </w:r>
    </w:p>
    <w:p w:rsidR="00B764BF" w:rsidRPr="006257F6" w:rsidRDefault="0058544B">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Copias de los libros o anexos donde se señalan los folios de las peticiones.</w:t>
      </w:r>
    </w:p>
    <w:p w:rsidR="00B764BF" w:rsidRPr="006257F6" w:rsidRDefault="0058544B">
      <w:pPr>
        <w:numPr>
          <w:ilvl w:val="0"/>
          <w:numId w:val="4"/>
        </w:numPr>
        <w:pBdr>
          <w:top w:val="nil"/>
          <w:left w:val="nil"/>
          <w:bottom w:val="nil"/>
          <w:right w:val="nil"/>
          <w:between w:val="nil"/>
        </w:pBdr>
        <w:spacing w:after="28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El registro de cuantas de ellas se les ha dado respuesta favorable a lo que piden. </w:t>
      </w:r>
    </w:p>
    <w:p w:rsidR="00B764BF" w:rsidRPr="006257F6" w:rsidRDefault="0058544B">
      <w:pPr>
        <w:spacing w:after="0" w:line="360" w:lineRule="auto"/>
        <w:jc w:val="both"/>
        <w:rPr>
          <w:rFonts w:ascii="Palatino Linotype" w:eastAsia="Palatino Linotype" w:hAnsi="Palatino Linotype" w:cs="Palatino Linotype"/>
          <w:b/>
          <w:sz w:val="24"/>
          <w:szCs w:val="24"/>
          <w:u w:val="single"/>
        </w:rPr>
      </w:pPr>
      <w:r w:rsidRPr="006257F6">
        <w:rPr>
          <w:rFonts w:ascii="Palatino Linotype" w:eastAsia="Palatino Linotype" w:hAnsi="Palatino Linotype" w:cs="Palatino Linotype"/>
          <w:sz w:val="24"/>
          <w:szCs w:val="24"/>
        </w:rPr>
        <w:t xml:space="preserve">En respuesta, </w:t>
      </w:r>
      <w:r w:rsidRPr="006257F6">
        <w:rPr>
          <w:rFonts w:ascii="Palatino Linotype" w:eastAsia="Palatino Linotype" w:hAnsi="Palatino Linotype" w:cs="Palatino Linotype"/>
          <w:b/>
          <w:sz w:val="24"/>
          <w:szCs w:val="24"/>
        </w:rPr>
        <w:t>EL</w:t>
      </w: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sz w:val="24"/>
          <w:szCs w:val="24"/>
        </w:rPr>
        <w:t>SUJETO OBLIGADO</w:t>
      </w:r>
      <w:r w:rsidRPr="006257F6">
        <w:rPr>
          <w:rFonts w:ascii="Palatino Linotype" w:eastAsia="Palatino Linotype" w:hAnsi="Palatino Linotype" w:cs="Palatino Linotype"/>
          <w:sz w:val="24"/>
          <w:szCs w:val="24"/>
        </w:rPr>
        <w:t xml:space="preserve">, por conducto de la oficialía de partes hace entrega del control de oficios ingresados a la oficialía de partes del mes de enero de 2023,del mes de febrero de 2023, del primero al veintitrés de marzo de 2023, del mes de enero de 2022, del mes de febrero de 2022, del mes de marzo de 2022, del mes de abril de 2022, del mes de mayo de 2022, del mes de junio de 2022, del mes de julio de 2022, del mes de agosto de 2022, del mes de septiembre de 2022, del mes de octubre de 2022, del mes de noviembre de 2022 y del mes de diciembre de 2022, además informa que han sido recibidas cinco mil cuatrocientas setenta y siete peticiones del mes de enero del año 2022 a la fecha, </w:t>
      </w:r>
      <w:r w:rsidRPr="006257F6">
        <w:rPr>
          <w:rFonts w:ascii="Palatino Linotype" w:eastAsia="Palatino Linotype" w:hAnsi="Palatino Linotype" w:cs="Palatino Linotype"/>
          <w:b/>
          <w:sz w:val="24"/>
          <w:szCs w:val="24"/>
          <w:u w:val="single"/>
        </w:rPr>
        <w:t xml:space="preserve">asimismo informa que el seguimiento, así como la respuesta a las peticiones se encuentra a cargo de las áreas  a las que fueron turnadas. </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Conocida la respuesta por la particular, al no estar conforme con los términos de la misma, presentó el recurso de revisión que nos ocupa, mediante el cual señaló como motivo de inconformidad en lo medular que es incompleta.</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Admitido el presente recurso de revisión, en términos del artículo 185 fracción II</w:t>
      </w:r>
      <w:r w:rsidRPr="006257F6">
        <w:rPr>
          <w:rFonts w:ascii="Palatino Linotype" w:eastAsia="Palatino Linotype" w:hAnsi="Palatino Linotype" w:cs="Palatino Linotype"/>
          <w:sz w:val="24"/>
          <w:szCs w:val="24"/>
          <w:vertAlign w:val="superscript"/>
        </w:rPr>
        <w:footnoteReference w:id="3"/>
      </w:r>
      <w:r w:rsidRPr="006257F6">
        <w:rPr>
          <w:rFonts w:ascii="Palatino Linotype" w:eastAsia="Palatino Linotype" w:hAnsi="Palatino Linotype" w:cs="Palatino Linotype"/>
          <w:sz w:val="24"/>
          <w:szCs w:val="24"/>
        </w:rPr>
        <w:t xml:space="preserve"> de la Ley de Transparencia y Acceso a la Información Pública del Estado de México y Municipios, se integró el expediente y se puso a disposición de las partes para que, en un plazo máximo de siete días hábiles, manifestaran lo que a su derecho resultara conveniente.</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Cabe resaltar que durante la etapa de manifestaciones </w:t>
      </w:r>
      <w:r w:rsidRPr="006257F6">
        <w:rPr>
          <w:rFonts w:ascii="Palatino Linotype" w:eastAsia="Palatino Linotype" w:hAnsi="Palatino Linotype" w:cs="Palatino Linotype"/>
          <w:b/>
          <w:sz w:val="24"/>
          <w:szCs w:val="24"/>
        </w:rPr>
        <w:t>LA PARTE RECURRENTE</w:t>
      </w:r>
      <w:r w:rsidRPr="006257F6">
        <w:rPr>
          <w:rFonts w:ascii="Palatino Linotype" w:eastAsia="Palatino Linotype" w:hAnsi="Palatino Linotype" w:cs="Palatino Linotype"/>
          <w:sz w:val="24"/>
          <w:szCs w:val="24"/>
        </w:rPr>
        <w:t xml:space="preserve"> fue omisa de rendir alegatos, por lo que respecta al</w:t>
      </w:r>
      <w:r w:rsidRPr="006257F6">
        <w:rPr>
          <w:rFonts w:ascii="Palatino Linotype" w:eastAsia="Palatino Linotype" w:hAnsi="Palatino Linotype" w:cs="Palatino Linotype"/>
          <w:b/>
          <w:sz w:val="24"/>
          <w:szCs w:val="24"/>
        </w:rPr>
        <w:t xml:space="preserve"> SUJETO OBLIGADO </w:t>
      </w:r>
      <w:r w:rsidRPr="006257F6">
        <w:rPr>
          <w:rFonts w:ascii="Palatino Linotype" w:eastAsia="Palatino Linotype" w:hAnsi="Palatino Linotype" w:cs="Palatino Linotype"/>
          <w:sz w:val="24"/>
          <w:szCs w:val="24"/>
        </w:rPr>
        <w:t>expresó que se entregó el control completo de los oficios recibidos en oficialía de partes en versión pública; respecto al registro de a cuantas de ellas se les ha dado una respuesta favorable es una información que la jefatura de Oficialía de Partes no tiene, y se le hizo de conocimiento al solicitante con el oficio suscrito por la encargada de Oficialía de Partes.</w:t>
      </w: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Los oficios y peticiones recibidos en Oficialía de Partes son canalizados al área correspondiente las cuales no rinden un informe estadístico de cuantas son resueltas favorablemente o no, sólo se verifica que la unidad correspondiente reciba la documentación para su seguimiento.</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lastRenderedPageBreak/>
        <w:t xml:space="preserve">Aclarado lo anterior, de esta manera, se procede al análisis de la respuesta e informe justificado proporcionado por </w:t>
      </w:r>
      <w:r w:rsidRPr="006257F6">
        <w:rPr>
          <w:rFonts w:ascii="Palatino Linotype" w:eastAsia="Palatino Linotype" w:hAnsi="Palatino Linotype" w:cs="Palatino Linotype"/>
          <w:b/>
          <w:sz w:val="24"/>
          <w:szCs w:val="24"/>
        </w:rPr>
        <w:t>EL</w:t>
      </w: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sz w:val="24"/>
          <w:szCs w:val="24"/>
        </w:rPr>
        <w:t>SUJETO OBLIGADO</w:t>
      </w:r>
      <w:r w:rsidRPr="006257F6">
        <w:rPr>
          <w:rFonts w:ascii="Palatino Linotype" w:eastAsia="Palatino Linotype" w:hAnsi="Palatino Linotype" w:cs="Palatino Linotype"/>
          <w:sz w:val="24"/>
          <w:szCs w:val="24"/>
        </w:rPr>
        <w:t xml:space="preserve">, a efecto de determinar si es suficiente para tener por colmado el derecho de acceso a la información de </w:t>
      </w:r>
      <w:r w:rsidRPr="006257F6">
        <w:rPr>
          <w:rFonts w:ascii="Palatino Linotype" w:eastAsia="Palatino Linotype" w:hAnsi="Palatino Linotype" w:cs="Palatino Linotype"/>
          <w:b/>
          <w:sz w:val="24"/>
          <w:szCs w:val="24"/>
        </w:rPr>
        <w:t>LA PARTE</w:t>
      </w: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sz w:val="24"/>
          <w:szCs w:val="24"/>
        </w:rPr>
        <w:t>RECURRENTE</w:t>
      </w:r>
      <w:r w:rsidRPr="006257F6">
        <w:rPr>
          <w:rFonts w:ascii="Palatino Linotype" w:eastAsia="Palatino Linotype" w:hAnsi="Palatino Linotype" w:cs="Palatino Linotype"/>
          <w:sz w:val="24"/>
          <w:szCs w:val="24"/>
        </w:rPr>
        <w:t>, o en su defecto ordenar la entrega del o los documentos que lo satisfagan.</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numPr>
          <w:ilvl w:val="0"/>
          <w:numId w:val="1"/>
        </w:numPr>
        <w:pBdr>
          <w:top w:val="nil"/>
          <w:left w:val="nil"/>
          <w:bottom w:val="nil"/>
          <w:right w:val="nil"/>
          <w:between w:val="nil"/>
        </w:pBdr>
        <w:spacing w:line="360" w:lineRule="auto"/>
        <w:jc w:val="both"/>
        <w:rPr>
          <w:rFonts w:ascii="Palatino Linotype" w:eastAsia="Palatino Linotype" w:hAnsi="Palatino Linotype" w:cs="Palatino Linotype"/>
          <w:b/>
          <w:sz w:val="24"/>
          <w:szCs w:val="24"/>
        </w:rPr>
      </w:pPr>
      <w:r w:rsidRPr="006257F6">
        <w:rPr>
          <w:rFonts w:ascii="Palatino Linotype" w:eastAsia="Palatino Linotype" w:hAnsi="Palatino Linotype" w:cs="Palatino Linotype"/>
          <w:b/>
          <w:sz w:val="24"/>
          <w:szCs w:val="24"/>
        </w:rPr>
        <w:t xml:space="preserve">Respecto a cuantas peticiones se han recibido por oficialía de partes desde enero 2022 a la fecha. </w:t>
      </w:r>
    </w:p>
    <w:tbl>
      <w:tblPr>
        <w:tblStyle w:val="a"/>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2410"/>
        <w:gridCol w:w="2835"/>
      </w:tblGrid>
      <w:tr w:rsidR="006257F6" w:rsidRPr="006257F6">
        <w:tc>
          <w:tcPr>
            <w:tcW w:w="3686" w:type="dxa"/>
            <w:shd w:val="clear" w:color="auto" w:fill="BFBFBF"/>
          </w:tcPr>
          <w:p w:rsidR="00B764BF" w:rsidRPr="006257F6" w:rsidRDefault="0058544B">
            <w:pPr>
              <w:spacing w:before="240" w:after="240"/>
              <w:ind w:firstLine="114"/>
              <w:jc w:val="center"/>
              <w:rPr>
                <w:rFonts w:ascii="Palatino Linotype" w:eastAsia="Palatino Linotype" w:hAnsi="Palatino Linotype" w:cs="Palatino Linotype"/>
                <w:b/>
                <w:i/>
                <w:sz w:val="18"/>
                <w:szCs w:val="18"/>
              </w:rPr>
            </w:pPr>
            <w:r w:rsidRPr="006257F6">
              <w:rPr>
                <w:rFonts w:ascii="Palatino Linotype" w:eastAsia="Palatino Linotype" w:hAnsi="Palatino Linotype" w:cs="Palatino Linotype"/>
                <w:b/>
                <w:i/>
                <w:sz w:val="18"/>
                <w:szCs w:val="18"/>
              </w:rPr>
              <w:t>Información requerida.</w:t>
            </w:r>
          </w:p>
        </w:tc>
        <w:tc>
          <w:tcPr>
            <w:tcW w:w="2410" w:type="dxa"/>
            <w:shd w:val="clear" w:color="auto" w:fill="BFBFBF"/>
          </w:tcPr>
          <w:p w:rsidR="00B764BF" w:rsidRPr="006257F6" w:rsidRDefault="0058544B">
            <w:pPr>
              <w:spacing w:before="240" w:after="240"/>
              <w:ind w:firstLine="114"/>
              <w:jc w:val="center"/>
              <w:rPr>
                <w:rFonts w:ascii="Palatino Linotype" w:eastAsia="Palatino Linotype" w:hAnsi="Palatino Linotype" w:cs="Palatino Linotype"/>
                <w:b/>
                <w:i/>
                <w:sz w:val="18"/>
                <w:szCs w:val="18"/>
              </w:rPr>
            </w:pPr>
            <w:r w:rsidRPr="006257F6">
              <w:rPr>
                <w:rFonts w:ascii="Palatino Linotype" w:eastAsia="Palatino Linotype" w:hAnsi="Palatino Linotype" w:cs="Palatino Linotype"/>
                <w:b/>
                <w:i/>
                <w:sz w:val="18"/>
                <w:szCs w:val="18"/>
              </w:rPr>
              <w:t>Respuesta</w:t>
            </w:r>
          </w:p>
        </w:tc>
        <w:tc>
          <w:tcPr>
            <w:tcW w:w="2835" w:type="dxa"/>
            <w:shd w:val="clear" w:color="auto" w:fill="BFBFBF"/>
          </w:tcPr>
          <w:p w:rsidR="00B764BF" w:rsidRPr="006257F6" w:rsidRDefault="0058544B">
            <w:pPr>
              <w:spacing w:before="240" w:after="240"/>
              <w:ind w:firstLine="114"/>
              <w:jc w:val="center"/>
              <w:rPr>
                <w:rFonts w:ascii="Palatino Linotype" w:eastAsia="Palatino Linotype" w:hAnsi="Palatino Linotype" w:cs="Palatino Linotype"/>
                <w:b/>
                <w:i/>
                <w:sz w:val="18"/>
                <w:szCs w:val="18"/>
              </w:rPr>
            </w:pPr>
            <w:r w:rsidRPr="006257F6">
              <w:rPr>
                <w:rFonts w:ascii="Palatino Linotype" w:eastAsia="Palatino Linotype" w:hAnsi="Palatino Linotype" w:cs="Palatino Linotype"/>
                <w:b/>
                <w:i/>
                <w:sz w:val="18"/>
                <w:szCs w:val="18"/>
              </w:rPr>
              <w:t>¿Colma?</w:t>
            </w:r>
          </w:p>
        </w:tc>
      </w:tr>
      <w:tr w:rsidR="006257F6" w:rsidRPr="006257F6">
        <w:tc>
          <w:tcPr>
            <w:tcW w:w="3686" w:type="dxa"/>
          </w:tcPr>
          <w:p w:rsidR="00B764BF" w:rsidRPr="006257F6" w:rsidRDefault="0058544B">
            <w:pPr>
              <w:spacing w:before="240" w:after="240"/>
              <w:jc w:val="both"/>
              <w:rPr>
                <w:rFonts w:ascii="Palatino Linotype" w:eastAsia="Palatino Linotype" w:hAnsi="Palatino Linotype" w:cs="Palatino Linotype"/>
                <w:sz w:val="18"/>
                <w:szCs w:val="18"/>
              </w:rPr>
            </w:pPr>
            <w:r w:rsidRPr="006257F6">
              <w:rPr>
                <w:rFonts w:ascii="Palatino Linotype" w:eastAsia="Palatino Linotype" w:hAnsi="Palatino Linotype" w:cs="Palatino Linotype"/>
                <w:sz w:val="18"/>
                <w:szCs w:val="18"/>
              </w:rPr>
              <w:t>-</w:t>
            </w:r>
            <w:r w:rsidRPr="006257F6">
              <w:t xml:space="preserve"> </w:t>
            </w:r>
            <w:r w:rsidRPr="006257F6">
              <w:rPr>
                <w:rFonts w:ascii="Palatino Linotype" w:eastAsia="Palatino Linotype" w:hAnsi="Palatino Linotype" w:cs="Palatino Linotype"/>
                <w:sz w:val="18"/>
                <w:szCs w:val="18"/>
              </w:rPr>
              <w:t>Cuantas peticiones se han recibido por oficialía de partes desde enero 2022 a la fecha</w:t>
            </w:r>
          </w:p>
        </w:tc>
        <w:tc>
          <w:tcPr>
            <w:tcW w:w="2410" w:type="dxa"/>
            <w:vAlign w:val="center"/>
          </w:tcPr>
          <w:p w:rsidR="00B764BF" w:rsidRPr="006257F6" w:rsidRDefault="0058544B">
            <w:pPr>
              <w:spacing w:before="240" w:after="240"/>
              <w:jc w:val="both"/>
              <w:rPr>
                <w:rFonts w:ascii="Palatino Linotype" w:eastAsia="Palatino Linotype" w:hAnsi="Palatino Linotype" w:cs="Palatino Linotype"/>
                <w:sz w:val="18"/>
                <w:szCs w:val="18"/>
              </w:rPr>
            </w:pPr>
            <w:r w:rsidRPr="006257F6">
              <w:rPr>
                <w:rFonts w:ascii="Palatino Linotype" w:eastAsia="Palatino Linotype" w:hAnsi="Palatino Linotype" w:cs="Palatino Linotype"/>
                <w:sz w:val="18"/>
                <w:szCs w:val="18"/>
              </w:rPr>
              <w:t>La Oficialía de Partes menciona que se han sido recibidas cinco mil cuatrocientas setenta y siete peticiones del mes de enero del año 2022 a la fecha.</w:t>
            </w:r>
          </w:p>
        </w:tc>
        <w:tc>
          <w:tcPr>
            <w:tcW w:w="2835" w:type="dxa"/>
            <w:vAlign w:val="center"/>
          </w:tcPr>
          <w:p w:rsidR="00B764BF" w:rsidRPr="006257F6" w:rsidRDefault="0058544B">
            <w:pPr>
              <w:spacing w:before="240" w:after="240"/>
              <w:jc w:val="both"/>
              <w:rPr>
                <w:rFonts w:ascii="Palatino Linotype" w:eastAsia="Palatino Linotype" w:hAnsi="Palatino Linotype" w:cs="Palatino Linotype"/>
                <w:sz w:val="20"/>
                <w:szCs w:val="20"/>
              </w:rPr>
            </w:pPr>
            <w:r w:rsidRPr="006257F6">
              <w:rPr>
                <w:rFonts w:ascii="Palatino Linotype" w:eastAsia="Palatino Linotype" w:hAnsi="Palatino Linotype" w:cs="Palatino Linotype"/>
                <w:sz w:val="20"/>
                <w:szCs w:val="20"/>
              </w:rPr>
              <w:t xml:space="preserve">Sí, hace entrega de la información solicitada. </w:t>
            </w:r>
          </w:p>
        </w:tc>
      </w:tr>
    </w:tbl>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En primera instancia es de señalar que se pronunció la Oficialía de Partes, misma que cuenta con las siguientes atribuciones:</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276" w:lineRule="auto"/>
        <w:ind w:left="851" w:right="902"/>
        <w:jc w:val="both"/>
        <w:rPr>
          <w:rFonts w:ascii="Palatino Linotype" w:eastAsia="Palatino Linotype" w:hAnsi="Palatino Linotype" w:cs="Palatino Linotype"/>
          <w:b/>
          <w:i/>
        </w:rPr>
      </w:pPr>
      <w:r w:rsidRPr="006257F6">
        <w:rPr>
          <w:rFonts w:ascii="Palatino Linotype" w:eastAsia="Palatino Linotype" w:hAnsi="Palatino Linotype" w:cs="Palatino Linotype"/>
          <w:b/>
          <w:i/>
        </w:rPr>
        <w:t>REGLAMENTO INTERIOR DE LA ADMINISTRACIÓN PÚBLICA MUNICIPAL DE TEOLOYUCAN, ESTADO DE MÉXICO.</w:t>
      </w:r>
    </w:p>
    <w:p w:rsidR="00B764BF" w:rsidRPr="006257F6" w:rsidRDefault="00B764BF">
      <w:pPr>
        <w:spacing w:after="0" w:line="276" w:lineRule="auto"/>
        <w:ind w:left="851" w:right="902"/>
        <w:jc w:val="both"/>
        <w:rPr>
          <w:rFonts w:ascii="Palatino Linotype" w:eastAsia="Palatino Linotype" w:hAnsi="Palatino Linotype" w:cs="Palatino Linotype"/>
          <w:i/>
        </w:rPr>
      </w:pPr>
    </w:p>
    <w:p w:rsidR="00B764BF" w:rsidRPr="006257F6" w:rsidRDefault="0058544B">
      <w:pPr>
        <w:spacing w:after="0" w:line="276" w:lineRule="auto"/>
        <w:ind w:left="851" w:right="902"/>
        <w:jc w:val="both"/>
        <w:rPr>
          <w:rFonts w:ascii="Palatino Linotype" w:eastAsia="Palatino Linotype" w:hAnsi="Palatino Linotype" w:cs="Palatino Linotype"/>
          <w:i/>
        </w:rPr>
      </w:pPr>
      <w:r w:rsidRPr="006257F6">
        <w:rPr>
          <w:rFonts w:ascii="Palatino Linotype" w:eastAsia="Palatino Linotype" w:hAnsi="Palatino Linotype" w:cs="Palatino Linotype"/>
          <w:i/>
        </w:rPr>
        <w:t>Artículo 35. La jefatura de Oficialía de partes, tendrá las atribuciones siguientes:</w:t>
      </w:r>
    </w:p>
    <w:p w:rsidR="00B764BF" w:rsidRPr="006257F6" w:rsidRDefault="0058544B">
      <w:pPr>
        <w:spacing w:after="0" w:line="276" w:lineRule="auto"/>
        <w:ind w:left="851" w:right="902"/>
        <w:jc w:val="both"/>
        <w:rPr>
          <w:rFonts w:ascii="Palatino Linotype" w:eastAsia="Palatino Linotype" w:hAnsi="Palatino Linotype" w:cs="Palatino Linotype"/>
          <w:i/>
        </w:rPr>
      </w:pPr>
      <w:r w:rsidRPr="006257F6">
        <w:rPr>
          <w:rFonts w:ascii="Palatino Linotype" w:eastAsia="Palatino Linotype" w:hAnsi="Palatino Linotype" w:cs="Palatino Linotype"/>
          <w:i/>
        </w:rPr>
        <w:t>(…)</w:t>
      </w:r>
    </w:p>
    <w:p w:rsidR="00B764BF" w:rsidRPr="006257F6" w:rsidRDefault="0058544B">
      <w:pPr>
        <w:spacing w:after="0" w:line="276" w:lineRule="auto"/>
        <w:ind w:left="851" w:right="902"/>
        <w:jc w:val="both"/>
        <w:rPr>
          <w:rFonts w:ascii="Palatino Linotype" w:eastAsia="Palatino Linotype" w:hAnsi="Palatino Linotype" w:cs="Palatino Linotype"/>
          <w:i/>
        </w:rPr>
      </w:pPr>
      <w:r w:rsidRPr="006257F6">
        <w:rPr>
          <w:rFonts w:ascii="Palatino Linotype" w:eastAsia="Palatino Linotype" w:hAnsi="Palatino Linotype" w:cs="Palatino Linotype"/>
          <w:i/>
        </w:rPr>
        <w:t xml:space="preserve">II. Enviar, remitir o turnar el mismo día de su recepción, los oficios escritos, solicitudes o peticiones que sean presentadas por autoridades físicas o personas </w:t>
      </w:r>
      <w:r w:rsidRPr="006257F6">
        <w:rPr>
          <w:rFonts w:ascii="Palatino Linotype" w:eastAsia="Palatino Linotype" w:hAnsi="Palatino Linotype" w:cs="Palatino Linotype"/>
          <w:i/>
        </w:rPr>
        <w:lastRenderedPageBreak/>
        <w:t>físicas o jurídico colectivas a la instancia competente para los efectos correspondientes, máxime en asuntos con plazos, términos o de urgente resolución.</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Siendo la Jefatura de la Oficialía de Partes, la responsable de enviar, remitir o turnar los oficios, escritos, solicitudes o peticiones presentadas.</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Aclarado lo anterior, </w:t>
      </w:r>
      <w:r w:rsidRPr="006257F6">
        <w:rPr>
          <w:rFonts w:ascii="Palatino Linotype" w:eastAsia="Palatino Linotype" w:hAnsi="Palatino Linotype" w:cs="Palatino Linotype"/>
          <w:b/>
          <w:sz w:val="24"/>
          <w:szCs w:val="24"/>
        </w:rPr>
        <w:t xml:space="preserve">EL SUJETO OBLIGADO </w:t>
      </w:r>
      <w:r w:rsidRPr="006257F6">
        <w:rPr>
          <w:rFonts w:ascii="Palatino Linotype" w:eastAsia="Palatino Linotype" w:hAnsi="Palatino Linotype" w:cs="Palatino Linotype"/>
          <w:sz w:val="24"/>
          <w:szCs w:val="24"/>
        </w:rPr>
        <w:t>hace entrega de la cantidad de peticiones recibidas en la oficialía de partes, por lo que en este sentido este Organismo Garante no está facultado para pronunciarse sobre la veracidad de la información que los Sujetos Obligados ponen a disposición de los solicitantes; situación que se aleja de las atribuciones de este Instituto máxime que al momento que ponen a disposición esta, la misma tiene el carácter oficial y se presume veraz, tan es así que la misma queda registrada en el Sistema de Acceso a la Información Mexiquense (SAIMEX).</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pBdr>
          <w:top w:val="nil"/>
          <w:left w:val="nil"/>
          <w:bottom w:val="nil"/>
          <w:right w:val="nil"/>
          <w:between w:val="nil"/>
        </w:pBdr>
        <w:spacing w:after="0" w:line="360" w:lineRule="auto"/>
        <w:ind w:right="49"/>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Sirviendo de apoyo a lo anterior por analogía, el criterio 31-10 emitido por el ahora Instituto Nacional de Transparencia, Acceso a la Información y Protección de Datos Personales, que a la letra dice:</w:t>
      </w:r>
    </w:p>
    <w:p w:rsidR="00B764BF" w:rsidRPr="006257F6" w:rsidRDefault="00B764BF">
      <w:pPr>
        <w:pBdr>
          <w:top w:val="nil"/>
          <w:left w:val="nil"/>
          <w:bottom w:val="nil"/>
          <w:right w:val="nil"/>
          <w:between w:val="nil"/>
        </w:pBdr>
        <w:spacing w:after="0" w:line="360" w:lineRule="auto"/>
        <w:ind w:right="49"/>
        <w:jc w:val="both"/>
        <w:rPr>
          <w:rFonts w:ascii="Palatino Linotype" w:eastAsia="Palatino Linotype" w:hAnsi="Palatino Linotype" w:cs="Palatino Linotype"/>
          <w:sz w:val="24"/>
          <w:szCs w:val="24"/>
        </w:rPr>
      </w:pPr>
    </w:p>
    <w:p w:rsidR="00B764BF" w:rsidRPr="006257F6" w:rsidRDefault="0058544B">
      <w:pPr>
        <w:spacing w:after="0" w:line="276" w:lineRule="auto"/>
        <w:ind w:left="567" w:right="618"/>
        <w:jc w:val="both"/>
        <w:rPr>
          <w:rFonts w:ascii="Palatino Linotype" w:eastAsia="Palatino Linotype" w:hAnsi="Palatino Linotype" w:cs="Palatino Linotype"/>
          <w:i/>
        </w:rPr>
      </w:pPr>
      <w:r w:rsidRPr="006257F6">
        <w:rPr>
          <w:rFonts w:ascii="Palatino Linotype" w:eastAsia="Palatino Linotype" w:hAnsi="Palatino Linotype" w:cs="Palatino Linotype"/>
          <w:i/>
        </w:rPr>
        <w:t xml:space="preserve">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w:t>
      </w:r>
      <w:r w:rsidRPr="006257F6">
        <w:rPr>
          <w:rFonts w:ascii="Palatino Linotype" w:eastAsia="Palatino Linotype" w:hAnsi="Palatino Linotype" w:cs="Palatino Linotype"/>
          <w:i/>
        </w:rPr>
        <w:lastRenderedPageBreak/>
        <w:t>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28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Motivo por el que se tienen por colmado este punto de la solicitud. </w:t>
      </w:r>
    </w:p>
    <w:p w:rsidR="00B764BF" w:rsidRPr="006257F6" w:rsidRDefault="0058544B">
      <w:pPr>
        <w:numPr>
          <w:ilvl w:val="0"/>
          <w:numId w:val="1"/>
        </w:numPr>
        <w:pBdr>
          <w:top w:val="nil"/>
          <w:left w:val="nil"/>
          <w:bottom w:val="nil"/>
          <w:right w:val="nil"/>
          <w:between w:val="nil"/>
        </w:pBdr>
        <w:spacing w:line="360" w:lineRule="auto"/>
        <w:jc w:val="both"/>
        <w:rPr>
          <w:rFonts w:ascii="Palatino Linotype" w:eastAsia="Palatino Linotype" w:hAnsi="Palatino Linotype" w:cs="Palatino Linotype"/>
          <w:b/>
          <w:sz w:val="24"/>
          <w:szCs w:val="24"/>
        </w:rPr>
      </w:pPr>
      <w:r w:rsidRPr="006257F6">
        <w:rPr>
          <w:rFonts w:ascii="Palatino Linotype" w:eastAsia="Palatino Linotype" w:hAnsi="Palatino Linotype" w:cs="Palatino Linotype"/>
          <w:b/>
          <w:sz w:val="24"/>
          <w:szCs w:val="24"/>
        </w:rPr>
        <w:t>Respecto a las copias de los libros o anexos donde se señalan los folios de las peticiones.</w:t>
      </w:r>
    </w:p>
    <w:tbl>
      <w:tblPr>
        <w:tblStyle w:val="a0"/>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2410"/>
        <w:gridCol w:w="2835"/>
      </w:tblGrid>
      <w:tr w:rsidR="006257F6" w:rsidRPr="006257F6">
        <w:tc>
          <w:tcPr>
            <w:tcW w:w="3686" w:type="dxa"/>
            <w:tcBorders>
              <w:top w:val="single" w:sz="4" w:space="0" w:color="000000"/>
              <w:left w:val="single" w:sz="4" w:space="0" w:color="000000"/>
              <w:bottom w:val="single" w:sz="4" w:space="0" w:color="000000"/>
              <w:right w:val="single" w:sz="4" w:space="0" w:color="000000"/>
            </w:tcBorders>
            <w:shd w:val="clear" w:color="auto" w:fill="BFBFBF"/>
          </w:tcPr>
          <w:p w:rsidR="00B764BF" w:rsidRPr="006257F6" w:rsidRDefault="0058544B">
            <w:pPr>
              <w:spacing w:before="240" w:after="240"/>
              <w:ind w:firstLine="114"/>
              <w:jc w:val="center"/>
              <w:rPr>
                <w:rFonts w:ascii="Palatino Linotype" w:eastAsia="Palatino Linotype" w:hAnsi="Palatino Linotype" w:cs="Palatino Linotype"/>
                <w:b/>
                <w:i/>
                <w:sz w:val="18"/>
                <w:szCs w:val="18"/>
              </w:rPr>
            </w:pPr>
            <w:r w:rsidRPr="006257F6">
              <w:rPr>
                <w:rFonts w:ascii="Palatino Linotype" w:eastAsia="Palatino Linotype" w:hAnsi="Palatino Linotype" w:cs="Palatino Linotype"/>
                <w:b/>
                <w:i/>
                <w:sz w:val="18"/>
                <w:szCs w:val="18"/>
              </w:rPr>
              <w:t>Información requerida.</w:t>
            </w:r>
          </w:p>
        </w:tc>
        <w:tc>
          <w:tcPr>
            <w:tcW w:w="2410" w:type="dxa"/>
            <w:tcBorders>
              <w:top w:val="single" w:sz="4" w:space="0" w:color="000000"/>
              <w:left w:val="single" w:sz="4" w:space="0" w:color="000000"/>
              <w:bottom w:val="single" w:sz="4" w:space="0" w:color="000000"/>
              <w:right w:val="single" w:sz="4" w:space="0" w:color="000000"/>
            </w:tcBorders>
            <w:shd w:val="clear" w:color="auto" w:fill="BFBFBF"/>
          </w:tcPr>
          <w:p w:rsidR="00B764BF" w:rsidRPr="006257F6" w:rsidRDefault="0058544B">
            <w:pPr>
              <w:spacing w:before="240" w:after="240"/>
              <w:ind w:firstLine="114"/>
              <w:jc w:val="center"/>
              <w:rPr>
                <w:rFonts w:ascii="Palatino Linotype" w:eastAsia="Palatino Linotype" w:hAnsi="Palatino Linotype" w:cs="Palatino Linotype"/>
                <w:b/>
                <w:i/>
                <w:sz w:val="18"/>
                <w:szCs w:val="18"/>
              </w:rPr>
            </w:pPr>
            <w:r w:rsidRPr="006257F6">
              <w:rPr>
                <w:rFonts w:ascii="Palatino Linotype" w:eastAsia="Palatino Linotype" w:hAnsi="Palatino Linotype" w:cs="Palatino Linotype"/>
                <w:b/>
                <w:i/>
                <w:sz w:val="18"/>
                <w:szCs w:val="18"/>
              </w:rPr>
              <w:t>Respuesta</w:t>
            </w:r>
          </w:p>
        </w:tc>
        <w:tc>
          <w:tcPr>
            <w:tcW w:w="2835" w:type="dxa"/>
            <w:tcBorders>
              <w:top w:val="single" w:sz="4" w:space="0" w:color="000000"/>
              <w:left w:val="single" w:sz="4" w:space="0" w:color="000000"/>
              <w:bottom w:val="single" w:sz="4" w:space="0" w:color="000000"/>
              <w:right w:val="single" w:sz="4" w:space="0" w:color="000000"/>
            </w:tcBorders>
            <w:shd w:val="clear" w:color="auto" w:fill="BFBFBF"/>
          </w:tcPr>
          <w:p w:rsidR="00B764BF" w:rsidRPr="006257F6" w:rsidRDefault="0058544B">
            <w:pPr>
              <w:spacing w:before="240" w:after="240"/>
              <w:ind w:firstLine="114"/>
              <w:jc w:val="center"/>
              <w:rPr>
                <w:rFonts w:ascii="Palatino Linotype" w:eastAsia="Palatino Linotype" w:hAnsi="Palatino Linotype" w:cs="Palatino Linotype"/>
                <w:b/>
                <w:i/>
                <w:sz w:val="18"/>
                <w:szCs w:val="18"/>
              </w:rPr>
            </w:pPr>
            <w:r w:rsidRPr="006257F6">
              <w:rPr>
                <w:rFonts w:ascii="Palatino Linotype" w:eastAsia="Palatino Linotype" w:hAnsi="Palatino Linotype" w:cs="Palatino Linotype"/>
                <w:b/>
                <w:i/>
                <w:sz w:val="18"/>
                <w:szCs w:val="18"/>
              </w:rPr>
              <w:t>¿Colma?</w:t>
            </w:r>
          </w:p>
        </w:tc>
      </w:tr>
      <w:tr w:rsidR="006257F6" w:rsidRPr="006257F6">
        <w:tc>
          <w:tcPr>
            <w:tcW w:w="3686" w:type="dxa"/>
            <w:tcBorders>
              <w:top w:val="single" w:sz="4" w:space="0" w:color="000000"/>
              <w:left w:val="single" w:sz="4" w:space="0" w:color="000000"/>
              <w:bottom w:val="single" w:sz="4" w:space="0" w:color="000000"/>
              <w:right w:val="single" w:sz="4" w:space="0" w:color="000000"/>
            </w:tcBorders>
            <w:shd w:val="clear" w:color="auto" w:fill="auto"/>
          </w:tcPr>
          <w:p w:rsidR="00B764BF" w:rsidRPr="006257F6" w:rsidRDefault="0058544B">
            <w:pPr>
              <w:spacing w:before="240" w:after="240"/>
              <w:jc w:val="both"/>
              <w:rPr>
                <w:rFonts w:ascii="Palatino Linotype" w:eastAsia="Palatino Linotype" w:hAnsi="Palatino Linotype" w:cs="Palatino Linotype"/>
                <w:sz w:val="18"/>
                <w:szCs w:val="18"/>
              </w:rPr>
            </w:pPr>
            <w:r w:rsidRPr="006257F6">
              <w:rPr>
                <w:rFonts w:ascii="Palatino Linotype" w:eastAsia="Palatino Linotype" w:hAnsi="Palatino Linotype" w:cs="Palatino Linotype"/>
                <w:sz w:val="18"/>
                <w:szCs w:val="18"/>
              </w:rPr>
              <w:t>Copias de los libros o anexos donde se señalan los folios de las peticiones.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B764BF" w:rsidRPr="006257F6" w:rsidRDefault="0058544B">
            <w:pPr>
              <w:spacing w:before="240" w:after="240"/>
              <w:jc w:val="both"/>
              <w:rPr>
                <w:rFonts w:ascii="Palatino Linotype" w:eastAsia="Palatino Linotype" w:hAnsi="Palatino Linotype" w:cs="Palatino Linotype"/>
                <w:sz w:val="18"/>
                <w:szCs w:val="18"/>
              </w:rPr>
            </w:pPr>
            <w:r w:rsidRPr="006257F6">
              <w:rPr>
                <w:rFonts w:ascii="Palatino Linotype" w:eastAsia="Palatino Linotype" w:hAnsi="Palatino Linotype" w:cs="Palatino Linotype"/>
                <w:sz w:val="18"/>
                <w:szCs w:val="18"/>
              </w:rPr>
              <w:t xml:space="preserve">La Oficialía de Partes hace entrega de la Versión pública del control de oficios ingresados a la oficialía de partes del mes de enero de 2023,del mes de febrero de 2023, del primero al veintitrés de marzo de 2023, del mes de enero de 2022, del mes de febrero de 2022, del mes de marzo de 2022, del mes de abril de 2022, del mes de mayo de 2022, del mes de junio de 2022, del mes de julio de 2022, del mes de agosto de 2022, del mes de septiembre de 2022, del mes de octubre de 2022, del mes de noviembre de 2022 </w:t>
            </w:r>
            <w:r w:rsidRPr="006257F6">
              <w:rPr>
                <w:rFonts w:ascii="Palatino Linotype" w:eastAsia="Palatino Linotype" w:hAnsi="Palatino Linotype" w:cs="Palatino Linotype"/>
                <w:sz w:val="18"/>
                <w:szCs w:val="18"/>
              </w:rPr>
              <w:lastRenderedPageBreak/>
              <w:t>y del mes de diciembre de 2022.</w:t>
            </w:r>
          </w:p>
          <w:p w:rsidR="00B764BF" w:rsidRPr="006257F6" w:rsidRDefault="0058544B">
            <w:pPr>
              <w:spacing w:before="240" w:after="240"/>
              <w:jc w:val="both"/>
              <w:rPr>
                <w:rFonts w:ascii="Palatino Linotype" w:eastAsia="Palatino Linotype" w:hAnsi="Palatino Linotype" w:cs="Palatino Linotype"/>
                <w:sz w:val="18"/>
                <w:szCs w:val="18"/>
              </w:rPr>
            </w:pPr>
            <w:r w:rsidRPr="006257F6">
              <w:rPr>
                <w:rFonts w:ascii="Palatino Linotype" w:eastAsia="Palatino Linotype" w:hAnsi="Palatino Linotype" w:cs="Palatino Linotype"/>
                <w:sz w:val="18"/>
                <w:szCs w:val="18"/>
              </w:rPr>
              <w:t>Acuerdo de la Octava Sesión Extraordinaria que emite el Comité de Transparencia del Municipio de Teoloyucan, respecto de la clasificación de la información como confidencial de los datos personales contenidos en el control de oficios ingresados a oficialía de partes, de conformidad a su tercer punto del orden del día.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B764BF" w:rsidRPr="006257F6" w:rsidRDefault="0058544B">
            <w:pPr>
              <w:spacing w:before="240" w:after="240"/>
              <w:ind w:firstLine="114"/>
              <w:jc w:val="both"/>
              <w:rPr>
                <w:rFonts w:ascii="Palatino Linotype" w:eastAsia="Palatino Linotype" w:hAnsi="Palatino Linotype" w:cs="Palatino Linotype"/>
                <w:sz w:val="18"/>
                <w:szCs w:val="18"/>
              </w:rPr>
            </w:pPr>
            <w:r w:rsidRPr="006257F6">
              <w:rPr>
                <w:rFonts w:ascii="Palatino Linotype" w:eastAsia="Palatino Linotype" w:hAnsi="Palatino Linotype" w:cs="Palatino Linotype"/>
                <w:sz w:val="18"/>
                <w:szCs w:val="18"/>
              </w:rPr>
              <w:lastRenderedPageBreak/>
              <w:t>Si, hace entrega de la información solicitada.</w:t>
            </w:r>
          </w:p>
        </w:tc>
      </w:tr>
    </w:tbl>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De acuerdo a lo anterior, hace entrega del control de los oficios ingresados en la Oficialía de Partes, en la temporalidad requerida por </w:t>
      </w:r>
      <w:r w:rsidRPr="006257F6">
        <w:rPr>
          <w:rFonts w:ascii="Palatino Linotype" w:eastAsia="Palatino Linotype" w:hAnsi="Palatino Linotype" w:cs="Palatino Linotype"/>
          <w:b/>
          <w:sz w:val="24"/>
          <w:szCs w:val="24"/>
        </w:rPr>
        <w:t>LA PARTE RECURRENTE</w:t>
      </w:r>
      <w:r w:rsidRPr="006257F6">
        <w:rPr>
          <w:rFonts w:ascii="Palatino Linotype" w:eastAsia="Palatino Linotype" w:hAnsi="Palatino Linotype" w:cs="Palatino Linotype"/>
          <w:sz w:val="24"/>
          <w:szCs w:val="24"/>
        </w:rPr>
        <w:t xml:space="preserve">,, sustentando la versión pública en un acuerdo de la Octava Sesión Extraordinaria el Comité de Transparencia del Municipio de Teoloyucan, por lo tanto, con el objetivo de brindar a </w:t>
      </w:r>
      <w:r w:rsidRPr="006257F6">
        <w:rPr>
          <w:rFonts w:ascii="Palatino Linotype" w:eastAsia="Palatino Linotype" w:hAnsi="Palatino Linotype" w:cs="Palatino Linotype"/>
          <w:b/>
          <w:sz w:val="24"/>
          <w:szCs w:val="24"/>
        </w:rPr>
        <w:t>LA PARTE RECURRENTE</w:t>
      </w:r>
      <w:r w:rsidRPr="006257F6">
        <w:rPr>
          <w:rFonts w:ascii="Palatino Linotype" w:eastAsia="Palatino Linotype" w:hAnsi="Palatino Linotype" w:cs="Palatino Linotype"/>
          <w:sz w:val="24"/>
          <w:szCs w:val="24"/>
        </w:rPr>
        <w:t xml:space="preserve"> la máxima tutela a su derecho de acceso a la información pública, resulta importante analizar si dicho acuerdo se realizó conforme a derecho, para ello se inserta el siguiente cuadro de análisis:</w:t>
      </w:r>
    </w:p>
    <w:tbl>
      <w:tblPr>
        <w:tblStyle w:val="a1"/>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4"/>
        <w:gridCol w:w="6015"/>
        <w:gridCol w:w="1498"/>
      </w:tblGrid>
      <w:tr w:rsidR="006257F6" w:rsidRPr="006257F6">
        <w:trPr>
          <w:trHeight w:val="569"/>
        </w:trPr>
        <w:tc>
          <w:tcPr>
            <w:tcW w:w="1554" w:type="dxa"/>
            <w:shd w:val="clear" w:color="auto" w:fill="D0CECE"/>
          </w:tcPr>
          <w:p w:rsidR="00B764BF" w:rsidRPr="006257F6" w:rsidRDefault="0058544B">
            <w:pPr>
              <w:spacing w:before="100" w:after="200" w:line="276" w:lineRule="auto"/>
              <w:jc w:val="center"/>
              <w:rPr>
                <w:rFonts w:ascii="Palatino Linotype" w:eastAsia="Palatino Linotype" w:hAnsi="Palatino Linotype" w:cs="Palatino Linotype"/>
                <w:b/>
                <w:sz w:val="18"/>
                <w:szCs w:val="18"/>
              </w:rPr>
            </w:pPr>
            <w:r w:rsidRPr="006257F6">
              <w:rPr>
                <w:rFonts w:ascii="Palatino Linotype" w:eastAsia="Palatino Linotype" w:hAnsi="Palatino Linotype" w:cs="Palatino Linotype"/>
                <w:b/>
                <w:sz w:val="18"/>
                <w:szCs w:val="18"/>
              </w:rPr>
              <w:t>Elementos del acuerdo de clasificación</w:t>
            </w:r>
          </w:p>
        </w:tc>
        <w:tc>
          <w:tcPr>
            <w:tcW w:w="6015" w:type="dxa"/>
            <w:shd w:val="clear" w:color="auto" w:fill="D0CECE"/>
          </w:tcPr>
          <w:p w:rsidR="00B764BF" w:rsidRPr="006257F6" w:rsidRDefault="0058544B">
            <w:pPr>
              <w:spacing w:before="100" w:after="200" w:line="276" w:lineRule="auto"/>
              <w:jc w:val="center"/>
              <w:rPr>
                <w:rFonts w:ascii="Palatino Linotype" w:eastAsia="Palatino Linotype" w:hAnsi="Palatino Linotype" w:cs="Palatino Linotype"/>
                <w:b/>
                <w:sz w:val="18"/>
                <w:szCs w:val="18"/>
              </w:rPr>
            </w:pPr>
            <w:r w:rsidRPr="006257F6">
              <w:rPr>
                <w:rFonts w:ascii="Palatino Linotype" w:eastAsia="Palatino Linotype" w:hAnsi="Palatino Linotype" w:cs="Palatino Linotype"/>
                <w:b/>
                <w:sz w:val="18"/>
                <w:szCs w:val="18"/>
              </w:rPr>
              <w:t>Contenido</w:t>
            </w:r>
          </w:p>
        </w:tc>
        <w:tc>
          <w:tcPr>
            <w:tcW w:w="1498" w:type="dxa"/>
            <w:shd w:val="clear" w:color="auto" w:fill="D0CECE"/>
          </w:tcPr>
          <w:p w:rsidR="00B764BF" w:rsidRPr="006257F6" w:rsidRDefault="0058544B">
            <w:pPr>
              <w:spacing w:before="100" w:after="200" w:line="276" w:lineRule="auto"/>
              <w:jc w:val="center"/>
              <w:rPr>
                <w:rFonts w:ascii="Palatino Linotype" w:eastAsia="Palatino Linotype" w:hAnsi="Palatino Linotype" w:cs="Palatino Linotype"/>
                <w:b/>
                <w:sz w:val="18"/>
                <w:szCs w:val="18"/>
              </w:rPr>
            </w:pPr>
            <w:r w:rsidRPr="006257F6">
              <w:rPr>
                <w:rFonts w:ascii="Palatino Linotype" w:eastAsia="Palatino Linotype" w:hAnsi="Palatino Linotype" w:cs="Palatino Linotype"/>
                <w:b/>
                <w:sz w:val="18"/>
                <w:szCs w:val="18"/>
              </w:rPr>
              <w:t>¿Cumple?</w:t>
            </w:r>
          </w:p>
        </w:tc>
      </w:tr>
      <w:tr w:rsidR="006257F6" w:rsidRPr="006257F6">
        <w:tc>
          <w:tcPr>
            <w:tcW w:w="1554" w:type="dxa"/>
          </w:tcPr>
          <w:p w:rsidR="00B764BF" w:rsidRPr="006257F6" w:rsidRDefault="0058544B">
            <w:pPr>
              <w:spacing w:before="100" w:after="200" w:line="276" w:lineRule="auto"/>
              <w:jc w:val="center"/>
              <w:rPr>
                <w:rFonts w:ascii="Palatino Linotype" w:eastAsia="Palatino Linotype" w:hAnsi="Palatino Linotype" w:cs="Palatino Linotype"/>
                <w:sz w:val="18"/>
                <w:szCs w:val="18"/>
              </w:rPr>
            </w:pPr>
            <w:r w:rsidRPr="006257F6">
              <w:rPr>
                <w:rFonts w:ascii="Palatino Linotype" w:eastAsia="Palatino Linotype" w:hAnsi="Palatino Linotype" w:cs="Palatino Linotype"/>
                <w:b/>
                <w:sz w:val="18"/>
                <w:szCs w:val="18"/>
              </w:rPr>
              <w:t>Número de folio de la solicitud</w:t>
            </w:r>
          </w:p>
        </w:tc>
        <w:tc>
          <w:tcPr>
            <w:tcW w:w="6015" w:type="dxa"/>
          </w:tcPr>
          <w:p w:rsidR="00B764BF" w:rsidRPr="006257F6" w:rsidRDefault="0058544B">
            <w:pPr>
              <w:spacing w:before="100" w:after="200" w:line="276" w:lineRule="auto"/>
              <w:rPr>
                <w:sz w:val="20"/>
                <w:szCs w:val="20"/>
              </w:rPr>
            </w:pPr>
            <w:r w:rsidRPr="006257F6">
              <w:rPr>
                <w:noProof/>
              </w:rPr>
              <w:drawing>
                <wp:inline distT="0" distB="0" distL="0" distR="0">
                  <wp:extent cx="3747002" cy="463706"/>
                  <wp:effectExtent l="0" t="0" r="0" b="0"/>
                  <wp:docPr id="3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l="29229" t="43685" r="5845" b="46199"/>
                          <a:stretch>
                            <a:fillRect/>
                          </a:stretch>
                        </pic:blipFill>
                        <pic:spPr>
                          <a:xfrm>
                            <a:off x="0" y="0"/>
                            <a:ext cx="3747002" cy="463706"/>
                          </a:xfrm>
                          <a:prstGeom prst="rect">
                            <a:avLst/>
                          </a:prstGeom>
                          <a:ln/>
                        </pic:spPr>
                      </pic:pic>
                    </a:graphicData>
                  </a:graphic>
                </wp:inline>
              </w:drawing>
            </w:r>
          </w:p>
        </w:tc>
        <w:tc>
          <w:tcPr>
            <w:tcW w:w="1498" w:type="dxa"/>
          </w:tcPr>
          <w:p w:rsidR="00B764BF" w:rsidRPr="006257F6" w:rsidRDefault="0058544B">
            <w:pPr>
              <w:spacing w:before="100" w:after="200" w:line="276" w:lineRule="auto"/>
              <w:jc w:val="center"/>
              <w:rPr>
                <w:rFonts w:ascii="Palatino Linotype" w:eastAsia="Palatino Linotype" w:hAnsi="Palatino Linotype" w:cs="Palatino Linotype"/>
                <w:b/>
              </w:rPr>
            </w:pPr>
            <w:r w:rsidRPr="006257F6">
              <w:rPr>
                <w:rFonts w:ascii="Palatino Linotype" w:eastAsia="Palatino Linotype" w:hAnsi="Palatino Linotype" w:cs="Palatino Linotype"/>
                <w:b/>
              </w:rPr>
              <w:t>Sí</w:t>
            </w:r>
          </w:p>
        </w:tc>
      </w:tr>
      <w:tr w:rsidR="006257F6" w:rsidRPr="006257F6">
        <w:tc>
          <w:tcPr>
            <w:tcW w:w="1554" w:type="dxa"/>
          </w:tcPr>
          <w:p w:rsidR="00B764BF" w:rsidRPr="006257F6" w:rsidRDefault="0058544B">
            <w:pPr>
              <w:spacing w:before="100" w:after="200" w:line="276" w:lineRule="auto"/>
              <w:jc w:val="center"/>
              <w:rPr>
                <w:rFonts w:ascii="Palatino Linotype" w:eastAsia="Palatino Linotype" w:hAnsi="Palatino Linotype" w:cs="Palatino Linotype"/>
                <w:sz w:val="18"/>
                <w:szCs w:val="18"/>
              </w:rPr>
            </w:pPr>
            <w:r w:rsidRPr="006257F6">
              <w:rPr>
                <w:rFonts w:ascii="Palatino Linotype" w:eastAsia="Palatino Linotype" w:hAnsi="Palatino Linotype" w:cs="Palatino Linotype"/>
                <w:b/>
                <w:sz w:val="18"/>
                <w:szCs w:val="18"/>
              </w:rPr>
              <w:lastRenderedPageBreak/>
              <w:t>Referencia de la información solicitada</w:t>
            </w:r>
          </w:p>
        </w:tc>
        <w:tc>
          <w:tcPr>
            <w:tcW w:w="6015" w:type="dxa"/>
          </w:tcPr>
          <w:p w:rsidR="00B764BF" w:rsidRPr="006257F6" w:rsidRDefault="0058544B">
            <w:pPr>
              <w:spacing w:before="100" w:after="200" w:line="276" w:lineRule="auto"/>
              <w:rPr>
                <w:rFonts w:ascii="Palatino Linotype" w:eastAsia="Palatino Linotype" w:hAnsi="Palatino Linotype" w:cs="Palatino Linotype"/>
              </w:rPr>
            </w:pPr>
            <w:r w:rsidRPr="006257F6">
              <w:rPr>
                <w:noProof/>
              </w:rPr>
              <w:drawing>
                <wp:inline distT="0" distB="0" distL="0" distR="0">
                  <wp:extent cx="3669947" cy="457710"/>
                  <wp:effectExtent l="0" t="0" r="0" b="0"/>
                  <wp:docPr id="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l="32592" t="45064" r="8690" b="44358"/>
                          <a:stretch>
                            <a:fillRect/>
                          </a:stretch>
                        </pic:blipFill>
                        <pic:spPr>
                          <a:xfrm>
                            <a:off x="0" y="0"/>
                            <a:ext cx="3669947" cy="457710"/>
                          </a:xfrm>
                          <a:prstGeom prst="rect">
                            <a:avLst/>
                          </a:prstGeom>
                          <a:ln/>
                        </pic:spPr>
                      </pic:pic>
                    </a:graphicData>
                  </a:graphic>
                </wp:inline>
              </w:drawing>
            </w:r>
          </w:p>
        </w:tc>
        <w:tc>
          <w:tcPr>
            <w:tcW w:w="1498" w:type="dxa"/>
          </w:tcPr>
          <w:p w:rsidR="00B764BF" w:rsidRPr="006257F6" w:rsidRDefault="0058544B">
            <w:pPr>
              <w:spacing w:before="100" w:after="200" w:line="276" w:lineRule="auto"/>
              <w:jc w:val="center"/>
              <w:rPr>
                <w:rFonts w:ascii="Palatino Linotype" w:eastAsia="Palatino Linotype" w:hAnsi="Palatino Linotype" w:cs="Palatino Linotype"/>
                <w:b/>
              </w:rPr>
            </w:pPr>
            <w:r w:rsidRPr="006257F6">
              <w:rPr>
                <w:rFonts w:ascii="Palatino Linotype" w:eastAsia="Palatino Linotype" w:hAnsi="Palatino Linotype" w:cs="Palatino Linotype"/>
                <w:b/>
                <w:sz w:val="20"/>
                <w:szCs w:val="20"/>
              </w:rPr>
              <w:t>Sí</w:t>
            </w:r>
            <w:r w:rsidRPr="006257F6">
              <w:rPr>
                <w:rFonts w:ascii="Palatino Linotype" w:eastAsia="Palatino Linotype" w:hAnsi="Palatino Linotype" w:cs="Palatino Linotype"/>
                <w:sz w:val="18"/>
                <w:szCs w:val="18"/>
              </w:rPr>
              <w:t>.</w:t>
            </w:r>
          </w:p>
        </w:tc>
      </w:tr>
      <w:tr w:rsidR="006257F6" w:rsidRPr="006257F6">
        <w:tc>
          <w:tcPr>
            <w:tcW w:w="1554" w:type="dxa"/>
          </w:tcPr>
          <w:p w:rsidR="00B764BF" w:rsidRPr="006257F6" w:rsidRDefault="0058544B">
            <w:pPr>
              <w:spacing w:before="100" w:after="200" w:line="276" w:lineRule="auto"/>
              <w:jc w:val="center"/>
              <w:rPr>
                <w:rFonts w:ascii="Palatino Linotype" w:eastAsia="Palatino Linotype" w:hAnsi="Palatino Linotype" w:cs="Palatino Linotype"/>
                <w:b/>
                <w:sz w:val="18"/>
                <w:szCs w:val="18"/>
              </w:rPr>
            </w:pPr>
            <w:r w:rsidRPr="006257F6">
              <w:rPr>
                <w:rFonts w:ascii="Palatino Linotype" w:eastAsia="Palatino Linotype" w:hAnsi="Palatino Linotype" w:cs="Palatino Linotype"/>
                <w:b/>
                <w:sz w:val="18"/>
                <w:szCs w:val="18"/>
              </w:rPr>
              <w:t>Artículo, fracción, inciso, párrafo o numeral de la ley que le otorga el carácter de confidencial.</w:t>
            </w:r>
          </w:p>
        </w:tc>
        <w:tc>
          <w:tcPr>
            <w:tcW w:w="6015" w:type="dxa"/>
          </w:tcPr>
          <w:p w:rsidR="00B764BF" w:rsidRPr="006257F6" w:rsidRDefault="0058544B">
            <w:pPr>
              <w:spacing w:before="100" w:after="200" w:line="276" w:lineRule="auto"/>
              <w:rPr>
                <w:sz w:val="20"/>
                <w:szCs w:val="20"/>
              </w:rPr>
            </w:pPr>
            <w:r w:rsidRPr="006257F6">
              <w:rPr>
                <w:noProof/>
              </w:rPr>
              <w:drawing>
                <wp:inline distT="0" distB="0" distL="0" distR="0">
                  <wp:extent cx="3636837" cy="553432"/>
                  <wp:effectExtent l="0" t="0" r="0" b="0"/>
                  <wp:docPr id="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l="31557" t="56101" r="8950" b="27805"/>
                          <a:stretch>
                            <a:fillRect/>
                          </a:stretch>
                        </pic:blipFill>
                        <pic:spPr>
                          <a:xfrm>
                            <a:off x="0" y="0"/>
                            <a:ext cx="3636837" cy="553432"/>
                          </a:xfrm>
                          <a:prstGeom prst="rect">
                            <a:avLst/>
                          </a:prstGeom>
                          <a:ln/>
                        </pic:spPr>
                      </pic:pic>
                    </a:graphicData>
                  </a:graphic>
                </wp:inline>
              </w:drawing>
            </w:r>
          </w:p>
          <w:p w:rsidR="00B764BF" w:rsidRPr="006257F6" w:rsidRDefault="00B764BF">
            <w:pPr>
              <w:spacing w:before="100" w:after="200" w:line="276" w:lineRule="auto"/>
              <w:rPr>
                <w:sz w:val="20"/>
                <w:szCs w:val="20"/>
              </w:rPr>
            </w:pPr>
          </w:p>
        </w:tc>
        <w:tc>
          <w:tcPr>
            <w:tcW w:w="1498" w:type="dxa"/>
          </w:tcPr>
          <w:p w:rsidR="00B764BF" w:rsidRPr="006257F6" w:rsidRDefault="0058544B">
            <w:pPr>
              <w:spacing w:before="100" w:after="200"/>
              <w:jc w:val="center"/>
              <w:rPr>
                <w:rFonts w:ascii="Palatino Linotype" w:eastAsia="Palatino Linotype" w:hAnsi="Palatino Linotype" w:cs="Palatino Linotype"/>
                <w:b/>
              </w:rPr>
            </w:pPr>
            <w:r w:rsidRPr="006257F6">
              <w:rPr>
                <w:rFonts w:ascii="Palatino Linotype" w:eastAsia="Palatino Linotype" w:hAnsi="Palatino Linotype" w:cs="Palatino Linotype"/>
                <w:b/>
              </w:rPr>
              <w:t>Sí</w:t>
            </w:r>
          </w:p>
        </w:tc>
      </w:tr>
      <w:tr w:rsidR="006257F6" w:rsidRPr="006257F6">
        <w:tc>
          <w:tcPr>
            <w:tcW w:w="1554" w:type="dxa"/>
          </w:tcPr>
          <w:p w:rsidR="00B764BF" w:rsidRPr="006257F6" w:rsidRDefault="0058544B">
            <w:pPr>
              <w:spacing w:before="100" w:after="200" w:line="276" w:lineRule="auto"/>
              <w:jc w:val="center"/>
              <w:rPr>
                <w:rFonts w:ascii="Palatino Linotype" w:eastAsia="Palatino Linotype" w:hAnsi="Palatino Linotype" w:cs="Palatino Linotype"/>
                <w:sz w:val="18"/>
                <w:szCs w:val="18"/>
              </w:rPr>
            </w:pPr>
            <w:r w:rsidRPr="006257F6">
              <w:rPr>
                <w:rFonts w:ascii="Palatino Linotype" w:eastAsia="Palatino Linotype" w:hAnsi="Palatino Linotype" w:cs="Palatino Linotype"/>
                <w:b/>
                <w:sz w:val="18"/>
                <w:szCs w:val="18"/>
              </w:rPr>
              <w:t>Motivación Legal</w:t>
            </w:r>
          </w:p>
        </w:tc>
        <w:tc>
          <w:tcPr>
            <w:tcW w:w="6015" w:type="dxa"/>
          </w:tcPr>
          <w:p w:rsidR="00B764BF" w:rsidRPr="006257F6" w:rsidRDefault="0058544B">
            <w:pPr>
              <w:spacing w:before="100" w:after="200" w:line="276" w:lineRule="auto"/>
              <w:rPr>
                <w:sz w:val="20"/>
                <w:szCs w:val="20"/>
              </w:rPr>
            </w:pPr>
            <w:r w:rsidRPr="006257F6">
              <w:rPr>
                <w:noProof/>
              </w:rPr>
              <w:drawing>
                <wp:inline distT="0" distB="0" distL="0" distR="0">
                  <wp:extent cx="3858397" cy="419391"/>
                  <wp:effectExtent l="0" t="0" r="0" b="0"/>
                  <wp:docPr id="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l="32333" t="31729" r="8174" b="56775"/>
                          <a:stretch>
                            <a:fillRect/>
                          </a:stretch>
                        </pic:blipFill>
                        <pic:spPr>
                          <a:xfrm>
                            <a:off x="0" y="0"/>
                            <a:ext cx="3858397" cy="419391"/>
                          </a:xfrm>
                          <a:prstGeom prst="rect">
                            <a:avLst/>
                          </a:prstGeom>
                          <a:ln/>
                        </pic:spPr>
                      </pic:pic>
                    </a:graphicData>
                  </a:graphic>
                </wp:inline>
              </w:drawing>
            </w:r>
          </w:p>
          <w:p w:rsidR="00B764BF" w:rsidRPr="006257F6" w:rsidRDefault="0058544B">
            <w:pPr>
              <w:spacing w:before="100" w:after="200" w:line="276" w:lineRule="auto"/>
              <w:rPr>
                <w:sz w:val="20"/>
                <w:szCs w:val="20"/>
              </w:rPr>
            </w:pPr>
            <w:r w:rsidRPr="006257F6">
              <w:rPr>
                <w:noProof/>
              </w:rPr>
              <w:drawing>
                <wp:inline distT="0" distB="0" distL="0" distR="0">
                  <wp:extent cx="3680162" cy="1442883"/>
                  <wp:effectExtent l="0" t="0" r="0" b="0"/>
                  <wp:docPr id="3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l="32333" t="22532" r="8950" b="36541"/>
                          <a:stretch>
                            <a:fillRect/>
                          </a:stretch>
                        </pic:blipFill>
                        <pic:spPr>
                          <a:xfrm>
                            <a:off x="0" y="0"/>
                            <a:ext cx="3680162" cy="1442883"/>
                          </a:xfrm>
                          <a:prstGeom prst="rect">
                            <a:avLst/>
                          </a:prstGeom>
                          <a:ln/>
                        </pic:spPr>
                      </pic:pic>
                    </a:graphicData>
                  </a:graphic>
                </wp:inline>
              </w:drawing>
            </w:r>
          </w:p>
        </w:tc>
        <w:tc>
          <w:tcPr>
            <w:tcW w:w="1498" w:type="dxa"/>
          </w:tcPr>
          <w:p w:rsidR="00B764BF" w:rsidRPr="006257F6" w:rsidRDefault="0058544B">
            <w:pPr>
              <w:spacing w:before="100" w:after="200" w:line="276" w:lineRule="auto"/>
              <w:jc w:val="center"/>
              <w:rPr>
                <w:rFonts w:ascii="Palatino Linotype" w:eastAsia="Palatino Linotype" w:hAnsi="Palatino Linotype" w:cs="Palatino Linotype"/>
                <w:b/>
                <w:sz w:val="20"/>
                <w:szCs w:val="20"/>
              </w:rPr>
            </w:pPr>
            <w:r w:rsidRPr="006257F6">
              <w:rPr>
                <w:rFonts w:ascii="Palatino Linotype" w:eastAsia="Palatino Linotype" w:hAnsi="Palatino Linotype" w:cs="Palatino Linotype"/>
                <w:b/>
              </w:rPr>
              <w:t>Sí</w:t>
            </w:r>
          </w:p>
        </w:tc>
      </w:tr>
      <w:tr w:rsidR="006257F6" w:rsidRPr="006257F6">
        <w:tc>
          <w:tcPr>
            <w:tcW w:w="1554" w:type="dxa"/>
            <w:shd w:val="clear" w:color="auto" w:fill="auto"/>
          </w:tcPr>
          <w:p w:rsidR="00B764BF" w:rsidRPr="006257F6" w:rsidRDefault="0058544B">
            <w:pPr>
              <w:spacing w:before="100" w:after="200" w:line="276" w:lineRule="auto"/>
              <w:jc w:val="center"/>
              <w:rPr>
                <w:rFonts w:ascii="Palatino Linotype" w:eastAsia="Palatino Linotype" w:hAnsi="Palatino Linotype" w:cs="Palatino Linotype"/>
                <w:b/>
              </w:rPr>
            </w:pPr>
            <w:r w:rsidRPr="006257F6">
              <w:rPr>
                <w:rFonts w:ascii="Palatino Linotype" w:eastAsia="Palatino Linotype" w:hAnsi="Palatino Linotype" w:cs="Palatino Linotype"/>
                <w:b/>
                <w:sz w:val="18"/>
                <w:szCs w:val="18"/>
              </w:rPr>
              <w:t>Autoridades competentes.</w:t>
            </w:r>
          </w:p>
        </w:tc>
        <w:tc>
          <w:tcPr>
            <w:tcW w:w="6015" w:type="dxa"/>
            <w:shd w:val="clear" w:color="auto" w:fill="auto"/>
          </w:tcPr>
          <w:p w:rsidR="00B764BF" w:rsidRPr="006257F6" w:rsidRDefault="0058544B">
            <w:pPr>
              <w:spacing w:before="100" w:after="200" w:line="276" w:lineRule="auto"/>
            </w:pPr>
            <w:r w:rsidRPr="006257F6">
              <w:rPr>
                <w:noProof/>
              </w:rPr>
              <w:drawing>
                <wp:inline distT="0" distB="0" distL="0" distR="0">
                  <wp:extent cx="3654497" cy="1835091"/>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l="30005" t="11496" r="9726" b="34701"/>
                          <a:stretch>
                            <a:fillRect/>
                          </a:stretch>
                        </pic:blipFill>
                        <pic:spPr>
                          <a:xfrm>
                            <a:off x="0" y="0"/>
                            <a:ext cx="3654497" cy="1835091"/>
                          </a:xfrm>
                          <a:prstGeom prst="rect">
                            <a:avLst/>
                          </a:prstGeom>
                          <a:ln/>
                        </pic:spPr>
                      </pic:pic>
                    </a:graphicData>
                  </a:graphic>
                </wp:inline>
              </w:drawing>
            </w:r>
          </w:p>
        </w:tc>
        <w:tc>
          <w:tcPr>
            <w:tcW w:w="1498" w:type="dxa"/>
            <w:shd w:val="clear" w:color="auto" w:fill="auto"/>
          </w:tcPr>
          <w:p w:rsidR="00B764BF" w:rsidRPr="006257F6" w:rsidRDefault="0058544B">
            <w:pPr>
              <w:spacing w:before="100" w:after="200" w:line="276" w:lineRule="auto"/>
              <w:jc w:val="center"/>
              <w:rPr>
                <w:rFonts w:ascii="Palatino Linotype" w:eastAsia="Palatino Linotype" w:hAnsi="Palatino Linotype" w:cs="Palatino Linotype"/>
                <w:b/>
              </w:rPr>
            </w:pPr>
            <w:r w:rsidRPr="006257F6">
              <w:rPr>
                <w:rFonts w:ascii="Palatino Linotype" w:eastAsia="Palatino Linotype" w:hAnsi="Palatino Linotype" w:cs="Palatino Linotype"/>
                <w:b/>
                <w:sz w:val="18"/>
                <w:szCs w:val="18"/>
              </w:rPr>
              <w:t>Si</w:t>
            </w:r>
          </w:p>
        </w:tc>
      </w:tr>
    </w:tbl>
    <w:p w:rsidR="00B764BF" w:rsidRPr="006257F6" w:rsidRDefault="0058544B">
      <w:pPr>
        <w:spacing w:after="28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Como se puede vislumbrar, dentro del propio acuerdo se hacen referencia a datos que fueron clasificados, cumpliendo con las formalidades necesarias para contar con </w:t>
      </w:r>
      <w:r w:rsidRPr="006257F6">
        <w:rPr>
          <w:rFonts w:ascii="Palatino Linotype" w:eastAsia="Palatino Linotype" w:hAnsi="Palatino Linotype" w:cs="Palatino Linotype"/>
          <w:sz w:val="24"/>
          <w:szCs w:val="24"/>
        </w:rPr>
        <w:lastRenderedPageBreak/>
        <w:t xml:space="preserve">una correcta versión pública, motivo por el que se tiene por colmado este punto de la solicitud. </w:t>
      </w:r>
    </w:p>
    <w:p w:rsidR="00B764BF" w:rsidRPr="006257F6" w:rsidRDefault="0058544B">
      <w:pPr>
        <w:numPr>
          <w:ilvl w:val="0"/>
          <w:numId w:val="1"/>
        </w:numPr>
        <w:pBdr>
          <w:top w:val="nil"/>
          <w:left w:val="nil"/>
          <w:bottom w:val="nil"/>
          <w:right w:val="nil"/>
          <w:between w:val="nil"/>
        </w:pBdr>
        <w:spacing w:line="360" w:lineRule="auto"/>
        <w:jc w:val="both"/>
        <w:rPr>
          <w:rFonts w:ascii="Palatino Linotype" w:eastAsia="Palatino Linotype" w:hAnsi="Palatino Linotype" w:cs="Palatino Linotype"/>
          <w:b/>
          <w:sz w:val="24"/>
          <w:szCs w:val="24"/>
        </w:rPr>
      </w:pPr>
      <w:r w:rsidRPr="006257F6">
        <w:rPr>
          <w:rFonts w:ascii="Palatino Linotype" w:eastAsia="Palatino Linotype" w:hAnsi="Palatino Linotype" w:cs="Palatino Linotype"/>
          <w:b/>
          <w:sz w:val="24"/>
          <w:szCs w:val="24"/>
        </w:rPr>
        <w:t>Respecto al registro de cuantas se les ha dado respuesta favorable a lo que piden.</w:t>
      </w:r>
    </w:p>
    <w:tbl>
      <w:tblPr>
        <w:tblStyle w:val="a2"/>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2126"/>
        <w:gridCol w:w="2126"/>
        <w:gridCol w:w="1985"/>
      </w:tblGrid>
      <w:tr w:rsidR="006257F6" w:rsidRPr="006257F6">
        <w:tc>
          <w:tcPr>
            <w:tcW w:w="2694" w:type="dxa"/>
            <w:shd w:val="clear" w:color="auto" w:fill="BFBFBF"/>
          </w:tcPr>
          <w:p w:rsidR="00B764BF" w:rsidRPr="006257F6" w:rsidRDefault="0058544B">
            <w:pPr>
              <w:spacing w:before="240" w:after="240"/>
              <w:ind w:firstLine="114"/>
              <w:jc w:val="center"/>
              <w:rPr>
                <w:rFonts w:ascii="Palatino Linotype" w:eastAsia="Palatino Linotype" w:hAnsi="Palatino Linotype" w:cs="Palatino Linotype"/>
                <w:b/>
                <w:i/>
                <w:sz w:val="18"/>
                <w:szCs w:val="18"/>
              </w:rPr>
            </w:pPr>
            <w:r w:rsidRPr="006257F6">
              <w:rPr>
                <w:rFonts w:ascii="Palatino Linotype" w:eastAsia="Palatino Linotype" w:hAnsi="Palatino Linotype" w:cs="Palatino Linotype"/>
                <w:b/>
                <w:i/>
                <w:sz w:val="18"/>
                <w:szCs w:val="18"/>
              </w:rPr>
              <w:t>Información requerida.</w:t>
            </w:r>
          </w:p>
        </w:tc>
        <w:tc>
          <w:tcPr>
            <w:tcW w:w="2126" w:type="dxa"/>
            <w:shd w:val="clear" w:color="auto" w:fill="BFBFBF"/>
          </w:tcPr>
          <w:p w:rsidR="00B764BF" w:rsidRPr="006257F6" w:rsidRDefault="0058544B">
            <w:pPr>
              <w:spacing w:before="240" w:after="240"/>
              <w:ind w:firstLine="114"/>
              <w:jc w:val="center"/>
              <w:rPr>
                <w:rFonts w:ascii="Palatino Linotype" w:eastAsia="Palatino Linotype" w:hAnsi="Palatino Linotype" w:cs="Palatino Linotype"/>
                <w:b/>
                <w:i/>
                <w:sz w:val="18"/>
                <w:szCs w:val="18"/>
              </w:rPr>
            </w:pPr>
            <w:r w:rsidRPr="006257F6">
              <w:rPr>
                <w:rFonts w:ascii="Palatino Linotype" w:eastAsia="Palatino Linotype" w:hAnsi="Palatino Linotype" w:cs="Palatino Linotype"/>
                <w:b/>
                <w:i/>
                <w:sz w:val="18"/>
                <w:szCs w:val="18"/>
              </w:rPr>
              <w:t>Respuesta</w:t>
            </w:r>
          </w:p>
        </w:tc>
        <w:tc>
          <w:tcPr>
            <w:tcW w:w="2126" w:type="dxa"/>
            <w:shd w:val="clear" w:color="auto" w:fill="BFBFBF"/>
          </w:tcPr>
          <w:p w:rsidR="00B764BF" w:rsidRPr="006257F6" w:rsidRDefault="0058544B">
            <w:pPr>
              <w:spacing w:before="240" w:after="240"/>
              <w:ind w:firstLine="114"/>
              <w:jc w:val="center"/>
              <w:rPr>
                <w:rFonts w:ascii="Palatino Linotype" w:eastAsia="Palatino Linotype" w:hAnsi="Palatino Linotype" w:cs="Palatino Linotype"/>
                <w:b/>
                <w:i/>
                <w:sz w:val="18"/>
                <w:szCs w:val="18"/>
              </w:rPr>
            </w:pPr>
            <w:r w:rsidRPr="006257F6">
              <w:rPr>
                <w:rFonts w:ascii="Palatino Linotype" w:eastAsia="Palatino Linotype" w:hAnsi="Palatino Linotype" w:cs="Palatino Linotype"/>
                <w:b/>
                <w:i/>
                <w:sz w:val="18"/>
                <w:szCs w:val="18"/>
              </w:rPr>
              <w:t>Informe Justificado</w:t>
            </w:r>
          </w:p>
        </w:tc>
        <w:tc>
          <w:tcPr>
            <w:tcW w:w="1985" w:type="dxa"/>
            <w:shd w:val="clear" w:color="auto" w:fill="BFBFBF"/>
          </w:tcPr>
          <w:p w:rsidR="00B764BF" w:rsidRPr="006257F6" w:rsidRDefault="0058544B">
            <w:pPr>
              <w:spacing w:before="240" w:after="240"/>
              <w:ind w:firstLine="114"/>
              <w:jc w:val="center"/>
              <w:rPr>
                <w:rFonts w:ascii="Palatino Linotype" w:eastAsia="Palatino Linotype" w:hAnsi="Palatino Linotype" w:cs="Palatino Linotype"/>
                <w:b/>
                <w:i/>
                <w:sz w:val="18"/>
                <w:szCs w:val="18"/>
              </w:rPr>
            </w:pPr>
            <w:r w:rsidRPr="006257F6">
              <w:rPr>
                <w:rFonts w:ascii="Palatino Linotype" w:eastAsia="Palatino Linotype" w:hAnsi="Palatino Linotype" w:cs="Palatino Linotype"/>
                <w:b/>
                <w:i/>
                <w:sz w:val="18"/>
                <w:szCs w:val="18"/>
              </w:rPr>
              <w:t>¿Colma?</w:t>
            </w:r>
          </w:p>
        </w:tc>
      </w:tr>
      <w:tr w:rsidR="006257F6" w:rsidRPr="006257F6">
        <w:tc>
          <w:tcPr>
            <w:tcW w:w="2694" w:type="dxa"/>
          </w:tcPr>
          <w:p w:rsidR="00B764BF" w:rsidRPr="006257F6" w:rsidRDefault="0058544B">
            <w:pPr>
              <w:spacing w:before="240" w:after="240"/>
              <w:jc w:val="both"/>
              <w:rPr>
                <w:rFonts w:ascii="Palatino Linotype" w:eastAsia="Palatino Linotype" w:hAnsi="Palatino Linotype" w:cs="Palatino Linotype"/>
                <w:sz w:val="18"/>
                <w:szCs w:val="18"/>
              </w:rPr>
            </w:pPr>
            <w:r w:rsidRPr="006257F6">
              <w:rPr>
                <w:rFonts w:ascii="Palatino Linotype" w:eastAsia="Palatino Linotype" w:hAnsi="Palatino Linotype" w:cs="Palatino Linotype"/>
                <w:sz w:val="18"/>
                <w:szCs w:val="18"/>
              </w:rPr>
              <w:t>-</w:t>
            </w:r>
            <w:r w:rsidRPr="006257F6">
              <w:t xml:space="preserve"> </w:t>
            </w:r>
            <w:r w:rsidRPr="006257F6">
              <w:rPr>
                <w:rFonts w:ascii="Palatino Linotype" w:eastAsia="Palatino Linotype" w:hAnsi="Palatino Linotype" w:cs="Palatino Linotype"/>
                <w:sz w:val="18"/>
                <w:szCs w:val="18"/>
              </w:rPr>
              <w:t xml:space="preserve">Registro de cuantas de ellas se </w:t>
            </w:r>
            <w:r w:rsidRPr="006257F6">
              <w:rPr>
                <w:rFonts w:ascii="Palatino Linotype" w:eastAsia="Palatino Linotype" w:hAnsi="Palatino Linotype" w:cs="Palatino Linotype"/>
                <w:b/>
                <w:sz w:val="18"/>
                <w:szCs w:val="18"/>
              </w:rPr>
              <w:t>les ha dado respuesta favorable a lo que piden</w:t>
            </w:r>
          </w:p>
        </w:tc>
        <w:tc>
          <w:tcPr>
            <w:tcW w:w="2126" w:type="dxa"/>
            <w:vAlign w:val="center"/>
          </w:tcPr>
          <w:p w:rsidR="00B764BF" w:rsidRPr="006257F6" w:rsidRDefault="0058544B">
            <w:pPr>
              <w:spacing w:before="240" w:after="240"/>
              <w:jc w:val="both"/>
              <w:rPr>
                <w:rFonts w:ascii="Palatino Linotype" w:eastAsia="Palatino Linotype" w:hAnsi="Palatino Linotype" w:cs="Palatino Linotype"/>
                <w:sz w:val="18"/>
                <w:szCs w:val="18"/>
              </w:rPr>
            </w:pPr>
            <w:r w:rsidRPr="006257F6">
              <w:rPr>
                <w:rFonts w:ascii="Palatino Linotype" w:eastAsia="Palatino Linotype" w:hAnsi="Palatino Linotype" w:cs="Palatino Linotype"/>
                <w:sz w:val="18"/>
                <w:szCs w:val="18"/>
              </w:rPr>
              <w:t>La Oficialía de Partes menciona que el seguimiento, así como la respuesta a las peticiones se encuentra a cargo de las áreas a las que fueron turnadas.</w:t>
            </w:r>
          </w:p>
        </w:tc>
        <w:tc>
          <w:tcPr>
            <w:tcW w:w="2126" w:type="dxa"/>
          </w:tcPr>
          <w:p w:rsidR="00B764BF" w:rsidRPr="006257F6" w:rsidRDefault="0058544B">
            <w:pPr>
              <w:spacing w:before="240" w:after="240"/>
              <w:jc w:val="both"/>
              <w:rPr>
                <w:rFonts w:ascii="Palatino Linotype" w:eastAsia="Palatino Linotype" w:hAnsi="Palatino Linotype" w:cs="Palatino Linotype"/>
                <w:sz w:val="20"/>
                <w:szCs w:val="20"/>
              </w:rPr>
            </w:pPr>
            <w:r w:rsidRPr="006257F6">
              <w:rPr>
                <w:rFonts w:ascii="Palatino Linotype" w:eastAsia="Palatino Linotype" w:hAnsi="Palatino Linotype" w:cs="Palatino Linotype"/>
                <w:sz w:val="18"/>
                <w:szCs w:val="18"/>
              </w:rPr>
              <w:t>Los oficios y peticiones recibidos en Oficialía de Partes son canalizados al área correspondiente las cuales no rinden un informe estadístico de cuantas son resueltas favorablemente o no, solo se verifica que la unidad correspondiente reciba la documentación para su seguimiento.</w:t>
            </w:r>
          </w:p>
        </w:tc>
        <w:tc>
          <w:tcPr>
            <w:tcW w:w="1985" w:type="dxa"/>
            <w:vAlign w:val="center"/>
          </w:tcPr>
          <w:p w:rsidR="00B764BF" w:rsidRPr="006257F6" w:rsidRDefault="0058544B">
            <w:pPr>
              <w:spacing w:before="240" w:after="240"/>
              <w:jc w:val="both"/>
              <w:rPr>
                <w:rFonts w:ascii="Palatino Linotype" w:eastAsia="Palatino Linotype" w:hAnsi="Palatino Linotype" w:cs="Palatino Linotype"/>
                <w:sz w:val="20"/>
                <w:szCs w:val="20"/>
              </w:rPr>
            </w:pPr>
            <w:r w:rsidRPr="006257F6">
              <w:rPr>
                <w:rFonts w:ascii="Palatino Linotype" w:eastAsia="Palatino Linotype" w:hAnsi="Palatino Linotype" w:cs="Palatino Linotype"/>
                <w:sz w:val="20"/>
                <w:szCs w:val="20"/>
              </w:rPr>
              <w:t xml:space="preserve">No.  </w:t>
            </w:r>
          </w:p>
        </w:tc>
      </w:tr>
    </w:tbl>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De acuerdo a la respuesta e informe justificado la Oficialía de Partes, menciona que el seguimiento y respuesta a las peticiones se encuentra a cargo de las áreas a las que fueron turnadas, mismas que no rinden un informe estadístico de cuantas son favorables o no, teniendo la Oficialía de Partes como única atribución verificar que la unidad correspondiente reciba la documentación, circunstancia por la que se cita la siguiente normatividad. </w:t>
      </w:r>
    </w:p>
    <w:p w:rsidR="00B764BF" w:rsidRPr="006257F6" w:rsidRDefault="00B764BF">
      <w:pPr>
        <w:spacing w:line="276" w:lineRule="auto"/>
        <w:ind w:left="851" w:right="899"/>
        <w:jc w:val="both"/>
        <w:rPr>
          <w:rFonts w:ascii="Palatino Linotype" w:eastAsia="Palatino Linotype" w:hAnsi="Palatino Linotype" w:cs="Palatino Linotype"/>
          <w:b/>
          <w:i/>
        </w:rPr>
      </w:pPr>
    </w:p>
    <w:p w:rsidR="00B764BF" w:rsidRPr="006257F6" w:rsidRDefault="0058544B">
      <w:pPr>
        <w:spacing w:line="276" w:lineRule="auto"/>
        <w:ind w:left="851" w:right="899"/>
        <w:jc w:val="both"/>
        <w:rPr>
          <w:rFonts w:ascii="Palatino Linotype" w:eastAsia="Palatino Linotype" w:hAnsi="Palatino Linotype" w:cs="Palatino Linotype"/>
          <w:i/>
        </w:rPr>
      </w:pPr>
      <w:r w:rsidRPr="006257F6">
        <w:rPr>
          <w:rFonts w:ascii="Palatino Linotype" w:eastAsia="Palatino Linotype" w:hAnsi="Palatino Linotype" w:cs="Palatino Linotype"/>
          <w:b/>
          <w:i/>
        </w:rPr>
        <w:lastRenderedPageBreak/>
        <w:t>REGLAMENTO INTERIOR DE LA ADMINISTRACIÓN PÚBLICA MUNICIPAL DE TEOLOYUCAN, ESTADO DE MÉXICO.</w:t>
      </w:r>
    </w:p>
    <w:p w:rsidR="00B764BF" w:rsidRPr="006257F6" w:rsidRDefault="0058544B">
      <w:pPr>
        <w:spacing w:line="276" w:lineRule="auto"/>
        <w:ind w:left="851" w:right="899"/>
        <w:jc w:val="both"/>
        <w:rPr>
          <w:rFonts w:ascii="Palatino Linotype" w:eastAsia="Palatino Linotype" w:hAnsi="Palatino Linotype" w:cs="Palatino Linotype"/>
          <w:i/>
        </w:rPr>
      </w:pPr>
      <w:r w:rsidRPr="006257F6">
        <w:rPr>
          <w:rFonts w:ascii="Palatino Linotype" w:eastAsia="Palatino Linotype" w:hAnsi="Palatino Linotype" w:cs="Palatino Linotype"/>
          <w:i/>
        </w:rPr>
        <w:t>Artículo 35. La jefatura de Oficialía de partes, tendrá las atribuciones siguientes:</w:t>
      </w:r>
    </w:p>
    <w:p w:rsidR="00B764BF" w:rsidRPr="006257F6" w:rsidRDefault="0058544B">
      <w:pPr>
        <w:spacing w:line="276" w:lineRule="auto"/>
        <w:ind w:left="851" w:right="899"/>
        <w:jc w:val="both"/>
        <w:rPr>
          <w:rFonts w:ascii="Palatino Linotype" w:eastAsia="Palatino Linotype" w:hAnsi="Palatino Linotype" w:cs="Palatino Linotype"/>
          <w:i/>
        </w:rPr>
      </w:pPr>
      <w:r w:rsidRPr="006257F6">
        <w:rPr>
          <w:rFonts w:ascii="Palatino Linotype" w:eastAsia="Palatino Linotype" w:hAnsi="Palatino Linotype" w:cs="Palatino Linotype"/>
          <w:i/>
        </w:rPr>
        <w:t>(…)</w:t>
      </w:r>
    </w:p>
    <w:p w:rsidR="00B764BF" w:rsidRPr="006257F6" w:rsidRDefault="0058544B">
      <w:pPr>
        <w:spacing w:line="276" w:lineRule="auto"/>
        <w:ind w:left="851" w:right="899"/>
        <w:jc w:val="both"/>
        <w:rPr>
          <w:rFonts w:ascii="Palatino Linotype" w:eastAsia="Palatino Linotype" w:hAnsi="Palatino Linotype" w:cs="Palatino Linotype"/>
          <w:i/>
        </w:rPr>
      </w:pPr>
      <w:r w:rsidRPr="006257F6">
        <w:rPr>
          <w:rFonts w:ascii="Palatino Linotype" w:eastAsia="Palatino Linotype" w:hAnsi="Palatino Linotype" w:cs="Palatino Linotype"/>
          <w:i/>
        </w:rPr>
        <w:t>III</w:t>
      </w:r>
      <w:r w:rsidRPr="006257F6">
        <w:rPr>
          <w:rFonts w:ascii="Palatino Linotype" w:eastAsia="Palatino Linotype" w:hAnsi="Palatino Linotype" w:cs="Palatino Linotype"/>
          <w:b/>
          <w:i/>
          <w:u w:val="single"/>
        </w:rPr>
        <w:t>. Verificar en su caso que se haya dado seguimiento o contestación a los oficios por conducto,</w:t>
      </w:r>
      <w:r w:rsidRPr="006257F6">
        <w:rPr>
          <w:rFonts w:ascii="Palatino Linotype" w:eastAsia="Palatino Linotype" w:hAnsi="Palatino Linotype" w:cs="Palatino Linotype"/>
          <w:i/>
        </w:rPr>
        <w:t xml:space="preserve"> de las dependencias, coordinación, unidades y organismos desconcentrados.</w:t>
      </w: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Conforme a ello, la Jefatura de Oficialía de Partes, verifica que se haya dado seguimiento o contestación a los oficios por conducto de las dependencias, coordinación, unidades y organismos desconcentrados, con lo que se confirma lo pronunciado en respuesta por </w:t>
      </w:r>
      <w:r w:rsidRPr="006257F6">
        <w:rPr>
          <w:rFonts w:ascii="Palatino Linotype" w:eastAsia="Palatino Linotype" w:hAnsi="Palatino Linotype" w:cs="Palatino Linotype"/>
          <w:b/>
          <w:sz w:val="24"/>
          <w:szCs w:val="24"/>
        </w:rPr>
        <w:t>EL SUJETO OBLIGADO</w:t>
      </w:r>
      <w:r w:rsidRPr="006257F6">
        <w:rPr>
          <w:rFonts w:ascii="Palatino Linotype" w:eastAsia="Palatino Linotype" w:hAnsi="Palatino Linotype" w:cs="Palatino Linotype"/>
          <w:sz w:val="24"/>
          <w:szCs w:val="24"/>
        </w:rPr>
        <w:t xml:space="preserve">, ya que si bien verifica el seguimiento y contestación a los oficios, este no está obligado a precisar el sentido de las contestaciones, es decir, no cuenta con las atribuciones para saber si las respuestas otorgadas fueron favorables, siendo necesario señalar lo que establece el artículo 12 de la Ley de Transparencia Estatal, antes citado, ya que la entrega de la información no comprende el procesamiento de la misma, sin contar con la obligación de generar un documento </w:t>
      </w:r>
      <w:r w:rsidRPr="006257F6">
        <w:rPr>
          <w:rFonts w:ascii="Palatino Linotype" w:eastAsia="Palatino Linotype" w:hAnsi="Palatino Linotype" w:cs="Palatino Linotype"/>
          <w:i/>
          <w:sz w:val="24"/>
          <w:szCs w:val="24"/>
        </w:rPr>
        <w:t>ad hoc</w:t>
      </w:r>
      <w:r w:rsidRPr="006257F6">
        <w:rPr>
          <w:rFonts w:ascii="Palatino Linotype" w:eastAsia="Palatino Linotype" w:hAnsi="Palatino Linotype" w:cs="Palatino Linotype"/>
          <w:sz w:val="24"/>
          <w:szCs w:val="24"/>
        </w:rPr>
        <w:t xml:space="preserve"> es decir, el Ayuntamiento de Teoloyucan, no se encuentra obligado a realizar cálculos o practicar investigaciones para proporcionar la información que requieren los solicitantes, ya que el derecho de acceso a la información pública se satisface en aquellos casos en que se entregue el documento en que conste la información pública por lo que, no es susceptible de atender este punto de la solicitud, conforme a lo señalado por la particular. </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tabs>
          <w:tab w:val="left" w:pos="4962"/>
        </w:tabs>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lastRenderedPageBreak/>
        <w:t xml:space="preserve">Por lo anterior, se observa que deviene procedente </w:t>
      </w:r>
      <w:r w:rsidRPr="006257F6">
        <w:rPr>
          <w:rFonts w:ascii="Palatino Linotype" w:eastAsia="Palatino Linotype" w:hAnsi="Palatino Linotype" w:cs="Palatino Linotype"/>
          <w:b/>
          <w:sz w:val="24"/>
          <w:szCs w:val="24"/>
        </w:rPr>
        <w:t xml:space="preserve">CONFIRMAR </w:t>
      </w:r>
      <w:r w:rsidRPr="006257F6">
        <w:rPr>
          <w:rFonts w:ascii="Palatino Linotype" w:eastAsia="Palatino Linotype" w:hAnsi="Palatino Linotype" w:cs="Palatino Linotype"/>
          <w:sz w:val="24"/>
          <w:szCs w:val="24"/>
        </w:rPr>
        <w:t xml:space="preserve">la respuesta brindada al requerimiento de información de la solicitud de información </w:t>
      </w:r>
      <w:r w:rsidRPr="006257F6">
        <w:rPr>
          <w:rFonts w:ascii="Palatino Linotype" w:eastAsia="Palatino Linotype" w:hAnsi="Palatino Linotype" w:cs="Palatino Linotype"/>
          <w:b/>
          <w:sz w:val="24"/>
          <w:szCs w:val="24"/>
        </w:rPr>
        <w:t>00044/TEOLOYU/IP/2023</w:t>
      </w:r>
      <w:r w:rsidRPr="006257F6">
        <w:rPr>
          <w:rFonts w:ascii="Palatino Linotype" w:eastAsia="Palatino Linotype" w:hAnsi="Palatino Linotype" w:cs="Palatino Linotype"/>
          <w:sz w:val="24"/>
          <w:szCs w:val="24"/>
        </w:rPr>
        <w:t>.</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Así, con fundamento en lo prescrito en los artículos 5 párrafos trigésimo segundo, trigésimo tercero y trigésimo cuarto fracciones IV y V de la Constitución Política del Estado Libre y Soberano de México; 2, fracción II; 29, 36 fracciones I y II; 176, 178, 181, 185 de la Ley de Transparencia y Acceso a la Información Pública del Estado de México y Municipios, este Pleno:</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Pr="006257F6" w:rsidRDefault="0058544B">
      <w:pPr>
        <w:spacing w:after="0" w:line="360" w:lineRule="auto"/>
        <w:ind w:right="-93"/>
        <w:jc w:val="center"/>
        <w:rPr>
          <w:rFonts w:ascii="Palatino Linotype" w:eastAsia="Palatino Linotype" w:hAnsi="Palatino Linotype" w:cs="Palatino Linotype"/>
          <w:b/>
          <w:sz w:val="24"/>
          <w:szCs w:val="24"/>
        </w:rPr>
      </w:pPr>
      <w:r w:rsidRPr="006257F6">
        <w:rPr>
          <w:rFonts w:ascii="Palatino Linotype" w:eastAsia="Palatino Linotype" w:hAnsi="Palatino Linotype" w:cs="Palatino Linotype"/>
          <w:b/>
          <w:sz w:val="24"/>
          <w:szCs w:val="24"/>
        </w:rPr>
        <w:t>R E S U E L V E:</w:t>
      </w:r>
    </w:p>
    <w:p w:rsidR="00B764BF" w:rsidRPr="006257F6" w:rsidRDefault="00B764BF">
      <w:pPr>
        <w:spacing w:after="0" w:line="360" w:lineRule="auto"/>
        <w:ind w:right="-93"/>
        <w:jc w:val="center"/>
        <w:rPr>
          <w:rFonts w:ascii="Palatino Linotype" w:eastAsia="Palatino Linotype" w:hAnsi="Palatino Linotype" w:cs="Palatino Linotype"/>
          <w:b/>
          <w:sz w:val="24"/>
          <w:szCs w:val="24"/>
        </w:rPr>
      </w:pPr>
    </w:p>
    <w:p w:rsidR="00B764BF" w:rsidRPr="006257F6" w:rsidRDefault="0058544B">
      <w:pPr>
        <w:spacing w:after="0" w:line="360" w:lineRule="auto"/>
        <w:ind w:right="51"/>
        <w:jc w:val="both"/>
        <w:rPr>
          <w:rFonts w:ascii="Palatino Linotype" w:eastAsia="Palatino Linotype" w:hAnsi="Palatino Linotype" w:cs="Palatino Linotype"/>
          <w:b/>
          <w:sz w:val="24"/>
          <w:szCs w:val="24"/>
        </w:rPr>
      </w:pPr>
      <w:bookmarkStart w:id="1" w:name="_heading=h.gjdgxs" w:colFirst="0" w:colLast="0"/>
      <w:bookmarkEnd w:id="1"/>
      <w:r w:rsidRPr="006257F6">
        <w:rPr>
          <w:rFonts w:ascii="Palatino Linotype" w:eastAsia="Palatino Linotype" w:hAnsi="Palatino Linotype" w:cs="Palatino Linotype"/>
          <w:b/>
          <w:sz w:val="24"/>
          <w:szCs w:val="24"/>
        </w:rPr>
        <w:t xml:space="preserve">PRIMERO. </w:t>
      </w:r>
      <w:r w:rsidRPr="006257F6">
        <w:rPr>
          <w:rFonts w:ascii="Palatino Linotype" w:eastAsia="Palatino Linotype" w:hAnsi="Palatino Linotype" w:cs="Palatino Linotype"/>
          <w:sz w:val="24"/>
          <w:szCs w:val="24"/>
        </w:rPr>
        <w:t xml:space="preserve">Resultan infundados los motivos de inconformidad aducidos por </w:t>
      </w:r>
      <w:r w:rsidRPr="006257F6">
        <w:rPr>
          <w:rFonts w:ascii="Palatino Linotype" w:eastAsia="Palatino Linotype" w:hAnsi="Palatino Linotype" w:cs="Palatino Linotype"/>
          <w:b/>
          <w:sz w:val="24"/>
          <w:szCs w:val="24"/>
        </w:rPr>
        <w:t>LA</w:t>
      </w:r>
      <w:r w:rsidRPr="006257F6">
        <w:rPr>
          <w:rFonts w:ascii="Palatino Linotype" w:eastAsia="Palatino Linotype" w:hAnsi="Palatino Linotype" w:cs="Palatino Linotype"/>
          <w:sz w:val="24"/>
          <w:szCs w:val="24"/>
        </w:rPr>
        <w:t xml:space="preserve"> </w:t>
      </w:r>
      <w:r w:rsidRPr="006257F6">
        <w:rPr>
          <w:rFonts w:ascii="Palatino Linotype" w:eastAsia="Palatino Linotype" w:hAnsi="Palatino Linotype" w:cs="Palatino Linotype"/>
          <w:b/>
          <w:sz w:val="24"/>
          <w:szCs w:val="24"/>
        </w:rPr>
        <w:t>RECURRENTE</w:t>
      </w:r>
      <w:r w:rsidRPr="006257F6">
        <w:rPr>
          <w:rFonts w:ascii="Palatino Linotype" w:eastAsia="Palatino Linotype" w:hAnsi="Palatino Linotype" w:cs="Palatino Linotype"/>
          <w:sz w:val="24"/>
          <w:szCs w:val="24"/>
        </w:rPr>
        <w:t xml:space="preserve"> en el recurso de revisión </w:t>
      </w:r>
      <w:r w:rsidRPr="006257F6">
        <w:rPr>
          <w:rFonts w:ascii="Palatino Linotype" w:eastAsia="Palatino Linotype" w:hAnsi="Palatino Linotype" w:cs="Palatino Linotype"/>
          <w:b/>
          <w:sz w:val="24"/>
          <w:szCs w:val="24"/>
        </w:rPr>
        <w:t xml:space="preserve">01989/INFOEM/IP/RR/2023 </w:t>
      </w:r>
      <w:r w:rsidRPr="006257F6">
        <w:rPr>
          <w:rFonts w:ascii="Palatino Linotype" w:eastAsia="Palatino Linotype" w:hAnsi="Palatino Linotype" w:cs="Palatino Linotype"/>
          <w:sz w:val="24"/>
          <w:szCs w:val="24"/>
        </w:rPr>
        <w:t xml:space="preserve">por lo que, en términos del Considerando Cuarto de esta resolución, se </w:t>
      </w:r>
      <w:r w:rsidRPr="006257F6">
        <w:rPr>
          <w:rFonts w:ascii="Palatino Linotype" w:eastAsia="Palatino Linotype" w:hAnsi="Palatino Linotype" w:cs="Palatino Linotype"/>
          <w:b/>
          <w:sz w:val="24"/>
          <w:szCs w:val="24"/>
        </w:rPr>
        <w:t>CONFIRMA</w:t>
      </w:r>
      <w:r w:rsidRPr="006257F6">
        <w:rPr>
          <w:rFonts w:ascii="Palatino Linotype" w:eastAsia="Palatino Linotype" w:hAnsi="Palatino Linotype" w:cs="Palatino Linotype"/>
          <w:sz w:val="24"/>
          <w:szCs w:val="24"/>
        </w:rPr>
        <w:t xml:space="preserve"> la respuesta del </w:t>
      </w:r>
      <w:r w:rsidRPr="006257F6">
        <w:rPr>
          <w:rFonts w:ascii="Palatino Linotype" w:eastAsia="Palatino Linotype" w:hAnsi="Palatino Linotype" w:cs="Palatino Linotype"/>
          <w:b/>
          <w:sz w:val="24"/>
          <w:szCs w:val="24"/>
        </w:rPr>
        <w:t>SUJETO OBLIGADO.</w:t>
      </w:r>
    </w:p>
    <w:p w:rsidR="00B764BF" w:rsidRPr="006257F6"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 xml:space="preserve"> </w:t>
      </w:r>
    </w:p>
    <w:p w:rsidR="00B764BF" w:rsidRPr="006257F6" w:rsidRDefault="0058544B">
      <w:pPr>
        <w:spacing w:after="0" w:line="360" w:lineRule="auto"/>
        <w:ind w:right="51"/>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SEGUNDO. NOTIFÍQUESE </w:t>
      </w:r>
      <w:r w:rsidRPr="006257F6">
        <w:rPr>
          <w:rFonts w:ascii="Palatino Linotype" w:eastAsia="Palatino Linotype" w:hAnsi="Palatino Linotype" w:cs="Palatino Linotype"/>
          <w:sz w:val="24"/>
          <w:szCs w:val="24"/>
        </w:rPr>
        <w:t xml:space="preserve">vía SAIMEX la presente resolución al Titular de la Unidad de Transparencia del </w:t>
      </w:r>
      <w:r w:rsidRPr="006257F6">
        <w:rPr>
          <w:rFonts w:ascii="Palatino Linotype" w:eastAsia="Palatino Linotype" w:hAnsi="Palatino Linotype" w:cs="Palatino Linotype"/>
          <w:b/>
          <w:sz w:val="24"/>
          <w:szCs w:val="24"/>
        </w:rPr>
        <w:t>SUJETO OBLIGADO</w:t>
      </w:r>
      <w:r w:rsidRPr="006257F6">
        <w:rPr>
          <w:rFonts w:ascii="Palatino Linotype" w:eastAsia="Palatino Linotype" w:hAnsi="Palatino Linotype" w:cs="Palatino Linotype"/>
          <w:sz w:val="24"/>
          <w:szCs w:val="24"/>
        </w:rPr>
        <w:t>, para su conocimiento.</w:t>
      </w:r>
    </w:p>
    <w:p w:rsidR="00B764BF" w:rsidRPr="006257F6" w:rsidRDefault="00B764BF">
      <w:pPr>
        <w:spacing w:after="0" w:line="360" w:lineRule="auto"/>
        <w:ind w:right="51"/>
        <w:jc w:val="both"/>
        <w:rPr>
          <w:rFonts w:ascii="Palatino Linotype" w:eastAsia="Palatino Linotype" w:hAnsi="Palatino Linotype" w:cs="Palatino Linotype"/>
          <w:sz w:val="24"/>
          <w:szCs w:val="24"/>
        </w:rPr>
      </w:pPr>
    </w:p>
    <w:p w:rsidR="00B764BF" w:rsidRPr="006257F6" w:rsidRDefault="0058544B">
      <w:pPr>
        <w:spacing w:after="0" w:line="360" w:lineRule="auto"/>
        <w:ind w:right="51"/>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b/>
          <w:sz w:val="24"/>
          <w:szCs w:val="24"/>
        </w:rPr>
        <w:t xml:space="preserve">TERCERO. NOTIFÍQUESE vía SAIMEX </w:t>
      </w:r>
      <w:r w:rsidRPr="006257F6">
        <w:rPr>
          <w:rFonts w:ascii="Palatino Linotype" w:eastAsia="Palatino Linotype" w:hAnsi="Palatino Linotype" w:cs="Palatino Linotype"/>
          <w:sz w:val="24"/>
          <w:szCs w:val="24"/>
        </w:rPr>
        <w:t>a</w:t>
      </w:r>
      <w:r w:rsidRPr="006257F6">
        <w:rPr>
          <w:rFonts w:ascii="Palatino Linotype" w:eastAsia="Palatino Linotype" w:hAnsi="Palatino Linotype" w:cs="Palatino Linotype"/>
          <w:b/>
          <w:sz w:val="24"/>
          <w:szCs w:val="24"/>
        </w:rPr>
        <w:t xml:space="preserve"> LA PARTE RECURRENTE</w:t>
      </w:r>
      <w:r w:rsidRPr="006257F6">
        <w:rPr>
          <w:rFonts w:ascii="Palatino Linotype" w:eastAsia="Palatino Linotype" w:hAnsi="Palatino Linotype" w:cs="Palatino Linotype"/>
          <w:sz w:val="24"/>
          <w:szCs w:val="24"/>
        </w:rPr>
        <w:t xml:space="preserve">, la presente resolución, además que de conformidad con lo establecido en el artículo 196 de la Ley de Transparencia y Acceso a la Información Pública del Estado de México y </w:t>
      </w:r>
      <w:r w:rsidRPr="006257F6">
        <w:rPr>
          <w:rFonts w:ascii="Palatino Linotype" w:eastAsia="Palatino Linotype" w:hAnsi="Palatino Linotype" w:cs="Palatino Linotype"/>
          <w:sz w:val="24"/>
          <w:szCs w:val="24"/>
        </w:rPr>
        <w:lastRenderedPageBreak/>
        <w:t>Municipios, podrá impugnarla vía Juicio de Amparo en los términos de las leyes aplicables.</w:t>
      </w:r>
    </w:p>
    <w:p w:rsidR="00B764BF" w:rsidRPr="006257F6" w:rsidRDefault="00B764BF">
      <w:pPr>
        <w:spacing w:after="0" w:line="360" w:lineRule="auto"/>
        <w:jc w:val="both"/>
        <w:rPr>
          <w:rFonts w:ascii="Palatino Linotype" w:eastAsia="Palatino Linotype" w:hAnsi="Palatino Linotype" w:cs="Palatino Linotype"/>
          <w:sz w:val="24"/>
          <w:szCs w:val="24"/>
        </w:rPr>
      </w:pPr>
    </w:p>
    <w:p w:rsidR="00B764BF" w:rsidRDefault="0058544B">
      <w:pPr>
        <w:spacing w:after="0" w:line="360" w:lineRule="auto"/>
        <w:jc w:val="both"/>
        <w:rPr>
          <w:rFonts w:ascii="Palatino Linotype" w:eastAsia="Palatino Linotype" w:hAnsi="Palatino Linotype" w:cs="Palatino Linotype"/>
          <w:sz w:val="24"/>
          <w:szCs w:val="24"/>
        </w:rPr>
      </w:pPr>
      <w:r w:rsidRPr="006257F6">
        <w:rPr>
          <w:rFonts w:ascii="Palatino Linotype" w:eastAsia="Palatino Linotype" w:hAnsi="Palatino Linotype" w:cs="Palatino Linotype"/>
          <w:sz w:val="24"/>
          <w:szCs w:val="24"/>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TRIGÉSIMA SEXTA SESIÓN ORDINARIA CELEBRADA EL TRES DE OCTUBRE DE DOS MIL VEINTITRÉS, ANTE EL SECRETARIO TÉCNICO DEL PLENO ALEXIS TAPIA RAMÍREZ.</w:t>
      </w:r>
    </w:p>
    <w:p w:rsidR="00D844C3" w:rsidRDefault="00D844C3">
      <w:pPr>
        <w:spacing w:after="0" w:line="360" w:lineRule="auto"/>
        <w:jc w:val="both"/>
        <w:rPr>
          <w:rFonts w:ascii="Palatino Linotype" w:eastAsia="Palatino Linotype" w:hAnsi="Palatino Linotype" w:cs="Palatino Linotype"/>
          <w:sz w:val="24"/>
          <w:szCs w:val="24"/>
        </w:rPr>
      </w:pPr>
    </w:p>
    <w:p w:rsidR="00D844C3" w:rsidRDefault="00D844C3">
      <w:pPr>
        <w:spacing w:after="0" w:line="360" w:lineRule="auto"/>
        <w:jc w:val="both"/>
        <w:rPr>
          <w:rFonts w:ascii="Palatino Linotype" w:eastAsia="Palatino Linotype" w:hAnsi="Palatino Linotype" w:cs="Palatino Linotype"/>
          <w:sz w:val="24"/>
          <w:szCs w:val="24"/>
        </w:rPr>
      </w:pPr>
    </w:p>
    <w:p w:rsidR="00D844C3" w:rsidRDefault="00D844C3">
      <w:pPr>
        <w:spacing w:after="0" w:line="360" w:lineRule="auto"/>
        <w:jc w:val="both"/>
        <w:rPr>
          <w:rFonts w:ascii="Palatino Linotype" w:eastAsia="Palatino Linotype" w:hAnsi="Palatino Linotype" w:cs="Palatino Linotype"/>
          <w:sz w:val="24"/>
          <w:szCs w:val="24"/>
        </w:rPr>
      </w:pPr>
    </w:p>
    <w:p w:rsidR="00D844C3" w:rsidRDefault="00D844C3">
      <w:pPr>
        <w:spacing w:after="0" w:line="360" w:lineRule="auto"/>
        <w:jc w:val="both"/>
        <w:rPr>
          <w:rFonts w:ascii="Palatino Linotype" w:eastAsia="Palatino Linotype" w:hAnsi="Palatino Linotype" w:cs="Palatino Linotype"/>
          <w:sz w:val="24"/>
          <w:szCs w:val="24"/>
        </w:rPr>
      </w:pPr>
    </w:p>
    <w:p w:rsidR="00D844C3" w:rsidRDefault="00D844C3">
      <w:pPr>
        <w:spacing w:after="0" w:line="360" w:lineRule="auto"/>
        <w:jc w:val="both"/>
        <w:rPr>
          <w:rFonts w:ascii="Palatino Linotype" w:eastAsia="Palatino Linotype" w:hAnsi="Palatino Linotype" w:cs="Palatino Linotype"/>
          <w:sz w:val="24"/>
          <w:szCs w:val="24"/>
        </w:rPr>
      </w:pPr>
    </w:p>
    <w:p w:rsidR="00D844C3" w:rsidRDefault="00D844C3">
      <w:pPr>
        <w:spacing w:after="0" w:line="360" w:lineRule="auto"/>
        <w:jc w:val="both"/>
        <w:rPr>
          <w:rFonts w:ascii="Palatino Linotype" w:eastAsia="Palatino Linotype" w:hAnsi="Palatino Linotype" w:cs="Palatino Linotype"/>
          <w:sz w:val="24"/>
          <w:szCs w:val="24"/>
        </w:rPr>
      </w:pPr>
    </w:p>
    <w:p w:rsidR="00D844C3" w:rsidRDefault="00D844C3">
      <w:pPr>
        <w:spacing w:after="0" w:line="360" w:lineRule="auto"/>
        <w:jc w:val="both"/>
        <w:rPr>
          <w:rFonts w:ascii="Palatino Linotype" w:eastAsia="Palatino Linotype" w:hAnsi="Palatino Linotype" w:cs="Palatino Linotype"/>
          <w:sz w:val="24"/>
          <w:szCs w:val="24"/>
        </w:rPr>
      </w:pPr>
    </w:p>
    <w:p w:rsidR="00D844C3" w:rsidRDefault="00D844C3">
      <w:pPr>
        <w:spacing w:after="0" w:line="360" w:lineRule="auto"/>
        <w:jc w:val="both"/>
        <w:rPr>
          <w:rFonts w:ascii="Palatino Linotype" w:eastAsia="Palatino Linotype" w:hAnsi="Palatino Linotype" w:cs="Palatino Linotype"/>
          <w:sz w:val="24"/>
          <w:szCs w:val="24"/>
        </w:rPr>
      </w:pPr>
    </w:p>
    <w:p w:rsidR="00D844C3" w:rsidRDefault="00D844C3">
      <w:pPr>
        <w:spacing w:after="0" w:line="360" w:lineRule="auto"/>
        <w:jc w:val="both"/>
        <w:rPr>
          <w:rFonts w:ascii="Palatino Linotype" w:eastAsia="Palatino Linotype" w:hAnsi="Palatino Linotype" w:cs="Palatino Linotype"/>
          <w:sz w:val="24"/>
          <w:szCs w:val="24"/>
        </w:rPr>
      </w:pPr>
    </w:p>
    <w:p w:rsidR="00D844C3" w:rsidRDefault="00D844C3">
      <w:pPr>
        <w:spacing w:after="0" w:line="360" w:lineRule="auto"/>
        <w:jc w:val="both"/>
        <w:rPr>
          <w:rFonts w:ascii="Palatino Linotype" w:eastAsia="Palatino Linotype" w:hAnsi="Palatino Linotype" w:cs="Palatino Linotype"/>
          <w:sz w:val="24"/>
          <w:szCs w:val="24"/>
        </w:rPr>
      </w:pPr>
    </w:p>
    <w:p w:rsidR="00D844C3" w:rsidRDefault="00D844C3">
      <w:pPr>
        <w:spacing w:after="0" w:line="360" w:lineRule="auto"/>
        <w:jc w:val="both"/>
        <w:rPr>
          <w:rFonts w:ascii="Palatino Linotype" w:eastAsia="Palatino Linotype" w:hAnsi="Palatino Linotype" w:cs="Palatino Linotype"/>
          <w:sz w:val="24"/>
          <w:szCs w:val="24"/>
        </w:rPr>
      </w:pPr>
    </w:p>
    <w:p w:rsidR="00D844C3" w:rsidRDefault="00D844C3">
      <w:pPr>
        <w:spacing w:after="0" w:line="360" w:lineRule="auto"/>
        <w:jc w:val="both"/>
        <w:rPr>
          <w:rFonts w:ascii="Palatino Linotype" w:eastAsia="Palatino Linotype" w:hAnsi="Palatino Linotype" w:cs="Palatino Linotype"/>
          <w:sz w:val="24"/>
          <w:szCs w:val="24"/>
        </w:rPr>
      </w:pPr>
    </w:p>
    <w:p w:rsidR="00D844C3" w:rsidRDefault="00D844C3">
      <w:pPr>
        <w:spacing w:after="0" w:line="360" w:lineRule="auto"/>
        <w:jc w:val="both"/>
        <w:rPr>
          <w:rFonts w:ascii="Palatino Linotype" w:eastAsia="Palatino Linotype" w:hAnsi="Palatino Linotype" w:cs="Palatino Linotype"/>
          <w:sz w:val="24"/>
          <w:szCs w:val="24"/>
        </w:rPr>
      </w:pPr>
    </w:p>
    <w:p w:rsidR="00D844C3" w:rsidRPr="006257F6" w:rsidRDefault="00D844C3">
      <w:pPr>
        <w:spacing w:after="0" w:line="360" w:lineRule="auto"/>
        <w:jc w:val="both"/>
        <w:rPr>
          <w:rFonts w:ascii="Palatino Linotype" w:eastAsia="Palatino Linotype" w:hAnsi="Palatino Linotype" w:cs="Palatino Linotype"/>
          <w:sz w:val="24"/>
          <w:szCs w:val="24"/>
        </w:rPr>
      </w:pPr>
    </w:p>
    <w:p w:rsidR="00B764BF" w:rsidRPr="006257F6" w:rsidRDefault="00B764BF">
      <w:pPr>
        <w:spacing w:after="280" w:line="360" w:lineRule="auto"/>
        <w:jc w:val="both"/>
        <w:rPr>
          <w:rFonts w:ascii="Palatino Linotype" w:eastAsia="Palatino Linotype" w:hAnsi="Palatino Linotype" w:cs="Palatino Linotype"/>
          <w:sz w:val="28"/>
          <w:szCs w:val="28"/>
        </w:rPr>
      </w:pPr>
    </w:p>
    <w:sectPr w:rsidR="00B764BF" w:rsidRPr="006257F6">
      <w:headerReference w:type="default" r:id="rId14"/>
      <w:footerReference w:type="default" r:id="rId15"/>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E0835" w:rsidRDefault="00FE0835">
      <w:pPr>
        <w:spacing w:after="0" w:line="240" w:lineRule="auto"/>
      </w:pPr>
      <w:r>
        <w:separator/>
      </w:r>
    </w:p>
  </w:endnote>
  <w:endnote w:type="continuationSeparator" w:id="0">
    <w:p w:rsidR="00FE0835" w:rsidRDefault="00FE08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64BF" w:rsidRDefault="0058544B">
    <w:pPr>
      <w:pBdr>
        <w:top w:val="nil"/>
        <w:left w:val="nil"/>
        <w:bottom w:val="nil"/>
        <w:right w:val="nil"/>
        <w:between w:val="nil"/>
      </w:pBdr>
      <w:tabs>
        <w:tab w:val="center" w:pos="4419"/>
        <w:tab w:val="right" w:pos="8838"/>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A954FE">
      <w:rPr>
        <w:rFonts w:ascii="Arial" w:eastAsia="Arial" w:hAnsi="Arial" w:cs="Arial"/>
        <w:b/>
        <w:noProof/>
        <w:color w:val="000000"/>
        <w:sz w:val="20"/>
        <w:szCs w:val="20"/>
      </w:rPr>
      <w:t>35</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A954FE">
      <w:rPr>
        <w:rFonts w:ascii="Arial" w:eastAsia="Arial" w:hAnsi="Arial" w:cs="Arial"/>
        <w:b/>
        <w:noProof/>
        <w:color w:val="000000"/>
        <w:sz w:val="20"/>
        <w:szCs w:val="20"/>
      </w:rPr>
      <w:t>35</w:t>
    </w:r>
    <w:r>
      <w:rPr>
        <w:rFonts w:ascii="Arial" w:eastAsia="Arial" w:hAnsi="Arial" w:cs="Arial"/>
        <w:b/>
        <w:color w:val="000000"/>
        <w:sz w:val="20"/>
        <w:szCs w:val="20"/>
      </w:rPr>
      <w:fldChar w:fldCharType="end"/>
    </w:r>
  </w:p>
  <w:p w:rsidR="00B764BF" w:rsidRDefault="00B764BF">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E0835" w:rsidRDefault="00FE0835">
      <w:pPr>
        <w:spacing w:after="0" w:line="240" w:lineRule="auto"/>
      </w:pPr>
      <w:r>
        <w:separator/>
      </w:r>
    </w:p>
  </w:footnote>
  <w:footnote w:type="continuationSeparator" w:id="0">
    <w:p w:rsidR="00FE0835" w:rsidRDefault="00FE0835">
      <w:pPr>
        <w:spacing w:after="0" w:line="240" w:lineRule="auto"/>
      </w:pPr>
      <w:r>
        <w:continuationSeparator/>
      </w:r>
    </w:p>
  </w:footnote>
  <w:footnote w:id="1">
    <w:p w:rsidR="00B764BF" w:rsidRDefault="0058544B">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rFonts w:ascii="Palatino Linotype" w:eastAsia="Palatino Linotype" w:hAnsi="Palatino Linotype" w:cs="Palatino Linotype"/>
          <w:color w:val="000000"/>
          <w:sz w:val="16"/>
          <w:szCs w:val="16"/>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r>
        <w:rPr>
          <w:color w:val="000000"/>
          <w:sz w:val="20"/>
          <w:szCs w:val="20"/>
        </w:rPr>
        <w:t xml:space="preserve"> (…)</w:t>
      </w:r>
    </w:p>
  </w:footnote>
  <w:footnote w:id="2">
    <w:p w:rsidR="00B764BF" w:rsidRDefault="0058544B">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9"/>
          <w:szCs w:val="19"/>
        </w:rPr>
        <w:t xml:space="preserve"> </w:t>
      </w:r>
      <w:r>
        <w:rPr>
          <w:rFonts w:ascii="Palatino Linotype" w:eastAsia="Palatino Linotype" w:hAnsi="Palatino Linotype" w:cs="Palatino Linotype"/>
          <w:color w:val="000000"/>
          <w:sz w:val="16"/>
          <w:szCs w:val="16"/>
        </w:rPr>
        <w:t>“Artículo 3. Para los efectos de la presente Ley se entenderá por: (…) XXII. Información de interés público: Se refiere a la información que resulta relevante o beneficiosa para la sociedad y no simplemente de interés individual, cuya divulgación resulta útil para que el público comprenda las actividades que llevan a cabo los sujetos obligados…”</w:t>
      </w:r>
    </w:p>
  </w:footnote>
  <w:footnote w:id="3">
    <w:p w:rsidR="00B764BF" w:rsidRDefault="0058544B">
      <w:pPr>
        <w:ind w:left="720" w:hanging="720"/>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Artículo 185.</w:t>
      </w:r>
      <w:r>
        <w:rPr>
          <w:rFonts w:ascii="Palatino Linotype" w:eastAsia="Palatino Linotype" w:hAnsi="Palatino Linotype" w:cs="Palatino Linotype"/>
          <w:color w:val="000000"/>
          <w:sz w:val="16"/>
          <w:szCs w:val="16"/>
        </w:rPr>
        <w:t xml:space="preserve"> El Instituto resolverá el recurso de revisión conforme a lo siguiente: (…)</w:t>
      </w:r>
    </w:p>
    <w:p w:rsidR="00B764BF" w:rsidRDefault="0058544B">
      <w:pP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II. Admitido el recurso de revisión, la o el Comisionado ponente deberá integrar un expediente y ponerlo a disposición de las partes, para que, en un plazo máximo de siete días hábiles, manifiesten lo que a su derecho convenga;”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64BF" w:rsidRDefault="00B764BF">
    <w:pPr>
      <w:widowControl w:val="0"/>
      <w:pBdr>
        <w:top w:val="nil"/>
        <w:left w:val="nil"/>
        <w:bottom w:val="nil"/>
        <w:right w:val="nil"/>
        <w:between w:val="nil"/>
      </w:pBdr>
      <w:spacing w:after="0" w:line="276" w:lineRule="auto"/>
      <w:rPr>
        <w:rFonts w:ascii="Palatino Linotype" w:eastAsia="Palatino Linotype" w:hAnsi="Palatino Linotype" w:cs="Palatino Linotype"/>
        <w:color w:val="000000"/>
        <w:sz w:val="16"/>
        <w:szCs w:val="16"/>
      </w:rPr>
    </w:pPr>
  </w:p>
  <w:tbl>
    <w:tblPr>
      <w:tblStyle w:val="a3"/>
      <w:tblW w:w="10538" w:type="dxa"/>
      <w:tblInd w:w="-1281" w:type="dxa"/>
      <w:tblLayout w:type="fixed"/>
      <w:tblLook w:val="0400" w:firstRow="0" w:lastRow="0" w:firstColumn="0" w:lastColumn="0" w:noHBand="0" w:noVBand="1"/>
    </w:tblPr>
    <w:tblGrid>
      <w:gridCol w:w="5660"/>
      <w:gridCol w:w="4878"/>
    </w:tblGrid>
    <w:tr w:rsidR="00B764BF">
      <w:trPr>
        <w:trHeight w:val="260"/>
      </w:trPr>
      <w:tc>
        <w:tcPr>
          <w:tcW w:w="5660" w:type="dxa"/>
        </w:tcPr>
        <w:p w:rsidR="00B764BF" w:rsidRDefault="0058544B">
          <w:pPr>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Recurso de Revisión N°:</w:t>
          </w:r>
        </w:p>
      </w:tc>
      <w:tc>
        <w:tcPr>
          <w:tcW w:w="4878" w:type="dxa"/>
        </w:tcPr>
        <w:p w:rsidR="00B764BF" w:rsidRDefault="0058544B">
          <w:pPr>
            <w:spacing w:after="120"/>
            <w:ind w:left="-486" w:right="214" w:firstLine="1408"/>
            <w:jc w:val="right"/>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01989/INFOEM/IP/RR/2023.</w:t>
          </w:r>
        </w:p>
      </w:tc>
    </w:tr>
    <w:tr w:rsidR="00B764BF">
      <w:trPr>
        <w:trHeight w:val="224"/>
      </w:trPr>
      <w:tc>
        <w:tcPr>
          <w:tcW w:w="5660" w:type="dxa"/>
        </w:tcPr>
        <w:p w:rsidR="00B764BF" w:rsidRDefault="0058544B">
          <w:pPr>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Recurrente:</w:t>
          </w:r>
        </w:p>
      </w:tc>
      <w:tc>
        <w:tcPr>
          <w:tcW w:w="4878" w:type="dxa"/>
        </w:tcPr>
        <w:p w:rsidR="00B764BF" w:rsidRDefault="00B764BF">
          <w:pPr>
            <w:pBdr>
              <w:top w:val="nil"/>
              <w:left w:val="nil"/>
              <w:bottom w:val="nil"/>
              <w:right w:val="nil"/>
              <w:between w:val="nil"/>
            </w:pBdr>
            <w:spacing w:after="120"/>
            <w:ind w:left="801" w:right="214"/>
            <w:jc w:val="right"/>
            <w:rPr>
              <w:rFonts w:ascii="Palatino Linotype" w:eastAsia="Palatino Linotype" w:hAnsi="Palatino Linotype" w:cs="Palatino Linotype"/>
              <w:color w:val="000000"/>
              <w:sz w:val="24"/>
              <w:szCs w:val="24"/>
            </w:rPr>
          </w:pPr>
        </w:p>
      </w:tc>
    </w:tr>
    <w:tr w:rsidR="00B764BF">
      <w:trPr>
        <w:trHeight w:val="278"/>
      </w:trPr>
      <w:tc>
        <w:tcPr>
          <w:tcW w:w="5660" w:type="dxa"/>
        </w:tcPr>
        <w:p w:rsidR="00B764BF" w:rsidRDefault="0058544B">
          <w:pPr>
            <w:spacing w:after="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Sujeto Obligado:</w:t>
          </w:r>
        </w:p>
      </w:tc>
      <w:tc>
        <w:tcPr>
          <w:tcW w:w="4878" w:type="dxa"/>
        </w:tcPr>
        <w:p w:rsidR="00B764BF" w:rsidRDefault="0058544B">
          <w:pPr>
            <w:spacing w:after="0"/>
            <w:ind w:left="-495" w:right="214" w:firstLine="567"/>
            <w:jc w:val="right"/>
            <w:rPr>
              <w:rFonts w:ascii="Palatino Linotype" w:eastAsia="Palatino Linotype" w:hAnsi="Palatino Linotype" w:cs="Palatino Linotype"/>
              <w:sz w:val="24"/>
              <w:szCs w:val="24"/>
            </w:rPr>
          </w:pPr>
          <w:r>
            <w:rPr>
              <w:rFonts w:ascii="Palatino Linotype" w:eastAsia="Palatino Linotype" w:hAnsi="Palatino Linotype" w:cs="Palatino Linotype"/>
            </w:rPr>
            <w:t>Ayuntamiento de Teoloyucan.</w:t>
          </w:r>
        </w:p>
      </w:tc>
    </w:tr>
    <w:tr w:rsidR="00B764BF">
      <w:trPr>
        <w:trHeight w:val="393"/>
      </w:trPr>
      <w:tc>
        <w:tcPr>
          <w:tcW w:w="5660" w:type="dxa"/>
        </w:tcPr>
        <w:p w:rsidR="00B764BF" w:rsidRDefault="0058544B">
          <w:pPr>
            <w:tabs>
              <w:tab w:val="left" w:pos="4892"/>
            </w:tabs>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Comisionada Ponente:</w:t>
          </w:r>
        </w:p>
      </w:tc>
      <w:tc>
        <w:tcPr>
          <w:tcW w:w="4878" w:type="dxa"/>
        </w:tcPr>
        <w:p w:rsidR="00B764BF" w:rsidRDefault="0058544B">
          <w:pPr>
            <w:spacing w:after="120"/>
            <w:ind w:left="-486" w:right="214" w:firstLine="567"/>
            <w:jc w:val="right"/>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Guadalupe Ramírez Peña.</w:t>
          </w:r>
        </w:p>
      </w:tc>
    </w:tr>
  </w:tbl>
  <w:p w:rsidR="00B764BF" w:rsidRDefault="0058544B">
    <w:pPr>
      <w:pBdr>
        <w:top w:val="nil"/>
        <w:left w:val="nil"/>
        <w:bottom w:val="nil"/>
        <w:right w:val="nil"/>
        <w:between w:val="nil"/>
      </w:pBdr>
      <w:tabs>
        <w:tab w:val="center" w:pos="4419"/>
        <w:tab w:val="right" w:pos="8838"/>
      </w:tabs>
      <w:spacing w:after="0" w:line="240" w:lineRule="auto"/>
      <w:rPr>
        <w:color w:val="000000"/>
      </w:rPr>
    </w:pPr>
    <w:r>
      <w:rPr>
        <w:noProof/>
      </w:rPr>
      <w:drawing>
        <wp:anchor distT="0" distB="0" distL="0" distR="0" simplePos="0" relativeHeight="251658240" behindDoc="1" locked="0" layoutInCell="1" hidden="0" allowOverlap="1">
          <wp:simplePos x="0" y="0"/>
          <wp:positionH relativeFrom="column">
            <wp:posOffset>-902969</wp:posOffset>
          </wp:positionH>
          <wp:positionV relativeFrom="paragraph">
            <wp:posOffset>-1483359</wp:posOffset>
          </wp:positionV>
          <wp:extent cx="7867650" cy="10133330"/>
          <wp:effectExtent l="0" t="0" r="0" b="0"/>
          <wp:wrapNone/>
          <wp:docPr id="3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
                  <a:srcRect/>
                  <a:stretch>
                    <a:fillRect/>
                  </a:stretch>
                </pic:blipFill>
                <pic:spPr>
                  <a:xfrm>
                    <a:off x="0" y="0"/>
                    <a:ext cx="7867650" cy="10133330"/>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1A413FC"/>
    <w:multiLevelType w:val="multilevel"/>
    <w:tmpl w:val="ADEA89AA"/>
    <w:lvl w:ilvl="0">
      <w:start w:val="5"/>
      <w:numFmt w:val="bullet"/>
      <w:lvlText w:val="-"/>
      <w:lvlJc w:val="left"/>
      <w:pPr>
        <w:ind w:left="720" w:hanging="360"/>
      </w:pPr>
      <w:rPr>
        <w:rFonts w:ascii="Palatino Linotype" w:eastAsia="Palatino Linotype" w:hAnsi="Palatino Linotype" w:cs="Palatino Linotyp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510167B9"/>
    <w:multiLevelType w:val="multilevel"/>
    <w:tmpl w:val="CC58C7DC"/>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
    <w:nsid w:val="6016034F"/>
    <w:multiLevelType w:val="multilevel"/>
    <w:tmpl w:val="259A11BA"/>
    <w:lvl w:ilvl="0">
      <w:start w:val="5"/>
      <w:numFmt w:val="bullet"/>
      <w:lvlText w:val="-"/>
      <w:lvlJc w:val="left"/>
      <w:pPr>
        <w:ind w:left="720" w:hanging="360"/>
      </w:pPr>
      <w:rPr>
        <w:rFonts w:ascii="Palatino Linotype" w:eastAsia="Palatino Linotype" w:hAnsi="Palatino Linotype" w:cs="Palatino Linotyp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671E4094"/>
    <w:multiLevelType w:val="multilevel"/>
    <w:tmpl w:val="3B56D39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64BF"/>
    <w:rsid w:val="0058544B"/>
    <w:rsid w:val="005D69A9"/>
    <w:rsid w:val="006257F6"/>
    <w:rsid w:val="006B6782"/>
    <w:rsid w:val="00A954FE"/>
    <w:rsid w:val="00B764BF"/>
    <w:rsid w:val="00BE0C92"/>
    <w:rsid w:val="00D844C3"/>
    <w:rsid w:val="00FE083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FF4A733-8326-4974-A4F9-4C6104002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0DBF"/>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Encabezado">
    <w:name w:val="header"/>
    <w:basedOn w:val="Normal"/>
    <w:link w:val="EncabezadoCar"/>
    <w:uiPriority w:val="99"/>
    <w:unhideWhenUsed/>
    <w:rsid w:val="00730DB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30DBF"/>
  </w:style>
  <w:style w:type="paragraph" w:styleId="Piedepgina">
    <w:name w:val="footer"/>
    <w:basedOn w:val="Normal"/>
    <w:link w:val="PiedepginaCar"/>
    <w:uiPriority w:val="99"/>
    <w:unhideWhenUsed/>
    <w:rsid w:val="00730DB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30DBF"/>
  </w:style>
  <w:style w:type="paragraph" w:styleId="Prrafodelista">
    <w:name w:val="List Paragraph"/>
    <w:basedOn w:val="Normal"/>
    <w:uiPriority w:val="34"/>
    <w:qFormat/>
    <w:rsid w:val="005F1C6C"/>
    <w:pPr>
      <w:ind w:left="720"/>
      <w:contextualSpacing/>
    </w:p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15" w:type="dxa"/>
        <w:bottom w:w="0" w:type="dxa"/>
        <w:right w:w="115" w:type="dxa"/>
      </w:tblCellMar>
    </w:tblPr>
  </w:style>
  <w:style w:type="table" w:customStyle="1" w:styleId="a0">
    <w:basedOn w:val="TableNormal"/>
    <w:tblPr>
      <w:tblStyleRowBandSize w:val="1"/>
      <w:tblStyleColBandSize w:val="1"/>
      <w:tblCellMar>
        <w:top w:w="0" w:type="dxa"/>
        <w:left w:w="115" w:type="dxa"/>
        <w:bottom w:w="0" w:type="dxa"/>
        <w:right w:w="115" w:type="dxa"/>
      </w:tblCellMar>
    </w:tblPr>
  </w:style>
  <w:style w:type="table" w:customStyle="1" w:styleId="a1">
    <w:basedOn w:val="TableNormal"/>
    <w:tblPr>
      <w:tblStyleRowBandSize w:val="1"/>
      <w:tblStyleColBandSize w:val="1"/>
      <w:tblCellMar>
        <w:top w:w="0" w:type="dxa"/>
        <w:left w:w="115" w:type="dxa"/>
        <w:bottom w:w="0" w:type="dxa"/>
        <w:right w:w="115" w:type="dxa"/>
      </w:tblCellMar>
    </w:tblPr>
  </w:style>
  <w:style w:type="table" w:customStyle="1" w:styleId="a2">
    <w:basedOn w:val="TableNormal"/>
    <w:tblPr>
      <w:tblStyleRowBandSize w:val="1"/>
      <w:tblStyleColBandSize w:val="1"/>
      <w:tblCellMar>
        <w:top w:w="0" w:type="dxa"/>
        <w:left w:w="115" w:type="dxa"/>
        <w:bottom w:w="0" w:type="dxa"/>
        <w:right w:w="115" w:type="dxa"/>
      </w:tblCellMar>
    </w:tblPr>
  </w:style>
  <w:style w:type="table" w:customStyle="1" w:styleId="a3">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7ha3HMgRUotK9MfeePC2xZLcZQ==">CgMxLjAyCGguZ2pkZ3hzOAByITF5djBPYks0VHhVdXFaOEdNS0ZjVFR0YW02bFczZmJfLQ==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6964</Words>
  <Characters>38303</Characters>
  <Application>Microsoft Office Word</Application>
  <DocSecurity>0</DocSecurity>
  <Lines>319</Lines>
  <Paragraphs>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45177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cp:lastPrinted>2023-10-04T16:54:00Z</cp:lastPrinted>
  <dcterms:created xsi:type="dcterms:W3CDTF">2023-10-25T19:21:00Z</dcterms:created>
  <dcterms:modified xsi:type="dcterms:W3CDTF">2023-10-25T19:21:00Z</dcterms:modified>
</cp:coreProperties>
</file>