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p14">
  <w:body>
    <w:bookmarkStart w:name="_MON_1736838368" w:id="0"/>
    <w:bookmarkEnd w:id="0"/>
    <w:p w:rsidRPr="00446963" w:rsidR="00066B31" w:rsidP="00B034A6" w:rsidRDefault="00722334" w14:paraId="03223C84" w14:textId="056451EC">
      <w:pPr>
        <w:spacing w:after="0" w:line="360" w:lineRule="auto"/>
        <w:rPr>
          <w:rFonts w:cs="Tahoma"/>
        </w:rPr>
      </w:pPr>
      <w:r>
        <w:rPr>
          <w:rFonts w:cs="Tahoma"/>
        </w:rPr>
        <w:object w:dxaOrig="1538" w:dyaOrig="995" w14:anchorId="00F4126E">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1025" style="width:77.25pt;height:49.5pt" o:ole="" type="#_x0000_t75">
            <v:imagedata o:title="" r:id="rId7"/>
          </v:shape>
          <o:OLEObject Type="Embed" ProgID="Word.Document.12" ShapeID="_x0000_i1025" DrawAspect="Icon" ObjectID="_1736838400" r:id="rId8">
            <o:FieldCodes>\s</o:FieldCodes>
          </o:OLEObject>
        </w:object>
      </w:r>
      <w:r w:rsidRPr="00446963" w:rsidR="00066B31">
        <w:rPr>
          <w:rFonts w:cs="Tahoma"/>
        </w:rPr>
        <w:t xml:space="preserve">Resolución del Pleno del Instituto de Transparencia, Acceso a la Información Pública y Protección de Datos Personales del Estado de México y Municipios, con domicilio en Metepec, Estado de México, de fecha </w:t>
      </w:r>
      <w:r w:rsidR="009D14AA">
        <w:rPr>
          <w:rFonts w:cs="Tahoma"/>
        </w:rPr>
        <w:t xml:space="preserve">primero </w:t>
      </w:r>
      <w:r w:rsidR="00480903">
        <w:rPr>
          <w:rFonts w:cs="Tahoma"/>
        </w:rPr>
        <w:t>de</w:t>
      </w:r>
      <w:r w:rsidR="008449DD">
        <w:rPr>
          <w:rFonts w:cs="Tahoma"/>
        </w:rPr>
        <w:t xml:space="preserve"> </w:t>
      </w:r>
      <w:r w:rsidR="009D14AA">
        <w:rPr>
          <w:rFonts w:cs="Tahoma"/>
        </w:rPr>
        <w:t>febrero</w:t>
      </w:r>
      <w:r w:rsidR="007814C2">
        <w:rPr>
          <w:rFonts w:cs="Tahoma"/>
        </w:rPr>
        <w:t xml:space="preserve"> </w:t>
      </w:r>
      <w:r w:rsidRPr="00446963" w:rsidR="00066B31">
        <w:rPr>
          <w:rFonts w:cs="Tahoma"/>
        </w:rPr>
        <w:t>de dos mil veinti</w:t>
      </w:r>
      <w:r w:rsidR="007F73DE">
        <w:rPr>
          <w:rFonts w:cs="Tahoma"/>
        </w:rPr>
        <w:t>trés</w:t>
      </w:r>
      <w:r w:rsidRPr="00446963" w:rsidR="00066B31">
        <w:rPr>
          <w:rFonts w:cs="Tahoma"/>
        </w:rPr>
        <w:t>.</w:t>
      </w:r>
    </w:p>
    <w:p w:rsidRPr="00446963" w:rsidR="00066B31" w:rsidP="00B034A6" w:rsidRDefault="00066B31" w14:paraId="53783A9E" w14:textId="77777777">
      <w:pPr>
        <w:spacing w:after="0" w:line="360" w:lineRule="auto"/>
        <w:rPr>
          <w:rFonts w:cs="Tahoma"/>
          <w:bCs/>
        </w:rPr>
      </w:pPr>
    </w:p>
    <w:p w:rsidRPr="00446963" w:rsidR="00066B31" w:rsidP="01A69785" w:rsidRDefault="00066B31" w14:paraId="466D8EC0" w14:textId="7141984B">
      <w:pPr>
        <w:spacing w:after="0" w:line="360" w:lineRule="auto"/>
        <w:rPr>
          <w:rFonts w:cs="Tahoma"/>
        </w:rPr>
      </w:pPr>
      <w:r w:rsidRPr="01A69785" w:rsidR="01A69785">
        <w:rPr>
          <w:rFonts w:cs="Tahoma"/>
          <w:b w:val="1"/>
          <w:bCs w:val="1"/>
        </w:rPr>
        <w:t xml:space="preserve">VISTO </w:t>
      </w:r>
      <w:r w:rsidRPr="01A69785" w:rsidR="01A69785">
        <w:rPr>
          <w:rFonts w:cs="Tahoma"/>
        </w:rPr>
        <w:t xml:space="preserve">el expediente conformado con motivo del Recurso de Revisión </w:t>
      </w:r>
      <w:r w:rsidR="01A69785">
        <w:rPr/>
        <w:t>09266/INFOEM/IP/RR/2022</w:t>
      </w:r>
      <w:r w:rsidRPr="01A69785" w:rsidR="01A69785">
        <w:rPr>
          <w:rFonts w:cs="Tahoma"/>
        </w:rPr>
        <w:t>,</w:t>
      </w:r>
      <w:r w:rsidRPr="01A69785" w:rsidR="01A69785">
        <w:rPr>
          <w:rFonts w:cs="Tahoma"/>
          <w:color w:val="0D0D0D" w:themeColor="text1" w:themeTint="F2" w:themeShade="FF"/>
        </w:rPr>
        <w:t xml:space="preserve"> interpuesto por </w:t>
      </w:r>
      <w:r w:rsidRPr="01A69785" w:rsidR="01A69785">
        <w:rPr>
          <w:rFonts w:cs="Tahoma"/>
          <w:color w:val="0D0D0D" w:themeColor="text1" w:themeTint="F2" w:themeShade="FF"/>
          <w:highlight w:val="black"/>
        </w:rPr>
        <w:t>XXXXXXXXXXX</w:t>
      </w:r>
      <w:r w:rsidRPr="01A69785" w:rsidR="01A69785">
        <w:rPr>
          <w:rFonts w:cs="Tahoma"/>
          <w:color w:val="0D0D0D" w:themeColor="text1" w:themeTint="F2" w:themeShade="FF"/>
        </w:rPr>
        <w:t>, en lo sucesivo el Recurrente o Particular</w:t>
      </w:r>
      <w:r w:rsidRPr="01A69785" w:rsidR="01A69785">
        <w:rPr>
          <w:rFonts w:cs="Tahoma"/>
        </w:rPr>
        <w:t xml:space="preserve">, en contra de la respuesta del Sujeto Obligado, Ayuntamiento de Tepetlaoxtoc, a la solicitud de información con número </w:t>
      </w:r>
      <w:r w:rsidR="01A69785">
        <w:rPr/>
        <w:t>00059/TEPETLAO/IP/2022</w:t>
      </w:r>
      <w:r w:rsidRPr="01A69785" w:rsidR="01A69785">
        <w:rPr>
          <w:rFonts w:cs="Tahoma"/>
        </w:rPr>
        <w:t>, se emite la presente Resolución, con base en los Antecedentes y Considerandos que se exponen a continuación:</w:t>
      </w:r>
    </w:p>
    <w:p w:rsidRPr="00446963" w:rsidR="00066B31" w:rsidP="00B034A6" w:rsidRDefault="00066B31" w14:paraId="740A33F0" w14:textId="77777777">
      <w:pPr>
        <w:tabs>
          <w:tab w:val="left" w:pos="6735"/>
        </w:tabs>
        <w:spacing w:after="0" w:line="360" w:lineRule="auto"/>
        <w:rPr>
          <w:rFonts w:cs="Tahoma"/>
        </w:rPr>
      </w:pPr>
    </w:p>
    <w:p w:rsidRPr="00446963" w:rsidR="00066B31" w:rsidP="00B034A6" w:rsidRDefault="00066B31" w14:paraId="4677765F" w14:textId="77777777">
      <w:pPr>
        <w:tabs>
          <w:tab w:val="center" w:pos="4522"/>
          <w:tab w:val="left" w:pos="7245"/>
        </w:tabs>
        <w:spacing w:after="0" w:line="360" w:lineRule="auto"/>
        <w:jc w:val="center"/>
        <w:rPr>
          <w:rFonts w:cs="Tahoma"/>
          <w:b/>
        </w:rPr>
      </w:pPr>
      <w:r w:rsidRPr="00446963">
        <w:rPr>
          <w:rFonts w:cs="Tahoma"/>
          <w:b/>
        </w:rPr>
        <w:t>A N T E C E D E N T E S:</w:t>
      </w:r>
    </w:p>
    <w:p w:rsidRPr="00446963" w:rsidR="00066B31" w:rsidP="00B034A6" w:rsidRDefault="00066B31" w14:paraId="700501D6" w14:textId="77777777">
      <w:pPr>
        <w:spacing w:after="0" w:line="360" w:lineRule="auto"/>
      </w:pPr>
    </w:p>
    <w:p w:rsidRPr="00446963" w:rsidR="00066B31" w:rsidP="00B034A6" w:rsidRDefault="00066B31" w14:paraId="0B245B18" w14:textId="77777777">
      <w:pPr>
        <w:pStyle w:val="Prrafodelista"/>
        <w:tabs>
          <w:tab w:val="left" w:pos="567"/>
        </w:tabs>
        <w:spacing w:line="360" w:lineRule="auto"/>
        <w:ind w:left="0"/>
        <w:jc w:val="both"/>
        <w:rPr>
          <w:rFonts w:ascii="Palatino Linotype" w:hAnsi="Palatino Linotype" w:cs="Tahoma"/>
          <w:b/>
          <w:color w:val="000000" w:themeColor="text1"/>
          <w:szCs w:val="22"/>
        </w:rPr>
      </w:pPr>
      <w:r w:rsidRPr="00446963">
        <w:rPr>
          <w:rFonts w:ascii="Palatino Linotype" w:hAnsi="Palatino Linotype" w:cs="Tahoma"/>
          <w:b/>
          <w:color w:val="000000" w:themeColor="text1"/>
          <w:szCs w:val="22"/>
        </w:rPr>
        <w:t xml:space="preserve">I. Presentación de la solicitud de información. </w:t>
      </w:r>
    </w:p>
    <w:p w:rsidRPr="00446963" w:rsidR="00066B31" w:rsidP="00B034A6" w:rsidRDefault="00066B31" w14:paraId="0CC74E03" w14:textId="77777777">
      <w:pPr>
        <w:pStyle w:val="Prrafodelista"/>
        <w:tabs>
          <w:tab w:val="left" w:pos="567"/>
        </w:tabs>
        <w:spacing w:line="360" w:lineRule="auto"/>
        <w:ind w:left="0"/>
        <w:jc w:val="both"/>
        <w:rPr>
          <w:rFonts w:ascii="Palatino Linotype" w:hAnsi="Palatino Linotype" w:cs="Tahoma"/>
          <w:color w:val="000000" w:themeColor="text1"/>
          <w:szCs w:val="22"/>
        </w:rPr>
      </w:pPr>
    </w:p>
    <w:p w:rsidRPr="005D7D5D" w:rsidR="00066B31" w:rsidP="00B034A6" w:rsidRDefault="00066B31" w14:paraId="55087599" w14:textId="54050637">
      <w:pPr>
        <w:tabs>
          <w:tab w:val="left" w:pos="567"/>
        </w:tabs>
        <w:spacing w:after="0" w:line="360" w:lineRule="auto"/>
        <w:ind w:right="-28"/>
        <w:rPr>
          <w:rFonts w:cs="Tahoma"/>
        </w:rPr>
      </w:pPr>
      <w:r w:rsidRPr="00446963">
        <w:rPr>
          <w:rFonts w:cs="Tahoma"/>
        </w:rPr>
        <w:t xml:space="preserve">Con fecha </w:t>
      </w:r>
      <w:r w:rsidR="007814C2">
        <w:rPr>
          <w:rFonts w:cs="Tahoma"/>
        </w:rPr>
        <w:t>veinti</w:t>
      </w:r>
      <w:r w:rsidR="0066297C">
        <w:rPr>
          <w:rFonts w:cs="Tahoma"/>
        </w:rPr>
        <w:t>nueve</w:t>
      </w:r>
      <w:r w:rsidR="007814C2">
        <w:rPr>
          <w:rFonts w:cs="Tahoma"/>
        </w:rPr>
        <w:t xml:space="preserve"> </w:t>
      </w:r>
      <w:r w:rsidR="00985E40">
        <w:rPr>
          <w:rFonts w:cs="Tahoma"/>
        </w:rPr>
        <w:t xml:space="preserve">de </w:t>
      </w:r>
      <w:r w:rsidR="00D7160C">
        <w:rPr>
          <w:rFonts w:cs="Tahoma"/>
        </w:rPr>
        <w:t>abril</w:t>
      </w:r>
      <w:r>
        <w:rPr>
          <w:rFonts w:cs="Tahoma"/>
        </w:rPr>
        <w:t xml:space="preserve"> de dos mil veintidós</w:t>
      </w:r>
      <w:r w:rsidRPr="00446963">
        <w:rPr>
          <w:rFonts w:cs="Tahoma"/>
        </w:rPr>
        <w:t xml:space="preserve">, </w:t>
      </w:r>
      <w:r w:rsidR="00043C41">
        <w:rPr>
          <w:rFonts w:cs="Tahoma"/>
        </w:rPr>
        <w:t>el</w:t>
      </w:r>
      <w:r w:rsidRPr="00446963">
        <w:rPr>
          <w:rFonts w:cs="Tahoma"/>
        </w:rPr>
        <w:t xml:space="preserve"> Particular presentó una solicitud de acceso a la información pública, a través del Sistema de Acceso a la Información Mexiquense </w:t>
      </w:r>
      <w:r w:rsidRPr="00446963">
        <w:rPr>
          <w:rFonts w:cs="Tahoma"/>
          <w:lang w:val="es-ES"/>
        </w:rPr>
        <w:t>(SAIMEX), con número de folio de la solicitud</w:t>
      </w:r>
      <w:r w:rsidR="00FE0ADD">
        <w:rPr>
          <w:rFonts w:cs="Tahoma"/>
          <w:lang w:val="es-ES"/>
        </w:rPr>
        <w:t xml:space="preserve"> </w:t>
      </w:r>
      <w:r w:rsidRPr="0066297C" w:rsidR="0066297C">
        <w:t>00059/TEPETLAO/IP/2022</w:t>
      </w:r>
      <w:r w:rsidRPr="005D7D5D">
        <w:rPr>
          <w:rFonts w:cs="Tahoma"/>
        </w:rPr>
        <w:t>,</w:t>
      </w:r>
      <w:r>
        <w:rPr>
          <w:rFonts w:cs="Tahoma"/>
        </w:rPr>
        <w:t xml:space="preserve"> ante el </w:t>
      </w:r>
      <w:r w:rsidRPr="00D7160C" w:rsidR="00D7160C">
        <w:rPr>
          <w:rFonts w:cs="Tahoma"/>
        </w:rPr>
        <w:t xml:space="preserve">Ayuntamiento de </w:t>
      </w:r>
      <w:r w:rsidRPr="0066297C" w:rsidR="0066297C">
        <w:rPr>
          <w:rFonts w:cs="Tahoma"/>
        </w:rPr>
        <w:t>Tepetlaoxtoc</w:t>
      </w:r>
      <w:r>
        <w:rPr>
          <w:rFonts w:cs="Tahoma"/>
        </w:rPr>
        <w:t>,</w:t>
      </w:r>
      <w:r w:rsidRPr="005D7D5D">
        <w:rPr>
          <w:rFonts w:cs="Tahoma"/>
        </w:rPr>
        <w:t xml:space="preserve"> en los siguientes términos:</w:t>
      </w:r>
    </w:p>
    <w:p w:rsidRPr="00446963" w:rsidR="00FB4AE8" w:rsidP="00B034A6" w:rsidRDefault="00FB4AE8" w14:paraId="067CC026" w14:textId="77777777">
      <w:pPr>
        <w:pStyle w:val="Prrafodelista"/>
        <w:tabs>
          <w:tab w:val="left" w:pos="567"/>
        </w:tabs>
        <w:spacing w:line="360" w:lineRule="auto"/>
        <w:ind w:left="0"/>
        <w:jc w:val="both"/>
        <w:rPr>
          <w:rFonts w:ascii="Palatino Linotype" w:hAnsi="Palatino Linotype" w:cs="Tahoma"/>
          <w:color w:val="000000" w:themeColor="text1"/>
          <w:szCs w:val="22"/>
          <w:lang w:val="es-ES"/>
        </w:rPr>
      </w:pPr>
    </w:p>
    <w:p w:rsidRPr="00DF6F08" w:rsidR="00066B31" w:rsidP="00B034A6" w:rsidRDefault="00066B31" w14:paraId="130FEFE5" w14:textId="77777777">
      <w:pPr>
        <w:tabs>
          <w:tab w:val="left" w:pos="4667"/>
        </w:tabs>
        <w:spacing w:after="0" w:line="360" w:lineRule="auto"/>
        <w:ind w:left="567" w:right="567"/>
        <w:rPr>
          <w:rFonts w:cs="Tahoma"/>
          <w:b/>
          <w:bCs/>
          <w:i/>
          <w:sz w:val="20"/>
          <w:szCs w:val="20"/>
        </w:rPr>
      </w:pPr>
      <w:r w:rsidRPr="00DF6F08">
        <w:rPr>
          <w:rFonts w:cs="Tahoma"/>
          <w:b/>
          <w:bCs/>
          <w:i/>
          <w:sz w:val="20"/>
          <w:szCs w:val="20"/>
        </w:rPr>
        <w:t>“DESCRIPCIÓN CLARA Y PRECISA DE LA INFORMACIÓN SOLICITADA</w:t>
      </w:r>
    </w:p>
    <w:p w:rsidRPr="00DF6F08" w:rsidR="00066B31" w:rsidP="00B034A6" w:rsidRDefault="0066297C" w14:paraId="6572CF93" w14:textId="3B80A653">
      <w:pPr>
        <w:tabs>
          <w:tab w:val="left" w:pos="4667"/>
        </w:tabs>
        <w:spacing w:after="0" w:line="360" w:lineRule="auto"/>
        <w:ind w:left="567" w:right="567"/>
        <w:rPr>
          <w:rFonts w:cs="Tahoma"/>
          <w:bCs/>
          <w:i/>
          <w:iCs/>
          <w:sz w:val="20"/>
          <w:szCs w:val="20"/>
        </w:rPr>
      </w:pPr>
      <w:r w:rsidRPr="0066297C">
        <w:rPr>
          <w:i/>
          <w:iCs/>
          <w:color w:val="000000"/>
          <w:sz w:val="20"/>
          <w:szCs w:val="20"/>
        </w:rPr>
        <w:t xml:space="preserve">Solicito que me hagan entrega de un listado de los CONTRATOS DE OBRAS, BIENES Y SERVICIOS licitados en su municipio, tanto en adjudicación directa, licitación pública e invitación a cuando meses tres personas, de 2012 a la fecha más reciente, con los siguientes datos: A.-Institución B.-Nombre de la UC C.-Responsable de la UC </w:t>
      </w:r>
      <w:r w:rsidRPr="001E35D1">
        <w:rPr>
          <w:i/>
          <w:iCs/>
          <w:color w:val="000000"/>
          <w:sz w:val="20"/>
          <w:szCs w:val="20"/>
        </w:rPr>
        <w:t>D.-Código del expediente E.-Referencia del expediente F.-Título del expediente G.-Fundamento legal H.-Número del procedimiento I.-Fecha de fallo J.-Fecha de publicación K.-Tipo de contratación L.-Tipo de procedimiento M.-Título del contrato N.-</w:t>
      </w:r>
      <w:r w:rsidRPr="001E35D1">
        <w:rPr>
          <w:i/>
          <w:iCs/>
          <w:color w:val="000000"/>
          <w:sz w:val="20"/>
          <w:szCs w:val="20"/>
        </w:rPr>
        <w:lastRenderedPageBreak/>
        <w:t xml:space="preserve">Descripción del contrato O.-Importe del contrato P.-Convenio modificatorio Q.-RFC </w:t>
      </w:r>
      <w:proofErr w:type="spellStart"/>
      <w:r w:rsidRPr="001E35D1">
        <w:rPr>
          <w:i/>
          <w:iCs/>
          <w:color w:val="000000"/>
          <w:sz w:val="20"/>
          <w:szCs w:val="20"/>
        </w:rPr>
        <w:t>R.Proveedor</w:t>
      </w:r>
      <w:proofErr w:type="spellEnd"/>
      <w:r w:rsidRPr="001E35D1">
        <w:rPr>
          <w:i/>
          <w:iCs/>
          <w:color w:val="000000"/>
          <w:sz w:val="20"/>
          <w:szCs w:val="20"/>
        </w:rPr>
        <w:t xml:space="preserve"> o contratista S.-</w:t>
      </w:r>
      <w:r w:rsidRPr="0066297C">
        <w:rPr>
          <w:i/>
          <w:iCs/>
          <w:color w:val="000000"/>
          <w:sz w:val="20"/>
          <w:szCs w:val="20"/>
        </w:rPr>
        <w:t>Dirección del anuncio . También la lista de proveedores de 2012 a la fecha más reciente.</w:t>
      </w:r>
      <w:r w:rsidRPr="00DF6F08" w:rsidR="00066B31">
        <w:rPr>
          <w:rFonts w:cs="Tahoma"/>
          <w:bCs/>
          <w:i/>
          <w:iCs/>
          <w:sz w:val="20"/>
          <w:szCs w:val="20"/>
        </w:rPr>
        <w:t xml:space="preserve">” </w:t>
      </w:r>
      <w:r w:rsidRPr="00DF6F08" w:rsidR="00066B31">
        <w:rPr>
          <w:rFonts w:eastAsia="Times New Roman" w:cs="Arial"/>
          <w:bCs/>
          <w:i/>
          <w:iCs/>
          <w:sz w:val="20"/>
          <w:szCs w:val="20"/>
          <w:lang w:eastAsia="es-ES"/>
        </w:rPr>
        <w:t>(Sic)</w:t>
      </w:r>
    </w:p>
    <w:p w:rsidRPr="00DF6F08" w:rsidR="00FB4AE8" w:rsidP="00B034A6" w:rsidRDefault="00FB4AE8" w14:paraId="190C62D5" w14:textId="77777777">
      <w:pPr>
        <w:tabs>
          <w:tab w:val="left" w:pos="4667"/>
        </w:tabs>
        <w:spacing w:after="0" w:line="360" w:lineRule="auto"/>
        <w:ind w:left="567" w:right="567"/>
        <w:rPr>
          <w:rFonts w:cs="Tahoma"/>
          <w:bCs/>
          <w:i/>
          <w:sz w:val="20"/>
          <w:szCs w:val="20"/>
        </w:rPr>
      </w:pPr>
    </w:p>
    <w:p w:rsidRPr="00DF6F08" w:rsidR="00066B31" w:rsidP="00B034A6" w:rsidRDefault="00066B31" w14:paraId="001974F3" w14:textId="77777777">
      <w:pPr>
        <w:tabs>
          <w:tab w:val="left" w:pos="4667"/>
        </w:tabs>
        <w:spacing w:after="0" w:line="360" w:lineRule="auto"/>
        <w:ind w:left="567" w:right="567"/>
        <w:rPr>
          <w:rFonts w:eastAsia="Times New Roman" w:cs="Tahoma"/>
          <w:b/>
          <w:bCs/>
          <w:i/>
          <w:iCs/>
          <w:sz w:val="20"/>
          <w:szCs w:val="20"/>
          <w:lang w:eastAsia="es-ES"/>
        </w:rPr>
      </w:pPr>
      <w:r w:rsidRPr="00DF6F08">
        <w:rPr>
          <w:rFonts w:eastAsia="Times New Roman" w:cs="Tahoma"/>
          <w:b/>
          <w:bCs/>
          <w:i/>
          <w:iCs/>
          <w:sz w:val="20"/>
          <w:szCs w:val="20"/>
          <w:lang w:eastAsia="es-ES"/>
        </w:rPr>
        <w:t>“MODALIDAD DE ENTREGA</w:t>
      </w:r>
    </w:p>
    <w:p w:rsidR="00386C97" w:rsidP="00B034A6" w:rsidRDefault="00066B31" w14:paraId="51B42CA1" w14:textId="0A651AEA">
      <w:pPr>
        <w:spacing w:after="0" w:line="360" w:lineRule="auto"/>
        <w:ind w:left="567" w:right="567"/>
        <w:rPr>
          <w:rFonts w:eastAsia="Times New Roman" w:cs="Arial"/>
          <w:bCs/>
          <w:i/>
          <w:iCs/>
          <w:sz w:val="20"/>
          <w:szCs w:val="20"/>
          <w:lang w:eastAsia="es-ES"/>
        </w:rPr>
      </w:pPr>
      <w:r w:rsidRPr="00DF6F08">
        <w:rPr>
          <w:rFonts w:eastAsia="Times New Roman" w:cs="Arial"/>
          <w:bCs/>
          <w:i/>
          <w:iCs/>
          <w:sz w:val="20"/>
          <w:szCs w:val="20"/>
          <w:lang w:eastAsia="es-ES"/>
        </w:rPr>
        <w:t>A través del SAIMEX” (Sic)</w:t>
      </w:r>
    </w:p>
    <w:p w:rsidR="00D71437" w:rsidP="00B034A6" w:rsidRDefault="00D71437" w14:paraId="79EA033D" w14:textId="77777777">
      <w:pPr>
        <w:autoSpaceDE w:val="0"/>
        <w:autoSpaceDN w:val="0"/>
        <w:adjustRightInd w:val="0"/>
        <w:spacing w:after="0" w:line="360" w:lineRule="auto"/>
        <w:rPr>
          <w:rFonts w:eastAsia="Times New Roman" w:cs="Tahoma"/>
          <w:b/>
          <w:color w:val="auto"/>
          <w:szCs w:val="24"/>
          <w:lang w:eastAsia="es-ES"/>
        </w:rPr>
      </w:pPr>
    </w:p>
    <w:p w:rsidRPr="0081647F" w:rsidR="0081647F" w:rsidP="00B034A6" w:rsidRDefault="00A75345" w14:paraId="0CEDCDD1" w14:textId="4A12372F">
      <w:pPr>
        <w:autoSpaceDE w:val="0"/>
        <w:autoSpaceDN w:val="0"/>
        <w:adjustRightInd w:val="0"/>
        <w:spacing w:after="0" w:line="360" w:lineRule="auto"/>
        <w:rPr>
          <w:rFonts w:eastAsia="Times New Roman" w:cs="Tahoma"/>
          <w:b/>
          <w:bCs/>
          <w:color w:val="auto"/>
          <w:szCs w:val="24"/>
          <w:lang w:eastAsia="es-ES"/>
        </w:rPr>
      </w:pPr>
      <w:r>
        <w:rPr>
          <w:rFonts w:eastAsia="Times New Roman" w:cs="Tahoma"/>
          <w:b/>
          <w:color w:val="auto"/>
          <w:szCs w:val="24"/>
          <w:lang w:eastAsia="es-ES"/>
        </w:rPr>
        <w:t>I</w:t>
      </w:r>
      <w:r w:rsidR="00D71437">
        <w:rPr>
          <w:rFonts w:eastAsia="Times New Roman" w:cs="Tahoma"/>
          <w:b/>
          <w:color w:val="auto"/>
          <w:szCs w:val="24"/>
          <w:lang w:eastAsia="es-ES"/>
        </w:rPr>
        <w:t xml:space="preserve">I. </w:t>
      </w:r>
      <w:r w:rsidRPr="0081647F" w:rsidR="0081647F">
        <w:rPr>
          <w:rFonts w:eastAsia="Times New Roman" w:cs="Tahoma"/>
          <w:b/>
          <w:color w:val="auto"/>
          <w:szCs w:val="24"/>
          <w:lang w:eastAsia="es-ES"/>
        </w:rPr>
        <w:t>Respuesta</w:t>
      </w:r>
      <w:r w:rsidRPr="0081647F" w:rsidR="0081647F">
        <w:rPr>
          <w:rFonts w:eastAsia="Times New Roman" w:cs="Tahoma"/>
          <w:b/>
          <w:bCs/>
          <w:color w:val="auto"/>
          <w:szCs w:val="24"/>
          <w:lang w:eastAsia="es-ES"/>
        </w:rPr>
        <w:t xml:space="preserve"> del Sujeto Obligado.</w:t>
      </w:r>
    </w:p>
    <w:p w:rsidRPr="0081647F" w:rsidR="0081647F" w:rsidP="00B034A6" w:rsidRDefault="0081647F" w14:paraId="19FD8659" w14:textId="77777777">
      <w:pPr>
        <w:autoSpaceDE w:val="0"/>
        <w:autoSpaceDN w:val="0"/>
        <w:adjustRightInd w:val="0"/>
        <w:spacing w:after="0" w:line="360" w:lineRule="auto"/>
        <w:rPr>
          <w:rFonts w:eastAsia="Times New Roman" w:cs="Tahoma"/>
          <w:bCs/>
          <w:color w:val="auto"/>
          <w:szCs w:val="24"/>
          <w:lang w:eastAsia="es-ES"/>
        </w:rPr>
      </w:pPr>
    </w:p>
    <w:p w:rsidR="0081647F" w:rsidP="00B034A6" w:rsidRDefault="00B5335F" w14:paraId="2E17B962" w14:textId="7FEFD281">
      <w:pPr>
        <w:autoSpaceDE w:val="0"/>
        <w:autoSpaceDN w:val="0"/>
        <w:adjustRightInd w:val="0"/>
        <w:spacing w:after="0" w:line="360" w:lineRule="auto"/>
        <w:rPr>
          <w:rFonts w:eastAsia="Times New Roman" w:cs="Tahoma"/>
          <w:color w:val="auto"/>
          <w:szCs w:val="24"/>
          <w:lang w:eastAsia="es-ES"/>
        </w:rPr>
      </w:pPr>
      <w:r>
        <w:rPr>
          <w:rFonts w:eastAsia="Times New Roman" w:cs="Tahoma"/>
          <w:bCs/>
          <w:color w:val="auto"/>
          <w:szCs w:val="24"/>
          <w:lang w:eastAsia="es-ES"/>
        </w:rPr>
        <w:t>Con fecha</w:t>
      </w:r>
      <w:r w:rsidRPr="0081647F" w:rsidR="0081647F">
        <w:rPr>
          <w:rFonts w:eastAsia="Times New Roman" w:cs="Tahoma"/>
          <w:bCs/>
          <w:color w:val="auto"/>
          <w:szCs w:val="24"/>
          <w:lang w:eastAsia="es-ES"/>
        </w:rPr>
        <w:t xml:space="preserve"> </w:t>
      </w:r>
      <w:r w:rsidR="0066297C">
        <w:rPr>
          <w:rFonts w:eastAsia="Times New Roman" w:cs="Tahoma"/>
          <w:bCs/>
          <w:color w:val="auto"/>
          <w:szCs w:val="24"/>
          <w:lang w:eastAsia="es-ES"/>
        </w:rPr>
        <w:t>veintitrés</w:t>
      </w:r>
      <w:r w:rsidR="0081647F">
        <w:rPr>
          <w:rFonts w:eastAsia="Times New Roman" w:cs="Tahoma"/>
          <w:bCs/>
          <w:color w:val="auto"/>
          <w:szCs w:val="24"/>
          <w:lang w:eastAsia="es-ES"/>
        </w:rPr>
        <w:t xml:space="preserve"> de </w:t>
      </w:r>
      <w:r w:rsidR="00D7160C">
        <w:rPr>
          <w:rFonts w:eastAsia="Times New Roman" w:cs="Tahoma"/>
          <w:bCs/>
          <w:color w:val="auto"/>
          <w:szCs w:val="24"/>
          <w:lang w:eastAsia="es-ES"/>
        </w:rPr>
        <w:t>mayo</w:t>
      </w:r>
      <w:r w:rsidRPr="0081647F" w:rsidR="0081647F">
        <w:rPr>
          <w:rFonts w:eastAsia="Times New Roman" w:cs="Tahoma"/>
          <w:bCs/>
          <w:color w:val="auto"/>
          <w:szCs w:val="24"/>
          <w:lang w:eastAsia="es-ES"/>
        </w:rPr>
        <w:t xml:space="preserve"> de dos mil veintidós, el</w:t>
      </w:r>
      <w:r w:rsidRPr="0081647F" w:rsidR="0081647F">
        <w:rPr>
          <w:rFonts w:eastAsia="Times New Roman" w:cs="Tahoma"/>
          <w:b/>
          <w:color w:val="auto"/>
          <w:szCs w:val="24"/>
          <w:lang w:eastAsia="es-ES"/>
        </w:rPr>
        <w:t xml:space="preserve"> </w:t>
      </w:r>
      <w:r w:rsidRPr="0081647F" w:rsidR="0081647F">
        <w:rPr>
          <w:rFonts w:eastAsia="Times New Roman" w:cs="Tahoma"/>
          <w:color w:val="auto"/>
          <w:szCs w:val="24"/>
          <w:lang w:eastAsia="es-ES"/>
        </w:rPr>
        <w:t>Sujeto Obligado dio respuesta a la solicitud de acceso a la información a través del Sistema de Acceso a la Informaci</w:t>
      </w:r>
      <w:r w:rsidR="00A75345">
        <w:rPr>
          <w:rFonts w:eastAsia="Times New Roman" w:cs="Tahoma"/>
          <w:color w:val="auto"/>
          <w:szCs w:val="24"/>
          <w:lang w:eastAsia="es-ES"/>
        </w:rPr>
        <w:t xml:space="preserve">ón Mexiquense (SAIMEX), </w:t>
      </w:r>
      <w:r w:rsidR="00D7160C">
        <w:rPr>
          <w:rFonts w:eastAsia="Times New Roman" w:cs="Tahoma"/>
          <w:color w:val="auto"/>
          <w:szCs w:val="24"/>
          <w:lang w:eastAsia="es-ES"/>
        </w:rPr>
        <w:t xml:space="preserve">a través del oficio número </w:t>
      </w:r>
      <w:r w:rsidR="0066297C">
        <w:rPr>
          <w:rFonts w:eastAsia="Times New Roman" w:cs="Tahoma"/>
          <w:color w:val="auto"/>
          <w:szCs w:val="24"/>
          <w:lang w:eastAsia="es-ES"/>
        </w:rPr>
        <w:t>TEPE/TRANS/010/2022-04</w:t>
      </w:r>
      <w:r w:rsidR="00D7160C">
        <w:rPr>
          <w:rFonts w:eastAsia="Times New Roman" w:cs="Tahoma"/>
          <w:color w:val="auto"/>
          <w:szCs w:val="24"/>
          <w:lang w:eastAsia="es-ES"/>
        </w:rPr>
        <w:t>, suscrito por</w:t>
      </w:r>
      <w:r w:rsidR="006B184E">
        <w:rPr>
          <w:rFonts w:eastAsia="Times New Roman" w:cs="Tahoma"/>
          <w:color w:val="auto"/>
          <w:szCs w:val="24"/>
          <w:lang w:eastAsia="es-ES"/>
        </w:rPr>
        <w:t xml:space="preserve"> </w:t>
      </w:r>
      <w:r w:rsidR="00B4439F">
        <w:rPr>
          <w:rFonts w:eastAsia="Times New Roman" w:cs="Tahoma"/>
          <w:color w:val="auto"/>
          <w:szCs w:val="24"/>
          <w:lang w:eastAsia="es-ES"/>
        </w:rPr>
        <w:t xml:space="preserve">el </w:t>
      </w:r>
      <w:r w:rsidR="006203E3">
        <w:rPr>
          <w:rFonts w:eastAsia="Times New Roman" w:cs="Tahoma"/>
          <w:color w:val="auto"/>
          <w:szCs w:val="24"/>
          <w:lang w:eastAsia="es-ES"/>
        </w:rPr>
        <w:t>D</w:t>
      </w:r>
      <w:r w:rsidR="00B4439F">
        <w:rPr>
          <w:rFonts w:eastAsia="Times New Roman" w:cs="Tahoma"/>
          <w:color w:val="auto"/>
          <w:szCs w:val="24"/>
          <w:lang w:eastAsia="es-ES"/>
        </w:rPr>
        <w:t xml:space="preserve">irector </w:t>
      </w:r>
      <w:r w:rsidR="0066297C">
        <w:rPr>
          <w:rFonts w:eastAsia="Times New Roman" w:cs="Tahoma"/>
          <w:color w:val="auto"/>
          <w:szCs w:val="24"/>
          <w:lang w:eastAsia="es-ES"/>
        </w:rPr>
        <w:t xml:space="preserve">de Obras y Desarrollo Urbano </w:t>
      </w:r>
      <w:r w:rsidR="00B4439F">
        <w:rPr>
          <w:rFonts w:eastAsia="Times New Roman" w:cs="Tahoma"/>
          <w:color w:val="auto"/>
          <w:szCs w:val="24"/>
          <w:lang w:eastAsia="es-ES"/>
        </w:rPr>
        <w:t xml:space="preserve"> y dirigido al Titular de la Unidad de Transparencia</w:t>
      </w:r>
      <w:r w:rsidR="006B184E">
        <w:rPr>
          <w:rFonts w:eastAsia="Times New Roman" w:cs="Tahoma"/>
          <w:color w:val="auto"/>
          <w:szCs w:val="24"/>
          <w:lang w:eastAsia="es-ES"/>
        </w:rPr>
        <w:t>, en los siguientes términos</w:t>
      </w:r>
      <w:r w:rsidR="00EF2ACF">
        <w:rPr>
          <w:rFonts w:eastAsia="Times New Roman" w:cs="Tahoma"/>
          <w:color w:val="auto"/>
          <w:szCs w:val="24"/>
          <w:lang w:eastAsia="es-ES"/>
        </w:rPr>
        <w:t xml:space="preserve">: </w:t>
      </w:r>
    </w:p>
    <w:p w:rsidR="00EF2ACF" w:rsidP="00B034A6" w:rsidRDefault="00EF2ACF" w14:paraId="6A5E19F2" w14:textId="37163C58">
      <w:pPr>
        <w:autoSpaceDE w:val="0"/>
        <w:autoSpaceDN w:val="0"/>
        <w:adjustRightInd w:val="0"/>
        <w:spacing w:after="0" w:line="360" w:lineRule="auto"/>
        <w:rPr>
          <w:rFonts w:eastAsia="Times New Roman" w:cs="Tahoma"/>
          <w:color w:val="auto"/>
          <w:szCs w:val="24"/>
          <w:lang w:eastAsia="es-ES"/>
        </w:rPr>
      </w:pPr>
    </w:p>
    <w:p w:rsidRPr="00DC411A" w:rsidR="00EF2ACF" w:rsidP="00B034A6" w:rsidRDefault="00EF2ACF" w14:paraId="6B15D73B" w14:textId="675FBCC5">
      <w:pPr>
        <w:autoSpaceDE w:val="0"/>
        <w:autoSpaceDN w:val="0"/>
        <w:adjustRightInd w:val="0"/>
        <w:spacing w:after="0" w:line="360" w:lineRule="auto"/>
        <w:ind w:left="567" w:right="567"/>
        <w:rPr>
          <w:rFonts w:eastAsia="Times New Roman" w:cs="Tahoma"/>
          <w:i/>
          <w:iCs/>
          <w:color w:val="auto"/>
          <w:sz w:val="20"/>
          <w:lang w:eastAsia="es-ES"/>
        </w:rPr>
      </w:pPr>
      <w:r w:rsidRPr="00DC411A">
        <w:rPr>
          <w:rFonts w:eastAsia="Times New Roman" w:cs="Tahoma"/>
          <w:i/>
          <w:iCs/>
          <w:color w:val="auto"/>
          <w:sz w:val="20"/>
          <w:lang w:eastAsia="es-ES"/>
        </w:rPr>
        <w:t>“…</w:t>
      </w:r>
    </w:p>
    <w:p w:rsidR="00B4439F" w:rsidP="00B034A6" w:rsidRDefault="0066297C" w14:paraId="55B3B60B" w14:textId="25DA1AB8">
      <w:pPr>
        <w:autoSpaceDE w:val="0"/>
        <w:autoSpaceDN w:val="0"/>
        <w:adjustRightInd w:val="0"/>
        <w:spacing w:after="0" w:line="360" w:lineRule="auto"/>
        <w:ind w:left="567" w:right="567"/>
        <w:rPr>
          <w:rFonts w:eastAsia="Times New Roman" w:cs="Tahoma"/>
          <w:i/>
          <w:iCs/>
          <w:color w:val="auto"/>
          <w:sz w:val="20"/>
          <w:lang w:eastAsia="es-ES"/>
        </w:rPr>
      </w:pPr>
      <w:r w:rsidRPr="0066297C">
        <w:rPr>
          <w:rFonts w:eastAsia="Times New Roman" w:cs="Tahoma"/>
          <w:i/>
          <w:iCs/>
          <w:color w:val="auto"/>
          <w:sz w:val="20"/>
          <w:lang w:eastAsia="es-ES"/>
        </w:rPr>
        <w:t xml:space="preserve">Hago de su conocimiento que después de realizar una búsqueda exhaustiva y razonable en los archivos </w:t>
      </w:r>
      <w:r w:rsidRPr="0066297C" w:rsidR="00FC3AEF">
        <w:rPr>
          <w:rFonts w:eastAsia="Times New Roman" w:cs="Tahoma"/>
          <w:i/>
          <w:iCs/>
          <w:color w:val="auto"/>
          <w:sz w:val="20"/>
          <w:lang w:eastAsia="es-ES"/>
        </w:rPr>
        <w:t>físicos</w:t>
      </w:r>
      <w:r w:rsidRPr="0066297C">
        <w:rPr>
          <w:rFonts w:eastAsia="Times New Roman" w:cs="Tahoma"/>
          <w:i/>
          <w:iCs/>
          <w:color w:val="auto"/>
          <w:sz w:val="20"/>
          <w:lang w:eastAsia="es-ES"/>
        </w:rPr>
        <w:t xml:space="preserve"> y electrónicos de la Dirección de Obras Públicas y Desarrollo Urbano del Municipio de Tepetlaoxtoc administración 2022-20224, no obra en los archivos de esta dependencia la información relacionada a los años 2012, 2013, 2014, 2015 y 2016 de los datos requeridos en la solicitud número 0059/TEPETLAP/IP/2022, por lo cual solicito a usted se extienda la petición referida al Archivo Municipal, a efecto de salvaguardar y garantizar la transparencia y el derecho a la información pública en posesión de los sujetos obligados.</w:t>
      </w:r>
    </w:p>
    <w:p w:rsidR="00FC3AEF" w:rsidP="00B034A6" w:rsidRDefault="00FC3AEF" w14:paraId="1A26CA14" w14:textId="4ECFFDB9">
      <w:pPr>
        <w:autoSpaceDE w:val="0"/>
        <w:autoSpaceDN w:val="0"/>
        <w:adjustRightInd w:val="0"/>
        <w:spacing w:after="0" w:line="360" w:lineRule="auto"/>
        <w:ind w:left="567" w:right="567"/>
        <w:rPr>
          <w:rFonts w:eastAsia="Times New Roman" w:cs="Tahoma"/>
          <w:i/>
          <w:iCs/>
          <w:color w:val="auto"/>
          <w:sz w:val="20"/>
          <w:lang w:eastAsia="es-ES"/>
        </w:rPr>
      </w:pPr>
      <w:r>
        <w:rPr>
          <w:rFonts w:eastAsia="Times New Roman" w:cs="Tahoma"/>
          <w:i/>
          <w:iCs/>
          <w:color w:val="auto"/>
          <w:sz w:val="20"/>
          <w:lang w:eastAsia="es-ES"/>
        </w:rPr>
        <w:t>…</w:t>
      </w:r>
    </w:p>
    <w:p w:rsidRPr="0066297C" w:rsidR="00FC3AEF" w:rsidP="00B034A6" w:rsidRDefault="0066297C" w14:paraId="0103C6BE" w14:textId="6605538A">
      <w:pPr>
        <w:autoSpaceDE w:val="0"/>
        <w:autoSpaceDN w:val="0"/>
        <w:adjustRightInd w:val="0"/>
        <w:spacing w:after="0" w:line="360" w:lineRule="auto"/>
        <w:ind w:left="567" w:right="567"/>
        <w:rPr>
          <w:rFonts w:eastAsia="Times New Roman" w:cs="Tahoma"/>
          <w:i/>
          <w:iCs/>
          <w:color w:val="auto"/>
          <w:sz w:val="20"/>
          <w:lang w:eastAsia="es-ES"/>
        </w:rPr>
      </w:pPr>
      <w:r w:rsidRPr="0066297C">
        <w:rPr>
          <w:rFonts w:eastAsia="Times New Roman" w:cs="Tahoma"/>
          <w:i/>
          <w:iCs/>
          <w:color w:val="auto"/>
          <w:sz w:val="20"/>
          <w:lang w:eastAsia="es-ES"/>
        </w:rPr>
        <w:t xml:space="preserve">En lo que respecta a la información del año 2017 y 2018 comunico a Usted, que la misma no fue relacionada y </w:t>
      </w:r>
      <w:r w:rsidRPr="0066297C" w:rsidR="00FC3AEF">
        <w:rPr>
          <w:rFonts w:eastAsia="Times New Roman" w:cs="Tahoma"/>
          <w:i/>
          <w:iCs/>
          <w:color w:val="auto"/>
          <w:sz w:val="20"/>
          <w:lang w:eastAsia="es-ES"/>
        </w:rPr>
        <w:t>decepcionada</w:t>
      </w:r>
      <w:r w:rsidRPr="0066297C">
        <w:rPr>
          <w:rFonts w:eastAsia="Times New Roman" w:cs="Tahoma"/>
          <w:i/>
          <w:iCs/>
          <w:color w:val="auto"/>
          <w:sz w:val="20"/>
          <w:lang w:eastAsia="es-ES"/>
        </w:rPr>
        <w:t xml:space="preserve"> en el acto entrega recepción de fecha primero de enero del año 2022 de la unidad administrativa "Dirección de Obras Públicas y Desarrollo Urbano", sin embargo, en el caso del ejercicio fiscal 2018 puede ser consultada en el sitio de internet habilitado de acuerdo a la </w:t>
      </w:r>
      <w:proofErr w:type="gramStart"/>
      <w:r w:rsidRPr="0066297C">
        <w:rPr>
          <w:rFonts w:eastAsia="Times New Roman" w:cs="Tahoma"/>
          <w:i/>
          <w:iCs/>
          <w:color w:val="auto"/>
          <w:sz w:val="20"/>
          <w:lang w:eastAsia="es-ES"/>
        </w:rPr>
        <w:lastRenderedPageBreak/>
        <w:t>normatividad</w:t>
      </w:r>
      <w:proofErr w:type="gramEnd"/>
      <w:r w:rsidRPr="0066297C">
        <w:rPr>
          <w:rFonts w:eastAsia="Times New Roman" w:cs="Tahoma"/>
          <w:i/>
          <w:iCs/>
          <w:color w:val="auto"/>
          <w:sz w:val="20"/>
          <w:lang w:eastAsia="es-ES"/>
        </w:rPr>
        <w:t xml:space="preserve"> en la materia, el cual se proporciona a continuación:</w:t>
      </w:r>
      <w:r w:rsidR="00FC3AEF">
        <w:rPr>
          <w:rFonts w:eastAsia="Times New Roman" w:cs="Tahoma"/>
          <w:i/>
          <w:iCs/>
          <w:color w:val="auto"/>
          <w:sz w:val="20"/>
          <w:lang w:eastAsia="es-ES"/>
        </w:rPr>
        <w:t xml:space="preserve"> </w:t>
      </w:r>
      <w:bookmarkStart w:name="_Hlk124406944" w:id="1"/>
      <w:r>
        <w:fldChar w:fldCharType="begin"/>
      </w:r>
      <w:r>
        <w:instrText>HYPERLINK "https://www.ipomex.org.mx/ipo3/lgt/portal.web"</w:instrText>
      </w:r>
      <w:r>
        <w:fldChar w:fldCharType="separate"/>
      </w:r>
      <w:r w:rsidRPr="00CC2FCC" w:rsidR="00FC3AEF">
        <w:rPr>
          <w:rStyle w:val="Hipervnculo"/>
          <w:rFonts w:eastAsia="Times New Roman" w:cs="Tahoma"/>
          <w:i/>
          <w:iCs/>
          <w:sz w:val="20"/>
          <w:lang w:eastAsia="es-ES"/>
        </w:rPr>
        <w:t>https://www.ipomex.org.mx/ipo3/lgt/portal.web</w:t>
      </w:r>
      <w:r>
        <w:rPr>
          <w:rStyle w:val="Hipervnculo"/>
          <w:rFonts w:eastAsia="Times New Roman" w:cs="Tahoma"/>
          <w:i/>
          <w:iCs/>
          <w:sz w:val="20"/>
          <w:lang w:eastAsia="es-ES"/>
        </w:rPr>
        <w:fldChar w:fldCharType="end"/>
      </w:r>
      <w:bookmarkEnd w:id="1"/>
      <w:r w:rsidR="00FC3AEF">
        <w:rPr>
          <w:rFonts w:eastAsia="Times New Roman" w:cs="Tahoma"/>
          <w:i/>
          <w:iCs/>
          <w:color w:val="auto"/>
          <w:sz w:val="20"/>
          <w:lang w:eastAsia="es-ES"/>
        </w:rPr>
        <w:t xml:space="preserve">. </w:t>
      </w:r>
    </w:p>
    <w:p w:rsidRPr="0066297C" w:rsidR="0066297C" w:rsidP="00B034A6" w:rsidRDefault="0066297C" w14:paraId="7C49E6FC" w14:textId="77777777">
      <w:pPr>
        <w:autoSpaceDE w:val="0"/>
        <w:autoSpaceDN w:val="0"/>
        <w:adjustRightInd w:val="0"/>
        <w:spacing w:after="0" w:line="360" w:lineRule="auto"/>
        <w:ind w:left="567" w:right="567"/>
        <w:rPr>
          <w:rFonts w:eastAsia="Times New Roman" w:cs="Tahoma"/>
          <w:i/>
          <w:iCs/>
          <w:color w:val="auto"/>
          <w:sz w:val="20"/>
          <w:lang w:eastAsia="es-ES"/>
        </w:rPr>
      </w:pPr>
    </w:p>
    <w:p w:rsidRPr="002A4A17" w:rsidR="0066297C" w:rsidP="00B034A6" w:rsidRDefault="0066297C" w14:paraId="3A2F4310" w14:textId="70A1619E">
      <w:pPr>
        <w:autoSpaceDE w:val="0"/>
        <w:autoSpaceDN w:val="0"/>
        <w:adjustRightInd w:val="0"/>
        <w:spacing w:after="0" w:line="360" w:lineRule="auto"/>
        <w:ind w:left="567" w:right="567"/>
        <w:rPr>
          <w:rFonts w:eastAsia="Times New Roman" w:cs="Tahoma"/>
          <w:b/>
          <w:i/>
          <w:iCs/>
          <w:color w:val="auto"/>
          <w:sz w:val="20"/>
          <w:lang w:eastAsia="es-ES"/>
        </w:rPr>
      </w:pPr>
      <w:r w:rsidRPr="0066297C">
        <w:rPr>
          <w:rFonts w:eastAsia="Times New Roman" w:cs="Tahoma"/>
          <w:i/>
          <w:iCs/>
          <w:color w:val="auto"/>
          <w:sz w:val="20"/>
          <w:lang w:eastAsia="es-ES"/>
        </w:rPr>
        <w:t xml:space="preserve">En lo que concierne a la información de los años 2019, 2020 y 2021 se adjunta al presente el listado con la información requerida en los incisos: </w:t>
      </w:r>
      <w:bookmarkStart w:name="_Hlk124407444" w:id="2"/>
      <w:r w:rsidRPr="00FC3AEF">
        <w:rPr>
          <w:rFonts w:eastAsia="Times New Roman" w:cs="Tahoma"/>
          <w:b/>
          <w:i/>
          <w:iCs/>
          <w:color w:val="auto"/>
          <w:sz w:val="20"/>
          <w:lang w:eastAsia="es-ES"/>
        </w:rPr>
        <w:t>A Número del procedimiento, D</w:t>
      </w:r>
      <w:r w:rsidR="002A4A17">
        <w:rPr>
          <w:rFonts w:eastAsia="Times New Roman" w:cs="Tahoma"/>
          <w:b/>
          <w:i/>
          <w:iCs/>
          <w:color w:val="auto"/>
          <w:sz w:val="20"/>
          <w:lang w:eastAsia="es-ES"/>
        </w:rPr>
        <w:t>.</w:t>
      </w:r>
      <w:r w:rsidRPr="00FC3AEF">
        <w:rPr>
          <w:rFonts w:eastAsia="Times New Roman" w:cs="Tahoma"/>
          <w:b/>
          <w:i/>
          <w:iCs/>
          <w:color w:val="auto"/>
          <w:sz w:val="20"/>
          <w:lang w:eastAsia="es-ES"/>
        </w:rPr>
        <w:t>-Código del expediente E</w:t>
      </w:r>
      <w:r w:rsidR="002A4A17">
        <w:rPr>
          <w:rFonts w:eastAsia="Times New Roman" w:cs="Tahoma"/>
          <w:b/>
          <w:i/>
          <w:iCs/>
          <w:color w:val="auto"/>
          <w:sz w:val="20"/>
          <w:lang w:eastAsia="es-ES"/>
        </w:rPr>
        <w:t>-</w:t>
      </w:r>
      <w:r w:rsidRPr="00FC3AEF">
        <w:rPr>
          <w:rFonts w:eastAsia="Times New Roman" w:cs="Tahoma"/>
          <w:b/>
          <w:i/>
          <w:iCs/>
          <w:color w:val="auto"/>
          <w:sz w:val="20"/>
          <w:lang w:eastAsia="es-ES"/>
        </w:rPr>
        <w:t xml:space="preserve">Referencia del expediente F. </w:t>
      </w:r>
      <w:r w:rsidRPr="00FC3AEF" w:rsidR="002A4A17">
        <w:rPr>
          <w:rFonts w:eastAsia="Times New Roman" w:cs="Tahoma"/>
          <w:b/>
          <w:i/>
          <w:iCs/>
          <w:color w:val="auto"/>
          <w:sz w:val="20"/>
          <w:lang w:eastAsia="es-ES"/>
        </w:rPr>
        <w:t>Título</w:t>
      </w:r>
      <w:r w:rsidRPr="00FC3AEF">
        <w:rPr>
          <w:rFonts w:eastAsia="Times New Roman" w:cs="Tahoma"/>
          <w:b/>
          <w:i/>
          <w:iCs/>
          <w:color w:val="auto"/>
          <w:sz w:val="20"/>
          <w:lang w:eastAsia="es-ES"/>
        </w:rPr>
        <w:t xml:space="preserve"> del expediente G. Fundamento legal H. Número del procedimiento </w:t>
      </w:r>
      <w:r w:rsidR="002A4A17">
        <w:rPr>
          <w:rFonts w:eastAsia="Times New Roman" w:cs="Tahoma"/>
          <w:b/>
          <w:i/>
          <w:iCs/>
          <w:color w:val="auto"/>
          <w:sz w:val="20"/>
          <w:lang w:eastAsia="es-ES"/>
        </w:rPr>
        <w:t>I.</w:t>
      </w:r>
      <w:r w:rsidRPr="00FC3AEF">
        <w:rPr>
          <w:rFonts w:eastAsia="Times New Roman" w:cs="Tahoma"/>
          <w:b/>
          <w:i/>
          <w:iCs/>
          <w:color w:val="auto"/>
          <w:sz w:val="20"/>
          <w:lang w:eastAsia="es-ES"/>
        </w:rPr>
        <w:t>-Fecha del Fallo K-Tipo de Contratación L</w:t>
      </w:r>
      <w:r w:rsidR="002A4A17">
        <w:rPr>
          <w:rFonts w:eastAsia="Times New Roman" w:cs="Tahoma"/>
          <w:b/>
          <w:i/>
          <w:iCs/>
          <w:color w:val="auto"/>
          <w:sz w:val="20"/>
          <w:lang w:eastAsia="es-ES"/>
        </w:rPr>
        <w:t>.</w:t>
      </w:r>
      <w:r w:rsidRPr="00FC3AEF">
        <w:rPr>
          <w:rFonts w:eastAsia="Times New Roman" w:cs="Tahoma"/>
          <w:b/>
          <w:i/>
          <w:iCs/>
          <w:color w:val="auto"/>
          <w:sz w:val="20"/>
          <w:lang w:eastAsia="es-ES"/>
        </w:rPr>
        <w:t>- tipo de Procedimiento M</w:t>
      </w:r>
      <w:r w:rsidR="002A4A17">
        <w:rPr>
          <w:rFonts w:eastAsia="Times New Roman" w:cs="Tahoma"/>
          <w:b/>
          <w:i/>
          <w:iCs/>
          <w:color w:val="auto"/>
          <w:sz w:val="20"/>
          <w:lang w:eastAsia="es-ES"/>
        </w:rPr>
        <w:t>.-Titulo</w:t>
      </w:r>
      <w:r w:rsidRPr="00FC3AEF">
        <w:rPr>
          <w:rFonts w:eastAsia="Times New Roman" w:cs="Tahoma"/>
          <w:b/>
          <w:i/>
          <w:iCs/>
          <w:color w:val="auto"/>
          <w:sz w:val="20"/>
          <w:lang w:eastAsia="es-ES"/>
        </w:rPr>
        <w:t xml:space="preserve"> del contrato N.</w:t>
      </w:r>
      <w:r w:rsidR="002A4A17">
        <w:rPr>
          <w:rFonts w:eastAsia="Times New Roman" w:cs="Tahoma"/>
          <w:b/>
          <w:i/>
          <w:iCs/>
          <w:color w:val="auto"/>
          <w:sz w:val="20"/>
          <w:lang w:eastAsia="es-ES"/>
        </w:rPr>
        <w:t>-</w:t>
      </w:r>
      <w:r w:rsidRPr="00FC3AEF">
        <w:rPr>
          <w:rFonts w:eastAsia="Times New Roman" w:cs="Tahoma"/>
          <w:b/>
          <w:i/>
          <w:iCs/>
          <w:color w:val="auto"/>
          <w:sz w:val="20"/>
          <w:lang w:eastAsia="es-ES"/>
        </w:rPr>
        <w:t xml:space="preserve"> Descripción del contrato 0</w:t>
      </w:r>
      <w:r w:rsidR="002A4A17">
        <w:rPr>
          <w:rFonts w:eastAsia="Times New Roman" w:cs="Tahoma"/>
          <w:b/>
          <w:i/>
          <w:iCs/>
          <w:color w:val="auto"/>
          <w:sz w:val="20"/>
          <w:lang w:eastAsia="es-ES"/>
        </w:rPr>
        <w:t>.</w:t>
      </w:r>
      <w:r w:rsidRPr="00FC3AEF">
        <w:rPr>
          <w:rFonts w:eastAsia="Times New Roman" w:cs="Tahoma"/>
          <w:b/>
          <w:i/>
          <w:iCs/>
          <w:color w:val="auto"/>
          <w:sz w:val="20"/>
          <w:lang w:eastAsia="es-ES"/>
        </w:rPr>
        <w:t>- Importe del Contrato P.</w:t>
      </w:r>
      <w:r w:rsidR="002A4A17">
        <w:rPr>
          <w:rFonts w:eastAsia="Times New Roman" w:cs="Tahoma"/>
          <w:b/>
          <w:i/>
          <w:iCs/>
          <w:color w:val="auto"/>
          <w:sz w:val="20"/>
          <w:lang w:eastAsia="es-ES"/>
        </w:rPr>
        <w:t>-</w:t>
      </w:r>
      <w:r w:rsidRPr="00FC3AEF">
        <w:rPr>
          <w:rFonts w:eastAsia="Times New Roman" w:cs="Tahoma"/>
          <w:b/>
          <w:i/>
          <w:iCs/>
          <w:color w:val="auto"/>
          <w:sz w:val="20"/>
          <w:lang w:eastAsia="es-ES"/>
        </w:rPr>
        <w:t xml:space="preserve"> Convenio modificatorio Q</w:t>
      </w:r>
      <w:r w:rsidR="002A4A17">
        <w:rPr>
          <w:rFonts w:eastAsia="Times New Roman" w:cs="Tahoma"/>
          <w:b/>
          <w:i/>
          <w:iCs/>
          <w:color w:val="auto"/>
          <w:sz w:val="20"/>
          <w:lang w:eastAsia="es-ES"/>
        </w:rPr>
        <w:t>.</w:t>
      </w:r>
      <w:r w:rsidRPr="00FC3AEF">
        <w:rPr>
          <w:rFonts w:eastAsia="Times New Roman" w:cs="Tahoma"/>
          <w:b/>
          <w:i/>
          <w:iCs/>
          <w:color w:val="auto"/>
          <w:sz w:val="20"/>
          <w:lang w:eastAsia="es-ES"/>
        </w:rPr>
        <w:t xml:space="preserve">-RFC y R-Proveedor o </w:t>
      </w:r>
      <w:r w:rsidRPr="00FC3AEF" w:rsidR="002A4A17">
        <w:rPr>
          <w:rFonts w:eastAsia="Times New Roman" w:cs="Tahoma"/>
          <w:b/>
          <w:i/>
          <w:iCs/>
          <w:color w:val="auto"/>
          <w:sz w:val="20"/>
          <w:lang w:eastAsia="es-ES"/>
        </w:rPr>
        <w:t>Contratista</w:t>
      </w:r>
      <w:r w:rsidRPr="00FC3AEF">
        <w:rPr>
          <w:rFonts w:eastAsia="Times New Roman" w:cs="Tahoma"/>
          <w:b/>
          <w:i/>
          <w:iCs/>
          <w:color w:val="auto"/>
          <w:sz w:val="20"/>
          <w:lang w:eastAsia="es-ES"/>
        </w:rPr>
        <w:t>, constante de cuatro (04) fojas útiles suscrito por un anverso de sus lados.</w:t>
      </w:r>
      <w:bookmarkEnd w:id="2"/>
    </w:p>
    <w:p w:rsidRPr="0066297C" w:rsidR="0066297C" w:rsidP="00B034A6" w:rsidRDefault="0066297C" w14:paraId="422C9DD8" w14:textId="77777777">
      <w:pPr>
        <w:autoSpaceDE w:val="0"/>
        <w:autoSpaceDN w:val="0"/>
        <w:adjustRightInd w:val="0"/>
        <w:spacing w:after="0" w:line="360" w:lineRule="auto"/>
        <w:ind w:left="567" w:right="567"/>
        <w:rPr>
          <w:rFonts w:eastAsia="Times New Roman" w:cs="Tahoma"/>
          <w:i/>
          <w:iCs/>
          <w:color w:val="auto"/>
          <w:sz w:val="20"/>
          <w:lang w:eastAsia="es-ES"/>
        </w:rPr>
      </w:pPr>
    </w:p>
    <w:p w:rsidRPr="0066297C" w:rsidR="0066297C" w:rsidP="00B034A6" w:rsidRDefault="002A4A17" w14:paraId="44B049ED" w14:textId="069B3D29">
      <w:pPr>
        <w:autoSpaceDE w:val="0"/>
        <w:autoSpaceDN w:val="0"/>
        <w:adjustRightInd w:val="0"/>
        <w:spacing w:after="0" w:line="360" w:lineRule="auto"/>
        <w:ind w:left="567" w:right="567"/>
        <w:rPr>
          <w:rFonts w:eastAsia="Times New Roman" w:cs="Tahoma"/>
          <w:i/>
          <w:iCs/>
          <w:color w:val="auto"/>
          <w:sz w:val="20"/>
          <w:lang w:eastAsia="es-ES"/>
        </w:rPr>
      </w:pPr>
      <w:r>
        <w:rPr>
          <w:rFonts w:eastAsia="Times New Roman" w:cs="Tahoma"/>
          <w:i/>
          <w:iCs/>
          <w:color w:val="auto"/>
          <w:sz w:val="20"/>
          <w:lang w:eastAsia="es-ES"/>
        </w:rPr>
        <w:t xml:space="preserve">Adicional a lo anterior ya los incisos.- </w:t>
      </w:r>
      <w:r w:rsidRPr="002A4A17">
        <w:rPr>
          <w:rFonts w:eastAsia="Times New Roman" w:cs="Tahoma"/>
          <w:b/>
          <w:i/>
          <w:iCs/>
          <w:color w:val="auto"/>
          <w:sz w:val="20"/>
          <w:lang w:eastAsia="es-ES"/>
        </w:rPr>
        <w:t>B.-</w:t>
      </w:r>
      <w:r w:rsidRPr="002A4A17" w:rsidR="0066297C">
        <w:rPr>
          <w:rFonts w:eastAsia="Times New Roman" w:cs="Tahoma"/>
          <w:b/>
          <w:i/>
          <w:iCs/>
          <w:color w:val="auto"/>
          <w:sz w:val="20"/>
          <w:lang w:eastAsia="es-ES"/>
        </w:rPr>
        <w:t xml:space="preserve"> Nombre de la UC, C</w:t>
      </w:r>
      <w:r w:rsidRPr="002A4A17">
        <w:rPr>
          <w:rFonts w:eastAsia="Times New Roman" w:cs="Tahoma"/>
          <w:b/>
          <w:i/>
          <w:iCs/>
          <w:color w:val="auto"/>
          <w:sz w:val="20"/>
          <w:lang w:eastAsia="es-ES"/>
        </w:rPr>
        <w:t>.</w:t>
      </w:r>
      <w:r w:rsidRPr="002A4A17" w:rsidR="0066297C">
        <w:rPr>
          <w:rFonts w:eastAsia="Times New Roman" w:cs="Tahoma"/>
          <w:b/>
          <w:i/>
          <w:iCs/>
          <w:color w:val="auto"/>
          <w:sz w:val="20"/>
          <w:lang w:eastAsia="es-ES"/>
        </w:rPr>
        <w:t>-Responsable de la UC</w:t>
      </w:r>
      <w:r w:rsidRPr="002A4A17">
        <w:rPr>
          <w:rFonts w:eastAsia="Times New Roman" w:cs="Tahoma"/>
          <w:b/>
          <w:i/>
          <w:iCs/>
          <w:color w:val="auto"/>
          <w:sz w:val="20"/>
          <w:lang w:eastAsia="es-ES"/>
        </w:rPr>
        <w:t>, J.-Fecha de Publicación y S.</w:t>
      </w:r>
      <w:r w:rsidRPr="002A4A17" w:rsidR="0066297C">
        <w:rPr>
          <w:rFonts w:eastAsia="Times New Roman" w:cs="Tahoma"/>
          <w:b/>
          <w:i/>
          <w:iCs/>
          <w:color w:val="auto"/>
          <w:sz w:val="20"/>
          <w:lang w:eastAsia="es-ES"/>
        </w:rPr>
        <w:t>-Dirección del anuncio</w:t>
      </w:r>
      <w:r w:rsidRPr="0066297C" w:rsidR="0066297C">
        <w:rPr>
          <w:rFonts w:eastAsia="Times New Roman" w:cs="Tahoma"/>
          <w:i/>
          <w:iCs/>
          <w:color w:val="auto"/>
          <w:sz w:val="20"/>
          <w:lang w:eastAsia="es-ES"/>
        </w:rPr>
        <w:t>, esta dependencia solicita a Usted</w:t>
      </w:r>
      <w:r>
        <w:rPr>
          <w:rFonts w:eastAsia="Times New Roman" w:cs="Tahoma"/>
          <w:i/>
          <w:iCs/>
          <w:color w:val="auto"/>
          <w:sz w:val="20"/>
          <w:lang w:eastAsia="es-ES"/>
        </w:rPr>
        <w:t xml:space="preserve">, </w:t>
      </w:r>
      <w:r w:rsidRPr="0066297C" w:rsidR="0066297C">
        <w:rPr>
          <w:rFonts w:eastAsia="Times New Roman" w:cs="Tahoma"/>
          <w:i/>
          <w:iCs/>
          <w:color w:val="auto"/>
          <w:sz w:val="20"/>
          <w:lang w:eastAsia="es-ES"/>
        </w:rPr>
        <w:t>se requiera al solicitante a efecto de precisar los requerimientos que se enunciaron en este párrafo, con fundamento en lo dispuesto por el artículo 159 de l</w:t>
      </w:r>
      <w:r>
        <w:rPr>
          <w:rFonts w:eastAsia="Times New Roman" w:cs="Tahoma"/>
          <w:i/>
          <w:iCs/>
          <w:color w:val="auto"/>
          <w:sz w:val="20"/>
          <w:lang w:eastAsia="es-ES"/>
        </w:rPr>
        <w:t>a</w:t>
      </w:r>
      <w:r w:rsidRPr="0066297C" w:rsidR="0066297C">
        <w:rPr>
          <w:rFonts w:eastAsia="Times New Roman" w:cs="Tahoma"/>
          <w:i/>
          <w:iCs/>
          <w:color w:val="auto"/>
          <w:sz w:val="20"/>
          <w:lang w:eastAsia="es-ES"/>
        </w:rPr>
        <w:t xml:space="preserve"> Ley </w:t>
      </w:r>
      <w:r>
        <w:rPr>
          <w:rFonts w:eastAsia="Times New Roman" w:cs="Tahoma"/>
          <w:i/>
          <w:iCs/>
          <w:color w:val="auto"/>
          <w:sz w:val="20"/>
          <w:lang w:eastAsia="es-ES"/>
        </w:rPr>
        <w:t>de Transparencia y Acceso a la I</w:t>
      </w:r>
      <w:r w:rsidRPr="0066297C" w:rsidR="0066297C">
        <w:rPr>
          <w:rFonts w:eastAsia="Times New Roman" w:cs="Tahoma"/>
          <w:i/>
          <w:iCs/>
          <w:color w:val="auto"/>
          <w:sz w:val="20"/>
          <w:lang w:eastAsia="es-ES"/>
        </w:rPr>
        <w:t>nformación Pública del Estado de México y Municipios</w:t>
      </w:r>
    </w:p>
    <w:p w:rsidRPr="0066297C" w:rsidR="0066297C" w:rsidP="00B034A6" w:rsidRDefault="0066297C" w14:paraId="3A10D680" w14:textId="77777777">
      <w:pPr>
        <w:autoSpaceDE w:val="0"/>
        <w:autoSpaceDN w:val="0"/>
        <w:adjustRightInd w:val="0"/>
        <w:spacing w:after="0" w:line="360" w:lineRule="auto"/>
        <w:ind w:left="567" w:right="567"/>
        <w:rPr>
          <w:rFonts w:eastAsia="Times New Roman" w:cs="Tahoma"/>
          <w:i/>
          <w:iCs/>
          <w:color w:val="auto"/>
          <w:sz w:val="20"/>
          <w:lang w:eastAsia="es-ES"/>
        </w:rPr>
      </w:pPr>
    </w:p>
    <w:p w:rsidR="002A4A17" w:rsidP="00B034A6" w:rsidRDefault="002A4A17" w14:paraId="0E42706B" w14:textId="77777777">
      <w:pPr>
        <w:autoSpaceDE w:val="0"/>
        <w:autoSpaceDN w:val="0"/>
        <w:adjustRightInd w:val="0"/>
        <w:spacing w:after="0" w:line="360" w:lineRule="auto"/>
        <w:ind w:left="567" w:right="567"/>
        <w:rPr>
          <w:rFonts w:eastAsia="Times New Roman" w:cs="Tahoma"/>
          <w:i/>
          <w:iCs/>
          <w:color w:val="auto"/>
          <w:sz w:val="20"/>
          <w:lang w:eastAsia="es-ES"/>
        </w:rPr>
      </w:pPr>
      <w:r>
        <w:rPr>
          <w:rFonts w:eastAsia="Times New Roman" w:cs="Tahoma"/>
          <w:i/>
          <w:iCs/>
          <w:color w:val="auto"/>
          <w:sz w:val="20"/>
          <w:lang w:eastAsia="es-ES"/>
        </w:rPr>
        <w:t xml:space="preserve">Por ultimo en cuanto a </w:t>
      </w:r>
      <w:r w:rsidRPr="002A4A17">
        <w:rPr>
          <w:rFonts w:eastAsia="Times New Roman" w:cs="Tahoma"/>
          <w:b/>
          <w:i/>
          <w:iCs/>
          <w:color w:val="auto"/>
          <w:sz w:val="20"/>
          <w:lang w:eastAsia="es-ES"/>
        </w:rPr>
        <w:t xml:space="preserve">“… lista </w:t>
      </w:r>
      <w:r w:rsidRPr="002A4A17" w:rsidR="0066297C">
        <w:rPr>
          <w:rFonts w:eastAsia="Times New Roman" w:cs="Tahoma"/>
          <w:b/>
          <w:i/>
          <w:iCs/>
          <w:color w:val="auto"/>
          <w:sz w:val="20"/>
          <w:lang w:eastAsia="es-ES"/>
        </w:rPr>
        <w:t>de proveedores d</w:t>
      </w:r>
      <w:r w:rsidRPr="002A4A17">
        <w:rPr>
          <w:rFonts w:eastAsia="Times New Roman" w:cs="Tahoma"/>
          <w:b/>
          <w:i/>
          <w:iCs/>
          <w:color w:val="auto"/>
          <w:sz w:val="20"/>
          <w:lang w:eastAsia="es-ES"/>
        </w:rPr>
        <w:t>e 2012 a la fecha más reciente…”Sic.</w:t>
      </w:r>
      <w:r>
        <w:rPr>
          <w:rFonts w:eastAsia="Times New Roman" w:cs="Tahoma"/>
          <w:i/>
          <w:iCs/>
          <w:color w:val="auto"/>
          <w:sz w:val="20"/>
          <w:lang w:eastAsia="es-ES"/>
        </w:rPr>
        <w:t xml:space="preserve"> ,</w:t>
      </w:r>
      <w:r w:rsidRPr="0066297C" w:rsidR="0066297C">
        <w:rPr>
          <w:rFonts w:eastAsia="Times New Roman" w:cs="Tahoma"/>
          <w:i/>
          <w:iCs/>
          <w:color w:val="auto"/>
          <w:sz w:val="20"/>
          <w:lang w:eastAsia="es-ES"/>
        </w:rPr>
        <w:t xml:space="preserve"> la Dirección de Obras Públicas u Desarrollo Urbano no lleva a cabo procedimientos de adquisiciones, enajenaciones, arrendamientos y servicios, por lo tanto deberá ser solicitada al área que, de acuerdo a su atribuciones y facultades sea competente, con fundamento en lo establecido en el </w:t>
      </w:r>
      <w:r w:rsidRPr="0066297C">
        <w:rPr>
          <w:rFonts w:eastAsia="Times New Roman" w:cs="Tahoma"/>
          <w:i/>
          <w:iCs/>
          <w:color w:val="auto"/>
          <w:sz w:val="20"/>
          <w:lang w:eastAsia="es-ES"/>
        </w:rPr>
        <w:t>artículo</w:t>
      </w:r>
      <w:r>
        <w:rPr>
          <w:rFonts w:eastAsia="Times New Roman" w:cs="Tahoma"/>
          <w:i/>
          <w:iCs/>
          <w:color w:val="auto"/>
          <w:sz w:val="20"/>
          <w:lang w:eastAsia="es-ES"/>
        </w:rPr>
        <w:t xml:space="preserve"> 96</w:t>
      </w:r>
      <w:r w:rsidRPr="0066297C" w:rsidR="0066297C">
        <w:rPr>
          <w:rFonts w:eastAsia="Times New Roman" w:cs="Tahoma"/>
          <w:i/>
          <w:iCs/>
          <w:color w:val="auto"/>
          <w:sz w:val="20"/>
          <w:lang w:eastAsia="es-ES"/>
        </w:rPr>
        <w:t xml:space="preserve"> bis de la Ley Orgánica Municipal del Estado de México, la Ley de Contratación Pública del Estado de México y Municipios y el Reglamento de la Ley de Contratación Pública de</w:t>
      </w:r>
      <w:r>
        <w:rPr>
          <w:rFonts w:eastAsia="Times New Roman" w:cs="Tahoma"/>
          <w:i/>
          <w:iCs/>
          <w:color w:val="auto"/>
          <w:sz w:val="20"/>
          <w:lang w:eastAsia="es-ES"/>
        </w:rPr>
        <w:t>l Estado de México y Municipios,</w:t>
      </w:r>
    </w:p>
    <w:p w:rsidRPr="00DC411A" w:rsidR="00A75345" w:rsidP="00B034A6" w:rsidRDefault="00A75345" w14:paraId="37DBDD24" w14:textId="25DF62D5">
      <w:pPr>
        <w:autoSpaceDE w:val="0"/>
        <w:autoSpaceDN w:val="0"/>
        <w:adjustRightInd w:val="0"/>
        <w:spacing w:after="0" w:line="360" w:lineRule="auto"/>
        <w:ind w:left="567" w:right="567"/>
        <w:rPr>
          <w:rFonts w:eastAsia="Times New Roman" w:cs="Tahoma"/>
          <w:i/>
          <w:iCs/>
          <w:color w:val="auto"/>
          <w:sz w:val="20"/>
          <w:lang w:eastAsia="es-ES"/>
        </w:rPr>
      </w:pPr>
      <w:r>
        <w:rPr>
          <w:rFonts w:eastAsia="Times New Roman" w:cs="Tahoma"/>
          <w:i/>
          <w:iCs/>
          <w:color w:val="auto"/>
          <w:sz w:val="20"/>
          <w:lang w:eastAsia="es-ES"/>
        </w:rPr>
        <w:t>…</w:t>
      </w:r>
      <w:r w:rsidRPr="00DC411A" w:rsidR="00EF2ACF">
        <w:rPr>
          <w:rFonts w:eastAsia="Times New Roman" w:cs="Tahoma"/>
          <w:i/>
          <w:iCs/>
          <w:color w:val="auto"/>
          <w:sz w:val="20"/>
          <w:lang w:eastAsia="es-ES"/>
        </w:rPr>
        <w:t>”</w:t>
      </w:r>
      <w:r w:rsidRPr="00DC411A" w:rsidR="00DC411A">
        <w:rPr>
          <w:rFonts w:eastAsia="Times New Roman" w:cs="Tahoma"/>
          <w:i/>
          <w:iCs/>
          <w:color w:val="auto"/>
          <w:sz w:val="20"/>
          <w:lang w:eastAsia="es-ES"/>
        </w:rPr>
        <w:t xml:space="preserve"> (</w:t>
      </w:r>
      <w:r w:rsidR="00C30B5F">
        <w:rPr>
          <w:rFonts w:eastAsia="Times New Roman" w:cs="Tahoma"/>
          <w:i/>
          <w:iCs/>
          <w:color w:val="auto"/>
          <w:sz w:val="20"/>
          <w:lang w:eastAsia="es-ES"/>
        </w:rPr>
        <w:t>S</w:t>
      </w:r>
      <w:r w:rsidRPr="00DC411A" w:rsidR="00DC411A">
        <w:rPr>
          <w:rFonts w:eastAsia="Times New Roman" w:cs="Tahoma"/>
          <w:i/>
          <w:iCs/>
          <w:color w:val="auto"/>
          <w:sz w:val="20"/>
          <w:lang w:eastAsia="es-ES"/>
        </w:rPr>
        <w:t>ic</w:t>
      </w:r>
      <w:r w:rsidR="00DC411A">
        <w:rPr>
          <w:rFonts w:eastAsia="Times New Roman" w:cs="Tahoma"/>
          <w:i/>
          <w:iCs/>
          <w:color w:val="auto"/>
          <w:sz w:val="20"/>
          <w:lang w:eastAsia="es-ES"/>
        </w:rPr>
        <w:t>.</w:t>
      </w:r>
      <w:r w:rsidRPr="00DC411A" w:rsidR="00DC411A">
        <w:rPr>
          <w:rFonts w:eastAsia="Times New Roman" w:cs="Tahoma"/>
          <w:i/>
          <w:iCs/>
          <w:color w:val="auto"/>
          <w:sz w:val="20"/>
          <w:lang w:eastAsia="es-ES"/>
        </w:rPr>
        <w:t>)</w:t>
      </w:r>
    </w:p>
    <w:p w:rsidR="00B5335F" w:rsidP="00B034A6" w:rsidRDefault="00B5335F" w14:paraId="44CBA6F1" w14:textId="77777777">
      <w:pPr>
        <w:autoSpaceDE w:val="0"/>
        <w:autoSpaceDN w:val="0"/>
        <w:adjustRightInd w:val="0"/>
        <w:spacing w:after="0" w:line="360" w:lineRule="auto"/>
        <w:rPr>
          <w:rFonts w:cs="Tahoma"/>
          <w:b/>
        </w:rPr>
      </w:pPr>
    </w:p>
    <w:p w:rsidR="006124C5" w:rsidP="00B034A6" w:rsidRDefault="006124C5" w14:paraId="5D1837BD" w14:textId="1C285DA0">
      <w:pPr>
        <w:autoSpaceDE w:val="0"/>
        <w:autoSpaceDN w:val="0"/>
        <w:adjustRightInd w:val="0"/>
        <w:spacing w:after="0" w:line="360" w:lineRule="auto"/>
        <w:rPr>
          <w:rFonts w:cs="Tahoma"/>
        </w:rPr>
      </w:pPr>
      <w:r w:rsidRPr="006124C5">
        <w:rPr>
          <w:rFonts w:cs="Tahoma"/>
        </w:rPr>
        <w:t xml:space="preserve">El Sujeto Obligado adjuntó la digitalización de los siguientes documentos: </w:t>
      </w:r>
    </w:p>
    <w:p w:rsidRPr="006124C5" w:rsidR="006124C5" w:rsidP="00B034A6" w:rsidRDefault="006124C5" w14:paraId="2F32EDCA" w14:textId="77777777">
      <w:pPr>
        <w:autoSpaceDE w:val="0"/>
        <w:autoSpaceDN w:val="0"/>
        <w:adjustRightInd w:val="0"/>
        <w:spacing w:after="0" w:line="360" w:lineRule="auto"/>
        <w:rPr>
          <w:rFonts w:cs="Tahoma"/>
        </w:rPr>
      </w:pPr>
    </w:p>
    <w:p w:rsidR="006124C5" w:rsidP="00B034A6" w:rsidRDefault="006124C5" w14:paraId="1C3AF07B" w14:textId="2D5B536A">
      <w:pPr>
        <w:autoSpaceDE w:val="0"/>
        <w:autoSpaceDN w:val="0"/>
        <w:adjustRightInd w:val="0"/>
        <w:spacing w:after="0" w:line="360" w:lineRule="auto"/>
        <w:rPr>
          <w:rFonts w:cs="Tahoma"/>
        </w:rPr>
      </w:pPr>
      <w:r>
        <w:rPr>
          <w:rFonts w:cs="Tahoma"/>
        </w:rPr>
        <w:lastRenderedPageBreak/>
        <w:t xml:space="preserve">i) Listado de Contrato de Obras licitados en el municipio de Tepetlaoxtoc, por Adjudicación Directa, Invitación Restringida y Licitación Pública de los años 2019, 2020 y 2021, el cual se encuentra parcialmente legible. </w:t>
      </w:r>
    </w:p>
    <w:p w:rsidR="00A40BBA" w:rsidP="00B034A6" w:rsidRDefault="00A40BBA" w14:paraId="069ACE90" w14:textId="77777777">
      <w:pPr>
        <w:autoSpaceDE w:val="0"/>
        <w:autoSpaceDN w:val="0"/>
        <w:adjustRightInd w:val="0"/>
        <w:spacing w:after="0" w:line="360" w:lineRule="auto"/>
        <w:rPr>
          <w:rFonts w:cs="Tahoma"/>
        </w:rPr>
      </w:pPr>
    </w:p>
    <w:p w:rsidR="006124C5" w:rsidP="00B034A6" w:rsidRDefault="00220FD8" w14:paraId="48E25172" w14:textId="51468127">
      <w:pPr>
        <w:autoSpaceDE w:val="0"/>
        <w:autoSpaceDN w:val="0"/>
        <w:adjustRightInd w:val="0"/>
        <w:spacing w:after="0" w:line="360" w:lineRule="auto"/>
        <w:rPr>
          <w:rFonts w:cs="Tahoma"/>
        </w:rPr>
      </w:pPr>
      <w:r>
        <w:rPr>
          <w:rFonts w:cs="Tahoma"/>
        </w:rPr>
        <w:t xml:space="preserve">ii) Oficio número TEPE/S.A./008/2022-05 del dieciséis de mayo de dos mil veintidós, suscrito por el Secretario del Ayuntamiento y dirigido al Titular de la Unidad de Transparencia, por medio del cual informó que tras la búsqueda exhaustiva realizada en el archivo Municipal, se encontró información a partir del 2012 hasta el año 2015. </w:t>
      </w:r>
    </w:p>
    <w:p w:rsidR="00A40BBA" w:rsidP="00B034A6" w:rsidRDefault="00A40BBA" w14:paraId="7BF31CE3" w14:textId="77777777">
      <w:pPr>
        <w:autoSpaceDE w:val="0"/>
        <w:autoSpaceDN w:val="0"/>
        <w:adjustRightInd w:val="0"/>
        <w:spacing w:after="0" w:line="360" w:lineRule="auto"/>
        <w:rPr>
          <w:rFonts w:cs="Tahoma"/>
        </w:rPr>
      </w:pPr>
    </w:p>
    <w:p w:rsidR="0006540D" w:rsidP="00B034A6" w:rsidRDefault="00220FD8" w14:paraId="6F5A456D" w14:textId="75265CD5">
      <w:pPr>
        <w:autoSpaceDE w:val="0"/>
        <w:autoSpaceDN w:val="0"/>
        <w:adjustRightInd w:val="0"/>
        <w:spacing w:after="0" w:line="360" w:lineRule="auto"/>
        <w:rPr>
          <w:rFonts w:cs="Tahoma"/>
        </w:rPr>
      </w:pPr>
      <w:r>
        <w:rPr>
          <w:rFonts w:cs="Tahoma"/>
        </w:rPr>
        <w:t xml:space="preserve">iii) Tabla de contratos de Obras, Prestación de Servicios y/o Bienes </w:t>
      </w:r>
      <w:bookmarkStart w:name="_Hlk124412869" w:id="3"/>
      <w:r>
        <w:rPr>
          <w:rFonts w:cs="Tahoma"/>
        </w:rPr>
        <w:t xml:space="preserve">con los rubros: contrato, número de contrato o número de identificación, título del contrato, </w:t>
      </w:r>
      <w:r w:rsidR="00A40BBA">
        <w:rPr>
          <w:rFonts w:cs="Tahoma"/>
        </w:rPr>
        <w:t>mediante qué acción o vía se realizó el contrato, denominación de la empresa o prestador de ser</w:t>
      </w:r>
      <w:r w:rsidR="00A1382A">
        <w:rPr>
          <w:rFonts w:cs="Tahoma"/>
        </w:rPr>
        <w:t>vicios, representante legal de la empresa y/o prestador de servicios, objeto de contrato, número de acta de entrega recepción, plazo de ejecución o firma del co</w:t>
      </w:r>
      <w:r w:rsidR="0006540D">
        <w:rPr>
          <w:rFonts w:cs="Tahoma"/>
        </w:rPr>
        <w:t xml:space="preserve">ntrato y normatividad aplicable, tal como se muestra a continuación: </w:t>
      </w:r>
    </w:p>
    <w:bookmarkEnd w:id="3"/>
    <w:p w:rsidRPr="0006540D" w:rsidR="0006540D" w:rsidP="00B034A6" w:rsidRDefault="0006540D" w14:paraId="5BC4497E" w14:textId="77777777">
      <w:pPr>
        <w:autoSpaceDE w:val="0"/>
        <w:autoSpaceDN w:val="0"/>
        <w:adjustRightInd w:val="0"/>
        <w:spacing w:after="0" w:line="360" w:lineRule="auto"/>
        <w:rPr>
          <w:rFonts w:cs="Tahoma"/>
        </w:rPr>
      </w:pPr>
    </w:p>
    <w:p w:rsidRPr="0006540D" w:rsidR="006124C5" w:rsidP="00B034A6" w:rsidRDefault="0006540D" w14:paraId="40183161" w14:textId="34F9D677">
      <w:pPr>
        <w:autoSpaceDE w:val="0"/>
        <w:autoSpaceDN w:val="0"/>
        <w:adjustRightInd w:val="0"/>
        <w:spacing w:after="0" w:line="360" w:lineRule="auto"/>
        <w:jc w:val="center"/>
        <w:rPr>
          <w:rFonts w:cs="Tahoma"/>
        </w:rPr>
      </w:pPr>
      <w:r>
        <w:rPr>
          <w:noProof/>
          <w:lang w:eastAsia="es-MX"/>
        </w:rPr>
        <w:drawing>
          <wp:inline distT="0" distB="0" distL="0" distR="0" wp14:anchorId="20113ABE" wp14:editId="5590F452">
            <wp:extent cx="4676775" cy="2421902"/>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2663" t="20171" r="13661" b="12005"/>
                    <a:stretch/>
                  </pic:blipFill>
                  <pic:spPr bwMode="auto">
                    <a:xfrm>
                      <a:off x="0" y="0"/>
                      <a:ext cx="4705320" cy="2436684"/>
                    </a:xfrm>
                    <a:prstGeom prst="rect">
                      <a:avLst/>
                    </a:prstGeom>
                    <a:ln>
                      <a:noFill/>
                    </a:ln>
                    <a:extLst>
                      <a:ext uri="{53640926-AAD7-44D8-BBD7-CCE9431645EC}">
                        <a14:shadowObscured xmlns:a14="http://schemas.microsoft.com/office/drawing/2010/main"/>
                      </a:ext>
                    </a:extLst>
                  </pic:spPr>
                </pic:pic>
              </a:graphicData>
            </a:graphic>
          </wp:inline>
        </w:drawing>
      </w:r>
    </w:p>
    <w:p w:rsidR="00B034A6" w:rsidP="00B034A6" w:rsidRDefault="00B034A6" w14:paraId="3A021755" w14:textId="77777777">
      <w:pPr>
        <w:autoSpaceDE w:val="0"/>
        <w:autoSpaceDN w:val="0"/>
        <w:adjustRightInd w:val="0"/>
        <w:spacing w:after="0" w:line="360" w:lineRule="auto"/>
        <w:rPr>
          <w:rFonts w:cs="Tahoma"/>
          <w:b/>
        </w:rPr>
      </w:pPr>
    </w:p>
    <w:p w:rsidRPr="00446963" w:rsidR="00066B31" w:rsidP="00B034A6" w:rsidRDefault="00066B31" w14:paraId="1EB66871" w14:textId="2E2461E0">
      <w:pPr>
        <w:autoSpaceDE w:val="0"/>
        <w:autoSpaceDN w:val="0"/>
        <w:adjustRightInd w:val="0"/>
        <w:spacing w:after="0" w:line="360" w:lineRule="auto"/>
        <w:rPr>
          <w:rFonts w:cs="Tahoma"/>
          <w:b/>
        </w:rPr>
      </w:pPr>
      <w:r w:rsidRPr="00446963">
        <w:rPr>
          <w:rFonts w:cs="Tahoma"/>
          <w:b/>
        </w:rPr>
        <w:t>I</w:t>
      </w:r>
      <w:r w:rsidR="00A75345">
        <w:rPr>
          <w:rFonts w:cs="Tahoma"/>
          <w:b/>
        </w:rPr>
        <w:t>II</w:t>
      </w:r>
      <w:r w:rsidRPr="00446963">
        <w:rPr>
          <w:rFonts w:cs="Tahoma"/>
          <w:b/>
        </w:rPr>
        <w:t xml:space="preserve">. Interposición del Recurso de Revisión. </w:t>
      </w:r>
    </w:p>
    <w:p w:rsidR="00975497" w:rsidP="00B034A6" w:rsidRDefault="00610C0E" w14:paraId="68E7B7E2" w14:textId="36E90DA3">
      <w:pPr>
        <w:tabs>
          <w:tab w:val="left" w:pos="567"/>
        </w:tabs>
        <w:spacing w:after="0" w:line="360" w:lineRule="auto"/>
        <w:rPr>
          <w:rFonts w:eastAsia="Calibri" w:cs="Times New Roman"/>
          <w:bCs/>
          <w:lang w:val="es-ES"/>
        </w:rPr>
      </w:pPr>
      <w:r w:rsidRPr="00610C0E">
        <w:rPr>
          <w:rFonts w:eastAsia="Calibri" w:cs="Times New Roman"/>
          <w:bCs/>
        </w:rPr>
        <w:lastRenderedPageBreak/>
        <w:t xml:space="preserve">Con fecha </w:t>
      </w:r>
      <w:r w:rsidR="0006540D">
        <w:rPr>
          <w:rFonts w:eastAsia="Calibri" w:cs="Times New Roman"/>
          <w:bCs/>
        </w:rPr>
        <w:t>veinticinco</w:t>
      </w:r>
      <w:r w:rsidR="00A75345">
        <w:rPr>
          <w:rFonts w:eastAsia="Calibri" w:cs="Times New Roman"/>
          <w:bCs/>
        </w:rPr>
        <w:t xml:space="preserve"> </w:t>
      </w:r>
      <w:r w:rsidR="005A3F30">
        <w:rPr>
          <w:rFonts w:eastAsia="Calibri" w:cs="Times New Roman"/>
          <w:bCs/>
        </w:rPr>
        <w:t xml:space="preserve">de </w:t>
      </w:r>
      <w:r w:rsidR="00B4439F">
        <w:rPr>
          <w:rFonts w:eastAsia="Calibri" w:cs="Times New Roman"/>
          <w:bCs/>
        </w:rPr>
        <w:t>mayo</w:t>
      </w:r>
      <w:r w:rsidRPr="00610C0E">
        <w:rPr>
          <w:rFonts w:eastAsia="Calibri" w:cs="Times New Roman"/>
          <w:bCs/>
        </w:rPr>
        <w:t xml:space="preserve"> de dos mil veintidós, </w:t>
      </w:r>
      <w:r w:rsidRPr="00610C0E">
        <w:rPr>
          <w:rFonts w:eastAsia="Calibri" w:cs="Times New Roman"/>
          <w:bCs/>
          <w:lang w:val="es-ES"/>
        </w:rPr>
        <w:t xml:space="preserve">se </w:t>
      </w:r>
      <w:r w:rsidR="00043C41">
        <w:rPr>
          <w:rFonts w:eastAsia="Calibri" w:cs="Times New Roman"/>
          <w:bCs/>
          <w:lang w:val="es-ES"/>
        </w:rPr>
        <w:t>recibió</w:t>
      </w:r>
      <w:r w:rsidRPr="00610C0E">
        <w:rPr>
          <w:rFonts w:eastAsia="Calibri" w:cs="Times New Roman"/>
          <w:bCs/>
          <w:lang w:val="es-ES"/>
        </w:rPr>
        <w:t xml:space="preserve"> en este Instituto, a través del Sistema de Acceso a la Información Mexiquense (SAIMEX), Recurso de Revisión interpuesto por la parte Recurrente, en contra de la</w:t>
      </w:r>
      <w:r w:rsidR="00C30B5F">
        <w:rPr>
          <w:rFonts w:eastAsia="Calibri" w:cs="Times New Roman"/>
          <w:bCs/>
          <w:lang w:val="es-ES"/>
        </w:rPr>
        <w:t xml:space="preserve"> </w:t>
      </w:r>
      <w:r w:rsidRPr="00610C0E">
        <w:rPr>
          <w:rFonts w:eastAsia="Calibri" w:cs="Times New Roman"/>
          <w:bCs/>
          <w:lang w:val="es-ES"/>
        </w:rPr>
        <w:t>respuesta por el Sujeto Obligado</w:t>
      </w:r>
      <w:r w:rsidR="00043C41">
        <w:rPr>
          <w:rFonts w:eastAsia="Calibri" w:cs="Times New Roman"/>
          <w:bCs/>
          <w:lang w:val="es-ES"/>
        </w:rPr>
        <w:t>,</w:t>
      </w:r>
      <w:r w:rsidRPr="00A75345" w:rsidR="00A75345">
        <w:t xml:space="preserve"> </w:t>
      </w:r>
      <w:r w:rsidRPr="00975497" w:rsidR="00975497">
        <w:rPr>
          <w:rFonts w:eastAsia="Times New Roman" w:cs="Tahoma"/>
          <w:bCs/>
          <w:color w:val="auto"/>
          <w:lang w:eastAsia="es-ES"/>
        </w:rPr>
        <w:t>en los siguientes términos:</w:t>
      </w:r>
    </w:p>
    <w:p w:rsidRPr="00A75345" w:rsidR="00A75345" w:rsidP="00B034A6" w:rsidRDefault="00A75345" w14:paraId="742FDCC1" w14:textId="77777777">
      <w:pPr>
        <w:tabs>
          <w:tab w:val="left" w:pos="567"/>
        </w:tabs>
        <w:spacing w:after="0" w:line="360" w:lineRule="auto"/>
        <w:rPr>
          <w:rFonts w:eastAsia="Calibri" w:cs="Times New Roman"/>
          <w:bCs/>
          <w:lang w:val="es-ES"/>
        </w:rPr>
      </w:pPr>
    </w:p>
    <w:p w:rsidRPr="005A6E3B" w:rsidR="00066B31" w:rsidP="00B034A6" w:rsidRDefault="00066B31" w14:paraId="26E8BDC0" w14:textId="77777777">
      <w:pPr>
        <w:tabs>
          <w:tab w:val="left" w:pos="4667"/>
        </w:tabs>
        <w:spacing w:after="0" w:line="360" w:lineRule="auto"/>
        <w:ind w:left="567" w:right="567"/>
        <w:rPr>
          <w:rFonts w:cs="Tahoma"/>
          <w:bCs/>
          <w:i/>
          <w:sz w:val="20"/>
          <w:szCs w:val="20"/>
        </w:rPr>
      </w:pPr>
      <w:r w:rsidRPr="005A6E3B">
        <w:rPr>
          <w:rFonts w:cs="Tahoma"/>
          <w:b/>
          <w:bCs/>
          <w:i/>
          <w:sz w:val="20"/>
          <w:szCs w:val="20"/>
        </w:rPr>
        <w:t>“ACTO IMPUGNADO</w:t>
      </w:r>
    </w:p>
    <w:p w:rsidR="00066B31" w:rsidP="00B034A6" w:rsidRDefault="0006540D" w14:paraId="49C43B2D" w14:textId="21504190">
      <w:pPr>
        <w:autoSpaceDE w:val="0"/>
        <w:autoSpaceDN w:val="0"/>
        <w:adjustRightInd w:val="0"/>
        <w:spacing w:after="0" w:line="360" w:lineRule="auto"/>
        <w:ind w:left="567" w:right="567"/>
        <w:rPr>
          <w:rFonts w:cs="Tahoma"/>
          <w:i/>
          <w:sz w:val="20"/>
          <w:szCs w:val="20"/>
        </w:rPr>
      </w:pPr>
      <w:r w:rsidRPr="0006540D">
        <w:rPr>
          <w:i/>
          <w:iCs/>
          <w:sz w:val="20"/>
          <w:szCs w:val="20"/>
        </w:rPr>
        <w:t>Hola</w:t>
      </w:r>
      <w:proofErr w:type="gramStart"/>
      <w:r w:rsidRPr="0006540D">
        <w:rPr>
          <w:i/>
          <w:iCs/>
          <w:sz w:val="20"/>
          <w:szCs w:val="20"/>
        </w:rPr>
        <w:t>!</w:t>
      </w:r>
      <w:proofErr w:type="gramEnd"/>
      <w:r w:rsidRPr="0006540D">
        <w:rPr>
          <w:i/>
          <w:iCs/>
          <w:sz w:val="20"/>
          <w:szCs w:val="20"/>
        </w:rPr>
        <w:t xml:space="preserve"> No se ha satisfecho mi derecho a la </w:t>
      </w:r>
      <w:proofErr w:type="spellStart"/>
      <w:r w:rsidRPr="0006540D">
        <w:rPr>
          <w:i/>
          <w:iCs/>
          <w:sz w:val="20"/>
          <w:szCs w:val="20"/>
        </w:rPr>
        <w:t>informacion</w:t>
      </w:r>
      <w:proofErr w:type="spellEnd"/>
      <w:r w:rsidRPr="0006540D">
        <w:rPr>
          <w:i/>
          <w:iCs/>
          <w:sz w:val="20"/>
          <w:szCs w:val="20"/>
        </w:rPr>
        <w:t xml:space="preserve"> ya que lo entregado no se puede leer con claridad y faltan los años 2015 a 2018,</w:t>
      </w:r>
      <w:r w:rsidRPr="005A6E3B" w:rsidR="00066B31">
        <w:rPr>
          <w:i/>
          <w:sz w:val="20"/>
          <w:szCs w:val="20"/>
        </w:rPr>
        <w:t>”</w:t>
      </w:r>
      <w:r w:rsidRPr="005A6E3B" w:rsidR="00066B31">
        <w:rPr>
          <w:rFonts w:cs="Tahoma"/>
          <w:i/>
          <w:sz w:val="20"/>
          <w:szCs w:val="20"/>
        </w:rPr>
        <w:t xml:space="preserve"> (Sic.)</w:t>
      </w:r>
    </w:p>
    <w:p w:rsidRPr="005A6E3B" w:rsidR="00043C41" w:rsidP="00B034A6" w:rsidRDefault="00043C41" w14:paraId="0CE1073B" w14:textId="77777777">
      <w:pPr>
        <w:autoSpaceDE w:val="0"/>
        <w:autoSpaceDN w:val="0"/>
        <w:adjustRightInd w:val="0"/>
        <w:spacing w:after="0" w:line="360" w:lineRule="auto"/>
        <w:ind w:left="567" w:right="567"/>
        <w:rPr>
          <w:rFonts w:cs="Tahoma"/>
          <w:i/>
          <w:sz w:val="20"/>
          <w:szCs w:val="20"/>
        </w:rPr>
      </w:pPr>
    </w:p>
    <w:p w:rsidRPr="005A6E3B" w:rsidR="00066B31" w:rsidP="00B034A6" w:rsidRDefault="00066B31" w14:paraId="2AF5FC01" w14:textId="77777777">
      <w:pPr>
        <w:autoSpaceDE w:val="0"/>
        <w:autoSpaceDN w:val="0"/>
        <w:adjustRightInd w:val="0"/>
        <w:spacing w:after="0" w:line="360" w:lineRule="auto"/>
        <w:ind w:left="567" w:right="567"/>
        <w:rPr>
          <w:rFonts w:cs="Tahoma"/>
          <w:b/>
          <w:i/>
          <w:sz w:val="20"/>
          <w:szCs w:val="20"/>
        </w:rPr>
      </w:pPr>
      <w:r w:rsidRPr="005A6E3B">
        <w:rPr>
          <w:rFonts w:cs="Tahoma"/>
          <w:b/>
          <w:i/>
          <w:sz w:val="20"/>
          <w:szCs w:val="20"/>
        </w:rPr>
        <w:t>“RAZONES O MOTIVOS DE LA INCONFORMIDAD</w:t>
      </w:r>
    </w:p>
    <w:p w:rsidR="00066B31" w:rsidP="00B034A6" w:rsidRDefault="00434A31" w14:paraId="39D18A41" w14:textId="64E986D8">
      <w:pPr>
        <w:autoSpaceDE w:val="0"/>
        <w:autoSpaceDN w:val="0"/>
        <w:adjustRightInd w:val="0"/>
        <w:spacing w:after="0" w:line="360" w:lineRule="auto"/>
        <w:ind w:left="567" w:right="567"/>
        <w:rPr>
          <w:rFonts w:cs="Tahoma"/>
          <w:i/>
          <w:sz w:val="20"/>
          <w:szCs w:val="20"/>
        </w:rPr>
      </w:pPr>
      <w:r w:rsidRPr="00434A31">
        <w:rPr>
          <w:i/>
          <w:iCs/>
          <w:sz w:val="20"/>
          <w:szCs w:val="20"/>
        </w:rPr>
        <w:t>Hola</w:t>
      </w:r>
      <w:proofErr w:type="gramStart"/>
      <w:r w:rsidRPr="00434A31">
        <w:rPr>
          <w:i/>
          <w:iCs/>
          <w:sz w:val="20"/>
          <w:szCs w:val="20"/>
        </w:rPr>
        <w:t>!</w:t>
      </w:r>
      <w:proofErr w:type="gramEnd"/>
      <w:r w:rsidRPr="00434A31">
        <w:rPr>
          <w:i/>
          <w:iCs/>
          <w:sz w:val="20"/>
          <w:szCs w:val="20"/>
        </w:rPr>
        <w:t xml:space="preserve"> No se ha satisfecho mi derecho a la </w:t>
      </w:r>
      <w:proofErr w:type="spellStart"/>
      <w:r w:rsidRPr="00434A31">
        <w:rPr>
          <w:i/>
          <w:iCs/>
          <w:sz w:val="20"/>
          <w:szCs w:val="20"/>
        </w:rPr>
        <w:t>informacion</w:t>
      </w:r>
      <w:proofErr w:type="spellEnd"/>
      <w:r w:rsidRPr="00434A31">
        <w:rPr>
          <w:i/>
          <w:iCs/>
          <w:sz w:val="20"/>
          <w:szCs w:val="20"/>
        </w:rPr>
        <w:t xml:space="preserve"> ya que lo entregado no se puede leer con claridad y faltan los años 2015 a 2018,</w:t>
      </w:r>
      <w:r w:rsidRPr="005A6E3B" w:rsidR="00066B31">
        <w:rPr>
          <w:rFonts w:cs="Tahoma"/>
          <w:i/>
          <w:sz w:val="20"/>
          <w:szCs w:val="20"/>
        </w:rPr>
        <w:t>” (Sic.)</w:t>
      </w:r>
    </w:p>
    <w:p w:rsidRPr="00446963" w:rsidR="00A75345" w:rsidP="00B034A6" w:rsidRDefault="00A75345" w14:paraId="18395AC8" w14:textId="77777777">
      <w:pPr>
        <w:spacing w:after="0" w:line="360" w:lineRule="auto"/>
        <w:rPr>
          <w:rFonts w:cs="Tahoma"/>
          <w:bCs/>
        </w:rPr>
      </w:pPr>
    </w:p>
    <w:p w:rsidRPr="00446963" w:rsidR="00066B31" w:rsidP="00B034A6" w:rsidRDefault="00043C41" w14:paraId="5B83448B" w14:textId="0E4FFDF2">
      <w:pPr>
        <w:spacing w:after="0" w:line="360" w:lineRule="auto"/>
        <w:rPr>
          <w:rFonts w:eastAsia="Batang" w:cs="Tahoma"/>
          <w:b/>
          <w:bCs/>
        </w:rPr>
      </w:pPr>
      <w:r>
        <w:rPr>
          <w:rFonts w:cs="Tahoma"/>
          <w:b/>
        </w:rPr>
        <w:t>I</w:t>
      </w:r>
      <w:r w:rsidRPr="00446963" w:rsidR="00066B31">
        <w:rPr>
          <w:rFonts w:cs="Tahoma"/>
          <w:b/>
        </w:rPr>
        <w:t xml:space="preserve">V. </w:t>
      </w:r>
      <w:r w:rsidRPr="00446963" w:rsidR="00066B31">
        <w:rPr>
          <w:rFonts w:eastAsia="Batang" w:cs="Tahoma"/>
          <w:b/>
          <w:bCs/>
        </w:rPr>
        <w:t xml:space="preserve">Trámite del </w:t>
      </w:r>
      <w:r w:rsidRPr="00446963" w:rsidR="00066B31">
        <w:rPr>
          <w:rFonts w:cs="Tahoma"/>
          <w:b/>
        </w:rPr>
        <w:t xml:space="preserve">Recurso de Revisión </w:t>
      </w:r>
      <w:r w:rsidRPr="00446963" w:rsidR="00066B31">
        <w:rPr>
          <w:rFonts w:eastAsia="Batang" w:cs="Tahoma"/>
          <w:b/>
          <w:bCs/>
        </w:rPr>
        <w:t>ante este Instituto.</w:t>
      </w:r>
    </w:p>
    <w:p w:rsidRPr="00446963" w:rsidR="00066B31" w:rsidP="00B034A6" w:rsidRDefault="00066B31" w14:paraId="55E97358" w14:textId="77777777">
      <w:pPr>
        <w:spacing w:after="0" w:line="360" w:lineRule="auto"/>
        <w:rPr>
          <w:rFonts w:eastAsia="Batang" w:cs="Tahoma"/>
          <w:b/>
          <w:bCs/>
        </w:rPr>
      </w:pPr>
    </w:p>
    <w:p w:rsidRPr="00446963" w:rsidR="00066B31" w:rsidP="00B034A6" w:rsidRDefault="00066B31" w14:paraId="77FAD18E" w14:textId="688A226B">
      <w:pPr>
        <w:spacing w:after="0" w:line="360" w:lineRule="auto"/>
        <w:rPr>
          <w:rFonts w:eastAsia="Batang" w:cs="Tahoma"/>
          <w:bCs/>
        </w:rPr>
      </w:pPr>
      <w:r w:rsidRPr="00446963">
        <w:rPr>
          <w:rFonts w:eastAsia="Batang" w:cs="Tahoma"/>
          <w:b/>
          <w:bCs/>
        </w:rPr>
        <w:t xml:space="preserve">a) Turno del Medio de Impugnación. </w:t>
      </w:r>
      <w:r w:rsidRPr="00446963">
        <w:rPr>
          <w:rFonts w:eastAsia="Batang" w:cs="Tahoma"/>
          <w:bCs/>
        </w:rPr>
        <w:t xml:space="preserve">El </w:t>
      </w:r>
      <w:r w:rsidR="00823BA2">
        <w:rPr>
          <w:rFonts w:eastAsia="Batang" w:cs="Tahoma"/>
          <w:bCs/>
        </w:rPr>
        <w:t>veinticinco</w:t>
      </w:r>
      <w:r w:rsidR="00B5335F">
        <w:rPr>
          <w:rFonts w:eastAsia="Batang" w:cs="Tahoma"/>
          <w:bCs/>
        </w:rPr>
        <w:t xml:space="preserve"> de </w:t>
      </w:r>
      <w:r w:rsidR="002E221F">
        <w:rPr>
          <w:rFonts w:eastAsia="Batang" w:cs="Tahoma"/>
          <w:bCs/>
        </w:rPr>
        <w:t>mayo</w:t>
      </w:r>
      <w:r w:rsidRPr="00446963">
        <w:rPr>
          <w:rFonts w:eastAsia="Batang" w:cs="Tahoma"/>
          <w:bCs/>
        </w:rPr>
        <w:t xml:space="preserve"> de dos mil veintidós, el </w:t>
      </w:r>
      <w:r w:rsidRPr="00446963">
        <w:rPr>
          <w:rFonts w:cs="Tahoma"/>
          <w:lang w:val="es-ES"/>
        </w:rPr>
        <w:t>Sistema de Acceso a la Información Mexiquense (SAIMEX),</w:t>
      </w:r>
      <w:r w:rsidRPr="00446963">
        <w:rPr>
          <w:rFonts w:eastAsia="Batang" w:cs="Tahoma"/>
          <w:bCs/>
        </w:rPr>
        <w:t xml:space="preserve"> asignó el número de expediente </w:t>
      </w:r>
      <w:r w:rsidRPr="00823BA2" w:rsidR="00823BA2">
        <w:rPr>
          <w:b/>
          <w:bCs/>
        </w:rPr>
        <w:t>09266/INFOEM/IP/RR/2022</w:t>
      </w:r>
      <w:r w:rsidRPr="00446963">
        <w:rPr>
          <w:rFonts w:eastAsia="Batang" w:cs="Tahoma"/>
          <w:bCs/>
        </w:rPr>
        <w:t>, al medio de impugnación que nos ocupa, con base en el sistema aprobado por el Pleno de este Órgano Garante y lo turnó al Comisionado Ponente Luis Gustavo Parra Noriega, para los efectos del artículo 185, fracción I de la Ley de Transparencia y Acceso a la Información Pública del Estado de México y Municipios.</w:t>
      </w:r>
    </w:p>
    <w:p w:rsidRPr="00446963" w:rsidR="00066B31" w:rsidP="00B034A6" w:rsidRDefault="00066B31" w14:paraId="6C462593" w14:textId="77777777">
      <w:pPr>
        <w:spacing w:after="0" w:line="360" w:lineRule="auto"/>
        <w:rPr>
          <w:rFonts w:eastAsia="Batang" w:cs="Tahoma"/>
          <w:bCs/>
        </w:rPr>
      </w:pPr>
    </w:p>
    <w:p w:rsidR="00066B31" w:rsidP="00B034A6" w:rsidRDefault="00066B31" w14:paraId="5A1C754E" w14:textId="2FC5F57E">
      <w:pPr>
        <w:spacing w:after="0" w:line="360" w:lineRule="auto"/>
        <w:rPr>
          <w:rFonts w:eastAsia="Batang" w:cs="Tahoma"/>
          <w:bCs/>
          <w:lang w:val="es-ES_tradnl"/>
        </w:rPr>
      </w:pPr>
      <w:r w:rsidRPr="00446963">
        <w:rPr>
          <w:rFonts w:eastAsia="Batang" w:cs="Tahoma"/>
          <w:b/>
          <w:bCs/>
        </w:rPr>
        <w:t xml:space="preserve">b) Admisión del </w:t>
      </w:r>
      <w:r w:rsidRPr="00446963">
        <w:rPr>
          <w:rFonts w:cs="Tahoma"/>
          <w:b/>
        </w:rPr>
        <w:t>Recurso de Revisión</w:t>
      </w:r>
      <w:r w:rsidRPr="00446963">
        <w:rPr>
          <w:rFonts w:eastAsia="Batang" w:cs="Tahoma"/>
          <w:b/>
          <w:bCs/>
          <w:lang w:val="es-ES_tradnl"/>
        </w:rPr>
        <w:t xml:space="preserve">. </w:t>
      </w:r>
      <w:r w:rsidRPr="00446963">
        <w:rPr>
          <w:rFonts w:eastAsia="Batang" w:cs="Tahoma"/>
          <w:bCs/>
          <w:lang w:val="es-ES_tradnl"/>
        </w:rPr>
        <w:t xml:space="preserve">El </w:t>
      </w:r>
      <w:r w:rsidR="00823BA2">
        <w:rPr>
          <w:rFonts w:eastAsia="Batang" w:cs="Tahoma"/>
          <w:bCs/>
          <w:lang w:val="es-ES_tradnl"/>
        </w:rPr>
        <w:t>treinta</w:t>
      </w:r>
      <w:r w:rsidR="00FE24DD">
        <w:rPr>
          <w:rFonts w:eastAsia="Batang" w:cs="Tahoma"/>
          <w:bCs/>
          <w:lang w:val="es-ES_tradnl"/>
        </w:rPr>
        <w:t xml:space="preserve"> de </w:t>
      </w:r>
      <w:r w:rsidR="002E221F">
        <w:rPr>
          <w:rFonts w:eastAsia="Batang" w:cs="Tahoma"/>
          <w:bCs/>
          <w:lang w:val="es-ES_tradnl"/>
        </w:rPr>
        <w:t>mayo</w:t>
      </w:r>
      <w:r w:rsidRPr="00446963">
        <w:rPr>
          <w:rFonts w:eastAsia="Batang" w:cs="Tahoma"/>
          <w:bCs/>
          <w:lang w:val="es-ES_tradnl"/>
        </w:rPr>
        <w:t xml:space="preserve"> de dos mil veintidós, se acordó la admisión del Recurso de Revisión interpuesto por el Recurrente en contra del Sujeto Obligado, en términos del artículo 185, fracciones I y II de la Ley de Transparencia y Acceso a la Información Pública del Estado de México y Municipios, el cual fue notificado a las partes el</w:t>
      </w:r>
      <w:r w:rsidR="00043C41">
        <w:rPr>
          <w:rFonts w:eastAsia="Batang" w:cs="Tahoma"/>
          <w:bCs/>
          <w:lang w:val="es-ES_tradnl"/>
        </w:rPr>
        <w:t xml:space="preserve"> </w:t>
      </w:r>
      <w:r w:rsidR="00635D53">
        <w:rPr>
          <w:rFonts w:eastAsia="Batang" w:cs="Tahoma"/>
          <w:bCs/>
          <w:lang w:val="es-ES_tradnl"/>
        </w:rPr>
        <w:t>cinco del mismo mes y año</w:t>
      </w:r>
      <w:r w:rsidRPr="00446963">
        <w:rPr>
          <w:rFonts w:eastAsia="Batang" w:cs="Tahoma"/>
          <w:bCs/>
          <w:lang w:val="es-ES_tradnl"/>
        </w:rPr>
        <w:t xml:space="preserve">, a través del Sistema de Acceso a la Información Mexiquense </w:t>
      </w:r>
      <w:r w:rsidRPr="00446963">
        <w:rPr>
          <w:rFonts w:eastAsia="Batang" w:cs="Tahoma"/>
          <w:bCs/>
          <w:lang w:val="es-ES_tradnl"/>
        </w:rPr>
        <w:lastRenderedPageBreak/>
        <w:t xml:space="preserve">(SAIMEX), en el que se les otorgó un plazo de siete días hábiles posteriores a la misma, para que manifestaran lo que a su derecho conviniera y formularan alegatos. </w:t>
      </w:r>
    </w:p>
    <w:p w:rsidRPr="00446963" w:rsidR="00F07160" w:rsidP="00B034A6" w:rsidRDefault="00F07160" w14:paraId="20E79030" w14:textId="77777777">
      <w:pPr>
        <w:spacing w:after="0" w:line="360" w:lineRule="auto"/>
        <w:rPr>
          <w:rFonts w:eastAsia="Times New Roman" w:cs="Tahoma"/>
          <w:b/>
        </w:rPr>
      </w:pPr>
    </w:p>
    <w:p w:rsidRPr="00F07160" w:rsidR="00F07160" w:rsidP="00B034A6" w:rsidRDefault="00F07160" w14:paraId="2E2565F8" w14:textId="487B9A1C">
      <w:pPr>
        <w:widowControl w:val="0"/>
        <w:spacing w:after="0" w:line="360" w:lineRule="auto"/>
        <w:rPr>
          <w:rFonts w:eastAsia="Times New Roman" w:cs="Times New Roman"/>
          <w:bCs/>
          <w:color w:val="auto"/>
          <w:lang w:val="es-ES_tradnl" w:eastAsia="es-ES"/>
        </w:rPr>
      </w:pPr>
      <w:r>
        <w:rPr>
          <w:rFonts w:eastAsia="Times New Roman" w:cs="Times New Roman"/>
          <w:b/>
          <w:bCs/>
          <w:color w:val="auto"/>
          <w:lang w:eastAsia="es-ES"/>
        </w:rPr>
        <w:t>c</w:t>
      </w:r>
      <w:r w:rsidRPr="00F07160">
        <w:rPr>
          <w:rFonts w:eastAsia="Times New Roman" w:cs="Times New Roman"/>
          <w:b/>
          <w:bCs/>
          <w:color w:val="auto"/>
          <w:lang w:eastAsia="es-ES"/>
        </w:rPr>
        <w:t xml:space="preserve">) </w:t>
      </w:r>
      <w:r w:rsidRPr="00F07160">
        <w:rPr>
          <w:rFonts w:eastAsia="Times New Roman" w:cs="Times New Roman"/>
          <w:b/>
          <w:color w:val="auto"/>
          <w:lang w:val="es-ES_tradnl" w:eastAsia="es-ES"/>
        </w:rPr>
        <w:t xml:space="preserve">Informe Justificado o manifestaciones. </w:t>
      </w:r>
      <w:r w:rsidRPr="00F07160">
        <w:rPr>
          <w:rFonts w:eastAsia="Times New Roman" w:cs="Times New Roman"/>
          <w:bCs/>
          <w:color w:val="auto"/>
          <w:lang w:val="es-ES_tradnl" w:eastAsia="es-ES"/>
        </w:rPr>
        <w:t xml:space="preserve">El </w:t>
      </w:r>
      <w:r>
        <w:rPr>
          <w:rFonts w:eastAsia="Times New Roman" w:cs="Times New Roman"/>
          <w:bCs/>
          <w:color w:val="auto"/>
          <w:lang w:val="es-ES_tradnl" w:eastAsia="es-ES"/>
        </w:rPr>
        <w:t>nueve</w:t>
      </w:r>
      <w:r w:rsidRPr="00F07160">
        <w:rPr>
          <w:rFonts w:eastAsia="Times New Roman" w:cs="Times New Roman"/>
          <w:bCs/>
          <w:color w:val="auto"/>
          <w:lang w:val="es-ES_tradnl" w:eastAsia="es-ES"/>
        </w:rPr>
        <w:t xml:space="preserve"> de </w:t>
      </w:r>
      <w:r>
        <w:rPr>
          <w:rFonts w:eastAsia="Times New Roman" w:cs="Times New Roman"/>
          <w:bCs/>
          <w:color w:val="auto"/>
          <w:lang w:val="es-ES_tradnl" w:eastAsia="es-ES"/>
        </w:rPr>
        <w:t>junio</w:t>
      </w:r>
      <w:r w:rsidRPr="00F07160">
        <w:rPr>
          <w:rFonts w:eastAsia="Times New Roman" w:cs="Times New Roman"/>
          <w:bCs/>
          <w:color w:val="auto"/>
          <w:lang w:val="es-ES_tradnl" w:eastAsia="es-ES"/>
        </w:rPr>
        <w:t xml:space="preserve"> de dos mil veintidós, se recibió, a través de Sistema de Acceso a la Información Mexiquense (SAIMEX), el Informe Justificado del Sujeto Obligado, </w:t>
      </w:r>
      <w:r w:rsidR="00225CD2">
        <w:rPr>
          <w:rFonts w:eastAsia="Times New Roman" w:cs="Times New Roman"/>
          <w:bCs/>
          <w:color w:val="auto"/>
          <w:lang w:val="es-ES_tradnl" w:eastAsia="es-ES"/>
        </w:rPr>
        <w:t xml:space="preserve">por medio del oficio número TEPE/DOPDU/219/2022-05, de fecha treinta y uno de mayo de dos mil veintidós, signado por el Director de Obras Públicas y Desarrollo Urbano y  dirigido a la Titular de la Unidad de Transparencia en los siguientes términos: </w:t>
      </w:r>
    </w:p>
    <w:p w:rsidRPr="00F07160" w:rsidR="00F07160" w:rsidP="00B034A6" w:rsidRDefault="00F07160" w14:paraId="6BC5AF16" w14:textId="77777777">
      <w:pPr>
        <w:widowControl w:val="0"/>
        <w:spacing w:after="0" w:line="360" w:lineRule="auto"/>
        <w:ind w:left="1080" w:right="567"/>
        <w:contextualSpacing/>
        <w:rPr>
          <w:rFonts w:eastAsia="Times New Roman" w:cs="Tahoma"/>
          <w:bCs/>
          <w:color w:val="auto"/>
          <w:lang w:eastAsia="es-ES"/>
        </w:rPr>
      </w:pPr>
    </w:p>
    <w:p w:rsidR="00225CD2" w:rsidP="00B034A6" w:rsidRDefault="00F07160" w14:paraId="3939E475" w14:textId="77777777">
      <w:pPr>
        <w:widowControl w:val="0"/>
        <w:spacing w:after="0" w:line="360" w:lineRule="auto"/>
        <w:ind w:left="567" w:right="567"/>
        <w:contextualSpacing/>
        <w:rPr>
          <w:rFonts w:eastAsia="Times New Roman" w:cs="Tahoma"/>
          <w:b/>
          <w:i/>
          <w:iCs/>
          <w:color w:val="auto"/>
          <w:sz w:val="20"/>
          <w:szCs w:val="20"/>
          <w:lang w:eastAsia="es-ES"/>
        </w:rPr>
      </w:pPr>
      <w:r w:rsidRPr="00F07160">
        <w:rPr>
          <w:rFonts w:eastAsia="Times New Roman" w:cs="Tahoma"/>
          <w:b/>
          <w:i/>
          <w:iCs/>
          <w:color w:val="auto"/>
          <w:sz w:val="20"/>
          <w:szCs w:val="20"/>
          <w:lang w:eastAsia="es-ES"/>
        </w:rPr>
        <w:t>“</w:t>
      </w:r>
    </w:p>
    <w:p w:rsidR="00F07160" w:rsidP="00B034A6" w:rsidRDefault="00225CD2" w14:paraId="7A80CC0D" w14:textId="470E136B">
      <w:pPr>
        <w:widowControl w:val="0"/>
        <w:spacing w:after="0" w:line="360" w:lineRule="auto"/>
        <w:ind w:left="567" w:right="567"/>
        <w:contextualSpacing/>
        <w:rPr>
          <w:rFonts w:eastAsia="Times New Roman" w:cs="Times New Roman"/>
          <w:i/>
          <w:iCs/>
          <w:color w:val="auto"/>
          <w:sz w:val="20"/>
          <w:szCs w:val="20"/>
          <w:lang w:eastAsia="es-ES"/>
        </w:rPr>
      </w:pPr>
      <w:r w:rsidRPr="00225CD2">
        <w:rPr>
          <w:rFonts w:eastAsia="Times New Roman" w:cs="Tahoma"/>
          <w:i/>
          <w:iCs/>
          <w:color w:val="auto"/>
          <w:sz w:val="20"/>
          <w:szCs w:val="20"/>
          <w:lang w:eastAsia="es-ES"/>
        </w:rPr>
        <w:t>II.-</w:t>
      </w:r>
      <w:r w:rsidRPr="00225CD2">
        <w:rPr>
          <w:rFonts w:eastAsia="Times New Roman" w:cs="Times New Roman"/>
          <w:i/>
          <w:iCs/>
          <w:color w:val="auto"/>
          <w:sz w:val="20"/>
          <w:szCs w:val="20"/>
          <w:lang w:eastAsia="es-ES"/>
        </w:rPr>
        <w:t xml:space="preserve">En fecha seis de mayo del año en curso, a través del oficio número TEPE/DOPDU/161/2022-05, se </w:t>
      </w:r>
      <w:r>
        <w:rPr>
          <w:rFonts w:eastAsia="Times New Roman" w:cs="Times New Roman"/>
          <w:i/>
          <w:iCs/>
          <w:color w:val="auto"/>
          <w:sz w:val="20"/>
          <w:szCs w:val="20"/>
          <w:lang w:eastAsia="es-ES"/>
        </w:rPr>
        <w:t xml:space="preserve">dio </w:t>
      </w:r>
      <w:r w:rsidRPr="00225CD2">
        <w:rPr>
          <w:rFonts w:eastAsia="Times New Roman" w:cs="Times New Roman"/>
          <w:i/>
          <w:iCs/>
          <w:color w:val="auto"/>
          <w:sz w:val="20"/>
          <w:szCs w:val="20"/>
          <w:lang w:eastAsia="es-ES"/>
        </w:rPr>
        <w:t>contestación a la solicitud SAIMEX número 0059/TEPETLAP/IP/2077, en el cual, en sus pár</w:t>
      </w:r>
      <w:r>
        <w:rPr>
          <w:rFonts w:eastAsia="Times New Roman" w:cs="Times New Roman"/>
          <w:i/>
          <w:iCs/>
          <w:color w:val="auto"/>
          <w:sz w:val="20"/>
          <w:szCs w:val="20"/>
          <w:lang w:eastAsia="es-ES"/>
        </w:rPr>
        <w:t>raf</w:t>
      </w:r>
      <w:r w:rsidRPr="00225CD2">
        <w:rPr>
          <w:rFonts w:eastAsia="Times New Roman" w:cs="Times New Roman"/>
          <w:i/>
          <w:iCs/>
          <w:color w:val="auto"/>
          <w:sz w:val="20"/>
          <w:szCs w:val="20"/>
          <w:lang w:eastAsia="es-ES"/>
        </w:rPr>
        <w:t xml:space="preserve">os tercer cuarto, quinto y sexto, </w:t>
      </w:r>
      <w:r w:rsidRPr="002E7036">
        <w:rPr>
          <w:rFonts w:eastAsia="Times New Roman" w:cs="Times New Roman"/>
          <w:b/>
          <w:i/>
          <w:iCs/>
          <w:color w:val="auto"/>
          <w:sz w:val="20"/>
          <w:szCs w:val="20"/>
          <w:lang w:eastAsia="es-ES"/>
        </w:rPr>
        <w:t>con fundamento en el artículo 12 de la Ley de Transparencia y Acceso a la información Pública del Estado de México y Municipios se indica que: "después de realizar una búsqueda exhaustiva y razonable en los archivos físicos y electrónicos de la Dirección de Obras Públicas y Desarrollo Urbano del Municipio de Tepetlaoxtoc administración 2022-20224, no obra en los archivos de esta dependencia la información relacionada a los años 2012, 2013, 2014, 2015 y 2016 de los datos requeridos en a solicitud número 0059/TEPETLAP/P/2022" Sic</w:t>
      </w:r>
      <w:r w:rsidRPr="00225CD2">
        <w:rPr>
          <w:rFonts w:eastAsia="Times New Roman" w:cs="Times New Roman"/>
          <w:i/>
          <w:iCs/>
          <w:color w:val="auto"/>
          <w:sz w:val="20"/>
          <w:szCs w:val="20"/>
          <w:lang w:eastAsia="es-ES"/>
        </w:rPr>
        <w:t>, por lo cual se solicitó a usted se extendiera la petición referida a Archivo Municipal a efect</w:t>
      </w:r>
      <w:r>
        <w:rPr>
          <w:rFonts w:eastAsia="Times New Roman" w:cs="Times New Roman"/>
          <w:i/>
          <w:iCs/>
          <w:color w:val="auto"/>
          <w:sz w:val="20"/>
          <w:szCs w:val="20"/>
          <w:lang w:eastAsia="es-ES"/>
        </w:rPr>
        <w:t xml:space="preserve">o de salvaguardar y garantizar la </w:t>
      </w:r>
      <w:r w:rsidRPr="00225CD2">
        <w:rPr>
          <w:rFonts w:eastAsia="Times New Roman" w:cs="Times New Roman"/>
          <w:i/>
          <w:iCs/>
          <w:color w:val="auto"/>
          <w:sz w:val="20"/>
          <w:szCs w:val="20"/>
          <w:lang w:eastAsia="es-ES"/>
        </w:rPr>
        <w:t>transparencia y el derecho a la información públ</w:t>
      </w:r>
      <w:r>
        <w:rPr>
          <w:rFonts w:eastAsia="Times New Roman" w:cs="Times New Roman"/>
          <w:i/>
          <w:iCs/>
          <w:color w:val="auto"/>
          <w:sz w:val="20"/>
          <w:szCs w:val="20"/>
          <w:lang w:eastAsia="es-ES"/>
        </w:rPr>
        <w:t>ica en posesión de los sujetos obli</w:t>
      </w:r>
      <w:r w:rsidRPr="00225CD2">
        <w:rPr>
          <w:rFonts w:eastAsia="Times New Roman" w:cs="Times New Roman"/>
          <w:i/>
          <w:iCs/>
          <w:color w:val="auto"/>
          <w:sz w:val="20"/>
          <w:szCs w:val="20"/>
          <w:lang w:eastAsia="es-ES"/>
        </w:rPr>
        <w:t>gados</w:t>
      </w:r>
      <w:r>
        <w:rPr>
          <w:rFonts w:eastAsia="Times New Roman" w:cs="Times New Roman"/>
          <w:i/>
          <w:iCs/>
          <w:color w:val="auto"/>
          <w:sz w:val="20"/>
          <w:szCs w:val="20"/>
          <w:lang w:eastAsia="es-ES"/>
        </w:rPr>
        <w:t>.</w:t>
      </w:r>
    </w:p>
    <w:p w:rsidR="00225CD2" w:rsidP="00B034A6" w:rsidRDefault="002E7036" w14:paraId="020BC31F" w14:textId="1662E55C">
      <w:pPr>
        <w:widowControl w:val="0"/>
        <w:spacing w:after="0" w:line="360" w:lineRule="auto"/>
        <w:ind w:left="567" w:right="567"/>
        <w:contextualSpacing/>
        <w:rPr>
          <w:rFonts w:eastAsia="Times New Roman" w:cs="Times New Roman"/>
          <w:i/>
          <w:iCs/>
          <w:color w:val="auto"/>
          <w:sz w:val="20"/>
          <w:szCs w:val="20"/>
          <w:lang w:eastAsia="es-ES"/>
        </w:rPr>
      </w:pPr>
      <w:r>
        <w:rPr>
          <w:rFonts w:eastAsia="Times New Roman" w:cs="Times New Roman"/>
          <w:i/>
          <w:iCs/>
          <w:color w:val="auto"/>
          <w:sz w:val="20"/>
          <w:szCs w:val="20"/>
          <w:lang w:eastAsia="es-ES"/>
        </w:rPr>
        <w:t>…</w:t>
      </w:r>
    </w:p>
    <w:p w:rsidRPr="002E7036" w:rsidR="002E7036" w:rsidP="00B034A6" w:rsidRDefault="002E7036" w14:paraId="3D2960BD" w14:textId="423733F1">
      <w:pPr>
        <w:widowControl w:val="0"/>
        <w:spacing w:after="0" w:line="360" w:lineRule="auto"/>
        <w:ind w:left="567" w:right="567"/>
        <w:contextualSpacing/>
        <w:rPr>
          <w:rFonts w:eastAsia="Times New Roman" w:cs="Times New Roman"/>
          <w:i/>
          <w:iCs/>
          <w:color w:val="auto"/>
          <w:sz w:val="20"/>
          <w:szCs w:val="20"/>
          <w:lang w:eastAsia="es-ES"/>
        </w:rPr>
      </w:pPr>
      <w:r w:rsidRPr="002E7036">
        <w:rPr>
          <w:rFonts w:eastAsia="Times New Roman" w:cs="Times New Roman"/>
          <w:i/>
          <w:iCs/>
          <w:color w:val="auto"/>
          <w:sz w:val="20"/>
          <w:szCs w:val="20"/>
          <w:lang w:eastAsia="es-ES"/>
        </w:rPr>
        <w:t xml:space="preserve">Asimismo se menciona que "En lo que respecta a la información del </w:t>
      </w:r>
      <w:r>
        <w:rPr>
          <w:rFonts w:eastAsia="Times New Roman" w:cs="Times New Roman"/>
          <w:i/>
          <w:iCs/>
          <w:color w:val="auto"/>
          <w:sz w:val="20"/>
          <w:szCs w:val="20"/>
          <w:lang w:eastAsia="es-ES"/>
        </w:rPr>
        <w:t>año 2017 y 2018 comunico a Usted</w:t>
      </w:r>
      <w:r w:rsidRPr="002E7036">
        <w:rPr>
          <w:rFonts w:eastAsia="Times New Roman" w:cs="Times New Roman"/>
          <w:i/>
          <w:iCs/>
          <w:color w:val="auto"/>
          <w:sz w:val="20"/>
          <w:szCs w:val="20"/>
          <w:lang w:eastAsia="es-ES"/>
        </w:rPr>
        <w:t>, que la</w:t>
      </w:r>
      <w:r>
        <w:rPr>
          <w:rFonts w:eastAsia="Times New Roman" w:cs="Times New Roman"/>
          <w:i/>
          <w:iCs/>
          <w:color w:val="auto"/>
          <w:sz w:val="20"/>
          <w:szCs w:val="20"/>
          <w:lang w:eastAsia="es-ES"/>
        </w:rPr>
        <w:t xml:space="preserve"> </w:t>
      </w:r>
      <w:r w:rsidRPr="002E7036">
        <w:rPr>
          <w:rFonts w:eastAsia="Times New Roman" w:cs="Times New Roman"/>
          <w:i/>
          <w:iCs/>
          <w:color w:val="auto"/>
          <w:sz w:val="20"/>
          <w:szCs w:val="20"/>
          <w:lang w:eastAsia="es-ES"/>
        </w:rPr>
        <w:t xml:space="preserve">misma no fue relacionada y decepcionada en el acto entrega recepción de fecha primero </w:t>
      </w:r>
      <w:r>
        <w:rPr>
          <w:rFonts w:eastAsia="Times New Roman" w:cs="Times New Roman"/>
          <w:i/>
          <w:iCs/>
          <w:color w:val="auto"/>
          <w:sz w:val="20"/>
          <w:szCs w:val="20"/>
          <w:lang w:eastAsia="es-ES"/>
        </w:rPr>
        <w:t xml:space="preserve">de enero del año 2022 </w:t>
      </w:r>
      <w:r w:rsidRPr="002E7036">
        <w:rPr>
          <w:rFonts w:eastAsia="Times New Roman" w:cs="Times New Roman"/>
          <w:i/>
          <w:iCs/>
          <w:color w:val="auto"/>
          <w:sz w:val="20"/>
          <w:szCs w:val="20"/>
          <w:lang w:eastAsia="es-ES"/>
        </w:rPr>
        <w:t xml:space="preserve">de la unidad administrativa </w:t>
      </w:r>
      <w:r>
        <w:rPr>
          <w:rFonts w:eastAsia="Times New Roman" w:cs="Times New Roman"/>
          <w:i/>
          <w:iCs/>
          <w:color w:val="auto"/>
          <w:sz w:val="20"/>
          <w:szCs w:val="20"/>
          <w:lang w:eastAsia="es-ES"/>
        </w:rPr>
        <w:t>“</w:t>
      </w:r>
      <w:r w:rsidRPr="002E7036">
        <w:rPr>
          <w:rFonts w:eastAsia="Times New Roman" w:cs="Times New Roman"/>
          <w:i/>
          <w:iCs/>
          <w:color w:val="auto"/>
          <w:sz w:val="20"/>
          <w:szCs w:val="20"/>
          <w:lang w:eastAsia="es-ES"/>
        </w:rPr>
        <w:t>Dirección de Ob</w:t>
      </w:r>
      <w:r>
        <w:rPr>
          <w:rFonts w:eastAsia="Times New Roman" w:cs="Times New Roman"/>
          <w:i/>
          <w:iCs/>
          <w:color w:val="auto"/>
          <w:sz w:val="20"/>
          <w:szCs w:val="20"/>
          <w:lang w:eastAsia="es-ES"/>
        </w:rPr>
        <w:t>ras</w:t>
      </w:r>
      <w:r w:rsidRPr="002E7036">
        <w:rPr>
          <w:rFonts w:eastAsia="Times New Roman" w:cs="Times New Roman"/>
          <w:i/>
          <w:iCs/>
          <w:color w:val="auto"/>
          <w:sz w:val="20"/>
          <w:szCs w:val="20"/>
          <w:lang w:eastAsia="es-ES"/>
        </w:rPr>
        <w:t xml:space="preserve"> Públicas y Desarrollo Urban</w:t>
      </w:r>
      <w:r>
        <w:rPr>
          <w:rFonts w:eastAsia="Times New Roman" w:cs="Times New Roman"/>
          <w:i/>
          <w:iCs/>
          <w:color w:val="auto"/>
          <w:sz w:val="20"/>
          <w:szCs w:val="20"/>
          <w:lang w:eastAsia="es-ES"/>
        </w:rPr>
        <w:t xml:space="preserve">o", sin embargo, en el caso del </w:t>
      </w:r>
      <w:r w:rsidRPr="002E7036">
        <w:rPr>
          <w:rFonts w:eastAsia="Times New Roman" w:cs="Times New Roman"/>
          <w:i/>
          <w:iCs/>
          <w:color w:val="auto"/>
          <w:sz w:val="20"/>
          <w:szCs w:val="20"/>
          <w:lang w:eastAsia="es-ES"/>
        </w:rPr>
        <w:t xml:space="preserve">ejercicio fiscal 2018 puede ser consultada en el sitio de internet habilitado de </w:t>
      </w:r>
      <w:r>
        <w:rPr>
          <w:rFonts w:eastAsia="Times New Roman" w:cs="Times New Roman"/>
          <w:i/>
          <w:iCs/>
          <w:color w:val="auto"/>
          <w:sz w:val="20"/>
          <w:szCs w:val="20"/>
          <w:lang w:eastAsia="es-ES"/>
        </w:rPr>
        <w:t xml:space="preserve">acuerdo a la normatividad en la materia, el cual se proporciona a </w:t>
      </w:r>
      <w:r w:rsidRPr="002E7036">
        <w:rPr>
          <w:rFonts w:eastAsia="Times New Roman" w:cs="Times New Roman"/>
          <w:i/>
          <w:iCs/>
          <w:color w:val="auto"/>
          <w:sz w:val="20"/>
          <w:szCs w:val="20"/>
          <w:lang w:eastAsia="es-ES"/>
        </w:rPr>
        <w:t>continuación</w:t>
      </w:r>
      <w:r>
        <w:rPr>
          <w:rFonts w:eastAsia="Times New Roman" w:cs="Times New Roman"/>
          <w:i/>
          <w:iCs/>
          <w:color w:val="auto"/>
          <w:sz w:val="20"/>
          <w:szCs w:val="20"/>
          <w:lang w:eastAsia="es-ES"/>
        </w:rPr>
        <w:t xml:space="preserve">: </w:t>
      </w:r>
      <w:hyperlink w:history="1" r:id="rId10">
        <w:r w:rsidRPr="00CC2FCC">
          <w:rPr>
            <w:rStyle w:val="Hipervnculo"/>
            <w:rFonts w:eastAsia="Times New Roman" w:cs="Times New Roman"/>
            <w:i/>
            <w:iCs/>
            <w:sz w:val="20"/>
            <w:szCs w:val="20"/>
            <w:lang w:eastAsia="es-ES"/>
          </w:rPr>
          <w:t>https://www.ipomex.org.mx/ipo3/lgt/portal.web</w:t>
        </w:r>
      </w:hyperlink>
      <w:r>
        <w:rPr>
          <w:rFonts w:eastAsia="Times New Roman" w:cs="Times New Roman"/>
          <w:i/>
          <w:iCs/>
          <w:color w:val="auto"/>
          <w:sz w:val="20"/>
          <w:szCs w:val="20"/>
          <w:lang w:eastAsia="es-ES"/>
        </w:rPr>
        <w:t xml:space="preserve">.” Sic. Reiterando </w:t>
      </w:r>
      <w:r w:rsidRPr="002E7036">
        <w:rPr>
          <w:rFonts w:eastAsia="Times New Roman" w:cs="Times New Roman"/>
          <w:i/>
          <w:iCs/>
          <w:color w:val="auto"/>
          <w:sz w:val="20"/>
          <w:szCs w:val="20"/>
          <w:lang w:eastAsia="es-ES"/>
        </w:rPr>
        <w:t xml:space="preserve">a usted que la información de los </w:t>
      </w:r>
      <w:r w:rsidRPr="002E7036">
        <w:rPr>
          <w:rFonts w:eastAsia="Times New Roman" w:cs="Times New Roman"/>
          <w:i/>
          <w:iCs/>
          <w:color w:val="auto"/>
          <w:sz w:val="20"/>
          <w:szCs w:val="20"/>
          <w:lang w:eastAsia="es-ES"/>
        </w:rPr>
        <w:lastRenderedPageBreak/>
        <w:t>años 2015 a 2018 no obran en lo</w:t>
      </w:r>
      <w:r>
        <w:rPr>
          <w:rFonts w:eastAsia="Times New Roman" w:cs="Times New Roman"/>
          <w:i/>
          <w:iCs/>
          <w:color w:val="auto"/>
          <w:sz w:val="20"/>
          <w:szCs w:val="20"/>
          <w:lang w:eastAsia="es-ES"/>
        </w:rPr>
        <w:t xml:space="preserve">s archivos de esta dependencia, </w:t>
      </w:r>
      <w:r w:rsidRPr="002E7036">
        <w:rPr>
          <w:rFonts w:eastAsia="Times New Roman" w:cs="Times New Roman"/>
          <w:i/>
          <w:iCs/>
          <w:color w:val="auto"/>
          <w:sz w:val="20"/>
          <w:szCs w:val="20"/>
          <w:lang w:eastAsia="es-ES"/>
        </w:rPr>
        <w:t>por los motivos y fundamentos antes expuestos, de conformidad al artículo 12 de la Ley de Transpare</w:t>
      </w:r>
      <w:r>
        <w:rPr>
          <w:rFonts w:eastAsia="Times New Roman" w:cs="Times New Roman"/>
          <w:i/>
          <w:iCs/>
          <w:color w:val="auto"/>
          <w:sz w:val="20"/>
          <w:szCs w:val="20"/>
          <w:lang w:eastAsia="es-ES"/>
        </w:rPr>
        <w:t xml:space="preserve">ncia y </w:t>
      </w:r>
      <w:r w:rsidRPr="002E7036">
        <w:rPr>
          <w:rFonts w:eastAsia="Times New Roman" w:cs="Times New Roman"/>
          <w:i/>
          <w:iCs/>
          <w:color w:val="auto"/>
          <w:sz w:val="20"/>
          <w:szCs w:val="20"/>
          <w:lang w:eastAsia="es-ES"/>
        </w:rPr>
        <w:t>Acceso a la información Pública del Estado de México y Municipios.</w:t>
      </w:r>
    </w:p>
    <w:p w:rsidRPr="002E7036" w:rsidR="002E7036" w:rsidP="00B034A6" w:rsidRDefault="002E7036" w14:paraId="7770FB1D" w14:textId="77777777">
      <w:pPr>
        <w:widowControl w:val="0"/>
        <w:spacing w:after="0" w:line="360" w:lineRule="auto"/>
        <w:ind w:left="567" w:right="567"/>
        <w:contextualSpacing/>
        <w:rPr>
          <w:rFonts w:eastAsia="Times New Roman" w:cs="Times New Roman"/>
          <w:i/>
          <w:iCs/>
          <w:color w:val="auto"/>
          <w:sz w:val="20"/>
          <w:szCs w:val="20"/>
          <w:lang w:eastAsia="es-ES"/>
        </w:rPr>
      </w:pPr>
    </w:p>
    <w:p w:rsidRPr="002E7036" w:rsidR="002E7036" w:rsidP="00B034A6" w:rsidRDefault="002E7036" w14:paraId="445E912E" w14:textId="0F6BA922">
      <w:pPr>
        <w:widowControl w:val="0"/>
        <w:spacing w:after="0" w:line="360" w:lineRule="auto"/>
        <w:ind w:left="567" w:right="567"/>
        <w:contextualSpacing/>
        <w:rPr>
          <w:rFonts w:eastAsia="Times New Roman" w:cs="Times New Roman"/>
          <w:b/>
          <w:i/>
          <w:iCs/>
          <w:color w:val="auto"/>
          <w:sz w:val="20"/>
          <w:szCs w:val="20"/>
          <w:lang w:eastAsia="es-ES"/>
        </w:rPr>
      </w:pPr>
      <w:r w:rsidRPr="002E7036">
        <w:rPr>
          <w:rFonts w:eastAsia="Times New Roman" w:cs="Times New Roman"/>
          <w:i/>
          <w:iCs/>
          <w:color w:val="auto"/>
          <w:sz w:val="20"/>
          <w:szCs w:val="20"/>
          <w:lang w:eastAsia="es-ES"/>
        </w:rPr>
        <w:t>En lo que respecta a la información correspondiente a los año</w:t>
      </w:r>
      <w:r>
        <w:rPr>
          <w:rFonts w:eastAsia="Times New Roman" w:cs="Times New Roman"/>
          <w:i/>
          <w:iCs/>
          <w:color w:val="auto"/>
          <w:sz w:val="20"/>
          <w:szCs w:val="20"/>
          <w:lang w:eastAsia="es-ES"/>
        </w:rPr>
        <w:t>s 2019, 2020 y 2021, se remite a</w:t>
      </w:r>
      <w:r w:rsidRPr="002E7036">
        <w:rPr>
          <w:rFonts w:eastAsia="Times New Roman" w:cs="Times New Roman"/>
          <w:i/>
          <w:iCs/>
          <w:color w:val="auto"/>
          <w:sz w:val="20"/>
          <w:szCs w:val="20"/>
          <w:lang w:eastAsia="es-ES"/>
        </w:rPr>
        <w:t xml:space="preserve"> usted de nueva cuenta el listado solicitado, en formato PDF, con la información requerida en los incisos: </w:t>
      </w:r>
      <w:r w:rsidRPr="002E7036">
        <w:rPr>
          <w:rFonts w:eastAsia="Times New Roman" w:cs="Times New Roman"/>
          <w:b/>
          <w:i/>
          <w:iCs/>
          <w:color w:val="auto"/>
          <w:sz w:val="20"/>
          <w:szCs w:val="20"/>
          <w:lang w:eastAsia="es-ES"/>
        </w:rPr>
        <w:t>A Numero del procedimiento, D.</w:t>
      </w:r>
      <w:r>
        <w:rPr>
          <w:rFonts w:eastAsia="Times New Roman" w:cs="Times New Roman"/>
          <w:b/>
          <w:i/>
          <w:iCs/>
          <w:color w:val="auto"/>
          <w:sz w:val="20"/>
          <w:szCs w:val="20"/>
          <w:lang w:eastAsia="es-ES"/>
        </w:rPr>
        <w:t>-</w:t>
      </w:r>
      <w:r w:rsidRPr="002E7036">
        <w:rPr>
          <w:rFonts w:eastAsia="Times New Roman" w:cs="Times New Roman"/>
          <w:b/>
          <w:i/>
          <w:iCs/>
          <w:color w:val="auto"/>
          <w:sz w:val="20"/>
          <w:szCs w:val="20"/>
          <w:lang w:eastAsia="es-ES"/>
        </w:rPr>
        <w:t xml:space="preserve"> Código del expediente E.</w:t>
      </w:r>
      <w:r>
        <w:rPr>
          <w:rFonts w:eastAsia="Times New Roman" w:cs="Times New Roman"/>
          <w:b/>
          <w:i/>
          <w:iCs/>
          <w:color w:val="auto"/>
          <w:sz w:val="20"/>
          <w:szCs w:val="20"/>
          <w:lang w:eastAsia="es-ES"/>
        </w:rPr>
        <w:t>- Referencia del expediente F. Título del expediente G</w:t>
      </w:r>
      <w:r w:rsidRPr="002E7036">
        <w:rPr>
          <w:rFonts w:eastAsia="Times New Roman" w:cs="Times New Roman"/>
          <w:b/>
          <w:i/>
          <w:iCs/>
          <w:color w:val="auto"/>
          <w:sz w:val="20"/>
          <w:szCs w:val="20"/>
          <w:lang w:eastAsia="es-ES"/>
        </w:rPr>
        <w:t>. Fundamenta leg</w:t>
      </w:r>
      <w:r>
        <w:rPr>
          <w:rFonts w:eastAsia="Times New Roman" w:cs="Times New Roman"/>
          <w:b/>
          <w:i/>
          <w:iCs/>
          <w:color w:val="auto"/>
          <w:sz w:val="20"/>
          <w:szCs w:val="20"/>
          <w:lang w:eastAsia="es-ES"/>
        </w:rPr>
        <w:t>al H. Número del procedimiento I.</w:t>
      </w:r>
      <w:r w:rsidRPr="002E7036">
        <w:rPr>
          <w:rFonts w:eastAsia="Times New Roman" w:cs="Times New Roman"/>
          <w:b/>
          <w:i/>
          <w:iCs/>
          <w:color w:val="auto"/>
          <w:sz w:val="20"/>
          <w:szCs w:val="20"/>
          <w:lang w:eastAsia="es-ES"/>
        </w:rPr>
        <w:t>-Fecha del Follo K</w:t>
      </w:r>
      <w:r>
        <w:rPr>
          <w:rFonts w:eastAsia="Times New Roman" w:cs="Times New Roman"/>
          <w:b/>
          <w:i/>
          <w:iCs/>
          <w:color w:val="auto"/>
          <w:sz w:val="20"/>
          <w:szCs w:val="20"/>
          <w:lang w:eastAsia="es-ES"/>
        </w:rPr>
        <w:t>.</w:t>
      </w:r>
      <w:r w:rsidRPr="002E7036">
        <w:rPr>
          <w:rFonts w:eastAsia="Times New Roman" w:cs="Times New Roman"/>
          <w:b/>
          <w:i/>
          <w:iCs/>
          <w:color w:val="auto"/>
          <w:sz w:val="20"/>
          <w:szCs w:val="20"/>
          <w:lang w:eastAsia="es-ES"/>
        </w:rPr>
        <w:t>-Tipo de Contratación L</w:t>
      </w:r>
      <w:r>
        <w:rPr>
          <w:rFonts w:eastAsia="Times New Roman" w:cs="Times New Roman"/>
          <w:b/>
          <w:i/>
          <w:iCs/>
          <w:color w:val="auto"/>
          <w:sz w:val="20"/>
          <w:szCs w:val="20"/>
          <w:lang w:eastAsia="es-ES"/>
        </w:rPr>
        <w:t>.</w:t>
      </w:r>
      <w:r w:rsidRPr="002E7036">
        <w:rPr>
          <w:rFonts w:eastAsia="Times New Roman" w:cs="Times New Roman"/>
          <w:b/>
          <w:i/>
          <w:iCs/>
          <w:color w:val="auto"/>
          <w:sz w:val="20"/>
          <w:szCs w:val="20"/>
          <w:lang w:eastAsia="es-ES"/>
        </w:rPr>
        <w:t>-tipo de Procedimiento M</w:t>
      </w:r>
      <w:r>
        <w:rPr>
          <w:rFonts w:eastAsia="Times New Roman" w:cs="Times New Roman"/>
          <w:b/>
          <w:i/>
          <w:iCs/>
          <w:color w:val="auto"/>
          <w:sz w:val="20"/>
          <w:szCs w:val="20"/>
          <w:lang w:eastAsia="es-ES"/>
        </w:rPr>
        <w:t>.</w:t>
      </w:r>
      <w:r w:rsidRPr="002E7036">
        <w:rPr>
          <w:rFonts w:eastAsia="Times New Roman" w:cs="Times New Roman"/>
          <w:b/>
          <w:i/>
          <w:iCs/>
          <w:color w:val="auto"/>
          <w:sz w:val="20"/>
          <w:szCs w:val="20"/>
          <w:lang w:eastAsia="es-ES"/>
        </w:rPr>
        <w:t>-T</w:t>
      </w:r>
      <w:r>
        <w:rPr>
          <w:rFonts w:eastAsia="Times New Roman" w:cs="Times New Roman"/>
          <w:b/>
          <w:i/>
          <w:iCs/>
          <w:color w:val="auto"/>
          <w:sz w:val="20"/>
          <w:szCs w:val="20"/>
          <w:lang w:eastAsia="es-ES"/>
        </w:rPr>
        <w:t>ít</w:t>
      </w:r>
      <w:r w:rsidRPr="002E7036">
        <w:rPr>
          <w:rFonts w:eastAsia="Times New Roman" w:cs="Times New Roman"/>
          <w:b/>
          <w:i/>
          <w:iCs/>
          <w:color w:val="auto"/>
          <w:sz w:val="20"/>
          <w:szCs w:val="20"/>
          <w:lang w:eastAsia="es-ES"/>
        </w:rPr>
        <w:t>ulo del contrato N.</w:t>
      </w:r>
      <w:r>
        <w:rPr>
          <w:rFonts w:eastAsia="Times New Roman" w:cs="Times New Roman"/>
          <w:b/>
          <w:i/>
          <w:iCs/>
          <w:color w:val="auto"/>
          <w:sz w:val="20"/>
          <w:szCs w:val="20"/>
          <w:lang w:eastAsia="es-ES"/>
        </w:rPr>
        <w:t>-</w:t>
      </w:r>
      <w:r w:rsidRPr="002E7036">
        <w:rPr>
          <w:rFonts w:eastAsia="Times New Roman" w:cs="Times New Roman"/>
          <w:b/>
          <w:i/>
          <w:iCs/>
          <w:color w:val="auto"/>
          <w:sz w:val="20"/>
          <w:szCs w:val="20"/>
          <w:lang w:eastAsia="es-ES"/>
        </w:rPr>
        <w:t xml:space="preserve"> Descripción del contrato 0.</w:t>
      </w:r>
      <w:r>
        <w:rPr>
          <w:rFonts w:eastAsia="Times New Roman" w:cs="Times New Roman"/>
          <w:b/>
          <w:i/>
          <w:iCs/>
          <w:color w:val="auto"/>
          <w:sz w:val="20"/>
          <w:szCs w:val="20"/>
          <w:lang w:eastAsia="es-ES"/>
        </w:rPr>
        <w:t>-</w:t>
      </w:r>
      <w:r w:rsidRPr="002E7036">
        <w:rPr>
          <w:rFonts w:eastAsia="Times New Roman" w:cs="Times New Roman"/>
          <w:b/>
          <w:i/>
          <w:iCs/>
          <w:color w:val="auto"/>
          <w:sz w:val="20"/>
          <w:szCs w:val="20"/>
          <w:lang w:eastAsia="es-ES"/>
        </w:rPr>
        <w:t xml:space="preserve"> Importe del Contrato P. Convenio </w:t>
      </w:r>
      <w:r>
        <w:rPr>
          <w:rFonts w:eastAsia="Times New Roman" w:cs="Times New Roman"/>
          <w:b/>
          <w:i/>
          <w:iCs/>
          <w:color w:val="auto"/>
          <w:sz w:val="20"/>
          <w:szCs w:val="20"/>
          <w:lang w:eastAsia="es-ES"/>
        </w:rPr>
        <w:t>modificatorio Q – RFC y R.-</w:t>
      </w:r>
      <w:r w:rsidRPr="002E7036">
        <w:rPr>
          <w:rFonts w:eastAsia="Times New Roman" w:cs="Times New Roman"/>
          <w:b/>
          <w:i/>
          <w:iCs/>
          <w:color w:val="auto"/>
          <w:sz w:val="20"/>
          <w:szCs w:val="20"/>
          <w:lang w:eastAsia="es-ES"/>
        </w:rPr>
        <w:t>Proveedor o Contratista</w:t>
      </w:r>
      <w:r>
        <w:rPr>
          <w:rFonts w:eastAsia="Times New Roman" w:cs="Times New Roman"/>
          <w:b/>
          <w:i/>
          <w:iCs/>
          <w:color w:val="auto"/>
          <w:sz w:val="20"/>
          <w:szCs w:val="20"/>
          <w:lang w:eastAsia="es-ES"/>
        </w:rPr>
        <w:t>.</w:t>
      </w:r>
    </w:p>
    <w:p w:rsidRPr="002E7036" w:rsidR="002E7036" w:rsidP="00B034A6" w:rsidRDefault="002E7036" w14:paraId="7AF45F1C" w14:textId="77777777">
      <w:pPr>
        <w:widowControl w:val="0"/>
        <w:spacing w:after="0" w:line="360" w:lineRule="auto"/>
        <w:ind w:left="567" w:right="567"/>
        <w:contextualSpacing/>
        <w:rPr>
          <w:rFonts w:eastAsia="Times New Roman" w:cs="Times New Roman"/>
          <w:i/>
          <w:iCs/>
          <w:color w:val="auto"/>
          <w:sz w:val="20"/>
          <w:szCs w:val="20"/>
          <w:lang w:eastAsia="es-ES"/>
        </w:rPr>
      </w:pPr>
    </w:p>
    <w:p w:rsidRPr="002E7036" w:rsidR="002E7036" w:rsidP="00B034A6" w:rsidRDefault="002E7036" w14:paraId="0BF1A75E" w14:textId="4FE870B4">
      <w:pPr>
        <w:widowControl w:val="0"/>
        <w:spacing w:after="0" w:line="360" w:lineRule="auto"/>
        <w:ind w:left="567" w:right="567"/>
        <w:contextualSpacing/>
        <w:rPr>
          <w:rFonts w:eastAsia="Times New Roman" w:cs="Times New Roman"/>
          <w:i/>
          <w:iCs/>
          <w:color w:val="auto"/>
          <w:sz w:val="20"/>
          <w:szCs w:val="20"/>
          <w:lang w:eastAsia="es-ES"/>
        </w:rPr>
      </w:pPr>
      <w:r w:rsidRPr="002E7036">
        <w:rPr>
          <w:rFonts w:eastAsia="Times New Roman" w:cs="Times New Roman"/>
          <w:i/>
          <w:iCs/>
          <w:color w:val="auto"/>
          <w:sz w:val="20"/>
          <w:szCs w:val="20"/>
          <w:lang w:eastAsia="es-ES"/>
        </w:rPr>
        <w:t>Adicional a lo anterior a los incisos.-B-Nombre de la UC, C-Responsable de la UC-Fecha de Publicación y S</w:t>
      </w:r>
      <w:r>
        <w:rPr>
          <w:rFonts w:eastAsia="Times New Roman" w:cs="Times New Roman"/>
          <w:i/>
          <w:iCs/>
          <w:color w:val="auto"/>
          <w:sz w:val="20"/>
          <w:szCs w:val="20"/>
          <w:lang w:eastAsia="es-ES"/>
        </w:rPr>
        <w:t>.-</w:t>
      </w:r>
      <w:r w:rsidR="00726782">
        <w:rPr>
          <w:rFonts w:eastAsia="Times New Roman" w:cs="Times New Roman"/>
          <w:i/>
          <w:iCs/>
          <w:color w:val="auto"/>
          <w:sz w:val="20"/>
          <w:szCs w:val="20"/>
          <w:lang w:eastAsia="es-ES"/>
        </w:rPr>
        <w:t xml:space="preserve">Dirección </w:t>
      </w:r>
      <w:r w:rsidRPr="002E7036">
        <w:rPr>
          <w:rFonts w:eastAsia="Times New Roman" w:cs="Times New Roman"/>
          <w:i/>
          <w:iCs/>
          <w:color w:val="auto"/>
          <w:sz w:val="20"/>
          <w:szCs w:val="20"/>
          <w:lang w:eastAsia="es-ES"/>
        </w:rPr>
        <w:t xml:space="preserve">del anuncio, esta dependencia mediante el oficio TEPE/DOPDU/161/2022-05, se </w:t>
      </w:r>
      <w:r w:rsidRPr="002E7036" w:rsidR="00726782">
        <w:rPr>
          <w:rFonts w:eastAsia="Times New Roman" w:cs="Times New Roman"/>
          <w:i/>
          <w:iCs/>
          <w:color w:val="auto"/>
          <w:sz w:val="20"/>
          <w:szCs w:val="20"/>
          <w:lang w:eastAsia="es-ES"/>
        </w:rPr>
        <w:t>solicitó</w:t>
      </w:r>
      <w:r w:rsidR="00726782">
        <w:rPr>
          <w:rFonts w:eastAsia="Times New Roman" w:cs="Times New Roman"/>
          <w:i/>
          <w:iCs/>
          <w:color w:val="auto"/>
          <w:sz w:val="20"/>
          <w:szCs w:val="20"/>
          <w:lang w:eastAsia="es-ES"/>
        </w:rPr>
        <w:t xml:space="preserve"> a U</w:t>
      </w:r>
      <w:r w:rsidRPr="002E7036">
        <w:rPr>
          <w:rFonts w:eastAsia="Times New Roman" w:cs="Times New Roman"/>
          <w:i/>
          <w:iCs/>
          <w:color w:val="auto"/>
          <w:sz w:val="20"/>
          <w:szCs w:val="20"/>
          <w:lang w:eastAsia="es-ES"/>
        </w:rPr>
        <w:t xml:space="preserve">sted, se requiriera al solicitante a efecto de </w:t>
      </w:r>
      <w:r w:rsidRPr="002E7036" w:rsidR="00726782">
        <w:rPr>
          <w:rFonts w:eastAsia="Times New Roman" w:cs="Times New Roman"/>
          <w:i/>
          <w:iCs/>
          <w:color w:val="auto"/>
          <w:sz w:val="20"/>
          <w:szCs w:val="20"/>
          <w:lang w:eastAsia="es-ES"/>
        </w:rPr>
        <w:t>pre</w:t>
      </w:r>
      <w:r w:rsidR="00726782">
        <w:rPr>
          <w:rFonts w:eastAsia="Times New Roman" w:cs="Times New Roman"/>
          <w:i/>
          <w:iCs/>
          <w:color w:val="auto"/>
          <w:sz w:val="20"/>
          <w:szCs w:val="20"/>
          <w:lang w:eastAsia="es-ES"/>
        </w:rPr>
        <w:t xml:space="preserve">cisar </w:t>
      </w:r>
      <w:r w:rsidRPr="002E7036">
        <w:rPr>
          <w:rFonts w:eastAsia="Times New Roman" w:cs="Times New Roman"/>
          <w:i/>
          <w:iCs/>
          <w:color w:val="auto"/>
          <w:sz w:val="20"/>
          <w:szCs w:val="20"/>
          <w:lang w:eastAsia="es-ES"/>
        </w:rPr>
        <w:t xml:space="preserve">los requerimientos que se enunciaron en este párrafo, con fundamento en lo dispuesto por el </w:t>
      </w:r>
      <w:r w:rsidRPr="002E7036" w:rsidR="00726782">
        <w:rPr>
          <w:rFonts w:eastAsia="Times New Roman" w:cs="Times New Roman"/>
          <w:i/>
          <w:iCs/>
          <w:color w:val="auto"/>
          <w:sz w:val="20"/>
          <w:szCs w:val="20"/>
          <w:lang w:eastAsia="es-ES"/>
        </w:rPr>
        <w:t>artículo</w:t>
      </w:r>
      <w:r w:rsidRPr="002E7036">
        <w:rPr>
          <w:rFonts w:eastAsia="Times New Roman" w:cs="Times New Roman"/>
          <w:i/>
          <w:iCs/>
          <w:color w:val="auto"/>
          <w:sz w:val="20"/>
          <w:szCs w:val="20"/>
          <w:lang w:eastAsia="es-ES"/>
        </w:rPr>
        <w:t xml:space="preserve"> 159 de la Ley de Transparencia y Acceso a la información Pública del Estado de Médico y Municipios</w:t>
      </w:r>
      <w:r w:rsidR="00726782">
        <w:rPr>
          <w:rFonts w:eastAsia="Times New Roman" w:cs="Times New Roman"/>
          <w:i/>
          <w:iCs/>
          <w:color w:val="auto"/>
          <w:sz w:val="20"/>
          <w:szCs w:val="20"/>
          <w:lang w:eastAsia="es-ES"/>
        </w:rPr>
        <w:t>.</w:t>
      </w:r>
    </w:p>
    <w:p w:rsidRPr="002E7036" w:rsidR="002E7036" w:rsidP="00B034A6" w:rsidRDefault="002E7036" w14:paraId="50AE6DBB" w14:textId="77777777">
      <w:pPr>
        <w:widowControl w:val="0"/>
        <w:spacing w:after="0" w:line="360" w:lineRule="auto"/>
        <w:ind w:left="567" w:right="567"/>
        <w:contextualSpacing/>
        <w:rPr>
          <w:rFonts w:eastAsia="Times New Roman" w:cs="Times New Roman"/>
          <w:i/>
          <w:iCs/>
          <w:color w:val="auto"/>
          <w:sz w:val="20"/>
          <w:szCs w:val="20"/>
          <w:lang w:eastAsia="es-ES"/>
        </w:rPr>
      </w:pPr>
    </w:p>
    <w:p w:rsidR="00F07160" w:rsidP="00B034A6" w:rsidRDefault="00726782" w14:paraId="3A210C74" w14:textId="052454F8">
      <w:pPr>
        <w:widowControl w:val="0"/>
        <w:spacing w:after="0" w:line="360" w:lineRule="auto"/>
        <w:ind w:left="567" w:right="567"/>
        <w:contextualSpacing/>
        <w:rPr>
          <w:rFonts w:eastAsia="Times New Roman" w:cs="Times New Roman"/>
          <w:i/>
          <w:iCs/>
          <w:color w:val="auto"/>
          <w:sz w:val="20"/>
          <w:szCs w:val="20"/>
          <w:lang w:eastAsia="es-ES"/>
        </w:rPr>
      </w:pPr>
      <w:r>
        <w:rPr>
          <w:rFonts w:eastAsia="Times New Roman" w:cs="Times New Roman"/>
          <w:i/>
          <w:iCs/>
          <w:color w:val="auto"/>
          <w:sz w:val="20"/>
          <w:szCs w:val="20"/>
          <w:lang w:eastAsia="es-ES"/>
        </w:rPr>
        <w:t>Por ú</w:t>
      </w:r>
      <w:r w:rsidRPr="002E7036" w:rsidR="002E7036">
        <w:rPr>
          <w:rFonts w:eastAsia="Times New Roman" w:cs="Times New Roman"/>
          <w:i/>
          <w:iCs/>
          <w:color w:val="auto"/>
          <w:sz w:val="20"/>
          <w:szCs w:val="20"/>
          <w:lang w:eastAsia="es-ES"/>
        </w:rPr>
        <w:t xml:space="preserve">ltimo es importante mencionar que en cuanto a </w:t>
      </w:r>
      <w:r>
        <w:rPr>
          <w:rFonts w:eastAsia="Times New Roman" w:cs="Times New Roman"/>
          <w:i/>
          <w:iCs/>
          <w:color w:val="auto"/>
          <w:sz w:val="20"/>
          <w:szCs w:val="20"/>
          <w:lang w:eastAsia="es-ES"/>
        </w:rPr>
        <w:t>“… lista</w:t>
      </w:r>
      <w:r w:rsidRPr="002E7036" w:rsidR="002E7036">
        <w:rPr>
          <w:rFonts w:eastAsia="Times New Roman" w:cs="Times New Roman"/>
          <w:i/>
          <w:iCs/>
          <w:color w:val="auto"/>
          <w:sz w:val="20"/>
          <w:szCs w:val="20"/>
          <w:lang w:eastAsia="es-ES"/>
        </w:rPr>
        <w:t xml:space="preserve"> de proveedores </w:t>
      </w:r>
      <w:r>
        <w:rPr>
          <w:rFonts w:eastAsia="Times New Roman" w:cs="Times New Roman"/>
          <w:i/>
          <w:iCs/>
          <w:color w:val="auto"/>
          <w:sz w:val="20"/>
          <w:szCs w:val="20"/>
          <w:lang w:eastAsia="es-ES"/>
        </w:rPr>
        <w:t xml:space="preserve">de 2012 a la fecha más reciente…” </w:t>
      </w:r>
      <w:r w:rsidRPr="002E7036" w:rsidR="002E7036">
        <w:rPr>
          <w:rFonts w:eastAsia="Times New Roman" w:cs="Times New Roman"/>
          <w:i/>
          <w:iCs/>
          <w:color w:val="auto"/>
          <w:sz w:val="20"/>
          <w:szCs w:val="20"/>
          <w:lang w:eastAsia="es-ES"/>
        </w:rPr>
        <w:t>Sic</w:t>
      </w:r>
      <w:r>
        <w:rPr>
          <w:rFonts w:eastAsia="Times New Roman" w:cs="Times New Roman"/>
          <w:i/>
          <w:iCs/>
          <w:color w:val="auto"/>
          <w:sz w:val="20"/>
          <w:szCs w:val="20"/>
          <w:lang w:eastAsia="es-ES"/>
        </w:rPr>
        <w:t>.,</w:t>
      </w:r>
      <w:r w:rsidRPr="002E7036" w:rsidR="002E7036">
        <w:rPr>
          <w:rFonts w:eastAsia="Times New Roman" w:cs="Times New Roman"/>
          <w:i/>
          <w:iCs/>
          <w:color w:val="auto"/>
          <w:sz w:val="20"/>
          <w:szCs w:val="20"/>
          <w:lang w:eastAsia="es-ES"/>
        </w:rPr>
        <w:t xml:space="preserve"> </w:t>
      </w:r>
      <w:r>
        <w:rPr>
          <w:rFonts w:eastAsia="Times New Roman" w:cs="Times New Roman"/>
          <w:i/>
          <w:iCs/>
          <w:color w:val="auto"/>
          <w:sz w:val="20"/>
          <w:szCs w:val="20"/>
          <w:lang w:eastAsia="es-ES"/>
        </w:rPr>
        <w:t>la Dirección de Obras Públicas u</w:t>
      </w:r>
      <w:r w:rsidRPr="002E7036" w:rsidR="002E7036">
        <w:rPr>
          <w:rFonts w:eastAsia="Times New Roman" w:cs="Times New Roman"/>
          <w:i/>
          <w:iCs/>
          <w:color w:val="auto"/>
          <w:sz w:val="20"/>
          <w:szCs w:val="20"/>
          <w:lang w:eastAsia="es-ES"/>
        </w:rPr>
        <w:t xml:space="preserve"> Desarrollo Urbano no </w:t>
      </w:r>
      <w:r w:rsidRPr="002E7036">
        <w:rPr>
          <w:rFonts w:eastAsia="Times New Roman" w:cs="Times New Roman"/>
          <w:i/>
          <w:iCs/>
          <w:color w:val="auto"/>
          <w:sz w:val="20"/>
          <w:szCs w:val="20"/>
          <w:lang w:eastAsia="es-ES"/>
        </w:rPr>
        <w:t>lleva</w:t>
      </w:r>
      <w:r w:rsidRPr="002E7036" w:rsidR="002E7036">
        <w:rPr>
          <w:rFonts w:eastAsia="Times New Roman" w:cs="Times New Roman"/>
          <w:i/>
          <w:iCs/>
          <w:color w:val="auto"/>
          <w:sz w:val="20"/>
          <w:szCs w:val="20"/>
          <w:lang w:eastAsia="es-ES"/>
        </w:rPr>
        <w:t xml:space="preserve"> a cabo procedimientos de adquisicio</w:t>
      </w:r>
      <w:r>
        <w:rPr>
          <w:rFonts w:eastAsia="Times New Roman" w:cs="Times New Roman"/>
          <w:i/>
          <w:iCs/>
          <w:color w:val="auto"/>
          <w:sz w:val="20"/>
          <w:szCs w:val="20"/>
          <w:lang w:eastAsia="es-ES"/>
        </w:rPr>
        <w:t xml:space="preserve">nes, </w:t>
      </w:r>
      <w:r w:rsidRPr="002E7036" w:rsidR="002E7036">
        <w:rPr>
          <w:rFonts w:eastAsia="Times New Roman" w:cs="Times New Roman"/>
          <w:i/>
          <w:iCs/>
          <w:color w:val="auto"/>
          <w:sz w:val="20"/>
          <w:szCs w:val="20"/>
          <w:lang w:eastAsia="es-ES"/>
        </w:rPr>
        <w:t>enajenaciones</w:t>
      </w:r>
      <w:r>
        <w:rPr>
          <w:rFonts w:eastAsia="Times New Roman" w:cs="Times New Roman"/>
          <w:i/>
          <w:iCs/>
          <w:color w:val="auto"/>
          <w:sz w:val="20"/>
          <w:szCs w:val="20"/>
          <w:lang w:eastAsia="es-ES"/>
        </w:rPr>
        <w:t>,</w:t>
      </w:r>
      <w:r w:rsidRPr="002E7036" w:rsidR="002E7036">
        <w:rPr>
          <w:rFonts w:eastAsia="Times New Roman" w:cs="Times New Roman"/>
          <w:i/>
          <w:iCs/>
          <w:color w:val="auto"/>
          <w:sz w:val="20"/>
          <w:szCs w:val="20"/>
          <w:lang w:eastAsia="es-ES"/>
        </w:rPr>
        <w:t xml:space="preserve"> arrendamientos y servicios, por lo tanto deberá ser solicitada al </w:t>
      </w:r>
      <w:r w:rsidRPr="002E7036">
        <w:rPr>
          <w:rFonts w:eastAsia="Times New Roman" w:cs="Times New Roman"/>
          <w:i/>
          <w:iCs/>
          <w:color w:val="auto"/>
          <w:sz w:val="20"/>
          <w:szCs w:val="20"/>
          <w:lang w:eastAsia="es-ES"/>
        </w:rPr>
        <w:t>área</w:t>
      </w:r>
      <w:r w:rsidRPr="002E7036" w:rsidR="002E7036">
        <w:rPr>
          <w:rFonts w:eastAsia="Times New Roman" w:cs="Times New Roman"/>
          <w:i/>
          <w:iCs/>
          <w:color w:val="auto"/>
          <w:sz w:val="20"/>
          <w:szCs w:val="20"/>
          <w:lang w:eastAsia="es-ES"/>
        </w:rPr>
        <w:t xml:space="preserve"> que</w:t>
      </w:r>
      <w:r>
        <w:rPr>
          <w:rFonts w:eastAsia="Times New Roman" w:cs="Times New Roman"/>
          <w:i/>
          <w:iCs/>
          <w:color w:val="auto"/>
          <w:sz w:val="20"/>
          <w:szCs w:val="20"/>
          <w:lang w:eastAsia="es-ES"/>
        </w:rPr>
        <w:t xml:space="preserve">, </w:t>
      </w:r>
      <w:r w:rsidRPr="002E7036" w:rsidR="002E7036">
        <w:rPr>
          <w:rFonts w:eastAsia="Times New Roman" w:cs="Times New Roman"/>
          <w:i/>
          <w:iCs/>
          <w:color w:val="auto"/>
          <w:sz w:val="20"/>
          <w:szCs w:val="20"/>
          <w:lang w:eastAsia="es-ES"/>
        </w:rPr>
        <w:t xml:space="preserve"> de acuerdo </w:t>
      </w:r>
      <w:r w:rsidRPr="002E7036">
        <w:rPr>
          <w:rFonts w:eastAsia="Times New Roman" w:cs="Times New Roman"/>
          <w:i/>
          <w:iCs/>
          <w:color w:val="auto"/>
          <w:sz w:val="20"/>
          <w:szCs w:val="20"/>
          <w:lang w:eastAsia="es-ES"/>
        </w:rPr>
        <w:t>atribuciones</w:t>
      </w:r>
      <w:r>
        <w:rPr>
          <w:rFonts w:eastAsia="Times New Roman" w:cs="Times New Roman"/>
          <w:i/>
          <w:iCs/>
          <w:color w:val="auto"/>
          <w:sz w:val="20"/>
          <w:szCs w:val="20"/>
          <w:lang w:eastAsia="es-ES"/>
        </w:rPr>
        <w:t xml:space="preserve"> facultades sea</w:t>
      </w:r>
      <w:r w:rsidRPr="002E7036" w:rsidR="002E7036">
        <w:rPr>
          <w:rFonts w:eastAsia="Times New Roman" w:cs="Times New Roman"/>
          <w:i/>
          <w:iCs/>
          <w:color w:val="auto"/>
          <w:sz w:val="20"/>
          <w:szCs w:val="20"/>
          <w:lang w:eastAsia="es-ES"/>
        </w:rPr>
        <w:t xml:space="preserve"> competente</w:t>
      </w:r>
      <w:r>
        <w:rPr>
          <w:rFonts w:eastAsia="Times New Roman" w:cs="Times New Roman"/>
          <w:i/>
          <w:iCs/>
          <w:color w:val="auto"/>
          <w:sz w:val="20"/>
          <w:szCs w:val="20"/>
          <w:lang w:eastAsia="es-ES"/>
        </w:rPr>
        <w:t>,</w:t>
      </w:r>
      <w:r w:rsidRPr="002E7036" w:rsidR="002E7036">
        <w:rPr>
          <w:rFonts w:eastAsia="Times New Roman" w:cs="Times New Roman"/>
          <w:i/>
          <w:iCs/>
          <w:color w:val="auto"/>
          <w:sz w:val="20"/>
          <w:szCs w:val="20"/>
          <w:lang w:eastAsia="es-ES"/>
        </w:rPr>
        <w:t xml:space="preserve"> con fundamento en lo establecido en el </w:t>
      </w:r>
      <w:r w:rsidRPr="002E7036">
        <w:rPr>
          <w:rFonts w:eastAsia="Times New Roman" w:cs="Times New Roman"/>
          <w:i/>
          <w:iCs/>
          <w:color w:val="auto"/>
          <w:sz w:val="20"/>
          <w:szCs w:val="20"/>
          <w:lang w:eastAsia="es-ES"/>
        </w:rPr>
        <w:t>artículo</w:t>
      </w:r>
      <w:r>
        <w:rPr>
          <w:rFonts w:eastAsia="Times New Roman" w:cs="Times New Roman"/>
          <w:i/>
          <w:iCs/>
          <w:color w:val="auto"/>
          <w:sz w:val="20"/>
          <w:szCs w:val="20"/>
          <w:lang w:eastAsia="es-ES"/>
        </w:rPr>
        <w:t xml:space="preserve"> 96 bis de la Ley</w:t>
      </w:r>
      <w:r w:rsidRPr="002E7036" w:rsidR="002E7036">
        <w:rPr>
          <w:rFonts w:eastAsia="Times New Roman" w:cs="Times New Roman"/>
          <w:i/>
          <w:iCs/>
          <w:color w:val="auto"/>
          <w:sz w:val="20"/>
          <w:szCs w:val="20"/>
          <w:lang w:eastAsia="es-ES"/>
        </w:rPr>
        <w:t xml:space="preserve"> </w:t>
      </w:r>
      <w:r w:rsidRPr="002E7036">
        <w:rPr>
          <w:rFonts w:eastAsia="Times New Roman" w:cs="Times New Roman"/>
          <w:i/>
          <w:iCs/>
          <w:color w:val="auto"/>
          <w:sz w:val="20"/>
          <w:szCs w:val="20"/>
          <w:lang w:eastAsia="es-ES"/>
        </w:rPr>
        <w:t>Orgánica</w:t>
      </w:r>
      <w:r w:rsidRPr="002E7036" w:rsidR="002E7036">
        <w:rPr>
          <w:rFonts w:eastAsia="Times New Roman" w:cs="Times New Roman"/>
          <w:i/>
          <w:iCs/>
          <w:color w:val="auto"/>
          <w:sz w:val="20"/>
          <w:szCs w:val="20"/>
          <w:lang w:eastAsia="es-ES"/>
        </w:rPr>
        <w:t xml:space="preserve"> Municipal del Estado de </w:t>
      </w:r>
      <w:r w:rsidRPr="002E7036">
        <w:rPr>
          <w:rFonts w:eastAsia="Times New Roman" w:cs="Times New Roman"/>
          <w:i/>
          <w:iCs/>
          <w:color w:val="auto"/>
          <w:sz w:val="20"/>
          <w:szCs w:val="20"/>
          <w:lang w:eastAsia="es-ES"/>
        </w:rPr>
        <w:t>México</w:t>
      </w:r>
      <w:r w:rsidRPr="002E7036" w:rsidR="002E7036">
        <w:rPr>
          <w:rFonts w:eastAsia="Times New Roman" w:cs="Times New Roman"/>
          <w:i/>
          <w:iCs/>
          <w:color w:val="auto"/>
          <w:sz w:val="20"/>
          <w:szCs w:val="20"/>
          <w:lang w:eastAsia="es-ES"/>
        </w:rPr>
        <w:t xml:space="preserve">; la Ley de Contratación </w:t>
      </w:r>
      <w:r w:rsidRPr="002E7036">
        <w:rPr>
          <w:rFonts w:eastAsia="Times New Roman" w:cs="Times New Roman"/>
          <w:i/>
          <w:iCs/>
          <w:color w:val="auto"/>
          <w:sz w:val="20"/>
          <w:szCs w:val="20"/>
          <w:lang w:eastAsia="es-ES"/>
        </w:rPr>
        <w:t>Pública</w:t>
      </w:r>
      <w:r w:rsidRPr="002E7036" w:rsidR="002E7036">
        <w:rPr>
          <w:rFonts w:eastAsia="Times New Roman" w:cs="Times New Roman"/>
          <w:i/>
          <w:iCs/>
          <w:color w:val="auto"/>
          <w:sz w:val="20"/>
          <w:szCs w:val="20"/>
          <w:lang w:eastAsia="es-ES"/>
        </w:rPr>
        <w:t xml:space="preserve"> del Estado de </w:t>
      </w:r>
      <w:r w:rsidRPr="002E7036">
        <w:rPr>
          <w:rFonts w:eastAsia="Times New Roman" w:cs="Times New Roman"/>
          <w:i/>
          <w:iCs/>
          <w:color w:val="auto"/>
          <w:sz w:val="20"/>
          <w:szCs w:val="20"/>
          <w:lang w:eastAsia="es-ES"/>
        </w:rPr>
        <w:t>México</w:t>
      </w:r>
      <w:r w:rsidRPr="002E7036" w:rsidR="002E7036">
        <w:rPr>
          <w:rFonts w:eastAsia="Times New Roman" w:cs="Times New Roman"/>
          <w:i/>
          <w:iCs/>
          <w:color w:val="auto"/>
          <w:sz w:val="20"/>
          <w:szCs w:val="20"/>
          <w:lang w:eastAsia="es-ES"/>
        </w:rPr>
        <w:t xml:space="preserve"> y Municipios y Reglamento de la ley ce </w:t>
      </w:r>
      <w:r w:rsidRPr="002E7036">
        <w:rPr>
          <w:rFonts w:eastAsia="Times New Roman" w:cs="Times New Roman"/>
          <w:i/>
          <w:iCs/>
          <w:color w:val="auto"/>
          <w:sz w:val="20"/>
          <w:szCs w:val="20"/>
          <w:lang w:eastAsia="es-ES"/>
        </w:rPr>
        <w:t>Contratación</w:t>
      </w:r>
      <w:r w:rsidRPr="002E7036" w:rsidR="002E7036">
        <w:rPr>
          <w:rFonts w:eastAsia="Times New Roman" w:cs="Times New Roman"/>
          <w:i/>
          <w:iCs/>
          <w:color w:val="auto"/>
          <w:sz w:val="20"/>
          <w:szCs w:val="20"/>
          <w:lang w:eastAsia="es-ES"/>
        </w:rPr>
        <w:t xml:space="preserve"> Public</w:t>
      </w:r>
      <w:r>
        <w:rPr>
          <w:rFonts w:eastAsia="Times New Roman" w:cs="Times New Roman"/>
          <w:i/>
          <w:iCs/>
          <w:color w:val="auto"/>
          <w:sz w:val="20"/>
          <w:szCs w:val="20"/>
          <w:lang w:eastAsia="es-ES"/>
        </w:rPr>
        <w:t>a</w:t>
      </w:r>
      <w:r w:rsidRPr="002E7036" w:rsidR="002E7036">
        <w:rPr>
          <w:rFonts w:eastAsia="Times New Roman" w:cs="Times New Roman"/>
          <w:i/>
          <w:iCs/>
          <w:color w:val="auto"/>
          <w:sz w:val="20"/>
          <w:szCs w:val="20"/>
          <w:lang w:eastAsia="es-ES"/>
        </w:rPr>
        <w:t xml:space="preserve"> Estado de </w:t>
      </w:r>
      <w:r w:rsidRPr="002E7036">
        <w:rPr>
          <w:rFonts w:eastAsia="Times New Roman" w:cs="Times New Roman"/>
          <w:i/>
          <w:iCs/>
          <w:color w:val="auto"/>
          <w:sz w:val="20"/>
          <w:szCs w:val="20"/>
          <w:lang w:eastAsia="es-ES"/>
        </w:rPr>
        <w:t>México</w:t>
      </w:r>
      <w:r>
        <w:rPr>
          <w:rFonts w:eastAsia="Times New Roman" w:cs="Times New Roman"/>
          <w:i/>
          <w:iCs/>
          <w:color w:val="auto"/>
          <w:sz w:val="20"/>
          <w:szCs w:val="20"/>
          <w:lang w:eastAsia="es-ES"/>
        </w:rPr>
        <w:t xml:space="preserve"> y</w:t>
      </w:r>
      <w:r w:rsidRPr="002E7036" w:rsidR="002E7036">
        <w:rPr>
          <w:rFonts w:eastAsia="Times New Roman" w:cs="Times New Roman"/>
          <w:i/>
          <w:iCs/>
          <w:color w:val="auto"/>
          <w:sz w:val="20"/>
          <w:szCs w:val="20"/>
          <w:lang w:eastAsia="es-ES"/>
        </w:rPr>
        <w:t xml:space="preserve"> Municipios</w:t>
      </w:r>
      <w:r w:rsidRPr="00F07160" w:rsidR="00F07160">
        <w:rPr>
          <w:rFonts w:eastAsia="Times New Roman" w:cs="Times New Roman"/>
          <w:i/>
          <w:iCs/>
          <w:color w:val="auto"/>
          <w:sz w:val="20"/>
          <w:szCs w:val="20"/>
          <w:lang w:eastAsia="es-ES"/>
        </w:rPr>
        <w:t>”</w:t>
      </w:r>
    </w:p>
    <w:p w:rsidR="00B034A6" w:rsidP="00B034A6" w:rsidRDefault="00B034A6" w14:paraId="7D45E979" w14:textId="77777777">
      <w:pPr>
        <w:widowControl w:val="0"/>
        <w:spacing w:after="0" w:line="360" w:lineRule="auto"/>
        <w:ind w:right="567"/>
        <w:contextualSpacing/>
        <w:rPr>
          <w:rFonts w:eastAsia="Times New Roman" w:cs="Times New Roman"/>
          <w:iCs/>
          <w:color w:val="auto"/>
          <w:szCs w:val="20"/>
          <w:lang w:eastAsia="es-ES"/>
        </w:rPr>
      </w:pPr>
    </w:p>
    <w:p w:rsidR="00726782" w:rsidP="00B034A6" w:rsidRDefault="00726782" w14:paraId="479BE2D6" w14:textId="77777777">
      <w:pPr>
        <w:widowControl w:val="0"/>
        <w:spacing w:after="0" w:line="360" w:lineRule="auto"/>
        <w:ind w:right="567"/>
        <w:contextualSpacing/>
        <w:rPr>
          <w:rFonts w:eastAsia="Times New Roman" w:cs="Times New Roman"/>
          <w:iCs/>
          <w:color w:val="auto"/>
          <w:szCs w:val="20"/>
          <w:lang w:eastAsia="es-ES"/>
        </w:rPr>
      </w:pPr>
      <w:r w:rsidRPr="00726782">
        <w:rPr>
          <w:rFonts w:eastAsia="Times New Roman" w:cs="Times New Roman"/>
          <w:iCs/>
          <w:color w:val="auto"/>
          <w:szCs w:val="20"/>
          <w:lang w:eastAsia="es-ES"/>
        </w:rPr>
        <w:t xml:space="preserve">El Sujeto Obligado </w:t>
      </w:r>
      <w:r>
        <w:rPr>
          <w:rFonts w:eastAsia="Times New Roman" w:cs="Times New Roman"/>
          <w:iCs/>
          <w:color w:val="auto"/>
          <w:szCs w:val="20"/>
          <w:lang w:eastAsia="es-ES"/>
        </w:rPr>
        <w:t xml:space="preserve">adjuntó la digitalización de los siguientes documentos: </w:t>
      </w:r>
    </w:p>
    <w:p w:rsidR="00726782" w:rsidP="00B034A6" w:rsidRDefault="00726782" w14:paraId="1583350D" w14:textId="77777777">
      <w:pPr>
        <w:widowControl w:val="0"/>
        <w:spacing w:after="0" w:line="360" w:lineRule="auto"/>
        <w:ind w:right="567"/>
        <w:contextualSpacing/>
        <w:rPr>
          <w:rFonts w:eastAsia="Times New Roman" w:cs="Times New Roman"/>
          <w:iCs/>
          <w:color w:val="auto"/>
          <w:szCs w:val="20"/>
          <w:lang w:eastAsia="es-ES"/>
        </w:rPr>
      </w:pPr>
    </w:p>
    <w:p w:rsidR="00726782" w:rsidP="00B034A6" w:rsidRDefault="00726782" w14:paraId="5DDC5F2C" w14:textId="4889C0CB">
      <w:pPr>
        <w:widowControl w:val="0"/>
        <w:spacing w:after="0" w:line="360" w:lineRule="auto"/>
        <w:ind w:right="567"/>
        <w:contextualSpacing/>
        <w:rPr>
          <w:rFonts w:eastAsia="Times New Roman" w:cs="Times New Roman"/>
          <w:iCs/>
          <w:color w:val="auto"/>
          <w:szCs w:val="20"/>
          <w:lang w:eastAsia="es-ES"/>
        </w:rPr>
      </w:pPr>
      <w:r>
        <w:rPr>
          <w:rFonts w:eastAsia="Times New Roman" w:cs="Times New Roman"/>
          <w:iCs/>
          <w:color w:val="auto"/>
          <w:szCs w:val="20"/>
          <w:lang w:eastAsia="es-ES"/>
        </w:rPr>
        <w:t xml:space="preserve">i) </w:t>
      </w:r>
      <w:r w:rsidRPr="00726782">
        <w:rPr>
          <w:rFonts w:eastAsia="Times New Roman" w:cs="Times New Roman"/>
          <w:iCs/>
          <w:color w:val="auto"/>
          <w:szCs w:val="20"/>
          <w:lang w:eastAsia="es-ES"/>
        </w:rPr>
        <w:t xml:space="preserve">Listado de Contrato de Obras licitados en el municipio de Tepetlaoxtoc, por </w:t>
      </w:r>
      <w:r w:rsidRPr="00726782">
        <w:rPr>
          <w:rFonts w:eastAsia="Times New Roman" w:cs="Times New Roman"/>
          <w:iCs/>
          <w:color w:val="auto"/>
          <w:szCs w:val="20"/>
          <w:lang w:eastAsia="es-ES"/>
        </w:rPr>
        <w:lastRenderedPageBreak/>
        <w:t>Adjudicación Directa, Invitación Restringida y Licitación Pública de los años 2019, 2020 y 2021</w:t>
      </w:r>
      <w:r>
        <w:rPr>
          <w:rFonts w:eastAsia="Times New Roman" w:cs="Times New Roman"/>
          <w:iCs/>
          <w:color w:val="auto"/>
          <w:szCs w:val="20"/>
          <w:lang w:eastAsia="es-ES"/>
        </w:rPr>
        <w:t xml:space="preserve">, tal como se muestra a continuación: </w:t>
      </w:r>
    </w:p>
    <w:p w:rsidR="00726782" w:rsidP="00B034A6" w:rsidRDefault="00726782" w14:paraId="387BBC6F" w14:textId="77777777">
      <w:pPr>
        <w:widowControl w:val="0"/>
        <w:spacing w:after="0" w:line="360" w:lineRule="auto"/>
        <w:ind w:right="567"/>
        <w:contextualSpacing/>
        <w:rPr>
          <w:noProof/>
          <w:lang w:eastAsia="es-MX"/>
        </w:rPr>
      </w:pPr>
    </w:p>
    <w:p w:rsidRPr="00726782" w:rsidR="00726782" w:rsidP="00B034A6" w:rsidRDefault="00726782" w14:paraId="3786C6EA" w14:textId="79A817CB">
      <w:pPr>
        <w:widowControl w:val="0"/>
        <w:spacing w:after="0" w:line="360" w:lineRule="auto"/>
        <w:ind w:right="567"/>
        <w:contextualSpacing/>
        <w:rPr>
          <w:rFonts w:eastAsia="Times New Roman" w:cs="Times New Roman"/>
          <w:iCs/>
          <w:color w:val="auto"/>
          <w:szCs w:val="20"/>
          <w:lang w:eastAsia="es-ES"/>
        </w:rPr>
      </w:pPr>
      <w:r>
        <w:rPr>
          <w:noProof/>
          <w:lang w:eastAsia="es-MX"/>
        </w:rPr>
        <w:drawing>
          <wp:inline distT="0" distB="0" distL="0" distR="0" wp14:anchorId="40A5B57E" wp14:editId="45B0CC35">
            <wp:extent cx="5749047" cy="1876425"/>
            <wp:effectExtent l="0" t="0" r="444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809" t="11401" r="3465" b="33639"/>
                    <a:stretch/>
                  </pic:blipFill>
                  <pic:spPr bwMode="auto">
                    <a:xfrm>
                      <a:off x="0" y="0"/>
                      <a:ext cx="5770873" cy="1883549"/>
                    </a:xfrm>
                    <a:prstGeom prst="rect">
                      <a:avLst/>
                    </a:prstGeom>
                    <a:ln>
                      <a:noFill/>
                    </a:ln>
                    <a:extLst>
                      <a:ext uri="{53640926-AAD7-44D8-BBD7-CCE9431645EC}">
                        <a14:shadowObscured xmlns:a14="http://schemas.microsoft.com/office/drawing/2010/main"/>
                      </a:ext>
                    </a:extLst>
                  </pic:spPr>
                </pic:pic>
              </a:graphicData>
            </a:graphic>
          </wp:inline>
        </w:drawing>
      </w:r>
    </w:p>
    <w:p w:rsidR="00B40795" w:rsidP="00B034A6" w:rsidRDefault="00B40795" w14:paraId="045404EA" w14:textId="77777777">
      <w:pPr>
        <w:spacing w:after="0" w:line="360" w:lineRule="auto"/>
        <w:rPr>
          <w:rFonts w:cs="Tahoma"/>
        </w:rPr>
      </w:pPr>
    </w:p>
    <w:p w:rsidR="00B40795" w:rsidP="00B034A6" w:rsidRDefault="00B40795" w14:paraId="34351A8A" w14:textId="7E40BB2A">
      <w:pPr>
        <w:spacing w:after="0" w:line="360" w:lineRule="auto"/>
        <w:rPr>
          <w:rFonts w:cs="Tahoma"/>
        </w:rPr>
      </w:pPr>
      <w:r>
        <w:rPr>
          <w:rFonts w:cs="Tahoma"/>
        </w:rPr>
        <w:t xml:space="preserve">ii) Oficio número PMT/TM/264/2022-06, de fecha ocho de junio del dos mil veintidós, signado por el Tesorero Municipal y dirigido a la Titular de la Unidad de Transparencia, en los siguientes términos: </w:t>
      </w:r>
    </w:p>
    <w:p w:rsidR="00B40795" w:rsidP="00B034A6" w:rsidRDefault="00B40795" w14:paraId="0890613E" w14:textId="77777777">
      <w:pPr>
        <w:spacing w:after="0" w:line="360" w:lineRule="auto"/>
        <w:rPr>
          <w:rFonts w:cs="Tahoma"/>
        </w:rPr>
      </w:pPr>
    </w:p>
    <w:p w:rsidRPr="00FE20E8" w:rsidR="00B40795" w:rsidP="00B034A6" w:rsidRDefault="00B40795" w14:paraId="21171E21" w14:textId="63E167C9">
      <w:pPr>
        <w:spacing w:after="0" w:line="360" w:lineRule="auto"/>
        <w:ind w:left="567" w:right="567"/>
        <w:rPr>
          <w:rFonts w:cs="Tahoma"/>
          <w:i/>
          <w:sz w:val="20"/>
          <w:szCs w:val="20"/>
        </w:rPr>
      </w:pPr>
      <w:r w:rsidRPr="00FE20E8">
        <w:rPr>
          <w:rFonts w:cs="Tahoma"/>
          <w:i/>
          <w:sz w:val="20"/>
          <w:szCs w:val="20"/>
        </w:rPr>
        <w:t>“…</w:t>
      </w:r>
    </w:p>
    <w:p w:rsidRPr="00FE20E8" w:rsidR="00B40795" w:rsidP="00B034A6" w:rsidRDefault="00B40795" w14:paraId="5957637C" w14:textId="0DF01719">
      <w:pPr>
        <w:spacing w:after="0" w:line="360" w:lineRule="auto"/>
        <w:ind w:left="567" w:right="567"/>
        <w:rPr>
          <w:rFonts w:cs="Tahoma"/>
          <w:i/>
          <w:sz w:val="20"/>
          <w:szCs w:val="20"/>
        </w:rPr>
      </w:pPr>
      <w:r w:rsidRPr="00FE20E8">
        <w:rPr>
          <w:rFonts w:cs="Tahoma"/>
          <w:i/>
          <w:sz w:val="20"/>
          <w:szCs w:val="20"/>
        </w:rPr>
        <w:t>Le anexo al presente el listado de proveedores de bienes y servicios del año en curso. Esta es la única lista que se encuentra en nuestros archivos ya que los controles de erogaciones se llevan de acuerdo al tipo de financiamiento.</w:t>
      </w:r>
    </w:p>
    <w:p w:rsidRPr="00FE20E8" w:rsidR="00B40795" w:rsidP="00B034A6" w:rsidRDefault="00B40795" w14:paraId="4EA0E7F9" w14:textId="4400E060">
      <w:pPr>
        <w:spacing w:after="0" w:line="360" w:lineRule="auto"/>
        <w:ind w:left="567" w:right="567"/>
        <w:rPr>
          <w:rFonts w:cs="Tahoma"/>
          <w:i/>
          <w:sz w:val="20"/>
          <w:szCs w:val="20"/>
        </w:rPr>
      </w:pPr>
      <w:r w:rsidRPr="00FE20E8">
        <w:rPr>
          <w:rFonts w:cs="Tahoma"/>
          <w:i/>
          <w:sz w:val="20"/>
          <w:szCs w:val="20"/>
        </w:rPr>
        <w:t>…”</w:t>
      </w:r>
    </w:p>
    <w:p w:rsidR="00B40795" w:rsidP="00B034A6" w:rsidRDefault="00B40795" w14:paraId="5D0839F9" w14:textId="77777777">
      <w:pPr>
        <w:spacing w:after="0" w:line="360" w:lineRule="auto"/>
        <w:rPr>
          <w:rFonts w:cs="Tahoma"/>
        </w:rPr>
      </w:pPr>
    </w:p>
    <w:p w:rsidRPr="00FE20E8" w:rsidR="00FE20E8" w:rsidP="00B034A6" w:rsidRDefault="00B40795" w14:paraId="278C9E15" w14:textId="58995CED">
      <w:pPr>
        <w:spacing w:after="0" w:line="360" w:lineRule="auto"/>
        <w:rPr>
          <w:rFonts w:cs="Tahoma"/>
        </w:rPr>
      </w:pPr>
      <w:r>
        <w:rPr>
          <w:rFonts w:cs="Tahoma"/>
        </w:rPr>
        <w:t xml:space="preserve">iii) Catálogo de Proveedores de Bienes y Servicios que contiene los rubros: nombre o razón social, RFC, Domicilio Fiscal, Actividades económicas según  Constancias de Situación Fiscal y Fecha de constitución ante Fedatario Público, como se muestra en el siguiente extracto: </w:t>
      </w:r>
    </w:p>
    <w:p w:rsidR="00B40795" w:rsidP="00B034A6" w:rsidRDefault="00B40795" w14:paraId="519B8DF1" w14:textId="3C808AD7">
      <w:pPr>
        <w:spacing w:after="0" w:line="360" w:lineRule="auto"/>
        <w:jc w:val="center"/>
        <w:rPr>
          <w:rFonts w:cs="Tahoma"/>
        </w:rPr>
      </w:pPr>
      <w:r>
        <w:rPr>
          <w:noProof/>
          <w:lang w:eastAsia="es-MX"/>
        </w:rPr>
        <w:lastRenderedPageBreak/>
        <w:drawing>
          <wp:inline distT="0" distB="0" distL="0" distR="0" wp14:anchorId="2A5B38AB" wp14:editId="711FF079">
            <wp:extent cx="5620445" cy="17907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2663" t="10525" r="16621" b="49424"/>
                    <a:stretch/>
                  </pic:blipFill>
                  <pic:spPr bwMode="auto">
                    <a:xfrm>
                      <a:off x="0" y="0"/>
                      <a:ext cx="5630454" cy="1793889"/>
                    </a:xfrm>
                    <a:prstGeom prst="rect">
                      <a:avLst/>
                    </a:prstGeom>
                    <a:ln>
                      <a:noFill/>
                    </a:ln>
                    <a:extLst>
                      <a:ext uri="{53640926-AAD7-44D8-BBD7-CCE9431645EC}">
                        <a14:shadowObscured xmlns:a14="http://schemas.microsoft.com/office/drawing/2010/main"/>
                      </a:ext>
                    </a:extLst>
                  </pic:spPr>
                </pic:pic>
              </a:graphicData>
            </a:graphic>
          </wp:inline>
        </w:drawing>
      </w:r>
    </w:p>
    <w:p w:rsidRPr="00726782" w:rsidR="00FE20E8" w:rsidP="00B034A6" w:rsidRDefault="00FE20E8" w14:paraId="0E8ECD03" w14:textId="77777777">
      <w:pPr>
        <w:spacing w:after="0" w:line="360" w:lineRule="auto"/>
        <w:jc w:val="center"/>
        <w:rPr>
          <w:rFonts w:cs="Tahoma"/>
        </w:rPr>
      </w:pPr>
    </w:p>
    <w:p w:rsidR="00643079" w:rsidP="00B034A6" w:rsidRDefault="00066B31" w14:paraId="7EE6B236" w14:textId="31B666CE">
      <w:pPr>
        <w:spacing w:after="0" w:line="360" w:lineRule="auto"/>
        <w:rPr>
          <w:rFonts w:eastAsia="Times New Roman" w:cs="Tahoma"/>
          <w:bCs/>
          <w:color w:val="auto"/>
          <w:lang w:val="es-ES" w:eastAsia="es-ES"/>
        </w:rPr>
      </w:pPr>
      <w:r w:rsidRPr="00446963">
        <w:rPr>
          <w:rFonts w:cs="Tahoma"/>
          <w:b/>
          <w:bCs/>
        </w:rPr>
        <w:t>d)</w:t>
      </w:r>
      <w:r w:rsidR="00643079">
        <w:rPr>
          <w:rFonts w:cs="Tahoma"/>
          <w:b/>
          <w:bCs/>
        </w:rPr>
        <w:t xml:space="preserve"> </w:t>
      </w:r>
      <w:r w:rsidRPr="00643079" w:rsidR="00643079">
        <w:rPr>
          <w:rFonts w:eastAsia="Times New Roman" w:cs="Tahoma"/>
          <w:b/>
          <w:bCs/>
          <w:color w:val="auto"/>
          <w:lang w:val="es-ES" w:eastAsia="es-ES"/>
        </w:rPr>
        <w:t xml:space="preserve">Ampliación de plazo para resolver. </w:t>
      </w:r>
      <w:r w:rsidRPr="00643079" w:rsidR="00643079">
        <w:rPr>
          <w:rFonts w:eastAsia="Times New Roman" w:cs="Tahoma"/>
          <w:bCs/>
          <w:color w:val="auto"/>
          <w:lang w:val="es-ES" w:eastAsia="es-ES"/>
        </w:rPr>
        <w:t xml:space="preserve">El </w:t>
      </w:r>
      <w:r w:rsidR="00F07160">
        <w:rPr>
          <w:rFonts w:eastAsia="Times New Roman" w:cs="Tahoma"/>
          <w:bCs/>
          <w:color w:val="auto"/>
          <w:lang w:val="es-ES" w:eastAsia="es-ES"/>
        </w:rPr>
        <w:t>doce</w:t>
      </w:r>
      <w:r w:rsidRPr="009E5BCE" w:rsidR="006B6642">
        <w:rPr>
          <w:rFonts w:eastAsia="Times New Roman" w:cs="Tahoma"/>
          <w:bCs/>
          <w:color w:val="auto"/>
          <w:lang w:val="es-ES" w:eastAsia="es-ES"/>
        </w:rPr>
        <w:t xml:space="preserve"> </w:t>
      </w:r>
      <w:r w:rsidRPr="009E5BCE" w:rsidR="00643079">
        <w:rPr>
          <w:rFonts w:eastAsia="Times New Roman" w:cs="Tahoma"/>
          <w:bCs/>
          <w:color w:val="auto"/>
          <w:lang w:val="es-ES" w:eastAsia="es-ES"/>
        </w:rPr>
        <w:t xml:space="preserve">de </w:t>
      </w:r>
      <w:r w:rsidR="002E221F">
        <w:rPr>
          <w:rFonts w:eastAsia="Times New Roman" w:cs="Tahoma"/>
          <w:bCs/>
          <w:color w:val="auto"/>
          <w:lang w:val="es-ES" w:eastAsia="es-ES"/>
        </w:rPr>
        <w:t>agosto</w:t>
      </w:r>
      <w:r w:rsidRPr="00643079" w:rsidR="00643079">
        <w:rPr>
          <w:rFonts w:eastAsia="Times New Roman" w:cs="Tahoma"/>
          <w:bCs/>
          <w:color w:val="auto"/>
          <w:lang w:val="es-ES" w:eastAsia="es-ES"/>
        </w:rPr>
        <w:t xml:space="preserve"> de dos mil veintidós, el Comisionado Ponente, con fundamento en lo dispuesto por el artículo 181, párrafo tercero, de la Ley de Transparencia y Acceso a la Información Pública del Estado de México y Municipios, acordó ampliar por un periodo de quince días hábiles, el plazo para resolver el Recurso de Revisión que nos ocupa; acto que fue notificado a las partes, mediante el Sistema de Acceso a la Información Mexiquense (SAIMEX).</w:t>
      </w:r>
    </w:p>
    <w:p w:rsidR="00643079" w:rsidP="00B034A6" w:rsidRDefault="00643079" w14:paraId="21F4CDF8" w14:textId="71F39C13">
      <w:pPr>
        <w:spacing w:after="0" w:line="360" w:lineRule="auto"/>
        <w:rPr>
          <w:rFonts w:cs="Tahoma"/>
          <w:b/>
          <w:bCs/>
        </w:rPr>
      </w:pPr>
    </w:p>
    <w:p w:rsidR="00B5335F" w:rsidP="00B034A6" w:rsidRDefault="00B5335F" w14:paraId="515F8B31" w14:textId="77777777">
      <w:pPr>
        <w:spacing w:after="0" w:line="360" w:lineRule="auto"/>
        <w:rPr>
          <w:rFonts w:cs="Tahoma"/>
        </w:rPr>
      </w:pPr>
      <w:r>
        <w:rPr>
          <w:rFonts w:cs="Tahoma"/>
        </w:rPr>
        <w:t>Este organismo garante no pasa por alto justificar, que el plazo para emitir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rsidR="00B5335F" w:rsidP="00B034A6" w:rsidRDefault="00B5335F" w14:paraId="596BCA57" w14:textId="77777777">
      <w:pPr>
        <w:spacing w:after="0" w:line="360" w:lineRule="auto"/>
        <w:rPr>
          <w:rFonts w:cs="Tahoma"/>
        </w:rPr>
      </w:pPr>
    </w:p>
    <w:p w:rsidR="00B5335F" w:rsidP="00B034A6" w:rsidRDefault="00B5335F" w14:paraId="173E48E5" w14:textId="77777777">
      <w:pPr>
        <w:spacing w:after="0" w:line="360" w:lineRule="auto"/>
        <w:rPr>
          <w:rFonts w:cs="Tahoma"/>
        </w:rPr>
      </w:pPr>
      <w:r>
        <w:rPr>
          <w:rFonts w:cs="Tahoma"/>
        </w:rPr>
        <w:t xml:space="preserve"> 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rsidR="00B5335F" w:rsidP="00B034A6" w:rsidRDefault="00B5335F" w14:paraId="4B7F3223" w14:textId="77777777">
      <w:pPr>
        <w:spacing w:after="0" w:line="360" w:lineRule="auto"/>
        <w:rPr>
          <w:rFonts w:cs="Tahoma"/>
        </w:rPr>
      </w:pPr>
    </w:p>
    <w:p w:rsidR="00B5335F" w:rsidP="00B034A6" w:rsidRDefault="00B5335F" w14:paraId="69B3445A" w14:textId="77777777">
      <w:pPr>
        <w:spacing w:after="0" w:line="360" w:lineRule="auto"/>
        <w:rPr>
          <w:rFonts w:cs="Tahoma"/>
        </w:rPr>
      </w:pPr>
      <w:r>
        <w:rPr>
          <w:rFonts w:cs="Tahoma"/>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 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rsidR="00B5335F" w:rsidP="00B034A6" w:rsidRDefault="00B5335F" w14:paraId="1D521028" w14:textId="77777777">
      <w:pPr>
        <w:spacing w:after="0" w:line="360" w:lineRule="auto"/>
        <w:rPr>
          <w:rFonts w:cs="Tahoma"/>
        </w:rPr>
      </w:pPr>
      <w:r>
        <w:rPr>
          <w:rFonts w:cs="Tahoma"/>
        </w:rPr>
        <w:t xml:space="preserve"> </w:t>
      </w:r>
    </w:p>
    <w:p w:rsidRPr="003D6261" w:rsidR="00B5335F" w:rsidP="00B034A6" w:rsidRDefault="00B5335F" w14:paraId="704291BD" w14:textId="77777777">
      <w:pPr>
        <w:spacing w:after="0" w:line="360" w:lineRule="auto"/>
        <w:rPr>
          <w:rFonts w:eastAsia="Calibri" w:cs="Tahoma"/>
          <w:bCs/>
        </w:rPr>
      </w:pPr>
      <w:r w:rsidRPr="003D6261">
        <w:rPr>
          <w:rFonts w:eastAsia="Calibri" w:cs="Tahoma"/>
          <w:bCs/>
        </w:rPr>
        <w:t xml:space="preserve">Por ello, excepcionalmente, si un asunto es resuelto con posterioridad a los plazos señalados por la norma debe analizarse la razonabilidad del tiempo necesario para su resolución, atentos a los siguientes criterios:  </w:t>
      </w:r>
    </w:p>
    <w:p w:rsidRPr="003D6261" w:rsidR="00B5335F" w:rsidP="00B034A6" w:rsidRDefault="00B5335F" w14:paraId="44DDFD3D" w14:textId="77777777">
      <w:pPr>
        <w:spacing w:after="0" w:line="360" w:lineRule="auto"/>
        <w:rPr>
          <w:rFonts w:eastAsia="Calibri" w:cs="Tahoma"/>
          <w:bCs/>
        </w:rPr>
      </w:pPr>
      <w:r w:rsidRPr="003D6261">
        <w:rPr>
          <w:rFonts w:eastAsia="Calibri" w:cs="Tahoma"/>
          <w:bCs/>
        </w:rPr>
        <w:t xml:space="preserve"> </w:t>
      </w:r>
    </w:p>
    <w:p w:rsidRPr="003D6261" w:rsidR="00B5335F" w:rsidP="00B034A6" w:rsidRDefault="00B5335F" w14:paraId="1348F77D" w14:textId="77777777">
      <w:pPr>
        <w:numPr>
          <w:ilvl w:val="0"/>
          <w:numId w:val="14"/>
        </w:numPr>
        <w:spacing w:after="0" w:line="360" w:lineRule="auto"/>
        <w:contextualSpacing/>
        <w:jc w:val="left"/>
        <w:rPr>
          <w:rFonts w:eastAsia="Palatino Linotype" w:cs="Palatino Linotype"/>
          <w:szCs w:val="24"/>
          <w:lang w:eastAsia="es-ES"/>
        </w:rPr>
      </w:pPr>
      <w:r w:rsidRPr="003D6261">
        <w:rPr>
          <w:rFonts w:eastAsia="Palatino Linotype" w:cs="Palatino Linotype"/>
          <w:b/>
          <w:bCs/>
          <w:szCs w:val="24"/>
          <w:lang w:eastAsia="es-ES"/>
        </w:rPr>
        <w:t>Complejidad del asunto:</w:t>
      </w:r>
      <w:r w:rsidRPr="003D6261">
        <w:rPr>
          <w:rFonts w:eastAsia="Palatino Linotype" w:cs="Palatino Linotype"/>
          <w:szCs w:val="24"/>
          <w:lang w:eastAsia="es-ES"/>
        </w:rPr>
        <w:t xml:space="preserve"> La complejidad de la prueba, la pluralidad de sujetos procesales, el tiempo transcurrido, las características y contexto del recurso.</w:t>
      </w:r>
    </w:p>
    <w:p w:rsidRPr="003D6261" w:rsidR="00B5335F" w:rsidP="00B034A6" w:rsidRDefault="00B5335F" w14:paraId="714B2038" w14:textId="77777777">
      <w:pPr>
        <w:numPr>
          <w:ilvl w:val="0"/>
          <w:numId w:val="14"/>
        </w:numPr>
        <w:spacing w:after="0" w:line="360" w:lineRule="auto"/>
        <w:contextualSpacing/>
        <w:jc w:val="left"/>
        <w:rPr>
          <w:rFonts w:eastAsia="Palatino Linotype" w:cs="Palatino Linotype"/>
          <w:szCs w:val="24"/>
          <w:lang w:eastAsia="es-ES"/>
        </w:rPr>
      </w:pPr>
      <w:r w:rsidRPr="003D6261">
        <w:rPr>
          <w:rFonts w:eastAsia="Palatino Linotype" w:cs="Palatino Linotype"/>
          <w:b/>
          <w:bCs/>
          <w:szCs w:val="24"/>
          <w:lang w:eastAsia="es-ES"/>
        </w:rPr>
        <w:t>Actividad Procesal del interesado:</w:t>
      </w:r>
      <w:r w:rsidRPr="003D6261">
        <w:rPr>
          <w:rFonts w:eastAsia="Palatino Linotype" w:cs="Palatino Linotype"/>
          <w:szCs w:val="24"/>
          <w:lang w:eastAsia="es-ES"/>
        </w:rPr>
        <w:t xml:space="preserve"> Acciones u omisiones del interesado.</w:t>
      </w:r>
    </w:p>
    <w:p w:rsidRPr="003D6261" w:rsidR="00B5335F" w:rsidP="00B034A6" w:rsidRDefault="00B5335F" w14:paraId="6A1FEBD1" w14:textId="77777777">
      <w:pPr>
        <w:numPr>
          <w:ilvl w:val="0"/>
          <w:numId w:val="14"/>
        </w:numPr>
        <w:spacing w:after="0" w:line="360" w:lineRule="auto"/>
        <w:contextualSpacing/>
        <w:jc w:val="left"/>
        <w:rPr>
          <w:rFonts w:eastAsia="Palatino Linotype" w:cs="Palatino Linotype"/>
          <w:szCs w:val="24"/>
          <w:lang w:eastAsia="es-ES"/>
        </w:rPr>
      </w:pPr>
      <w:r w:rsidRPr="003D6261">
        <w:rPr>
          <w:rFonts w:eastAsia="Palatino Linotype" w:cs="Palatino Linotype"/>
          <w:b/>
          <w:bCs/>
          <w:szCs w:val="24"/>
          <w:lang w:eastAsia="es-ES"/>
        </w:rPr>
        <w:t>Conducta de la Autoridad:</w:t>
      </w:r>
      <w:r w:rsidRPr="003D6261">
        <w:rPr>
          <w:rFonts w:eastAsia="Palatino Linotype" w:cs="Palatino Linotype"/>
          <w:szCs w:val="24"/>
          <w:lang w:eastAsia="es-ES"/>
        </w:rPr>
        <w:t xml:space="preserve"> Las Acciones u omisiones realizadas en el procedimiento. Así como si la autoridad actuó con la debida diligencia.</w:t>
      </w:r>
    </w:p>
    <w:p w:rsidRPr="003D6261" w:rsidR="00B5335F" w:rsidP="00B034A6" w:rsidRDefault="00B5335F" w14:paraId="65A6AB48" w14:textId="77777777">
      <w:pPr>
        <w:numPr>
          <w:ilvl w:val="0"/>
          <w:numId w:val="14"/>
        </w:numPr>
        <w:spacing w:after="0" w:line="360" w:lineRule="auto"/>
        <w:contextualSpacing/>
        <w:jc w:val="left"/>
        <w:rPr>
          <w:rFonts w:eastAsia="Palatino Linotype" w:cs="Palatino Linotype"/>
          <w:szCs w:val="24"/>
          <w:lang w:eastAsia="es-ES"/>
        </w:rPr>
      </w:pPr>
      <w:r w:rsidRPr="003D6261">
        <w:rPr>
          <w:rFonts w:eastAsia="Palatino Linotype" w:cs="Palatino Linotype"/>
          <w:b/>
          <w:bCs/>
          <w:szCs w:val="24"/>
          <w:lang w:eastAsia="es-ES"/>
        </w:rPr>
        <w:t xml:space="preserve">La afectación generada en la situación jurídica de la persona involucrada en el proceso: </w:t>
      </w:r>
      <w:r w:rsidRPr="003D6261">
        <w:rPr>
          <w:rFonts w:eastAsia="Palatino Linotype" w:cs="Palatino Linotype"/>
          <w:szCs w:val="24"/>
          <w:lang w:eastAsia="es-ES"/>
        </w:rPr>
        <w:t>Violación a sus derechos humanos.</w:t>
      </w:r>
    </w:p>
    <w:p w:rsidRPr="003D6261" w:rsidR="00B5335F" w:rsidP="00B034A6" w:rsidRDefault="00B5335F" w14:paraId="4605DABF" w14:textId="77777777">
      <w:pPr>
        <w:spacing w:after="0" w:line="360" w:lineRule="auto"/>
        <w:rPr>
          <w:rFonts w:eastAsia="Calibri" w:cs="Tahoma"/>
          <w:bCs/>
        </w:rPr>
      </w:pPr>
    </w:p>
    <w:p w:rsidRPr="003D6261" w:rsidR="00B5335F" w:rsidP="00B034A6" w:rsidRDefault="00B5335F" w14:paraId="69A5B94F" w14:textId="77777777">
      <w:pPr>
        <w:spacing w:after="0" w:line="360" w:lineRule="auto"/>
        <w:rPr>
          <w:rFonts w:eastAsia="Calibri" w:cs="Tahoma"/>
          <w:bCs/>
        </w:rPr>
      </w:pPr>
      <w:r w:rsidRPr="003D6261">
        <w:rPr>
          <w:rFonts w:eastAsia="Calibri" w:cs="Tahoma"/>
          <w:bCs/>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rsidRPr="003D6261" w:rsidR="00B5335F" w:rsidP="00B034A6" w:rsidRDefault="00B5335F" w14:paraId="15C3096F" w14:textId="77777777">
      <w:pPr>
        <w:spacing w:after="0" w:line="360" w:lineRule="auto"/>
        <w:rPr>
          <w:rFonts w:eastAsia="Calibri" w:cs="Tahoma"/>
          <w:bCs/>
        </w:rPr>
      </w:pPr>
      <w:r w:rsidRPr="003D6261">
        <w:rPr>
          <w:rFonts w:eastAsia="Calibri" w:cs="Tahoma"/>
          <w:bCs/>
        </w:rPr>
        <w:t xml:space="preserve"> </w:t>
      </w:r>
    </w:p>
    <w:p w:rsidRPr="003D6261" w:rsidR="00B5335F" w:rsidP="00B034A6" w:rsidRDefault="00B5335F" w14:paraId="764D92DB" w14:textId="77777777">
      <w:pPr>
        <w:spacing w:after="0" w:line="360" w:lineRule="auto"/>
        <w:rPr>
          <w:rFonts w:eastAsia="Calibri" w:cs="Tahoma"/>
          <w:bCs/>
        </w:rPr>
      </w:pPr>
      <w:r w:rsidRPr="003D6261">
        <w:rPr>
          <w:rFonts w:eastAsia="Calibri" w:cs="Tahoma"/>
          <w:bCs/>
        </w:rPr>
        <w:lastRenderedPageBreak/>
        <w:t xml:space="preserve">Argumento que encuentra sustento en la jurisprudencia P./J. 32/92 emitida por el Pleno de la Suprema Corte de Justicia de la Nación de rubro </w:t>
      </w:r>
      <w:r w:rsidRPr="003D6261">
        <w:rPr>
          <w:rFonts w:eastAsia="Calibri" w:cs="Tahoma"/>
          <w:b/>
        </w:rPr>
        <w:t>“TÉRMINOS PROCESALES. PARA DETERMINAR SI UN FUNCIONARIO JUDICIAL ACTUÓ INDEBIDAMENTE POR NO RESPETARLOS SE DEBE ATENDER AL PRESUPUESTO QUE CONSIDERÓ EL LEGISLADOR AL FIJARLOS Y LAS CARACTERÍSTICAS DEL CASO.”</w:t>
      </w:r>
      <w:r w:rsidRPr="003D6261">
        <w:rPr>
          <w:rFonts w:eastAsia="Calibri" w:cs="Tahoma"/>
          <w:bCs/>
        </w:rPr>
        <w:t>, visible en la Gaceta del Seminario Judicial de la Federación con el registro digital 205635.</w:t>
      </w:r>
    </w:p>
    <w:p w:rsidRPr="003D6261" w:rsidR="00B5335F" w:rsidP="00B034A6" w:rsidRDefault="00B5335F" w14:paraId="1907C9DB" w14:textId="77777777">
      <w:pPr>
        <w:spacing w:after="0" w:line="360" w:lineRule="auto"/>
        <w:rPr>
          <w:rFonts w:eastAsia="Calibri" w:cs="Tahoma"/>
          <w:bCs/>
        </w:rPr>
      </w:pPr>
      <w:r w:rsidRPr="003D6261">
        <w:rPr>
          <w:rFonts w:eastAsia="Calibri" w:cs="Tahoma"/>
          <w:bCs/>
        </w:rPr>
        <w:t xml:space="preserve"> </w:t>
      </w:r>
    </w:p>
    <w:p w:rsidRPr="003D6261" w:rsidR="00B5335F" w:rsidP="00B034A6" w:rsidRDefault="00B5335F" w14:paraId="5AD7986B" w14:textId="77777777">
      <w:pPr>
        <w:spacing w:after="0" w:line="360" w:lineRule="auto"/>
        <w:rPr>
          <w:rFonts w:eastAsia="Calibri" w:cs="Tahoma"/>
          <w:bCs/>
        </w:rPr>
      </w:pPr>
      <w:r w:rsidRPr="003D6261">
        <w:rPr>
          <w:rFonts w:eastAsia="Calibri" w:cs="Tahoma"/>
          <w:bCs/>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rsidRPr="003D6261" w:rsidR="00B5335F" w:rsidP="00B034A6" w:rsidRDefault="00B5335F" w14:paraId="1BFF341D" w14:textId="77777777">
      <w:pPr>
        <w:spacing w:after="0" w:line="360" w:lineRule="auto"/>
        <w:rPr>
          <w:rFonts w:eastAsia="Calibri" w:cs="Tahoma"/>
          <w:bCs/>
        </w:rPr>
      </w:pPr>
    </w:p>
    <w:p w:rsidRPr="003D6261" w:rsidR="00B5335F" w:rsidP="00B034A6" w:rsidRDefault="00B5335F" w14:paraId="287EFDF3" w14:textId="77777777">
      <w:pPr>
        <w:spacing w:after="0" w:line="360" w:lineRule="auto"/>
        <w:rPr>
          <w:rFonts w:eastAsia="Calibri" w:cs="Tahoma"/>
          <w:bCs/>
        </w:rPr>
      </w:pPr>
      <w:r w:rsidRPr="003D6261">
        <w:rPr>
          <w:rFonts w:eastAsia="Calibri" w:cs="Tahoma"/>
          <w:bCs/>
        </w:rPr>
        <w:t>Al respecto, también son de considerar los criterios sostenidos por el Cuarto Tribunal Colegiado en Materia Administrativa del Primer Circuito, cuyos rubros y datos de identificación son los siguientes:</w:t>
      </w:r>
    </w:p>
    <w:p w:rsidRPr="003D6261" w:rsidR="00B5335F" w:rsidP="00B034A6" w:rsidRDefault="00B5335F" w14:paraId="2AE11CB5" w14:textId="77777777">
      <w:pPr>
        <w:spacing w:after="0" w:line="360" w:lineRule="auto"/>
        <w:rPr>
          <w:rFonts w:eastAsia="Calibri" w:cs="Tahoma"/>
          <w:bCs/>
        </w:rPr>
      </w:pPr>
      <w:r w:rsidRPr="003D6261">
        <w:rPr>
          <w:rFonts w:eastAsia="Calibri" w:cs="Tahoma"/>
          <w:bCs/>
        </w:rPr>
        <w:t xml:space="preserve"> </w:t>
      </w:r>
    </w:p>
    <w:p w:rsidRPr="003D6261" w:rsidR="00B5335F" w:rsidP="00B034A6" w:rsidRDefault="00B5335F" w14:paraId="191725E5" w14:textId="77777777">
      <w:pPr>
        <w:spacing w:after="0" w:line="360" w:lineRule="auto"/>
        <w:rPr>
          <w:rFonts w:eastAsia="Calibri" w:cs="Tahoma"/>
          <w:bCs/>
        </w:rPr>
      </w:pPr>
      <w:r w:rsidRPr="003D6261">
        <w:rPr>
          <w:rFonts w:eastAsia="Calibri" w:cs="Tahoma"/>
          <w:b/>
        </w:rPr>
        <w:t>“PLAZO RAZONABLE PARA RESOLVER. DIMENSIÓN Y EFECTOS DE ESTE CONCEPTO CUANDO SE ADUCE EXCESIVA CARGA DE TRABAJO.”</w:t>
      </w:r>
      <w:r w:rsidRPr="003D6261">
        <w:rPr>
          <w:rFonts w:eastAsia="Calibri" w:cs="Tahoma"/>
          <w:bCs/>
        </w:rPr>
        <w:t xml:space="preserve"> consultable en el Seminario Judicial de la Federación y su gaceta, con el registro digital 2002351.</w:t>
      </w:r>
    </w:p>
    <w:p w:rsidRPr="003D6261" w:rsidR="00B5335F" w:rsidP="00B034A6" w:rsidRDefault="00B5335F" w14:paraId="28158960" w14:textId="77777777">
      <w:pPr>
        <w:spacing w:after="0" w:line="360" w:lineRule="auto"/>
        <w:rPr>
          <w:rFonts w:eastAsia="Calibri" w:cs="Tahoma"/>
          <w:bCs/>
        </w:rPr>
      </w:pPr>
      <w:r w:rsidRPr="003D6261">
        <w:rPr>
          <w:rFonts w:eastAsia="Calibri" w:cs="Tahoma"/>
          <w:bCs/>
        </w:rPr>
        <w:t xml:space="preserve"> </w:t>
      </w:r>
    </w:p>
    <w:p w:rsidRPr="003D6261" w:rsidR="00B5335F" w:rsidP="00B034A6" w:rsidRDefault="00B5335F" w14:paraId="5D43F0C7" w14:textId="77777777">
      <w:pPr>
        <w:spacing w:after="0" w:line="360" w:lineRule="auto"/>
        <w:rPr>
          <w:rFonts w:eastAsia="Calibri" w:cs="Tahoma"/>
          <w:bCs/>
        </w:rPr>
      </w:pPr>
      <w:r w:rsidRPr="003D6261">
        <w:rPr>
          <w:rFonts w:eastAsia="Calibri" w:cs="Tahoma"/>
          <w:b/>
        </w:rPr>
        <w:t xml:space="preserve">“PLAZO RAZONABLE PARA RESOLVER. CONCEPTO Y ELEMENTOS QUE LO INTEGRAN A LA LUZ DEL DERECHO INTERNACIONAL DE LOS DERECHOS </w:t>
      </w:r>
      <w:r w:rsidRPr="003D6261">
        <w:rPr>
          <w:rFonts w:eastAsia="Calibri" w:cs="Tahoma"/>
          <w:b/>
        </w:rPr>
        <w:lastRenderedPageBreak/>
        <w:t>HUMANOS.”</w:t>
      </w:r>
      <w:r w:rsidRPr="003D6261">
        <w:rPr>
          <w:rFonts w:eastAsia="Calibri" w:cs="Tahoma"/>
          <w:bCs/>
        </w:rPr>
        <w:t>, visible en el Seminario Judicial de la Federación y su gaceta, con el registro digital 2002350.</w:t>
      </w:r>
    </w:p>
    <w:p w:rsidRPr="003D6261" w:rsidR="00B5335F" w:rsidP="00B034A6" w:rsidRDefault="00B5335F" w14:paraId="1278F862" w14:textId="77777777">
      <w:pPr>
        <w:spacing w:after="0" w:line="360" w:lineRule="auto"/>
        <w:rPr>
          <w:rFonts w:eastAsia="Calibri" w:cs="Tahoma"/>
          <w:bCs/>
        </w:rPr>
      </w:pPr>
    </w:p>
    <w:p w:rsidR="00B5335F" w:rsidP="00B034A6" w:rsidRDefault="00B5335F" w14:paraId="45DD8544" w14:textId="1BF5498B">
      <w:pPr>
        <w:spacing w:after="0" w:line="360" w:lineRule="auto"/>
        <w:rPr>
          <w:rFonts w:eastAsia="Calibri" w:cs="Tahoma"/>
          <w:bCs/>
        </w:rPr>
      </w:pPr>
      <w:r w:rsidRPr="003D6261">
        <w:rPr>
          <w:rFonts w:eastAsia="Calibri" w:cs="Tahoma"/>
          <w:bCs/>
        </w:rPr>
        <w:t>Por ello, este organismo garante comprometido con la tutela de los derechos humanos confiados, señala que este exceso del plazo legal para resolver el presente asunto, resulta de carácter excepcional.</w:t>
      </w:r>
    </w:p>
    <w:p w:rsidRPr="00F07160" w:rsidR="00F07160" w:rsidP="00B034A6" w:rsidRDefault="00F07160" w14:paraId="30284EB7" w14:textId="77777777">
      <w:pPr>
        <w:widowControl w:val="0"/>
        <w:spacing w:after="0" w:line="360" w:lineRule="auto"/>
        <w:ind w:right="567"/>
        <w:contextualSpacing/>
        <w:rPr>
          <w:rFonts w:eastAsia="Times New Roman" w:cs="Times New Roman"/>
          <w:i/>
          <w:iCs/>
          <w:color w:val="auto"/>
          <w:szCs w:val="24"/>
          <w:lang w:eastAsia="es-ES"/>
        </w:rPr>
      </w:pPr>
    </w:p>
    <w:p w:rsidRPr="00F07160" w:rsidR="00F07160" w:rsidP="00B034A6" w:rsidRDefault="00F07160" w14:paraId="54071E75" w14:textId="7B570BF3">
      <w:pPr>
        <w:widowControl w:val="0"/>
        <w:spacing w:after="0" w:line="360" w:lineRule="auto"/>
        <w:rPr>
          <w:rFonts w:eastAsia="Times New Roman" w:cs="Times New Roman"/>
          <w:bCs/>
          <w:color w:val="auto"/>
          <w:lang w:val="es-ES_tradnl" w:eastAsia="es-ES"/>
        </w:rPr>
      </w:pPr>
      <w:r w:rsidRPr="00F07160">
        <w:rPr>
          <w:rFonts w:eastAsia="Times New Roman" w:cs="Times New Roman"/>
          <w:b/>
          <w:color w:val="auto"/>
          <w:lang w:val="es-ES_tradnl" w:eastAsia="es-ES"/>
        </w:rPr>
        <w:t>e) Vista del Informe Justificado.</w:t>
      </w:r>
      <w:r w:rsidRPr="00F07160">
        <w:rPr>
          <w:rFonts w:eastAsia="Times New Roman" w:cs="Times New Roman"/>
          <w:bCs/>
          <w:color w:val="auto"/>
          <w:lang w:val="es-ES_tradnl" w:eastAsia="es-ES"/>
        </w:rPr>
        <w:t xml:space="preserve"> El </w:t>
      </w:r>
      <w:r>
        <w:rPr>
          <w:rFonts w:eastAsia="Times New Roman" w:cs="Times New Roman"/>
          <w:bCs/>
          <w:color w:val="auto"/>
          <w:lang w:val="es-ES_tradnl" w:eastAsia="es-ES"/>
        </w:rPr>
        <w:t>diez</w:t>
      </w:r>
      <w:r w:rsidRPr="00F07160">
        <w:rPr>
          <w:rFonts w:eastAsia="Times New Roman" w:cs="Times New Roman"/>
          <w:bCs/>
          <w:color w:val="auto"/>
          <w:lang w:val="es-ES_tradnl" w:eastAsia="es-ES"/>
        </w:rPr>
        <w:t xml:space="preserve"> de </w:t>
      </w:r>
      <w:r>
        <w:rPr>
          <w:rFonts w:eastAsia="Times New Roman" w:cs="Times New Roman"/>
          <w:bCs/>
          <w:color w:val="auto"/>
          <w:lang w:val="es-ES_tradnl" w:eastAsia="es-ES"/>
        </w:rPr>
        <w:t>enero</w:t>
      </w:r>
      <w:r w:rsidRPr="00F07160">
        <w:rPr>
          <w:rFonts w:eastAsia="Times New Roman" w:cs="Times New Roman"/>
          <w:bCs/>
          <w:color w:val="auto"/>
          <w:lang w:val="es-ES_tradnl" w:eastAsia="es-ES"/>
        </w:rPr>
        <w:t xml:space="preserve"> </w:t>
      </w:r>
      <w:r>
        <w:rPr>
          <w:rFonts w:eastAsia="Times New Roman" w:cs="Times New Roman"/>
          <w:bCs/>
          <w:color w:val="auto"/>
          <w:lang w:val="es-ES_tradnl" w:eastAsia="es-ES"/>
        </w:rPr>
        <w:t>de dos mil veintitrés</w:t>
      </w:r>
      <w:r w:rsidRPr="00F07160">
        <w:rPr>
          <w:rFonts w:eastAsia="Times New Roman" w:cs="Times New Roman"/>
          <w:bCs/>
          <w:color w:val="auto"/>
          <w:lang w:val="es-ES_tradnl" w:eastAsia="es-ES"/>
        </w:rPr>
        <w:t xml:space="preserve">, se dictó acuerdo mediante el cual se puso a la vista del Particular el Informe Justificado, entregado por el Sujeto Obligado, para robustecer su respuesta inicial, el cual fue notificado a las partes el mismo día, mes y año, a través del Sistema de Acceso a la Información Mexiquense (SAIMEX). </w:t>
      </w:r>
      <w:r w:rsidRPr="00F07160">
        <w:rPr>
          <w:rFonts w:eastAsia="Times New Roman" w:cs="Times New Roman"/>
          <w:b/>
          <w:color w:val="auto"/>
          <w:lang w:val="es-ES_tradnl" w:eastAsia="es-ES"/>
        </w:rPr>
        <w:t>Cabe señalar que el Recurrente fue omiso en realizar alguna manifestación que a su derecho conviniera y asistiera.</w:t>
      </w:r>
      <w:r w:rsidRPr="00F07160">
        <w:rPr>
          <w:rFonts w:eastAsia="Times New Roman" w:cs="Times New Roman"/>
          <w:bCs/>
          <w:color w:val="auto"/>
          <w:lang w:val="es-ES_tradnl" w:eastAsia="es-ES"/>
        </w:rPr>
        <w:t xml:space="preserve"> </w:t>
      </w:r>
    </w:p>
    <w:p w:rsidR="00B5335F" w:rsidP="00B034A6" w:rsidRDefault="00B5335F" w14:paraId="2C132AB8" w14:textId="77777777">
      <w:pPr>
        <w:spacing w:after="0" w:line="360" w:lineRule="auto"/>
        <w:rPr>
          <w:rFonts w:eastAsia="Calibri" w:cs="Tahoma"/>
          <w:bCs/>
        </w:rPr>
      </w:pPr>
    </w:p>
    <w:p w:rsidRPr="00446963" w:rsidR="00066B31" w:rsidP="00B034A6" w:rsidRDefault="00456635" w14:paraId="6EA06E35" w14:textId="77BE22BA">
      <w:pPr>
        <w:spacing w:after="0" w:line="360" w:lineRule="auto"/>
        <w:rPr>
          <w:rFonts w:cs="Tahoma"/>
        </w:rPr>
      </w:pPr>
      <w:r>
        <w:rPr>
          <w:rFonts w:cs="Tahoma"/>
          <w:b/>
          <w:bCs/>
        </w:rPr>
        <w:t>f</w:t>
      </w:r>
      <w:r w:rsidR="00643079">
        <w:rPr>
          <w:rFonts w:cs="Tahoma"/>
          <w:b/>
          <w:bCs/>
        </w:rPr>
        <w:t xml:space="preserve">) </w:t>
      </w:r>
      <w:r w:rsidRPr="00446963" w:rsidR="00066B31">
        <w:rPr>
          <w:rFonts w:cs="Tahoma"/>
          <w:b/>
          <w:bCs/>
        </w:rPr>
        <w:t>Cierre de instrucción.</w:t>
      </w:r>
      <w:r w:rsidRPr="00446963" w:rsidR="00066B31">
        <w:rPr>
          <w:rFonts w:cs="Tahoma"/>
        </w:rPr>
        <w:t xml:space="preserve">  El </w:t>
      </w:r>
      <w:r w:rsidR="00F07160">
        <w:rPr>
          <w:rFonts w:cs="Tahoma"/>
        </w:rPr>
        <w:t>dieciséis</w:t>
      </w:r>
      <w:r w:rsidRPr="00B5335F" w:rsidR="004E2C2D">
        <w:rPr>
          <w:rFonts w:cs="Tahoma"/>
        </w:rPr>
        <w:t xml:space="preserve"> de </w:t>
      </w:r>
      <w:r w:rsidR="00F07160">
        <w:rPr>
          <w:rFonts w:cs="Tahoma"/>
        </w:rPr>
        <w:t>enero de dos mil veintitrés</w:t>
      </w:r>
      <w:r w:rsidRPr="00446963" w:rsidR="00066B31">
        <w:rPr>
          <w:rFonts w:cs="Tahoma"/>
        </w:rPr>
        <w:t>, al no existir diligencias pendientes por desahogar, se emitió el acuerdo por medio del cual se declaró cerrada la instrucción y se determinó pasar el expediente a resolución, en términos de lo dispuesto en los artículos 185, fracciones VI y VIII de la Ley de Transparencia y Acceso a la Información Pública del Estado de México y Municipios, mismo que fue notificado a las partes</w:t>
      </w:r>
      <w:r w:rsidR="008B1873">
        <w:rPr>
          <w:rFonts w:cs="Tahoma"/>
        </w:rPr>
        <w:t xml:space="preserve"> el </w:t>
      </w:r>
      <w:r w:rsidR="009D0DF5">
        <w:rPr>
          <w:rFonts w:cs="Tahoma"/>
        </w:rPr>
        <w:t>mismo día</w:t>
      </w:r>
      <w:r w:rsidRPr="00446963" w:rsidR="00066B31">
        <w:rPr>
          <w:rFonts w:cs="Tahoma"/>
        </w:rPr>
        <w:t xml:space="preserve">, a través del </w:t>
      </w:r>
      <w:r w:rsidRPr="00446963" w:rsidR="00066B31">
        <w:rPr>
          <w:rFonts w:cs="Tahoma"/>
          <w:lang w:val="es-ES"/>
        </w:rPr>
        <w:t>Sistema de Acceso a la Información Mexiquense (SAIMEX)</w:t>
      </w:r>
      <w:r w:rsidR="008B1873">
        <w:rPr>
          <w:rFonts w:cs="Tahoma"/>
          <w:lang w:val="es-ES"/>
        </w:rPr>
        <w:t>.</w:t>
      </w:r>
    </w:p>
    <w:p w:rsidRPr="00446963" w:rsidR="00066B31" w:rsidP="00B034A6" w:rsidRDefault="00066B31" w14:paraId="1BB0C7FD" w14:textId="77777777">
      <w:pPr>
        <w:spacing w:after="0" w:line="360" w:lineRule="auto"/>
        <w:rPr>
          <w:rFonts w:cs="Tahoma"/>
          <w:b/>
          <w:bCs/>
          <w:lang w:val="es-ES"/>
        </w:rPr>
      </w:pPr>
    </w:p>
    <w:p w:rsidR="00066B31" w:rsidP="00B034A6" w:rsidRDefault="00066B31" w14:paraId="3C63CE88" w14:textId="765AAAC9">
      <w:pPr>
        <w:spacing w:after="0" w:line="360" w:lineRule="auto"/>
        <w:rPr>
          <w:rFonts w:cs="Tahoma"/>
        </w:rPr>
      </w:pPr>
      <w:r w:rsidRPr="00446963">
        <w:rPr>
          <w:rFonts w:cs="Tahoma"/>
        </w:rPr>
        <w:t xml:space="preserve">En razón de que fue debidamente sustanciado el expediente electrónico y no existe diligencia pendiente de desahogo, se emite la resolución que conforme a Derecho proceda, de acuerdo a los siguientes: </w:t>
      </w:r>
    </w:p>
    <w:p w:rsidR="00B5335F" w:rsidP="00B034A6" w:rsidRDefault="00B5335F" w14:paraId="0F56C7F9" w14:textId="77777777">
      <w:pPr>
        <w:spacing w:after="0" w:line="360" w:lineRule="auto"/>
        <w:rPr>
          <w:rFonts w:cs="Tahoma"/>
          <w:b/>
          <w:bCs/>
        </w:rPr>
      </w:pPr>
    </w:p>
    <w:p w:rsidR="00066B31" w:rsidP="00B034A6" w:rsidRDefault="00066B31" w14:paraId="2D6C5172" w14:textId="3569EDDE">
      <w:pPr>
        <w:spacing w:after="0" w:line="360" w:lineRule="auto"/>
        <w:jc w:val="center"/>
        <w:rPr>
          <w:rFonts w:cs="Tahoma"/>
          <w:b/>
          <w:lang w:val="es-ES"/>
        </w:rPr>
      </w:pPr>
      <w:r w:rsidRPr="00446963">
        <w:rPr>
          <w:rFonts w:cs="Tahoma"/>
          <w:b/>
          <w:lang w:val="es-ES"/>
        </w:rPr>
        <w:t>CONSIDERANDOS:</w:t>
      </w:r>
    </w:p>
    <w:p w:rsidRPr="00446963" w:rsidR="005D6213" w:rsidP="00B034A6" w:rsidRDefault="005D6213" w14:paraId="3BD73B02" w14:textId="77777777">
      <w:pPr>
        <w:spacing w:after="0" w:line="360" w:lineRule="auto"/>
        <w:jc w:val="center"/>
        <w:rPr>
          <w:rFonts w:cs="Tahoma"/>
          <w:b/>
          <w:lang w:val="es-ES"/>
        </w:rPr>
      </w:pPr>
    </w:p>
    <w:p w:rsidRPr="009A2169" w:rsidR="009A2169" w:rsidP="00B034A6" w:rsidRDefault="009A2169" w14:paraId="3BEB7B58" w14:textId="77777777">
      <w:pPr>
        <w:spacing w:after="0" w:line="360" w:lineRule="auto"/>
        <w:rPr>
          <w:rFonts w:eastAsia="Batang" w:cs="Tahoma"/>
          <w:b/>
          <w:bCs/>
          <w:color w:val="auto"/>
          <w:lang w:eastAsia="es-ES"/>
        </w:rPr>
      </w:pPr>
      <w:r w:rsidRPr="009A2169">
        <w:rPr>
          <w:rFonts w:eastAsia="Batang" w:cs="Tahoma"/>
          <w:b/>
          <w:bCs/>
          <w:color w:val="auto"/>
          <w:lang w:eastAsia="es-ES"/>
        </w:rPr>
        <w:lastRenderedPageBreak/>
        <w:t xml:space="preserve">PRIMERO. Competencia. </w:t>
      </w:r>
    </w:p>
    <w:p w:rsidRPr="009A2169" w:rsidR="009A2169" w:rsidP="00B034A6" w:rsidRDefault="009A2169" w14:paraId="53E7BC07" w14:textId="77777777">
      <w:pPr>
        <w:spacing w:after="0" w:line="360" w:lineRule="auto"/>
        <w:rPr>
          <w:rFonts w:eastAsia="Batang" w:cs="Tahoma"/>
          <w:b/>
          <w:bCs/>
          <w:color w:val="auto"/>
          <w:lang w:eastAsia="es-ES"/>
        </w:rPr>
      </w:pPr>
    </w:p>
    <w:p w:rsidRPr="009A2169" w:rsidR="009A2169" w:rsidP="00B034A6" w:rsidRDefault="009A2169" w14:paraId="7C25494F" w14:textId="77777777">
      <w:pPr>
        <w:spacing w:after="0" w:line="360" w:lineRule="auto"/>
        <w:rPr>
          <w:rFonts w:eastAsia="Times New Roman" w:cs="Tahoma"/>
          <w:bCs/>
          <w:color w:val="auto"/>
          <w:lang w:eastAsia="es-ES"/>
        </w:rPr>
      </w:pPr>
      <w:bookmarkStart w:name="_Hlk63334754" w:id="4"/>
      <w:r w:rsidRPr="009A2169">
        <w:rPr>
          <w:rFonts w:eastAsia="Times New Roman" w:cs="Tahoma"/>
          <w:bCs/>
          <w:color w:val="auto"/>
          <w:lang w:eastAsia="es-ES"/>
        </w:rPr>
        <w:t>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trigésimo primero y trigésimo segundo, fracciones I, II, III, IV y V de la Constitución Política del Estado Libre y Soberano de México; 1°, 8°, 9°, 10, 37 y 42, fracciones I, II y III, de la Ley General de Transparencia y Acceso a la Información Pública; 1°, 2°, fracciones II y IV; 13, 29, 36, fracciones I y II; 176, 178, 179, 181 párrafo tercero, 185, 188 y 189 de la Ley Transparencia y Acceso a la Información Pública del Estado de México y Municipios;</w:t>
      </w:r>
      <w:r w:rsidRPr="009A2169">
        <w:rPr>
          <w:rFonts w:eastAsia="Times New Roman" w:cs="Times New Roman"/>
          <w:bCs/>
          <w:color w:val="auto"/>
          <w:lang w:eastAsia="es-ES"/>
        </w:rPr>
        <w:t xml:space="preserve"> 7°, </w:t>
      </w:r>
      <w:r w:rsidRPr="009A2169">
        <w:rPr>
          <w:rFonts w:eastAsia="Times New Roman" w:cs="Tahoma"/>
          <w:bCs/>
          <w:color w:val="auto"/>
          <w:lang w:eastAsia="es-ES"/>
        </w:rPr>
        <w:t>9°, fracciones I y XXIV y 11 del Reglamento Interior del Instituto de Transparencia, Acceso a la Información Pública y Protección de Datos Personales del Estado de México y Municipios.</w:t>
      </w:r>
    </w:p>
    <w:bookmarkEnd w:id="4"/>
    <w:p w:rsidRPr="009A2169" w:rsidR="009A2169" w:rsidP="00B034A6" w:rsidRDefault="009A2169" w14:paraId="3D7A43B3" w14:textId="77777777">
      <w:pPr>
        <w:spacing w:after="0" w:line="360" w:lineRule="auto"/>
        <w:rPr>
          <w:rFonts w:eastAsia="Calibri" w:cs="Tahoma"/>
          <w:bCs/>
          <w:color w:val="000000"/>
          <w:lang w:eastAsia="es-ES_tradnl"/>
        </w:rPr>
      </w:pPr>
    </w:p>
    <w:p w:rsidRPr="009A2169" w:rsidR="009A2169" w:rsidP="00B034A6" w:rsidRDefault="009A2169" w14:paraId="1684085D" w14:textId="77777777">
      <w:pPr>
        <w:shd w:val="clear" w:color="auto" w:fill="FFFFFF"/>
        <w:spacing w:after="0" w:line="360" w:lineRule="auto"/>
        <w:rPr>
          <w:rFonts w:eastAsia="Times New Roman" w:cs="Times New Roman"/>
          <w:color w:val="222222"/>
          <w:sz w:val="20"/>
          <w:szCs w:val="20"/>
          <w:lang w:val="es-ES" w:eastAsia="es-ES"/>
        </w:rPr>
      </w:pPr>
      <w:r w:rsidRPr="009A2169">
        <w:rPr>
          <w:rFonts w:eastAsia="Times New Roman" w:cs="Times New Roman"/>
          <w:b/>
          <w:bCs/>
          <w:color w:val="000000"/>
          <w:lang w:val="es-ES" w:eastAsia="es-ES"/>
        </w:rPr>
        <w:t>SEGUNDO. Causales de procedencia y sobreseimiento.</w:t>
      </w:r>
    </w:p>
    <w:p w:rsidRPr="009A2169" w:rsidR="009A2169" w:rsidP="00B034A6" w:rsidRDefault="009A2169" w14:paraId="6241A58F" w14:textId="77777777">
      <w:pPr>
        <w:shd w:val="clear" w:color="auto" w:fill="FFFFFF"/>
        <w:spacing w:after="0" w:line="360" w:lineRule="auto"/>
        <w:rPr>
          <w:rFonts w:eastAsia="Times New Roman" w:cs="Times New Roman"/>
          <w:color w:val="222222"/>
          <w:sz w:val="20"/>
          <w:szCs w:val="20"/>
          <w:lang w:val="es-ES" w:eastAsia="es-ES"/>
        </w:rPr>
      </w:pPr>
    </w:p>
    <w:p w:rsidRPr="009A2169" w:rsidR="009A2169" w:rsidP="00B034A6" w:rsidRDefault="009A2169" w14:paraId="0B794D9F" w14:textId="77777777">
      <w:pPr>
        <w:shd w:val="clear" w:color="auto" w:fill="FFFFFF"/>
        <w:spacing w:after="0" w:line="360" w:lineRule="auto"/>
        <w:rPr>
          <w:rFonts w:eastAsia="Times New Roman" w:cs="Times New Roman"/>
          <w:color w:val="222222"/>
          <w:sz w:val="20"/>
          <w:szCs w:val="20"/>
          <w:lang w:val="es-ES" w:eastAsia="es-ES"/>
        </w:rPr>
      </w:pPr>
      <w:r w:rsidRPr="009A2169">
        <w:rPr>
          <w:rFonts w:eastAsia="Times New Roman" w:cs="Times New Roman"/>
          <w:color w:val="000000"/>
          <w:lang w:val="es-ES" w:eastAsia="es-ES"/>
        </w:rPr>
        <w:t xml:space="preserve">De las constancias que forman parte de los Recursos de Revisión que se analizan, se advierte que previo al estudio del fondo de la </w:t>
      </w:r>
      <w:r w:rsidRPr="009A2169">
        <w:rPr>
          <w:rFonts w:eastAsia="Times New Roman" w:cs="Times New Roman"/>
          <w:i/>
          <w:color w:val="000000"/>
          <w:lang w:val="es-ES" w:eastAsia="es-ES"/>
        </w:rPr>
        <w:t>litis</w:t>
      </w:r>
      <w:r w:rsidRPr="009A2169">
        <w:rPr>
          <w:rFonts w:eastAsia="Times New Roman" w:cs="Times New Roman"/>
          <w:color w:val="000000"/>
          <w:lang w:val="es-ES" w:eastAsia="es-ES"/>
        </w:rPr>
        <w:t>, es necesario estudiar las causales de improcedencia y sobreseimiento que se adviertan, para determinar lo que en Derecho proceda.</w:t>
      </w:r>
    </w:p>
    <w:p w:rsidRPr="009A2169" w:rsidR="009A2169" w:rsidP="00B034A6" w:rsidRDefault="009A2169" w14:paraId="47A38B1A" w14:textId="77777777">
      <w:pPr>
        <w:shd w:val="clear" w:color="auto" w:fill="FFFFFF"/>
        <w:spacing w:after="0" w:line="360" w:lineRule="auto"/>
        <w:rPr>
          <w:rFonts w:eastAsia="Times New Roman" w:cs="Times New Roman"/>
          <w:b/>
          <w:bCs/>
          <w:color w:val="000000"/>
          <w:lang w:val="es-ES" w:eastAsia="es-ES"/>
        </w:rPr>
      </w:pPr>
    </w:p>
    <w:p w:rsidRPr="009A2169" w:rsidR="009A2169" w:rsidP="00B034A6" w:rsidRDefault="009A2169" w14:paraId="681C4314" w14:textId="77777777">
      <w:pPr>
        <w:shd w:val="clear" w:color="auto" w:fill="FFFFFF"/>
        <w:spacing w:after="0" w:line="360" w:lineRule="auto"/>
        <w:rPr>
          <w:rFonts w:eastAsia="Times New Roman" w:cs="Times New Roman"/>
          <w:color w:val="222222"/>
          <w:sz w:val="20"/>
          <w:szCs w:val="20"/>
          <w:lang w:val="es-ES" w:eastAsia="es-ES"/>
        </w:rPr>
      </w:pPr>
      <w:r w:rsidRPr="009A2169">
        <w:rPr>
          <w:rFonts w:eastAsia="Times New Roman" w:cs="Times New Roman"/>
          <w:b/>
          <w:bCs/>
          <w:color w:val="000000"/>
          <w:lang w:val="es-ES" w:eastAsia="es-ES"/>
        </w:rPr>
        <w:t>Causales de improcedencia.</w:t>
      </w:r>
    </w:p>
    <w:p w:rsidRPr="009A2169" w:rsidR="009A2169" w:rsidP="00B034A6" w:rsidRDefault="009A2169" w14:paraId="1F463FEB" w14:textId="77777777">
      <w:pPr>
        <w:shd w:val="clear" w:color="auto" w:fill="FFFFFF"/>
        <w:spacing w:after="0" w:line="360" w:lineRule="auto"/>
        <w:rPr>
          <w:rFonts w:eastAsia="Times New Roman" w:cs="Times New Roman"/>
          <w:color w:val="222222"/>
          <w:sz w:val="20"/>
          <w:szCs w:val="20"/>
          <w:lang w:val="es-ES" w:eastAsia="es-ES"/>
        </w:rPr>
      </w:pPr>
    </w:p>
    <w:p w:rsidRPr="009A2169" w:rsidR="009A2169" w:rsidP="00B034A6" w:rsidRDefault="009A2169" w14:paraId="650ED231" w14:textId="77777777">
      <w:pPr>
        <w:spacing w:after="0" w:line="360" w:lineRule="auto"/>
        <w:rPr>
          <w:rFonts w:eastAsia="Times New Roman" w:cs="Tahoma"/>
          <w:bCs/>
          <w:color w:val="000000"/>
          <w:lang w:eastAsia="es-ES"/>
        </w:rPr>
      </w:pPr>
      <w:r w:rsidRPr="009A2169">
        <w:rPr>
          <w:rFonts w:eastAsia="Times New Roman" w:cs="Tahoma"/>
          <w:bCs/>
          <w:color w:val="000000"/>
          <w:lang w:eastAsia="es-ES"/>
        </w:rPr>
        <w:t xml:space="preserve">Este Instituto realiza el estudio oficioso de las causales de improcedencia, por tratarse de una cuestión de orden público y de estudio preferente (acorde con el Criterio orientador en la Tesis de Jurisprudencia “IMPROCEDENCIA.” (Semanario Judicial de la Federación, Quinta Época, 1985, pág. 262), el cual establece que debe examinarse previamente la procedencia del juicio de amparo, sea que las partes lo soliciten o no, por ser una cuestión de orden público; de tal suerte, </w:t>
      </w:r>
      <w:r w:rsidRPr="009A2169">
        <w:rPr>
          <w:rFonts w:eastAsia="Times New Roman" w:cs="Tahoma"/>
          <w:bCs/>
          <w:color w:val="000000"/>
          <w:lang w:eastAsia="es-ES"/>
        </w:rPr>
        <w:lastRenderedPageBreak/>
        <w:t>deberá ser desechado cualquier Recurso de Revisión que actualice alguno de los supuestos establecidos en el artículo 191 de la Ley de Transparencia y Acceso a la Información Pública del Estado de México y Municipios, por ser improcedente.</w:t>
      </w:r>
    </w:p>
    <w:p w:rsidRPr="009A2169" w:rsidR="009A2169" w:rsidP="00B034A6" w:rsidRDefault="009A2169" w14:paraId="04A28802" w14:textId="77777777">
      <w:pPr>
        <w:spacing w:after="0" w:line="360" w:lineRule="auto"/>
        <w:rPr>
          <w:rFonts w:eastAsia="Times New Roman" w:cs="Tahoma"/>
          <w:bCs/>
          <w:color w:val="000000"/>
          <w:lang w:eastAsia="es-ES"/>
        </w:rPr>
      </w:pPr>
    </w:p>
    <w:p w:rsidRPr="009A2169" w:rsidR="009A2169" w:rsidP="00B034A6" w:rsidRDefault="009A2169" w14:paraId="6A485EE9" w14:textId="77777777">
      <w:pPr>
        <w:spacing w:after="0" w:line="360" w:lineRule="auto"/>
        <w:rPr>
          <w:rFonts w:eastAsia="Times New Roman" w:cs="Tahoma"/>
          <w:bCs/>
          <w:color w:val="000000"/>
          <w:lang w:eastAsia="es-ES"/>
        </w:rPr>
      </w:pPr>
      <w:r w:rsidRPr="009A2169">
        <w:rPr>
          <w:rFonts w:eastAsia="Times New Roman" w:cs="Tahoma"/>
          <w:bCs/>
          <w:color w:val="000000"/>
          <w:lang w:eastAsia="es-ES"/>
        </w:rPr>
        <w:t>En el presente caso, no se actualiza alguna de las causales de improcedencia establecidas en el ordenamiento jurídico previamente señalado, toda vez que: el recurso fue presentado dentro del plazo establecido en el artículo 178 de la Ley la materia; además, que este Instituto no tiene conocimiento de que se encuentre en trámite algún medio de defensa presentado por el Recurrente ante otra instancia; no existió prevención alguna; la veracidad de la respuesta no formó parte del agravio; ni se realizó una ampliación a los alcances del requerimiento informativo.</w:t>
      </w:r>
    </w:p>
    <w:p w:rsidRPr="009A2169" w:rsidR="009A2169" w:rsidP="00B034A6" w:rsidRDefault="009A2169" w14:paraId="756DF499" w14:textId="77777777">
      <w:pPr>
        <w:widowControl w:val="0"/>
        <w:spacing w:after="0" w:line="360" w:lineRule="auto"/>
        <w:rPr>
          <w:rFonts w:eastAsia="Times New Roman" w:cs="Times New Roman"/>
          <w:color w:val="222222"/>
          <w:sz w:val="20"/>
          <w:szCs w:val="20"/>
          <w:lang w:val="es-ES" w:eastAsia="es-ES"/>
        </w:rPr>
      </w:pPr>
    </w:p>
    <w:p w:rsidRPr="009A2169" w:rsidR="009A2169" w:rsidP="00B034A6" w:rsidRDefault="009A2169" w14:paraId="164D7743" w14:textId="22AD610E">
      <w:pPr>
        <w:autoSpaceDE w:val="0"/>
        <w:autoSpaceDN w:val="0"/>
        <w:adjustRightInd w:val="0"/>
        <w:spacing w:after="0" w:line="360" w:lineRule="auto"/>
        <w:rPr>
          <w:rFonts w:eastAsia="Calibri" w:cs="Tahoma"/>
          <w:color w:val="000000"/>
          <w:lang w:eastAsia="es-MX"/>
        </w:rPr>
      </w:pPr>
      <w:r w:rsidRPr="009A2169">
        <w:rPr>
          <w:rFonts w:eastAsia="Calibri" w:cs="Tahoma"/>
          <w:color w:val="000000"/>
          <w:lang w:eastAsia="es-MX"/>
        </w:rPr>
        <w:t>Asimismo, se actualiza la causal de procedencia señalad</w:t>
      </w:r>
      <w:r w:rsidR="001064AE">
        <w:rPr>
          <w:rFonts w:eastAsia="Calibri" w:cs="Tahoma"/>
          <w:color w:val="000000"/>
          <w:lang w:eastAsia="es-MX"/>
        </w:rPr>
        <w:t>a en el artículo 179, fracciones V y</w:t>
      </w:r>
      <w:r w:rsidR="00A159C9">
        <w:rPr>
          <w:rFonts w:eastAsia="Calibri" w:cs="Tahoma"/>
          <w:color w:val="000000"/>
          <w:lang w:eastAsia="es-MX"/>
        </w:rPr>
        <w:t xml:space="preserve"> IX</w:t>
      </w:r>
      <w:r w:rsidRPr="009A2169">
        <w:rPr>
          <w:rFonts w:eastAsia="Calibri" w:cs="Tahoma"/>
          <w:color w:val="000000"/>
          <w:lang w:eastAsia="es-MX"/>
        </w:rPr>
        <w:t xml:space="preserve">, de la Ley de la materia, toda vez que el Solicitante se inconformó con la </w:t>
      </w:r>
      <w:r w:rsidR="00A159C9">
        <w:rPr>
          <w:rFonts w:eastAsia="Calibri" w:cs="Tahoma"/>
          <w:color w:val="000000"/>
          <w:lang w:eastAsia="es-MX"/>
        </w:rPr>
        <w:t xml:space="preserve">entrega de información en un formato incomprensible e incompleta. </w:t>
      </w:r>
      <w:r w:rsidR="004947D8">
        <w:rPr>
          <w:rFonts w:eastAsia="Calibri" w:cs="Tahoma"/>
          <w:color w:val="000000"/>
          <w:lang w:eastAsia="es-MX"/>
        </w:rPr>
        <w:t xml:space="preserve"> </w:t>
      </w:r>
    </w:p>
    <w:p w:rsidRPr="009A2169" w:rsidR="009A2169" w:rsidP="00B034A6" w:rsidRDefault="009A2169" w14:paraId="34E50B8C" w14:textId="77777777">
      <w:pPr>
        <w:widowControl w:val="0"/>
        <w:spacing w:after="0" w:line="360" w:lineRule="auto"/>
        <w:rPr>
          <w:rFonts w:eastAsia="Times New Roman" w:cs="Times New Roman"/>
          <w:color w:val="222222"/>
          <w:sz w:val="20"/>
          <w:szCs w:val="20"/>
          <w:lang w:val="es-ES" w:eastAsia="es-ES"/>
        </w:rPr>
      </w:pPr>
    </w:p>
    <w:p w:rsidRPr="009A2169" w:rsidR="009A2169" w:rsidP="00B034A6" w:rsidRDefault="009A2169" w14:paraId="51F8DB44" w14:textId="77777777">
      <w:pPr>
        <w:spacing w:after="0" w:line="360" w:lineRule="auto"/>
        <w:rPr>
          <w:rFonts w:eastAsia="Times New Roman" w:cs="Tahoma"/>
          <w:bCs/>
          <w:color w:val="0D0D0D" w:themeColor="text1" w:themeTint="F2"/>
          <w:lang w:eastAsia="es-ES"/>
        </w:rPr>
      </w:pPr>
      <w:r w:rsidRPr="009A2169">
        <w:rPr>
          <w:rFonts w:eastAsia="Times New Roman" w:cs="Tahoma"/>
          <w:b/>
          <w:bCs/>
          <w:color w:val="0D0D0D" w:themeColor="text1" w:themeTint="F2"/>
          <w:lang w:eastAsia="es-ES"/>
        </w:rPr>
        <w:t>Causales de sobreseimiento.</w:t>
      </w:r>
    </w:p>
    <w:p w:rsidRPr="009A2169" w:rsidR="009A2169" w:rsidP="00B034A6" w:rsidRDefault="009A2169" w14:paraId="53009EA3" w14:textId="77777777">
      <w:pPr>
        <w:spacing w:after="0" w:line="360" w:lineRule="auto"/>
        <w:rPr>
          <w:rFonts w:eastAsia="Times New Roman" w:cs="Tahoma"/>
          <w:bCs/>
          <w:color w:val="0D0D0D" w:themeColor="text1" w:themeTint="F2"/>
          <w:lang w:eastAsia="es-ES"/>
        </w:rPr>
      </w:pPr>
    </w:p>
    <w:p w:rsidRPr="009A2169" w:rsidR="009A2169" w:rsidP="00B034A6" w:rsidRDefault="009A2169" w14:paraId="59D2B25F" w14:textId="77777777">
      <w:pPr>
        <w:spacing w:after="0" w:line="360" w:lineRule="auto"/>
        <w:rPr>
          <w:rFonts w:eastAsia="Times New Roman" w:cs="Tahoma"/>
          <w:bCs/>
          <w:color w:val="0D0D0D" w:themeColor="text1" w:themeTint="F2"/>
          <w:lang w:eastAsia="es-ES"/>
        </w:rPr>
      </w:pPr>
      <w:r w:rsidRPr="009A2169">
        <w:rPr>
          <w:rFonts w:eastAsia="Times New Roman" w:cs="Tahoma"/>
          <w:bCs/>
          <w:color w:val="0D0D0D" w:themeColor="text1" w:themeTint="F2"/>
          <w:lang w:eastAsia="es-ES"/>
        </w:rPr>
        <w:t>Por ser de previo y especial pronunciamiento, este Instituto analiza si se actualiza alguna causal de sobreseimiento.</w:t>
      </w:r>
    </w:p>
    <w:p w:rsidRPr="009A2169" w:rsidR="009A2169" w:rsidP="00B034A6" w:rsidRDefault="009A2169" w14:paraId="0311DA94" w14:textId="77777777">
      <w:pPr>
        <w:spacing w:after="0" w:line="360" w:lineRule="auto"/>
        <w:rPr>
          <w:rFonts w:eastAsia="Times New Roman" w:cs="Tahoma"/>
          <w:bCs/>
          <w:color w:val="0D0D0D" w:themeColor="text1" w:themeTint="F2"/>
          <w:lang w:eastAsia="es-ES"/>
        </w:rPr>
      </w:pPr>
    </w:p>
    <w:p w:rsidRPr="009A2169" w:rsidR="009A2169" w:rsidP="00B034A6" w:rsidRDefault="009A2169" w14:paraId="5EFB211A" w14:textId="77777777">
      <w:pPr>
        <w:spacing w:after="0" w:line="360" w:lineRule="auto"/>
        <w:rPr>
          <w:rFonts w:eastAsia="Times New Roman" w:cs="Tahoma"/>
          <w:color w:val="auto"/>
          <w:szCs w:val="24"/>
          <w:lang w:eastAsia="es-ES"/>
        </w:rPr>
      </w:pPr>
      <w:r w:rsidRPr="009A2169">
        <w:rPr>
          <w:rFonts w:eastAsia="Times New Roman" w:cs="Tahoma"/>
          <w:color w:val="auto"/>
          <w:szCs w:val="24"/>
          <w:lang w:eastAsia="es-ES"/>
        </w:rPr>
        <w:t xml:space="preserve">El artículo 192 de la Ley Transparencia y Acceso a la Información Pública del Estado de México y Municipios, señala las causales por las cuales se puede sobreseer en todo o en parte, el Recurso de Revisión; así, del análisis realizado por este Instituto, se advierte que no se actualiza algún supuesto de sobreseimiento; lo anterior, en virtud de que no hay constancias en el expediente en que se actúa, de que el Recurrente se haya desistido del recurso, haya fallecido, </w:t>
      </w:r>
      <w:r w:rsidRPr="009A2169">
        <w:rPr>
          <w:rFonts w:eastAsia="Times New Roman" w:cs="Tahoma"/>
          <w:color w:val="auto"/>
          <w:szCs w:val="24"/>
          <w:lang w:eastAsia="es-ES"/>
        </w:rPr>
        <w:lastRenderedPageBreak/>
        <w:t>sobreviniera alguna causal de improcedencia, que el Sujeto Obligado hubiese modificado o revocado el acto impugnado o bien, haya quedado sin materia.</w:t>
      </w:r>
    </w:p>
    <w:p w:rsidRPr="009A2169" w:rsidR="009A2169" w:rsidP="00B034A6" w:rsidRDefault="009A2169" w14:paraId="6331CB45" w14:textId="77777777">
      <w:pPr>
        <w:spacing w:after="0" w:line="360" w:lineRule="auto"/>
        <w:rPr>
          <w:rFonts w:eastAsia="Times New Roman" w:cs="Tahoma"/>
          <w:bCs/>
          <w:color w:val="0D0D0D" w:themeColor="text1" w:themeTint="F2"/>
          <w:lang w:eastAsia="es-ES"/>
        </w:rPr>
      </w:pPr>
    </w:p>
    <w:p w:rsidRPr="00446963" w:rsidR="00066B31" w:rsidP="00B034A6" w:rsidRDefault="009A2169" w14:paraId="26EA214E" w14:textId="08500B55">
      <w:pPr>
        <w:tabs>
          <w:tab w:val="left" w:pos="4962"/>
        </w:tabs>
        <w:spacing w:after="0" w:line="360" w:lineRule="auto"/>
        <w:rPr>
          <w:rFonts w:cs="Tahoma"/>
          <w:lang w:val="es-ES"/>
        </w:rPr>
      </w:pPr>
      <w:r w:rsidRPr="009A2169">
        <w:rPr>
          <w:rFonts w:eastAsia="Times New Roman" w:cs="Tahoma"/>
          <w:bCs/>
          <w:color w:val="0D0D0D" w:themeColor="text1" w:themeTint="F2"/>
          <w:lang w:eastAsia="es-ES"/>
        </w:rPr>
        <w:t>Por tales motivos, se considera procedente entrar al fondo del presente asunto</w:t>
      </w:r>
      <w:r w:rsidRPr="00446963" w:rsidR="00066B31">
        <w:rPr>
          <w:rFonts w:cs="Tahoma"/>
          <w:lang w:val="es-ES"/>
        </w:rPr>
        <w:t xml:space="preserve">. </w:t>
      </w:r>
    </w:p>
    <w:p w:rsidRPr="00446963" w:rsidR="00066B31" w:rsidP="00B034A6" w:rsidRDefault="00066B31" w14:paraId="7F0C6A66" w14:textId="77777777">
      <w:pPr>
        <w:tabs>
          <w:tab w:val="left" w:pos="4962"/>
        </w:tabs>
        <w:spacing w:after="0" w:line="360" w:lineRule="auto"/>
        <w:rPr>
          <w:rFonts w:cs="Tahoma"/>
          <w:lang w:val="es-ES"/>
        </w:rPr>
      </w:pPr>
    </w:p>
    <w:p w:rsidRPr="00446963" w:rsidR="00066B31" w:rsidP="00B034A6" w:rsidRDefault="00066B31" w14:paraId="1A5ACCAF" w14:textId="77777777">
      <w:pPr>
        <w:tabs>
          <w:tab w:val="left" w:pos="4962"/>
        </w:tabs>
        <w:spacing w:after="0" w:line="360" w:lineRule="auto"/>
        <w:rPr>
          <w:rFonts w:eastAsia="Calibri" w:cs="Tahoma"/>
          <w:b/>
          <w:iCs/>
          <w:lang w:val="es-ES" w:eastAsia="es-ES_tradnl"/>
        </w:rPr>
      </w:pPr>
      <w:r w:rsidRPr="00446963">
        <w:rPr>
          <w:rFonts w:eastAsia="Calibri" w:cs="Tahoma"/>
          <w:b/>
          <w:iCs/>
          <w:lang w:val="es-ES" w:eastAsia="es-ES_tradnl"/>
        </w:rPr>
        <w:t xml:space="preserve">TERCERO. Determinación de la Controversia. </w:t>
      </w:r>
    </w:p>
    <w:p w:rsidRPr="00446963" w:rsidR="00066B31" w:rsidP="00B034A6" w:rsidRDefault="00066B31" w14:paraId="286B1258" w14:textId="77777777">
      <w:pPr>
        <w:spacing w:after="0" w:line="360" w:lineRule="auto"/>
      </w:pPr>
    </w:p>
    <w:p w:rsidR="00BF6F7C" w:rsidP="00B034A6" w:rsidRDefault="00066B31" w14:paraId="3540A595" w14:textId="264CEF81">
      <w:pPr>
        <w:tabs>
          <w:tab w:val="left" w:pos="4962"/>
        </w:tabs>
        <w:spacing w:after="0" w:line="360" w:lineRule="auto"/>
        <w:rPr>
          <w:rFonts w:eastAsia="Calibri" w:cs="Tahoma"/>
          <w:iCs/>
          <w:lang w:val="es-ES" w:eastAsia="es-ES_tradnl"/>
        </w:rPr>
      </w:pPr>
      <w:r w:rsidRPr="00446963">
        <w:rPr>
          <w:rFonts w:eastAsia="Calibri" w:cs="Tahoma"/>
          <w:iCs/>
          <w:lang w:val="es-ES" w:eastAsia="es-ES_tradnl"/>
        </w:rPr>
        <w:t>Con el objeto de ilustrar la controversia planteada, resulta conveniente precisar que, una vez realizado el estudio de las constancias que integran el expediente en que se actúa, se desprende que el Recurrente requirió</w:t>
      </w:r>
      <w:r w:rsidR="00FE24DD">
        <w:rPr>
          <w:rFonts w:eastAsia="Calibri" w:cs="Tahoma"/>
          <w:iCs/>
          <w:lang w:val="es-ES" w:eastAsia="es-ES_tradnl"/>
        </w:rPr>
        <w:t xml:space="preserve"> </w:t>
      </w:r>
      <w:r w:rsidRPr="00A159C9" w:rsidR="00A159C9">
        <w:rPr>
          <w:rFonts w:eastAsia="Calibri" w:cs="Tahoma"/>
          <w:iCs/>
          <w:lang w:val="es-ES" w:eastAsia="es-ES_tradnl"/>
        </w:rPr>
        <w:t>al Ayuntamiento de Tepetlaoxtoc</w:t>
      </w:r>
      <w:r w:rsidR="00A159C9">
        <w:rPr>
          <w:rFonts w:eastAsia="Calibri" w:cs="Tahoma"/>
          <w:iCs/>
          <w:lang w:val="es-ES" w:eastAsia="es-ES_tradnl"/>
        </w:rPr>
        <w:t xml:space="preserve">, del primero de enero de </w:t>
      </w:r>
      <w:r w:rsidRPr="00A159C9" w:rsidR="00A159C9">
        <w:rPr>
          <w:rFonts w:eastAsia="Calibri" w:cs="Tahoma"/>
          <w:iCs/>
          <w:lang w:val="es-ES" w:eastAsia="es-ES_tradnl"/>
        </w:rPr>
        <w:t xml:space="preserve">dos mil </w:t>
      </w:r>
      <w:r w:rsidRPr="00FE50B8" w:rsidR="00A159C9">
        <w:rPr>
          <w:rFonts w:eastAsia="Calibri" w:cs="Tahoma"/>
          <w:iCs/>
          <w:lang w:val="es-ES" w:eastAsia="es-ES_tradnl"/>
        </w:rPr>
        <w:t xml:space="preserve">doce </w:t>
      </w:r>
      <w:r w:rsidRPr="00FE50B8" w:rsidR="00A159C9">
        <w:rPr>
          <w:rFonts w:eastAsia="Calibri" w:cs="Tahoma"/>
          <w:iCs/>
          <w:color w:val="auto"/>
          <w:lang w:val="es-ES" w:eastAsia="es-ES_tradnl"/>
        </w:rPr>
        <w:t>al veintinueve de abril de dos mil veintidós</w:t>
      </w:r>
      <w:r w:rsidRPr="00FE50B8" w:rsidR="00A159C9">
        <w:rPr>
          <w:rFonts w:eastAsia="Calibri" w:cs="Tahoma"/>
          <w:iCs/>
          <w:lang w:val="es-ES" w:eastAsia="es-ES_tradnl"/>
        </w:rPr>
        <w:t>,</w:t>
      </w:r>
      <w:r w:rsidR="00BF6F7C">
        <w:rPr>
          <w:rFonts w:eastAsia="Calibri" w:cs="Tahoma"/>
          <w:iCs/>
          <w:lang w:val="es-ES" w:eastAsia="es-ES_tradnl"/>
        </w:rPr>
        <w:t xml:space="preserve"> lo siguiente:</w:t>
      </w:r>
    </w:p>
    <w:p w:rsidR="00BF6F7C" w:rsidP="00B034A6" w:rsidRDefault="00BF6F7C" w14:paraId="708CDCD6" w14:textId="77777777">
      <w:pPr>
        <w:tabs>
          <w:tab w:val="left" w:pos="4962"/>
        </w:tabs>
        <w:spacing w:after="0" w:line="360" w:lineRule="auto"/>
        <w:rPr>
          <w:rFonts w:eastAsia="Calibri" w:cs="Tahoma"/>
          <w:iCs/>
          <w:lang w:val="es-ES" w:eastAsia="es-ES_tradnl"/>
        </w:rPr>
      </w:pPr>
    </w:p>
    <w:p w:rsidR="00BF6F7C" w:rsidP="00BF6F7C" w:rsidRDefault="00BF6F7C" w14:paraId="50BBB2C7" w14:textId="4CA96D27">
      <w:pPr>
        <w:pStyle w:val="Prrafodelista"/>
        <w:numPr>
          <w:ilvl w:val="0"/>
          <w:numId w:val="32"/>
        </w:numPr>
        <w:tabs>
          <w:tab w:val="left" w:pos="4962"/>
        </w:tabs>
        <w:spacing w:line="360" w:lineRule="auto"/>
        <w:jc w:val="both"/>
        <w:rPr>
          <w:rFonts w:ascii="Palatino Linotype" w:hAnsi="Palatino Linotype" w:eastAsia="Calibri" w:cs="Tahoma"/>
          <w:iCs/>
          <w:lang w:val="es-ES" w:eastAsia="es-ES_tradnl"/>
        </w:rPr>
      </w:pPr>
      <w:r>
        <w:rPr>
          <w:rFonts w:ascii="Palatino Linotype" w:hAnsi="Palatino Linotype" w:eastAsia="Calibri" w:cs="Tahoma"/>
          <w:iCs/>
          <w:lang w:val="es-ES" w:eastAsia="es-ES_tradnl"/>
        </w:rPr>
        <w:t>Listado de los contratos derivados de procedimientos por licitación pública, adjudicación directa e invitación restringida, con los siguientes datos:</w:t>
      </w:r>
    </w:p>
    <w:p w:rsidR="00BF6F7C" w:rsidP="00BF6F7C" w:rsidRDefault="00BF6F7C" w14:paraId="1ACD4205" w14:textId="77777777">
      <w:pPr>
        <w:pStyle w:val="Prrafodelista"/>
        <w:tabs>
          <w:tab w:val="left" w:pos="4962"/>
        </w:tabs>
        <w:spacing w:line="360" w:lineRule="auto"/>
        <w:jc w:val="both"/>
        <w:rPr>
          <w:rFonts w:ascii="Palatino Linotype" w:hAnsi="Palatino Linotype" w:eastAsia="Calibri" w:cs="Tahoma"/>
          <w:iCs/>
          <w:lang w:val="es-ES" w:eastAsia="es-ES_tradnl"/>
        </w:rPr>
      </w:pPr>
    </w:p>
    <w:p w:rsidRPr="00BF6F7C" w:rsidR="00BF6F7C" w:rsidP="00BF6F7C" w:rsidRDefault="00BF6F7C" w14:paraId="3219FC70" w14:textId="77777777">
      <w:pPr>
        <w:pStyle w:val="Prrafodelista"/>
        <w:numPr>
          <w:ilvl w:val="0"/>
          <w:numId w:val="33"/>
        </w:numPr>
        <w:autoSpaceDE w:val="0"/>
        <w:autoSpaceDN w:val="0"/>
        <w:adjustRightInd w:val="0"/>
        <w:spacing w:line="360" w:lineRule="auto"/>
        <w:ind w:left="993"/>
        <w:jc w:val="both"/>
        <w:rPr>
          <w:rFonts w:ascii="Palatino Linotype" w:hAnsi="Palatino Linotype" w:cs="Tahoma"/>
          <w:szCs w:val="22"/>
        </w:rPr>
      </w:pPr>
      <w:r w:rsidRPr="00BF6F7C">
        <w:rPr>
          <w:rFonts w:ascii="Palatino Linotype" w:hAnsi="Palatino Linotype" w:cs="Tahoma"/>
          <w:szCs w:val="22"/>
        </w:rPr>
        <w:t>Institución (Sujeto Obligado);</w:t>
      </w:r>
    </w:p>
    <w:p w:rsidRPr="00BF6F7C" w:rsidR="00BF6F7C" w:rsidP="00BF6F7C" w:rsidRDefault="00BF6F7C" w14:paraId="29F6265C" w14:textId="77777777">
      <w:pPr>
        <w:pStyle w:val="Prrafodelista"/>
        <w:numPr>
          <w:ilvl w:val="0"/>
          <w:numId w:val="33"/>
        </w:numPr>
        <w:autoSpaceDE w:val="0"/>
        <w:autoSpaceDN w:val="0"/>
        <w:adjustRightInd w:val="0"/>
        <w:spacing w:line="360" w:lineRule="auto"/>
        <w:ind w:left="993"/>
        <w:jc w:val="both"/>
        <w:rPr>
          <w:rFonts w:ascii="Palatino Linotype" w:hAnsi="Palatino Linotype" w:cs="Tahoma"/>
          <w:szCs w:val="22"/>
        </w:rPr>
      </w:pPr>
      <w:r w:rsidRPr="00BF6F7C">
        <w:rPr>
          <w:rFonts w:ascii="Palatino Linotype" w:hAnsi="Palatino Linotype" w:cs="Tahoma"/>
          <w:szCs w:val="22"/>
        </w:rPr>
        <w:t>Unidad Administrativa solicitante y nombre de su Titular;</w:t>
      </w:r>
    </w:p>
    <w:p w:rsidRPr="00BF6F7C" w:rsidR="00BF6F7C" w:rsidP="00BF6F7C" w:rsidRDefault="00BF6F7C" w14:paraId="632A70CF" w14:textId="77777777">
      <w:pPr>
        <w:pStyle w:val="Prrafodelista"/>
        <w:numPr>
          <w:ilvl w:val="0"/>
          <w:numId w:val="33"/>
        </w:numPr>
        <w:autoSpaceDE w:val="0"/>
        <w:autoSpaceDN w:val="0"/>
        <w:adjustRightInd w:val="0"/>
        <w:spacing w:line="360" w:lineRule="auto"/>
        <w:ind w:left="993"/>
        <w:jc w:val="both"/>
        <w:rPr>
          <w:rFonts w:ascii="Palatino Linotype" w:hAnsi="Palatino Linotype" w:cs="Tahoma"/>
          <w:szCs w:val="22"/>
        </w:rPr>
      </w:pPr>
      <w:r w:rsidRPr="00BF6F7C">
        <w:rPr>
          <w:rFonts w:ascii="Palatino Linotype" w:hAnsi="Palatino Linotype" w:cs="Tahoma"/>
          <w:szCs w:val="22"/>
        </w:rPr>
        <w:t>Título, código y referencia de expediente;</w:t>
      </w:r>
    </w:p>
    <w:p w:rsidRPr="00BF6F7C" w:rsidR="00BF6F7C" w:rsidP="00BF6F7C" w:rsidRDefault="00BF6F7C" w14:paraId="6E36A9C9" w14:textId="77777777">
      <w:pPr>
        <w:pStyle w:val="Prrafodelista"/>
        <w:numPr>
          <w:ilvl w:val="0"/>
          <w:numId w:val="33"/>
        </w:numPr>
        <w:autoSpaceDE w:val="0"/>
        <w:autoSpaceDN w:val="0"/>
        <w:adjustRightInd w:val="0"/>
        <w:spacing w:line="360" w:lineRule="auto"/>
        <w:ind w:left="993"/>
        <w:jc w:val="both"/>
        <w:rPr>
          <w:rFonts w:ascii="Palatino Linotype" w:hAnsi="Palatino Linotype" w:cs="Tahoma"/>
          <w:szCs w:val="22"/>
        </w:rPr>
      </w:pPr>
      <w:r w:rsidRPr="00BF6F7C">
        <w:rPr>
          <w:rFonts w:ascii="Palatino Linotype" w:hAnsi="Palatino Linotype" w:cs="Tahoma"/>
          <w:szCs w:val="22"/>
        </w:rPr>
        <w:t>Fundamento legal del procedimiento;</w:t>
      </w:r>
    </w:p>
    <w:p w:rsidRPr="00BF6F7C" w:rsidR="00BF6F7C" w:rsidP="00BF6F7C" w:rsidRDefault="00BF6F7C" w14:paraId="421C7623" w14:textId="77777777">
      <w:pPr>
        <w:pStyle w:val="Prrafodelista"/>
        <w:numPr>
          <w:ilvl w:val="0"/>
          <w:numId w:val="33"/>
        </w:numPr>
        <w:autoSpaceDE w:val="0"/>
        <w:autoSpaceDN w:val="0"/>
        <w:adjustRightInd w:val="0"/>
        <w:spacing w:line="360" w:lineRule="auto"/>
        <w:ind w:left="993"/>
        <w:jc w:val="both"/>
        <w:rPr>
          <w:rFonts w:ascii="Palatino Linotype" w:hAnsi="Palatino Linotype" w:cs="Tahoma"/>
          <w:szCs w:val="22"/>
        </w:rPr>
      </w:pPr>
      <w:r w:rsidRPr="00BF6F7C">
        <w:rPr>
          <w:rFonts w:ascii="Palatino Linotype" w:hAnsi="Palatino Linotype" w:cs="Tahoma"/>
          <w:szCs w:val="22"/>
        </w:rPr>
        <w:t>Número de procedimiento;</w:t>
      </w:r>
    </w:p>
    <w:p w:rsidRPr="00BF6F7C" w:rsidR="00BF6F7C" w:rsidP="00BF6F7C" w:rsidRDefault="00BF6F7C" w14:paraId="58ECE8C4" w14:textId="77777777">
      <w:pPr>
        <w:pStyle w:val="Prrafodelista"/>
        <w:numPr>
          <w:ilvl w:val="0"/>
          <w:numId w:val="33"/>
        </w:numPr>
        <w:autoSpaceDE w:val="0"/>
        <w:autoSpaceDN w:val="0"/>
        <w:adjustRightInd w:val="0"/>
        <w:spacing w:line="360" w:lineRule="auto"/>
        <w:ind w:left="993"/>
        <w:jc w:val="both"/>
        <w:rPr>
          <w:rFonts w:ascii="Palatino Linotype" w:hAnsi="Palatino Linotype" w:cs="Tahoma"/>
          <w:szCs w:val="22"/>
        </w:rPr>
      </w:pPr>
      <w:r w:rsidRPr="00BF6F7C">
        <w:rPr>
          <w:rFonts w:ascii="Palatino Linotype" w:hAnsi="Palatino Linotype" w:cs="Tahoma"/>
          <w:szCs w:val="22"/>
        </w:rPr>
        <w:t>Fecha de fallo y publicación;</w:t>
      </w:r>
    </w:p>
    <w:p w:rsidRPr="00BF6F7C" w:rsidR="00BF6F7C" w:rsidP="00BF6F7C" w:rsidRDefault="00BF6F7C" w14:paraId="13AA8F0F" w14:textId="77777777">
      <w:pPr>
        <w:pStyle w:val="Prrafodelista"/>
        <w:numPr>
          <w:ilvl w:val="0"/>
          <w:numId w:val="33"/>
        </w:numPr>
        <w:autoSpaceDE w:val="0"/>
        <w:autoSpaceDN w:val="0"/>
        <w:adjustRightInd w:val="0"/>
        <w:spacing w:line="360" w:lineRule="auto"/>
        <w:ind w:left="993"/>
        <w:jc w:val="both"/>
        <w:rPr>
          <w:rFonts w:ascii="Palatino Linotype" w:hAnsi="Palatino Linotype" w:cs="Tahoma"/>
          <w:szCs w:val="22"/>
        </w:rPr>
      </w:pPr>
      <w:r w:rsidRPr="00BF6F7C">
        <w:rPr>
          <w:rFonts w:ascii="Palatino Linotype" w:hAnsi="Palatino Linotype" w:cs="Tahoma"/>
          <w:szCs w:val="22"/>
        </w:rPr>
        <w:t>Tipo de procedimiento;</w:t>
      </w:r>
    </w:p>
    <w:p w:rsidRPr="00BF6F7C" w:rsidR="00BF6F7C" w:rsidP="00BF6F7C" w:rsidRDefault="00BF6F7C" w14:paraId="113EDC7D" w14:textId="77777777">
      <w:pPr>
        <w:pStyle w:val="Prrafodelista"/>
        <w:numPr>
          <w:ilvl w:val="0"/>
          <w:numId w:val="33"/>
        </w:numPr>
        <w:autoSpaceDE w:val="0"/>
        <w:autoSpaceDN w:val="0"/>
        <w:adjustRightInd w:val="0"/>
        <w:spacing w:line="360" w:lineRule="auto"/>
        <w:ind w:left="993"/>
        <w:jc w:val="both"/>
        <w:rPr>
          <w:rFonts w:ascii="Palatino Linotype" w:hAnsi="Palatino Linotype" w:cs="Tahoma"/>
          <w:szCs w:val="22"/>
        </w:rPr>
      </w:pPr>
      <w:r w:rsidRPr="00BF6F7C">
        <w:rPr>
          <w:rFonts w:ascii="Palatino Linotype" w:hAnsi="Palatino Linotype" w:cs="Tahoma"/>
          <w:szCs w:val="22"/>
        </w:rPr>
        <w:t>Título, descripción e importe del Contrato;</w:t>
      </w:r>
    </w:p>
    <w:p w:rsidRPr="00BF6F7C" w:rsidR="00BF6F7C" w:rsidP="00BF6F7C" w:rsidRDefault="00BF6F7C" w14:paraId="339D5711" w14:textId="77777777">
      <w:pPr>
        <w:pStyle w:val="Prrafodelista"/>
        <w:numPr>
          <w:ilvl w:val="0"/>
          <w:numId w:val="33"/>
        </w:numPr>
        <w:autoSpaceDE w:val="0"/>
        <w:autoSpaceDN w:val="0"/>
        <w:adjustRightInd w:val="0"/>
        <w:spacing w:line="360" w:lineRule="auto"/>
        <w:ind w:left="993"/>
        <w:jc w:val="both"/>
        <w:rPr>
          <w:rFonts w:ascii="Palatino Linotype" w:hAnsi="Palatino Linotype" w:cs="Tahoma"/>
          <w:szCs w:val="22"/>
        </w:rPr>
      </w:pPr>
      <w:r w:rsidRPr="00BF6F7C">
        <w:rPr>
          <w:rFonts w:ascii="Palatino Linotype" w:hAnsi="Palatino Linotype" w:cs="Tahoma"/>
          <w:szCs w:val="22"/>
        </w:rPr>
        <w:t>Convenio modificatorio;</w:t>
      </w:r>
    </w:p>
    <w:p w:rsidRPr="00BF6F7C" w:rsidR="00BF6F7C" w:rsidP="00BF6F7C" w:rsidRDefault="00BF6F7C" w14:paraId="3621EEBC" w14:textId="77777777">
      <w:pPr>
        <w:pStyle w:val="Prrafodelista"/>
        <w:numPr>
          <w:ilvl w:val="0"/>
          <w:numId w:val="33"/>
        </w:numPr>
        <w:autoSpaceDE w:val="0"/>
        <w:autoSpaceDN w:val="0"/>
        <w:adjustRightInd w:val="0"/>
        <w:spacing w:line="360" w:lineRule="auto"/>
        <w:ind w:left="993"/>
        <w:jc w:val="both"/>
        <w:rPr>
          <w:rFonts w:ascii="Palatino Linotype" w:hAnsi="Palatino Linotype" w:cs="Tahoma"/>
          <w:szCs w:val="22"/>
        </w:rPr>
      </w:pPr>
      <w:r w:rsidRPr="00BF6F7C">
        <w:rPr>
          <w:rFonts w:ascii="Palatino Linotype" w:hAnsi="Palatino Linotype" w:cs="Tahoma"/>
          <w:szCs w:val="22"/>
        </w:rPr>
        <w:t>Nombre y Registro Federal de Contribuyentes del proveedor o contratista, y</w:t>
      </w:r>
    </w:p>
    <w:p w:rsidRPr="00BF6F7C" w:rsidR="00BF6F7C" w:rsidP="00BF6F7C" w:rsidRDefault="00BF6F7C" w14:paraId="4ED067AE" w14:textId="77777777">
      <w:pPr>
        <w:pStyle w:val="Prrafodelista"/>
        <w:numPr>
          <w:ilvl w:val="0"/>
          <w:numId w:val="33"/>
        </w:numPr>
        <w:autoSpaceDE w:val="0"/>
        <w:autoSpaceDN w:val="0"/>
        <w:adjustRightInd w:val="0"/>
        <w:spacing w:line="360" w:lineRule="auto"/>
        <w:ind w:left="993"/>
        <w:jc w:val="both"/>
        <w:rPr>
          <w:rFonts w:ascii="Palatino Linotype" w:hAnsi="Palatino Linotype" w:cs="Tahoma"/>
          <w:szCs w:val="22"/>
        </w:rPr>
      </w:pPr>
      <w:r w:rsidRPr="00BF6F7C">
        <w:rPr>
          <w:rFonts w:ascii="Palatino Linotype" w:hAnsi="Palatino Linotype" w:cs="Tahoma"/>
          <w:szCs w:val="22"/>
        </w:rPr>
        <w:t>Dirección del anuncio.</w:t>
      </w:r>
    </w:p>
    <w:p w:rsidRPr="00BF6F7C" w:rsidR="00BF6F7C" w:rsidP="00BF6F7C" w:rsidRDefault="00BF6F7C" w14:paraId="6699C8E3" w14:textId="77777777">
      <w:pPr>
        <w:tabs>
          <w:tab w:val="left" w:pos="4962"/>
        </w:tabs>
        <w:spacing w:line="360" w:lineRule="auto"/>
        <w:ind w:left="633"/>
        <w:rPr>
          <w:rFonts w:eastAsia="Calibri" w:cs="Tahoma"/>
          <w:iCs/>
          <w:lang w:val="es-ES" w:eastAsia="es-ES_tradnl"/>
        </w:rPr>
      </w:pPr>
    </w:p>
    <w:p w:rsidR="00BF6F7C" w:rsidP="00BF6F7C" w:rsidRDefault="00BF6F7C" w14:paraId="34BC955E" w14:textId="77777777">
      <w:pPr>
        <w:pStyle w:val="Prrafodelista"/>
        <w:tabs>
          <w:tab w:val="left" w:pos="4962"/>
        </w:tabs>
        <w:spacing w:line="360" w:lineRule="auto"/>
        <w:jc w:val="both"/>
        <w:rPr>
          <w:rFonts w:ascii="Palatino Linotype" w:hAnsi="Palatino Linotype" w:eastAsia="Calibri" w:cs="Tahoma"/>
          <w:iCs/>
          <w:lang w:val="es-ES" w:eastAsia="es-ES_tradnl"/>
        </w:rPr>
      </w:pPr>
    </w:p>
    <w:p w:rsidRPr="00BF6F7C" w:rsidR="00BF6F7C" w:rsidP="00BF6F7C" w:rsidRDefault="00BF6F7C" w14:paraId="4F6A6CEB" w14:textId="70A064A8">
      <w:pPr>
        <w:pStyle w:val="Prrafodelista"/>
        <w:numPr>
          <w:ilvl w:val="0"/>
          <w:numId w:val="32"/>
        </w:numPr>
        <w:tabs>
          <w:tab w:val="left" w:pos="4962"/>
        </w:tabs>
        <w:spacing w:line="360" w:lineRule="auto"/>
        <w:jc w:val="both"/>
        <w:rPr>
          <w:rFonts w:ascii="Palatino Linotype" w:hAnsi="Palatino Linotype" w:eastAsia="Calibri" w:cs="Tahoma"/>
          <w:iCs/>
          <w:lang w:val="es-ES" w:eastAsia="es-ES_tradnl"/>
        </w:rPr>
      </w:pPr>
      <w:r>
        <w:rPr>
          <w:rFonts w:ascii="Palatino Linotype" w:hAnsi="Palatino Linotype" w:eastAsia="Calibri" w:cs="Tahoma"/>
          <w:iCs/>
          <w:lang w:val="es-ES" w:eastAsia="es-ES_tradnl"/>
        </w:rPr>
        <w:t>Listado de proveedores</w:t>
      </w:r>
      <w:r w:rsidR="00BF6219">
        <w:rPr>
          <w:rFonts w:ascii="Palatino Linotype" w:hAnsi="Palatino Linotype" w:eastAsia="Calibri" w:cs="Tahoma"/>
          <w:iCs/>
          <w:lang w:val="es-ES" w:eastAsia="es-ES_tradnl"/>
        </w:rPr>
        <w:t>.</w:t>
      </w:r>
    </w:p>
    <w:p w:rsidR="00BF6F7C" w:rsidP="00B034A6" w:rsidRDefault="00BF6F7C" w14:paraId="5234790B" w14:textId="77777777">
      <w:pPr>
        <w:tabs>
          <w:tab w:val="left" w:pos="4962"/>
        </w:tabs>
        <w:spacing w:after="0" w:line="360" w:lineRule="auto"/>
        <w:rPr>
          <w:rFonts w:eastAsia="Calibri" w:cs="Tahoma"/>
          <w:iCs/>
          <w:lang w:val="es-ES" w:eastAsia="es-ES_tradnl"/>
        </w:rPr>
      </w:pPr>
    </w:p>
    <w:p w:rsidR="00EF5D50" w:rsidP="00B034A6" w:rsidRDefault="00FE24DD" w14:paraId="1934417A" w14:textId="3A33B034">
      <w:pPr>
        <w:spacing w:after="0" w:line="360" w:lineRule="auto"/>
        <w:rPr>
          <w:rFonts w:cs="Tahoma"/>
          <w:bCs/>
          <w:iCs/>
          <w:lang w:val="es-ES"/>
        </w:rPr>
      </w:pPr>
      <w:r w:rsidRPr="00060140">
        <w:rPr>
          <w:rFonts w:cs="Tahoma"/>
          <w:bCs/>
          <w:iCs/>
          <w:lang w:val="es-ES"/>
        </w:rPr>
        <w:t>En respuest</w:t>
      </w:r>
      <w:r w:rsidRPr="00060140" w:rsidR="004947D8">
        <w:rPr>
          <w:rFonts w:cs="Tahoma"/>
          <w:bCs/>
          <w:iCs/>
          <w:lang w:val="es-ES"/>
        </w:rPr>
        <w:t>a, el Sujeto Obligado</w:t>
      </w:r>
      <w:r w:rsidRPr="00060140" w:rsidR="004E2C2D">
        <w:rPr>
          <w:rFonts w:cs="Tahoma"/>
          <w:bCs/>
          <w:iCs/>
          <w:lang w:val="es-ES"/>
        </w:rPr>
        <w:t xml:space="preserve">, </w:t>
      </w:r>
      <w:r w:rsidRPr="00060140" w:rsidR="00E7757A">
        <w:rPr>
          <w:rFonts w:cs="Tahoma"/>
          <w:bCs/>
          <w:iCs/>
          <w:lang w:val="es-ES"/>
        </w:rPr>
        <w:t>a</w:t>
      </w:r>
      <w:r w:rsidR="00E7757A">
        <w:rPr>
          <w:rFonts w:cs="Tahoma"/>
          <w:bCs/>
          <w:iCs/>
          <w:lang w:val="es-ES"/>
        </w:rPr>
        <w:t xml:space="preserve"> través del Director de Obras Públicas </w:t>
      </w:r>
      <w:r w:rsidR="004E2C2D">
        <w:rPr>
          <w:rFonts w:cs="Tahoma"/>
          <w:bCs/>
          <w:iCs/>
          <w:lang w:val="es-ES"/>
        </w:rPr>
        <w:t>precisó</w:t>
      </w:r>
      <w:r w:rsidR="007A19CA">
        <w:rPr>
          <w:rFonts w:cs="Tahoma"/>
          <w:bCs/>
          <w:iCs/>
          <w:lang w:val="es-ES"/>
        </w:rPr>
        <w:t>, por una parte,</w:t>
      </w:r>
      <w:r w:rsidR="004E2C2D">
        <w:rPr>
          <w:rFonts w:cs="Tahoma"/>
          <w:bCs/>
          <w:iCs/>
          <w:lang w:val="es-ES"/>
        </w:rPr>
        <w:t xml:space="preserve"> que</w:t>
      </w:r>
      <w:r w:rsidR="00D86422">
        <w:rPr>
          <w:rFonts w:cs="Tahoma"/>
          <w:bCs/>
          <w:iCs/>
          <w:lang w:val="es-ES"/>
        </w:rPr>
        <w:t xml:space="preserve"> no obra en sus archivos</w:t>
      </w:r>
      <w:r w:rsidR="004E2C2D">
        <w:rPr>
          <w:rFonts w:cs="Tahoma"/>
          <w:bCs/>
          <w:iCs/>
          <w:lang w:val="es-ES"/>
        </w:rPr>
        <w:t xml:space="preserve"> </w:t>
      </w:r>
      <w:r w:rsidR="004947D8">
        <w:rPr>
          <w:rFonts w:cs="Tahoma"/>
          <w:bCs/>
          <w:iCs/>
          <w:lang w:val="es-ES"/>
        </w:rPr>
        <w:t xml:space="preserve">la información </w:t>
      </w:r>
      <w:r w:rsidR="00E7757A">
        <w:rPr>
          <w:rFonts w:cs="Tahoma"/>
          <w:bCs/>
          <w:iCs/>
          <w:lang w:val="es-ES"/>
        </w:rPr>
        <w:t>relacionada a los años 20</w:t>
      </w:r>
      <w:r w:rsidRPr="00E7757A" w:rsidR="00E7757A">
        <w:rPr>
          <w:rFonts w:cs="Tahoma"/>
          <w:bCs/>
          <w:iCs/>
          <w:lang w:val="es-ES"/>
        </w:rPr>
        <w:t>12</w:t>
      </w:r>
      <w:r w:rsidR="00D86422">
        <w:rPr>
          <w:rFonts w:cs="Tahoma"/>
          <w:bCs/>
          <w:iCs/>
          <w:lang w:val="es-ES"/>
        </w:rPr>
        <w:t xml:space="preserve"> a </w:t>
      </w:r>
      <w:r w:rsidRPr="00D86422" w:rsidR="00D86422">
        <w:rPr>
          <w:rFonts w:cs="Tahoma"/>
          <w:bCs/>
          <w:iCs/>
          <w:lang w:val="es-ES"/>
        </w:rPr>
        <w:t>2016</w:t>
      </w:r>
      <w:r w:rsidR="009D0DF5">
        <w:rPr>
          <w:rFonts w:cs="Tahoma"/>
          <w:bCs/>
          <w:iCs/>
          <w:lang w:val="es-ES"/>
        </w:rPr>
        <w:t xml:space="preserve">, por tal motivo </w:t>
      </w:r>
      <w:r w:rsidR="00D86422">
        <w:rPr>
          <w:rFonts w:cs="Tahoma"/>
          <w:bCs/>
          <w:iCs/>
          <w:lang w:val="es-ES"/>
        </w:rPr>
        <w:t>solicitó extender la solicitud al Archivo Municipal</w:t>
      </w:r>
      <w:r w:rsidR="009D0DF5">
        <w:rPr>
          <w:rFonts w:cs="Tahoma"/>
          <w:bCs/>
          <w:iCs/>
          <w:lang w:val="es-ES"/>
        </w:rPr>
        <w:t xml:space="preserve">, </w:t>
      </w:r>
      <w:r w:rsidR="00D86422">
        <w:rPr>
          <w:rFonts w:cs="Tahoma"/>
          <w:bCs/>
          <w:iCs/>
          <w:lang w:val="es-ES"/>
        </w:rPr>
        <w:t xml:space="preserve">en cuanto a </w:t>
      </w:r>
      <w:r w:rsidRPr="00D86422" w:rsidR="00D86422">
        <w:rPr>
          <w:rFonts w:cs="Tahoma"/>
          <w:bCs/>
          <w:iCs/>
          <w:lang w:val="es-ES"/>
        </w:rPr>
        <w:t>2017 y 2018</w:t>
      </w:r>
      <w:r w:rsidR="00D86422">
        <w:rPr>
          <w:rFonts w:cs="Tahoma"/>
          <w:bCs/>
          <w:iCs/>
          <w:lang w:val="es-ES"/>
        </w:rPr>
        <w:t xml:space="preserve"> manifestó que la información no fue entregada en el acto de entrega recepción realizada el primero de enero de dos mil veintidós</w:t>
      </w:r>
      <w:r w:rsidR="0091163D">
        <w:rPr>
          <w:rFonts w:cs="Tahoma"/>
          <w:bCs/>
          <w:iCs/>
          <w:lang w:val="es-ES"/>
        </w:rPr>
        <w:t xml:space="preserve">, sin embargo en el caso de </w:t>
      </w:r>
      <w:r w:rsidRPr="0091163D" w:rsidR="0091163D">
        <w:rPr>
          <w:rFonts w:cs="Tahoma"/>
          <w:bCs/>
          <w:iCs/>
          <w:lang w:val="es-ES"/>
        </w:rPr>
        <w:t>2018</w:t>
      </w:r>
      <w:r w:rsidR="0091163D">
        <w:rPr>
          <w:rFonts w:cs="Tahoma"/>
          <w:bCs/>
          <w:iCs/>
          <w:lang w:val="es-ES"/>
        </w:rPr>
        <w:t xml:space="preserve"> puede ser consultada en el portal de </w:t>
      </w:r>
      <w:r w:rsidR="00D86422">
        <w:rPr>
          <w:rFonts w:cs="Tahoma"/>
          <w:bCs/>
          <w:iCs/>
          <w:lang w:val="es-ES"/>
        </w:rPr>
        <w:t xml:space="preserve"> </w:t>
      </w:r>
      <w:r w:rsidR="0091163D">
        <w:rPr>
          <w:rFonts w:cs="Tahoma"/>
          <w:bCs/>
          <w:iCs/>
          <w:lang w:val="es-ES"/>
        </w:rPr>
        <w:t>Información Pública de Oficio Mexiquense (Ipomex)</w:t>
      </w:r>
      <w:r w:rsidR="00FE652B">
        <w:rPr>
          <w:rFonts w:cs="Tahoma"/>
          <w:bCs/>
          <w:iCs/>
          <w:lang w:val="es-ES"/>
        </w:rPr>
        <w:t>,</w:t>
      </w:r>
      <w:r w:rsidR="0091163D">
        <w:rPr>
          <w:rFonts w:cs="Tahoma"/>
          <w:bCs/>
          <w:iCs/>
          <w:lang w:val="es-ES"/>
        </w:rPr>
        <w:t xml:space="preserve"> así mismo informó que no lleva a cabo procedimientos de adquisiciones, arrendamientos y servicios, de acuerdo con sus atribuciones</w:t>
      </w:r>
      <w:r w:rsidR="00FE652B">
        <w:rPr>
          <w:rFonts w:cs="Tahoma"/>
          <w:bCs/>
          <w:iCs/>
          <w:lang w:val="es-ES"/>
        </w:rPr>
        <w:t xml:space="preserve"> y, por otra parte, </w:t>
      </w:r>
      <w:r w:rsidR="001E0950">
        <w:rPr>
          <w:rFonts w:cs="Tahoma"/>
          <w:bCs/>
          <w:iCs/>
          <w:lang w:val="es-ES"/>
        </w:rPr>
        <w:t>el Secretario del Ayuntamiento informó que tras la búsqueda exhaustiva, encontró información a partir de dos mil doce hasta el año dos mil quince y proporcionó una relación</w:t>
      </w:r>
      <w:r w:rsidR="00557E6D">
        <w:rPr>
          <w:rFonts w:cs="Tahoma"/>
          <w:bCs/>
          <w:iCs/>
          <w:lang w:val="es-ES"/>
        </w:rPr>
        <w:t xml:space="preserve"> de contratos de obras, prestaciones de servicios y/o bienes</w:t>
      </w:r>
      <w:r w:rsidR="00062470">
        <w:rPr>
          <w:rFonts w:cs="Tahoma"/>
          <w:bCs/>
          <w:iCs/>
          <w:lang w:val="es-ES"/>
        </w:rPr>
        <w:t>;</w:t>
      </w:r>
      <w:r w:rsidR="00EF5D50">
        <w:rPr>
          <w:rFonts w:cs="Tahoma"/>
          <w:bCs/>
          <w:iCs/>
          <w:lang w:val="es-ES"/>
        </w:rPr>
        <w:t xml:space="preserve"> </w:t>
      </w:r>
      <w:r w:rsidRPr="00EF5D50" w:rsidR="00EF5D50">
        <w:rPr>
          <w:rFonts w:cs="Tahoma"/>
          <w:bCs/>
          <w:iCs/>
        </w:rPr>
        <w:t xml:space="preserve">ante dicha circunstancia, la parte Recurrente se inconformó de la entrega de información </w:t>
      </w:r>
      <w:r w:rsidR="00557E6D">
        <w:rPr>
          <w:rFonts w:cs="Tahoma"/>
          <w:bCs/>
          <w:iCs/>
        </w:rPr>
        <w:t>ilegible e incompleta</w:t>
      </w:r>
      <w:r w:rsidRPr="00EF5D50" w:rsidR="00EF5D50">
        <w:rPr>
          <w:rFonts w:cs="Tahoma"/>
          <w:bCs/>
          <w:iCs/>
          <w:lang w:val="es-ES"/>
        </w:rPr>
        <w:t xml:space="preserve">, lo cual actualiza el supuesto previsto </w:t>
      </w:r>
      <w:r w:rsidR="00FA0E83">
        <w:rPr>
          <w:rFonts w:cs="Tahoma"/>
          <w:bCs/>
          <w:iCs/>
          <w:lang w:val="es-ES"/>
        </w:rPr>
        <w:t>en el artículo 179, fracci</w:t>
      </w:r>
      <w:r w:rsidR="00557E6D">
        <w:rPr>
          <w:rFonts w:cs="Tahoma"/>
          <w:bCs/>
          <w:iCs/>
          <w:lang w:val="es-ES"/>
        </w:rPr>
        <w:t>ones V y IX</w:t>
      </w:r>
      <w:r w:rsidRPr="00EF5D50" w:rsidR="00EF5D50">
        <w:rPr>
          <w:rFonts w:cs="Tahoma"/>
          <w:bCs/>
          <w:iCs/>
          <w:lang w:val="es-ES"/>
        </w:rPr>
        <w:t>, de la Ley de Transparencia y Acceso a la Información Pública del Estado de México y Municipios</w:t>
      </w:r>
      <w:r w:rsidRPr="00EF5D50" w:rsidR="00EF5D50">
        <w:rPr>
          <w:rFonts w:cs="Tahoma"/>
          <w:bCs/>
          <w:iCs/>
          <w:lang w:val="es-ES_tradnl"/>
        </w:rPr>
        <w:t>.</w:t>
      </w:r>
    </w:p>
    <w:p w:rsidR="00B87F73" w:rsidP="00B034A6" w:rsidRDefault="00B87F73" w14:paraId="6BFB9DA5" w14:textId="2EDBAC38">
      <w:pPr>
        <w:spacing w:after="0" w:line="360" w:lineRule="auto"/>
        <w:rPr>
          <w:rFonts w:cs="Tahoma"/>
          <w:bCs/>
          <w:iCs/>
          <w:lang w:val="es-ES"/>
        </w:rPr>
      </w:pPr>
    </w:p>
    <w:p w:rsidRPr="000D0DEF" w:rsidR="00B87F73" w:rsidP="00B034A6" w:rsidRDefault="00B87F73" w14:paraId="3C6A9BC3" w14:textId="405FC410">
      <w:pPr>
        <w:tabs>
          <w:tab w:val="left" w:pos="4962"/>
        </w:tabs>
        <w:spacing w:after="0" w:line="360" w:lineRule="auto"/>
        <w:ind w:right="-28"/>
        <w:rPr>
          <w:rFonts w:eastAsia="Times New Roman" w:cs="Tahoma"/>
          <w:bCs/>
          <w:iCs/>
          <w:color w:val="auto"/>
          <w:lang w:val="es-ES_tradnl" w:eastAsia="es-ES"/>
        </w:rPr>
      </w:pPr>
      <w:r w:rsidRPr="00B87F73">
        <w:rPr>
          <w:rFonts w:eastAsia="Times New Roman" w:cs="Tahoma"/>
          <w:bCs/>
          <w:iCs/>
          <w:color w:val="000000"/>
          <w:lang w:eastAsia="es-ES"/>
        </w:rPr>
        <w:t xml:space="preserve">Así las cosas, una vez interpuesto y notificado el Recurso de Revisión a las partes, el </w:t>
      </w:r>
      <w:r>
        <w:rPr>
          <w:rFonts w:eastAsia="Times New Roman" w:cs="Tahoma"/>
          <w:bCs/>
          <w:iCs/>
          <w:color w:val="000000"/>
          <w:lang w:eastAsia="es-ES"/>
        </w:rPr>
        <w:t xml:space="preserve">Director de Obras y Desarrollo Urbano </w:t>
      </w:r>
      <w:r w:rsidR="004C4E10">
        <w:rPr>
          <w:rFonts w:eastAsia="Times New Roman" w:cs="Tahoma"/>
          <w:bCs/>
          <w:iCs/>
          <w:color w:val="000000"/>
          <w:lang w:eastAsia="es-ES"/>
        </w:rPr>
        <w:t>ratificó su respuesta y reiteró que la información de los años 2015</w:t>
      </w:r>
      <w:r w:rsidRPr="004C4E10" w:rsidR="004C4E10">
        <w:rPr>
          <w:rFonts w:eastAsia="Times New Roman" w:cs="Tahoma"/>
          <w:bCs/>
          <w:iCs/>
          <w:color w:val="000000"/>
          <w:lang w:eastAsia="es-ES"/>
        </w:rPr>
        <w:t xml:space="preserve"> a 2018 no obran en sus archivos</w:t>
      </w:r>
      <w:r w:rsidRPr="00B87F73">
        <w:rPr>
          <w:rFonts w:eastAsia="Times New Roman" w:cs="Tahoma"/>
          <w:bCs/>
          <w:iCs/>
          <w:color w:val="000000"/>
          <w:lang w:eastAsia="es-ES"/>
        </w:rPr>
        <w:t xml:space="preserve">, </w:t>
      </w:r>
      <w:r w:rsidR="004C4E10">
        <w:rPr>
          <w:rFonts w:eastAsia="Times New Roman" w:cs="Tahoma"/>
          <w:bCs/>
          <w:iCs/>
          <w:color w:val="000000"/>
          <w:lang w:eastAsia="es-ES"/>
        </w:rPr>
        <w:t xml:space="preserve">así mismo remitió un listado de contratos de obra licitados de </w:t>
      </w:r>
      <w:r w:rsidRPr="004C4E10" w:rsidR="004C4E10">
        <w:rPr>
          <w:rFonts w:eastAsia="Times New Roman" w:cs="Tahoma"/>
          <w:bCs/>
          <w:iCs/>
          <w:color w:val="000000"/>
          <w:lang w:eastAsia="es-ES"/>
        </w:rPr>
        <w:t>2019</w:t>
      </w:r>
      <w:r w:rsidR="004C4E10">
        <w:rPr>
          <w:rFonts w:eastAsia="Times New Roman" w:cs="Tahoma"/>
          <w:bCs/>
          <w:iCs/>
          <w:color w:val="000000"/>
          <w:lang w:eastAsia="es-ES"/>
        </w:rPr>
        <w:t xml:space="preserve"> a </w:t>
      </w:r>
      <w:r w:rsidRPr="004C4E10" w:rsidR="004C4E10">
        <w:rPr>
          <w:rFonts w:eastAsia="Times New Roman" w:cs="Tahoma"/>
          <w:bCs/>
          <w:iCs/>
          <w:color w:val="000000"/>
          <w:lang w:eastAsia="es-ES"/>
        </w:rPr>
        <w:t>2021</w:t>
      </w:r>
      <w:r w:rsidRPr="00B87F73">
        <w:rPr>
          <w:rFonts w:eastAsia="Times New Roman" w:cs="Tahoma"/>
          <w:bCs/>
          <w:iCs/>
          <w:color w:val="000000"/>
          <w:lang w:eastAsia="es-ES"/>
        </w:rPr>
        <w:t xml:space="preserve">, </w:t>
      </w:r>
      <w:r w:rsidR="000D0DEF">
        <w:rPr>
          <w:rFonts w:eastAsia="Times New Roman" w:cs="Tahoma"/>
          <w:bCs/>
          <w:iCs/>
          <w:color w:val="000000"/>
          <w:lang w:eastAsia="es-ES"/>
        </w:rPr>
        <w:t>por otro lado, el Tesorero Municipal remitió un listado de proveedores de bienes y servicios de dos mil veintidós.</w:t>
      </w:r>
    </w:p>
    <w:p w:rsidR="008C23E3" w:rsidP="00B034A6" w:rsidRDefault="008C23E3" w14:paraId="0A57C759" w14:textId="04C09E1F">
      <w:pPr>
        <w:pStyle w:val="NormalWeb"/>
        <w:spacing w:after="0" w:line="360" w:lineRule="auto"/>
        <w:ind w:right="-28"/>
        <w:rPr>
          <w:rFonts w:ascii="Palatino Linotype" w:hAnsi="Palatino Linotype" w:cs="Tahoma"/>
          <w:bCs/>
          <w:iCs/>
          <w:color w:val="auto"/>
          <w:sz w:val="22"/>
          <w:szCs w:val="22"/>
          <w:lang w:val="es-ES" w:eastAsia="es-ES"/>
        </w:rPr>
      </w:pPr>
    </w:p>
    <w:p w:rsidR="00066B31" w:rsidP="00B034A6" w:rsidRDefault="00066B31" w14:paraId="436F8DAB" w14:textId="4A9EFC92">
      <w:pPr>
        <w:tabs>
          <w:tab w:val="left" w:pos="4962"/>
        </w:tabs>
        <w:spacing w:after="0" w:line="360" w:lineRule="auto"/>
        <w:rPr>
          <w:rFonts w:eastAsia="Calibri" w:cs="Tahoma"/>
          <w:bCs/>
        </w:rPr>
      </w:pPr>
      <w:r w:rsidRPr="00446963">
        <w:rPr>
          <w:rFonts w:eastAsia="Calibri" w:cs="Tahoma"/>
          <w:iCs/>
          <w:lang w:val="es-ES" w:eastAsia="es-ES_tradnl"/>
        </w:rPr>
        <w:t>Lo anterior, se desprende de las documentales que obran en los expedientes de referencia, materia de la presente resolución, consistente en: la solicitud de acceso a la información</w:t>
      </w:r>
      <w:r w:rsidR="00062470">
        <w:rPr>
          <w:rFonts w:eastAsia="Calibri" w:cs="Tahoma"/>
          <w:iCs/>
          <w:lang w:val="es-ES" w:eastAsia="es-ES_tradnl"/>
        </w:rPr>
        <w:t>; la respuesta entregad</w:t>
      </w:r>
      <w:r w:rsidR="00FA0E83">
        <w:rPr>
          <w:rFonts w:eastAsia="Calibri" w:cs="Tahoma"/>
          <w:iCs/>
          <w:lang w:val="es-ES" w:eastAsia="es-ES_tradnl"/>
        </w:rPr>
        <w:t>a</w:t>
      </w:r>
      <w:r w:rsidR="000D0DEF">
        <w:rPr>
          <w:rFonts w:eastAsia="Calibri" w:cs="Tahoma"/>
          <w:iCs/>
          <w:lang w:val="es-ES" w:eastAsia="es-ES_tradnl"/>
        </w:rPr>
        <w:t xml:space="preserve">, </w:t>
      </w:r>
      <w:r w:rsidRPr="00446963">
        <w:rPr>
          <w:rFonts w:eastAsia="Calibri" w:cs="Tahoma"/>
          <w:iCs/>
          <w:lang w:eastAsia="es-ES_tradnl"/>
        </w:rPr>
        <w:t>el escrito recursal</w:t>
      </w:r>
      <w:r w:rsidR="000D0DEF">
        <w:rPr>
          <w:rFonts w:eastAsia="Calibri" w:cs="Tahoma"/>
          <w:iCs/>
          <w:lang w:eastAsia="es-ES_tradnl"/>
        </w:rPr>
        <w:t xml:space="preserve"> y el informe con justificación</w:t>
      </w:r>
      <w:r w:rsidRPr="00446963">
        <w:rPr>
          <w:rFonts w:eastAsia="Calibri" w:cs="Tahoma"/>
          <w:iCs/>
          <w:lang w:eastAsia="es-ES_tradnl"/>
        </w:rPr>
        <w:t xml:space="preserve">; </w:t>
      </w:r>
      <w:r w:rsidRPr="00446963">
        <w:rPr>
          <w:rFonts w:eastAsia="Calibri" w:cs="Tahoma"/>
          <w:bCs/>
        </w:rPr>
        <w:t xml:space="preserve">instrumentales que se toman en cuenta a efecto de resolver el presente medio de impugnación, conforme a lo </w:t>
      </w:r>
      <w:r w:rsidRPr="00446963">
        <w:rPr>
          <w:rFonts w:eastAsia="Calibri" w:cs="Tahoma"/>
          <w:bCs/>
        </w:rPr>
        <w:lastRenderedPageBreak/>
        <w:t>dispuesto por el artículo 185, fracción IV, de la Ley de Transparencia y Acceso a la Información Pública del Estado de México y Municipios.</w:t>
      </w:r>
    </w:p>
    <w:p w:rsidRPr="00446963" w:rsidR="000D0DEF" w:rsidP="00B034A6" w:rsidRDefault="000D0DEF" w14:paraId="5DF992BF" w14:textId="77777777">
      <w:pPr>
        <w:tabs>
          <w:tab w:val="left" w:pos="4962"/>
        </w:tabs>
        <w:spacing w:after="0" w:line="360" w:lineRule="auto"/>
        <w:rPr>
          <w:rFonts w:eastAsia="Calibri" w:cs="Tahoma"/>
          <w:bCs/>
        </w:rPr>
      </w:pPr>
    </w:p>
    <w:p w:rsidRPr="00446963" w:rsidR="00066B31" w:rsidP="00B034A6" w:rsidRDefault="00066B31" w14:paraId="299AB0F0" w14:textId="77777777">
      <w:pPr>
        <w:spacing w:after="0" w:line="360" w:lineRule="auto"/>
        <w:rPr>
          <w:rFonts w:cs="Tahoma"/>
          <w:b/>
        </w:rPr>
      </w:pPr>
      <w:r w:rsidRPr="00446963">
        <w:rPr>
          <w:rFonts w:cs="Tahoma"/>
          <w:b/>
          <w:lang w:val="es-ES"/>
        </w:rPr>
        <w:t xml:space="preserve">CUARTO. </w:t>
      </w:r>
      <w:r w:rsidRPr="00446963">
        <w:rPr>
          <w:rFonts w:cs="Tahoma"/>
          <w:b/>
        </w:rPr>
        <w:t>Marco normativo aplicable en materia de transparencia y acceso a la información pública.</w:t>
      </w:r>
    </w:p>
    <w:p w:rsidRPr="00446963" w:rsidR="00066B31" w:rsidP="00B034A6" w:rsidRDefault="00066B31" w14:paraId="2E82BC88" w14:textId="77777777">
      <w:pPr>
        <w:spacing w:after="0" w:line="360" w:lineRule="auto"/>
        <w:rPr>
          <w:rFonts w:cs="Tahoma"/>
          <w:b/>
        </w:rPr>
      </w:pPr>
    </w:p>
    <w:p w:rsidRPr="00446963" w:rsidR="00066B31" w:rsidP="00B034A6" w:rsidRDefault="00066B31" w14:paraId="688782F9" w14:textId="77777777">
      <w:pPr>
        <w:widowControl w:val="0"/>
        <w:spacing w:after="0" w:line="360" w:lineRule="auto"/>
        <w:rPr>
          <w:rFonts w:eastAsia="Times New Roman" w:cs="Tahoma"/>
          <w:lang w:eastAsia="es-MX"/>
        </w:rPr>
      </w:pPr>
      <w:r w:rsidRPr="00446963">
        <w:rPr>
          <w:rFonts w:eastAsia="Times New Roman" w:cs="Tahoma"/>
          <w:lang w:eastAsia="es-MX"/>
        </w:rPr>
        <w:t>El artículo 6°, Apartado A), fracción I de la Constitución Política de los Estados Unidos Mexicanos, establece que toda la información en posesión de cualquier autoridad, es pública y sólo podrá ser reservada temporalmente por razones de interés público.</w:t>
      </w:r>
    </w:p>
    <w:p w:rsidRPr="00446963" w:rsidR="00066B31" w:rsidP="00B034A6" w:rsidRDefault="00066B31" w14:paraId="31B874EE" w14:textId="77777777">
      <w:pPr>
        <w:widowControl w:val="0"/>
        <w:spacing w:after="0" w:line="360" w:lineRule="auto"/>
        <w:rPr>
          <w:rFonts w:eastAsia="Times New Roman" w:cs="Tahoma"/>
          <w:lang w:eastAsia="es-MX"/>
        </w:rPr>
      </w:pPr>
    </w:p>
    <w:p w:rsidRPr="00446963" w:rsidR="00066B31" w:rsidP="00B034A6" w:rsidRDefault="00066B31" w14:paraId="0C6AAC93" w14:textId="77777777">
      <w:pPr>
        <w:widowControl w:val="0"/>
        <w:spacing w:after="0" w:line="360" w:lineRule="auto"/>
        <w:rPr>
          <w:rFonts w:eastAsia="Times New Roman" w:cs="Tahoma"/>
          <w:lang w:eastAsia="es-MX"/>
        </w:rPr>
      </w:pPr>
      <w:r w:rsidRPr="00446963">
        <w:rPr>
          <w:rFonts w:eastAsia="Times New Roman" w:cs="Tahoma"/>
          <w:lang w:eastAsia="es-MX"/>
        </w:rPr>
        <w:t>La Ley General de Transparencia y Acceso a la Información Pública, dispone en su artículo 70, la información que se considera corresponde a las Obligaciones de Transparencia, la cual debe estar disponible para cualquier persona de manera permanente y actualizada.</w:t>
      </w:r>
    </w:p>
    <w:p w:rsidRPr="00446963" w:rsidR="00066B31" w:rsidP="00B034A6" w:rsidRDefault="00066B31" w14:paraId="736B3C45" w14:textId="77777777">
      <w:pPr>
        <w:widowControl w:val="0"/>
        <w:spacing w:after="0" w:line="360" w:lineRule="auto"/>
        <w:rPr>
          <w:rFonts w:eastAsia="Times New Roman" w:cs="Tahoma"/>
          <w:lang w:eastAsia="es-MX"/>
        </w:rPr>
      </w:pPr>
    </w:p>
    <w:p w:rsidRPr="00446963" w:rsidR="00066B31" w:rsidP="00B034A6" w:rsidRDefault="00066B31" w14:paraId="73F41E19" w14:textId="77777777">
      <w:pPr>
        <w:spacing w:after="0" w:line="360" w:lineRule="auto"/>
        <w:rPr>
          <w:rFonts w:eastAsia="Times New Roman" w:cs="Tahoma"/>
          <w:lang w:eastAsia="es-MX"/>
        </w:rPr>
      </w:pPr>
      <w:r w:rsidRPr="00446963">
        <w:rPr>
          <w:rFonts w:eastAsia="Times New Roman" w:cs="Tahoma"/>
          <w:lang w:eastAsia="es-MX"/>
        </w:rPr>
        <w:t>Por su parte, en materia local, el artículo 5°, fracción I de la Constitución Política del Estado Libre y Soberano de México, es coincidente con la Constitución Política de los Estados Unidos Mexicanos,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rsidRPr="00446963" w:rsidR="00066B31" w:rsidP="00B034A6" w:rsidRDefault="00066B31" w14:paraId="773388CF" w14:textId="77777777">
      <w:pPr>
        <w:widowControl w:val="0"/>
        <w:spacing w:after="0" w:line="360" w:lineRule="auto"/>
        <w:rPr>
          <w:rFonts w:eastAsia="Times New Roman" w:cs="Tahoma"/>
          <w:lang w:eastAsia="es-MX"/>
        </w:rPr>
      </w:pPr>
    </w:p>
    <w:p w:rsidRPr="00446963" w:rsidR="00066B31" w:rsidP="00B034A6" w:rsidRDefault="00066B31" w14:paraId="0F14646A" w14:textId="77777777">
      <w:pPr>
        <w:widowControl w:val="0"/>
        <w:spacing w:after="0" w:line="360" w:lineRule="auto"/>
        <w:rPr>
          <w:rFonts w:eastAsia="Times New Roman" w:cs="Tahoma"/>
          <w:lang w:eastAsia="es-MX"/>
        </w:rPr>
      </w:pPr>
      <w:r w:rsidRPr="00446963">
        <w:rPr>
          <w:rFonts w:eastAsia="Times New Roman" w:cs="Tahoma"/>
          <w:lang w:eastAsia="es-MX"/>
        </w:rPr>
        <w:t>Por su parte, la Ley de Transparencia y Acceso a la Información Pública del Estado de México y Municipios (Reglamentaria del artículo 5° de la Constitución Local), establece lo siguiente:</w:t>
      </w:r>
    </w:p>
    <w:p w:rsidR="00066B31" w:rsidP="00B034A6" w:rsidRDefault="00066B31" w14:paraId="1C5CE9B0" w14:textId="7A498C63">
      <w:pPr>
        <w:widowControl w:val="0"/>
        <w:spacing w:after="0" w:line="360" w:lineRule="auto"/>
        <w:rPr>
          <w:rFonts w:eastAsia="Times New Roman" w:cs="Tahoma"/>
          <w:lang w:eastAsia="es-MX"/>
        </w:rPr>
      </w:pPr>
    </w:p>
    <w:p w:rsidRPr="00446963" w:rsidR="00066B31" w:rsidP="00B034A6" w:rsidRDefault="00066B31" w14:paraId="337DBABD" w14:textId="77777777">
      <w:pPr>
        <w:widowControl w:val="0"/>
        <w:spacing w:after="0" w:line="360" w:lineRule="auto"/>
        <w:rPr>
          <w:rFonts w:eastAsia="Times New Roman" w:cs="Tahoma"/>
          <w:lang w:eastAsia="es-MX"/>
        </w:rPr>
      </w:pPr>
      <w:r w:rsidRPr="00446963">
        <w:rPr>
          <w:rFonts w:eastAsia="Times New Roman" w:cs="Tahoma"/>
          <w:lang w:eastAsia="es-MX"/>
        </w:rPr>
        <w:t>El artículo 12, que, quienes generen, recopilen, administren, manejen, procesen, archiven o conserven información pública serán responsables de la misma.</w:t>
      </w:r>
    </w:p>
    <w:p w:rsidR="00066B31" w:rsidP="00B034A6" w:rsidRDefault="00066B31" w14:paraId="7971A82B" w14:textId="77777777">
      <w:pPr>
        <w:widowControl w:val="0"/>
        <w:spacing w:after="0" w:line="360" w:lineRule="auto"/>
        <w:rPr>
          <w:rFonts w:eastAsia="Times New Roman" w:cs="Tahoma"/>
          <w:lang w:eastAsia="es-MX"/>
        </w:rPr>
      </w:pPr>
    </w:p>
    <w:p w:rsidRPr="00446963" w:rsidR="00066B31" w:rsidP="00B034A6" w:rsidRDefault="00066B31" w14:paraId="184D6CB7" w14:textId="77777777">
      <w:pPr>
        <w:widowControl w:val="0"/>
        <w:spacing w:after="0" w:line="360" w:lineRule="auto"/>
        <w:rPr>
          <w:rFonts w:eastAsia="Times New Roman" w:cs="Tahoma"/>
          <w:lang w:eastAsia="es-MX"/>
        </w:rPr>
      </w:pPr>
      <w:r w:rsidRPr="00446963">
        <w:rPr>
          <w:rFonts w:eastAsia="Times New Roman" w:cs="Tahoma"/>
          <w:lang w:eastAsia="es-MX"/>
        </w:rPr>
        <w:t xml:space="preserve">El artículo 18, que, los Sujetos Obligados deberán documentar todo acto que derive del ejercicio </w:t>
      </w:r>
      <w:r w:rsidRPr="00446963">
        <w:rPr>
          <w:rFonts w:eastAsia="Times New Roman" w:cs="Tahoma"/>
          <w:lang w:eastAsia="es-MX"/>
        </w:rPr>
        <w:lastRenderedPageBreak/>
        <w:t>de sus facultades, competencias o funciones, considerando desde su origen la eventual publicidad y reutilización de la información que generen.</w:t>
      </w:r>
    </w:p>
    <w:p w:rsidRPr="00446963" w:rsidR="00066B31" w:rsidP="00B034A6" w:rsidRDefault="00066B31" w14:paraId="6D505BF4" w14:textId="77777777">
      <w:pPr>
        <w:widowControl w:val="0"/>
        <w:spacing w:after="0" w:line="360" w:lineRule="auto"/>
        <w:rPr>
          <w:rFonts w:eastAsia="Times New Roman" w:cs="Tahoma"/>
          <w:lang w:eastAsia="es-MX"/>
        </w:rPr>
      </w:pPr>
    </w:p>
    <w:p w:rsidRPr="00446963" w:rsidR="00066B31" w:rsidP="00B034A6" w:rsidRDefault="00066B31" w14:paraId="3EE497AD" w14:textId="77777777">
      <w:pPr>
        <w:widowControl w:val="0"/>
        <w:spacing w:after="0" w:line="360" w:lineRule="auto"/>
        <w:rPr>
          <w:rFonts w:eastAsia="Times New Roman" w:cs="Tahoma"/>
          <w:lang w:eastAsia="es-MX"/>
        </w:rPr>
      </w:pPr>
      <w:r w:rsidRPr="00446963">
        <w:rPr>
          <w:rFonts w:eastAsia="Times New Roman" w:cs="Tahoma"/>
          <w:lang w:eastAsia="es-MX"/>
        </w:rPr>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rsidR="00610C0E" w:rsidP="00B034A6" w:rsidRDefault="00610C0E" w14:paraId="25F65B48" w14:textId="6BC262CC">
      <w:pPr>
        <w:widowControl w:val="0"/>
        <w:spacing w:after="0" w:line="360" w:lineRule="auto"/>
        <w:rPr>
          <w:rFonts w:eastAsia="Times New Roman" w:cs="Tahoma"/>
          <w:lang w:eastAsia="es-MX"/>
        </w:rPr>
      </w:pPr>
    </w:p>
    <w:p w:rsidR="00152A9D" w:rsidP="00B034A6" w:rsidRDefault="00152A9D" w14:paraId="24C34050" w14:textId="77777777">
      <w:pPr>
        <w:spacing w:after="0" w:line="360" w:lineRule="auto"/>
        <w:rPr>
          <w:rFonts w:eastAsia="Times New Roman" w:cs="Tahoma"/>
          <w:color w:val="auto"/>
          <w:lang w:eastAsia="es-ES"/>
        </w:rPr>
      </w:pPr>
      <w:r>
        <w:rPr>
          <w:rFonts w:eastAsia="Times New Roman" w:cs="Tahoma"/>
          <w:color w:val="auto"/>
          <w:lang w:eastAsia="es-ES"/>
        </w:rPr>
        <w:t>El artículo 92, fracción</w:t>
      </w:r>
      <w:r>
        <w:rPr>
          <w:rFonts w:eastAsia="Times New Roman" w:cs="Tahoma"/>
          <w:color w:val="auto"/>
          <w:lang w:val="x-none" w:eastAsia="es-ES"/>
        </w:rPr>
        <w:t xml:space="preserve"> XXIX, que, la información sobre los procedimientos de adjudicación directa, invitación restringida y licitación de cualquier naturaleza, incluyendo la versión pública del expediente respectivo, corresponde a una obligación común de Transparencia, de los sujetos obligados.</w:t>
      </w:r>
    </w:p>
    <w:p w:rsidRPr="00446963" w:rsidR="00EF5D50" w:rsidP="00B034A6" w:rsidRDefault="00EF5D50" w14:paraId="070EDB00" w14:textId="77777777">
      <w:pPr>
        <w:widowControl w:val="0"/>
        <w:spacing w:after="0" w:line="360" w:lineRule="auto"/>
        <w:rPr>
          <w:rFonts w:eastAsia="Times New Roman" w:cs="Tahoma"/>
          <w:lang w:eastAsia="es-MX"/>
        </w:rPr>
      </w:pPr>
    </w:p>
    <w:p w:rsidRPr="00446963" w:rsidR="00066B31" w:rsidP="00B034A6" w:rsidRDefault="00066B31" w14:paraId="078B2F21" w14:textId="77777777">
      <w:pPr>
        <w:spacing w:after="0" w:line="360" w:lineRule="auto"/>
        <w:rPr>
          <w:rFonts w:eastAsia="Times New Roman" w:cs="Tahoma"/>
          <w:b/>
          <w:lang w:val="es-ES" w:eastAsia="es-ES"/>
        </w:rPr>
      </w:pPr>
      <w:r w:rsidRPr="00FE50B8">
        <w:rPr>
          <w:rFonts w:eastAsia="Times New Roman" w:cs="Tahoma"/>
          <w:b/>
          <w:lang w:val="es-ES" w:eastAsia="es-ES"/>
        </w:rPr>
        <w:t>QUINTO. Estudio de Fondo.</w:t>
      </w:r>
    </w:p>
    <w:p w:rsidRPr="00446963" w:rsidR="00610C0E" w:rsidP="00B034A6" w:rsidRDefault="00610C0E" w14:paraId="1138C427" w14:textId="77777777">
      <w:pPr>
        <w:spacing w:after="0" w:line="360" w:lineRule="auto"/>
        <w:rPr>
          <w:rFonts w:eastAsia="Times New Roman" w:cs="Tahoma"/>
          <w:b/>
          <w:lang w:val="es-ES" w:eastAsia="es-ES"/>
        </w:rPr>
      </w:pPr>
    </w:p>
    <w:p w:rsidR="007A19CA" w:rsidP="00B034A6" w:rsidRDefault="00066B31" w14:paraId="7AD05227" w14:textId="4B78985D">
      <w:pPr>
        <w:spacing w:after="0" w:line="360" w:lineRule="auto"/>
        <w:rPr>
          <w:rFonts w:eastAsia="Times New Roman" w:cs="Times New Roman"/>
          <w:color w:val="auto"/>
          <w:lang w:eastAsia="es-ES"/>
        </w:rPr>
      </w:pPr>
      <w:r w:rsidRPr="00446963">
        <w:rPr>
          <w:rFonts w:eastAsia="Times New Roman" w:cs="Tahoma"/>
          <w:lang w:eastAsia="es-MX"/>
        </w:rPr>
        <w:t xml:space="preserve">Expuestas las posturas de las partes, se procede al análisis del agravio hecho valer por el ahora Recurrente, concerniente </w:t>
      </w:r>
      <w:r w:rsidR="00062470">
        <w:rPr>
          <w:rFonts w:eastAsia="Times New Roman" w:cs="Tahoma"/>
          <w:lang w:eastAsia="es-MX"/>
        </w:rPr>
        <w:t xml:space="preserve">a la entrega de información </w:t>
      </w:r>
      <w:r w:rsidR="00A044E9">
        <w:rPr>
          <w:rFonts w:eastAsia="Times New Roman" w:cs="Tahoma"/>
          <w:lang w:eastAsia="es-MX"/>
        </w:rPr>
        <w:t>ilegible e incompleta</w:t>
      </w:r>
      <w:r w:rsidR="00A158AB">
        <w:rPr>
          <w:rFonts w:eastAsia="Times New Roman" w:cs="Tahoma"/>
          <w:lang w:eastAsia="es-MX"/>
        </w:rPr>
        <w:t xml:space="preserve">; </w:t>
      </w:r>
      <w:r w:rsidRPr="00A158AB" w:rsidR="00A158AB">
        <w:rPr>
          <w:rFonts w:eastAsia="Times New Roman" w:cs="Times New Roman"/>
          <w:color w:val="auto"/>
          <w:lang w:eastAsia="es-ES"/>
        </w:rPr>
        <w:t>sin embargo, para realizar dicha acción, en principio es necesario contextualizar la solicitud de información</w:t>
      </w:r>
      <w:r w:rsidR="007A19CA">
        <w:rPr>
          <w:rFonts w:eastAsia="Times New Roman" w:cs="Times New Roman"/>
          <w:color w:val="auto"/>
          <w:lang w:eastAsia="es-ES"/>
        </w:rPr>
        <w:t>.</w:t>
      </w:r>
    </w:p>
    <w:p w:rsidR="007A19CA" w:rsidP="00B034A6" w:rsidRDefault="007A19CA" w14:paraId="222CCA25" w14:textId="77777777">
      <w:pPr>
        <w:spacing w:after="0" w:line="360" w:lineRule="auto"/>
        <w:rPr>
          <w:rFonts w:eastAsia="Times New Roman" w:cs="Times New Roman"/>
          <w:color w:val="auto"/>
          <w:lang w:eastAsia="es-ES"/>
        </w:rPr>
      </w:pPr>
    </w:p>
    <w:p w:rsidRPr="00A701D3" w:rsidR="007A19CA" w:rsidP="00B034A6" w:rsidRDefault="004D3969" w14:paraId="162E965A" w14:textId="194DECC9">
      <w:pPr>
        <w:spacing w:after="0" w:line="360" w:lineRule="auto"/>
      </w:pPr>
      <w:r>
        <w:rPr>
          <w:lang w:val="es-ES"/>
        </w:rPr>
        <w:t>Sobre el tema</w:t>
      </w:r>
      <w:r w:rsidRPr="00A701D3" w:rsidR="007A19CA">
        <w:t>, López</w:t>
      </w:r>
      <w:r w:rsidR="007A19CA">
        <w:t xml:space="preserve">, </w:t>
      </w:r>
      <w:r w:rsidRPr="00A701D3" w:rsidR="007A19CA">
        <w:t>Miguel</w:t>
      </w:r>
      <w:r w:rsidR="007A19CA">
        <w:t xml:space="preserve">, y </w:t>
      </w:r>
      <w:proofErr w:type="spellStart"/>
      <w:r w:rsidRPr="00A701D3" w:rsidR="007A19CA">
        <w:t>Cancino</w:t>
      </w:r>
      <w:proofErr w:type="spellEnd"/>
      <w:r w:rsidRPr="00A701D3" w:rsidR="007A19CA">
        <w:t>, Rodolfo (2020)</w:t>
      </w:r>
      <w:r w:rsidR="007A19CA">
        <w:t xml:space="preserve"> en</w:t>
      </w:r>
      <w:r w:rsidRPr="00A701D3" w:rsidR="007A19CA">
        <w:t xml:space="preserve"> “La Contratación Pública y el Sistema Nacional Anticorrupción”. (p. 4)</w:t>
      </w:r>
      <w:r w:rsidR="007A19CA">
        <w:t xml:space="preserve">, establecen que </w:t>
      </w:r>
      <w:r w:rsidRPr="00A701D3" w:rsidR="007A19CA">
        <w:t xml:space="preserve">la </w:t>
      </w:r>
      <w:r w:rsidRPr="00A701D3" w:rsidR="007A19CA">
        <w:rPr>
          <w:b/>
        </w:rPr>
        <w:t>contratación pública</w:t>
      </w:r>
      <w:r w:rsidRPr="00A701D3" w:rsidR="007A19CA">
        <w:t xml:space="preserve">, es el procedimiento de carácter administrativo, por medio del cual, un ente público selecciona y posteriormente, celebra un acuerdo de voluntades, con una persona física o jurídica colectiva, para que ésta, </w:t>
      </w:r>
      <w:r w:rsidR="007A19CA">
        <w:t xml:space="preserve">proporcione o arrende un bien, </w:t>
      </w:r>
      <w:r w:rsidRPr="00A701D3" w:rsidR="007A19CA">
        <w:t>preste algún servicio</w:t>
      </w:r>
      <w:r w:rsidR="007A19CA">
        <w:t xml:space="preserve">, </w:t>
      </w:r>
      <w:r w:rsidRPr="00A701D3" w:rsidR="007A19CA">
        <w:t>o lleve a cabo la ejecución de una obra pública, con recursos públicos del Estado</w:t>
      </w:r>
      <w:r>
        <w:t xml:space="preserve"> y en beneficio de la colectividad</w:t>
      </w:r>
      <w:r w:rsidRPr="00A701D3" w:rsidR="007A19CA">
        <w:t>.</w:t>
      </w:r>
    </w:p>
    <w:p w:rsidR="007A19CA" w:rsidP="00B034A6" w:rsidRDefault="007A19CA" w14:paraId="144AB10F" w14:textId="77777777">
      <w:pPr>
        <w:spacing w:after="0" w:line="360" w:lineRule="auto"/>
        <w:rPr>
          <w:rFonts w:eastAsia="Calibri" w:cs="Times New Roman"/>
        </w:rPr>
      </w:pPr>
    </w:p>
    <w:p w:rsidRPr="00BF6F7C" w:rsidR="00BF6F7C" w:rsidP="00BF6F7C" w:rsidRDefault="00BF6F7C" w14:paraId="7B6696FC" w14:textId="77777777">
      <w:pPr>
        <w:spacing w:after="0" w:line="360" w:lineRule="auto"/>
        <w:rPr>
          <w:rFonts w:eastAsia="Calibri" w:cs="Times New Roman"/>
        </w:rPr>
      </w:pPr>
      <w:r w:rsidRPr="00BF6F7C">
        <w:rPr>
          <w:rFonts w:eastAsia="Calibri" w:cs="Times New Roman"/>
        </w:rPr>
        <w:lastRenderedPageBreak/>
        <w:t xml:space="preserve">Sobre el tema, el artículo 12.4 del Código Administrativo del Estado de México, establece que las obras públicas son aquellas cuyo objeto principal sea construir, instalar, ampliar, adecuar, remodelar, restaurar, conservar, mantener, modificar o demoler bienes inmuebles de los municipios con cargo a recursos públicos estatales y municipales; así como los trabajos de exploración, localización y perforación, mejoramiento de suelo y subsuelo, la infraestructura agropecuaria e </w:t>
      </w:r>
      <w:proofErr w:type="spellStart"/>
      <w:r w:rsidRPr="00BF6F7C">
        <w:rPr>
          <w:rFonts w:eastAsia="Calibri" w:cs="Times New Roman"/>
        </w:rPr>
        <w:t>hidroagrícola</w:t>
      </w:r>
      <w:proofErr w:type="spellEnd"/>
      <w:r w:rsidRPr="00BF6F7C">
        <w:rPr>
          <w:rFonts w:eastAsia="Calibri" w:cs="Times New Roman"/>
        </w:rPr>
        <w:t>, entre otros. Además, conforme al artículo 12.6 de dicho ordenamiento jurídico, uno de los entes que pueden llevar a cabo contratos de obra pública o servicios relacionados con la misma, son los Municipios, a través de los Ayuntamientos.</w:t>
      </w:r>
    </w:p>
    <w:p w:rsidRPr="00BF6F7C" w:rsidR="00BF6F7C" w:rsidP="00BF6F7C" w:rsidRDefault="00BF6F7C" w14:paraId="29BB4460" w14:textId="77777777">
      <w:pPr>
        <w:spacing w:after="0" w:line="360" w:lineRule="auto"/>
        <w:rPr>
          <w:rFonts w:eastAsia="Calibri" w:cs="Times New Roman"/>
        </w:rPr>
      </w:pPr>
    </w:p>
    <w:p w:rsidRPr="00BF6F7C" w:rsidR="00BF6F7C" w:rsidP="00BF6F7C" w:rsidRDefault="00BF6F7C" w14:paraId="103AD00C" w14:textId="77777777">
      <w:pPr>
        <w:spacing w:after="0" w:line="360" w:lineRule="auto"/>
        <w:rPr>
          <w:rFonts w:eastAsia="Calibri" w:cs="Times New Roman"/>
        </w:rPr>
      </w:pPr>
      <w:r w:rsidRPr="00BF6F7C">
        <w:rPr>
          <w:rFonts w:eastAsia="Calibri" w:cs="Times New Roman"/>
        </w:rPr>
        <w:t>En ese orden de ideas, es responsabilidad de los Ayuntamientos ejecutar la obra pública respectiva, mediante contrato con terceros o por administración directa; dicho acto jurídico, será adjudicado a través de</w:t>
      </w:r>
      <w:r w:rsidRPr="00BF6F7C">
        <w:rPr>
          <w:rFonts w:eastAsia="Calibri" w:cs="Times New Roman"/>
          <w:b/>
          <w:bCs/>
        </w:rPr>
        <w:t xml:space="preserve"> licitaciones públicas,</w:t>
      </w:r>
      <w:r w:rsidRPr="00BF6F7C">
        <w:rPr>
          <w:rFonts w:eastAsia="Calibri" w:cs="Times New Roman"/>
        </w:rPr>
        <w:t xml:space="preserve"> </w:t>
      </w:r>
      <w:r w:rsidRPr="00BF6F7C">
        <w:rPr>
          <w:rFonts w:eastAsia="Calibri" w:cs="Times New Roman"/>
          <w:b/>
          <w:bCs/>
        </w:rPr>
        <w:t>invitación restringida o adjudicación directa,</w:t>
      </w:r>
      <w:r w:rsidRPr="00BF6F7C">
        <w:rPr>
          <w:rFonts w:eastAsia="Calibri" w:cs="Times New Roman"/>
        </w:rPr>
        <w:t xml:space="preserve"> conforme a los artículos 12.8, 12.20 y 12.21 del Código mencionado.</w:t>
      </w:r>
    </w:p>
    <w:p w:rsidRPr="00BF6F7C" w:rsidR="00BF6F7C" w:rsidP="00BF6F7C" w:rsidRDefault="00BF6F7C" w14:paraId="3B4C268A" w14:textId="77777777">
      <w:pPr>
        <w:spacing w:after="0" w:line="360" w:lineRule="auto"/>
        <w:rPr>
          <w:rFonts w:eastAsia="Calibri" w:cs="Times New Roman"/>
        </w:rPr>
      </w:pPr>
    </w:p>
    <w:p w:rsidRPr="00BF6F7C" w:rsidR="00BF6F7C" w:rsidP="00BF6F7C" w:rsidRDefault="00BF6F7C" w14:paraId="736F4F3A" w14:textId="77777777">
      <w:pPr>
        <w:spacing w:after="0" w:line="360" w:lineRule="auto"/>
        <w:rPr>
          <w:rFonts w:eastAsia="Calibri" w:cs="Times New Roman"/>
        </w:rPr>
      </w:pPr>
      <w:r w:rsidRPr="00BF6F7C">
        <w:rPr>
          <w:rFonts w:eastAsia="Calibri" w:cs="Times New Roman"/>
        </w:rPr>
        <w:t xml:space="preserve">Por otra parte, los artículos 1°, fracción III, y 4°de la Ley de la de Contratación Pública del Estado de México y Municipios, especifica que los Ayuntamientos, serán los encargados de realizar los actos relativos a la planeación, programación, presupuestación, ejecución y control de la adquisición (bienes muebles e inmuebles), arrendamiento (bienes muebles e inmuebles), y la contratación de servicios de cualquier naturaleza, que realicen los Ayuntamientos de los Municipios. </w:t>
      </w:r>
    </w:p>
    <w:p w:rsidRPr="00BF6F7C" w:rsidR="00BF6F7C" w:rsidP="00BF6F7C" w:rsidRDefault="00BF6F7C" w14:paraId="103F4EC5" w14:textId="77777777">
      <w:pPr>
        <w:spacing w:after="0" w:line="360" w:lineRule="auto"/>
        <w:rPr>
          <w:rFonts w:eastAsia="Calibri" w:cs="Times New Roman"/>
        </w:rPr>
      </w:pPr>
    </w:p>
    <w:p w:rsidRPr="00BF6F7C" w:rsidR="00BF6F7C" w:rsidP="00BF6F7C" w:rsidRDefault="00BF6F7C" w14:paraId="67BDA837" w14:textId="77777777">
      <w:pPr>
        <w:spacing w:after="0" w:line="360" w:lineRule="auto"/>
        <w:rPr>
          <w:rFonts w:eastAsia="Calibri" w:cs="Times New Roman"/>
          <w:b/>
          <w:bCs/>
        </w:rPr>
      </w:pPr>
      <w:r w:rsidRPr="00BF6F7C">
        <w:rPr>
          <w:rFonts w:eastAsia="Calibri" w:cs="Times New Roman"/>
        </w:rPr>
        <w:t xml:space="preserve">En ese orden de ideas, conforme a los artículos 26 y 27 de dicho ordenamiento jurídico, las adquisiciones, arrendamientos y servicios, se adjudicarán a través de procedimientos de </w:t>
      </w:r>
      <w:r w:rsidRPr="00BF6F7C">
        <w:rPr>
          <w:rFonts w:eastAsia="Calibri" w:cs="Times New Roman"/>
          <w:b/>
          <w:bCs/>
        </w:rPr>
        <w:t>licitación pública, invitación restringida y adjudicación directa.</w:t>
      </w:r>
    </w:p>
    <w:p w:rsidRPr="00BF6F7C" w:rsidR="00BF6F7C" w:rsidP="00BF6F7C" w:rsidRDefault="00BF6F7C" w14:paraId="71EB3F36" w14:textId="77777777">
      <w:pPr>
        <w:spacing w:after="0" w:line="360" w:lineRule="auto"/>
        <w:rPr>
          <w:rFonts w:eastAsia="Calibri" w:cs="Times New Roman"/>
        </w:rPr>
      </w:pPr>
    </w:p>
    <w:p w:rsidRPr="00BF6F7C" w:rsidR="00BF6F7C" w:rsidP="00BF6F7C" w:rsidRDefault="00BF6F7C" w14:paraId="68E4F6C5" w14:textId="77777777">
      <w:pPr>
        <w:spacing w:after="0" w:line="360" w:lineRule="auto"/>
        <w:rPr>
          <w:rFonts w:eastAsia="Calibri" w:cs="Times New Roman"/>
          <w:lang w:val="es-ES"/>
        </w:rPr>
      </w:pPr>
      <w:r w:rsidRPr="00BF6F7C">
        <w:rPr>
          <w:rFonts w:eastAsia="Calibri" w:cs="Times New Roman"/>
        </w:rPr>
        <w:t xml:space="preserve">Ahora bien, sobre los documentos peticionados, se trae </w:t>
      </w:r>
      <w:r w:rsidRPr="00BF6F7C">
        <w:rPr>
          <w:rFonts w:eastAsia="Calibri" w:cs="Times New Roman"/>
          <w:lang w:val="es-ES"/>
        </w:rPr>
        <w:t xml:space="preserve">a colación el artículo 12.38 del Código Administrativo del Estado de México y el 65 de la Ley de Contratación Pública del Estado de </w:t>
      </w:r>
      <w:r w:rsidRPr="00BF6F7C">
        <w:rPr>
          <w:rFonts w:eastAsia="Calibri" w:cs="Times New Roman"/>
          <w:lang w:val="es-ES"/>
        </w:rPr>
        <w:lastRenderedPageBreak/>
        <w:t xml:space="preserve">México y Municipios, que establecen que la adjudicación de un procedimiento de </w:t>
      </w:r>
      <w:r w:rsidRPr="00BF6F7C">
        <w:rPr>
          <w:rFonts w:eastAsia="Calibri" w:cs="Times New Roman"/>
          <w:b/>
          <w:bCs/>
          <w:lang w:val="es-ES"/>
        </w:rPr>
        <w:t>adquisición y arrendamiento de bienes, contratación de servicios y ejecución de obra,</w:t>
      </w:r>
      <w:r w:rsidRPr="00BF6F7C">
        <w:rPr>
          <w:rFonts w:eastAsia="Calibri" w:cs="Times New Roman"/>
          <w:lang w:val="es-ES"/>
        </w:rPr>
        <w:t xml:space="preserve"> se realizará mediante la suscripción de un contrato, entre el Ayuntamiento y la persona a la cual haya ganado el procedimiento respectivo, dentro de los diez días hábiles siguientes a la notificación del fallo.</w:t>
      </w:r>
    </w:p>
    <w:p w:rsidRPr="00446963" w:rsidR="00D731FC" w:rsidP="00B034A6" w:rsidRDefault="00D731FC" w14:paraId="05060B49" w14:textId="77777777">
      <w:pPr>
        <w:spacing w:after="0" w:line="360" w:lineRule="auto"/>
        <w:rPr>
          <w:rFonts w:cs="Tahoma"/>
          <w:lang w:val="es-ES"/>
        </w:rPr>
      </w:pPr>
    </w:p>
    <w:p w:rsidRPr="00012296" w:rsidR="00D14123" w:rsidP="00B034A6" w:rsidRDefault="00D14123" w14:paraId="43FD0AE3" w14:textId="77777777">
      <w:pPr>
        <w:spacing w:after="0" w:line="360" w:lineRule="auto"/>
        <w:rPr>
          <w:rFonts w:cs="Tahoma"/>
          <w:iCs/>
        </w:rPr>
      </w:pPr>
      <w:r>
        <w:rPr>
          <w:rFonts w:cs="Tahoma"/>
          <w:lang w:val="es-ES"/>
        </w:rPr>
        <w:t xml:space="preserve">Así mismo, el artículo 92, fracción XXIX, de la Ley de </w:t>
      </w:r>
      <w:r w:rsidRPr="00F93044">
        <w:rPr>
          <w:rFonts w:cs="Tahoma"/>
          <w:lang w:val="es-ES"/>
        </w:rPr>
        <w:t xml:space="preserve">Transparencia </w:t>
      </w:r>
      <w:r>
        <w:rPr>
          <w:rFonts w:cs="Tahoma"/>
          <w:lang w:val="es-ES"/>
        </w:rPr>
        <w:t>y</w:t>
      </w:r>
      <w:r w:rsidRPr="00F93044">
        <w:rPr>
          <w:rFonts w:cs="Tahoma"/>
          <w:lang w:val="es-ES"/>
        </w:rPr>
        <w:t xml:space="preserve"> Acceso a la Información</w:t>
      </w:r>
      <w:r>
        <w:rPr>
          <w:rFonts w:cs="Tahoma"/>
          <w:lang w:val="es-ES"/>
        </w:rPr>
        <w:t xml:space="preserve"> Pública del Estado de México y</w:t>
      </w:r>
      <w:r w:rsidRPr="00F93044">
        <w:rPr>
          <w:rFonts w:cs="Tahoma"/>
          <w:lang w:val="es-ES"/>
        </w:rPr>
        <w:t xml:space="preserve"> Municipios</w:t>
      </w:r>
      <w:r>
        <w:rPr>
          <w:rFonts w:cs="Tahoma"/>
          <w:lang w:val="es-ES"/>
        </w:rPr>
        <w:t xml:space="preserve">, </w:t>
      </w:r>
      <w:r w:rsidRPr="00012296">
        <w:rPr>
          <w:rFonts w:cs="Tahoma"/>
          <w:iCs/>
        </w:rPr>
        <w:t xml:space="preserve">precisa que es </w:t>
      </w:r>
      <w:r w:rsidRPr="00012296">
        <w:rPr>
          <w:rFonts w:cs="Tahoma"/>
          <w:b/>
          <w:iCs/>
        </w:rPr>
        <w:t xml:space="preserve">información que es pública de oficio, </w:t>
      </w:r>
      <w:r w:rsidRPr="00012296">
        <w:rPr>
          <w:rFonts w:cs="Tahoma"/>
          <w:iCs/>
        </w:rPr>
        <w:t>la</w:t>
      </w:r>
      <w:r w:rsidRPr="00012296">
        <w:rPr>
          <w:rFonts w:cs="Tahoma"/>
          <w:b/>
          <w:iCs/>
        </w:rPr>
        <w:t xml:space="preserve"> </w:t>
      </w:r>
      <w:r w:rsidRPr="00012296">
        <w:rPr>
          <w:rFonts w:cs="Tahoma"/>
          <w:iCs/>
        </w:rPr>
        <w:t xml:space="preserve">documentación sobre los procesos y resultados sobre </w:t>
      </w:r>
      <w:r w:rsidRPr="00FF34C3">
        <w:rPr>
          <w:rFonts w:cs="Tahoma"/>
          <w:b/>
          <w:bCs/>
          <w:iCs/>
        </w:rPr>
        <w:t>procedimientos de adjudicación directa, invitación restringida y licitación de pública</w:t>
      </w:r>
      <w:r w:rsidRPr="00012296">
        <w:rPr>
          <w:rFonts w:cs="Tahoma"/>
          <w:iCs/>
        </w:rPr>
        <w:t xml:space="preserve">, </w:t>
      </w:r>
      <w:r w:rsidRPr="00FF34C3">
        <w:rPr>
          <w:rFonts w:cs="Tahoma"/>
          <w:bCs/>
          <w:iCs/>
        </w:rPr>
        <w:t>que incluye la versión pública del expediente respectivo y de los contratos celebrados</w:t>
      </w:r>
      <w:r w:rsidRPr="00012296">
        <w:rPr>
          <w:rFonts w:cs="Tahoma"/>
          <w:b/>
          <w:iCs/>
        </w:rPr>
        <w:t>,</w:t>
      </w:r>
      <w:r w:rsidRPr="00012296">
        <w:rPr>
          <w:rFonts w:cs="Tahoma"/>
          <w:iCs/>
        </w:rPr>
        <w:t xml:space="preserve"> a saber, la siguiente:</w:t>
      </w:r>
    </w:p>
    <w:p w:rsidRPr="00012296" w:rsidR="00D14123" w:rsidP="00B034A6" w:rsidRDefault="00D14123" w14:paraId="5D978C97" w14:textId="77777777">
      <w:pPr>
        <w:spacing w:after="0" w:line="360" w:lineRule="auto"/>
        <w:ind w:right="-93"/>
        <w:rPr>
          <w:rFonts w:cs="Tahoma"/>
          <w:iCs/>
          <w:lang w:val="es-ES"/>
        </w:rPr>
      </w:pPr>
    </w:p>
    <w:tbl>
      <w:tblPr>
        <w:tblStyle w:val="Tablaconcuadrcula"/>
        <w:tblW w:w="0" w:type="auto"/>
        <w:tblLook w:val="04A0" w:firstRow="1" w:lastRow="0" w:firstColumn="1" w:lastColumn="0" w:noHBand="0" w:noVBand="1"/>
      </w:tblPr>
      <w:tblGrid>
        <w:gridCol w:w="3011"/>
        <w:gridCol w:w="3011"/>
        <w:gridCol w:w="3012"/>
      </w:tblGrid>
      <w:tr w:rsidRPr="00012296" w:rsidR="00D14123" w:rsidTr="00983257" w14:paraId="3D6D68E5" w14:textId="77777777">
        <w:tc>
          <w:tcPr>
            <w:tcW w:w="3011" w:type="dxa"/>
            <w:shd w:val="clear" w:color="auto" w:fill="D9D9D9" w:themeFill="background1" w:themeFillShade="D9"/>
          </w:tcPr>
          <w:p w:rsidRPr="00152A9D" w:rsidR="00D14123" w:rsidP="00B034A6" w:rsidRDefault="00D14123" w14:paraId="19F96CCD" w14:textId="77777777">
            <w:pPr>
              <w:spacing w:line="360" w:lineRule="auto"/>
              <w:ind w:right="-93"/>
              <w:jc w:val="center"/>
              <w:rPr>
                <w:rFonts w:eastAsia="Calibri" w:cs="Tahoma"/>
                <w:b/>
                <w:iCs/>
                <w:sz w:val="18"/>
                <w:szCs w:val="18"/>
                <w:lang w:val="es-MX" w:eastAsia="es-ES_tradnl"/>
              </w:rPr>
            </w:pPr>
            <w:r w:rsidRPr="00152A9D">
              <w:rPr>
                <w:rFonts w:eastAsia="Calibri" w:cs="Tahoma"/>
                <w:b/>
                <w:iCs/>
                <w:sz w:val="18"/>
                <w:szCs w:val="18"/>
                <w:lang w:val="es-MX" w:eastAsia="es-ES_tradnl"/>
              </w:rPr>
              <w:t>Licitación Pública</w:t>
            </w:r>
          </w:p>
        </w:tc>
        <w:tc>
          <w:tcPr>
            <w:tcW w:w="3011" w:type="dxa"/>
            <w:shd w:val="clear" w:color="auto" w:fill="D9D9D9" w:themeFill="background1" w:themeFillShade="D9"/>
          </w:tcPr>
          <w:p w:rsidRPr="00152A9D" w:rsidR="00D14123" w:rsidP="00B034A6" w:rsidRDefault="00D14123" w14:paraId="10CFB630" w14:textId="77777777">
            <w:pPr>
              <w:spacing w:line="360" w:lineRule="auto"/>
              <w:ind w:right="-93"/>
              <w:jc w:val="center"/>
              <w:rPr>
                <w:rFonts w:eastAsia="Calibri" w:cs="Tahoma"/>
                <w:b/>
                <w:iCs/>
                <w:sz w:val="18"/>
                <w:szCs w:val="18"/>
                <w:lang w:val="es-MX" w:eastAsia="es-ES_tradnl"/>
              </w:rPr>
            </w:pPr>
            <w:r w:rsidRPr="00152A9D">
              <w:rPr>
                <w:rFonts w:eastAsia="Calibri" w:cs="Tahoma"/>
                <w:b/>
                <w:iCs/>
                <w:sz w:val="18"/>
                <w:szCs w:val="18"/>
                <w:lang w:val="es-MX" w:eastAsia="es-ES_tradnl"/>
              </w:rPr>
              <w:t>Invitación Restringida</w:t>
            </w:r>
          </w:p>
        </w:tc>
        <w:tc>
          <w:tcPr>
            <w:tcW w:w="3012" w:type="dxa"/>
            <w:shd w:val="clear" w:color="auto" w:fill="D9D9D9" w:themeFill="background1" w:themeFillShade="D9"/>
          </w:tcPr>
          <w:p w:rsidRPr="00152A9D" w:rsidR="00D14123" w:rsidP="00B034A6" w:rsidRDefault="00D14123" w14:paraId="0B8D0E61" w14:textId="77777777">
            <w:pPr>
              <w:spacing w:line="360" w:lineRule="auto"/>
              <w:ind w:right="-93"/>
              <w:jc w:val="center"/>
              <w:rPr>
                <w:rFonts w:eastAsia="Calibri" w:cs="Tahoma"/>
                <w:b/>
                <w:iCs/>
                <w:sz w:val="18"/>
                <w:szCs w:val="18"/>
                <w:lang w:val="es-MX" w:eastAsia="es-ES_tradnl"/>
              </w:rPr>
            </w:pPr>
            <w:r w:rsidRPr="00152A9D">
              <w:rPr>
                <w:rFonts w:eastAsia="Calibri" w:cs="Tahoma"/>
                <w:b/>
                <w:iCs/>
                <w:sz w:val="18"/>
                <w:szCs w:val="18"/>
                <w:lang w:val="es-MX" w:eastAsia="es-ES_tradnl"/>
              </w:rPr>
              <w:t>Adjudicación Directa</w:t>
            </w:r>
          </w:p>
        </w:tc>
      </w:tr>
      <w:tr w:rsidRPr="00012296" w:rsidR="00D14123" w:rsidTr="00983257" w14:paraId="47357C53" w14:textId="77777777">
        <w:tc>
          <w:tcPr>
            <w:tcW w:w="3011" w:type="dxa"/>
          </w:tcPr>
          <w:p w:rsidRPr="00152A9D" w:rsidR="00D14123" w:rsidP="00B034A6" w:rsidRDefault="00D14123" w14:paraId="295DE1E0" w14:textId="77777777">
            <w:pPr>
              <w:spacing w:line="360" w:lineRule="auto"/>
              <w:ind w:right="-93"/>
              <w:jc w:val="center"/>
              <w:rPr>
                <w:rFonts w:eastAsia="Calibri" w:cs="Tahoma"/>
                <w:iCs/>
                <w:sz w:val="18"/>
                <w:szCs w:val="18"/>
                <w:lang w:val="es-MX" w:eastAsia="es-ES_tradnl"/>
              </w:rPr>
            </w:pPr>
            <w:r w:rsidRPr="00152A9D">
              <w:rPr>
                <w:rFonts w:eastAsia="Calibri" w:cs="Tahoma"/>
                <w:iCs/>
                <w:sz w:val="18"/>
                <w:szCs w:val="18"/>
                <w:lang w:val="es-MX" w:eastAsia="es-ES_tradnl"/>
              </w:rPr>
              <w:t>Convocatoria y fundamentos legales</w:t>
            </w:r>
          </w:p>
        </w:tc>
        <w:tc>
          <w:tcPr>
            <w:tcW w:w="3011" w:type="dxa"/>
          </w:tcPr>
          <w:p w:rsidRPr="00152A9D" w:rsidR="00D14123" w:rsidP="00B034A6" w:rsidRDefault="00D14123" w14:paraId="11AF0932" w14:textId="77777777">
            <w:pPr>
              <w:spacing w:line="360" w:lineRule="auto"/>
              <w:ind w:right="-93"/>
              <w:jc w:val="center"/>
              <w:rPr>
                <w:rFonts w:eastAsia="Calibri" w:cs="Tahoma"/>
                <w:iCs/>
                <w:sz w:val="18"/>
                <w:szCs w:val="18"/>
                <w:lang w:val="es-MX" w:eastAsia="es-ES_tradnl"/>
              </w:rPr>
            </w:pPr>
            <w:r w:rsidRPr="00152A9D">
              <w:rPr>
                <w:rFonts w:eastAsia="Calibri" w:cs="Tahoma"/>
                <w:iCs/>
                <w:sz w:val="18"/>
                <w:szCs w:val="18"/>
                <w:lang w:val="es-MX" w:eastAsia="es-ES_tradnl"/>
              </w:rPr>
              <w:t>Invitación y fundamentos legales</w:t>
            </w:r>
          </w:p>
        </w:tc>
        <w:tc>
          <w:tcPr>
            <w:tcW w:w="3012" w:type="dxa"/>
          </w:tcPr>
          <w:p w:rsidRPr="00152A9D" w:rsidR="00D14123" w:rsidP="00B034A6" w:rsidRDefault="00D14123" w14:paraId="03008D32" w14:textId="77777777">
            <w:pPr>
              <w:spacing w:line="360" w:lineRule="auto"/>
              <w:ind w:right="-93"/>
              <w:jc w:val="center"/>
              <w:rPr>
                <w:rFonts w:eastAsia="Calibri" w:cs="Tahoma"/>
                <w:iCs/>
                <w:sz w:val="18"/>
                <w:szCs w:val="18"/>
                <w:lang w:val="es-MX" w:eastAsia="es-ES_tradnl"/>
              </w:rPr>
            </w:pPr>
            <w:r w:rsidRPr="00152A9D">
              <w:rPr>
                <w:rFonts w:eastAsia="Calibri" w:cs="Tahoma"/>
                <w:iCs/>
                <w:sz w:val="18"/>
                <w:szCs w:val="18"/>
                <w:lang w:val="es-MX" w:eastAsia="es-ES_tradnl"/>
              </w:rPr>
              <w:t>Propuesta enviada por el participante</w:t>
            </w:r>
          </w:p>
        </w:tc>
      </w:tr>
      <w:tr w:rsidRPr="00012296" w:rsidR="00D14123" w:rsidTr="00983257" w14:paraId="220FE21B" w14:textId="77777777">
        <w:tc>
          <w:tcPr>
            <w:tcW w:w="3011" w:type="dxa"/>
          </w:tcPr>
          <w:p w:rsidRPr="00152A9D" w:rsidR="00D14123" w:rsidP="00B034A6" w:rsidRDefault="00D14123" w14:paraId="69EF48BB" w14:textId="77777777">
            <w:pPr>
              <w:spacing w:line="360" w:lineRule="auto"/>
              <w:ind w:right="-93"/>
              <w:jc w:val="center"/>
              <w:rPr>
                <w:rFonts w:eastAsia="Calibri" w:cs="Tahoma"/>
                <w:iCs/>
                <w:sz w:val="18"/>
                <w:szCs w:val="18"/>
                <w:lang w:val="es-MX" w:eastAsia="es-ES_tradnl"/>
              </w:rPr>
            </w:pPr>
            <w:r w:rsidRPr="00152A9D">
              <w:rPr>
                <w:rFonts w:eastAsia="Calibri" w:cs="Tahoma"/>
                <w:iCs/>
                <w:sz w:val="18"/>
                <w:szCs w:val="18"/>
                <w:lang w:val="es-MX" w:eastAsia="es-ES_tradnl"/>
              </w:rPr>
              <w:t>Nombre de los participantes</w:t>
            </w:r>
          </w:p>
        </w:tc>
        <w:tc>
          <w:tcPr>
            <w:tcW w:w="3011" w:type="dxa"/>
          </w:tcPr>
          <w:p w:rsidRPr="00152A9D" w:rsidR="00D14123" w:rsidP="00B034A6" w:rsidRDefault="00D14123" w14:paraId="1BC610D7" w14:textId="77777777">
            <w:pPr>
              <w:spacing w:line="360" w:lineRule="auto"/>
              <w:ind w:right="-93"/>
              <w:jc w:val="center"/>
              <w:rPr>
                <w:rFonts w:eastAsia="Calibri" w:cs="Tahoma"/>
                <w:iCs/>
                <w:sz w:val="18"/>
                <w:szCs w:val="18"/>
                <w:lang w:val="es-MX" w:eastAsia="es-ES_tradnl"/>
              </w:rPr>
            </w:pPr>
            <w:r w:rsidRPr="00152A9D">
              <w:rPr>
                <w:rFonts w:eastAsia="Calibri" w:cs="Tahoma"/>
                <w:iCs/>
                <w:sz w:val="18"/>
                <w:szCs w:val="18"/>
                <w:lang w:val="es-MX" w:eastAsia="es-ES_tradnl"/>
              </w:rPr>
              <w:t>Nombre de los invitados</w:t>
            </w:r>
          </w:p>
        </w:tc>
        <w:tc>
          <w:tcPr>
            <w:tcW w:w="3012" w:type="dxa"/>
          </w:tcPr>
          <w:p w:rsidRPr="00152A9D" w:rsidR="00D14123" w:rsidP="00B034A6" w:rsidRDefault="00D14123" w14:paraId="1880D8F5" w14:textId="77777777">
            <w:pPr>
              <w:spacing w:line="360" w:lineRule="auto"/>
              <w:ind w:right="-93"/>
              <w:jc w:val="center"/>
              <w:rPr>
                <w:rFonts w:eastAsia="Calibri" w:cs="Tahoma"/>
                <w:iCs/>
                <w:sz w:val="18"/>
                <w:szCs w:val="18"/>
                <w:lang w:val="es-MX" w:eastAsia="es-ES_tradnl"/>
              </w:rPr>
            </w:pPr>
            <w:r w:rsidRPr="00152A9D">
              <w:rPr>
                <w:rFonts w:eastAsia="Calibri" w:cs="Tahoma"/>
                <w:iCs/>
                <w:sz w:val="18"/>
                <w:szCs w:val="18"/>
                <w:lang w:val="es-MX" w:eastAsia="es-ES_tradnl"/>
              </w:rPr>
              <w:t>Motivos y fundamentos legales aplicados para llevar a cabo la adjudicación</w:t>
            </w:r>
          </w:p>
        </w:tc>
      </w:tr>
      <w:tr w:rsidRPr="00012296" w:rsidR="00D14123" w:rsidTr="00983257" w14:paraId="47277D45" w14:textId="77777777">
        <w:tc>
          <w:tcPr>
            <w:tcW w:w="3011" w:type="dxa"/>
          </w:tcPr>
          <w:p w:rsidRPr="00152A9D" w:rsidR="00D14123" w:rsidP="00B034A6" w:rsidRDefault="00D14123" w14:paraId="5661FB00" w14:textId="77777777">
            <w:pPr>
              <w:spacing w:line="360" w:lineRule="auto"/>
              <w:ind w:right="-93"/>
              <w:jc w:val="center"/>
              <w:rPr>
                <w:rFonts w:eastAsia="Calibri" w:cs="Tahoma"/>
                <w:iCs/>
                <w:sz w:val="18"/>
                <w:szCs w:val="18"/>
                <w:lang w:val="es-MX" w:eastAsia="es-ES_tradnl"/>
              </w:rPr>
            </w:pPr>
            <w:r w:rsidRPr="00152A9D">
              <w:rPr>
                <w:rFonts w:eastAsia="Calibri" w:cs="Tahoma"/>
                <w:iCs/>
                <w:sz w:val="18"/>
                <w:szCs w:val="18"/>
                <w:lang w:val="es-MX" w:eastAsia="es-ES_tradnl"/>
              </w:rPr>
              <w:t>Nombre del ganador y razones que lo justifican</w:t>
            </w:r>
          </w:p>
        </w:tc>
        <w:tc>
          <w:tcPr>
            <w:tcW w:w="3011" w:type="dxa"/>
          </w:tcPr>
          <w:p w:rsidRPr="00152A9D" w:rsidR="00D14123" w:rsidP="00B034A6" w:rsidRDefault="00D14123" w14:paraId="07E71D00" w14:textId="77777777">
            <w:pPr>
              <w:spacing w:line="360" w:lineRule="auto"/>
              <w:ind w:right="-93"/>
              <w:jc w:val="center"/>
              <w:rPr>
                <w:rFonts w:eastAsia="Calibri" w:cs="Tahoma"/>
                <w:iCs/>
                <w:sz w:val="18"/>
                <w:szCs w:val="18"/>
                <w:lang w:val="es-MX" w:eastAsia="es-ES_tradnl"/>
              </w:rPr>
            </w:pPr>
            <w:r w:rsidRPr="00152A9D">
              <w:rPr>
                <w:rFonts w:eastAsia="Calibri" w:cs="Tahoma"/>
                <w:iCs/>
                <w:sz w:val="18"/>
                <w:szCs w:val="18"/>
                <w:lang w:val="es-MX" w:eastAsia="es-ES_tradnl"/>
              </w:rPr>
              <w:t>Nombre del ganador y razones que lo justifican</w:t>
            </w:r>
          </w:p>
        </w:tc>
        <w:tc>
          <w:tcPr>
            <w:tcW w:w="3012" w:type="dxa"/>
          </w:tcPr>
          <w:p w:rsidRPr="00152A9D" w:rsidR="00D14123" w:rsidP="00B034A6" w:rsidRDefault="00D14123" w14:paraId="48502EFD" w14:textId="77777777">
            <w:pPr>
              <w:spacing w:line="360" w:lineRule="auto"/>
              <w:ind w:right="-93"/>
              <w:jc w:val="center"/>
              <w:rPr>
                <w:rFonts w:eastAsia="Calibri" w:cs="Tahoma"/>
                <w:iCs/>
                <w:sz w:val="18"/>
                <w:szCs w:val="18"/>
                <w:lang w:val="es-MX" w:eastAsia="es-ES_tradnl"/>
              </w:rPr>
            </w:pPr>
            <w:r w:rsidRPr="00152A9D">
              <w:rPr>
                <w:rFonts w:eastAsia="Calibri" w:cs="Tahoma"/>
                <w:iCs/>
                <w:sz w:val="18"/>
                <w:szCs w:val="18"/>
                <w:lang w:val="es-MX" w:eastAsia="es-ES_tradnl"/>
              </w:rPr>
              <w:t>Autorización del ejercicio de la opción</w:t>
            </w:r>
          </w:p>
        </w:tc>
      </w:tr>
      <w:tr w:rsidRPr="00012296" w:rsidR="00D14123" w:rsidTr="00983257" w14:paraId="69127ECA" w14:textId="77777777">
        <w:tc>
          <w:tcPr>
            <w:tcW w:w="3011" w:type="dxa"/>
          </w:tcPr>
          <w:p w:rsidRPr="00152A9D" w:rsidR="00D14123" w:rsidP="00B034A6" w:rsidRDefault="00D14123" w14:paraId="50FDA658" w14:textId="77777777">
            <w:pPr>
              <w:spacing w:line="360" w:lineRule="auto"/>
              <w:ind w:right="-93"/>
              <w:jc w:val="center"/>
              <w:rPr>
                <w:rFonts w:eastAsia="Calibri" w:cs="Tahoma"/>
                <w:iCs/>
                <w:sz w:val="18"/>
                <w:szCs w:val="18"/>
                <w:lang w:eastAsia="es-ES_tradnl"/>
              </w:rPr>
            </w:pPr>
            <w:r w:rsidRPr="00152A9D">
              <w:rPr>
                <w:rFonts w:eastAsia="Calibri" w:cs="Tahoma"/>
                <w:iCs/>
                <w:sz w:val="18"/>
                <w:szCs w:val="18"/>
                <w:lang w:val="es-MX" w:eastAsia="es-ES_tradnl"/>
              </w:rPr>
              <w:t>La unidad administrativa solicitante y responsable de la ejecución</w:t>
            </w:r>
          </w:p>
        </w:tc>
        <w:tc>
          <w:tcPr>
            <w:tcW w:w="3011" w:type="dxa"/>
          </w:tcPr>
          <w:p w:rsidRPr="00152A9D" w:rsidR="00D14123" w:rsidP="00B034A6" w:rsidRDefault="00D14123" w14:paraId="2DE3557D" w14:textId="77777777">
            <w:pPr>
              <w:spacing w:line="360" w:lineRule="auto"/>
              <w:ind w:right="-93"/>
              <w:jc w:val="center"/>
              <w:rPr>
                <w:rFonts w:eastAsia="Calibri" w:cs="Tahoma"/>
                <w:iCs/>
                <w:sz w:val="18"/>
                <w:szCs w:val="18"/>
                <w:lang w:eastAsia="es-ES_tradnl"/>
              </w:rPr>
            </w:pPr>
            <w:r w:rsidRPr="00152A9D">
              <w:rPr>
                <w:rFonts w:eastAsia="Calibri" w:cs="Tahoma"/>
                <w:iCs/>
                <w:sz w:val="18"/>
                <w:szCs w:val="18"/>
                <w:lang w:val="es-MX" w:eastAsia="es-ES_tradnl"/>
              </w:rPr>
              <w:t>La unidad administrativa solicitante y responsable de la ejecución</w:t>
            </w:r>
          </w:p>
        </w:tc>
        <w:tc>
          <w:tcPr>
            <w:tcW w:w="3012" w:type="dxa"/>
          </w:tcPr>
          <w:p w:rsidRPr="00152A9D" w:rsidR="00D14123" w:rsidP="00B034A6" w:rsidRDefault="00D14123" w14:paraId="055355E2" w14:textId="77777777">
            <w:pPr>
              <w:spacing w:line="360" w:lineRule="auto"/>
              <w:ind w:right="-93"/>
              <w:jc w:val="center"/>
              <w:rPr>
                <w:rFonts w:eastAsia="Calibri" w:cs="Tahoma"/>
                <w:iCs/>
                <w:sz w:val="18"/>
                <w:szCs w:val="18"/>
                <w:lang w:eastAsia="es-ES_tradnl"/>
              </w:rPr>
            </w:pPr>
            <w:r w:rsidRPr="00152A9D">
              <w:rPr>
                <w:rFonts w:eastAsia="Calibri" w:cs="Tahoma"/>
                <w:iCs/>
                <w:sz w:val="18"/>
                <w:szCs w:val="18"/>
                <w:lang w:eastAsia="es-ES_tradnl"/>
              </w:rPr>
              <w:t>Cotizaciones consideradas, especificando el nombre de los proveedores y sus montos</w:t>
            </w:r>
          </w:p>
        </w:tc>
      </w:tr>
      <w:tr w:rsidRPr="00012296" w:rsidR="00D14123" w:rsidTr="00983257" w14:paraId="096686AD" w14:textId="77777777">
        <w:tc>
          <w:tcPr>
            <w:tcW w:w="3011" w:type="dxa"/>
          </w:tcPr>
          <w:p w:rsidRPr="00152A9D" w:rsidR="00D14123" w:rsidP="00B034A6" w:rsidRDefault="00D14123" w14:paraId="0596F45C" w14:textId="77777777">
            <w:pPr>
              <w:spacing w:line="360" w:lineRule="auto"/>
              <w:ind w:right="-93"/>
              <w:jc w:val="center"/>
              <w:rPr>
                <w:rFonts w:eastAsia="Calibri" w:cs="Tahoma"/>
                <w:iCs/>
                <w:sz w:val="18"/>
                <w:szCs w:val="18"/>
                <w:lang w:val="es-MX" w:eastAsia="es-ES_tradnl"/>
              </w:rPr>
            </w:pPr>
            <w:r w:rsidRPr="00152A9D">
              <w:rPr>
                <w:rFonts w:eastAsia="Calibri" w:cs="Tahoma"/>
                <w:iCs/>
                <w:sz w:val="18"/>
                <w:szCs w:val="18"/>
                <w:lang w:val="es-MX" w:eastAsia="es-ES_tradnl"/>
              </w:rPr>
              <w:t>Convocatorias emitidas</w:t>
            </w:r>
          </w:p>
        </w:tc>
        <w:tc>
          <w:tcPr>
            <w:tcW w:w="3011" w:type="dxa"/>
          </w:tcPr>
          <w:p w:rsidRPr="00152A9D" w:rsidR="00D14123" w:rsidP="00B034A6" w:rsidRDefault="00D14123" w14:paraId="0B293342" w14:textId="77777777">
            <w:pPr>
              <w:spacing w:line="360" w:lineRule="auto"/>
              <w:ind w:right="-93"/>
              <w:jc w:val="center"/>
              <w:rPr>
                <w:rFonts w:eastAsia="Calibri" w:cs="Tahoma"/>
                <w:iCs/>
                <w:sz w:val="18"/>
                <w:szCs w:val="18"/>
                <w:lang w:val="es-MX" w:eastAsia="es-ES_tradnl"/>
              </w:rPr>
            </w:pPr>
            <w:r w:rsidRPr="00152A9D">
              <w:rPr>
                <w:rFonts w:eastAsia="Calibri" w:cs="Tahoma"/>
                <w:iCs/>
                <w:sz w:val="18"/>
                <w:szCs w:val="18"/>
                <w:lang w:val="es-MX" w:eastAsia="es-ES_tradnl"/>
              </w:rPr>
              <w:t>Invitaciones emitidas</w:t>
            </w:r>
          </w:p>
        </w:tc>
        <w:tc>
          <w:tcPr>
            <w:tcW w:w="3012" w:type="dxa"/>
          </w:tcPr>
          <w:p w:rsidRPr="00152A9D" w:rsidR="00D14123" w:rsidP="00B034A6" w:rsidRDefault="00D14123" w14:paraId="46A0298B" w14:textId="77777777">
            <w:pPr>
              <w:spacing w:line="360" w:lineRule="auto"/>
              <w:ind w:right="-93"/>
              <w:jc w:val="center"/>
              <w:rPr>
                <w:rFonts w:eastAsia="Calibri" w:cs="Tahoma"/>
                <w:iCs/>
                <w:sz w:val="18"/>
                <w:szCs w:val="18"/>
                <w:lang w:val="es-MX" w:eastAsia="es-ES_tradnl"/>
              </w:rPr>
            </w:pPr>
            <w:r w:rsidRPr="00152A9D">
              <w:rPr>
                <w:rFonts w:eastAsia="Calibri" w:cs="Tahoma"/>
                <w:iCs/>
                <w:sz w:val="18"/>
                <w:szCs w:val="18"/>
                <w:lang w:val="es-MX" w:eastAsia="es-ES_tradnl"/>
              </w:rPr>
              <w:t>Nombre de la persona física o jurídica colectiva adjudicada</w:t>
            </w:r>
          </w:p>
        </w:tc>
      </w:tr>
      <w:tr w:rsidRPr="00012296" w:rsidR="00D14123" w:rsidTr="00983257" w14:paraId="57EC048C" w14:textId="77777777">
        <w:tc>
          <w:tcPr>
            <w:tcW w:w="3011" w:type="dxa"/>
          </w:tcPr>
          <w:p w:rsidRPr="00152A9D" w:rsidR="00D14123" w:rsidP="00B034A6" w:rsidRDefault="00D14123" w14:paraId="3D4951C5" w14:textId="77777777">
            <w:pPr>
              <w:spacing w:line="360" w:lineRule="auto"/>
              <w:ind w:right="-93"/>
              <w:jc w:val="center"/>
              <w:rPr>
                <w:rFonts w:eastAsia="Calibri" w:cs="Tahoma"/>
                <w:iCs/>
                <w:sz w:val="18"/>
                <w:szCs w:val="18"/>
                <w:lang w:eastAsia="es-ES_tradnl"/>
              </w:rPr>
            </w:pPr>
            <w:r w:rsidRPr="00152A9D">
              <w:rPr>
                <w:rFonts w:eastAsia="Calibri" w:cs="Tahoma"/>
                <w:iCs/>
                <w:sz w:val="18"/>
                <w:szCs w:val="18"/>
                <w:lang w:eastAsia="es-ES_tradnl"/>
              </w:rPr>
              <w:t>Dictámenes y fallos</w:t>
            </w:r>
          </w:p>
        </w:tc>
        <w:tc>
          <w:tcPr>
            <w:tcW w:w="3011" w:type="dxa"/>
          </w:tcPr>
          <w:p w:rsidRPr="00152A9D" w:rsidR="00D14123" w:rsidP="00B034A6" w:rsidRDefault="00D14123" w14:paraId="40D2D1E0" w14:textId="77777777">
            <w:pPr>
              <w:spacing w:line="360" w:lineRule="auto"/>
              <w:ind w:right="-93"/>
              <w:jc w:val="center"/>
              <w:rPr>
                <w:rFonts w:eastAsia="Calibri" w:cs="Tahoma"/>
                <w:iCs/>
                <w:sz w:val="18"/>
                <w:szCs w:val="18"/>
                <w:lang w:eastAsia="es-ES_tradnl"/>
              </w:rPr>
            </w:pPr>
            <w:r w:rsidRPr="00152A9D">
              <w:rPr>
                <w:rFonts w:eastAsia="Calibri" w:cs="Tahoma"/>
                <w:iCs/>
                <w:sz w:val="18"/>
                <w:szCs w:val="18"/>
                <w:lang w:eastAsia="es-ES_tradnl"/>
              </w:rPr>
              <w:t>Dictámenes y fallos</w:t>
            </w:r>
          </w:p>
        </w:tc>
        <w:tc>
          <w:tcPr>
            <w:tcW w:w="3012" w:type="dxa"/>
          </w:tcPr>
          <w:p w:rsidRPr="00152A9D" w:rsidR="00D14123" w:rsidP="00B034A6" w:rsidRDefault="00D14123" w14:paraId="72CA5A02" w14:textId="77777777">
            <w:pPr>
              <w:spacing w:line="360" w:lineRule="auto"/>
              <w:ind w:right="-93"/>
              <w:jc w:val="center"/>
              <w:rPr>
                <w:rFonts w:eastAsia="Calibri" w:cs="Tahoma"/>
                <w:iCs/>
                <w:sz w:val="18"/>
                <w:szCs w:val="18"/>
                <w:lang w:eastAsia="es-ES_tradnl"/>
              </w:rPr>
            </w:pPr>
            <w:r w:rsidRPr="00152A9D">
              <w:rPr>
                <w:rFonts w:eastAsia="Calibri" w:cs="Tahoma"/>
                <w:iCs/>
                <w:sz w:val="18"/>
                <w:szCs w:val="18"/>
                <w:lang w:val="es-MX" w:eastAsia="es-ES_tradnl"/>
              </w:rPr>
              <w:t>La unidad administrativa solicitante y responsable de la ejecución</w:t>
            </w:r>
          </w:p>
        </w:tc>
      </w:tr>
      <w:tr w:rsidRPr="00012296" w:rsidR="00D14123" w:rsidTr="00983257" w14:paraId="7808EA14" w14:textId="77777777">
        <w:tc>
          <w:tcPr>
            <w:tcW w:w="3011" w:type="dxa"/>
          </w:tcPr>
          <w:p w:rsidRPr="00152A9D" w:rsidR="00D14123" w:rsidP="00B034A6" w:rsidRDefault="00D14123" w14:paraId="14775896" w14:textId="77777777">
            <w:pPr>
              <w:spacing w:line="360" w:lineRule="auto"/>
              <w:ind w:right="-93"/>
              <w:jc w:val="center"/>
              <w:rPr>
                <w:rFonts w:eastAsia="Calibri" w:cs="Tahoma"/>
                <w:iCs/>
                <w:sz w:val="18"/>
                <w:szCs w:val="18"/>
                <w:lang w:eastAsia="es-ES_tradnl"/>
              </w:rPr>
            </w:pPr>
            <w:r w:rsidRPr="00152A9D">
              <w:rPr>
                <w:rFonts w:eastAsia="Calibri" w:cs="Tahoma"/>
                <w:iCs/>
                <w:sz w:val="18"/>
                <w:szCs w:val="18"/>
                <w:lang w:eastAsia="es-ES_tradnl"/>
              </w:rPr>
              <w:lastRenderedPageBreak/>
              <w:t>Contrato y anexos</w:t>
            </w:r>
          </w:p>
        </w:tc>
        <w:tc>
          <w:tcPr>
            <w:tcW w:w="3011" w:type="dxa"/>
          </w:tcPr>
          <w:p w:rsidRPr="00152A9D" w:rsidR="00D14123" w:rsidP="00B034A6" w:rsidRDefault="00D14123" w14:paraId="418E3148" w14:textId="77777777">
            <w:pPr>
              <w:spacing w:line="360" w:lineRule="auto"/>
              <w:ind w:right="-93"/>
              <w:jc w:val="center"/>
              <w:rPr>
                <w:rFonts w:eastAsia="Calibri" w:cs="Tahoma"/>
                <w:iCs/>
                <w:sz w:val="18"/>
                <w:szCs w:val="18"/>
                <w:lang w:eastAsia="es-ES_tradnl"/>
              </w:rPr>
            </w:pPr>
            <w:r w:rsidRPr="00152A9D">
              <w:rPr>
                <w:rFonts w:eastAsia="Calibri" w:cs="Tahoma"/>
                <w:iCs/>
                <w:sz w:val="18"/>
                <w:szCs w:val="18"/>
                <w:lang w:eastAsia="es-ES_tradnl"/>
              </w:rPr>
              <w:t>Contrato y anexos</w:t>
            </w:r>
          </w:p>
        </w:tc>
        <w:tc>
          <w:tcPr>
            <w:tcW w:w="3012" w:type="dxa"/>
          </w:tcPr>
          <w:p w:rsidRPr="00152A9D" w:rsidR="00D14123" w:rsidP="00B034A6" w:rsidRDefault="00D14123" w14:paraId="0705793E" w14:textId="77777777">
            <w:pPr>
              <w:spacing w:line="360" w:lineRule="auto"/>
              <w:ind w:right="-93"/>
              <w:jc w:val="center"/>
              <w:rPr>
                <w:rFonts w:eastAsia="Calibri" w:cs="Tahoma"/>
                <w:iCs/>
                <w:sz w:val="18"/>
                <w:szCs w:val="18"/>
                <w:lang w:eastAsia="es-ES_tradnl"/>
              </w:rPr>
            </w:pPr>
            <w:r w:rsidRPr="00152A9D">
              <w:rPr>
                <w:rFonts w:eastAsia="Calibri" w:cs="Tahoma"/>
                <w:iCs/>
                <w:sz w:val="18"/>
                <w:szCs w:val="18"/>
                <w:lang w:val="es-MX" w:eastAsia="es-ES_tradnl"/>
              </w:rPr>
              <w:t>Número, fecha, monto del contrato, el plazo de entrega o de ejecución de los servicios de obra.</w:t>
            </w:r>
          </w:p>
        </w:tc>
      </w:tr>
      <w:tr w:rsidRPr="00012296" w:rsidR="00D14123" w:rsidTr="00983257" w14:paraId="72E9FEAD" w14:textId="77777777">
        <w:tc>
          <w:tcPr>
            <w:tcW w:w="3011" w:type="dxa"/>
          </w:tcPr>
          <w:p w:rsidRPr="00152A9D" w:rsidR="00D14123" w:rsidP="00B034A6" w:rsidRDefault="00D14123" w14:paraId="09090811" w14:textId="77777777">
            <w:pPr>
              <w:spacing w:line="360" w:lineRule="auto"/>
              <w:ind w:right="-93"/>
              <w:jc w:val="center"/>
              <w:rPr>
                <w:rFonts w:eastAsia="Calibri" w:cs="Tahoma"/>
                <w:iCs/>
                <w:sz w:val="18"/>
                <w:szCs w:val="18"/>
                <w:lang w:val="es-MX" w:eastAsia="es-ES_tradnl"/>
              </w:rPr>
            </w:pPr>
            <w:r w:rsidRPr="00152A9D">
              <w:rPr>
                <w:rFonts w:eastAsia="Calibri" w:cs="Tahoma"/>
                <w:iCs/>
                <w:sz w:val="18"/>
                <w:szCs w:val="18"/>
                <w:lang w:val="es-MX" w:eastAsia="es-ES_tradnl"/>
              </w:rPr>
              <w:t>Los mecanismos de vigilancia y supervisión</w:t>
            </w:r>
          </w:p>
        </w:tc>
        <w:tc>
          <w:tcPr>
            <w:tcW w:w="3011" w:type="dxa"/>
          </w:tcPr>
          <w:p w:rsidRPr="00152A9D" w:rsidR="00D14123" w:rsidP="00B034A6" w:rsidRDefault="00D14123" w14:paraId="3A871EF6" w14:textId="77777777">
            <w:pPr>
              <w:spacing w:line="360" w:lineRule="auto"/>
              <w:ind w:right="-93"/>
              <w:jc w:val="center"/>
              <w:rPr>
                <w:rFonts w:eastAsia="Calibri" w:cs="Tahoma"/>
                <w:iCs/>
                <w:sz w:val="18"/>
                <w:szCs w:val="18"/>
                <w:lang w:val="es-MX" w:eastAsia="es-ES_tradnl"/>
              </w:rPr>
            </w:pPr>
            <w:r w:rsidRPr="00152A9D">
              <w:rPr>
                <w:rFonts w:eastAsia="Calibri" w:cs="Tahoma"/>
                <w:iCs/>
                <w:sz w:val="18"/>
                <w:szCs w:val="18"/>
                <w:lang w:val="es-MX" w:eastAsia="es-ES_tradnl"/>
              </w:rPr>
              <w:t>Los mecanismos de vigilancia y supervisión</w:t>
            </w:r>
          </w:p>
        </w:tc>
        <w:tc>
          <w:tcPr>
            <w:tcW w:w="3012" w:type="dxa"/>
          </w:tcPr>
          <w:p w:rsidRPr="00152A9D" w:rsidR="00D14123" w:rsidP="00B034A6" w:rsidRDefault="00D14123" w14:paraId="6CBB9257" w14:textId="77777777">
            <w:pPr>
              <w:spacing w:line="360" w:lineRule="auto"/>
              <w:ind w:right="-93"/>
              <w:jc w:val="center"/>
              <w:rPr>
                <w:rFonts w:eastAsia="Calibri" w:cs="Tahoma"/>
                <w:iCs/>
                <w:sz w:val="18"/>
                <w:szCs w:val="18"/>
                <w:lang w:val="es-MX" w:eastAsia="es-ES_tradnl"/>
              </w:rPr>
            </w:pPr>
            <w:r w:rsidRPr="00152A9D">
              <w:rPr>
                <w:rFonts w:eastAsia="Calibri" w:cs="Tahoma"/>
                <w:iCs/>
                <w:sz w:val="18"/>
                <w:szCs w:val="18"/>
                <w:lang w:val="es-MX" w:eastAsia="es-ES_tradnl"/>
              </w:rPr>
              <w:t>Los mecanismos de vigilancia y supervisión</w:t>
            </w:r>
          </w:p>
        </w:tc>
      </w:tr>
      <w:tr w:rsidRPr="00012296" w:rsidR="00D14123" w:rsidTr="00983257" w14:paraId="0D2C3FBC" w14:textId="77777777">
        <w:tc>
          <w:tcPr>
            <w:tcW w:w="3011" w:type="dxa"/>
          </w:tcPr>
          <w:p w:rsidRPr="00152A9D" w:rsidR="00D14123" w:rsidP="00B034A6" w:rsidRDefault="00D14123" w14:paraId="15DC226B" w14:textId="77777777">
            <w:pPr>
              <w:spacing w:line="360" w:lineRule="auto"/>
              <w:ind w:right="-93"/>
              <w:jc w:val="center"/>
              <w:rPr>
                <w:rFonts w:eastAsia="Calibri" w:cs="Tahoma"/>
                <w:iCs/>
                <w:sz w:val="18"/>
                <w:szCs w:val="18"/>
                <w:lang w:val="es-MX" w:eastAsia="es-ES_tradnl"/>
              </w:rPr>
            </w:pPr>
            <w:r w:rsidRPr="00152A9D">
              <w:rPr>
                <w:rFonts w:eastAsia="Calibri" w:cs="Tahoma"/>
                <w:iCs/>
                <w:sz w:val="18"/>
                <w:szCs w:val="18"/>
                <w:lang w:val="es-MX" w:eastAsia="es-ES_tradnl"/>
              </w:rPr>
              <w:t>La partida presupuestal</w:t>
            </w:r>
          </w:p>
        </w:tc>
        <w:tc>
          <w:tcPr>
            <w:tcW w:w="3011" w:type="dxa"/>
          </w:tcPr>
          <w:p w:rsidRPr="00152A9D" w:rsidR="00D14123" w:rsidP="00B034A6" w:rsidRDefault="00D14123" w14:paraId="3921282E" w14:textId="77777777">
            <w:pPr>
              <w:spacing w:line="360" w:lineRule="auto"/>
              <w:ind w:right="-93"/>
              <w:jc w:val="center"/>
              <w:rPr>
                <w:rFonts w:eastAsia="Calibri" w:cs="Tahoma"/>
                <w:iCs/>
                <w:sz w:val="18"/>
                <w:szCs w:val="18"/>
                <w:lang w:val="es-MX" w:eastAsia="es-ES_tradnl"/>
              </w:rPr>
            </w:pPr>
            <w:r w:rsidRPr="00152A9D">
              <w:rPr>
                <w:rFonts w:eastAsia="Calibri" w:cs="Tahoma"/>
                <w:iCs/>
                <w:sz w:val="18"/>
                <w:szCs w:val="18"/>
                <w:lang w:val="es-MX" w:eastAsia="es-ES_tradnl"/>
              </w:rPr>
              <w:t>La partida presupuestal</w:t>
            </w:r>
          </w:p>
        </w:tc>
        <w:tc>
          <w:tcPr>
            <w:tcW w:w="3012" w:type="dxa"/>
          </w:tcPr>
          <w:p w:rsidRPr="00152A9D" w:rsidR="00D14123" w:rsidP="00B034A6" w:rsidRDefault="00D14123" w14:paraId="480F4739" w14:textId="77777777">
            <w:pPr>
              <w:spacing w:line="360" w:lineRule="auto"/>
              <w:ind w:right="-93"/>
              <w:jc w:val="center"/>
              <w:rPr>
                <w:rFonts w:eastAsia="Calibri" w:cs="Tahoma"/>
                <w:iCs/>
                <w:sz w:val="18"/>
                <w:szCs w:val="18"/>
                <w:lang w:val="es-MX" w:eastAsia="es-ES_tradnl"/>
              </w:rPr>
            </w:pPr>
            <w:r w:rsidRPr="00152A9D">
              <w:rPr>
                <w:rFonts w:eastAsia="Calibri" w:cs="Tahoma"/>
                <w:iCs/>
                <w:sz w:val="18"/>
                <w:szCs w:val="18"/>
                <w:lang w:val="es-MX" w:eastAsia="es-ES_tradnl"/>
              </w:rPr>
              <w:t>Informes de avances físicos y financieros</w:t>
            </w:r>
          </w:p>
        </w:tc>
      </w:tr>
      <w:tr w:rsidRPr="00012296" w:rsidR="00D14123" w:rsidTr="00983257" w14:paraId="17C10B92" w14:textId="77777777">
        <w:tc>
          <w:tcPr>
            <w:tcW w:w="3011" w:type="dxa"/>
          </w:tcPr>
          <w:p w:rsidRPr="00152A9D" w:rsidR="00D14123" w:rsidP="00B034A6" w:rsidRDefault="00D14123" w14:paraId="7595C398" w14:textId="77777777">
            <w:pPr>
              <w:spacing w:line="360" w:lineRule="auto"/>
              <w:ind w:right="-93"/>
              <w:jc w:val="center"/>
              <w:rPr>
                <w:rFonts w:eastAsia="Calibri" w:cs="Tahoma"/>
                <w:iCs/>
                <w:sz w:val="18"/>
                <w:szCs w:val="18"/>
                <w:lang w:val="es-MX" w:eastAsia="es-ES_tradnl"/>
              </w:rPr>
            </w:pPr>
            <w:r w:rsidRPr="00152A9D">
              <w:rPr>
                <w:rFonts w:eastAsia="Calibri" w:cs="Tahoma"/>
                <w:iCs/>
                <w:sz w:val="18"/>
                <w:szCs w:val="18"/>
                <w:lang w:val="es-MX" w:eastAsia="es-ES_tradnl"/>
              </w:rPr>
              <w:t>Origen de los recursos, así como el tipo de fondo de participación o aportación respectiva</w:t>
            </w:r>
          </w:p>
        </w:tc>
        <w:tc>
          <w:tcPr>
            <w:tcW w:w="3011" w:type="dxa"/>
          </w:tcPr>
          <w:p w:rsidRPr="00152A9D" w:rsidR="00D14123" w:rsidP="00B034A6" w:rsidRDefault="00D14123" w14:paraId="0D7D962F" w14:textId="77777777">
            <w:pPr>
              <w:spacing w:line="360" w:lineRule="auto"/>
              <w:ind w:right="-93"/>
              <w:jc w:val="center"/>
              <w:rPr>
                <w:rFonts w:eastAsia="Calibri" w:cs="Tahoma"/>
                <w:iCs/>
                <w:sz w:val="18"/>
                <w:szCs w:val="18"/>
                <w:lang w:val="es-MX" w:eastAsia="es-ES_tradnl"/>
              </w:rPr>
            </w:pPr>
            <w:r w:rsidRPr="00152A9D">
              <w:rPr>
                <w:rFonts w:eastAsia="Calibri" w:cs="Tahoma"/>
                <w:iCs/>
                <w:sz w:val="18"/>
                <w:szCs w:val="18"/>
                <w:lang w:val="es-MX" w:eastAsia="es-ES_tradnl"/>
              </w:rPr>
              <w:t>Origen de los recursos, así como el tipo de fondo de participación o aportación respectiva</w:t>
            </w:r>
          </w:p>
        </w:tc>
        <w:tc>
          <w:tcPr>
            <w:tcW w:w="3012" w:type="dxa"/>
          </w:tcPr>
          <w:p w:rsidRPr="00152A9D" w:rsidR="00D14123" w:rsidP="00B034A6" w:rsidRDefault="00D14123" w14:paraId="25F73535" w14:textId="77777777">
            <w:pPr>
              <w:spacing w:line="360" w:lineRule="auto"/>
              <w:ind w:right="-93"/>
              <w:jc w:val="center"/>
              <w:rPr>
                <w:rFonts w:eastAsia="Calibri" w:cs="Tahoma"/>
                <w:iCs/>
                <w:sz w:val="18"/>
                <w:szCs w:val="18"/>
                <w:lang w:val="es-MX" w:eastAsia="es-ES_tradnl"/>
              </w:rPr>
            </w:pPr>
            <w:r w:rsidRPr="00152A9D">
              <w:rPr>
                <w:rFonts w:eastAsia="Calibri" w:cs="Tahoma"/>
                <w:iCs/>
                <w:sz w:val="18"/>
                <w:szCs w:val="18"/>
                <w:lang w:val="es-MX" w:eastAsia="es-ES_tradnl"/>
              </w:rPr>
              <w:t>Convenio de terminación</w:t>
            </w:r>
          </w:p>
        </w:tc>
      </w:tr>
      <w:tr w:rsidRPr="00012296" w:rsidR="00D14123" w:rsidTr="00983257" w14:paraId="5166F2C8" w14:textId="77777777">
        <w:tc>
          <w:tcPr>
            <w:tcW w:w="3011" w:type="dxa"/>
          </w:tcPr>
          <w:p w:rsidRPr="00152A9D" w:rsidR="00D14123" w:rsidP="00B034A6" w:rsidRDefault="00D14123" w14:paraId="63E5A74B" w14:textId="77777777">
            <w:pPr>
              <w:spacing w:line="360" w:lineRule="auto"/>
              <w:ind w:right="-93"/>
              <w:jc w:val="center"/>
              <w:rPr>
                <w:rFonts w:eastAsia="Calibri" w:cs="Tahoma"/>
                <w:iCs/>
                <w:sz w:val="18"/>
                <w:szCs w:val="18"/>
                <w:lang w:val="es-MX" w:eastAsia="es-ES_tradnl"/>
              </w:rPr>
            </w:pPr>
            <w:r w:rsidRPr="00152A9D">
              <w:rPr>
                <w:rFonts w:eastAsia="Calibri" w:cs="Tahoma"/>
                <w:iCs/>
                <w:sz w:val="18"/>
                <w:szCs w:val="18"/>
                <w:lang w:val="es-MX" w:eastAsia="es-ES_tradnl"/>
              </w:rPr>
              <w:t>Convenios modificatorios</w:t>
            </w:r>
          </w:p>
        </w:tc>
        <w:tc>
          <w:tcPr>
            <w:tcW w:w="3011" w:type="dxa"/>
          </w:tcPr>
          <w:p w:rsidRPr="00152A9D" w:rsidR="00D14123" w:rsidP="00B034A6" w:rsidRDefault="00D14123" w14:paraId="7C4FDE7B" w14:textId="77777777">
            <w:pPr>
              <w:spacing w:line="360" w:lineRule="auto"/>
              <w:ind w:right="-93"/>
              <w:jc w:val="center"/>
              <w:rPr>
                <w:rFonts w:eastAsia="Calibri" w:cs="Tahoma"/>
                <w:iCs/>
                <w:sz w:val="18"/>
                <w:szCs w:val="18"/>
                <w:lang w:val="es-MX" w:eastAsia="es-ES_tradnl"/>
              </w:rPr>
            </w:pPr>
            <w:r w:rsidRPr="00152A9D">
              <w:rPr>
                <w:rFonts w:eastAsia="Calibri" w:cs="Tahoma"/>
                <w:iCs/>
                <w:sz w:val="18"/>
                <w:szCs w:val="18"/>
                <w:lang w:val="es-MX" w:eastAsia="es-ES_tradnl"/>
              </w:rPr>
              <w:t>Convenios modificatorios</w:t>
            </w:r>
          </w:p>
        </w:tc>
        <w:tc>
          <w:tcPr>
            <w:tcW w:w="3012" w:type="dxa"/>
          </w:tcPr>
          <w:p w:rsidRPr="00152A9D" w:rsidR="00D14123" w:rsidP="00B034A6" w:rsidRDefault="00D14123" w14:paraId="1F1706A7" w14:textId="77777777">
            <w:pPr>
              <w:spacing w:line="360" w:lineRule="auto"/>
              <w:ind w:right="-93"/>
              <w:jc w:val="center"/>
              <w:rPr>
                <w:rFonts w:eastAsia="Calibri" w:cs="Tahoma"/>
                <w:iCs/>
                <w:sz w:val="18"/>
                <w:szCs w:val="18"/>
                <w:lang w:val="es-MX" w:eastAsia="es-ES_tradnl"/>
              </w:rPr>
            </w:pPr>
            <w:r w:rsidRPr="00152A9D">
              <w:rPr>
                <w:rFonts w:eastAsia="Calibri" w:cs="Tahoma"/>
                <w:iCs/>
                <w:sz w:val="18"/>
                <w:szCs w:val="18"/>
                <w:lang w:val="es-MX" w:eastAsia="es-ES_tradnl"/>
              </w:rPr>
              <w:t>Finiquito</w:t>
            </w:r>
          </w:p>
        </w:tc>
      </w:tr>
      <w:tr w:rsidRPr="00012296" w:rsidR="00D14123" w:rsidTr="00983257" w14:paraId="39190E2C" w14:textId="77777777">
        <w:tc>
          <w:tcPr>
            <w:tcW w:w="3011" w:type="dxa"/>
          </w:tcPr>
          <w:p w:rsidRPr="00152A9D" w:rsidR="00D14123" w:rsidP="00B034A6" w:rsidRDefault="00D14123" w14:paraId="757CD2BF" w14:textId="77777777">
            <w:pPr>
              <w:spacing w:line="360" w:lineRule="auto"/>
              <w:ind w:right="-93"/>
              <w:jc w:val="center"/>
              <w:rPr>
                <w:rFonts w:eastAsia="Calibri" w:cs="Tahoma"/>
                <w:bCs/>
                <w:iCs/>
                <w:sz w:val="18"/>
                <w:szCs w:val="18"/>
                <w:lang w:val="es-MX" w:eastAsia="es-ES_tradnl"/>
              </w:rPr>
            </w:pPr>
            <w:r w:rsidRPr="00152A9D">
              <w:rPr>
                <w:rFonts w:eastAsia="Calibri" w:cs="Tahoma"/>
                <w:bCs/>
                <w:iCs/>
                <w:sz w:val="18"/>
                <w:szCs w:val="18"/>
                <w:lang w:val="es-MX" w:eastAsia="es-ES_tradnl"/>
              </w:rPr>
              <w:t>Informes de avances físicos y financieros</w:t>
            </w:r>
          </w:p>
        </w:tc>
        <w:tc>
          <w:tcPr>
            <w:tcW w:w="3011" w:type="dxa"/>
          </w:tcPr>
          <w:p w:rsidRPr="00152A9D" w:rsidR="00D14123" w:rsidP="00B034A6" w:rsidRDefault="00D14123" w14:paraId="50ADDF66" w14:textId="77777777">
            <w:pPr>
              <w:spacing w:line="360" w:lineRule="auto"/>
              <w:ind w:right="-93"/>
              <w:jc w:val="center"/>
              <w:rPr>
                <w:rFonts w:eastAsia="Calibri" w:cs="Tahoma"/>
                <w:bCs/>
                <w:iCs/>
                <w:sz w:val="18"/>
                <w:szCs w:val="18"/>
                <w:lang w:val="es-MX" w:eastAsia="es-ES_tradnl"/>
              </w:rPr>
            </w:pPr>
            <w:r w:rsidRPr="00152A9D">
              <w:rPr>
                <w:rFonts w:eastAsia="Calibri" w:cs="Tahoma"/>
                <w:bCs/>
                <w:iCs/>
                <w:sz w:val="18"/>
                <w:szCs w:val="18"/>
                <w:lang w:val="es-MX" w:eastAsia="es-ES_tradnl"/>
              </w:rPr>
              <w:t>Informes de avances físicos y financieros</w:t>
            </w:r>
          </w:p>
        </w:tc>
        <w:tc>
          <w:tcPr>
            <w:tcW w:w="3012" w:type="dxa"/>
          </w:tcPr>
          <w:p w:rsidRPr="00152A9D" w:rsidR="00D14123" w:rsidP="00B034A6" w:rsidRDefault="00D14123" w14:paraId="39602931" w14:textId="77777777">
            <w:pPr>
              <w:spacing w:line="360" w:lineRule="auto"/>
              <w:ind w:right="-93"/>
              <w:jc w:val="center"/>
              <w:rPr>
                <w:rFonts w:eastAsia="Calibri" w:cs="Tahoma"/>
                <w:iCs/>
                <w:sz w:val="18"/>
                <w:szCs w:val="18"/>
                <w:lang w:val="es-MX" w:eastAsia="es-ES_tradnl"/>
              </w:rPr>
            </w:pPr>
          </w:p>
        </w:tc>
      </w:tr>
      <w:tr w:rsidRPr="00012296" w:rsidR="00D14123" w:rsidTr="00983257" w14:paraId="6F6CB5E4" w14:textId="77777777">
        <w:tc>
          <w:tcPr>
            <w:tcW w:w="3011" w:type="dxa"/>
          </w:tcPr>
          <w:p w:rsidRPr="00152A9D" w:rsidR="00D14123" w:rsidP="00B034A6" w:rsidRDefault="00D14123" w14:paraId="114191DE" w14:textId="77777777">
            <w:pPr>
              <w:spacing w:line="360" w:lineRule="auto"/>
              <w:ind w:right="-93"/>
              <w:jc w:val="center"/>
              <w:rPr>
                <w:rFonts w:eastAsia="Calibri" w:cs="Tahoma"/>
                <w:bCs/>
                <w:iCs/>
                <w:sz w:val="18"/>
                <w:szCs w:val="18"/>
                <w:lang w:val="es-MX" w:eastAsia="es-ES_tradnl"/>
              </w:rPr>
            </w:pPr>
            <w:r w:rsidRPr="00152A9D">
              <w:rPr>
                <w:rFonts w:eastAsia="Calibri" w:cs="Tahoma"/>
                <w:bCs/>
                <w:iCs/>
                <w:sz w:val="18"/>
                <w:szCs w:val="18"/>
                <w:lang w:val="es-MX" w:eastAsia="es-ES_tradnl"/>
              </w:rPr>
              <w:t>Convenio de terminación</w:t>
            </w:r>
          </w:p>
        </w:tc>
        <w:tc>
          <w:tcPr>
            <w:tcW w:w="3011" w:type="dxa"/>
          </w:tcPr>
          <w:p w:rsidRPr="00152A9D" w:rsidR="00D14123" w:rsidP="00B034A6" w:rsidRDefault="00D14123" w14:paraId="1B85A9FF" w14:textId="77777777">
            <w:pPr>
              <w:spacing w:line="360" w:lineRule="auto"/>
              <w:ind w:right="-93"/>
              <w:jc w:val="center"/>
              <w:rPr>
                <w:rFonts w:eastAsia="Calibri" w:cs="Tahoma"/>
                <w:bCs/>
                <w:iCs/>
                <w:sz w:val="18"/>
                <w:szCs w:val="18"/>
                <w:lang w:val="es-MX" w:eastAsia="es-ES_tradnl"/>
              </w:rPr>
            </w:pPr>
            <w:r w:rsidRPr="00152A9D">
              <w:rPr>
                <w:rFonts w:eastAsia="Calibri" w:cs="Tahoma"/>
                <w:bCs/>
                <w:iCs/>
                <w:sz w:val="18"/>
                <w:szCs w:val="18"/>
                <w:lang w:val="es-MX" w:eastAsia="es-ES_tradnl"/>
              </w:rPr>
              <w:t>Convenio de terminación</w:t>
            </w:r>
          </w:p>
        </w:tc>
        <w:tc>
          <w:tcPr>
            <w:tcW w:w="3012" w:type="dxa"/>
          </w:tcPr>
          <w:p w:rsidRPr="00152A9D" w:rsidR="00D14123" w:rsidP="00B034A6" w:rsidRDefault="00D14123" w14:paraId="71D765E3" w14:textId="77777777">
            <w:pPr>
              <w:spacing w:line="360" w:lineRule="auto"/>
              <w:ind w:right="-93"/>
              <w:jc w:val="center"/>
              <w:rPr>
                <w:rFonts w:eastAsia="Calibri" w:cs="Tahoma"/>
                <w:iCs/>
                <w:sz w:val="18"/>
                <w:szCs w:val="18"/>
                <w:lang w:val="es-MX" w:eastAsia="es-ES_tradnl"/>
              </w:rPr>
            </w:pPr>
          </w:p>
        </w:tc>
      </w:tr>
      <w:tr w:rsidRPr="00012296" w:rsidR="00D14123" w:rsidTr="00983257" w14:paraId="70CDFCB4" w14:textId="77777777">
        <w:tc>
          <w:tcPr>
            <w:tcW w:w="3011" w:type="dxa"/>
          </w:tcPr>
          <w:p w:rsidRPr="00152A9D" w:rsidR="00D14123" w:rsidP="00B034A6" w:rsidRDefault="00D14123" w14:paraId="388AD28E" w14:textId="77777777">
            <w:pPr>
              <w:spacing w:line="360" w:lineRule="auto"/>
              <w:ind w:right="-93"/>
              <w:jc w:val="center"/>
              <w:rPr>
                <w:rFonts w:eastAsia="Calibri" w:cs="Tahoma"/>
                <w:bCs/>
                <w:iCs/>
                <w:sz w:val="18"/>
                <w:szCs w:val="18"/>
                <w:lang w:val="es-MX" w:eastAsia="es-ES_tradnl"/>
              </w:rPr>
            </w:pPr>
            <w:r w:rsidRPr="00152A9D">
              <w:rPr>
                <w:rFonts w:eastAsia="Calibri" w:cs="Tahoma"/>
                <w:bCs/>
                <w:iCs/>
                <w:sz w:val="18"/>
                <w:szCs w:val="18"/>
                <w:lang w:val="es-MX" w:eastAsia="es-ES_tradnl"/>
              </w:rPr>
              <w:t>Finiquito</w:t>
            </w:r>
          </w:p>
        </w:tc>
        <w:tc>
          <w:tcPr>
            <w:tcW w:w="3011" w:type="dxa"/>
          </w:tcPr>
          <w:p w:rsidRPr="00152A9D" w:rsidR="00D14123" w:rsidP="00B034A6" w:rsidRDefault="00D14123" w14:paraId="40BC6CA0" w14:textId="77777777">
            <w:pPr>
              <w:spacing w:line="360" w:lineRule="auto"/>
              <w:ind w:right="-93"/>
              <w:jc w:val="center"/>
              <w:rPr>
                <w:rFonts w:eastAsia="Calibri" w:cs="Tahoma"/>
                <w:bCs/>
                <w:iCs/>
                <w:sz w:val="18"/>
                <w:szCs w:val="18"/>
                <w:lang w:val="es-MX" w:eastAsia="es-ES_tradnl"/>
              </w:rPr>
            </w:pPr>
            <w:r w:rsidRPr="00152A9D">
              <w:rPr>
                <w:rFonts w:eastAsia="Calibri" w:cs="Tahoma"/>
                <w:bCs/>
                <w:iCs/>
                <w:sz w:val="18"/>
                <w:szCs w:val="18"/>
                <w:lang w:val="es-MX" w:eastAsia="es-ES_tradnl"/>
              </w:rPr>
              <w:t>Finiquito</w:t>
            </w:r>
          </w:p>
        </w:tc>
        <w:tc>
          <w:tcPr>
            <w:tcW w:w="3012" w:type="dxa"/>
          </w:tcPr>
          <w:p w:rsidRPr="00152A9D" w:rsidR="00D14123" w:rsidP="00B034A6" w:rsidRDefault="00D14123" w14:paraId="17A00434" w14:textId="77777777">
            <w:pPr>
              <w:spacing w:line="360" w:lineRule="auto"/>
              <w:ind w:right="-93"/>
              <w:jc w:val="center"/>
              <w:rPr>
                <w:rFonts w:eastAsia="Calibri" w:cs="Tahoma"/>
                <w:iCs/>
                <w:sz w:val="18"/>
                <w:szCs w:val="18"/>
                <w:lang w:val="es-MX" w:eastAsia="es-ES_tradnl"/>
              </w:rPr>
            </w:pPr>
          </w:p>
        </w:tc>
      </w:tr>
    </w:tbl>
    <w:p w:rsidR="00D14123" w:rsidP="00B034A6" w:rsidRDefault="00D14123" w14:paraId="29647FFA" w14:textId="77777777">
      <w:pPr>
        <w:spacing w:after="0" w:line="360" w:lineRule="auto"/>
      </w:pPr>
    </w:p>
    <w:p w:rsidR="00A70DE2" w:rsidP="00B034A6" w:rsidRDefault="003A607F" w14:paraId="586201CE" w14:textId="70AC69B7">
      <w:pPr>
        <w:spacing w:after="0" w:line="360" w:lineRule="auto"/>
      </w:pPr>
      <w:r>
        <w:t>Además, el artículo 92, fracción XXXVI, de la Ley de Transparencia y Acceso a la Información Pública, del Estado de México y Municipios, establece que el Sujeto Obligado debe generar y publicar el Padrón de proveedores  y contratistas.</w:t>
      </w:r>
      <w:r w:rsidR="002C54AF">
        <w:t xml:space="preserve"> Lo cual, se robustece con el hecho </w:t>
      </w:r>
      <w:r w:rsidR="00BF6219">
        <w:t>de que el artículo 13.21 del Código Administrativo del Estado de México, vigente hasta la promulgación de la Ley de Contratación Pública del Estado de México, y el artículo 21 de dicha Ley, precisan que los Ayuntamientos integrarán un catálogo de proveedores y de prestadores de servicios.</w:t>
      </w:r>
    </w:p>
    <w:p w:rsidR="00A70DE2" w:rsidP="00B034A6" w:rsidRDefault="00A70DE2" w14:paraId="42EC28DB" w14:textId="77777777">
      <w:pPr>
        <w:spacing w:after="0" w:line="360" w:lineRule="auto"/>
      </w:pPr>
    </w:p>
    <w:p w:rsidR="00A158AB" w:rsidP="00B034A6" w:rsidRDefault="00D14123" w14:paraId="30B3A515" w14:textId="7ECBD1E0">
      <w:pPr>
        <w:spacing w:after="0" w:line="360" w:lineRule="auto"/>
      </w:pPr>
      <w:r>
        <w:t xml:space="preserve">Conforme a lo anterior, </w:t>
      </w:r>
      <w:r w:rsidR="00152A9D">
        <w:t xml:space="preserve">se logra vislumbrar que la pretensión del ahora Recurrente, es </w:t>
      </w:r>
      <w:r w:rsidR="00AA48E2">
        <w:t>obtener del primero de enero de dos mil doce al veintinueve de abril de dos mil veintidós</w:t>
      </w:r>
      <w:r w:rsidR="003A607F">
        <w:t>,</w:t>
      </w:r>
      <w:r w:rsidR="00AA48E2">
        <w:t xml:space="preserve"> </w:t>
      </w:r>
      <w:r w:rsidR="00FF34C3">
        <w:t xml:space="preserve">lo siguiente: </w:t>
      </w:r>
    </w:p>
    <w:p w:rsidR="00FF34C3" w:rsidP="00B034A6" w:rsidRDefault="00FF34C3" w14:paraId="299BFF22" w14:textId="60978EE5">
      <w:pPr>
        <w:spacing w:after="0" w:line="360" w:lineRule="auto"/>
      </w:pPr>
    </w:p>
    <w:p w:rsidR="00BF6219" w:rsidP="00BF6219" w:rsidRDefault="00BF6219" w14:paraId="4745DA27" w14:textId="0BD818DB">
      <w:pPr>
        <w:pStyle w:val="Prrafodelista"/>
        <w:numPr>
          <w:ilvl w:val="0"/>
          <w:numId w:val="32"/>
        </w:numPr>
        <w:tabs>
          <w:tab w:val="left" w:pos="4962"/>
        </w:tabs>
        <w:spacing w:line="360" w:lineRule="auto"/>
        <w:jc w:val="both"/>
        <w:rPr>
          <w:rFonts w:ascii="Palatino Linotype" w:hAnsi="Palatino Linotype" w:eastAsia="Calibri" w:cs="Tahoma"/>
          <w:iCs/>
          <w:lang w:val="es-ES" w:eastAsia="es-ES_tradnl"/>
        </w:rPr>
      </w:pPr>
      <w:r>
        <w:rPr>
          <w:rFonts w:ascii="Palatino Linotype" w:hAnsi="Palatino Linotype" w:eastAsia="Calibri" w:cs="Tahoma"/>
          <w:iCs/>
          <w:lang w:val="es-ES" w:eastAsia="es-ES_tradnl"/>
        </w:rPr>
        <w:t>Listado de los contratos derivados de procedimientos por licitación pública, adjudicación directa e invitación restringida, con diversos datos.</w:t>
      </w:r>
    </w:p>
    <w:p w:rsidR="00BF6219" w:rsidP="00BF6219" w:rsidRDefault="00BF6219" w14:paraId="5DCED253" w14:textId="77777777">
      <w:pPr>
        <w:pStyle w:val="Prrafodelista"/>
        <w:tabs>
          <w:tab w:val="left" w:pos="4962"/>
        </w:tabs>
        <w:spacing w:line="360" w:lineRule="auto"/>
        <w:jc w:val="both"/>
        <w:rPr>
          <w:rFonts w:ascii="Palatino Linotype" w:hAnsi="Palatino Linotype" w:eastAsia="Calibri" w:cs="Tahoma"/>
          <w:iCs/>
          <w:lang w:val="es-ES" w:eastAsia="es-ES_tradnl"/>
        </w:rPr>
      </w:pPr>
    </w:p>
    <w:p w:rsidR="00BF6219" w:rsidP="00BF6219" w:rsidRDefault="00BF6219" w14:paraId="309C475D" w14:textId="77777777">
      <w:pPr>
        <w:pStyle w:val="Prrafodelista"/>
        <w:tabs>
          <w:tab w:val="left" w:pos="4962"/>
        </w:tabs>
        <w:spacing w:line="360" w:lineRule="auto"/>
        <w:jc w:val="both"/>
        <w:rPr>
          <w:rFonts w:ascii="Palatino Linotype" w:hAnsi="Palatino Linotype" w:eastAsia="Calibri" w:cs="Tahoma"/>
          <w:iCs/>
          <w:lang w:val="es-ES" w:eastAsia="es-ES_tradnl"/>
        </w:rPr>
      </w:pPr>
    </w:p>
    <w:p w:rsidRPr="00BF6F7C" w:rsidR="00BF6219" w:rsidP="00BF6219" w:rsidRDefault="00BF6219" w14:paraId="766A7500" w14:textId="77777777">
      <w:pPr>
        <w:pStyle w:val="Prrafodelista"/>
        <w:numPr>
          <w:ilvl w:val="0"/>
          <w:numId w:val="32"/>
        </w:numPr>
        <w:tabs>
          <w:tab w:val="left" w:pos="4962"/>
        </w:tabs>
        <w:spacing w:line="360" w:lineRule="auto"/>
        <w:jc w:val="both"/>
        <w:rPr>
          <w:rFonts w:ascii="Palatino Linotype" w:hAnsi="Palatino Linotype" w:eastAsia="Calibri" w:cs="Tahoma"/>
          <w:iCs/>
          <w:lang w:val="es-ES" w:eastAsia="es-ES_tradnl"/>
        </w:rPr>
      </w:pPr>
      <w:r>
        <w:rPr>
          <w:rFonts w:ascii="Palatino Linotype" w:hAnsi="Palatino Linotype" w:eastAsia="Calibri" w:cs="Tahoma"/>
          <w:iCs/>
          <w:lang w:val="es-ES" w:eastAsia="es-ES_tradnl"/>
        </w:rPr>
        <w:t>Listado de proveedores.</w:t>
      </w:r>
    </w:p>
    <w:p w:rsidR="00034C6A" w:rsidP="00B034A6" w:rsidRDefault="00034C6A" w14:paraId="7228ED71" w14:textId="162716AE">
      <w:pPr>
        <w:spacing w:after="0" w:line="360" w:lineRule="auto"/>
        <w:rPr>
          <w:rFonts w:eastAsia="Times New Roman" w:cs="Times New Roman"/>
          <w:color w:val="auto"/>
          <w:lang w:eastAsia="es-ES"/>
        </w:rPr>
      </w:pPr>
    </w:p>
    <w:p w:rsidR="00A30720" w:rsidP="00B034A6" w:rsidRDefault="00A30720" w14:paraId="749DDDA3" w14:textId="4A07D32F">
      <w:pPr>
        <w:spacing w:after="0" w:line="360" w:lineRule="auto"/>
        <w:rPr>
          <w:rFonts w:eastAsia="Times New Roman" w:cs="Times New Roman"/>
          <w:color w:val="auto"/>
          <w:lang w:eastAsia="es-ES"/>
        </w:rPr>
      </w:pPr>
      <w:r>
        <w:rPr>
          <w:rFonts w:eastAsia="Times New Roman" w:cs="Times New Roman"/>
          <w:color w:val="auto"/>
          <w:lang w:eastAsia="es-ES"/>
        </w:rPr>
        <w:t xml:space="preserve">En atención al primer punto, cabe recordar que el </w:t>
      </w:r>
      <w:r w:rsidR="003E535E">
        <w:rPr>
          <w:rFonts w:eastAsia="Times New Roman" w:cs="Times New Roman"/>
          <w:color w:val="auto"/>
          <w:lang w:eastAsia="es-ES"/>
        </w:rPr>
        <w:t xml:space="preserve">Particular solicitó la información con el nivel de desagregación, en el tenor siguiente: </w:t>
      </w:r>
      <w:r>
        <w:rPr>
          <w:rFonts w:eastAsia="Times New Roman" w:cs="Times New Roman"/>
          <w:color w:val="auto"/>
          <w:lang w:eastAsia="es-ES"/>
        </w:rPr>
        <w:t xml:space="preserve"> </w:t>
      </w:r>
    </w:p>
    <w:p w:rsidR="003E535E" w:rsidP="00B034A6" w:rsidRDefault="003E535E" w14:paraId="293D810D" w14:textId="77777777">
      <w:pPr>
        <w:spacing w:after="0" w:line="360" w:lineRule="auto"/>
        <w:rPr>
          <w:rFonts w:eastAsia="Times New Roman" w:cs="Times New Roman"/>
          <w:color w:val="auto"/>
          <w:lang w:eastAsia="es-ES"/>
        </w:rPr>
      </w:pPr>
    </w:p>
    <w:p w:rsidRPr="003E535E" w:rsidR="003E535E" w:rsidP="00B034A6" w:rsidRDefault="003E535E" w14:paraId="1F9ECF2D" w14:textId="4FCE992D">
      <w:pPr>
        <w:pStyle w:val="Prrafodelista"/>
        <w:numPr>
          <w:ilvl w:val="0"/>
          <w:numId w:val="28"/>
        </w:numPr>
        <w:spacing w:line="360" w:lineRule="auto"/>
        <w:rPr>
          <w:rFonts w:ascii="Palatino Linotype" w:hAnsi="Palatino Linotype"/>
          <w:szCs w:val="20"/>
        </w:rPr>
      </w:pPr>
      <w:r w:rsidRPr="003E535E">
        <w:rPr>
          <w:rFonts w:ascii="Palatino Linotype" w:hAnsi="Palatino Linotype"/>
          <w:szCs w:val="20"/>
        </w:rPr>
        <w:t xml:space="preserve">Institución </w:t>
      </w:r>
    </w:p>
    <w:p w:rsidRPr="003E535E" w:rsidR="003E535E" w:rsidP="00B034A6" w:rsidRDefault="003E535E" w14:paraId="4F34B79D" w14:textId="77777777">
      <w:pPr>
        <w:pStyle w:val="Prrafodelista"/>
        <w:numPr>
          <w:ilvl w:val="0"/>
          <w:numId w:val="28"/>
        </w:numPr>
        <w:spacing w:line="360" w:lineRule="auto"/>
        <w:rPr>
          <w:rFonts w:ascii="Palatino Linotype" w:hAnsi="Palatino Linotype"/>
          <w:szCs w:val="20"/>
        </w:rPr>
      </w:pPr>
      <w:r w:rsidRPr="003E535E">
        <w:rPr>
          <w:rFonts w:ascii="Palatino Linotype" w:hAnsi="Palatino Linotype"/>
          <w:szCs w:val="20"/>
        </w:rPr>
        <w:t>Nombre de la UCC</w:t>
      </w:r>
    </w:p>
    <w:p w:rsidRPr="003E535E" w:rsidR="003E535E" w:rsidP="00B034A6" w:rsidRDefault="003E535E" w14:paraId="3474D176" w14:textId="363A7471">
      <w:pPr>
        <w:pStyle w:val="Prrafodelista"/>
        <w:numPr>
          <w:ilvl w:val="0"/>
          <w:numId w:val="28"/>
        </w:numPr>
        <w:spacing w:line="360" w:lineRule="auto"/>
        <w:rPr>
          <w:rFonts w:ascii="Palatino Linotype" w:hAnsi="Palatino Linotype"/>
          <w:szCs w:val="20"/>
        </w:rPr>
      </w:pPr>
      <w:r w:rsidRPr="003E535E">
        <w:rPr>
          <w:rFonts w:ascii="Palatino Linotype" w:hAnsi="Palatino Linotype"/>
          <w:szCs w:val="20"/>
        </w:rPr>
        <w:t>Responsable de la UCD</w:t>
      </w:r>
    </w:p>
    <w:p w:rsidRPr="003E535E" w:rsidR="003E535E" w:rsidP="00B034A6" w:rsidRDefault="003E535E" w14:paraId="00946407" w14:textId="298A095F">
      <w:pPr>
        <w:pStyle w:val="Prrafodelista"/>
        <w:numPr>
          <w:ilvl w:val="0"/>
          <w:numId w:val="28"/>
        </w:numPr>
        <w:spacing w:line="360" w:lineRule="auto"/>
        <w:rPr>
          <w:rFonts w:ascii="Palatino Linotype" w:hAnsi="Palatino Linotype"/>
          <w:szCs w:val="20"/>
        </w:rPr>
      </w:pPr>
      <w:r w:rsidRPr="003E535E">
        <w:rPr>
          <w:rFonts w:ascii="Palatino Linotype" w:hAnsi="Palatino Linotype"/>
          <w:szCs w:val="20"/>
        </w:rPr>
        <w:t>Código del expediente</w:t>
      </w:r>
    </w:p>
    <w:p w:rsidRPr="003E535E" w:rsidR="003E535E" w:rsidP="00B034A6" w:rsidRDefault="003E535E" w14:paraId="57CE10F2" w14:textId="32E883A6">
      <w:pPr>
        <w:pStyle w:val="Prrafodelista"/>
        <w:numPr>
          <w:ilvl w:val="0"/>
          <w:numId w:val="28"/>
        </w:numPr>
        <w:spacing w:line="360" w:lineRule="auto"/>
        <w:rPr>
          <w:rFonts w:ascii="Palatino Linotype" w:hAnsi="Palatino Linotype"/>
          <w:szCs w:val="20"/>
        </w:rPr>
      </w:pPr>
      <w:r w:rsidRPr="003E535E">
        <w:rPr>
          <w:rFonts w:ascii="Palatino Linotype" w:hAnsi="Palatino Linotype"/>
          <w:szCs w:val="20"/>
        </w:rPr>
        <w:t>Referencia del Expediente</w:t>
      </w:r>
    </w:p>
    <w:p w:rsidRPr="003E535E" w:rsidR="003E535E" w:rsidP="00B034A6" w:rsidRDefault="003E535E" w14:paraId="176CFACB" w14:textId="6E6C9856">
      <w:pPr>
        <w:pStyle w:val="Prrafodelista"/>
        <w:numPr>
          <w:ilvl w:val="0"/>
          <w:numId w:val="28"/>
        </w:numPr>
        <w:spacing w:line="360" w:lineRule="auto"/>
        <w:rPr>
          <w:rFonts w:ascii="Palatino Linotype" w:hAnsi="Palatino Linotype"/>
          <w:szCs w:val="20"/>
        </w:rPr>
      </w:pPr>
      <w:r w:rsidRPr="003E535E">
        <w:rPr>
          <w:rFonts w:ascii="Palatino Linotype" w:hAnsi="Palatino Linotype"/>
          <w:szCs w:val="20"/>
        </w:rPr>
        <w:t>Título del expediente</w:t>
      </w:r>
    </w:p>
    <w:p w:rsidRPr="003E535E" w:rsidR="003E535E" w:rsidP="00B034A6" w:rsidRDefault="003E535E" w14:paraId="4ADE0BBF" w14:textId="11934319">
      <w:pPr>
        <w:pStyle w:val="Prrafodelista"/>
        <w:numPr>
          <w:ilvl w:val="0"/>
          <w:numId w:val="28"/>
        </w:numPr>
        <w:spacing w:line="360" w:lineRule="auto"/>
        <w:rPr>
          <w:rFonts w:ascii="Palatino Linotype" w:hAnsi="Palatino Linotype"/>
          <w:szCs w:val="20"/>
        </w:rPr>
      </w:pPr>
      <w:r w:rsidRPr="003E535E">
        <w:rPr>
          <w:rFonts w:ascii="Palatino Linotype" w:hAnsi="Palatino Linotype"/>
          <w:szCs w:val="20"/>
        </w:rPr>
        <w:t>Fundamento legal</w:t>
      </w:r>
    </w:p>
    <w:p w:rsidRPr="003E535E" w:rsidR="003E535E" w:rsidP="00B034A6" w:rsidRDefault="003E535E" w14:paraId="43757B99" w14:textId="629CEA70">
      <w:pPr>
        <w:pStyle w:val="Prrafodelista"/>
        <w:numPr>
          <w:ilvl w:val="0"/>
          <w:numId w:val="28"/>
        </w:numPr>
        <w:spacing w:line="360" w:lineRule="auto"/>
        <w:rPr>
          <w:rFonts w:ascii="Palatino Linotype" w:hAnsi="Palatino Linotype"/>
          <w:szCs w:val="20"/>
        </w:rPr>
      </w:pPr>
      <w:r w:rsidRPr="003E535E">
        <w:rPr>
          <w:rFonts w:ascii="Palatino Linotype" w:hAnsi="Palatino Linotype"/>
          <w:szCs w:val="20"/>
        </w:rPr>
        <w:t>Número del procedimiento</w:t>
      </w:r>
    </w:p>
    <w:p w:rsidRPr="003E535E" w:rsidR="003E535E" w:rsidP="00B034A6" w:rsidRDefault="003E535E" w14:paraId="0D1374ED" w14:textId="3BA0CA45">
      <w:pPr>
        <w:pStyle w:val="Prrafodelista"/>
        <w:numPr>
          <w:ilvl w:val="0"/>
          <w:numId w:val="28"/>
        </w:numPr>
        <w:spacing w:line="360" w:lineRule="auto"/>
        <w:rPr>
          <w:rFonts w:ascii="Palatino Linotype" w:hAnsi="Palatino Linotype"/>
          <w:szCs w:val="20"/>
        </w:rPr>
      </w:pPr>
      <w:r w:rsidRPr="003E535E">
        <w:rPr>
          <w:rFonts w:ascii="Palatino Linotype" w:hAnsi="Palatino Linotype"/>
          <w:szCs w:val="20"/>
        </w:rPr>
        <w:t>Fecha de fallo</w:t>
      </w:r>
    </w:p>
    <w:p w:rsidRPr="003E535E" w:rsidR="003E535E" w:rsidP="00B034A6" w:rsidRDefault="003E535E" w14:paraId="3E79617E" w14:textId="1EC0CF9B">
      <w:pPr>
        <w:pStyle w:val="Prrafodelista"/>
        <w:numPr>
          <w:ilvl w:val="0"/>
          <w:numId w:val="28"/>
        </w:numPr>
        <w:spacing w:line="360" w:lineRule="auto"/>
        <w:rPr>
          <w:rFonts w:ascii="Palatino Linotype" w:hAnsi="Palatino Linotype"/>
          <w:szCs w:val="20"/>
        </w:rPr>
      </w:pPr>
      <w:r w:rsidRPr="003E535E">
        <w:rPr>
          <w:rFonts w:ascii="Palatino Linotype" w:hAnsi="Palatino Linotype"/>
          <w:szCs w:val="20"/>
        </w:rPr>
        <w:t>Fecha de publicación</w:t>
      </w:r>
    </w:p>
    <w:p w:rsidRPr="003E535E" w:rsidR="003E535E" w:rsidP="00B034A6" w:rsidRDefault="003E535E" w14:paraId="519DFDDB" w14:textId="3B877199">
      <w:pPr>
        <w:pStyle w:val="Prrafodelista"/>
        <w:numPr>
          <w:ilvl w:val="0"/>
          <w:numId w:val="28"/>
        </w:numPr>
        <w:spacing w:line="360" w:lineRule="auto"/>
        <w:rPr>
          <w:rFonts w:ascii="Palatino Linotype" w:hAnsi="Palatino Linotype"/>
          <w:szCs w:val="20"/>
        </w:rPr>
      </w:pPr>
      <w:r w:rsidRPr="003E535E">
        <w:rPr>
          <w:rFonts w:ascii="Palatino Linotype" w:hAnsi="Palatino Linotype"/>
          <w:szCs w:val="20"/>
        </w:rPr>
        <w:t>Tipo de contratación</w:t>
      </w:r>
    </w:p>
    <w:p w:rsidRPr="003E535E" w:rsidR="003E535E" w:rsidP="00B034A6" w:rsidRDefault="003E535E" w14:paraId="3520A7A8" w14:textId="4FECB61B">
      <w:pPr>
        <w:pStyle w:val="Prrafodelista"/>
        <w:numPr>
          <w:ilvl w:val="0"/>
          <w:numId w:val="28"/>
        </w:numPr>
        <w:spacing w:line="360" w:lineRule="auto"/>
        <w:rPr>
          <w:rFonts w:ascii="Palatino Linotype" w:hAnsi="Palatino Linotype"/>
          <w:szCs w:val="20"/>
        </w:rPr>
      </w:pPr>
      <w:r w:rsidRPr="003E535E">
        <w:rPr>
          <w:rFonts w:ascii="Palatino Linotype" w:hAnsi="Palatino Linotype"/>
          <w:szCs w:val="20"/>
        </w:rPr>
        <w:t>Tipo de procedimiento</w:t>
      </w:r>
    </w:p>
    <w:p w:rsidRPr="003E535E" w:rsidR="003E535E" w:rsidP="00B034A6" w:rsidRDefault="003E535E" w14:paraId="40CC9D7D" w14:textId="411516BE">
      <w:pPr>
        <w:pStyle w:val="Prrafodelista"/>
        <w:numPr>
          <w:ilvl w:val="0"/>
          <w:numId w:val="28"/>
        </w:numPr>
        <w:spacing w:line="360" w:lineRule="auto"/>
        <w:rPr>
          <w:rFonts w:ascii="Palatino Linotype" w:hAnsi="Palatino Linotype"/>
          <w:szCs w:val="20"/>
        </w:rPr>
      </w:pPr>
      <w:r w:rsidRPr="003E535E">
        <w:rPr>
          <w:rFonts w:ascii="Palatino Linotype" w:hAnsi="Palatino Linotype"/>
          <w:szCs w:val="20"/>
        </w:rPr>
        <w:t>Título del contrato</w:t>
      </w:r>
    </w:p>
    <w:p w:rsidRPr="003E535E" w:rsidR="003E535E" w:rsidP="00B034A6" w:rsidRDefault="003E535E" w14:paraId="04C2ACDD" w14:textId="2F402A6F">
      <w:pPr>
        <w:pStyle w:val="Prrafodelista"/>
        <w:numPr>
          <w:ilvl w:val="0"/>
          <w:numId w:val="28"/>
        </w:numPr>
        <w:spacing w:line="360" w:lineRule="auto"/>
        <w:rPr>
          <w:rFonts w:ascii="Palatino Linotype" w:hAnsi="Palatino Linotype"/>
          <w:szCs w:val="20"/>
        </w:rPr>
      </w:pPr>
      <w:r w:rsidRPr="003E535E">
        <w:rPr>
          <w:rFonts w:ascii="Palatino Linotype" w:hAnsi="Palatino Linotype"/>
          <w:szCs w:val="20"/>
        </w:rPr>
        <w:t>Descripción del contrato</w:t>
      </w:r>
    </w:p>
    <w:p w:rsidRPr="003E535E" w:rsidR="003E535E" w:rsidP="00B034A6" w:rsidRDefault="003E535E" w14:paraId="3B6E55B4" w14:textId="21CB177F">
      <w:pPr>
        <w:pStyle w:val="Prrafodelista"/>
        <w:numPr>
          <w:ilvl w:val="0"/>
          <w:numId w:val="28"/>
        </w:numPr>
        <w:spacing w:line="360" w:lineRule="auto"/>
        <w:rPr>
          <w:rFonts w:ascii="Palatino Linotype" w:hAnsi="Palatino Linotype"/>
          <w:szCs w:val="20"/>
        </w:rPr>
      </w:pPr>
      <w:r w:rsidRPr="003E535E">
        <w:rPr>
          <w:rFonts w:ascii="Palatino Linotype" w:hAnsi="Palatino Linotype"/>
          <w:szCs w:val="20"/>
        </w:rPr>
        <w:t>Importe del contrato</w:t>
      </w:r>
    </w:p>
    <w:p w:rsidRPr="003E535E" w:rsidR="003E535E" w:rsidP="00B034A6" w:rsidRDefault="003E535E" w14:paraId="12DAB5CE" w14:textId="4D41F22E">
      <w:pPr>
        <w:pStyle w:val="Prrafodelista"/>
        <w:numPr>
          <w:ilvl w:val="0"/>
          <w:numId w:val="28"/>
        </w:numPr>
        <w:spacing w:line="360" w:lineRule="auto"/>
        <w:rPr>
          <w:rFonts w:ascii="Palatino Linotype" w:hAnsi="Palatino Linotype"/>
          <w:szCs w:val="20"/>
        </w:rPr>
      </w:pPr>
      <w:r w:rsidRPr="003E535E">
        <w:rPr>
          <w:rFonts w:ascii="Palatino Linotype" w:hAnsi="Palatino Linotype"/>
          <w:szCs w:val="20"/>
        </w:rPr>
        <w:t>Convenio modificatorio</w:t>
      </w:r>
    </w:p>
    <w:p w:rsidRPr="003E535E" w:rsidR="003E535E" w:rsidP="00B034A6" w:rsidRDefault="003E535E" w14:paraId="6B7D6A63" w14:textId="47434BC3">
      <w:pPr>
        <w:pStyle w:val="Prrafodelista"/>
        <w:numPr>
          <w:ilvl w:val="0"/>
          <w:numId w:val="28"/>
        </w:numPr>
        <w:spacing w:line="360" w:lineRule="auto"/>
        <w:rPr>
          <w:rFonts w:ascii="Palatino Linotype" w:hAnsi="Palatino Linotype"/>
          <w:szCs w:val="20"/>
        </w:rPr>
      </w:pPr>
      <w:r w:rsidRPr="003E535E">
        <w:rPr>
          <w:rFonts w:ascii="Palatino Linotype" w:hAnsi="Palatino Linotype"/>
          <w:szCs w:val="20"/>
        </w:rPr>
        <w:t>RFC</w:t>
      </w:r>
    </w:p>
    <w:p w:rsidRPr="003E535E" w:rsidR="003E535E" w:rsidP="00B034A6" w:rsidRDefault="003E535E" w14:paraId="45674DE7" w14:textId="51BD35F3">
      <w:pPr>
        <w:pStyle w:val="Prrafodelista"/>
        <w:numPr>
          <w:ilvl w:val="0"/>
          <w:numId w:val="28"/>
        </w:numPr>
        <w:spacing w:line="360" w:lineRule="auto"/>
        <w:rPr>
          <w:rFonts w:ascii="Palatino Linotype" w:hAnsi="Palatino Linotype"/>
          <w:szCs w:val="20"/>
        </w:rPr>
      </w:pPr>
      <w:r w:rsidRPr="003E535E">
        <w:rPr>
          <w:rFonts w:ascii="Palatino Linotype" w:hAnsi="Palatino Linotype"/>
          <w:szCs w:val="20"/>
        </w:rPr>
        <w:t>Proveedor o contratista</w:t>
      </w:r>
    </w:p>
    <w:p w:rsidR="003E535E" w:rsidP="00B034A6" w:rsidRDefault="003E535E" w14:paraId="43D72AA4" w14:textId="378C946F">
      <w:pPr>
        <w:pStyle w:val="Prrafodelista"/>
        <w:numPr>
          <w:ilvl w:val="0"/>
          <w:numId w:val="28"/>
        </w:numPr>
        <w:spacing w:line="360" w:lineRule="auto"/>
        <w:rPr>
          <w:rFonts w:ascii="Palatino Linotype" w:hAnsi="Palatino Linotype"/>
          <w:szCs w:val="20"/>
        </w:rPr>
      </w:pPr>
      <w:r w:rsidRPr="003E535E">
        <w:rPr>
          <w:rFonts w:ascii="Palatino Linotype" w:hAnsi="Palatino Linotype"/>
          <w:szCs w:val="20"/>
        </w:rPr>
        <w:t>Dirección del anuncio</w:t>
      </w:r>
    </w:p>
    <w:p w:rsidR="003E535E" w:rsidP="00B034A6" w:rsidRDefault="003E535E" w14:paraId="27272F75" w14:textId="798909E6">
      <w:pPr>
        <w:spacing w:after="0" w:line="360" w:lineRule="auto"/>
        <w:rPr>
          <w:szCs w:val="20"/>
        </w:rPr>
      </w:pPr>
    </w:p>
    <w:p w:rsidR="003E535E" w:rsidP="00B034A6" w:rsidRDefault="003E535E" w14:paraId="194DC500" w14:textId="13932232">
      <w:pPr>
        <w:spacing w:after="0" w:line="360" w:lineRule="auto"/>
        <w:rPr>
          <w:szCs w:val="20"/>
        </w:rPr>
      </w:pPr>
      <w:r w:rsidRPr="003E535E">
        <w:rPr>
          <w:szCs w:val="20"/>
        </w:rPr>
        <w:lastRenderedPageBreak/>
        <w:t>En tales circunstancias, es viable referir que los Particulares no necesitan ser expertos en la</w:t>
      </w:r>
      <w:r>
        <w:rPr>
          <w:szCs w:val="20"/>
        </w:rPr>
        <w:t xml:space="preserve"> </w:t>
      </w:r>
      <w:r w:rsidRPr="003E535E">
        <w:rPr>
          <w:szCs w:val="20"/>
        </w:rPr>
        <w:t>materia a fin de solicitar y, posteriormente, acceder a la información generada en la</w:t>
      </w:r>
      <w:r>
        <w:rPr>
          <w:szCs w:val="20"/>
        </w:rPr>
        <w:t xml:space="preserve"> </w:t>
      </w:r>
      <w:r w:rsidRPr="003E535E">
        <w:rPr>
          <w:szCs w:val="20"/>
        </w:rPr>
        <w:t>Administración Pública, máxime que en términos del criterio de interpretación para sujetos</w:t>
      </w:r>
      <w:r>
        <w:rPr>
          <w:szCs w:val="20"/>
        </w:rPr>
        <w:t xml:space="preserve"> </w:t>
      </w:r>
      <w:r w:rsidRPr="003E535E">
        <w:rPr>
          <w:szCs w:val="20"/>
        </w:rPr>
        <w:t>obligados con clave de control SO/016/2017, emitido por el Pleno del Instituto Nacional de</w:t>
      </w:r>
      <w:r w:rsidR="004F6DB9">
        <w:rPr>
          <w:szCs w:val="20"/>
        </w:rPr>
        <w:t xml:space="preserve"> </w:t>
      </w:r>
      <w:r w:rsidRPr="004F6DB9" w:rsidR="004F6DB9">
        <w:rPr>
          <w:szCs w:val="20"/>
        </w:rPr>
        <w:t>Transparencia, Acceso a la Información y Protección de Datos Personales, los Sujetos</w:t>
      </w:r>
      <w:r w:rsidR="004F6DB9">
        <w:rPr>
          <w:szCs w:val="20"/>
        </w:rPr>
        <w:t xml:space="preserve"> </w:t>
      </w:r>
      <w:r w:rsidRPr="004F6DB9" w:rsidR="004F6DB9">
        <w:rPr>
          <w:szCs w:val="20"/>
        </w:rPr>
        <w:t>Obligados deben otorgar una expresión documental en el caso que el solicitante n</w:t>
      </w:r>
      <w:r w:rsidR="004F6DB9">
        <w:rPr>
          <w:szCs w:val="20"/>
        </w:rPr>
        <w:t xml:space="preserve">o </w:t>
      </w:r>
      <w:r w:rsidRPr="004F6DB9" w:rsidR="004F6DB9">
        <w:rPr>
          <w:szCs w:val="20"/>
        </w:rPr>
        <w:t>detalle plenamente los documentos en los cuales obre la información requerida, tal</w:t>
      </w:r>
      <w:r w:rsidR="004F6DB9">
        <w:rPr>
          <w:szCs w:val="20"/>
        </w:rPr>
        <w:t xml:space="preserve"> </w:t>
      </w:r>
      <w:r w:rsidRPr="004F6DB9" w:rsidR="004F6DB9">
        <w:rPr>
          <w:szCs w:val="20"/>
        </w:rPr>
        <w:t>como en el caso que nos ocupa aconteció, pues es claro que el Particular solicitó información</w:t>
      </w:r>
      <w:r w:rsidR="004F6DB9">
        <w:rPr>
          <w:szCs w:val="20"/>
        </w:rPr>
        <w:t xml:space="preserve"> </w:t>
      </w:r>
      <w:r w:rsidRPr="004F6DB9" w:rsidR="004F6DB9">
        <w:rPr>
          <w:i/>
          <w:iCs/>
          <w:szCs w:val="20"/>
        </w:rPr>
        <w:t>ad hoc</w:t>
      </w:r>
      <w:r w:rsidRPr="004F6DB9" w:rsidR="004F6DB9">
        <w:rPr>
          <w:szCs w:val="20"/>
        </w:rPr>
        <w:t>, toda vez que diversas documentales fueron señaladas por medio de abreviaturas de</w:t>
      </w:r>
      <w:r w:rsidR="004F6DB9">
        <w:rPr>
          <w:szCs w:val="20"/>
        </w:rPr>
        <w:t xml:space="preserve"> </w:t>
      </w:r>
      <w:r w:rsidRPr="004F6DB9" w:rsidR="004F6DB9">
        <w:rPr>
          <w:szCs w:val="20"/>
        </w:rPr>
        <w:t>las cuales en términos de la normatividad vigente, este Organismo Garante desconoce su</w:t>
      </w:r>
      <w:r w:rsidR="004F6DB9">
        <w:rPr>
          <w:szCs w:val="20"/>
        </w:rPr>
        <w:t xml:space="preserve"> </w:t>
      </w:r>
      <w:r w:rsidRPr="004F6DB9" w:rsidR="004F6DB9">
        <w:rPr>
          <w:szCs w:val="20"/>
        </w:rPr>
        <w:t>alcance.</w:t>
      </w:r>
    </w:p>
    <w:p w:rsidR="004F6DB9" w:rsidP="00B034A6" w:rsidRDefault="004F6DB9" w14:paraId="0E93A485" w14:textId="77777777">
      <w:pPr>
        <w:spacing w:after="0" w:line="360" w:lineRule="auto"/>
        <w:rPr>
          <w:szCs w:val="20"/>
        </w:rPr>
      </w:pPr>
    </w:p>
    <w:p w:rsidRPr="004F6DB9" w:rsidR="004F6DB9" w:rsidP="00B034A6" w:rsidRDefault="004F6DB9" w14:paraId="44242D5F" w14:textId="52A554EB">
      <w:pPr>
        <w:spacing w:after="0" w:line="360" w:lineRule="auto"/>
        <w:rPr>
          <w:rFonts w:eastAsia="Times New Roman" w:cs="Tahoma"/>
          <w:iCs/>
          <w:color w:val="auto"/>
          <w:lang w:val="es-ES" w:eastAsia="es-ES"/>
        </w:rPr>
      </w:pPr>
      <w:r w:rsidRPr="004F6DB9">
        <w:rPr>
          <w:rFonts w:eastAsia="Calibri" w:cs="Tahoma"/>
        </w:rPr>
        <w:t xml:space="preserve">Establecida dicha circunstancia, se procede al análisis de la respuesta entregada, por lo que, de las constancias que obran en el expediente </w:t>
      </w:r>
      <w:r w:rsidRPr="004F6DB9">
        <w:rPr>
          <w:rFonts w:eastAsia="Times New Roman" w:cs="Tahoma"/>
          <w:bCs/>
          <w:iCs/>
          <w:color w:val="auto"/>
          <w:lang w:eastAsia="es-ES"/>
        </w:rPr>
        <w:t xml:space="preserve">se logra vislumbrar que el Ente Recurrido turno la solicitud de información, </w:t>
      </w:r>
      <w:r w:rsidR="00BF6219">
        <w:rPr>
          <w:rFonts w:eastAsia="Times New Roman" w:cs="Tahoma"/>
          <w:iCs/>
          <w:color w:val="auto"/>
          <w:lang w:val="es-ES" w:eastAsia="es-ES"/>
        </w:rPr>
        <w:t>a la Dirección</w:t>
      </w:r>
      <w:r w:rsidRPr="004F6DB9">
        <w:rPr>
          <w:rFonts w:eastAsia="Times New Roman" w:cs="Tahoma"/>
          <w:iCs/>
          <w:color w:val="auto"/>
          <w:lang w:val="es-ES" w:eastAsia="es-ES"/>
        </w:rPr>
        <w:t xml:space="preserve"> </w:t>
      </w:r>
      <w:r w:rsidR="00DE0F0C">
        <w:rPr>
          <w:rFonts w:eastAsia="Times New Roman" w:cs="Tahoma"/>
          <w:iCs/>
          <w:color w:val="auto"/>
          <w:lang w:val="es-ES" w:eastAsia="es-ES"/>
        </w:rPr>
        <w:t>de Obras y Desarrollo Urbano</w:t>
      </w:r>
      <w:r w:rsidR="00E62A3A">
        <w:rPr>
          <w:rFonts w:eastAsia="Times New Roman" w:cs="Tahoma"/>
          <w:iCs/>
          <w:color w:val="auto"/>
          <w:lang w:val="es-ES" w:eastAsia="es-ES"/>
        </w:rPr>
        <w:t xml:space="preserve"> y al Secretario del Ayuntamiento</w:t>
      </w:r>
      <w:r w:rsidRPr="004F6DB9">
        <w:rPr>
          <w:rFonts w:eastAsia="Times New Roman" w:cs="Tahoma"/>
          <w:bCs/>
          <w:iCs/>
          <w:color w:val="auto"/>
          <w:lang w:eastAsia="es-ES"/>
        </w:rPr>
        <w:t xml:space="preserve">, por lo que, es necesario hacer referencia al </w:t>
      </w:r>
      <w:r w:rsidRPr="004F6DB9">
        <w:rPr>
          <w:rFonts w:eastAsia="Times New Roman" w:cs="Tahoma"/>
          <w:b/>
          <w:iCs/>
          <w:color w:val="auto"/>
          <w:lang w:eastAsia="es-ES"/>
        </w:rPr>
        <w:t xml:space="preserve">procedimiento de búsqueda </w:t>
      </w:r>
      <w:r w:rsidRPr="004F6DB9">
        <w:rPr>
          <w:rFonts w:eastAsia="Times New Roman" w:cs="Tahoma"/>
          <w:b/>
          <w:iCs/>
          <w:color w:val="auto"/>
          <w:lang w:val="es-ES" w:eastAsia="es-ES"/>
        </w:rPr>
        <w:t>que deben de seguir los Sujetos Obligados para localizar la información</w:t>
      </w:r>
      <w:r w:rsidRPr="004F6DB9">
        <w:rPr>
          <w:rFonts w:eastAsia="Times New Roman" w:cs="Tahoma"/>
          <w:bCs/>
          <w:iCs/>
          <w:color w:val="auto"/>
          <w:lang w:val="es-ES" w:eastAsia="es-ES"/>
        </w:rPr>
        <w:t>, el cual se encuentra previsto en los artículos 160 y 162 de la Ley de Transparencia y Acceso a la Información Pública del Estado de México y Municipios, mismo que es el siguiente:</w:t>
      </w:r>
    </w:p>
    <w:p w:rsidRPr="004F6DB9" w:rsidR="004F6DB9" w:rsidP="00B034A6" w:rsidRDefault="004F6DB9" w14:paraId="3AED5D4B" w14:textId="77777777">
      <w:pPr>
        <w:spacing w:after="0" w:line="360" w:lineRule="auto"/>
        <w:rPr>
          <w:rFonts w:eastAsia="Times New Roman" w:cs="Tahoma"/>
          <w:bCs/>
          <w:iCs/>
          <w:color w:val="auto"/>
          <w:lang w:eastAsia="es-ES"/>
        </w:rPr>
      </w:pPr>
    </w:p>
    <w:p w:rsidRPr="004F6DB9" w:rsidR="004F6DB9" w:rsidP="00B034A6" w:rsidRDefault="004F6DB9" w14:paraId="3F20E089" w14:textId="77777777">
      <w:pPr>
        <w:numPr>
          <w:ilvl w:val="0"/>
          <w:numId w:val="4"/>
        </w:numPr>
        <w:spacing w:after="0" w:line="360" w:lineRule="auto"/>
        <w:rPr>
          <w:rFonts w:eastAsia="Times New Roman" w:cs="Tahoma"/>
          <w:bCs/>
          <w:iCs/>
          <w:color w:val="auto"/>
          <w:lang w:val="es-ES" w:eastAsia="es-ES"/>
        </w:rPr>
      </w:pPr>
      <w:r w:rsidRPr="004F6DB9">
        <w:rPr>
          <w:rFonts w:eastAsia="Times New Roman" w:cs="Tahoma"/>
          <w:bCs/>
          <w:iCs/>
          <w:color w:val="auto"/>
          <w:lang w:val="es-ES" w:eastAsia="es-ES"/>
        </w:rPr>
        <w:t>Las Unidades de Transparencia garantizarán que las solicitudes de acceso a la información se turnen a todas las áreas competentes que cuenten con la información o deban tenerla -de acuerdo a las facultades, competencias y funciones-, con el objeto de que dichas áreas realicen una búsqueda exhaustiva y razonable de la información requerida, y</w:t>
      </w:r>
    </w:p>
    <w:p w:rsidRPr="004F6DB9" w:rsidR="004F6DB9" w:rsidP="00B034A6" w:rsidRDefault="004F6DB9" w14:paraId="6B52BCE3" w14:textId="77777777">
      <w:pPr>
        <w:spacing w:after="0" w:line="360" w:lineRule="auto"/>
        <w:rPr>
          <w:rFonts w:eastAsia="Times New Roman" w:cs="Tahoma"/>
          <w:bCs/>
          <w:iCs/>
          <w:color w:val="auto"/>
          <w:lang w:val="es-ES" w:eastAsia="es-ES"/>
        </w:rPr>
      </w:pPr>
    </w:p>
    <w:p w:rsidRPr="004F6DB9" w:rsidR="004F6DB9" w:rsidP="00B034A6" w:rsidRDefault="004F6DB9" w14:paraId="6025377D" w14:textId="77777777">
      <w:pPr>
        <w:numPr>
          <w:ilvl w:val="0"/>
          <w:numId w:val="4"/>
        </w:numPr>
        <w:spacing w:after="0" w:line="360" w:lineRule="auto"/>
        <w:rPr>
          <w:rFonts w:eastAsia="Times New Roman" w:cs="Tahoma"/>
          <w:bCs/>
          <w:iCs/>
          <w:color w:val="auto"/>
          <w:lang w:val="es-ES" w:eastAsia="es-ES"/>
        </w:rPr>
      </w:pPr>
      <w:r w:rsidRPr="004F6DB9">
        <w:rPr>
          <w:rFonts w:eastAsia="Times New Roman" w:cs="Tahoma"/>
          <w:bCs/>
          <w:iCs/>
          <w:color w:val="auto"/>
          <w:lang w:val="es-ES" w:eastAsia="es-ES"/>
        </w:rPr>
        <w:t xml:space="preserve">Los sujetos obligados otorgaran acceso a los documentos que se encuentren en sus archivos o que estén obligados a documentar de acuerdo con sus facultades, </w:t>
      </w:r>
      <w:r w:rsidRPr="004F6DB9">
        <w:rPr>
          <w:rFonts w:eastAsia="Times New Roman" w:cs="Tahoma"/>
          <w:bCs/>
          <w:iCs/>
          <w:color w:val="auto"/>
          <w:lang w:val="es-ES" w:eastAsia="es-ES"/>
        </w:rPr>
        <w:lastRenderedPageBreak/>
        <w:t>competencias o funciones, en el formato en que el solicitante manifieste, de entre aquellos formatos existentes.</w:t>
      </w:r>
    </w:p>
    <w:p w:rsidRPr="004F6DB9" w:rsidR="004F6DB9" w:rsidP="00B034A6" w:rsidRDefault="004F6DB9" w14:paraId="0ECEAD53" w14:textId="77777777">
      <w:pPr>
        <w:spacing w:after="0" w:line="360" w:lineRule="auto"/>
        <w:rPr>
          <w:rFonts w:eastAsia="Times New Roman" w:cs="Tahoma"/>
          <w:b/>
          <w:bCs/>
          <w:iCs/>
          <w:color w:val="auto"/>
          <w:lang w:eastAsia="es-ES"/>
        </w:rPr>
      </w:pPr>
    </w:p>
    <w:p w:rsidR="004F6DB9" w:rsidP="00B034A6" w:rsidRDefault="004F6DB9" w14:paraId="29DC06BF" w14:textId="1B181AA4">
      <w:pPr>
        <w:spacing w:after="0" w:line="360" w:lineRule="auto"/>
        <w:rPr>
          <w:rFonts w:eastAsia="Times New Roman" w:cs="Tahoma"/>
          <w:bCs/>
          <w:iCs/>
          <w:color w:val="auto"/>
          <w:lang w:eastAsia="es-ES"/>
        </w:rPr>
      </w:pPr>
      <w:r w:rsidRPr="004F6DB9">
        <w:rPr>
          <w:rFonts w:eastAsia="Times New Roman" w:cs="Tahoma"/>
          <w:bCs/>
          <w:iCs/>
          <w:color w:val="auto"/>
          <w:lang w:eastAsia="es-ES"/>
        </w:rPr>
        <w:t xml:space="preserve">Así, con la finalidad de determinar si el Sujeto Obligado cumplió con el procedimiento de búsqueda previamente establecido, es necesario traer a colación </w:t>
      </w:r>
      <w:r w:rsidR="00426A45">
        <w:rPr>
          <w:rFonts w:eastAsia="Times New Roman" w:cs="Tahoma"/>
          <w:bCs/>
          <w:iCs/>
          <w:color w:val="auto"/>
          <w:lang w:eastAsia="es-ES"/>
        </w:rPr>
        <w:t xml:space="preserve">los artículos </w:t>
      </w:r>
      <w:r w:rsidR="003065DE">
        <w:rPr>
          <w:rFonts w:eastAsia="Times New Roman" w:cs="Tahoma"/>
          <w:bCs/>
          <w:iCs/>
          <w:color w:val="auto"/>
          <w:lang w:eastAsia="es-ES"/>
        </w:rPr>
        <w:t xml:space="preserve">42, fracción III, 43, fracción I, </w:t>
      </w:r>
      <w:r w:rsidR="00426A45">
        <w:rPr>
          <w:rFonts w:eastAsia="Times New Roman" w:cs="Tahoma"/>
          <w:bCs/>
          <w:iCs/>
          <w:color w:val="auto"/>
          <w:lang w:eastAsia="es-ES"/>
        </w:rPr>
        <w:t xml:space="preserve">50, numerales </w:t>
      </w:r>
      <w:r w:rsidR="003065DE">
        <w:rPr>
          <w:rFonts w:eastAsia="Times New Roman" w:cs="Tahoma"/>
          <w:bCs/>
          <w:iCs/>
          <w:color w:val="auto"/>
          <w:lang w:eastAsia="es-ES"/>
        </w:rPr>
        <w:t>2, 2.</w:t>
      </w:r>
      <w:r w:rsidRPr="004F6DB9" w:rsidR="003065DE">
        <w:rPr>
          <w:rFonts w:eastAsia="Times New Roman" w:cs="Tahoma"/>
          <w:bCs/>
          <w:iCs/>
          <w:color w:val="auto"/>
          <w:lang w:val="es-ES" w:eastAsia="es-ES"/>
        </w:rPr>
        <w:t>1</w:t>
      </w:r>
      <w:r w:rsidR="003065DE">
        <w:rPr>
          <w:rFonts w:eastAsia="Times New Roman" w:cs="Tahoma"/>
          <w:bCs/>
          <w:iCs/>
          <w:color w:val="auto"/>
          <w:lang w:val="es-ES" w:eastAsia="es-ES"/>
        </w:rPr>
        <w:t xml:space="preserve">, 3, 4, </w:t>
      </w:r>
      <w:r w:rsidRPr="004F6DB9" w:rsidR="003065DE">
        <w:rPr>
          <w:rFonts w:eastAsia="Times New Roman" w:cs="Tahoma"/>
          <w:bCs/>
          <w:iCs/>
          <w:color w:val="auto"/>
          <w:lang w:val="es-ES" w:eastAsia="es-ES"/>
        </w:rPr>
        <w:t>1</w:t>
      </w:r>
      <w:r w:rsidR="003065DE">
        <w:rPr>
          <w:rFonts w:eastAsia="Times New Roman" w:cs="Tahoma"/>
          <w:bCs/>
          <w:iCs/>
          <w:color w:val="auto"/>
          <w:lang w:val="es-ES" w:eastAsia="es-ES"/>
        </w:rPr>
        <w:t xml:space="preserve">3, </w:t>
      </w:r>
      <w:r w:rsidR="00D87D54">
        <w:rPr>
          <w:rFonts w:eastAsia="Times New Roman" w:cs="Tahoma"/>
          <w:bCs/>
          <w:iCs/>
          <w:color w:val="auto"/>
          <w:lang w:val="es-ES" w:eastAsia="es-ES"/>
        </w:rPr>
        <w:t xml:space="preserve">66, fracción, III, 67, 68, 93, </w:t>
      </w:r>
      <w:r w:rsidRPr="004F6DB9" w:rsidR="00D87D54">
        <w:rPr>
          <w:rFonts w:eastAsia="Times New Roman" w:cs="Tahoma"/>
          <w:bCs/>
          <w:iCs/>
          <w:color w:val="auto"/>
          <w:lang w:val="es-ES" w:eastAsia="es-ES"/>
        </w:rPr>
        <w:t>1</w:t>
      </w:r>
      <w:r w:rsidR="00D87D54">
        <w:rPr>
          <w:rFonts w:eastAsia="Times New Roman" w:cs="Tahoma"/>
          <w:bCs/>
          <w:iCs/>
          <w:color w:val="auto"/>
          <w:lang w:val="es-ES" w:eastAsia="es-ES"/>
        </w:rPr>
        <w:t xml:space="preserve">03, </w:t>
      </w:r>
      <w:r w:rsidRPr="004F6DB9" w:rsidR="00D87D54">
        <w:rPr>
          <w:rFonts w:eastAsia="Times New Roman" w:cs="Tahoma"/>
          <w:bCs/>
          <w:iCs/>
          <w:color w:val="auto"/>
          <w:lang w:val="es-ES" w:eastAsia="es-ES"/>
        </w:rPr>
        <w:t>1</w:t>
      </w:r>
      <w:r w:rsidR="00D87D54">
        <w:rPr>
          <w:rFonts w:eastAsia="Times New Roman" w:cs="Tahoma"/>
          <w:bCs/>
          <w:iCs/>
          <w:color w:val="auto"/>
          <w:lang w:val="es-ES" w:eastAsia="es-ES"/>
        </w:rPr>
        <w:t>50, fracci</w:t>
      </w:r>
      <w:r w:rsidR="001103F0">
        <w:rPr>
          <w:rFonts w:eastAsia="Times New Roman" w:cs="Tahoma"/>
          <w:bCs/>
          <w:iCs/>
          <w:color w:val="auto"/>
          <w:lang w:val="es-ES" w:eastAsia="es-ES"/>
        </w:rPr>
        <w:t>ón</w:t>
      </w:r>
      <w:r w:rsidR="00D87D54">
        <w:rPr>
          <w:rFonts w:eastAsia="Times New Roman" w:cs="Tahoma"/>
          <w:bCs/>
          <w:iCs/>
          <w:color w:val="auto"/>
          <w:lang w:val="es-ES" w:eastAsia="es-ES"/>
        </w:rPr>
        <w:t xml:space="preserve"> IV y </w:t>
      </w:r>
      <w:r w:rsidRPr="004F6DB9" w:rsidR="00D87D54">
        <w:rPr>
          <w:rFonts w:eastAsia="Times New Roman" w:cs="Tahoma"/>
          <w:bCs/>
          <w:iCs/>
          <w:color w:val="auto"/>
          <w:lang w:val="es-ES" w:eastAsia="es-ES"/>
        </w:rPr>
        <w:t>1</w:t>
      </w:r>
      <w:r w:rsidR="00D87D54">
        <w:rPr>
          <w:rFonts w:eastAsia="Times New Roman" w:cs="Tahoma"/>
          <w:bCs/>
          <w:iCs/>
          <w:color w:val="auto"/>
          <w:lang w:val="es-ES" w:eastAsia="es-ES"/>
        </w:rPr>
        <w:t>62, fracciones II y V</w:t>
      </w:r>
      <w:r w:rsidRPr="004F6DB9">
        <w:rPr>
          <w:rFonts w:eastAsia="Times New Roman" w:cs="Tahoma"/>
          <w:bCs/>
          <w:iCs/>
          <w:color w:val="auto"/>
          <w:lang w:eastAsia="es-ES"/>
        </w:rPr>
        <w:t xml:space="preserve"> del </w:t>
      </w:r>
      <w:r w:rsidR="00D87D54">
        <w:rPr>
          <w:rFonts w:eastAsia="Times New Roman" w:cs="Tahoma"/>
          <w:bCs/>
          <w:iCs/>
          <w:color w:val="auto"/>
          <w:lang w:eastAsia="es-ES"/>
        </w:rPr>
        <w:t>Bando</w:t>
      </w:r>
      <w:r w:rsidRPr="004F6DB9">
        <w:rPr>
          <w:rFonts w:eastAsia="Times New Roman" w:cs="Tahoma"/>
          <w:bCs/>
          <w:iCs/>
          <w:color w:val="auto"/>
          <w:lang w:eastAsia="es-ES"/>
        </w:rPr>
        <w:t xml:space="preserve"> Municipal,</w:t>
      </w:r>
      <w:r w:rsidR="00D87D54">
        <w:rPr>
          <w:rFonts w:eastAsia="Times New Roman" w:cs="Tahoma"/>
          <w:bCs/>
          <w:iCs/>
          <w:color w:val="auto"/>
          <w:lang w:eastAsia="es-ES"/>
        </w:rPr>
        <w:t xml:space="preserve"> dos mil veintidós, del </w:t>
      </w:r>
      <w:r w:rsidRPr="004F6DB9">
        <w:rPr>
          <w:rFonts w:eastAsia="Times New Roman" w:cs="Tahoma"/>
          <w:bCs/>
          <w:iCs/>
          <w:color w:val="auto"/>
          <w:lang w:eastAsia="es-ES"/>
        </w:rPr>
        <w:t xml:space="preserve"> </w:t>
      </w:r>
      <w:r w:rsidR="00D87D54">
        <w:rPr>
          <w:rFonts w:eastAsia="Times New Roman" w:cs="Tahoma"/>
          <w:bCs/>
          <w:iCs/>
          <w:color w:val="auto"/>
          <w:lang w:eastAsia="es-ES"/>
        </w:rPr>
        <w:t xml:space="preserve">Ayuntamiento de Tepetlaoxtoc </w:t>
      </w:r>
      <w:r w:rsidRPr="004F6DB9">
        <w:rPr>
          <w:rFonts w:eastAsia="Times New Roman" w:cs="Tahoma"/>
          <w:bCs/>
          <w:iCs/>
          <w:color w:val="auto"/>
          <w:lang w:eastAsia="es-ES"/>
        </w:rPr>
        <w:t>que establece que el Sujeto Obligado cuenta con diversas unidades administrativas para el ejercicio de sus funciones, entre las cuales se encuentra</w:t>
      </w:r>
      <w:r w:rsidR="00D87D54">
        <w:rPr>
          <w:rFonts w:eastAsia="Times New Roman" w:cs="Tahoma"/>
          <w:bCs/>
          <w:iCs/>
          <w:color w:val="auto"/>
          <w:lang w:eastAsia="es-ES"/>
        </w:rPr>
        <w:t>n las siguientes:</w:t>
      </w:r>
    </w:p>
    <w:p w:rsidRPr="00D87D54" w:rsidR="00D87D54" w:rsidP="00B034A6" w:rsidRDefault="00D87D54" w14:paraId="7E0E7531" w14:textId="0BB2D004">
      <w:pPr>
        <w:spacing w:after="0" w:line="360" w:lineRule="auto"/>
        <w:rPr>
          <w:rFonts w:eastAsia="Times New Roman" w:cs="Tahoma"/>
          <w:bCs/>
          <w:iCs/>
          <w:color w:val="auto"/>
          <w:lang w:eastAsia="es-ES"/>
        </w:rPr>
      </w:pPr>
    </w:p>
    <w:p w:rsidR="00034C6A" w:rsidP="00B034A6" w:rsidRDefault="00D87D54" w14:paraId="018B96B4" w14:textId="1FF25F31">
      <w:pPr>
        <w:pStyle w:val="Prrafodelista"/>
        <w:numPr>
          <w:ilvl w:val="0"/>
          <w:numId w:val="29"/>
        </w:numPr>
        <w:spacing w:line="360" w:lineRule="auto"/>
        <w:ind w:right="-28"/>
        <w:jc w:val="both"/>
        <w:rPr>
          <w:rFonts w:ascii="Palatino Linotype" w:hAnsi="Palatino Linotype" w:eastAsia="Calibri" w:cs="Tahoma"/>
          <w:bCs/>
        </w:rPr>
      </w:pPr>
      <w:r w:rsidRPr="00142511">
        <w:rPr>
          <w:rFonts w:ascii="Palatino Linotype" w:hAnsi="Palatino Linotype" w:eastAsia="Calibri" w:cs="Tahoma"/>
          <w:b/>
        </w:rPr>
        <w:t>Dirección de Administración:</w:t>
      </w:r>
      <w:r w:rsidRPr="00D87D54">
        <w:rPr>
          <w:rFonts w:ascii="Palatino Linotype" w:hAnsi="Palatino Linotype" w:eastAsia="Calibri" w:cs="Tahoma"/>
          <w:bCs/>
        </w:rPr>
        <w:t xml:space="preserve"> Encargada de requerir la documentación comprobatoria a las áreas que solicitan suministro de bienes o servicios para su comprobación y envío a la Tesorería Municipal</w:t>
      </w:r>
      <w:r w:rsidR="00142511">
        <w:rPr>
          <w:rFonts w:ascii="Palatino Linotype" w:hAnsi="Palatino Linotype" w:eastAsia="Calibri" w:cs="Tahoma"/>
          <w:bCs/>
        </w:rPr>
        <w:t>, y será la encargada de manejar el área de adquisiciones y servicios.</w:t>
      </w:r>
    </w:p>
    <w:p w:rsidRPr="00D87D54" w:rsidR="00BF6219" w:rsidP="00BF6219" w:rsidRDefault="00BF6219" w14:paraId="2BB79DD4" w14:textId="77777777">
      <w:pPr>
        <w:pStyle w:val="Prrafodelista"/>
        <w:spacing w:line="360" w:lineRule="auto"/>
        <w:ind w:right="-28"/>
        <w:jc w:val="both"/>
        <w:rPr>
          <w:rFonts w:ascii="Palatino Linotype" w:hAnsi="Palatino Linotype" w:eastAsia="Calibri" w:cs="Tahoma"/>
          <w:bCs/>
        </w:rPr>
      </w:pPr>
    </w:p>
    <w:p w:rsidR="00D87D54" w:rsidP="00B034A6" w:rsidRDefault="00D87D54" w14:paraId="7B797E0F" w14:textId="4DEFFD9A">
      <w:pPr>
        <w:pStyle w:val="Prrafodelista"/>
        <w:numPr>
          <w:ilvl w:val="0"/>
          <w:numId w:val="29"/>
        </w:numPr>
        <w:spacing w:line="360" w:lineRule="auto"/>
        <w:ind w:right="-28"/>
        <w:jc w:val="both"/>
        <w:rPr>
          <w:rFonts w:ascii="Palatino Linotype" w:hAnsi="Palatino Linotype" w:eastAsia="Calibri" w:cs="Tahoma"/>
          <w:bCs/>
        </w:rPr>
      </w:pPr>
      <w:r w:rsidRPr="00142511">
        <w:rPr>
          <w:rFonts w:ascii="Palatino Linotype" w:hAnsi="Palatino Linotype" w:eastAsia="Calibri" w:cs="Tahoma"/>
          <w:b/>
        </w:rPr>
        <w:t>Secretaría del Ayuntamiento:</w:t>
      </w:r>
      <w:r w:rsidR="00A33DDF">
        <w:rPr>
          <w:rFonts w:ascii="Palatino Linotype" w:hAnsi="Palatino Linotype" w:eastAsia="Calibri" w:cs="Tahoma"/>
          <w:bCs/>
        </w:rPr>
        <w:t xml:space="preserve"> Encargada del </w:t>
      </w:r>
      <w:r w:rsidR="00142511">
        <w:rPr>
          <w:rFonts w:ascii="Palatino Linotype" w:hAnsi="Palatino Linotype" w:eastAsia="Calibri" w:cs="Tahoma"/>
          <w:bCs/>
        </w:rPr>
        <w:t>Archivo Municipal, misma que promoverá y vigilará el cumplimiento de las disposiciones en materia de gestión documental y administración de archivos.</w:t>
      </w:r>
    </w:p>
    <w:p w:rsidRPr="00D87D54" w:rsidR="0063356D" w:rsidP="00B034A6" w:rsidRDefault="0063356D" w14:paraId="0AE0D896" w14:textId="77777777">
      <w:pPr>
        <w:pStyle w:val="Prrafodelista"/>
        <w:spacing w:line="360" w:lineRule="auto"/>
        <w:ind w:right="-28"/>
        <w:jc w:val="both"/>
        <w:rPr>
          <w:rFonts w:ascii="Palatino Linotype" w:hAnsi="Palatino Linotype" w:eastAsia="Calibri" w:cs="Tahoma"/>
          <w:bCs/>
        </w:rPr>
      </w:pPr>
    </w:p>
    <w:p w:rsidR="00D87D54" w:rsidP="00B034A6" w:rsidRDefault="00D87D54" w14:paraId="74B9C931" w14:textId="6EE1AB96">
      <w:pPr>
        <w:pStyle w:val="Prrafodelista"/>
        <w:numPr>
          <w:ilvl w:val="0"/>
          <w:numId w:val="29"/>
        </w:numPr>
        <w:spacing w:line="360" w:lineRule="auto"/>
        <w:ind w:right="-28"/>
        <w:jc w:val="both"/>
        <w:rPr>
          <w:rFonts w:ascii="Palatino Linotype" w:hAnsi="Palatino Linotype" w:eastAsia="Calibri" w:cs="Tahoma"/>
          <w:bCs/>
        </w:rPr>
      </w:pPr>
      <w:r w:rsidRPr="00142511">
        <w:rPr>
          <w:rFonts w:ascii="Palatino Linotype" w:hAnsi="Palatino Linotype" w:eastAsia="Calibri" w:cs="Tahoma"/>
          <w:b/>
        </w:rPr>
        <w:t>Tesorería Municipal:</w:t>
      </w:r>
      <w:r w:rsidR="00142511">
        <w:rPr>
          <w:rFonts w:ascii="Palatino Linotype" w:hAnsi="Palatino Linotype" w:eastAsia="Calibri" w:cs="Tahoma"/>
          <w:bCs/>
        </w:rPr>
        <w:t xml:space="preserve"> Órgano encargado de la recaudación de los ingresos y responsable de realizar las erogaciones que haga el Ayuntamiento.</w:t>
      </w:r>
    </w:p>
    <w:p w:rsidRPr="0063356D" w:rsidR="0063356D" w:rsidP="00B034A6" w:rsidRDefault="0063356D" w14:paraId="62808310" w14:textId="77777777">
      <w:pPr>
        <w:spacing w:after="0" w:line="360" w:lineRule="auto"/>
        <w:ind w:right="-28"/>
        <w:rPr>
          <w:rFonts w:eastAsia="Calibri" w:cs="Tahoma"/>
          <w:bCs/>
        </w:rPr>
      </w:pPr>
    </w:p>
    <w:p w:rsidRPr="001103F0" w:rsidR="00D87D54" w:rsidP="00B034A6" w:rsidRDefault="00D87D54" w14:paraId="77451615" w14:textId="61F5EBF1">
      <w:pPr>
        <w:pStyle w:val="Prrafodelista"/>
        <w:numPr>
          <w:ilvl w:val="0"/>
          <w:numId w:val="29"/>
        </w:numPr>
        <w:spacing w:line="360" w:lineRule="auto"/>
        <w:ind w:right="-28"/>
        <w:jc w:val="both"/>
        <w:rPr>
          <w:rFonts w:ascii="Palatino Linotype" w:hAnsi="Palatino Linotype" w:eastAsia="Calibri" w:cs="Tahoma"/>
          <w:bCs/>
        </w:rPr>
      </w:pPr>
      <w:r w:rsidRPr="001103F0">
        <w:rPr>
          <w:rFonts w:ascii="Palatino Linotype" w:hAnsi="Palatino Linotype" w:eastAsia="Calibri" w:cs="Tahoma"/>
          <w:b/>
        </w:rPr>
        <w:t>Dirección de Obras Públicas y Desarrollo Urbano:</w:t>
      </w:r>
      <w:r w:rsidR="00A736FB">
        <w:rPr>
          <w:rFonts w:ascii="Palatino Linotype" w:hAnsi="Palatino Linotype" w:eastAsia="Calibri" w:cs="Tahoma"/>
          <w:bCs/>
        </w:rPr>
        <w:t xml:space="preserve"> Facultad de celebrar convenios para la ejecución de los planes de desarrollo urbano</w:t>
      </w:r>
      <w:r w:rsidR="001103F0">
        <w:rPr>
          <w:rFonts w:ascii="Palatino Linotype" w:hAnsi="Palatino Linotype" w:eastAsia="Calibri" w:cs="Tahoma"/>
          <w:bCs/>
        </w:rPr>
        <w:t xml:space="preserve">, así mismo, es la encargada de ejecutar y celebrar convenios de obra pública realizada en el Municipio, previo concurso. </w:t>
      </w:r>
    </w:p>
    <w:p w:rsidR="00F12C5F" w:rsidP="00B034A6" w:rsidRDefault="00F12C5F" w14:paraId="75A02CFE" w14:textId="77777777">
      <w:pPr>
        <w:spacing w:after="0" w:line="360" w:lineRule="auto"/>
        <w:ind w:right="-28"/>
        <w:contextualSpacing/>
        <w:rPr>
          <w:rFonts w:eastAsia="Calibri" w:cs="Tahoma"/>
          <w:iCs/>
          <w:color w:val="auto"/>
          <w:szCs w:val="20"/>
          <w:lang w:val="es-ES" w:eastAsia="es-ES_tradnl"/>
        </w:rPr>
      </w:pPr>
    </w:p>
    <w:p w:rsidRPr="00C972B9" w:rsidR="00C972B9" w:rsidP="00B034A6" w:rsidRDefault="00C972B9" w14:paraId="44869FCE" w14:textId="54E37F2B">
      <w:pPr>
        <w:spacing w:after="0" w:line="360" w:lineRule="auto"/>
        <w:rPr>
          <w:rFonts w:eastAsia="Times New Roman" w:cs="Times New Roman"/>
          <w:b/>
          <w:color w:val="auto"/>
          <w:lang w:eastAsia="es-ES"/>
        </w:rPr>
      </w:pPr>
      <w:r w:rsidRPr="00C972B9">
        <w:rPr>
          <w:rFonts w:eastAsia="Calibri" w:cs="Times New Roman"/>
        </w:rPr>
        <w:lastRenderedPageBreak/>
        <w:t>De tal circunstancia</w:t>
      </w:r>
      <w:r w:rsidRPr="00C972B9">
        <w:rPr>
          <w:rFonts w:eastAsia="Calibri" w:cs="Tahoma"/>
          <w:bCs/>
          <w:iCs/>
        </w:rPr>
        <w:t xml:space="preserve">, se logra colegir que el Sujeto Obligado no cumplió con el procedimiento de búsqueda </w:t>
      </w:r>
      <w:r w:rsidRPr="00C972B9">
        <w:rPr>
          <w:rFonts w:eastAsia="Calibri" w:cs="Tahoma"/>
          <w:color w:val="000000"/>
          <w:szCs w:val="24"/>
          <w:lang w:val="es-ES" w:eastAsia="es-MX"/>
        </w:rPr>
        <w:t xml:space="preserve">establecido en el artículo 162 de la Ley de Transparencia y Acceso a la Información Pública del Estado de México y Municipios, pues si bien, gestionó el requerimiento de información a la </w:t>
      </w:r>
      <w:r>
        <w:rPr>
          <w:rFonts w:eastAsia="Calibri" w:cs="Tahoma"/>
          <w:color w:val="000000"/>
          <w:szCs w:val="24"/>
          <w:lang w:val="es-ES" w:eastAsia="es-MX"/>
        </w:rPr>
        <w:t xml:space="preserve">Dirección de Obras y Desarrollo Urbano y la </w:t>
      </w:r>
      <w:r w:rsidRPr="00C972B9">
        <w:rPr>
          <w:rFonts w:eastAsia="Calibri" w:cs="Tahoma"/>
          <w:color w:val="000000"/>
          <w:szCs w:val="24"/>
          <w:lang w:val="es-ES" w:eastAsia="es-MX"/>
        </w:rPr>
        <w:t xml:space="preserve">Secretaría del Ayuntamiento, omitió turnar a </w:t>
      </w:r>
      <w:r>
        <w:rPr>
          <w:rFonts w:eastAsia="Calibri" w:cs="Tahoma"/>
          <w:color w:val="000000"/>
          <w:szCs w:val="24"/>
          <w:lang w:val="es-ES" w:eastAsia="es-MX"/>
        </w:rPr>
        <w:t>la Dirección de Administración y Tesorería Municipal</w:t>
      </w:r>
      <w:r w:rsidRPr="00C972B9">
        <w:rPr>
          <w:rFonts w:eastAsia="Calibri" w:cs="Tahoma"/>
          <w:b/>
          <w:iCs/>
        </w:rPr>
        <w:t>.</w:t>
      </w:r>
    </w:p>
    <w:p w:rsidR="00E109A9" w:rsidP="00B034A6" w:rsidRDefault="00E109A9" w14:paraId="42E3EFC6" w14:textId="47C20E33">
      <w:pPr>
        <w:spacing w:after="0" w:line="360" w:lineRule="auto"/>
        <w:ind w:right="-93"/>
        <w:rPr>
          <w:rFonts w:eastAsia="Times New Roman" w:cs="Times New Roman"/>
          <w:color w:val="auto"/>
          <w:lang w:val="es-ES" w:eastAsia="es-ES"/>
        </w:rPr>
      </w:pPr>
    </w:p>
    <w:p w:rsidR="001A1A69" w:rsidP="00B034A6" w:rsidRDefault="006203E3" w14:paraId="5E78E7BF" w14:textId="5B2B520F">
      <w:pPr>
        <w:spacing w:after="0" w:line="360" w:lineRule="auto"/>
        <w:rPr>
          <w:rFonts w:eastAsia="Calibri" w:cs="Tahoma"/>
          <w:iCs/>
          <w:color w:val="auto"/>
          <w:lang w:val="es-ES" w:eastAsia="es-ES_tradnl"/>
        </w:rPr>
      </w:pPr>
      <w:r w:rsidRPr="006203E3">
        <w:rPr>
          <w:rFonts w:eastAsia="Times New Roman" w:cs="Times New Roman"/>
          <w:color w:val="auto"/>
          <w:szCs w:val="20"/>
          <w:lang w:eastAsia="es-ES"/>
        </w:rPr>
        <w:t>Sin menoscabar lo anterior,</w:t>
      </w:r>
      <w:r w:rsidRPr="00C972B9" w:rsidR="00C972B9">
        <w:t xml:space="preserve"> </w:t>
      </w:r>
      <w:r w:rsidR="00C972B9">
        <w:t>se procede analizar la información proporcionada, para lo cual, es de señalar que en respuesta,</w:t>
      </w:r>
      <w:r w:rsidRPr="006203E3">
        <w:rPr>
          <w:rFonts w:eastAsia="Times New Roman" w:cs="Times New Roman"/>
          <w:color w:val="auto"/>
          <w:szCs w:val="20"/>
          <w:lang w:eastAsia="es-ES"/>
        </w:rPr>
        <w:t xml:space="preserve"> la </w:t>
      </w:r>
      <w:r>
        <w:rPr>
          <w:rFonts w:eastAsia="Times New Roman" w:cs="Times New Roman"/>
          <w:color w:val="auto"/>
          <w:szCs w:val="20"/>
          <w:lang w:eastAsia="es-ES"/>
        </w:rPr>
        <w:t xml:space="preserve">Dirección de </w:t>
      </w:r>
      <w:r w:rsidR="00C972B9">
        <w:rPr>
          <w:rFonts w:eastAsia="Times New Roman" w:cs="Times New Roman"/>
          <w:color w:val="auto"/>
          <w:szCs w:val="20"/>
          <w:lang w:eastAsia="es-ES"/>
        </w:rPr>
        <w:t>Obras y Desarrollo Urbano</w:t>
      </w:r>
      <w:r w:rsidRPr="006203E3">
        <w:rPr>
          <w:rFonts w:eastAsia="Times New Roman" w:cs="Times New Roman"/>
          <w:color w:val="auto"/>
          <w:szCs w:val="20"/>
          <w:lang w:eastAsia="es-ES"/>
        </w:rPr>
        <w:t xml:space="preserve"> precisó, que la información </w:t>
      </w:r>
      <w:r w:rsidR="00C972B9">
        <w:rPr>
          <w:rFonts w:eastAsia="Calibri" w:cs="Tahoma"/>
          <w:iCs/>
          <w:color w:val="auto"/>
          <w:lang w:val="es-ES" w:eastAsia="es-ES_tradnl"/>
        </w:rPr>
        <w:t>de dos mil doce a dos mil dieciséis no obraba en sus archivos</w:t>
      </w:r>
      <w:r w:rsidR="001A1A69">
        <w:rPr>
          <w:rFonts w:eastAsia="Calibri" w:cs="Tahoma"/>
          <w:iCs/>
          <w:color w:val="auto"/>
          <w:lang w:val="es-ES" w:eastAsia="es-ES_tradnl"/>
        </w:rPr>
        <w:t xml:space="preserve">, por lo cual solicitó extender la solicitud al Archivo Municipal, así mismo, refirió que respecto a la información de  dos mil diecisiete y dos mil dieciocho no fue entregada en el acto de entrega recepción de fecha primero de enero del año dos mil veintidós, sin embargo, para el caso de dos mil dieciocho proporcionó la liga </w:t>
      </w:r>
      <w:hyperlink w:history="1" r:id="rId13">
        <w:r w:rsidRPr="0018487E" w:rsidR="001A1A69">
          <w:rPr>
            <w:rStyle w:val="Hipervnculo"/>
            <w:rFonts w:eastAsia="Calibri" w:cs="Tahoma"/>
            <w:iCs/>
            <w:lang w:val="es-ES" w:eastAsia="es-ES_tradnl"/>
          </w:rPr>
          <w:t>https://www.ipomex.org.mx/ipo3/lgt/portal.web</w:t>
        </w:r>
      </w:hyperlink>
      <w:r w:rsidR="001A1A69">
        <w:rPr>
          <w:rFonts w:eastAsia="Calibri" w:cs="Tahoma"/>
          <w:iCs/>
          <w:color w:val="auto"/>
          <w:lang w:val="es-ES" w:eastAsia="es-ES_tradnl"/>
        </w:rPr>
        <w:t xml:space="preserve"> del portal de Información Pública de Oficio Mexiquense (Ipomex) para consultar la información, mismo que despliega lo siguiente:</w:t>
      </w:r>
    </w:p>
    <w:p w:rsidRPr="009D14AA" w:rsidR="00BF6219" w:rsidP="00B034A6" w:rsidRDefault="00BF6219" w14:paraId="3E2E9B6B" w14:textId="77777777">
      <w:pPr>
        <w:spacing w:after="0" w:line="360" w:lineRule="auto"/>
        <w:rPr>
          <w:rFonts w:eastAsia="Calibri" w:cs="Tahoma"/>
          <w:iCs/>
          <w:color w:val="auto"/>
          <w:lang w:val="es-ES" w:eastAsia="es-ES_tradnl"/>
        </w:rPr>
      </w:pPr>
    </w:p>
    <w:p w:rsidR="001A1A69" w:rsidP="00B034A6" w:rsidRDefault="001A1A69" w14:paraId="158ED0EB" w14:textId="1590ECE4">
      <w:pPr>
        <w:spacing w:after="0" w:line="360" w:lineRule="auto"/>
        <w:jc w:val="center"/>
        <w:rPr>
          <w:rFonts w:eastAsia="Calibri" w:cs="Tahoma"/>
          <w:iCs/>
          <w:color w:val="auto"/>
          <w:lang w:val="es-ES" w:eastAsia="es-ES_tradnl"/>
        </w:rPr>
      </w:pPr>
      <w:r>
        <w:rPr>
          <w:rFonts w:eastAsia="Calibri" w:cs="Tahoma"/>
          <w:iCs/>
          <w:noProof/>
          <w:color w:val="auto"/>
          <w:lang w:eastAsia="es-MX"/>
        </w:rPr>
        <w:drawing>
          <wp:inline distT="0" distB="0" distL="0" distR="0" wp14:anchorId="29993FC5" wp14:editId="010E1D91">
            <wp:extent cx="5718810" cy="272542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18810" cy="2725420"/>
                    </a:xfrm>
                    <a:prstGeom prst="rect">
                      <a:avLst/>
                    </a:prstGeom>
                    <a:noFill/>
                  </pic:spPr>
                </pic:pic>
              </a:graphicData>
            </a:graphic>
          </wp:inline>
        </w:drawing>
      </w:r>
    </w:p>
    <w:p w:rsidR="001A5EC7" w:rsidP="00B034A6" w:rsidRDefault="001A5EC7" w14:paraId="04C8FC72" w14:textId="73DC968E">
      <w:pPr>
        <w:spacing w:after="0" w:line="360" w:lineRule="auto"/>
        <w:rPr>
          <w:rFonts w:eastAsia="Calibri" w:cs="Tahoma"/>
          <w:iCs/>
          <w:color w:val="auto"/>
          <w:lang w:val="es-ES" w:eastAsia="es-ES_tradnl"/>
        </w:rPr>
      </w:pPr>
    </w:p>
    <w:p w:rsidR="00BF6219" w:rsidP="00B034A6" w:rsidRDefault="001A1A69" w14:paraId="1D0D23B3" w14:textId="77777777">
      <w:pPr>
        <w:spacing w:after="0" w:line="360" w:lineRule="auto"/>
        <w:rPr>
          <w:rFonts w:eastAsia="Calibri" w:cs="Tahoma"/>
          <w:iCs/>
          <w:color w:val="auto"/>
          <w:lang w:val="es-ES" w:eastAsia="es-ES_tradnl"/>
        </w:rPr>
      </w:pPr>
      <w:r>
        <w:rPr>
          <w:rFonts w:eastAsia="Calibri" w:cs="Tahoma"/>
          <w:iCs/>
          <w:color w:val="auto"/>
          <w:lang w:val="es-ES" w:eastAsia="es-ES_tradnl"/>
        </w:rPr>
        <w:lastRenderedPageBreak/>
        <w:t>Así mismo</w:t>
      </w:r>
      <w:r w:rsidR="004334F3">
        <w:rPr>
          <w:rFonts w:eastAsia="Calibri" w:cs="Tahoma"/>
          <w:iCs/>
          <w:color w:val="auto"/>
          <w:lang w:val="es-ES" w:eastAsia="es-ES_tradnl"/>
        </w:rPr>
        <w:t xml:space="preserve">, manifestó remitir la información correspondiente de dos mil diecinueve a dos mil veintiuno, con la información requerida, correspondiente a: </w:t>
      </w:r>
      <w:r w:rsidRPr="004334F3" w:rsidR="004334F3">
        <w:rPr>
          <w:rFonts w:eastAsia="Calibri" w:cs="Tahoma"/>
          <w:iCs/>
          <w:color w:val="auto"/>
          <w:lang w:val="es-ES" w:eastAsia="es-ES_tradnl"/>
        </w:rPr>
        <w:t>A Número del procedimiento, D.-Código del expediente E-Referencia del expediente F. Título del expediente G. Fundamento legal H. Número del procedimiento I.-Fecha del Fallo K-Tipo de Contratación L.- tipo de Procedimiento M.-Titulo del contrato N.- Descripción del contrato 0.- Importe del Contrato P.- Convenio modificatorio Q.-RFC y R-Proveedor o Contratista, constante de cuatro (04) fojas útiles suscrito por un anverso de sus lados</w:t>
      </w:r>
      <w:r w:rsidR="00DD3AE0">
        <w:rPr>
          <w:rFonts w:eastAsia="Calibri" w:cs="Tahoma"/>
          <w:iCs/>
          <w:color w:val="auto"/>
          <w:lang w:val="es-ES" w:eastAsia="es-ES_tradnl"/>
        </w:rPr>
        <w:t xml:space="preserve">, mismo que se encuentra parcialmente legible, tal como se muestra en el siguiente extracto: </w:t>
      </w:r>
    </w:p>
    <w:p w:rsidRPr="00DD3AE0" w:rsidR="00DD3AE0" w:rsidP="00B034A6" w:rsidRDefault="00DD3AE0" w14:paraId="6E741B45" w14:textId="1C1F5CFA">
      <w:pPr>
        <w:spacing w:after="0" w:line="360" w:lineRule="auto"/>
        <w:rPr>
          <w:rFonts w:eastAsia="Calibri" w:cs="Tahoma"/>
          <w:iCs/>
          <w:color w:val="auto"/>
          <w:lang w:val="es-ES" w:eastAsia="es-ES_tradnl"/>
        </w:rPr>
      </w:pPr>
      <w:r>
        <w:rPr>
          <w:rFonts w:eastAsia="Calibri" w:cs="Tahoma"/>
          <w:iCs/>
          <w:color w:val="auto"/>
          <w:lang w:val="es-ES" w:eastAsia="es-ES_tradnl"/>
        </w:rPr>
        <w:br/>
      </w:r>
      <w:r>
        <w:rPr>
          <w:rFonts w:eastAsia="Calibri" w:cs="Tahoma"/>
          <w:iCs/>
          <w:color w:val="auto"/>
          <w:lang w:val="es-ES" w:eastAsia="es-ES_tradnl"/>
        </w:rPr>
        <w:t xml:space="preserve"> </w:t>
      </w:r>
    </w:p>
    <w:p w:rsidR="004334F3" w:rsidP="00B034A6" w:rsidRDefault="00DD3AE0" w14:paraId="05D442EB" w14:textId="56668E07">
      <w:pPr>
        <w:spacing w:after="0" w:line="360" w:lineRule="auto"/>
        <w:rPr>
          <w:rFonts w:eastAsia="Calibri" w:cs="Tahoma"/>
          <w:iCs/>
          <w:color w:val="auto"/>
          <w:lang w:val="es-ES" w:eastAsia="es-ES_tradnl"/>
        </w:rPr>
      </w:pPr>
      <w:r>
        <w:rPr>
          <w:rFonts w:eastAsia="Calibri" w:cs="Tahoma"/>
          <w:iCs/>
          <w:noProof/>
          <w:color w:val="auto"/>
          <w:lang w:eastAsia="es-MX"/>
        </w:rPr>
        <w:drawing>
          <wp:inline distT="0" distB="0" distL="0" distR="0" wp14:anchorId="0FB8DB6B" wp14:editId="4A5267D7">
            <wp:extent cx="5706110" cy="1054735"/>
            <wp:effectExtent l="0" t="0" r="889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06110" cy="1054735"/>
                    </a:xfrm>
                    <a:prstGeom prst="rect">
                      <a:avLst/>
                    </a:prstGeom>
                    <a:noFill/>
                  </pic:spPr>
                </pic:pic>
              </a:graphicData>
            </a:graphic>
          </wp:inline>
        </w:drawing>
      </w:r>
    </w:p>
    <w:p w:rsidR="00CC72ED" w:rsidP="00B034A6" w:rsidRDefault="00CC72ED" w14:paraId="0B6CA09A" w14:textId="77777777">
      <w:pPr>
        <w:spacing w:after="0" w:line="360" w:lineRule="auto"/>
        <w:rPr>
          <w:rFonts w:eastAsia="Calibri" w:cs="Tahoma"/>
          <w:iCs/>
          <w:color w:val="auto"/>
          <w:lang w:val="es-ES" w:eastAsia="es-ES_tradnl"/>
        </w:rPr>
      </w:pPr>
    </w:p>
    <w:p w:rsidR="00CC0C47" w:rsidP="00B034A6" w:rsidRDefault="00CC0C47" w14:paraId="37FBFC09" w14:textId="04D21B44">
      <w:pPr>
        <w:spacing w:after="0" w:line="360" w:lineRule="auto"/>
        <w:rPr>
          <w:rFonts w:eastAsia="Calibri" w:cs="Tahoma"/>
          <w:iCs/>
          <w:color w:val="auto"/>
          <w:lang w:val="es-ES" w:eastAsia="es-ES_tradnl"/>
        </w:rPr>
      </w:pPr>
      <w:r>
        <w:rPr>
          <w:rFonts w:eastAsia="Calibri" w:cs="Tahoma"/>
          <w:iCs/>
          <w:color w:val="auto"/>
          <w:lang w:val="es-ES" w:eastAsia="es-ES_tradnl"/>
        </w:rPr>
        <w:t xml:space="preserve">Además, refirió </w:t>
      </w:r>
      <w:r w:rsidR="00C40F6D">
        <w:rPr>
          <w:rFonts w:eastAsia="Calibri" w:cs="Tahoma"/>
          <w:iCs/>
          <w:color w:val="auto"/>
          <w:lang w:val="es-ES" w:eastAsia="es-ES_tradnl"/>
        </w:rPr>
        <w:t xml:space="preserve">que respecto a los </w:t>
      </w:r>
      <w:r w:rsidRPr="00C40F6D" w:rsidR="00C40F6D">
        <w:rPr>
          <w:rFonts w:eastAsia="Calibri" w:cs="Tahoma"/>
          <w:b/>
          <w:bCs/>
          <w:iCs/>
          <w:color w:val="auto"/>
          <w:lang w:val="es-ES" w:eastAsia="es-ES_tradnl"/>
        </w:rPr>
        <w:t>incisos B.- Nombre de la UC, C.-Responsable de la UC, J.-Fecha de Publicación y S.-Dirección del anuncio</w:t>
      </w:r>
      <w:r w:rsidR="00C40F6D">
        <w:rPr>
          <w:rFonts w:eastAsia="Calibri" w:cs="Tahoma"/>
          <w:iCs/>
          <w:color w:val="auto"/>
          <w:lang w:val="es-ES" w:eastAsia="es-ES_tradnl"/>
        </w:rPr>
        <w:t xml:space="preserve">, se requiriera al Solicitante a efecto de precisar los requerimientos en términos de lo dispuesto en el artículo </w:t>
      </w:r>
      <w:r w:rsidRPr="00C40F6D" w:rsidR="00C40F6D">
        <w:rPr>
          <w:rFonts w:eastAsia="Calibri" w:cs="Tahoma"/>
          <w:iCs/>
          <w:color w:val="auto"/>
          <w:lang w:val="es-ES" w:eastAsia="es-ES_tradnl"/>
        </w:rPr>
        <w:t>159 de la Ley de Transparencia y Acceso a la Información Pública del Estado de México y Municipios</w:t>
      </w:r>
      <w:r w:rsidR="00C40F6D">
        <w:rPr>
          <w:rFonts w:eastAsia="Calibri" w:cs="Tahoma"/>
          <w:iCs/>
          <w:color w:val="auto"/>
          <w:lang w:val="es-ES" w:eastAsia="es-ES_tradnl"/>
        </w:rPr>
        <w:t xml:space="preserve">. </w:t>
      </w:r>
    </w:p>
    <w:p w:rsidR="00C40F6D" w:rsidP="00B034A6" w:rsidRDefault="00C40F6D" w14:paraId="1D93B2DE" w14:textId="4641B262">
      <w:pPr>
        <w:spacing w:after="0" w:line="360" w:lineRule="auto"/>
        <w:rPr>
          <w:rFonts w:eastAsia="Calibri" w:cs="Tahoma"/>
          <w:iCs/>
          <w:color w:val="auto"/>
          <w:lang w:val="es-ES" w:eastAsia="es-ES_tradnl"/>
        </w:rPr>
      </w:pPr>
    </w:p>
    <w:p w:rsidRPr="00C40F6D" w:rsidR="00C40F6D" w:rsidP="00B034A6" w:rsidRDefault="00C40F6D" w14:paraId="21E5AE1B" w14:textId="6F680699">
      <w:pPr>
        <w:spacing w:after="0" w:line="360" w:lineRule="auto"/>
        <w:rPr>
          <w:rFonts w:eastAsia="Calibri" w:cs="Times New Roman"/>
          <w:color w:val="000000"/>
        </w:rPr>
      </w:pPr>
      <w:r>
        <w:rPr>
          <w:rFonts w:eastAsia="Calibri" w:cs="Tahoma"/>
          <w:iCs/>
          <w:color w:val="auto"/>
          <w:lang w:val="es-ES" w:eastAsia="es-ES_tradnl"/>
        </w:rPr>
        <w:t xml:space="preserve">Sobre lo anterior, </w:t>
      </w:r>
      <w:r w:rsidRPr="00C40F6D">
        <w:rPr>
          <w:rFonts w:eastAsia="Times New Roman" w:cs="Tahoma"/>
          <w:iCs/>
          <w:color w:val="auto"/>
          <w:lang w:val="es-ES" w:eastAsia="es-ES"/>
        </w:rPr>
        <w:t xml:space="preserve">es de señalar que el artículo 159 de la </w:t>
      </w:r>
      <w:r>
        <w:rPr>
          <w:rFonts w:eastAsia="Times New Roman" w:cs="Tahoma"/>
          <w:iCs/>
          <w:color w:val="auto"/>
          <w:lang w:val="es-ES" w:eastAsia="es-ES"/>
        </w:rPr>
        <w:t>Ley en cita</w:t>
      </w:r>
      <w:r w:rsidRPr="00C40F6D">
        <w:rPr>
          <w:rFonts w:eastAsia="Times New Roman" w:cs="Tahoma"/>
          <w:iCs/>
          <w:color w:val="auto"/>
          <w:lang w:val="es-ES" w:eastAsia="es-ES"/>
        </w:rPr>
        <w:t xml:space="preserve">, precisa que cuando los detalles proporcionados para localizar los documentos resulten </w:t>
      </w:r>
      <w:r w:rsidRPr="00C40F6D">
        <w:rPr>
          <w:rFonts w:eastAsia="Calibri" w:cs="Times New Roman"/>
          <w:color w:val="000000"/>
        </w:rPr>
        <w:t xml:space="preserve">insuficientes, incompletos o sean erróneos, la Unidad de Transparencia podrá </w:t>
      </w:r>
      <w:r w:rsidRPr="00CC72ED">
        <w:rPr>
          <w:rFonts w:eastAsia="Calibri" w:cs="Times New Roman"/>
          <w:color w:val="000000"/>
        </w:rPr>
        <w:t xml:space="preserve">requerir al solicitante </w:t>
      </w:r>
      <w:r w:rsidRPr="00CC72ED" w:rsidR="00CC72ED">
        <w:rPr>
          <w:rFonts w:eastAsia="Calibri" w:cs="Times New Roman"/>
          <w:color w:val="000000"/>
        </w:rPr>
        <w:t xml:space="preserve">dentro de un plazo que no podrá exceder de </w:t>
      </w:r>
      <w:r w:rsidRPr="00CC72ED" w:rsidR="00CC72ED">
        <w:rPr>
          <w:rFonts w:eastAsia="Calibri" w:cs="Times New Roman"/>
          <w:b/>
          <w:bCs/>
          <w:color w:val="000000"/>
        </w:rPr>
        <w:t>cinco días hábiles contados a partir  de la presentación de la solicitud</w:t>
      </w:r>
      <w:r w:rsidR="00CC72ED">
        <w:rPr>
          <w:rFonts w:eastAsia="Calibri" w:cs="Times New Roman"/>
          <w:color w:val="000000"/>
        </w:rPr>
        <w:t xml:space="preserve">, </w:t>
      </w:r>
      <w:r w:rsidRPr="00C40F6D">
        <w:rPr>
          <w:rFonts w:eastAsia="Calibri" w:cs="Times New Roman"/>
          <w:color w:val="000000"/>
        </w:rPr>
        <w:t xml:space="preserve">que indique otros elementos que complementen, corrijan o amplíen los datos proporcionados o bien, precise uno o varios requerimientos de información; lo cual no aconteció, pues </w:t>
      </w:r>
      <w:r>
        <w:rPr>
          <w:rFonts w:eastAsia="Calibri" w:cs="Times New Roman"/>
          <w:color w:val="000000"/>
        </w:rPr>
        <w:t xml:space="preserve">el </w:t>
      </w:r>
      <w:r>
        <w:rPr>
          <w:rFonts w:eastAsia="Calibri" w:cs="Times New Roman"/>
          <w:color w:val="000000"/>
        </w:rPr>
        <w:lastRenderedPageBreak/>
        <w:t>Ayuntamiento</w:t>
      </w:r>
      <w:r w:rsidRPr="00C40F6D">
        <w:rPr>
          <w:rFonts w:eastAsia="Calibri" w:cs="Times New Roman"/>
          <w:color w:val="000000"/>
        </w:rPr>
        <w:t xml:space="preserve"> únicamente dio contestación al requerimiento al señalar que no podía atenderlo,</w:t>
      </w:r>
      <w:r>
        <w:rPr>
          <w:rFonts w:eastAsia="Calibri" w:cs="Times New Roman"/>
          <w:color w:val="000000"/>
        </w:rPr>
        <w:t xml:space="preserve"> al no precisar los requerimientos previamente referidos. </w:t>
      </w:r>
    </w:p>
    <w:p w:rsidRPr="00C40F6D" w:rsidR="00C40F6D" w:rsidP="00B034A6" w:rsidRDefault="00C40F6D" w14:paraId="03550985" w14:textId="77777777">
      <w:pPr>
        <w:spacing w:after="0" w:line="360" w:lineRule="auto"/>
        <w:rPr>
          <w:rFonts w:eastAsia="Calibri" w:cs="Times New Roman"/>
          <w:color w:val="000000"/>
        </w:rPr>
      </w:pPr>
    </w:p>
    <w:p w:rsidRPr="00C40F6D" w:rsidR="00C40F6D" w:rsidP="00B034A6" w:rsidRDefault="00C40F6D" w14:paraId="705AE045" w14:textId="75DB0C85">
      <w:pPr>
        <w:spacing w:after="0" w:line="360" w:lineRule="auto"/>
        <w:rPr>
          <w:rFonts w:eastAsia="Times New Roman" w:cs="Tahoma"/>
          <w:b/>
          <w:iCs/>
          <w:color w:val="auto"/>
          <w:lang w:val="es-ES" w:eastAsia="es-ES"/>
        </w:rPr>
      </w:pPr>
      <w:r w:rsidRPr="00C40F6D">
        <w:rPr>
          <w:rFonts w:eastAsia="Calibri" w:cs="Times New Roman"/>
          <w:color w:val="000000"/>
        </w:rPr>
        <w:t>Conforme a lo anterior, se considera que toda vez que el Sujeto Obligado no siguió el procedimiento de búsqueda</w:t>
      </w:r>
      <w:r>
        <w:rPr>
          <w:rFonts w:eastAsia="Calibri" w:cs="Times New Roman"/>
          <w:color w:val="000000"/>
        </w:rPr>
        <w:t xml:space="preserve">, </w:t>
      </w:r>
      <w:r w:rsidRPr="00C40F6D">
        <w:rPr>
          <w:rFonts w:eastAsia="Calibri" w:cs="Times New Roman"/>
          <w:color w:val="000000"/>
        </w:rPr>
        <w:t xml:space="preserve">no requirió una aclaración ante la duda del requerimiento y a consideración de este Instituto existían suficientes elementos para atender el requerimiento de información, se considera que el </w:t>
      </w:r>
      <w:r w:rsidRPr="00C40F6D">
        <w:rPr>
          <w:rFonts w:eastAsia="Times New Roman" w:cs="Tahoma"/>
          <w:iCs/>
          <w:color w:val="auto"/>
          <w:lang w:val="es-ES" w:eastAsia="es-ES"/>
        </w:rPr>
        <w:t xml:space="preserve">agravio valer en el presente Medio de Impugnación deviene de </w:t>
      </w:r>
      <w:r w:rsidRPr="00C40F6D">
        <w:rPr>
          <w:rFonts w:eastAsia="Times New Roman" w:cs="Tahoma"/>
          <w:b/>
          <w:iCs/>
          <w:color w:val="auto"/>
          <w:lang w:val="es-ES" w:eastAsia="es-ES"/>
        </w:rPr>
        <w:t xml:space="preserve">FUNDADO. </w:t>
      </w:r>
    </w:p>
    <w:p w:rsidRPr="00C40F6D" w:rsidR="00C40F6D" w:rsidP="00B034A6" w:rsidRDefault="00C40F6D" w14:paraId="695AB6AB" w14:textId="77777777">
      <w:pPr>
        <w:spacing w:after="0" w:line="360" w:lineRule="auto"/>
        <w:rPr>
          <w:rFonts w:eastAsia="Times New Roman" w:cs="Tahoma"/>
          <w:b/>
          <w:iCs/>
          <w:color w:val="auto"/>
          <w:lang w:val="es-ES" w:eastAsia="es-ES"/>
        </w:rPr>
      </w:pPr>
    </w:p>
    <w:p w:rsidRPr="00C40F6D" w:rsidR="00C40F6D" w:rsidP="00B034A6" w:rsidRDefault="00C40F6D" w14:paraId="581EBBC6" w14:textId="77777777">
      <w:pPr>
        <w:autoSpaceDE w:val="0"/>
        <w:autoSpaceDN w:val="0"/>
        <w:adjustRightInd w:val="0"/>
        <w:spacing w:after="0" w:line="360" w:lineRule="auto"/>
        <w:rPr>
          <w:rFonts w:eastAsia="Calibri" w:cs="Tahoma"/>
          <w:color w:val="000000"/>
        </w:rPr>
      </w:pPr>
      <w:r w:rsidRPr="00C40F6D">
        <w:rPr>
          <w:rFonts w:eastAsia="Calibri" w:cs="Tahoma"/>
          <w:color w:val="000000"/>
        </w:rPr>
        <w:t>Además, resulta necesario traer a colación el Criterio 16/17, emitido por el Instituto Nacional de Transparencia, Acceso a la Información y Protección de Datos Personales, que establece:</w:t>
      </w:r>
    </w:p>
    <w:p w:rsidRPr="00C40F6D" w:rsidR="00C40F6D" w:rsidP="00B034A6" w:rsidRDefault="00C40F6D" w14:paraId="2E168C39" w14:textId="77777777">
      <w:pPr>
        <w:autoSpaceDE w:val="0"/>
        <w:autoSpaceDN w:val="0"/>
        <w:adjustRightInd w:val="0"/>
        <w:spacing w:after="0" w:line="360" w:lineRule="auto"/>
        <w:rPr>
          <w:rFonts w:eastAsia="Calibri" w:cs="Tahoma"/>
          <w:color w:val="000000"/>
        </w:rPr>
      </w:pPr>
    </w:p>
    <w:p w:rsidR="00C40F6D" w:rsidP="00B034A6" w:rsidRDefault="00C40F6D" w14:paraId="65BE2453" w14:textId="6159DD74">
      <w:pPr>
        <w:autoSpaceDE w:val="0"/>
        <w:autoSpaceDN w:val="0"/>
        <w:adjustRightInd w:val="0"/>
        <w:spacing w:after="0" w:line="360" w:lineRule="auto"/>
        <w:ind w:left="567" w:right="567"/>
        <w:rPr>
          <w:rFonts w:eastAsia="Calibri" w:cs="Tahoma"/>
          <w:i/>
          <w:iCs/>
          <w:color w:val="000000"/>
          <w:sz w:val="20"/>
          <w:szCs w:val="20"/>
        </w:rPr>
      </w:pPr>
      <w:r w:rsidRPr="00C40F6D">
        <w:rPr>
          <w:rFonts w:eastAsia="Calibri" w:cs="Tahoma"/>
          <w:b/>
          <w:bCs/>
          <w:i/>
          <w:iCs/>
          <w:color w:val="000000"/>
          <w:sz w:val="20"/>
          <w:szCs w:val="20"/>
        </w:rPr>
        <w:t>“Expresión documental.</w:t>
      </w:r>
      <w:r w:rsidRPr="00C40F6D">
        <w:rPr>
          <w:rFonts w:eastAsia="Calibri" w:cs="Tahoma"/>
          <w:i/>
          <w:iCs/>
          <w:color w:val="000000"/>
          <w:sz w:val="20"/>
          <w:szCs w:val="20"/>
        </w:rPr>
        <w:t xml:space="preserve"> Cuando los particulares presenten solicitudes de acceso a la información sin identificar de forma precisa la documentación que pudiera contener la información de su interés, o bien, la solicitud constituya una consulta, pero la respuesta pudiera obrar en algún documento en poder de los sujetos obligados, éstos deben dar a dichas solicitudes una interpretación que les otorgue una expresión documental.”</w:t>
      </w:r>
    </w:p>
    <w:p w:rsidRPr="00C40F6D" w:rsidR="00CC72ED" w:rsidP="00B034A6" w:rsidRDefault="00CC72ED" w14:paraId="4F919D1B" w14:textId="77777777">
      <w:pPr>
        <w:autoSpaceDE w:val="0"/>
        <w:autoSpaceDN w:val="0"/>
        <w:adjustRightInd w:val="0"/>
        <w:spacing w:after="0" w:line="360" w:lineRule="auto"/>
        <w:ind w:left="567" w:right="567"/>
        <w:rPr>
          <w:rFonts w:eastAsia="Calibri" w:cs="Tahoma"/>
          <w:i/>
          <w:iCs/>
          <w:color w:val="000000"/>
          <w:sz w:val="18"/>
          <w:szCs w:val="18"/>
        </w:rPr>
      </w:pPr>
    </w:p>
    <w:p w:rsidRPr="00C40F6D" w:rsidR="00C40F6D" w:rsidP="00B034A6" w:rsidRDefault="00C40F6D" w14:paraId="576C3906" w14:textId="3F89E537">
      <w:pPr>
        <w:autoSpaceDE w:val="0"/>
        <w:autoSpaceDN w:val="0"/>
        <w:adjustRightInd w:val="0"/>
        <w:spacing w:after="0" w:line="360" w:lineRule="auto"/>
        <w:rPr>
          <w:rFonts w:eastAsia="Calibri" w:cs="Tahoma"/>
          <w:color w:val="000000"/>
        </w:rPr>
      </w:pPr>
      <w:r w:rsidRPr="00C40F6D">
        <w:rPr>
          <w:rFonts w:eastAsia="Calibri" w:cs="Tahoma"/>
          <w:color w:val="000000"/>
        </w:rPr>
        <w:t>Del criterio citado, se desprende que cuando los particulares no identifiquen de forma precisa la documentación que podría contener la información de su interés o la solicitud sea una consulta, los Sujetos Obligados deben de proporcionar la expresión documental, que dé cuenta de lo requerido.</w:t>
      </w:r>
    </w:p>
    <w:p w:rsidRPr="00C40F6D" w:rsidR="00C40F6D" w:rsidP="00B034A6" w:rsidRDefault="00C40F6D" w14:paraId="6DD48919" w14:textId="77777777">
      <w:pPr>
        <w:spacing w:after="0" w:line="360" w:lineRule="auto"/>
        <w:rPr>
          <w:rFonts w:eastAsia="Times New Roman" w:cs="Tahoma"/>
          <w:b/>
          <w:iCs/>
          <w:color w:val="auto"/>
          <w:lang w:val="es-ES" w:eastAsia="es-ES"/>
        </w:rPr>
      </w:pPr>
    </w:p>
    <w:p w:rsidRPr="00C40F6D" w:rsidR="00C40F6D" w:rsidP="00B034A6" w:rsidRDefault="00C40F6D" w14:paraId="0D9C6FD5" w14:textId="18C6CDCC">
      <w:pPr>
        <w:spacing w:after="0" w:line="360" w:lineRule="auto"/>
        <w:rPr>
          <w:rFonts w:eastAsia="Times New Roman" w:cs="Tahoma"/>
          <w:bCs/>
          <w:iCs/>
          <w:color w:val="auto"/>
          <w:lang w:val="es-ES" w:eastAsia="es-ES"/>
        </w:rPr>
      </w:pPr>
      <w:r w:rsidRPr="00C40F6D">
        <w:rPr>
          <w:rFonts w:eastAsia="Times New Roman" w:cs="Tahoma"/>
          <w:bCs/>
          <w:iCs/>
          <w:color w:val="auto"/>
          <w:lang w:val="es-ES" w:eastAsia="es-ES"/>
        </w:rPr>
        <w:t>Conforme a lo anterior, se considera que el no solicitar la aclaración</w:t>
      </w:r>
      <w:r w:rsidR="00CC72ED">
        <w:rPr>
          <w:rFonts w:eastAsia="Times New Roman" w:cs="Tahoma"/>
          <w:bCs/>
          <w:iCs/>
          <w:color w:val="auto"/>
          <w:lang w:val="es-ES" w:eastAsia="es-ES"/>
        </w:rPr>
        <w:t xml:space="preserve"> dentro del plazo establecido,</w:t>
      </w:r>
      <w:r w:rsidRPr="00C40F6D">
        <w:rPr>
          <w:rFonts w:eastAsia="Times New Roman" w:cs="Tahoma"/>
          <w:bCs/>
          <w:iCs/>
          <w:color w:val="auto"/>
          <w:lang w:val="es-ES" w:eastAsia="es-ES"/>
        </w:rPr>
        <w:t xml:space="preserve"> en el artículo 159 de la Ley de la materia, el Sujeto Obligado debió proporcionar la expresión documental que considerara procedente para atender el requerimiento de información, lo cual no aconteció y, por lo tanto, no se puede validar la respuesta.</w:t>
      </w:r>
    </w:p>
    <w:p w:rsidR="000373AC" w:rsidP="00B034A6" w:rsidRDefault="000373AC" w14:paraId="20E74E50" w14:textId="7A3E9937">
      <w:pPr>
        <w:spacing w:after="0" w:line="360" w:lineRule="auto"/>
        <w:rPr>
          <w:rFonts w:eastAsia="Calibri" w:cs="Tahoma"/>
          <w:iCs/>
          <w:color w:val="auto"/>
          <w:lang w:val="es-ES" w:eastAsia="es-ES_tradnl"/>
        </w:rPr>
      </w:pPr>
      <w:r>
        <w:rPr>
          <w:rFonts w:eastAsia="Calibri" w:cs="Tahoma"/>
          <w:iCs/>
          <w:color w:val="auto"/>
          <w:lang w:val="es-ES" w:eastAsia="es-ES_tradnl"/>
        </w:rPr>
        <w:lastRenderedPageBreak/>
        <w:t xml:space="preserve">Por otro lado, la Secretaría del Ayuntamiento informó que tras la </w:t>
      </w:r>
      <w:r w:rsidRPr="000373AC">
        <w:rPr>
          <w:rFonts w:eastAsia="Calibri" w:cs="Tahoma"/>
          <w:iCs/>
          <w:color w:val="auto"/>
          <w:lang w:val="es-ES" w:eastAsia="es-ES_tradnl"/>
        </w:rPr>
        <w:t>búsqueda exhaustiva realizada en el archivo Municipal, encontró información a partir de</w:t>
      </w:r>
      <w:r>
        <w:rPr>
          <w:rFonts w:eastAsia="Calibri" w:cs="Tahoma"/>
          <w:iCs/>
          <w:color w:val="auto"/>
          <w:lang w:val="es-ES" w:eastAsia="es-ES_tradnl"/>
        </w:rPr>
        <w:t xml:space="preserve"> dos mil doce</w:t>
      </w:r>
      <w:r w:rsidRPr="000373AC">
        <w:rPr>
          <w:rFonts w:eastAsia="Calibri" w:cs="Tahoma"/>
          <w:iCs/>
          <w:color w:val="auto"/>
          <w:lang w:val="es-ES" w:eastAsia="es-ES_tradnl"/>
        </w:rPr>
        <w:t xml:space="preserve"> hasta el año </w:t>
      </w:r>
      <w:r>
        <w:rPr>
          <w:rFonts w:eastAsia="Calibri" w:cs="Tahoma"/>
          <w:iCs/>
          <w:color w:val="auto"/>
          <w:lang w:val="es-ES" w:eastAsia="es-ES_tradnl"/>
        </w:rPr>
        <w:t xml:space="preserve">dos quince y proporcionó una relación de Obras, Prestación de Servicios y/o Bienes </w:t>
      </w:r>
      <w:r w:rsidRPr="000373AC">
        <w:rPr>
          <w:rFonts w:eastAsia="Calibri" w:cs="Tahoma"/>
          <w:iCs/>
          <w:color w:val="auto"/>
          <w:lang w:val="es-ES" w:eastAsia="es-ES_tradnl"/>
        </w:rPr>
        <w:t>con los rubros: contrato, número de contrato o número de identificación, título del contrato, mediante qué acción o vía se realizó el contrato, denominación de la empresa o prestador de servicios, representante legal de la empresa y/o prestador de servicios, objeto de contrato, número de acta de entrega recepción, plazo de ejecución o firma del contrato y normatividad aplicable, tal como se muestra a continuación:</w:t>
      </w:r>
      <w:r>
        <w:rPr>
          <w:rFonts w:eastAsia="Calibri" w:cs="Tahoma"/>
          <w:iCs/>
          <w:color w:val="auto"/>
          <w:lang w:val="es-ES" w:eastAsia="es-ES_tradnl"/>
        </w:rPr>
        <w:t xml:space="preserve"> </w:t>
      </w:r>
    </w:p>
    <w:p w:rsidR="000373AC" w:rsidP="00B034A6" w:rsidRDefault="000373AC" w14:paraId="553BD3CE" w14:textId="77777777">
      <w:pPr>
        <w:tabs>
          <w:tab w:val="left" w:pos="142"/>
        </w:tabs>
        <w:spacing w:after="0" w:line="360" w:lineRule="auto"/>
        <w:rPr>
          <w:noProof/>
        </w:rPr>
      </w:pPr>
    </w:p>
    <w:p w:rsidR="000373AC" w:rsidP="00B034A6" w:rsidRDefault="000373AC" w14:paraId="05E463BE" w14:textId="035E4853">
      <w:pPr>
        <w:tabs>
          <w:tab w:val="left" w:pos="142"/>
        </w:tabs>
        <w:spacing w:after="0" w:line="360" w:lineRule="auto"/>
        <w:jc w:val="center"/>
        <w:rPr>
          <w:rFonts w:eastAsia="Calibri" w:cs="Tahoma"/>
          <w:iCs/>
          <w:color w:val="auto"/>
          <w:lang w:val="es-ES" w:eastAsia="es-ES_tradnl"/>
        </w:rPr>
      </w:pPr>
      <w:r>
        <w:rPr>
          <w:noProof/>
          <w:lang w:eastAsia="es-MX"/>
        </w:rPr>
        <w:drawing>
          <wp:inline distT="0" distB="0" distL="0" distR="0" wp14:anchorId="68705725" wp14:editId="203744FC">
            <wp:extent cx="5660708" cy="100012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960" t="21647" r="3958" b="49102"/>
                    <a:stretch/>
                  </pic:blipFill>
                  <pic:spPr bwMode="auto">
                    <a:xfrm>
                      <a:off x="0" y="0"/>
                      <a:ext cx="5665377" cy="1000950"/>
                    </a:xfrm>
                    <a:prstGeom prst="rect">
                      <a:avLst/>
                    </a:prstGeom>
                    <a:ln>
                      <a:noFill/>
                    </a:ln>
                    <a:extLst>
                      <a:ext uri="{53640926-AAD7-44D8-BBD7-CCE9431645EC}">
                        <a14:shadowObscured xmlns:a14="http://schemas.microsoft.com/office/drawing/2010/main"/>
                      </a:ext>
                    </a:extLst>
                  </pic:spPr>
                </pic:pic>
              </a:graphicData>
            </a:graphic>
          </wp:inline>
        </w:drawing>
      </w:r>
    </w:p>
    <w:p w:rsidR="000373AC" w:rsidP="00B034A6" w:rsidRDefault="000373AC" w14:paraId="53094449" w14:textId="258D7DD6">
      <w:pPr>
        <w:tabs>
          <w:tab w:val="left" w:pos="142"/>
        </w:tabs>
        <w:spacing w:after="0" w:line="360" w:lineRule="auto"/>
        <w:jc w:val="center"/>
        <w:rPr>
          <w:rFonts w:eastAsia="Calibri" w:cs="Tahoma"/>
          <w:iCs/>
          <w:color w:val="auto"/>
          <w:lang w:val="es-ES" w:eastAsia="es-ES_tradnl"/>
        </w:rPr>
      </w:pPr>
    </w:p>
    <w:p w:rsidR="000373AC" w:rsidP="00B034A6" w:rsidRDefault="000373AC" w14:paraId="40214200" w14:textId="511D0595">
      <w:pPr>
        <w:tabs>
          <w:tab w:val="left" w:pos="142"/>
        </w:tabs>
        <w:spacing w:after="0" w:line="360" w:lineRule="auto"/>
        <w:rPr>
          <w:rFonts w:eastAsia="Calibri" w:cs="Tahoma"/>
          <w:iCs/>
          <w:color w:val="auto"/>
          <w:lang w:val="es-ES" w:eastAsia="es-ES_tradnl"/>
        </w:rPr>
      </w:pPr>
      <w:r>
        <w:rPr>
          <w:rFonts w:eastAsia="Calibri" w:cs="Tahoma"/>
          <w:iCs/>
          <w:color w:val="auto"/>
          <w:lang w:val="es-ES" w:eastAsia="es-ES_tradnl"/>
        </w:rPr>
        <w:t>De lo anterior, se logra observar que si bien el Sujeto Obligado proporcionó información relacionada con lo solicitado</w:t>
      </w:r>
      <w:r w:rsidR="001D019F">
        <w:rPr>
          <w:rFonts w:eastAsia="Calibri" w:cs="Tahoma"/>
          <w:iCs/>
          <w:color w:val="auto"/>
          <w:lang w:val="es-ES" w:eastAsia="es-ES_tradnl"/>
        </w:rPr>
        <w:t>, la información se encuentra cortada, por lo que este Instituto no tiene la certeza de que se haya entregado el documento completo</w:t>
      </w:r>
      <w:r w:rsidR="00431CA9">
        <w:rPr>
          <w:rFonts w:eastAsia="Calibri" w:cs="Tahoma"/>
          <w:iCs/>
          <w:color w:val="auto"/>
          <w:lang w:val="es-ES" w:eastAsia="es-ES_tradnl"/>
        </w:rPr>
        <w:t xml:space="preserve">, además </w:t>
      </w:r>
      <w:r w:rsidR="00511A80">
        <w:rPr>
          <w:rFonts w:eastAsia="Calibri" w:cs="Tahoma"/>
          <w:iCs/>
          <w:color w:val="auto"/>
          <w:lang w:val="es-ES" w:eastAsia="es-ES_tradnl"/>
        </w:rPr>
        <w:t xml:space="preserve">no contiene la institución, unidad administrativa solicitante y nombre de su titular, número de procedimiento, fecha </w:t>
      </w:r>
      <w:r w:rsidRPr="00511A80" w:rsidR="00511A80">
        <w:rPr>
          <w:rFonts w:eastAsia="Calibri" w:cs="Tahoma"/>
          <w:iCs/>
          <w:color w:val="auto"/>
          <w:lang w:val="es-ES" w:eastAsia="es-ES_tradnl"/>
        </w:rPr>
        <w:t xml:space="preserve">del fallo </w:t>
      </w:r>
      <w:r w:rsidR="00511A80">
        <w:rPr>
          <w:rFonts w:eastAsia="Calibri" w:cs="Tahoma"/>
          <w:iCs/>
          <w:color w:val="auto"/>
          <w:lang w:val="es-ES" w:eastAsia="es-ES_tradnl"/>
        </w:rPr>
        <w:t xml:space="preserve">y publicación, importe del contrato, convenio modificatorio, </w:t>
      </w:r>
      <w:r w:rsidRPr="00511A80" w:rsidR="00511A80">
        <w:rPr>
          <w:rFonts w:eastAsia="Calibri" w:cs="Tahoma"/>
          <w:iCs/>
          <w:color w:val="auto"/>
          <w:lang w:val="es-ES" w:eastAsia="es-ES_tradnl"/>
        </w:rPr>
        <w:t xml:space="preserve">Registro Federal de Contribuyentes </w:t>
      </w:r>
      <w:r w:rsidR="00511A80">
        <w:rPr>
          <w:rFonts w:eastAsia="Calibri" w:cs="Tahoma"/>
          <w:iCs/>
          <w:color w:val="auto"/>
          <w:lang w:val="es-ES" w:eastAsia="es-ES_tradnl"/>
        </w:rPr>
        <w:t xml:space="preserve"> (RFC) y la dirección del anuncio. </w:t>
      </w:r>
    </w:p>
    <w:p w:rsidR="000373AC" w:rsidP="00B034A6" w:rsidRDefault="000373AC" w14:paraId="2649D33E" w14:textId="77777777">
      <w:pPr>
        <w:tabs>
          <w:tab w:val="left" w:pos="142"/>
        </w:tabs>
        <w:spacing w:after="0" w:line="360" w:lineRule="auto"/>
        <w:jc w:val="left"/>
        <w:rPr>
          <w:rFonts w:eastAsia="Calibri" w:cs="Tahoma"/>
          <w:iCs/>
          <w:color w:val="auto"/>
          <w:lang w:val="es-ES" w:eastAsia="es-ES_tradnl"/>
        </w:rPr>
      </w:pPr>
    </w:p>
    <w:p w:rsidR="00CC72ED" w:rsidP="00B034A6" w:rsidRDefault="00CC72ED" w14:paraId="1AFC9C05" w14:textId="361F7F18">
      <w:pPr>
        <w:spacing w:after="0" w:line="360" w:lineRule="auto"/>
        <w:rPr>
          <w:rFonts w:eastAsia="Calibri" w:cs="Tahoma"/>
          <w:iCs/>
          <w:color w:val="auto"/>
          <w:lang w:val="es-ES" w:eastAsia="es-ES_tradnl"/>
        </w:rPr>
      </w:pPr>
      <w:r w:rsidRPr="00423D13">
        <w:rPr>
          <w:rFonts w:eastAsia="Calibri" w:cs="Tahoma"/>
          <w:iCs/>
          <w:color w:val="auto"/>
          <w:lang w:val="es-ES" w:eastAsia="es-ES_tradnl"/>
        </w:rPr>
        <w:t>No obstante, durante la sustanciación del medio</w:t>
      </w:r>
      <w:r>
        <w:rPr>
          <w:rFonts w:eastAsia="Calibri" w:cs="Tahoma"/>
          <w:iCs/>
          <w:color w:val="auto"/>
          <w:lang w:val="es-ES" w:eastAsia="es-ES_tradnl"/>
        </w:rPr>
        <w:t xml:space="preserve"> de impugnación el Sujeto Obligado, remitió </w:t>
      </w:r>
      <w:r w:rsidR="00A1295C">
        <w:rPr>
          <w:rFonts w:eastAsia="Calibri" w:cs="Tahoma"/>
          <w:iCs/>
          <w:color w:val="auto"/>
          <w:lang w:val="es-ES" w:eastAsia="es-ES_tradnl"/>
        </w:rPr>
        <w:t xml:space="preserve">nuevamente la relación de obras licitados en el municipio, del dos mil diecinueve al dos mil veintiuno, tal como se muestra a continuación: </w:t>
      </w:r>
    </w:p>
    <w:p w:rsidR="00A1295C" w:rsidP="00B034A6" w:rsidRDefault="00A1295C" w14:paraId="453E684C" w14:textId="77777777">
      <w:pPr>
        <w:spacing w:after="0" w:line="360" w:lineRule="auto"/>
        <w:rPr>
          <w:noProof/>
        </w:rPr>
      </w:pPr>
    </w:p>
    <w:p w:rsidR="00A1295C" w:rsidP="00B034A6" w:rsidRDefault="00A1295C" w14:paraId="7D6AE6EC" w14:textId="22023B33">
      <w:pPr>
        <w:spacing w:after="0" w:line="360" w:lineRule="auto"/>
        <w:jc w:val="center"/>
        <w:rPr>
          <w:rFonts w:eastAsia="Calibri" w:cs="Tahoma"/>
          <w:iCs/>
          <w:color w:val="auto"/>
          <w:lang w:val="es-ES" w:eastAsia="es-ES_tradnl"/>
        </w:rPr>
      </w:pPr>
      <w:r>
        <w:rPr>
          <w:rFonts w:eastAsia="Calibri" w:cs="Tahoma"/>
          <w:iCs/>
          <w:noProof/>
          <w:color w:val="auto"/>
          <w:lang w:eastAsia="es-MX"/>
        </w:rPr>
        <w:lastRenderedPageBreak/>
        <w:drawing>
          <wp:inline distT="0" distB="0" distL="0" distR="0" wp14:anchorId="013F4762" wp14:editId="60F13EC7">
            <wp:extent cx="5553075" cy="229097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76665" cy="2300702"/>
                    </a:xfrm>
                    <a:prstGeom prst="rect">
                      <a:avLst/>
                    </a:prstGeom>
                    <a:noFill/>
                  </pic:spPr>
                </pic:pic>
              </a:graphicData>
            </a:graphic>
          </wp:inline>
        </w:drawing>
      </w:r>
    </w:p>
    <w:p w:rsidR="00A1295C" w:rsidP="00B034A6" w:rsidRDefault="00A1295C" w14:paraId="4AA5E460" w14:textId="59371057">
      <w:pPr>
        <w:spacing w:after="0" w:line="360" w:lineRule="auto"/>
        <w:jc w:val="center"/>
        <w:rPr>
          <w:rFonts w:eastAsia="Calibri" w:cs="Tahoma"/>
          <w:iCs/>
          <w:color w:val="auto"/>
          <w:lang w:val="es-ES" w:eastAsia="es-ES_tradnl"/>
        </w:rPr>
      </w:pPr>
    </w:p>
    <w:p w:rsidR="00A1295C" w:rsidP="00B034A6" w:rsidRDefault="009D14AA" w14:paraId="307AAECD" w14:textId="0E65BD04">
      <w:pPr>
        <w:spacing w:after="0" w:line="360" w:lineRule="auto"/>
        <w:rPr>
          <w:rFonts w:eastAsia="Calibri" w:cs="Tahoma"/>
          <w:iCs/>
          <w:color w:val="auto"/>
          <w:lang w:val="es-ES" w:eastAsia="es-ES_tradnl"/>
        </w:rPr>
      </w:pPr>
      <w:r>
        <w:rPr>
          <w:rFonts w:eastAsia="Calibri" w:cs="Tahoma"/>
          <w:iCs/>
          <w:color w:val="auto"/>
          <w:lang w:val="es-ES" w:eastAsia="es-ES_tradnl"/>
        </w:rPr>
        <w:t>Así mismo</w:t>
      </w:r>
      <w:r w:rsidR="00C528BB">
        <w:rPr>
          <w:rFonts w:eastAsia="Calibri" w:cs="Tahoma"/>
          <w:iCs/>
          <w:color w:val="auto"/>
          <w:lang w:val="es-ES" w:eastAsia="es-ES_tradnl"/>
        </w:rPr>
        <w:t>, como fue referido en párrafos anteriores se omitió entregar la unidad administrativa solicitante y nombre de su titular, fecha de publicación del fallo y la dirección del anuncio</w:t>
      </w:r>
      <w:r w:rsidR="00505D64">
        <w:rPr>
          <w:rFonts w:eastAsia="Calibri" w:cs="Tahoma"/>
          <w:iCs/>
          <w:color w:val="auto"/>
          <w:lang w:val="es-ES" w:eastAsia="es-ES_tradnl"/>
        </w:rPr>
        <w:t xml:space="preserve">, por lo que, se deberá entregar el documento que de cuenta de la totalidad de los requerimientos solicitados por el Particular.  </w:t>
      </w:r>
    </w:p>
    <w:p w:rsidR="00A1295C" w:rsidP="00B034A6" w:rsidRDefault="00A1295C" w14:paraId="0A562340" w14:textId="667B3154">
      <w:pPr>
        <w:spacing w:after="0" w:line="360" w:lineRule="auto"/>
        <w:jc w:val="left"/>
        <w:rPr>
          <w:rFonts w:eastAsia="Calibri" w:cs="Tahoma"/>
          <w:iCs/>
          <w:color w:val="auto"/>
          <w:lang w:val="es-ES" w:eastAsia="es-ES_tradnl"/>
        </w:rPr>
      </w:pPr>
    </w:p>
    <w:p w:rsidR="00875C15" w:rsidP="00B034A6" w:rsidRDefault="00875C15" w14:paraId="1F205A47" w14:textId="3A7BF82C">
      <w:pPr>
        <w:spacing w:after="0" w:line="360" w:lineRule="auto"/>
        <w:rPr>
          <w:rFonts w:eastAsia="Calibri" w:cs="Tahoma"/>
          <w:iCs/>
          <w:color w:val="auto"/>
          <w:lang w:val="es-ES" w:eastAsia="es-ES_tradnl"/>
        </w:rPr>
      </w:pPr>
      <w:r>
        <w:rPr>
          <w:rFonts w:eastAsia="Calibri" w:cs="Tahoma"/>
          <w:iCs/>
          <w:color w:val="auto"/>
          <w:lang w:val="es-ES" w:eastAsia="es-ES_tradnl"/>
        </w:rPr>
        <w:t xml:space="preserve">Ahora bien, cabe resaltar que en respuesta el sujeto Obligado fue omiso en pronunciarse sobre el listado de obras del dos mil dieciséis al veintinueve de abril dos mil veintidós, así como al listado de proveedores de dos mil doce hasta </w:t>
      </w:r>
      <w:r w:rsidR="000D5B99">
        <w:rPr>
          <w:rFonts w:eastAsia="Calibri" w:cs="Tahoma"/>
          <w:iCs/>
          <w:color w:val="auto"/>
          <w:lang w:val="es-ES" w:eastAsia="es-ES_tradnl"/>
        </w:rPr>
        <w:t xml:space="preserve">el veintinueve de abril de dos mil veintidós, fecha de la solicitud. </w:t>
      </w:r>
    </w:p>
    <w:p w:rsidR="000D5B99" w:rsidP="00B034A6" w:rsidRDefault="000D5B99" w14:paraId="40EC82B5" w14:textId="77777777">
      <w:pPr>
        <w:spacing w:after="0" w:line="360" w:lineRule="auto"/>
        <w:rPr>
          <w:rFonts w:eastAsia="Calibri" w:cs="Tahoma"/>
          <w:iCs/>
          <w:color w:val="auto"/>
          <w:lang w:val="es-ES" w:eastAsia="es-ES_tradnl"/>
        </w:rPr>
      </w:pPr>
    </w:p>
    <w:p w:rsidRPr="000D5B99" w:rsidR="000D5B99" w:rsidP="00B034A6" w:rsidRDefault="000D5B99" w14:paraId="0A0C01F4" w14:textId="77777777">
      <w:pPr>
        <w:autoSpaceDE w:val="0"/>
        <w:autoSpaceDN w:val="0"/>
        <w:adjustRightInd w:val="0"/>
        <w:spacing w:after="0" w:line="360" w:lineRule="auto"/>
        <w:rPr>
          <w:rFonts w:eastAsia="Calibri" w:cs="Tahoma"/>
          <w:color w:val="000000"/>
          <w:lang w:eastAsia="es-MX"/>
        </w:rPr>
      </w:pPr>
      <w:r w:rsidRPr="000D5B99">
        <w:rPr>
          <w:rFonts w:eastAsia="Calibri" w:cs="Tahoma"/>
          <w:color w:val="000000"/>
          <w:lang w:eastAsia="es-MX"/>
        </w:rPr>
        <w:t>Situación que se robustece, con el Criterio 02/17, del Instituto Nacional de Transparencia, Acceso a la Información y Protección de Datos Personales, el cual establece lo siguiente:</w:t>
      </w:r>
    </w:p>
    <w:p w:rsidRPr="000D5B99" w:rsidR="000D5B99" w:rsidP="00B034A6" w:rsidRDefault="000D5B99" w14:paraId="09B3AD69" w14:textId="77777777">
      <w:pPr>
        <w:autoSpaceDE w:val="0"/>
        <w:autoSpaceDN w:val="0"/>
        <w:adjustRightInd w:val="0"/>
        <w:spacing w:after="0" w:line="360" w:lineRule="auto"/>
        <w:rPr>
          <w:rFonts w:eastAsia="Calibri" w:cs="Tahoma"/>
          <w:color w:val="000000"/>
          <w:lang w:eastAsia="es-MX"/>
        </w:rPr>
      </w:pPr>
    </w:p>
    <w:p w:rsidRPr="000D5B99" w:rsidR="000D5B99" w:rsidP="00B034A6" w:rsidRDefault="000D5B99" w14:paraId="4D10385C" w14:textId="77777777">
      <w:pPr>
        <w:spacing w:after="0" w:line="360" w:lineRule="auto"/>
        <w:ind w:left="567" w:right="567"/>
        <w:rPr>
          <w:rFonts w:eastAsia="Calibri" w:cs="Tahoma"/>
          <w:bCs/>
          <w:i/>
          <w:color w:val="auto"/>
          <w:sz w:val="20"/>
          <w:szCs w:val="20"/>
        </w:rPr>
      </w:pPr>
      <w:r w:rsidRPr="000D5B99">
        <w:rPr>
          <w:rFonts w:eastAsia="Calibri" w:cs="Tahoma"/>
          <w:b/>
          <w:bCs/>
          <w:i/>
          <w:color w:val="auto"/>
          <w:sz w:val="20"/>
          <w:szCs w:val="20"/>
        </w:rPr>
        <w:t xml:space="preserve">“Congruencia y exhaustividad. Sus alcances para garantizar el derecho de acceso a la información. </w:t>
      </w:r>
      <w:r w:rsidRPr="000D5B99">
        <w:rPr>
          <w:rFonts w:eastAsia="Calibri" w:cs="Tahoma"/>
          <w:bCs/>
          <w:i/>
          <w:color w:val="auto"/>
          <w:sz w:val="20"/>
          <w:szCs w:val="20"/>
        </w:rPr>
        <w:t xml:space="preserve">De conformidad con el artículo 3 de la Ley Federal de Procedimiento Administrativo,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la congruencia implica </w:t>
      </w:r>
      <w:r w:rsidRPr="000D5B99">
        <w:rPr>
          <w:rFonts w:eastAsia="Calibri" w:cs="Tahoma"/>
          <w:bCs/>
          <w:i/>
          <w:color w:val="auto"/>
          <w:sz w:val="20"/>
          <w:szCs w:val="20"/>
        </w:rPr>
        <w:lastRenderedPageBreak/>
        <w:t xml:space="preserve">que exista concordancia entre el requerimiento formulado por el particular y la respuesta proporcionada por el sujeto obligado; mientras que la exhaustividad significa que dicha respuesta se refiera expresamente a cada uno de los puntos solicitados. Por lo anterior, los sujetos obligados cumplirán con los principios de congruencia y exhaustividad, cuando las respuestas que emitan guarden una relación lógica con lo solicitado y </w:t>
      </w:r>
      <w:r w:rsidRPr="000D5B99">
        <w:rPr>
          <w:rFonts w:eastAsia="Calibri" w:cs="Tahoma"/>
          <w:i/>
          <w:color w:val="auto"/>
          <w:sz w:val="20"/>
          <w:szCs w:val="20"/>
        </w:rPr>
        <w:t>atiendan de manera puntual y expresa, cada uno de los contenidos de información.”</w:t>
      </w:r>
    </w:p>
    <w:p w:rsidRPr="000D5B99" w:rsidR="000D5B99" w:rsidP="00B034A6" w:rsidRDefault="000D5B99" w14:paraId="024F0980" w14:textId="77777777">
      <w:pPr>
        <w:autoSpaceDE w:val="0"/>
        <w:autoSpaceDN w:val="0"/>
        <w:adjustRightInd w:val="0"/>
        <w:spacing w:after="0" w:line="360" w:lineRule="auto"/>
        <w:rPr>
          <w:rFonts w:eastAsia="Calibri" w:cs="Tahoma"/>
          <w:color w:val="000000"/>
          <w:lang w:eastAsia="es-MX"/>
        </w:rPr>
      </w:pPr>
    </w:p>
    <w:p w:rsidRPr="000D5B99" w:rsidR="000D5B99" w:rsidP="00B034A6" w:rsidRDefault="000D5B99" w14:paraId="2D2C3271" w14:textId="77777777">
      <w:pPr>
        <w:autoSpaceDE w:val="0"/>
        <w:autoSpaceDN w:val="0"/>
        <w:adjustRightInd w:val="0"/>
        <w:spacing w:after="0" w:line="360" w:lineRule="auto"/>
        <w:rPr>
          <w:rFonts w:eastAsia="Calibri" w:cs="Tahoma"/>
          <w:bCs/>
          <w:color w:val="auto"/>
          <w:szCs w:val="24"/>
          <w:lang w:eastAsia="es-MX"/>
        </w:rPr>
      </w:pPr>
      <w:r w:rsidRPr="000D5B99">
        <w:rPr>
          <w:rFonts w:eastAsia="Calibri" w:cs="Tahoma"/>
          <w:color w:val="auto"/>
          <w:szCs w:val="24"/>
          <w:lang w:eastAsia="es-MX"/>
        </w:rPr>
        <w:t xml:space="preserve">De lo citado, se desprende que </w:t>
      </w:r>
      <w:r w:rsidRPr="000D5B99">
        <w:rPr>
          <w:rFonts w:eastAsia="Calibri" w:cs="Tahoma"/>
          <w:bCs/>
          <w:color w:val="auto"/>
          <w:szCs w:val="24"/>
          <w:lang w:eastAsia="es-MX"/>
        </w:rPr>
        <w:t xml:space="preserve">todo acto administrativo debe apegarse al </w:t>
      </w:r>
      <w:r w:rsidRPr="000D5B99">
        <w:rPr>
          <w:rFonts w:eastAsia="Calibri" w:cs="Tahoma"/>
          <w:b/>
          <w:bCs/>
          <w:color w:val="auto"/>
          <w:szCs w:val="24"/>
          <w:lang w:eastAsia="es-MX"/>
        </w:rPr>
        <w:t>principio de exhaustividad</w:t>
      </w:r>
      <w:r w:rsidRPr="000D5B99">
        <w:rPr>
          <w:rFonts w:eastAsia="Calibri" w:cs="Tahoma"/>
          <w:bCs/>
          <w:color w:val="auto"/>
          <w:szCs w:val="24"/>
          <w:lang w:eastAsia="es-MX"/>
        </w:rPr>
        <w:t>, entendiendo por éste que se pronuncie expresamente sobre cada uno de los puntos requeridos, lo cual en materia de transparencia y acceso a la información pública se traduce en que, las respuestas que emitan los sujetos obligados, deben atender de manera puntual y expresa, cada uno de los contenidos de información.</w:t>
      </w:r>
    </w:p>
    <w:p w:rsidRPr="000D5B99" w:rsidR="000D5B99" w:rsidP="00B034A6" w:rsidRDefault="000D5B99" w14:paraId="1397E2B6" w14:textId="77777777">
      <w:pPr>
        <w:autoSpaceDE w:val="0"/>
        <w:autoSpaceDN w:val="0"/>
        <w:adjustRightInd w:val="0"/>
        <w:spacing w:after="0" w:line="360" w:lineRule="auto"/>
        <w:rPr>
          <w:rFonts w:eastAsia="Calibri" w:cs="Tahoma"/>
          <w:bCs/>
          <w:color w:val="auto"/>
          <w:szCs w:val="24"/>
          <w:lang w:eastAsia="es-MX"/>
        </w:rPr>
      </w:pPr>
    </w:p>
    <w:p w:rsidRPr="000D5B99" w:rsidR="000D5B99" w:rsidP="00B034A6" w:rsidRDefault="000D5B99" w14:paraId="44E11970" w14:textId="11F393A7">
      <w:pPr>
        <w:autoSpaceDE w:val="0"/>
        <w:autoSpaceDN w:val="0"/>
        <w:adjustRightInd w:val="0"/>
        <w:spacing w:after="0" w:line="360" w:lineRule="auto"/>
        <w:rPr>
          <w:rFonts w:eastAsia="Calibri" w:cs="Tahoma"/>
          <w:b/>
          <w:color w:val="auto"/>
          <w:szCs w:val="24"/>
          <w:lang w:eastAsia="es-MX"/>
        </w:rPr>
      </w:pPr>
      <w:r w:rsidRPr="000D5B99">
        <w:rPr>
          <w:rFonts w:eastAsia="Calibri" w:cs="Tahoma"/>
          <w:bCs/>
          <w:color w:val="auto"/>
          <w:szCs w:val="24"/>
          <w:lang w:eastAsia="es-MX"/>
        </w:rPr>
        <w:t xml:space="preserve">En esa tesitura, se concluye que el Sujeto Obligado no satisfizo el derecho de acceso a la información del Recurrente, al incumplir el principio de exhaustividad, pues no se pronunció, ni proporcionó los documentos que dieran cuenta de la información </w:t>
      </w:r>
      <w:r>
        <w:rPr>
          <w:rFonts w:eastAsia="Calibri" w:cs="Tahoma"/>
          <w:bCs/>
          <w:color w:val="auto"/>
          <w:szCs w:val="24"/>
          <w:lang w:eastAsia="es-MX"/>
        </w:rPr>
        <w:t>previamente referida.</w:t>
      </w:r>
    </w:p>
    <w:p w:rsidRPr="000D5B99" w:rsidR="000D5B99" w:rsidP="00B034A6" w:rsidRDefault="000D5B99" w14:paraId="0A99B5CF" w14:textId="77777777">
      <w:pPr>
        <w:autoSpaceDE w:val="0"/>
        <w:autoSpaceDN w:val="0"/>
        <w:adjustRightInd w:val="0"/>
        <w:spacing w:after="0" w:line="360" w:lineRule="auto"/>
        <w:rPr>
          <w:rFonts w:eastAsia="Calibri" w:cs="Tahoma"/>
          <w:bCs/>
          <w:color w:val="auto"/>
          <w:szCs w:val="24"/>
          <w:lang w:eastAsia="es-MX"/>
        </w:rPr>
      </w:pPr>
    </w:p>
    <w:p w:rsidR="000D5B99" w:rsidP="00B034A6" w:rsidRDefault="000D5B99" w14:paraId="2DD4D075" w14:textId="1F4270EF">
      <w:pPr>
        <w:spacing w:after="0" w:line="360" w:lineRule="auto"/>
        <w:rPr>
          <w:rFonts w:eastAsia="Times New Roman" w:cs="Tahoma"/>
          <w:color w:val="auto"/>
          <w:lang w:eastAsia="es-ES"/>
        </w:rPr>
      </w:pPr>
      <w:r>
        <w:rPr>
          <w:rFonts w:eastAsia="Times New Roman" w:cs="Tahoma"/>
          <w:color w:val="auto"/>
          <w:lang w:eastAsia="es-ES"/>
        </w:rPr>
        <w:t>No obstante</w:t>
      </w:r>
      <w:r w:rsidRPr="000D5B99">
        <w:rPr>
          <w:rFonts w:eastAsia="Times New Roman" w:cs="Tahoma"/>
          <w:color w:val="auto"/>
          <w:lang w:eastAsia="es-ES"/>
        </w:rPr>
        <w:t xml:space="preserve">, durante la sustanciación del Medio de Impugnación </w:t>
      </w:r>
      <w:r>
        <w:rPr>
          <w:rFonts w:eastAsia="Times New Roman" w:cs="Tahoma"/>
          <w:color w:val="auto"/>
          <w:lang w:eastAsia="es-ES"/>
        </w:rPr>
        <w:t>la Tesorería Municipal</w:t>
      </w:r>
      <w:r w:rsidRPr="000D5B99">
        <w:rPr>
          <w:rFonts w:eastAsia="Times New Roman" w:cs="Tahoma"/>
          <w:color w:val="auto"/>
          <w:lang w:eastAsia="es-ES"/>
        </w:rPr>
        <w:t xml:space="preserve"> precisó localizó </w:t>
      </w:r>
      <w:r>
        <w:rPr>
          <w:rFonts w:eastAsia="Times New Roman" w:cs="Tahoma"/>
          <w:color w:val="auto"/>
          <w:lang w:eastAsia="es-ES"/>
        </w:rPr>
        <w:t>el listado de proveedores de bienes y servicios correspondiente a dos mil veintidós</w:t>
      </w:r>
      <w:r w:rsidR="00514313">
        <w:rPr>
          <w:rFonts w:eastAsia="Times New Roman" w:cs="Tahoma"/>
          <w:color w:val="auto"/>
          <w:lang w:eastAsia="es-ES"/>
        </w:rPr>
        <w:t>, además precisó que es la única con la que cuenta</w:t>
      </w:r>
      <w:r>
        <w:rPr>
          <w:rFonts w:eastAsia="Times New Roman" w:cs="Tahoma"/>
          <w:color w:val="auto"/>
          <w:lang w:eastAsia="es-ES"/>
        </w:rPr>
        <w:t xml:space="preserve">, </w:t>
      </w:r>
      <w:r w:rsidR="00514313">
        <w:rPr>
          <w:rFonts w:eastAsia="Times New Roman" w:cs="Tahoma"/>
          <w:color w:val="auto"/>
          <w:lang w:eastAsia="es-ES"/>
        </w:rPr>
        <w:t xml:space="preserve">misma que se inserta a continuación: </w:t>
      </w:r>
      <w:r>
        <w:rPr>
          <w:rFonts w:eastAsia="Times New Roman" w:cs="Tahoma"/>
          <w:color w:val="auto"/>
          <w:lang w:eastAsia="es-ES"/>
        </w:rPr>
        <w:t xml:space="preserve"> </w:t>
      </w:r>
    </w:p>
    <w:p w:rsidR="00BF6219" w:rsidP="00B034A6" w:rsidRDefault="00BF6219" w14:paraId="1018A2DE" w14:textId="77777777">
      <w:pPr>
        <w:spacing w:after="0" w:line="360" w:lineRule="auto"/>
        <w:rPr>
          <w:rFonts w:eastAsia="Times New Roman" w:cs="Tahoma"/>
          <w:color w:val="auto"/>
          <w:lang w:eastAsia="es-ES"/>
        </w:rPr>
      </w:pPr>
    </w:p>
    <w:p w:rsidR="000D5B99" w:rsidP="00B034A6" w:rsidRDefault="00514313" w14:paraId="3D015D90" w14:textId="2DAA025F">
      <w:pPr>
        <w:spacing w:after="0" w:line="360" w:lineRule="auto"/>
        <w:rPr>
          <w:rFonts w:eastAsia="Times New Roman" w:cs="Tahoma"/>
          <w:color w:val="auto"/>
          <w:lang w:eastAsia="es-ES"/>
        </w:rPr>
      </w:pPr>
      <w:r>
        <w:rPr>
          <w:noProof/>
          <w:lang w:eastAsia="es-MX"/>
        </w:rPr>
        <w:drawing>
          <wp:inline distT="0" distB="0" distL="0" distR="0" wp14:anchorId="65CB95D9" wp14:editId="715CCC5B">
            <wp:extent cx="5762318" cy="127635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291" t="33054" r="4944" b="30793"/>
                    <a:stretch/>
                  </pic:blipFill>
                  <pic:spPr bwMode="auto">
                    <a:xfrm>
                      <a:off x="0" y="0"/>
                      <a:ext cx="5785118" cy="1281400"/>
                    </a:xfrm>
                    <a:prstGeom prst="rect">
                      <a:avLst/>
                    </a:prstGeom>
                    <a:ln>
                      <a:noFill/>
                    </a:ln>
                    <a:extLst>
                      <a:ext uri="{53640926-AAD7-44D8-BBD7-CCE9431645EC}">
                        <a14:shadowObscured xmlns:a14="http://schemas.microsoft.com/office/drawing/2010/main"/>
                      </a:ext>
                    </a:extLst>
                  </pic:spPr>
                </pic:pic>
              </a:graphicData>
            </a:graphic>
          </wp:inline>
        </w:drawing>
      </w:r>
    </w:p>
    <w:p w:rsidR="00400651" w:rsidP="00B034A6" w:rsidRDefault="00515042" w14:paraId="5C9C5628" w14:textId="5EA69F0B">
      <w:pPr>
        <w:spacing w:after="0" w:line="360" w:lineRule="auto"/>
        <w:ind w:right="-28"/>
        <w:rPr>
          <w:rFonts w:eastAsia="Times New Roman" w:cs="Tahoma"/>
          <w:iCs/>
          <w:color w:val="auto"/>
          <w:lang w:val="es-ES" w:eastAsia="es-ES"/>
        </w:rPr>
      </w:pPr>
      <w:r w:rsidRPr="00515042">
        <w:rPr>
          <w:rFonts w:eastAsia="Times New Roman" w:cs="Tahoma"/>
          <w:iCs/>
          <w:color w:val="auto"/>
          <w:lang w:val="es-ES" w:eastAsia="es-ES"/>
        </w:rPr>
        <w:lastRenderedPageBreak/>
        <w:t xml:space="preserve">Conforme a lo expuesto, se considera que </w:t>
      </w:r>
      <w:r w:rsidR="00A45601">
        <w:rPr>
          <w:rFonts w:eastAsia="Times New Roman" w:cs="Tahoma"/>
          <w:iCs/>
          <w:color w:val="auto"/>
          <w:lang w:val="es-ES" w:eastAsia="es-ES"/>
        </w:rPr>
        <w:t xml:space="preserve">el sujeto Obligado proporcionó el </w:t>
      </w:r>
      <w:r w:rsidRPr="00A45601" w:rsidR="00A45601">
        <w:rPr>
          <w:rFonts w:eastAsia="Times New Roman" w:cs="Tahoma"/>
          <w:iCs/>
          <w:color w:val="auto"/>
          <w:lang w:val="es-ES" w:eastAsia="es-ES"/>
        </w:rPr>
        <w:t>listado de proveedores de bienes y servicios correspondiente a dos mil veintidós</w:t>
      </w:r>
      <w:r w:rsidR="00A45601">
        <w:rPr>
          <w:rFonts w:eastAsia="Times New Roman" w:cs="Tahoma"/>
          <w:iCs/>
          <w:color w:val="auto"/>
          <w:lang w:val="es-ES" w:eastAsia="es-ES"/>
        </w:rPr>
        <w:t xml:space="preserve">, sin embargó pretendió clasificar el </w:t>
      </w:r>
      <w:r w:rsidR="0061307E">
        <w:rPr>
          <w:rFonts w:eastAsia="Times New Roman" w:cs="Tahoma"/>
          <w:iCs/>
          <w:color w:val="auto"/>
          <w:lang w:val="es-ES" w:eastAsia="es-ES"/>
        </w:rPr>
        <w:t xml:space="preserve">Registro Federal de Contribuyentes (RFC). </w:t>
      </w:r>
    </w:p>
    <w:p w:rsidR="003F139F" w:rsidP="00B034A6" w:rsidRDefault="003F139F" w14:paraId="3930405D" w14:textId="77777777">
      <w:pPr>
        <w:spacing w:after="0" w:line="360" w:lineRule="auto"/>
        <w:ind w:right="-28"/>
        <w:rPr>
          <w:rFonts w:eastAsia="Times New Roman" w:cs="Tahoma"/>
          <w:iCs/>
          <w:color w:val="auto"/>
          <w:lang w:val="es-ES" w:eastAsia="es-ES"/>
        </w:rPr>
      </w:pPr>
    </w:p>
    <w:p w:rsidRPr="00BD0085" w:rsidR="00BD0085" w:rsidP="00BD0085" w:rsidRDefault="00BD0085" w14:paraId="402019A2" w14:textId="77777777">
      <w:pPr>
        <w:numPr>
          <w:ilvl w:val="0"/>
          <w:numId w:val="30"/>
        </w:numPr>
        <w:shd w:val="clear" w:color="auto" w:fill="FFFFFF"/>
        <w:spacing w:after="0" w:line="360" w:lineRule="auto"/>
        <w:jc w:val="left"/>
        <w:rPr>
          <w:rFonts w:eastAsia="Calibri" w:cs="Tahoma"/>
          <w:b/>
          <w:bCs/>
          <w:color w:val="auto"/>
          <w:lang w:val="es-ES_tradnl"/>
        </w:rPr>
      </w:pPr>
      <w:r w:rsidRPr="00BD0085">
        <w:rPr>
          <w:rFonts w:eastAsia="Calibri" w:cs="Tahoma"/>
          <w:b/>
          <w:bCs/>
          <w:iCs/>
          <w:color w:val="auto"/>
        </w:rPr>
        <w:t>Registro</w:t>
      </w:r>
      <w:r w:rsidRPr="00BD0085">
        <w:rPr>
          <w:rFonts w:eastAsia="Calibri" w:cs="Tahoma"/>
          <w:b/>
          <w:bCs/>
          <w:iCs/>
          <w:color w:val="auto"/>
          <w:lang w:val="es-ES"/>
        </w:rPr>
        <w:t xml:space="preserve"> Federal de Contribuyentes de p</w:t>
      </w:r>
      <w:proofErr w:type="spellStart"/>
      <w:r w:rsidRPr="00BD0085">
        <w:rPr>
          <w:rFonts w:eastAsia="Calibri" w:cs="Tahoma"/>
          <w:b/>
          <w:bCs/>
          <w:color w:val="auto"/>
          <w:lang w:val="es-ES_tradnl"/>
        </w:rPr>
        <w:t>ersona</w:t>
      </w:r>
      <w:proofErr w:type="spellEnd"/>
      <w:r w:rsidRPr="00BD0085">
        <w:rPr>
          <w:rFonts w:eastAsia="Calibri" w:cs="Tahoma"/>
          <w:b/>
          <w:bCs/>
          <w:color w:val="auto"/>
          <w:lang w:val="es-ES_tradnl"/>
        </w:rPr>
        <w:t xml:space="preserve"> física proveedora:</w:t>
      </w:r>
    </w:p>
    <w:p w:rsidRPr="00BD0085" w:rsidR="00BD0085" w:rsidP="00BD0085" w:rsidRDefault="00BD0085" w14:paraId="2A843551" w14:textId="77777777">
      <w:pPr>
        <w:spacing w:after="0" w:line="360" w:lineRule="auto"/>
        <w:jc w:val="left"/>
        <w:rPr>
          <w:rFonts w:eastAsia="Calibri" w:cs="Tahoma"/>
          <w:b/>
          <w:bCs/>
          <w:color w:val="auto"/>
          <w:lang w:val="es-ES_tradnl"/>
        </w:rPr>
      </w:pPr>
    </w:p>
    <w:p w:rsidRPr="00BD0085" w:rsidR="00BD0085" w:rsidP="00BD0085" w:rsidRDefault="00BD0085" w14:paraId="2CFE399F" w14:textId="77777777">
      <w:pPr>
        <w:spacing w:after="0" w:line="360" w:lineRule="auto"/>
        <w:ind w:right="-93"/>
        <w:rPr>
          <w:rFonts w:eastAsia="Calibri" w:cs="Tahoma"/>
          <w:b/>
          <w:bCs/>
          <w:color w:val="auto"/>
        </w:rPr>
      </w:pPr>
      <w:r w:rsidRPr="00BD0085">
        <w:rPr>
          <w:rFonts w:eastAsia="Calibri" w:cs="Tahoma"/>
          <w:bCs/>
          <w:color w:val="auto"/>
        </w:rPr>
        <w:t>Al respecto</w:t>
      </w:r>
      <w:r w:rsidRPr="00BD0085">
        <w:rPr>
          <w:rFonts w:eastAsia="Calibri" w:cs="Tahoma"/>
          <w:b/>
          <w:bCs/>
          <w:color w:val="auto"/>
        </w:rPr>
        <w:t>, si bien el Registro Federal de Contribuyentes de personas físicas es un dato personal, tal como se precisó en párrafos previos, también lo es, que corresponde a un requisito indispensable para ser proveedor y poder llevar a cabo actividades comerciales con la Entidad</w:t>
      </w:r>
      <w:r w:rsidRPr="00BD0085">
        <w:rPr>
          <w:rFonts w:eastAsia="Calibri" w:cs="Tahoma"/>
          <w:bCs/>
          <w:color w:val="auto"/>
        </w:rPr>
        <w:t xml:space="preserve">, ya que, sin este, no se pueden realizar dichas acciones, </w:t>
      </w:r>
      <w:r w:rsidRPr="00BD0085">
        <w:rPr>
          <w:rFonts w:eastAsia="Calibri" w:cs="Tahoma"/>
          <w:b/>
          <w:bCs/>
          <w:color w:val="auto"/>
        </w:rPr>
        <w:t>por lo que su entrega es un elemento adicional que respalda la legalidad de los procesos adquisitivos.</w:t>
      </w:r>
    </w:p>
    <w:p w:rsidRPr="00BD0085" w:rsidR="00BD0085" w:rsidP="00BD0085" w:rsidRDefault="00BD0085" w14:paraId="2FF55065" w14:textId="77777777">
      <w:pPr>
        <w:spacing w:after="0" w:line="360" w:lineRule="auto"/>
        <w:ind w:right="-93"/>
        <w:rPr>
          <w:rFonts w:eastAsia="Calibri" w:cs="Tahoma"/>
          <w:b/>
          <w:bCs/>
          <w:color w:val="auto"/>
        </w:rPr>
      </w:pPr>
    </w:p>
    <w:p w:rsidRPr="00BD0085" w:rsidR="00BD0085" w:rsidP="00BD0085" w:rsidRDefault="00BD0085" w14:paraId="7119FF0A" w14:textId="77777777">
      <w:pPr>
        <w:spacing w:after="0" w:line="360" w:lineRule="auto"/>
        <w:ind w:right="-93"/>
        <w:rPr>
          <w:rFonts w:eastAsia="Calibri" w:cs="Tahoma"/>
          <w:bCs/>
          <w:color w:val="auto"/>
        </w:rPr>
      </w:pPr>
      <w:r w:rsidRPr="00BD0085">
        <w:rPr>
          <w:rFonts w:eastAsia="Calibri" w:cs="Tahoma"/>
          <w:bCs/>
          <w:color w:val="auto"/>
        </w:rPr>
        <w:t xml:space="preserve">En ese contexto, entregar el Registro Federal de Contribuyentes aún de personas físicas cuando son proveedores de instituciones públicas, </w:t>
      </w:r>
      <w:r w:rsidRPr="00BD0085">
        <w:rPr>
          <w:rFonts w:eastAsia="Calibri" w:cs="Tahoma"/>
          <w:b/>
          <w:bCs/>
          <w:color w:val="auto"/>
        </w:rPr>
        <w:t>propiciaría la rendición de cuentas</w:t>
      </w:r>
      <w:r w:rsidRPr="00BD0085">
        <w:rPr>
          <w:rFonts w:eastAsia="Calibri" w:cs="Tahoma"/>
          <w:bCs/>
          <w:color w:val="auto"/>
        </w:rPr>
        <w:t>, al permitir verificar que se cumplió con uno de los requisitos necesarios conforme a la normatividad aplicable en materia de contrataciones, lo cual, transparenta el correcto ejercicio de recursos públicos por parte de los sujetos obligados, lo que es acorde con el principio de máxima publicidad.</w:t>
      </w:r>
    </w:p>
    <w:p w:rsidRPr="00BD0085" w:rsidR="00BD0085" w:rsidP="00BD0085" w:rsidRDefault="00BD0085" w14:paraId="0D5A265C" w14:textId="77777777">
      <w:pPr>
        <w:spacing w:after="0" w:line="360" w:lineRule="auto"/>
        <w:ind w:right="-93"/>
        <w:rPr>
          <w:rFonts w:eastAsia="Calibri" w:cs="Tahoma"/>
          <w:bCs/>
          <w:color w:val="auto"/>
        </w:rPr>
      </w:pPr>
    </w:p>
    <w:p w:rsidRPr="00BD0085" w:rsidR="00BD0085" w:rsidP="00BD0085" w:rsidRDefault="00BD0085" w14:paraId="567E577C" w14:textId="77777777">
      <w:pPr>
        <w:spacing w:after="0" w:line="360" w:lineRule="auto"/>
        <w:ind w:right="-93"/>
        <w:rPr>
          <w:rFonts w:eastAsia="Calibri" w:cs="Tahoma"/>
          <w:bCs/>
          <w:color w:val="auto"/>
        </w:rPr>
      </w:pPr>
      <w:r w:rsidRPr="00BD0085">
        <w:rPr>
          <w:rFonts w:eastAsia="Calibri" w:cs="Tahoma"/>
          <w:bCs/>
          <w:color w:val="auto"/>
        </w:rPr>
        <w:t>No debe dejarse de lado, que cualquier persona que pretenda tener cualquier tipo de relación, laboral, empresarial, de trámites, servicios o comercial, para el caso que nos ocupa, debe en cierta medida ceder información relacionada con su vida, en aras de obtener el beneficio pretendido, como formar parte de los proveedores gubernamentales, al respecto, la información sobre la que se debe conceder publicidad sólo es aquella relacionada con el ejercicio de recursos públicos o de funciones y las facturas de pagos de sujetos obligados están vinculadas directamente con el ejercicio de recursos públicos.</w:t>
      </w:r>
    </w:p>
    <w:p w:rsidRPr="00BD0085" w:rsidR="00BD0085" w:rsidP="00BD0085" w:rsidRDefault="00BD0085" w14:paraId="47EF1580" w14:textId="77777777">
      <w:pPr>
        <w:spacing w:after="0" w:line="360" w:lineRule="auto"/>
        <w:ind w:right="-93"/>
        <w:rPr>
          <w:rFonts w:eastAsia="Calibri" w:cs="Tahoma"/>
          <w:bCs/>
          <w:color w:val="auto"/>
        </w:rPr>
      </w:pPr>
    </w:p>
    <w:p w:rsidRPr="00BD0085" w:rsidR="00BD0085" w:rsidP="00BD0085" w:rsidRDefault="00BD0085" w14:paraId="3A18A718" w14:textId="77777777">
      <w:pPr>
        <w:spacing w:after="0" w:line="360" w:lineRule="auto"/>
        <w:ind w:right="-93"/>
        <w:rPr>
          <w:rFonts w:eastAsia="Calibri" w:cs="Tahoma"/>
          <w:bCs/>
          <w:color w:val="auto"/>
        </w:rPr>
      </w:pPr>
      <w:r w:rsidRPr="00BD0085">
        <w:rPr>
          <w:rFonts w:eastAsia="Calibri" w:cs="Tahoma"/>
          <w:bCs/>
          <w:color w:val="auto"/>
        </w:rPr>
        <w:lastRenderedPageBreak/>
        <w:t>En ese orden de ideas, se puede colegir que hay un interés público para conocer el Registro Federal de Contribuyentes, ya que, dicha información, transparentaría la gestión pública y favorecería la rendición de cuentas a los ciudadanos, al dar a conocer el destino de los recursos públicos y del cumplimiento de los requisitos para la contratación, de conformidad a la normatividad aplicable.</w:t>
      </w:r>
    </w:p>
    <w:p w:rsidRPr="00BD0085" w:rsidR="00BD0085" w:rsidP="00BD0085" w:rsidRDefault="00BD0085" w14:paraId="5ECF0428" w14:textId="77777777">
      <w:pPr>
        <w:spacing w:after="0" w:line="360" w:lineRule="auto"/>
        <w:ind w:right="-93"/>
        <w:rPr>
          <w:rFonts w:eastAsia="Calibri" w:cs="Tahoma"/>
          <w:bCs/>
          <w:color w:val="auto"/>
        </w:rPr>
      </w:pPr>
    </w:p>
    <w:p w:rsidRPr="00BD0085" w:rsidR="00BD0085" w:rsidP="00BD0085" w:rsidRDefault="00BD0085" w14:paraId="46DF5476" w14:textId="77777777">
      <w:pPr>
        <w:spacing w:after="0" w:line="360" w:lineRule="auto"/>
        <w:ind w:right="-93"/>
        <w:rPr>
          <w:rFonts w:eastAsia="Calibri" w:cs="Tahoma"/>
          <w:bCs/>
          <w:color w:val="auto"/>
        </w:rPr>
      </w:pPr>
      <w:r w:rsidRPr="00BD0085">
        <w:rPr>
          <w:rFonts w:eastAsia="Calibri" w:cs="Tahoma"/>
          <w:bCs/>
          <w:color w:val="auto"/>
        </w:rPr>
        <w:t xml:space="preserve">Así, se desprende la necesidad de realizar un ejercicio de ponderación entre el derecho de acceso a la información de un particular, por una parte, y el derecho a la protección de datos personales; por lo que, es preciso puntualizar que la clasificación de la información, no puede considerarse irrestricta, ya que los límites a los derechos fundamentales son legítimos siempre que sea para alcanzar otros bienes o valores constitucionales. </w:t>
      </w:r>
    </w:p>
    <w:p w:rsidRPr="00BD0085" w:rsidR="00BD0085" w:rsidP="00BD0085" w:rsidRDefault="00BD0085" w14:paraId="00B81C38" w14:textId="77777777">
      <w:pPr>
        <w:spacing w:after="0" w:line="360" w:lineRule="auto"/>
        <w:ind w:right="-93"/>
        <w:rPr>
          <w:rFonts w:eastAsia="Calibri" w:cs="Tahoma"/>
          <w:bCs/>
          <w:color w:val="auto"/>
        </w:rPr>
      </w:pPr>
    </w:p>
    <w:p w:rsidRPr="00BD0085" w:rsidR="00BD0085" w:rsidP="00BD0085" w:rsidRDefault="00BD0085" w14:paraId="321F52A8" w14:textId="77777777">
      <w:pPr>
        <w:spacing w:after="0" w:line="360" w:lineRule="auto"/>
        <w:ind w:right="-93"/>
        <w:rPr>
          <w:rFonts w:eastAsia="Calibri" w:cs="Tahoma"/>
          <w:bCs/>
          <w:color w:val="auto"/>
        </w:rPr>
      </w:pPr>
      <w:r w:rsidRPr="00BD0085">
        <w:rPr>
          <w:rFonts w:eastAsia="Calibri" w:cs="Tahoma"/>
          <w:bCs/>
          <w:color w:val="auto"/>
        </w:rPr>
        <w:t>Al respecto, es importante retomar que el artículo 6º de la Constitución Política de los Estados Unidos Mexicanos, prevé que el derecho de acceso a la información tutela el interés de los particulares para allegarse de información en posesión de los entes públicos; sin embargo, esta facultad subjetiva, también permite transparentar la gestión pública y favorece la rendición de cuentas a los ciudadanos, de manera que puedan valorar el desempeño de los gobernantes.</w:t>
      </w:r>
    </w:p>
    <w:p w:rsidRPr="00BD0085" w:rsidR="00BD0085" w:rsidP="00BD0085" w:rsidRDefault="00BD0085" w14:paraId="76B2C75A" w14:textId="77777777">
      <w:pPr>
        <w:spacing w:after="0" w:line="360" w:lineRule="auto"/>
        <w:ind w:right="-93"/>
        <w:rPr>
          <w:rFonts w:eastAsia="Calibri" w:cs="Tahoma"/>
          <w:bCs/>
          <w:color w:val="auto"/>
        </w:rPr>
      </w:pPr>
    </w:p>
    <w:p w:rsidRPr="00BD0085" w:rsidR="00BD0085" w:rsidP="00BD0085" w:rsidRDefault="00BD0085" w14:paraId="4396C89C" w14:textId="77777777">
      <w:pPr>
        <w:spacing w:after="0" w:line="360" w:lineRule="auto"/>
        <w:ind w:right="-93"/>
        <w:rPr>
          <w:rFonts w:eastAsia="Calibri" w:cs="Tahoma"/>
          <w:bCs/>
          <w:color w:val="auto"/>
        </w:rPr>
      </w:pPr>
      <w:r w:rsidRPr="00BD0085">
        <w:rPr>
          <w:rFonts w:eastAsia="Calibri" w:cs="Tahoma"/>
          <w:bCs/>
          <w:color w:val="auto"/>
        </w:rPr>
        <w:t>Asimismo, en el diverso 16 de la Carta Magna, párrafo segundo se prevé que toda persona tiene derecho a la protección de sus datos personales, al acceso, rectificación y cancelación de los mismos, así como a manifestar su oposición, en los términos que fije la ley, la cual establecerá los supuestos de excepción a los principios que rijan el tratamiento de datos, por razones de seguridad nacional, disposiciones de orden público, seguridad y salud públicas o para proteger los derechos de terceros.</w:t>
      </w:r>
    </w:p>
    <w:p w:rsidRPr="00BD0085" w:rsidR="00BD0085" w:rsidP="00BD0085" w:rsidRDefault="00BD0085" w14:paraId="0A9AE31D" w14:textId="77777777">
      <w:pPr>
        <w:spacing w:after="0" w:line="360" w:lineRule="auto"/>
        <w:ind w:right="-93"/>
        <w:rPr>
          <w:rFonts w:eastAsia="Calibri" w:cs="Tahoma"/>
          <w:bCs/>
          <w:color w:val="auto"/>
        </w:rPr>
      </w:pPr>
    </w:p>
    <w:p w:rsidRPr="00BD0085" w:rsidR="00BD0085" w:rsidP="00BD0085" w:rsidRDefault="00BD0085" w14:paraId="73078C39" w14:textId="77777777">
      <w:pPr>
        <w:spacing w:after="0" w:line="360" w:lineRule="auto"/>
        <w:ind w:right="-93"/>
        <w:rPr>
          <w:rFonts w:eastAsia="Calibri" w:cs="Tahoma"/>
          <w:bCs/>
          <w:color w:val="auto"/>
        </w:rPr>
      </w:pPr>
      <w:r w:rsidRPr="00BD0085">
        <w:rPr>
          <w:rFonts w:eastAsia="Calibri" w:cs="Tahoma"/>
          <w:bCs/>
          <w:color w:val="auto"/>
        </w:rPr>
        <w:lastRenderedPageBreak/>
        <w:t>Por ello, en el caso que nos ocupa se observa que sobreviene una coalición entre dos derechos fundamentales, como se precisó en párrafos anteriores, esto es, por una parte, se tiene el derecho de acceso a la información del particular y por la otra, la protección de datos personales.</w:t>
      </w:r>
    </w:p>
    <w:p w:rsidRPr="00BD0085" w:rsidR="00BD0085" w:rsidP="00BD0085" w:rsidRDefault="00BD0085" w14:paraId="039B6BDC" w14:textId="77777777">
      <w:pPr>
        <w:spacing w:after="0" w:line="360" w:lineRule="auto"/>
        <w:ind w:right="-93"/>
        <w:rPr>
          <w:rFonts w:eastAsia="Calibri" w:cs="Tahoma"/>
          <w:bCs/>
          <w:color w:val="auto"/>
        </w:rPr>
      </w:pPr>
    </w:p>
    <w:p w:rsidRPr="00BD0085" w:rsidR="00BD0085" w:rsidP="00BD0085" w:rsidRDefault="00BD0085" w14:paraId="7C8581DA" w14:textId="77777777">
      <w:pPr>
        <w:widowControl w:val="0"/>
        <w:spacing w:after="0" w:line="360" w:lineRule="auto"/>
        <w:ind w:right="-91"/>
        <w:rPr>
          <w:rFonts w:eastAsia="Calibri" w:cs="Tahoma"/>
          <w:bCs/>
          <w:color w:val="auto"/>
        </w:rPr>
      </w:pPr>
      <w:r w:rsidRPr="00BD0085">
        <w:rPr>
          <w:rFonts w:eastAsia="Calibri" w:cs="Tahoma"/>
          <w:bCs/>
          <w:color w:val="auto"/>
        </w:rPr>
        <w:t>Sobre el particular, debe señalarse que, en un sistema jurídico racional, el contenido de ciertos derechos fundamentales no es absoluto y la colisión entre derechos fundamentales debe resolverse mediante una ponderación que determine el derecho que ha de prevalecer en el caso concreto, y no apelando a reglas de prioridad entre normas.</w:t>
      </w:r>
    </w:p>
    <w:p w:rsidRPr="00BD0085" w:rsidR="00BD0085" w:rsidP="00BD0085" w:rsidRDefault="00BD0085" w14:paraId="28D38B79" w14:textId="77777777">
      <w:pPr>
        <w:widowControl w:val="0"/>
        <w:spacing w:after="0" w:line="360" w:lineRule="auto"/>
        <w:ind w:right="-91"/>
        <w:rPr>
          <w:rFonts w:eastAsia="Calibri" w:cs="Tahoma"/>
          <w:bCs/>
          <w:color w:val="auto"/>
        </w:rPr>
      </w:pPr>
    </w:p>
    <w:p w:rsidRPr="00BD0085" w:rsidR="00BD0085" w:rsidP="00BD0085" w:rsidRDefault="00BD0085" w14:paraId="569A5D6C" w14:textId="77777777">
      <w:pPr>
        <w:spacing w:after="0" w:line="360" w:lineRule="auto"/>
        <w:ind w:right="-93"/>
        <w:rPr>
          <w:rFonts w:eastAsia="Calibri" w:cs="Tahoma"/>
          <w:bCs/>
          <w:color w:val="auto"/>
        </w:rPr>
      </w:pPr>
      <w:r w:rsidRPr="00BD0085">
        <w:rPr>
          <w:rFonts w:eastAsia="Calibri" w:cs="Tahoma"/>
          <w:bCs/>
          <w:color w:val="auto"/>
        </w:rPr>
        <w:t>Por cuanto hace a la colisión entre el derecho a la información y el derecho a la intimidad o a la vida privada, el Poder Judicial de la Federación ha sostenido la necesidad de resolver el conflicto apuntado mediante el ejercicio de ponderación; además, que el interés público que tenga cierta información, será concepto legitimador de las intromisiones en la intimidad o la vida privada, en donde este derecho debe ceder a favor del derecho a comunicar y recibir información, atendiendo a las circunstancias de cada caso en concreto, tal y como se desprende de la tesis 1a. XLIII/2010, emitida por la Primera Sala de la Suprema Corte de Justicia de la Nación, publicada en el Semanario Judicial de la Federación y su Gaceta, Tomo XXXI, página 928, de marzo de 2010, Novena Época, materia constitucional.</w:t>
      </w:r>
    </w:p>
    <w:p w:rsidRPr="00BD0085" w:rsidR="00BD0085" w:rsidP="00BD0085" w:rsidRDefault="00BD0085" w14:paraId="7AFEE879" w14:textId="77777777">
      <w:pPr>
        <w:spacing w:after="0" w:line="360" w:lineRule="auto"/>
        <w:ind w:right="-93"/>
        <w:rPr>
          <w:rFonts w:eastAsia="Calibri" w:cs="Tahoma"/>
          <w:bCs/>
          <w:color w:val="auto"/>
        </w:rPr>
      </w:pPr>
    </w:p>
    <w:p w:rsidRPr="00BD0085" w:rsidR="00BD0085" w:rsidP="00BD0085" w:rsidRDefault="00BD0085" w14:paraId="20296DE8" w14:textId="77777777">
      <w:pPr>
        <w:spacing w:after="0" w:line="360" w:lineRule="auto"/>
        <w:ind w:right="-93"/>
        <w:rPr>
          <w:rFonts w:eastAsia="Calibri" w:cs="Tahoma"/>
          <w:bCs/>
          <w:color w:val="auto"/>
        </w:rPr>
      </w:pPr>
      <w:r w:rsidRPr="00BD0085">
        <w:rPr>
          <w:rFonts w:eastAsia="Calibri" w:cs="Tahoma"/>
          <w:bCs/>
          <w:color w:val="auto"/>
        </w:rPr>
        <w:t xml:space="preserve">En ese mismo sentido y atendiendo a la naturaleza del derecho a la protección de datos personales, por analogía, este debe ceder cuando exista un interés público mayor de acuerdo a las circunstancias del caso. Señalado lo anterior, resulta necesario realizar una ponderación de los dos intereses jurídicos tutelados que convergen en la controversia que se dirime; para lo cual, el artículo 184 de la Ley de Transparencia y Acceso a la Información Pública del Estado de México y Municipios prevé que cuando exista una colisión de derechos, este Instituto, al resolver el recurso de revisión, debe aplicar una prueba de interés público con base en elementos de idoneidad, necesidad y proporcionalidad. Para estos efectos, se entenderá por: </w:t>
      </w:r>
    </w:p>
    <w:p w:rsidRPr="00BD0085" w:rsidR="00BD0085" w:rsidP="00BD0085" w:rsidRDefault="00BD0085" w14:paraId="706A322C" w14:textId="77777777">
      <w:pPr>
        <w:spacing w:after="0" w:line="360" w:lineRule="auto"/>
        <w:ind w:right="-93"/>
        <w:rPr>
          <w:rFonts w:eastAsia="Calibri" w:cs="Tahoma"/>
          <w:bCs/>
          <w:color w:val="auto"/>
        </w:rPr>
      </w:pPr>
    </w:p>
    <w:p w:rsidRPr="00BD0085" w:rsidR="00BD0085" w:rsidP="00BD0085" w:rsidRDefault="00BD0085" w14:paraId="3513BA78" w14:textId="77777777">
      <w:pPr>
        <w:numPr>
          <w:ilvl w:val="0"/>
          <w:numId w:val="36"/>
        </w:numPr>
        <w:spacing w:after="0" w:line="360" w:lineRule="auto"/>
        <w:ind w:right="-93"/>
        <w:contextualSpacing/>
        <w:jc w:val="left"/>
        <w:rPr>
          <w:rFonts w:eastAsia="Calibri" w:cs="Tahoma"/>
          <w:bCs/>
          <w:color w:val="auto"/>
        </w:rPr>
      </w:pPr>
      <w:r w:rsidRPr="00BD0085">
        <w:rPr>
          <w:rFonts w:eastAsia="Calibri" w:cs="Tahoma"/>
          <w:b/>
          <w:bCs/>
          <w:color w:val="auto"/>
        </w:rPr>
        <w:t>Idoneidad:</w:t>
      </w:r>
      <w:r w:rsidRPr="00BD0085">
        <w:rPr>
          <w:rFonts w:eastAsia="Calibri" w:cs="Tahoma"/>
          <w:bCs/>
          <w:color w:val="auto"/>
        </w:rPr>
        <w:t xml:space="preserve"> La legitimidad del derecho adoptado como preferente, que sea el adecuado para el logro de un fin constitucionalmente válido o apto para conseguir el fin pretendido;</w:t>
      </w:r>
    </w:p>
    <w:p w:rsidRPr="00BD0085" w:rsidR="00BD0085" w:rsidP="00BD0085" w:rsidRDefault="00BD0085" w14:paraId="50E56A6E" w14:textId="77777777">
      <w:pPr>
        <w:spacing w:after="0" w:line="360" w:lineRule="auto"/>
        <w:ind w:right="-93"/>
        <w:rPr>
          <w:rFonts w:eastAsia="Calibri" w:cs="Tahoma"/>
          <w:bCs/>
          <w:color w:val="auto"/>
        </w:rPr>
      </w:pPr>
    </w:p>
    <w:p w:rsidRPr="00BD0085" w:rsidR="00BD0085" w:rsidP="00BD0085" w:rsidRDefault="00BD0085" w14:paraId="0C30D9D4" w14:textId="77777777">
      <w:pPr>
        <w:numPr>
          <w:ilvl w:val="0"/>
          <w:numId w:val="36"/>
        </w:numPr>
        <w:spacing w:after="0" w:line="360" w:lineRule="auto"/>
        <w:ind w:right="-93"/>
        <w:contextualSpacing/>
        <w:jc w:val="left"/>
        <w:rPr>
          <w:rFonts w:eastAsia="Calibri" w:cs="Tahoma"/>
          <w:bCs/>
          <w:color w:val="auto"/>
        </w:rPr>
      </w:pPr>
      <w:r w:rsidRPr="00BD0085">
        <w:rPr>
          <w:rFonts w:eastAsia="Calibri" w:cs="Tahoma"/>
          <w:b/>
          <w:bCs/>
          <w:color w:val="auto"/>
        </w:rPr>
        <w:t>Necesidad:</w:t>
      </w:r>
      <w:r w:rsidRPr="00BD0085">
        <w:rPr>
          <w:rFonts w:eastAsia="Calibri" w:cs="Tahoma"/>
          <w:bCs/>
          <w:color w:val="auto"/>
        </w:rPr>
        <w:t xml:space="preserve"> La falta de un medio alternativo menos lesivo a la apertura de la información, para satisfacer el interés público, y</w:t>
      </w:r>
    </w:p>
    <w:p w:rsidRPr="00BD0085" w:rsidR="00BD0085" w:rsidP="00BD0085" w:rsidRDefault="00BD0085" w14:paraId="492141A7" w14:textId="77777777">
      <w:pPr>
        <w:spacing w:after="0" w:line="360" w:lineRule="auto"/>
        <w:ind w:right="-93"/>
        <w:rPr>
          <w:rFonts w:eastAsia="Calibri" w:cs="Tahoma"/>
          <w:bCs/>
          <w:color w:val="auto"/>
        </w:rPr>
      </w:pPr>
    </w:p>
    <w:p w:rsidRPr="00BD0085" w:rsidR="00BD0085" w:rsidP="00BD0085" w:rsidRDefault="00BD0085" w14:paraId="1BE080E2" w14:textId="77777777">
      <w:pPr>
        <w:numPr>
          <w:ilvl w:val="0"/>
          <w:numId w:val="36"/>
        </w:numPr>
        <w:spacing w:after="0" w:line="360" w:lineRule="auto"/>
        <w:ind w:right="-93"/>
        <w:contextualSpacing/>
        <w:jc w:val="left"/>
        <w:rPr>
          <w:rFonts w:eastAsia="Calibri" w:cs="Tahoma"/>
          <w:bCs/>
          <w:color w:val="auto"/>
        </w:rPr>
      </w:pPr>
      <w:r w:rsidRPr="00BD0085">
        <w:rPr>
          <w:rFonts w:eastAsia="Calibri" w:cs="Tahoma"/>
          <w:b/>
          <w:bCs/>
          <w:color w:val="auto"/>
        </w:rPr>
        <w:t>Proporcionalidad:</w:t>
      </w:r>
      <w:r w:rsidRPr="00BD0085">
        <w:rPr>
          <w:rFonts w:eastAsia="Calibri" w:cs="Tahoma"/>
          <w:bCs/>
          <w:color w:val="auto"/>
        </w:rPr>
        <w:t xml:space="preserve"> El equilibrio entre perjuicio y beneficio a favor del interés público, a fin de que la decisión tomada represente un beneficio mayor al perjuicio que podría causar a la población.</w:t>
      </w:r>
    </w:p>
    <w:p w:rsidRPr="00BD0085" w:rsidR="00BD0085" w:rsidP="00BD0085" w:rsidRDefault="00BD0085" w14:paraId="0EBD1015" w14:textId="77777777">
      <w:pPr>
        <w:spacing w:after="0" w:line="360" w:lineRule="auto"/>
        <w:ind w:right="-93"/>
        <w:rPr>
          <w:rFonts w:eastAsia="Calibri" w:cs="Tahoma"/>
          <w:bCs/>
          <w:color w:val="auto"/>
        </w:rPr>
      </w:pPr>
    </w:p>
    <w:p w:rsidRPr="00BD0085" w:rsidR="00BD0085" w:rsidP="00BD0085" w:rsidRDefault="00BD0085" w14:paraId="061EAF07" w14:textId="77777777">
      <w:pPr>
        <w:spacing w:after="0" w:line="360" w:lineRule="auto"/>
        <w:ind w:right="-93"/>
        <w:rPr>
          <w:rFonts w:eastAsia="Calibri" w:cs="Tahoma"/>
          <w:bCs/>
          <w:color w:val="auto"/>
        </w:rPr>
      </w:pPr>
      <w:r w:rsidRPr="00BD0085">
        <w:rPr>
          <w:rFonts w:eastAsia="Calibri" w:cs="Tahoma"/>
          <w:bCs/>
          <w:color w:val="auto"/>
        </w:rPr>
        <w:t>En ese orden de ideas, resulta procedente analizar cada uno de los elementos referidos, bajo las consideraciones que se verterán a continuación.</w:t>
      </w:r>
    </w:p>
    <w:p w:rsidRPr="00BD0085" w:rsidR="00BD0085" w:rsidP="00BD0085" w:rsidRDefault="00BD0085" w14:paraId="622D5843" w14:textId="77777777">
      <w:pPr>
        <w:spacing w:after="0" w:line="360" w:lineRule="auto"/>
        <w:ind w:right="-93"/>
        <w:rPr>
          <w:rFonts w:eastAsia="Calibri" w:cs="Tahoma"/>
          <w:bCs/>
          <w:color w:val="auto"/>
        </w:rPr>
      </w:pPr>
    </w:p>
    <w:p w:rsidRPr="00BD0085" w:rsidR="00BD0085" w:rsidP="00BD0085" w:rsidRDefault="00BD0085" w14:paraId="009FEF71" w14:textId="77777777">
      <w:pPr>
        <w:numPr>
          <w:ilvl w:val="0"/>
          <w:numId w:val="37"/>
        </w:numPr>
        <w:spacing w:after="0" w:line="360" w:lineRule="auto"/>
        <w:ind w:right="-93"/>
        <w:contextualSpacing/>
        <w:jc w:val="left"/>
        <w:rPr>
          <w:rFonts w:eastAsia="Calibri" w:cs="Tahoma"/>
          <w:b/>
          <w:bCs/>
          <w:color w:val="auto"/>
        </w:rPr>
      </w:pPr>
      <w:r w:rsidRPr="00BD0085">
        <w:rPr>
          <w:rFonts w:eastAsia="Calibri" w:cs="Tahoma"/>
          <w:b/>
          <w:bCs/>
          <w:color w:val="auto"/>
        </w:rPr>
        <w:t>Idoneidad:</w:t>
      </w:r>
    </w:p>
    <w:p w:rsidRPr="00BD0085" w:rsidR="00BD0085" w:rsidP="00BD0085" w:rsidRDefault="00BD0085" w14:paraId="12B16126" w14:textId="77777777">
      <w:pPr>
        <w:spacing w:after="0" w:line="360" w:lineRule="auto"/>
        <w:ind w:right="-93"/>
        <w:rPr>
          <w:rFonts w:eastAsia="Calibri" w:cs="Tahoma"/>
          <w:bCs/>
          <w:color w:val="auto"/>
        </w:rPr>
      </w:pPr>
    </w:p>
    <w:p w:rsidRPr="00BD0085" w:rsidR="00BD0085" w:rsidP="00BD0085" w:rsidRDefault="00BD0085" w14:paraId="39E8B0E5" w14:textId="77777777">
      <w:pPr>
        <w:spacing w:after="0" w:line="360" w:lineRule="auto"/>
        <w:ind w:right="-93"/>
        <w:rPr>
          <w:rFonts w:eastAsia="Calibri" w:cs="Tahoma"/>
          <w:bCs/>
          <w:color w:val="auto"/>
        </w:rPr>
      </w:pPr>
      <w:r w:rsidRPr="00BD0085">
        <w:rPr>
          <w:rFonts w:eastAsia="Calibri" w:cs="Tahoma"/>
          <w:bCs/>
          <w:color w:val="auto"/>
        </w:rPr>
        <w:t>Se considera que debe prevalecer el derecho de acceso a la información frente a la clasificación del Registro Federal de Contribuyentes de personas físicas como confidencial, ya que hacerlo público en el contrato y las facturas que entregan quienes participan en contrataciones públicas, es de trascendencia social, en virtud de que su presentación es uno de los requisitos que marca el Reglamento de la Ley de Contratación Pública del Estado de México y Municipios.</w:t>
      </w:r>
    </w:p>
    <w:p w:rsidRPr="00BD0085" w:rsidR="00BD0085" w:rsidP="00BD0085" w:rsidRDefault="00BD0085" w14:paraId="2ED7081D" w14:textId="77777777">
      <w:pPr>
        <w:spacing w:after="0" w:line="360" w:lineRule="auto"/>
        <w:ind w:right="-93"/>
        <w:rPr>
          <w:rFonts w:eastAsia="Calibri" w:cs="Tahoma"/>
          <w:bCs/>
          <w:color w:val="auto"/>
        </w:rPr>
      </w:pPr>
    </w:p>
    <w:p w:rsidRPr="00BD0085" w:rsidR="00BD0085" w:rsidP="00BD0085" w:rsidRDefault="00BD0085" w14:paraId="0A5F0446" w14:textId="77777777">
      <w:pPr>
        <w:spacing w:after="0" w:line="360" w:lineRule="auto"/>
        <w:ind w:right="-93"/>
        <w:rPr>
          <w:rFonts w:eastAsia="Calibri" w:cs="Tahoma"/>
          <w:bCs/>
          <w:color w:val="auto"/>
        </w:rPr>
      </w:pPr>
      <w:r w:rsidRPr="00BD0085">
        <w:rPr>
          <w:rFonts w:eastAsia="Calibri" w:cs="Tahoma"/>
          <w:bCs/>
          <w:color w:val="auto"/>
        </w:rPr>
        <w:t>En la especie, se hace posible que los ciudadanos puedan verificar que las adquisiciones y la contratación de servicios, por parte de los sujetos obligados, siguen los procedimientos y requisitos establecidos en la normatividad aplicable; información vinculada con la erogación de recursos públicos.</w:t>
      </w:r>
    </w:p>
    <w:p w:rsidRPr="00BD0085" w:rsidR="00BD0085" w:rsidP="00BD0085" w:rsidRDefault="00BD0085" w14:paraId="7A33ACB2" w14:textId="77777777">
      <w:pPr>
        <w:spacing w:after="0" w:line="360" w:lineRule="auto"/>
        <w:ind w:right="-93"/>
        <w:rPr>
          <w:rFonts w:eastAsia="Calibri" w:cs="Tahoma"/>
          <w:bCs/>
          <w:color w:val="auto"/>
        </w:rPr>
      </w:pPr>
      <w:r w:rsidRPr="00BD0085">
        <w:rPr>
          <w:rFonts w:eastAsia="Calibri" w:cs="Tahoma"/>
          <w:bCs/>
          <w:color w:val="auto"/>
        </w:rPr>
        <w:lastRenderedPageBreak/>
        <w:t>Bajo esa lógica, con la entrega del Registro Federal de Contribuyentes de personas físicas, en el contrato y la factura de contrataciones públicas, la sociedad contaría con elementos que posibilitarían evaluar la correcta asignación de las contrataciones que implican el uso de recursos públicos, toda vez, que se estaría frente a indicios de que las personas con quienes las instituciones públicas tienen relaciones comerciales, de negocios o profesionales, están inscritas ante el Servicio de Administración Tributaria y presumiblemente cumplen con sus obligaciones fiscales.</w:t>
      </w:r>
    </w:p>
    <w:p w:rsidRPr="00BD0085" w:rsidR="00BD0085" w:rsidP="00BD0085" w:rsidRDefault="00BD0085" w14:paraId="2B751C81" w14:textId="77777777">
      <w:pPr>
        <w:spacing w:after="0" w:line="360" w:lineRule="auto"/>
        <w:ind w:right="-93"/>
        <w:rPr>
          <w:rFonts w:eastAsia="Calibri" w:cs="Tahoma"/>
          <w:bCs/>
          <w:color w:val="auto"/>
        </w:rPr>
      </w:pPr>
    </w:p>
    <w:p w:rsidRPr="00BD0085" w:rsidR="00BD0085" w:rsidP="00BD0085" w:rsidRDefault="00BD0085" w14:paraId="46D353CF" w14:textId="77777777">
      <w:pPr>
        <w:spacing w:after="0" w:line="360" w:lineRule="auto"/>
        <w:ind w:right="-93"/>
        <w:rPr>
          <w:rFonts w:eastAsia="Calibri" w:cs="Tahoma"/>
          <w:bCs/>
          <w:color w:val="auto"/>
        </w:rPr>
      </w:pPr>
      <w:r w:rsidRPr="00BD0085">
        <w:rPr>
          <w:rFonts w:eastAsia="Calibri" w:cs="Tahoma"/>
          <w:bCs/>
          <w:color w:val="auto"/>
        </w:rPr>
        <w:t>Consecuentemente, se advierte que, en el presente caso, el derecho de acceso a la información se adecua a los objetivos de las leyes aplicables; esto es, la transparencia y rendición de cuentas, sobre la forma en que los sujetos obligados ejercen recursos públicos al realizar contrataciones públicas.</w:t>
      </w:r>
    </w:p>
    <w:p w:rsidRPr="00BD0085" w:rsidR="00BD0085" w:rsidP="00BD0085" w:rsidRDefault="00BD0085" w14:paraId="344308F6" w14:textId="77777777">
      <w:pPr>
        <w:spacing w:after="0" w:line="360" w:lineRule="auto"/>
        <w:ind w:right="-93"/>
        <w:rPr>
          <w:rFonts w:eastAsia="Calibri" w:cs="Tahoma"/>
          <w:bCs/>
          <w:color w:val="auto"/>
        </w:rPr>
      </w:pPr>
    </w:p>
    <w:p w:rsidRPr="00BD0085" w:rsidR="00BD0085" w:rsidP="00BD0085" w:rsidRDefault="00BD0085" w14:paraId="0ABB9A44" w14:textId="77777777">
      <w:pPr>
        <w:numPr>
          <w:ilvl w:val="0"/>
          <w:numId w:val="37"/>
        </w:numPr>
        <w:spacing w:after="0" w:line="360" w:lineRule="auto"/>
        <w:ind w:right="-93"/>
        <w:contextualSpacing/>
        <w:jc w:val="left"/>
        <w:rPr>
          <w:rFonts w:eastAsia="Calibri" w:cs="Tahoma"/>
          <w:b/>
          <w:bCs/>
          <w:color w:val="auto"/>
        </w:rPr>
      </w:pPr>
      <w:r w:rsidRPr="00BD0085">
        <w:rPr>
          <w:rFonts w:eastAsia="Calibri" w:cs="Tahoma"/>
          <w:b/>
          <w:bCs/>
          <w:color w:val="auto"/>
        </w:rPr>
        <w:t>Necesidad:</w:t>
      </w:r>
    </w:p>
    <w:p w:rsidRPr="00BD0085" w:rsidR="00BD0085" w:rsidP="00BD0085" w:rsidRDefault="00BD0085" w14:paraId="5A19CE76" w14:textId="77777777">
      <w:pPr>
        <w:spacing w:after="0" w:line="360" w:lineRule="auto"/>
        <w:ind w:right="-93"/>
        <w:rPr>
          <w:rFonts w:eastAsia="Calibri" w:cs="Tahoma"/>
          <w:bCs/>
          <w:color w:val="auto"/>
        </w:rPr>
      </w:pPr>
    </w:p>
    <w:p w:rsidRPr="00BD0085" w:rsidR="00BD0085" w:rsidP="00BD0085" w:rsidRDefault="00BD0085" w14:paraId="2B1261B4" w14:textId="77777777">
      <w:pPr>
        <w:spacing w:after="0" w:line="360" w:lineRule="auto"/>
        <w:ind w:right="-93"/>
        <w:rPr>
          <w:rFonts w:eastAsia="Calibri" w:cs="Tahoma"/>
          <w:bCs/>
          <w:color w:val="auto"/>
        </w:rPr>
      </w:pPr>
      <w:r w:rsidRPr="00BD0085">
        <w:rPr>
          <w:rFonts w:eastAsia="Calibri" w:cs="Tahoma"/>
          <w:bCs/>
          <w:color w:val="auto"/>
        </w:rPr>
        <w:t>El Registro Federal de Contribuyentes es un dato que se asienta en las facturas y si bien, su uso tiene que ver con el cumplimiento de disposiciones y obligaciones en materia fiscal, las facturas constituyen información pública que permite verificar el ejercicio de recursos públicos, de tal suerte, considerarlo información confidencial, impide  que la sociedad tenga los elementos informativos necesarios para el debido escrutinio de ejercicio de recursos públicos utilizados por los sujetos obligados, pues como se ha señalado, el Registro Federal de Contribuyentes, es un requisito necesario para poder participar en las adquisiciones públicas del Estado de México y sus Municipios.</w:t>
      </w:r>
    </w:p>
    <w:p w:rsidRPr="00BD0085" w:rsidR="00BD0085" w:rsidP="00BD0085" w:rsidRDefault="00BD0085" w14:paraId="7B3B1240" w14:textId="77777777">
      <w:pPr>
        <w:spacing w:after="0" w:line="360" w:lineRule="auto"/>
        <w:ind w:right="-93"/>
        <w:rPr>
          <w:rFonts w:eastAsia="Calibri" w:cs="Tahoma"/>
          <w:bCs/>
          <w:color w:val="auto"/>
        </w:rPr>
      </w:pPr>
    </w:p>
    <w:p w:rsidRPr="00BD0085" w:rsidR="00BD0085" w:rsidP="00BD0085" w:rsidRDefault="00BD0085" w14:paraId="2438159E" w14:textId="77777777">
      <w:pPr>
        <w:widowControl w:val="0"/>
        <w:spacing w:after="0" w:line="360" w:lineRule="auto"/>
        <w:ind w:right="-91"/>
        <w:rPr>
          <w:rFonts w:eastAsia="Calibri" w:cs="Tahoma"/>
          <w:bCs/>
          <w:color w:val="auto"/>
        </w:rPr>
      </w:pPr>
      <w:r w:rsidRPr="00BD0085">
        <w:rPr>
          <w:rFonts w:eastAsia="Calibri" w:cs="Tahoma"/>
          <w:bCs/>
          <w:color w:val="auto"/>
        </w:rPr>
        <w:t xml:space="preserve">De ahí que resulte imperativa la difusión de la información, advirtiéndose una desventaja de menor proporción en cuanto a la afectación de la privacidad y la protección de datos personales, pues, como se precisó, cualquier persona que pretenda tener alguna relación de cualquier tipo, </w:t>
      </w:r>
      <w:r w:rsidRPr="00BD0085">
        <w:rPr>
          <w:rFonts w:eastAsia="Calibri" w:cs="Tahoma"/>
          <w:bCs/>
          <w:color w:val="auto"/>
        </w:rPr>
        <w:lastRenderedPageBreak/>
        <w:t>incluyendo la comercial o servicios, con algún ente gubernamental, debe ceder información relacionada con su vida al formar parte del padrón de proveedores de la Entidad Federativa.</w:t>
      </w:r>
    </w:p>
    <w:p w:rsidRPr="00BD0085" w:rsidR="00BD0085" w:rsidP="00BD0085" w:rsidRDefault="00BD0085" w14:paraId="16A20553" w14:textId="77777777">
      <w:pPr>
        <w:spacing w:after="0" w:line="360" w:lineRule="auto"/>
        <w:ind w:right="-93"/>
        <w:rPr>
          <w:rFonts w:eastAsia="Calibri" w:cs="Tahoma"/>
          <w:bCs/>
          <w:color w:val="auto"/>
        </w:rPr>
      </w:pPr>
    </w:p>
    <w:p w:rsidRPr="00BD0085" w:rsidR="00BD0085" w:rsidP="00BD0085" w:rsidRDefault="00BD0085" w14:paraId="60B2FA19" w14:textId="77777777">
      <w:pPr>
        <w:numPr>
          <w:ilvl w:val="0"/>
          <w:numId w:val="37"/>
        </w:numPr>
        <w:spacing w:after="0" w:line="360" w:lineRule="auto"/>
        <w:ind w:right="-93"/>
        <w:contextualSpacing/>
        <w:jc w:val="left"/>
        <w:rPr>
          <w:rFonts w:eastAsia="Calibri" w:cs="Tahoma"/>
          <w:b/>
          <w:bCs/>
          <w:color w:val="auto"/>
        </w:rPr>
      </w:pPr>
      <w:r w:rsidRPr="00BD0085">
        <w:rPr>
          <w:rFonts w:eastAsia="Calibri" w:cs="Tahoma"/>
          <w:b/>
          <w:bCs/>
          <w:color w:val="auto"/>
        </w:rPr>
        <w:t>Proporcionalidad:</w:t>
      </w:r>
    </w:p>
    <w:p w:rsidRPr="00BD0085" w:rsidR="00BD0085" w:rsidP="00BD0085" w:rsidRDefault="00BD0085" w14:paraId="4D316CB8" w14:textId="77777777">
      <w:pPr>
        <w:spacing w:after="0" w:line="360" w:lineRule="auto"/>
        <w:ind w:right="-93"/>
        <w:rPr>
          <w:rFonts w:eastAsia="Calibri" w:cs="Tahoma"/>
          <w:bCs/>
          <w:color w:val="auto"/>
        </w:rPr>
      </w:pPr>
    </w:p>
    <w:p w:rsidRPr="00BD0085" w:rsidR="00BD0085" w:rsidP="00BD0085" w:rsidRDefault="00BD0085" w14:paraId="7C24AE4D" w14:textId="77777777">
      <w:pPr>
        <w:spacing w:after="0" w:line="360" w:lineRule="auto"/>
        <w:ind w:right="-93"/>
        <w:rPr>
          <w:rFonts w:eastAsia="Calibri" w:cs="Tahoma"/>
          <w:bCs/>
          <w:color w:val="auto"/>
        </w:rPr>
      </w:pPr>
      <w:r w:rsidRPr="00BD0085">
        <w:rPr>
          <w:rFonts w:eastAsia="Calibri" w:cs="Tahoma"/>
          <w:bCs/>
          <w:color w:val="auto"/>
        </w:rPr>
        <w:t>El bien jurídico tutelado, protección de datos personales de personas físicas, proveedores de instituciones gubernamentales, no encuentra una afectación directa, en función de que es mayor el beneficio para el interés público, al ayudar transparentar la correcta utilización de los recursos públicos por parte de los sujetos obligados.</w:t>
      </w:r>
    </w:p>
    <w:p w:rsidRPr="00BD0085" w:rsidR="00BD0085" w:rsidP="00BD0085" w:rsidRDefault="00BD0085" w14:paraId="263FA98C" w14:textId="77777777">
      <w:pPr>
        <w:spacing w:after="0" w:line="360" w:lineRule="auto"/>
        <w:ind w:right="-93"/>
        <w:rPr>
          <w:rFonts w:eastAsia="Calibri" w:cs="Tahoma"/>
          <w:bCs/>
          <w:color w:val="auto"/>
        </w:rPr>
      </w:pPr>
    </w:p>
    <w:p w:rsidRPr="00BD0085" w:rsidR="00BD0085" w:rsidP="00BD0085" w:rsidRDefault="00BD0085" w14:paraId="73583726" w14:textId="77777777">
      <w:pPr>
        <w:spacing w:after="0" w:line="360" w:lineRule="auto"/>
        <w:ind w:right="-93"/>
        <w:rPr>
          <w:rFonts w:eastAsia="Calibri" w:cs="Tahoma"/>
          <w:bCs/>
          <w:color w:val="auto"/>
        </w:rPr>
      </w:pPr>
      <w:r w:rsidRPr="00BD0085">
        <w:rPr>
          <w:rFonts w:eastAsia="Calibri" w:cs="Tahoma"/>
          <w:bCs/>
          <w:color w:val="auto"/>
        </w:rPr>
        <w:t>Consecuentemente, el dato en comento constituye información que reviste un interés público; por tanto, no existe menoscabo en el derecho a la intimidad del titular del dato personal, cuando se entrega esta información al estar directamente vinculada la factura, con el ejercicio de recursos públicos; por lo que, no es posible clasificarla en términos del artículo 143, fracción I de la Ley de Transparencia y Acceso a la Información Pública del Estado de México y Municipios.</w:t>
      </w:r>
    </w:p>
    <w:p w:rsidRPr="00BD0085" w:rsidR="00BD0085" w:rsidP="00BD0085" w:rsidRDefault="00BD0085" w14:paraId="1A489E19" w14:textId="77777777">
      <w:pPr>
        <w:spacing w:after="0" w:line="360" w:lineRule="auto"/>
        <w:ind w:right="-93"/>
        <w:rPr>
          <w:rFonts w:eastAsia="Calibri" w:cs="Tahoma"/>
          <w:bCs/>
          <w:color w:val="auto"/>
        </w:rPr>
      </w:pPr>
    </w:p>
    <w:p w:rsidRPr="00BD0085" w:rsidR="00BD0085" w:rsidP="00BD0085" w:rsidRDefault="00BD0085" w14:paraId="6EE5F122" w14:textId="77777777">
      <w:pPr>
        <w:spacing w:after="0" w:line="360" w:lineRule="auto"/>
        <w:rPr>
          <w:rFonts w:eastAsia="Times New Roman" w:cs="Times New Roman"/>
          <w:b/>
          <w:color w:val="auto"/>
          <w:u w:val="single"/>
          <w:lang w:eastAsia="es-ES"/>
        </w:rPr>
      </w:pPr>
      <w:r w:rsidRPr="00BD0085">
        <w:rPr>
          <w:rFonts w:eastAsia="Calibri" w:cs="Tahoma"/>
          <w:bCs/>
          <w:color w:val="auto"/>
        </w:rPr>
        <w:t>En conclusión, toda vez, que el Registro Federal de Contribuyentes de proveedores, es un requisito indispensable, para poder participar en adquisiciones públicas y contracción de servicios, no actualiza la causal de clasificación prevista en el artículo 143, fracción I de la Ley de Transparencia y Acceso a la Información Pública del Estado de México y Municipios.</w:t>
      </w:r>
    </w:p>
    <w:p w:rsidR="00BD0085" w:rsidP="00B034A6" w:rsidRDefault="00BD0085" w14:paraId="7DDFE6FF" w14:textId="77777777">
      <w:pPr>
        <w:spacing w:after="0" w:line="360" w:lineRule="auto"/>
        <w:ind w:right="-28"/>
        <w:rPr>
          <w:rFonts w:eastAsia="Times New Roman" w:cs="Tahoma"/>
          <w:iCs/>
          <w:color w:val="auto"/>
          <w:lang w:val="es-ES" w:eastAsia="es-ES"/>
        </w:rPr>
      </w:pPr>
    </w:p>
    <w:p w:rsidRPr="003F139F" w:rsidR="003F139F" w:rsidP="00B034A6" w:rsidRDefault="003F139F" w14:paraId="060DF4A1" w14:textId="77777777">
      <w:pPr>
        <w:numPr>
          <w:ilvl w:val="0"/>
          <w:numId w:val="30"/>
        </w:numPr>
        <w:spacing w:after="0" w:line="360" w:lineRule="auto"/>
        <w:contextualSpacing/>
        <w:jc w:val="left"/>
        <w:rPr>
          <w:rFonts w:eastAsia="Times New Roman" w:cs="Tahoma"/>
          <w:b/>
          <w:lang w:eastAsia="es-ES"/>
        </w:rPr>
      </w:pPr>
      <w:r w:rsidRPr="003F139F">
        <w:rPr>
          <w:rFonts w:eastAsia="Times New Roman" w:cs="Tahoma"/>
          <w:b/>
          <w:lang w:eastAsia="es-ES"/>
        </w:rPr>
        <w:t>Registro Federal de Contribuyentes persona moral.</w:t>
      </w:r>
    </w:p>
    <w:p w:rsidRPr="003F139F" w:rsidR="003F139F" w:rsidP="00B034A6" w:rsidRDefault="003F139F" w14:paraId="606E7723" w14:textId="77777777">
      <w:pPr>
        <w:spacing w:after="0" w:line="360" w:lineRule="auto"/>
        <w:rPr>
          <w:rFonts w:ascii="Times New Roman" w:hAnsi="Times New Roman" w:eastAsia="Times New Roman" w:cs="Times New Roman"/>
          <w:sz w:val="20"/>
          <w:szCs w:val="20"/>
          <w:lang w:eastAsia="es-ES_tradnl"/>
        </w:rPr>
      </w:pPr>
      <w:r w:rsidRPr="003F139F">
        <w:rPr>
          <w:rFonts w:eastAsia="Times New Roman" w:cs="Times New Roman"/>
          <w:b/>
          <w:bCs/>
          <w:sz w:val="20"/>
          <w:szCs w:val="20"/>
          <w:lang w:eastAsia="es-ES_tradnl"/>
        </w:rPr>
        <w:t> </w:t>
      </w:r>
    </w:p>
    <w:p w:rsidRPr="003F139F" w:rsidR="003F139F" w:rsidP="00B034A6" w:rsidRDefault="003F139F" w14:paraId="08DD71D4" w14:textId="77777777">
      <w:pPr>
        <w:spacing w:after="0" w:line="360" w:lineRule="auto"/>
        <w:rPr>
          <w:rFonts w:ascii="Times New Roman" w:hAnsi="Times New Roman" w:eastAsia="Times New Roman" w:cs="Times New Roman"/>
          <w:sz w:val="20"/>
          <w:szCs w:val="20"/>
          <w:lang w:eastAsia="es-ES_tradnl"/>
        </w:rPr>
      </w:pPr>
      <w:r w:rsidRPr="003F139F">
        <w:rPr>
          <w:rFonts w:eastAsia="Times New Roman" w:cs="Times New Roman"/>
          <w:lang w:val="es-ES_tradnl" w:eastAsia="es-ES_tradnl"/>
        </w:rPr>
        <w:t xml:space="preserve">Al respecto, el Registro Federal de Contribuyentes, inicia con un preinscripción por Internet y se concluye en cualquier Administración Desconcentrada de Servicios al Contribuyente, en donde aquellas personas que realicen el trámite tendrán que entregar ciertos documentos, que </w:t>
      </w:r>
      <w:r w:rsidRPr="003F139F">
        <w:rPr>
          <w:rFonts w:eastAsia="Times New Roman" w:cs="Times New Roman"/>
          <w:lang w:val="es-ES_tradnl" w:eastAsia="es-ES_tradnl"/>
        </w:rPr>
        <w:lastRenderedPageBreak/>
        <w:t>para las personas jurídico colectivas, serán, entre otros, la copia certificada del documento constitutivo debidamente protocolizado, comprobante de domicilio, identificación personal, número de folio asignado que se le proporcionó al realizar el envío de su preinscripción y copia certificada del poder notarial con el que se acredite la personalidad del representante legal, o carta poder firmada ante dos testigos y ratificadas las firmas ante las autoridades fiscales o ante notario o fedatario público. Derivado del trámite se obtiene, entre otros, la </w:t>
      </w:r>
      <w:r w:rsidRPr="003F139F">
        <w:rPr>
          <w:rFonts w:eastAsia="Times New Roman" w:cs="Times New Roman"/>
          <w:b/>
          <w:bCs/>
          <w:lang w:val="es-ES_tradnl" w:eastAsia="es-ES_tradnl"/>
        </w:rPr>
        <w:t>cédula de identificación fiscal o constancia de registro.</w:t>
      </w:r>
    </w:p>
    <w:p w:rsidRPr="003F139F" w:rsidR="003F139F" w:rsidP="00B034A6" w:rsidRDefault="003F139F" w14:paraId="32648C03" w14:textId="77777777">
      <w:pPr>
        <w:spacing w:after="0" w:line="360" w:lineRule="auto"/>
        <w:rPr>
          <w:rFonts w:ascii="Times New Roman" w:hAnsi="Times New Roman" w:eastAsia="Times New Roman" w:cs="Times New Roman"/>
          <w:sz w:val="20"/>
          <w:szCs w:val="20"/>
          <w:lang w:eastAsia="es-ES_tradnl"/>
        </w:rPr>
      </w:pPr>
      <w:r w:rsidRPr="003F139F">
        <w:rPr>
          <w:rFonts w:eastAsia="Times New Roman" w:cs="Times New Roman"/>
          <w:lang w:val="es-ES_tradnl" w:eastAsia="es-ES_tradnl"/>
        </w:rPr>
        <w:t> </w:t>
      </w:r>
    </w:p>
    <w:p w:rsidRPr="003F139F" w:rsidR="003F139F" w:rsidP="00B034A6" w:rsidRDefault="003F139F" w14:paraId="565C1931" w14:textId="77777777">
      <w:pPr>
        <w:spacing w:after="0" w:line="360" w:lineRule="auto"/>
        <w:rPr>
          <w:rFonts w:ascii="Times New Roman" w:hAnsi="Times New Roman" w:eastAsia="Times New Roman" w:cs="Times New Roman"/>
          <w:sz w:val="20"/>
          <w:szCs w:val="20"/>
          <w:lang w:eastAsia="es-ES_tradnl"/>
        </w:rPr>
      </w:pPr>
      <w:r w:rsidRPr="003F139F">
        <w:rPr>
          <w:rFonts w:eastAsia="Times New Roman" w:cs="Times New Roman"/>
          <w:lang w:val="es-ES_tradnl" w:eastAsia="es-ES_tradnl"/>
        </w:rPr>
        <w:t>Por ende, la información correspondiente al Registro Federal de Contribuyentes de una persona moral </w:t>
      </w:r>
      <w:r w:rsidRPr="003F139F">
        <w:rPr>
          <w:rFonts w:eastAsia="Times New Roman" w:cs="Times New Roman"/>
          <w:b/>
          <w:bCs/>
          <w:lang w:val="es-ES_tradnl" w:eastAsia="es-ES_tradnl"/>
        </w:rPr>
        <w:t>da cuenta del cumplimiento o no en sus obligaciones fiscales</w:t>
      </w:r>
      <w:r w:rsidRPr="003F139F">
        <w:rPr>
          <w:rFonts w:eastAsia="Times New Roman" w:cs="Times New Roman"/>
          <w:lang w:val="es-ES_tradnl" w:eastAsia="es-ES_tradnl"/>
        </w:rPr>
        <w:t>; por tanto, se actualiza su clasificación como confidencial.</w:t>
      </w:r>
    </w:p>
    <w:p w:rsidRPr="003F139F" w:rsidR="003F139F" w:rsidP="00B034A6" w:rsidRDefault="003F139F" w14:paraId="263F5F4B" w14:textId="77777777">
      <w:pPr>
        <w:spacing w:after="0" w:line="360" w:lineRule="auto"/>
        <w:rPr>
          <w:rFonts w:ascii="Times New Roman" w:hAnsi="Times New Roman" w:eastAsia="Times New Roman" w:cs="Times New Roman"/>
          <w:sz w:val="20"/>
          <w:szCs w:val="20"/>
          <w:lang w:eastAsia="es-ES_tradnl"/>
        </w:rPr>
      </w:pPr>
      <w:r w:rsidRPr="003F139F">
        <w:rPr>
          <w:rFonts w:eastAsia="Times New Roman" w:cs="Times New Roman"/>
          <w:lang w:val="es-ES_tradnl" w:eastAsia="es-ES_tradnl"/>
        </w:rPr>
        <w:t> </w:t>
      </w:r>
    </w:p>
    <w:p w:rsidRPr="003F139F" w:rsidR="003F139F" w:rsidP="00B034A6" w:rsidRDefault="003F139F" w14:paraId="683788B3" w14:textId="77777777">
      <w:pPr>
        <w:spacing w:after="0" w:line="360" w:lineRule="auto"/>
        <w:rPr>
          <w:rFonts w:ascii="Times New Roman" w:hAnsi="Times New Roman" w:eastAsia="Times New Roman" w:cs="Times New Roman"/>
          <w:sz w:val="20"/>
          <w:szCs w:val="20"/>
          <w:lang w:eastAsia="es-ES_tradnl"/>
        </w:rPr>
      </w:pPr>
      <w:r w:rsidRPr="003F139F">
        <w:rPr>
          <w:rFonts w:eastAsia="Times New Roman" w:cs="Times New Roman"/>
          <w:lang w:val="es-ES_tradnl" w:eastAsia="es-ES_tradnl"/>
        </w:rPr>
        <w:t>Además, resulta aplicable por analogía el Criterio 01/14 emitido por el Pleno del entonces </w:t>
      </w:r>
      <w:r w:rsidRPr="003F139F">
        <w:rPr>
          <w:rFonts w:eastAsia="Times New Roman" w:cs="Times New Roman"/>
          <w:lang w:eastAsia="es-ES_tradnl"/>
        </w:rPr>
        <w:t>Instituto Federal de Acceso a la Información y Protección de Datos, que se trajo a colación en párrafos anteriores, que precisa que el Registro Federal de Contribuyentes de personas morales, es público, al no referir a hechos o actos de carácter económico, contable, jurídico o administrativo que sean útiles o representen una ventaja a sus competidores.</w:t>
      </w:r>
    </w:p>
    <w:p w:rsidRPr="003F139F" w:rsidR="003F139F" w:rsidP="00B034A6" w:rsidRDefault="003F139F" w14:paraId="35842DAB" w14:textId="77777777">
      <w:pPr>
        <w:spacing w:after="0" w:line="360" w:lineRule="auto"/>
        <w:rPr>
          <w:rFonts w:ascii="Times New Roman" w:hAnsi="Times New Roman" w:eastAsia="Times New Roman" w:cs="Times New Roman"/>
          <w:sz w:val="20"/>
          <w:szCs w:val="20"/>
          <w:lang w:eastAsia="es-ES_tradnl"/>
        </w:rPr>
      </w:pPr>
      <w:r w:rsidRPr="003F139F">
        <w:rPr>
          <w:rFonts w:eastAsia="Times New Roman" w:cs="Times New Roman"/>
          <w:lang w:eastAsia="es-ES_tradnl"/>
        </w:rPr>
        <w:t> </w:t>
      </w:r>
    </w:p>
    <w:p w:rsidRPr="003F139F" w:rsidR="003F139F" w:rsidP="00B034A6" w:rsidRDefault="003F139F" w14:paraId="2AD8CF84" w14:textId="77777777">
      <w:pPr>
        <w:spacing w:after="0" w:line="360" w:lineRule="auto"/>
        <w:rPr>
          <w:rFonts w:ascii="Times New Roman" w:hAnsi="Times New Roman" w:eastAsia="Times New Roman" w:cs="Times New Roman"/>
          <w:sz w:val="20"/>
          <w:szCs w:val="20"/>
          <w:lang w:eastAsia="es-ES_tradnl"/>
        </w:rPr>
      </w:pPr>
      <w:r w:rsidRPr="003F139F">
        <w:rPr>
          <w:rFonts w:eastAsia="Times New Roman" w:cs="Times New Roman"/>
          <w:lang w:eastAsia="es-ES_tradnl"/>
        </w:rPr>
        <w:t>De la misma manera, cabe traer a colación el Criterio 08/19 emitido por el Instituto Nacional de Transparencia, Acceso a la Información y Protección de Datos Personales, que establece lo siguiente:</w:t>
      </w:r>
    </w:p>
    <w:p w:rsidRPr="003F139F" w:rsidR="003F139F" w:rsidP="00B034A6" w:rsidRDefault="003F139F" w14:paraId="5A9DBEFD" w14:textId="77777777">
      <w:pPr>
        <w:spacing w:after="0" w:line="360" w:lineRule="auto"/>
        <w:rPr>
          <w:rFonts w:ascii="Times New Roman" w:hAnsi="Times New Roman" w:eastAsia="Times New Roman" w:cs="Times New Roman"/>
          <w:sz w:val="20"/>
          <w:szCs w:val="20"/>
          <w:lang w:eastAsia="es-ES_tradnl"/>
        </w:rPr>
      </w:pPr>
      <w:r w:rsidRPr="003F139F">
        <w:rPr>
          <w:rFonts w:eastAsia="Times New Roman" w:cs="Times New Roman"/>
          <w:lang w:eastAsia="es-ES_tradnl"/>
        </w:rPr>
        <w:t> </w:t>
      </w:r>
    </w:p>
    <w:p w:rsidRPr="003F139F" w:rsidR="003F139F" w:rsidP="00B034A6" w:rsidRDefault="003F139F" w14:paraId="70B4C70D" w14:textId="77777777">
      <w:pPr>
        <w:spacing w:after="0" w:line="360" w:lineRule="auto"/>
        <w:ind w:left="567" w:right="567"/>
        <w:rPr>
          <w:rFonts w:ascii="Times New Roman" w:hAnsi="Times New Roman" w:eastAsia="Times New Roman" w:cs="Times New Roman"/>
          <w:sz w:val="20"/>
          <w:szCs w:val="20"/>
          <w:lang w:eastAsia="es-ES_tradnl"/>
        </w:rPr>
      </w:pPr>
      <w:r w:rsidRPr="003F139F">
        <w:rPr>
          <w:rFonts w:eastAsia="Times New Roman" w:cs="Times New Roman"/>
          <w:b/>
          <w:bCs/>
          <w:i/>
          <w:iCs/>
          <w:sz w:val="20"/>
          <w:szCs w:val="20"/>
          <w:lang w:eastAsia="es-ES_tradnl"/>
        </w:rPr>
        <w:t>“Razón social y RFC de personas morales. </w:t>
      </w:r>
      <w:r w:rsidRPr="003F139F">
        <w:rPr>
          <w:rFonts w:eastAsia="Times New Roman" w:cs="Times New Roman"/>
          <w:i/>
          <w:iCs/>
          <w:sz w:val="20"/>
          <w:szCs w:val="20"/>
          <w:lang w:eastAsia="es-ES_tradnl"/>
        </w:rPr>
        <w:t>La denominación o razón social de personas morales es pública, por encontrarse inscritas en el Registro Público de Comercio; asimismo, su Registro Federal de Contribuyentes (RFC), en principio, también es público, ya que no se refiere a hechos o actos de carácter económico, contable, jurídico o administrativo que sean útiles o representen una ventaja a sus competidores.”</w:t>
      </w:r>
    </w:p>
    <w:p w:rsidRPr="003F139F" w:rsidR="003F139F" w:rsidP="00B034A6" w:rsidRDefault="003F139F" w14:paraId="62452113" w14:textId="77777777">
      <w:pPr>
        <w:spacing w:after="0" w:line="360" w:lineRule="auto"/>
        <w:rPr>
          <w:rFonts w:ascii="Times New Roman" w:hAnsi="Times New Roman" w:eastAsia="Times New Roman" w:cs="Times New Roman"/>
          <w:sz w:val="20"/>
          <w:szCs w:val="20"/>
          <w:lang w:eastAsia="es-ES_tradnl"/>
        </w:rPr>
      </w:pPr>
      <w:r w:rsidRPr="003F139F">
        <w:rPr>
          <w:rFonts w:eastAsia="Times New Roman" w:cs="Times New Roman"/>
          <w:lang w:eastAsia="es-ES_tradnl"/>
        </w:rPr>
        <w:lastRenderedPageBreak/>
        <w:t> </w:t>
      </w:r>
    </w:p>
    <w:p w:rsidR="003F139F" w:rsidP="00B034A6" w:rsidRDefault="003F139F" w14:paraId="1112D0B7" w14:textId="719ACFD6">
      <w:pPr>
        <w:spacing w:after="0" w:line="360" w:lineRule="auto"/>
        <w:ind w:right="113"/>
        <w:rPr>
          <w:rFonts w:eastAsia="Times New Roman" w:cs="Times New Roman"/>
          <w:lang w:val="es-ES_tradnl" w:eastAsia="es-ES_tradnl"/>
        </w:rPr>
      </w:pPr>
      <w:r w:rsidRPr="003F139F">
        <w:rPr>
          <w:rFonts w:eastAsia="Times New Roman" w:cs="Times New Roman"/>
          <w:lang w:val="es-ES_tradnl" w:eastAsia="es-ES_tradnl"/>
        </w:rPr>
        <w:t xml:space="preserve">De tales circunstancias, el Registro Federal de Contribuyentes </w:t>
      </w:r>
      <w:r w:rsidR="00BD0085">
        <w:rPr>
          <w:rFonts w:eastAsia="Times New Roman" w:cs="Times New Roman"/>
          <w:lang w:val="es-ES_tradnl" w:eastAsia="es-ES_tradnl"/>
        </w:rPr>
        <w:t>de proveedores</w:t>
      </w:r>
      <w:r w:rsidRPr="003F139F">
        <w:rPr>
          <w:rFonts w:eastAsia="Times New Roman" w:cs="Times New Roman"/>
          <w:lang w:val="es-ES_tradnl" w:eastAsia="es-ES_tradnl"/>
        </w:rPr>
        <w:t>, no actualiza la causal de clasificación, prevista en el artículo 143, fracción I de la Ley de Transparencia y Acceso a la Información Pública del Estado de México y Municipio</w:t>
      </w:r>
      <w:r w:rsidR="00DB4F1F">
        <w:rPr>
          <w:rFonts w:eastAsia="Times New Roman" w:cs="Times New Roman"/>
          <w:lang w:val="es-ES_tradnl" w:eastAsia="es-ES_tradnl"/>
        </w:rPr>
        <w:t>s, al ser de naturaleza pública; por lo que, no se puede validar el padrón proporcionado.</w:t>
      </w:r>
    </w:p>
    <w:p w:rsidR="00DB4F1F" w:rsidP="00B034A6" w:rsidRDefault="00DB4F1F" w14:paraId="7A5031FE" w14:textId="77777777">
      <w:pPr>
        <w:spacing w:after="0" w:line="360" w:lineRule="auto"/>
        <w:ind w:right="113"/>
        <w:rPr>
          <w:rFonts w:eastAsia="Times New Roman" w:cs="Times New Roman"/>
          <w:lang w:val="es-ES_tradnl" w:eastAsia="es-ES_tradnl"/>
        </w:rPr>
      </w:pPr>
    </w:p>
    <w:p w:rsidR="00DB4F1F" w:rsidP="00DB4F1F" w:rsidRDefault="00DB4F1F" w14:paraId="2D576FFD" w14:textId="77777777">
      <w:pPr>
        <w:tabs>
          <w:tab w:val="left" w:pos="4962"/>
        </w:tabs>
        <w:spacing w:after="0" w:line="360" w:lineRule="auto"/>
        <w:rPr>
          <w:rFonts w:eastAsia="Calibri" w:cs="Tahoma"/>
          <w:iCs/>
          <w:lang w:val="es-ES" w:eastAsia="es-ES_tradnl"/>
        </w:rPr>
      </w:pPr>
      <w:r>
        <w:rPr>
          <w:rFonts w:eastAsia="Times New Roman" w:cs="Times New Roman"/>
          <w:lang w:val="es-ES_tradnl" w:eastAsia="es-ES_tradnl"/>
        </w:rPr>
        <w:t xml:space="preserve">Conforme a lo anterior, se considera que para atender el requerimiento de información, el </w:t>
      </w:r>
      <w:r w:rsidRPr="00400651">
        <w:rPr>
          <w:rFonts w:eastAsia="Calibri" w:cs="Tahoma"/>
          <w:bCs/>
          <w:color w:val="auto"/>
        </w:rPr>
        <w:t xml:space="preserve">Ayuntamiento de </w:t>
      </w:r>
      <w:proofErr w:type="spellStart"/>
      <w:r w:rsidRPr="000A4804">
        <w:rPr>
          <w:rFonts w:eastAsia="Calibri" w:cs="Tahoma"/>
          <w:bCs/>
          <w:color w:val="auto"/>
        </w:rPr>
        <w:t>Tepetlaoxtoc</w:t>
      </w:r>
      <w:proofErr w:type="spellEnd"/>
      <w:r>
        <w:rPr>
          <w:rFonts w:eastAsia="Calibri" w:cs="Tahoma"/>
          <w:bCs/>
          <w:color w:val="auto"/>
        </w:rPr>
        <w:t>,</w:t>
      </w:r>
      <w:r w:rsidRPr="000A4804">
        <w:rPr>
          <w:rFonts w:eastAsia="Calibri" w:cs="Tahoma"/>
          <w:bCs/>
          <w:color w:val="auto"/>
        </w:rPr>
        <w:t xml:space="preserve"> </w:t>
      </w:r>
      <w:r w:rsidRPr="00E109A9">
        <w:rPr>
          <w:rFonts w:eastAsia="Calibri" w:cs="Tahoma"/>
          <w:bCs/>
          <w:color w:val="auto"/>
        </w:rPr>
        <w:t>deberá</w:t>
      </w:r>
      <w:r>
        <w:rPr>
          <w:rFonts w:eastAsia="Calibri" w:cs="Tahoma"/>
          <w:bCs/>
          <w:color w:val="auto"/>
        </w:rPr>
        <w:t xml:space="preserve"> realizar una búsqueda exhaustiva y razonable en los archivos de las unidades administrativas competentes, entre las cuales no podrá omitir a la Secretaría del Ayuntamiento, la Dirección de Obras Públicas y Desarrollo Urbano y la Dirección de Administración, a efecto de proporcionar, </w:t>
      </w:r>
      <w:r>
        <w:rPr>
          <w:rFonts w:eastAsia="Calibri" w:cs="Tahoma"/>
          <w:iCs/>
          <w:lang w:val="es-ES" w:eastAsia="es-ES_tradnl"/>
        </w:rPr>
        <w:t xml:space="preserve">del primero de enero de </w:t>
      </w:r>
      <w:r w:rsidRPr="00A159C9">
        <w:rPr>
          <w:rFonts w:eastAsia="Calibri" w:cs="Tahoma"/>
          <w:iCs/>
          <w:lang w:val="es-ES" w:eastAsia="es-ES_tradnl"/>
        </w:rPr>
        <w:t xml:space="preserve">dos mil </w:t>
      </w:r>
      <w:r w:rsidRPr="00FE50B8">
        <w:rPr>
          <w:rFonts w:eastAsia="Calibri" w:cs="Tahoma"/>
          <w:iCs/>
          <w:lang w:val="es-ES" w:eastAsia="es-ES_tradnl"/>
        </w:rPr>
        <w:t xml:space="preserve">doce </w:t>
      </w:r>
      <w:r w:rsidRPr="00FE50B8">
        <w:rPr>
          <w:rFonts w:eastAsia="Calibri" w:cs="Tahoma"/>
          <w:iCs/>
          <w:color w:val="auto"/>
          <w:lang w:val="es-ES" w:eastAsia="es-ES_tradnl"/>
        </w:rPr>
        <w:t>al veintinueve de abril de dos mil veintidós</w:t>
      </w:r>
      <w:r w:rsidRPr="00FE50B8">
        <w:rPr>
          <w:rFonts w:eastAsia="Calibri" w:cs="Tahoma"/>
          <w:iCs/>
          <w:lang w:val="es-ES" w:eastAsia="es-ES_tradnl"/>
        </w:rPr>
        <w:t>,</w:t>
      </w:r>
      <w:r>
        <w:rPr>
          <w:rFonts w:eastAsia="Calibri" w:cs="Tahoma"/>
          <w:iCs/>
          <w:lang w:val="es-ES" w:eastAsia="es-ES_tradnl"/>
        </w:rPr>
        <w:t xml:space="preserve"> lo siguiente:</w:t>
      </w:r>
    </w:p>
    <w:p w:rsidR="00DB4F1F" w:rsidP="00DB4F1F" w:rsidRDefault="00DB4F1F" w14:paraId="0E6FF52F" w14:textId="77777777">
      <w:pPr>
        <w:tabs>
          <w:tab w:val="left" w:pos="4962"/>
        </w:tabs>
        <w:spacing w:after="0" w:line="360" w:lineRule="auto"/>
        <w:rPr>
          <w:rFonts w:eastAsia="Calibri" w:cs="Tahoma"/>
          <w:iCs/>
          <w:lang w:val="es-ES" w:eastAsia="es-ES_tradnl"/>
        </w:rPr>
      </w:pPr>
    </w:p>
    <w:p w:rsidR="00DB4F1F" w:rsidP="00DB4F1F" w:rsidRDefault="00D33235" w14:paraId="781DCF5B" w14:textId="0471A9F6">
      <w:pPr>
        <w:pStyle w:val="Prrafodelista"/>
        <w:numPr>
          <w:ilvl w:val="0"/>
          <w:numId w:val="39"/>
        </w:numPr>
        <w:tabs>
          <w:tab w:val="left" w:pos="4962"/>
        </w:tabs>
        <w:spacing w:line="360" w:lineRule="auto"/>
        <w:jc w:val="both"/>
        <w:rPr>
          <w:rFonts w:ascii="Palatino Linotype" w:hAnsi="Palatino Linotype" w:eastAsia="Calibri" w:cs="Tahoma"/>
          <w:iCs/>
          <w:lang w:val="es-ES" w:eastAsia="es-ES_tradnl"/>
        </w:rPr>
      </w:pPr>
      <w:r>
        <w:rPr>
          <w:rFonts w:ascii="Palatino Linotype" w:hAnsi="Palatino Linotype" w:eastAsia="Calibri" w:cs="Tahoma"/>
          <w:iCs/>
          <w:lang w:val="es-ES" w:eastAsia="es-ES_tradnl"/>
        </w:rPr>
        <w:t>Respecto</w:t>
      </w:r>
      <w:r w:rsidR="00DB4F1F">
        <w:rPr>
          <w:rFonts w:ascii="Palatino Linotype" w:hAnsi="Palatino Linotype" w:eastAsia="Calibri" w:cs="Tahoma"/>
          <w:iCs/>
          <w:lang w:val="es-ES" w:eastAsia="es-ES_tradnl"/>
        </w:rPr>
        <w:t xml:space="preserve"> de los contratos derivados de procedimientos por licitación pública, adjudicación directa e invitación restringida, </w:t>
      </w:r>
      <w:r w:rsidR="00981B17">
        <w:rPr>
          <w:rFonts w:ascii="Palatino Linotype" w:hAnsi="Palatino Linotype" w:eastAsia="Calibri" w:cs="Tahoma"/>
          <w:iCs/>
          <w:lang w:val="es-ES" w:eastAsia="es-ES_tradnl"/>
        </w:rPr>
        <w:t>los documentos donde conste lo siguiente</w:t>
      </w:r>
      <w:r w:rsidR="00DB4F1F">
        <w:rPr>
          <w:rFonts w:ascii="Palatino Linotype" w:hAnsi="Palatino Linotype" w:eastAsia="Calibri" w:cs="Tahoma"/>
          <w:iCs/>
          <w:lang w:val="es-ES" w:eastAsia="es-ES_tradnl"/>
        </w:rPr>
        <w:t>:</w:t>
      </w:r>
    </w:p>
    <w:p w:rsidR="00DB4F1F" w:rsidP="00DB4F1F" w:rsidRDefault="00DB4F1F" w14:paraId="2AA8DA9C" w14:textId="77777777">
      <w:pPr>
        <w:pStyle w:val="Prrafodelista"/>
        <w:tabs>
          <w:tab w:val="left" w:pos="4962"/>
        </w:tabs>
        <w:spacing w:line="360" w:lineRule="auto"/>
        <w:jc w:val="both"/>
        <w:rPr>
          <w:rFonts w:ascii="Palatino Linotype" w:hAnsi="Palatino Linotype" w:eastAsia="Calibri" w:cs="Tahoma"/>
          <w:iCs/>
          <w:lang w:val="es-ES" w:eastAsia="es-ES_tradnl"/>
        </w:rPr>
      </w:pPr>
    </w:p>
    <w:p w:rsidRPr="00BF6F7C" w:rsidR="00DB4F1F" w:rsidP="00DB4F1F" w:rsidRDefault="00DB4F1F" w14:paraId="2AD75296" w14:textId="77777777">
      <w:pPr>
        <w:pStyle w:val="Prrafodelista"/>
        <w:numPr>
          <w:ilvl w:val="0"/>
          <w:numId w:val="38"/>
        </w:numPr>
        <w:autoSpaceDE w:val="0"/>
        <w:autoSpaceDN w:val="0"/>
        <w:adjustRightInd w:val="0"/>
        <w:spacing w:line="360" w:lineRule="auto"/>
        <w:ind w:left="993"/>
        <w:jc w:val="both"/>
        <w:rPr>
          <w:rFonts w:ascii="Palatino Linotype" w:hAnsi="Palatino Linotype" w:cs="Tahoma"/>
          <w:szCs w:val="22"/>
        </w:rPr>
      </w:pPr>
      <w:r w:rsidRPr="00BF6F7C">
        <w:rPr>
          <w:rFonts w:ascii="Palatino Linotype" w:hAnsi="Palatino Linotype" w:cs="Tahoma"/>
          <w:szCs w:val="22"/>
        </w:rPr>
        <w:t>Institución (Sujeto Obligado);</w:t>
      </w:r>
    </w:p>
    <w:p w:rsidRPr="00BF6F7C" w:rsidR="00DB4F1F" w:rsidP="00DB4F1F" w:rsidRDefault="00DB4F1F" w14:paraId="21881C03" w14:textId="77777777">
      <w:pPr>
        <w:pStyle w:val="Prrafodelista"/>
        <w:numPr>
          <w:ilvl w:val="0"/>
          <w:numId w:val="38"/>
        </w:numPr>
        <w:autoSpaceDE w:val="0"/>
        <w:autoSpaceDN w:val="0"/>
        <w:adjustRightInd w:val="0"/>
        <w:spacing w:line="360" w:lineRule="auto"/>
        <w:ind w:left="993"/>
        <w:jc w:val="both"/>
        <w:rPr>
          <w:rFonts w:ascii="Palatino Linotype" w:hAnsi="Palatino Linotype" w:cs="Tahoma"/>
          <w:szCs w:val="22"/>
        </w:rPr>
      </w:pPr>
      <w:r w:rsidRPr="00BF6F7C">
        <w:rPr>
          <w:rFonts w:ascii="Palatino Linotype" w:hAnsi="Palatino Linotype" w:cs="Tahoma"/>
          <w:szCs w:val="22"/>
        </w:rPr>
        <w:t>Unidad Administrativa solicitante y nombre de su Titular;</w:t>
      </w:r>
    </w:p>
    <w:p w:rsidRPr="00BF6F7C" w:rsidR="00DB4F1F" w:rsidP="00DB4F1F" w:rsidRDefault="00DB4F1F" w14:paraId="7DA7588E" w14:textId="77777777">
      <w:pPr>
        <w:pStyle w:val="Prrafodelista"/>
        <w:numPr>
          <w:ilvl w:val="0"/>
          <w:numId w:val="38"/>
        </w:numPr>
        <w:autoSpaceDE w:val="0"/>
        <w:autoSpaceDN w:val="0"/>
        <w:adjustRightInd w:val="0"/>
        <w:spacing w:line="360" w:lineRule="auto"/>
        <w:ind w:left="993"/>
        <w:jc w:val="both"/>
        <w:rPr>
          <w:rFonts w:ascii="Palatino Linotype" w:hAnsi="Palatino Linotype" w:cs="Tahoma"/>
          <w:szCs w:val="22"/>
        </w:rPr>
      </w:pPr>
      <w:r w:rsidRPr="00BF6F7C">
        <w:rPr>
          <w:rFonts w:ascii="Palatino Linotype" w:hAnsi="Palatino Linotype" w:cs="Tahoma"/>
          <w:szCs w:val="22"/>
        </w:rPr>
        <w:t>Título, código y referencia de expediente;</w:t>
      </w:r>
    </w:p>
    <w:p w:rsidRPr="00BF6F7C" w:rsidR="00DB4F1F" w:rsidP="00DB4F1F" w:rsidRDefault="00DB4F1F" w14:paraId="17FD4C01" w14:textId="77777777">
      <w:pPr>
        <w:pStyle w:val="Prrafodelista"/>
        <w:numPr>
          <w:ilvl w:val="0"/>
          <w:numId w:val="38"/>
        </w:numPr>
        <w:autoSpaceDE w:val="0"/>
        <w:autoSpaceDN w:val="0"/>
        <w:adjustRightInd w:val="0"/>
        <w:spacing w:line="360" w:lineRule="auto"/>
        <w:ind w:left="993"/>
        <w:jc w:val="both"/>
        <w:rPr>
          <w:rFonts w:ascii="Palatino Linotype" w:hAnsi="Palatino Linotype" w:cs="Tahoma"/>
          <w:szCs w:val="22"/>
        </w:rPr>
      </w:pPr>
      <w:r w:rsidRPr="00BF6F7C">
        <w:rPr>
          <w:rFonts w:ascii="Palatino Linotype" w:hAnsi="Palatino Linotype" w:cs="Tahoma"/>
          <w:szCs w:val="22"/>
        </w:rPr>
        <w:t>Fundamento legal del procedimiento;</w:t>
      </w:r>
    </w:p>
    <w:p w:rsidRPr="00BF6F7C" w:rsidR="00DB4F1F" w:rsidP="00DB4F1F" w:rsidRDefault="00DB4F1F" w14:paraId="6B59851F" w14:textId="77777777">
      <w:pPr>
        <w:pStyle w:val="Prrafodelista"/>
        <w:numPr>
          <w:ilvl w:val="0"/>
          <w:numId w:val="38"/>
        </w:numPr>
        <w:autoSpaceDE w:val="0"/>
        <w:autoSpaceDN w:val="0"/>
        <w:adjustRightInd w:val="0"/>
        <w:spacing w:line="360" w:lineRule="auto"/>
        <w:ind w:left="993"/>
        <w:jc w:val="both"/>
        <w:rPr>
          <w:rFonts w:ascii="Palatino Linotype" w:hAnsi="Palatino Linotype" w:cs="Tahoma"/>
          <w:szCs w:val="22"/>
        </w:rPr>
      </w:pPr>
      <w:r w:rsidRPr="00BF6F7C">
        <w:rPr>
          <w:rFonts w:ascii="Palatino Linotype" w:hAnsi="Palatino Linotype" w:cs="Tahoma"/>
          <w:szCs w:val="22"/>
        </w:rPr>
        <w:t>Número de procedimiento;</w:t>
      </w:r>
    </w:p>
    <w:p w:rsidRPr="00BF6F7C" w:rsidR="00DB4F1F" w:rsidP="00DB4F1F" w:rsidRDefault="00DB4F1F" w14:paraId="6454F065" w14:textId="77777777">
      <w:pPr>
        <w:pStyle w:val="Prrafodelista"/>
        <w:numPr>
          <w:ilvl w:val="0"/>
          <w:numId w:val="38"/>
        </w:numPr>
        <w:autoSpaceDE w:val="0"/>
        <w:autoSpaceDN w:val="0"/>
        <w:adjustRightInd w:val="0"/>
        <w:spacing w:line="360" w:lineRule="auto"/>
        <w:ind w:left="993"/>
        <w:jc w:val="both"/>
        <w:rPr>
          <w:rFonts w:ascii="Palatino Linotype" w:hAnsi="Palatino Linotype" w:cs="Tahoma"/>
          <w:szCs w:val="22"/>
        </w:rPr>
      </w:pPr>
      <w:r w:rsidRPr="00BF6F7C">
        <w:rPr>
          <w:rFonts w:ascii="Palatino Linotype" w:hAnsi="Palatino Linotype" w:cs="Tahoma"/>
          <w:szCs w:val="22"/>
        </w:rPr>
        <w:t>Fecha de fallo y publicación;</w:t>
      </w:r>
    </w:p>
    <w:p w:rsidRPr="00BF6F7C" w:rsidR="00DB4F1F" w:rsidP="00DB4F1F" w:rsidRDefault="00DB4F1F" w14:paraId="29972F87" w14:textId="77777777">
      <w:pPr>
        <w:pStyle w:val="Prrafodelista"/>
        <w:numPr>
          <w:ilvl w:val="0"/>
          <w:numId w:val="38"/>
        </w:numPr>
        <w:autoSpaceDE w:val="0"/>
        <w:autoSpaceDN w:val="0"/>
        <w:adjustRightInd w:val="0"/>
        <w:spacing w:line="360" w:lineRule="auto"/>
        <w:ind w:left="993"/>
        <w:jc w:val="both"/>
        <w:rPr>
          <w:rFonts w:ascii="Palatino Linotype" w:hAnsi="Palatino Linotype" w:cs="Tahoma"/>
          <w:szCs w:val="22"/>
        </w:rPr>
      </w:pPr>
      <w:r w:rsidRPr="00BF6F7C">
        <w:rPr>
          <w:rFonts w:ascii="Palatino Linotype" w:hAnsi="Palatino Linotype" w:cs="Tahoma"/>
          <w:szCs w:val="22"/>
        </w:rPr>
        <w:t>Tipo de procedimiento;</w:t>
      </w:r>
    </w:p>
    <w:p w:rsidRPr="00BF6F7C" w:rsidR="00DB4F1F" w:rsidP="00DB4F1F" w:rsidRDefault="00DB4F1F" w14:paraId="280729E8" w14:textId="77777777">
      <w:pPr>
        <w:pStyle w:val="Prrafodelista"/>
        <w:numPr>
          <w:ilvl w:val="0"/>
          <w:numId w:val="38"/>
        </w:numPr>
        <w:autoSpaceDE w:val="0"/>
        <w:autoSpaceDN w:val="0"/>
        <w:adjustRightInd w:val="0"/>
        <w:spacing w:line="360" w:lineRule="auto"/>
        <w:ind w:left="993"/>
        <w:jc w:val="both"/>
        <w:rPr>
          <w:rFonts w:ascii="Palatino Linotype" w:hAnsi="Palatino Linotype" w:cs="Tahoma"/>
          <w:szCs w:val="22"/>
        </w:rPr>
      </w:pPr>
      <w:r w:rsidRPr="00BF6F7C">
        <w:rPr>
          <w:rFonts w:ascii="Palatino Linotype" w:hAnsi="Palatino Linotype" w:cs="Tahoma"/>
          <w:szCs w:val="22"/>
        </w:rPr>
        <w:t>Título, descripción e importe del Contrato;</w:t>
      </w:r>
    </w:p>
    <w:p w:rsidRPr="00BF6F7C" w:rsidR="00DB4F1F" w:rsidP="00DB4F1F" w:rsidRDefault="00DB4F1F" w14:paraId="35DF7748" w14:textId="77777777">
      <w:pPr>
        <w:pStyle w:val="Prrafodelista"/>
        <w:numPr>
          <w:ilvl w:val="0"/>
          <w:numId w:val="38"/>
        </w:numPr>
        <w:autoSpaceDE w:val="0"/>
        <w:autoSpaceDN w:val="0"/>
        <w:adjustRightInd w:val="0"/>
        <w:spacing w:line="360" w:lineRule="auto"/>
        <w:ind w:left="993"/>
        <w:jc w:val="both"/>
        <w:rPr>
          <w:rFonts w:ascii="Palatino Linotype" w:hAnsi="Palatino Linotype" w:cs="Tahoma"/>
          <w:szCs w:val="22"/>
        </w:rPr>
      </w:pPr>
      <w:r w:rsidRPr="00BF6F7C">
        <w:rPr>
          <w:rFonts w:ascii="Palatino Linotype" w:hAnsi="Palatino Linotype" w:cs="Tahoma"/>
          <w:szCs w:val="22"/>
        </w:rPr>
        <w:t>Convenio modificatorio;</w:t>
      </w:r>
    </w:p>
    <w:p w:rsidRPr="00BF6F7C" w:rsidR="00DB4F1F" w:rsidP="00DB4F1F" w:rsidRDefault="00DB4F1F" w14:paraId="58EFE25E" w14:textId="77777777">
      <w:pPr>
        <w:pStyle w:val="Prrafodelista"/>
        <w:numPr>
          <w:ilvl w:val="0"/>
          <w:numId w:val="38"/>
        </w:numPr>
        <w:autoSpaceDE w:val="0"/>
        <w:autoSpaceDN w:val="0"/>
        <w:adjustRightInd w:val="0"/>
        <w:spacing w:line="360" w:lineRule="auto"/>
        <w:ind w:left="993"/>
        <w:jc w:val="both"/>
        <w:rPr>
          <w:rFonts w:ascii="Palatino Linotype" w:hAnsi="Palatino Linotype" w:cs="Tahoma"/>
          <w:szCs w:val="22"/>
        </w:rPr>
      </w:pPr>
      <w:r w:rsidRPr="00BF6F7C">
        <w:rPr>
          <w:rFonts w:ascii="Palatino Linotype" w:hAnsi="Palatino Linotype" w:cs="Tahoma"/>
          <w:szCs w:val="22"/>
        </w:rPr>
        <w:t>Nombre y Registro Federal de Contribuyentes del proveedor o contratista, y</w:t>
      </w:r>
    </w:p>
    <w:p w:rsidRPr="00BF6F7C" w:rsidR="00DB4F1F" w:rsidP="00DB4F1F" w:rsidRDefault="00DB4F1F" w14:paraId="05CC087E" w14:textId="77777777">
      <w:pPr>
        <w:pStyle w:val="Prrafodelista"/>
        <w:numPr>
          <w:ilvl w:val="0"/>
          <w:numId w:val="38"/>
        </w:numPr>
        <w:autoSpaceDE w:val="0"/>
        <w:autoSpaceDN w:val="0"/>
        <w:adjustRightInd w:val="0"/>
        <w:spacing w:line="360" w:lineRule="auto"/>
        <w:ind w:left="993"/>
        <w:jc w:val="both"/>
        <w:rPr>
          <w:rFonts w:ascii="Palatino Linotype" w:hAnsi="Palatino Linotype" w:cs="Tahoma"/>
          <w:szCs w:val="22"/>
        </w:rPr>
      </w:pPr>
      <w:r w:rsidRPr="00BF6F7C">
        <w:rPr>
          <w:rFonts w:ascii="Palatino Linotype" w:hAnsi="Palatino Linotype" w:cs="Tahoma"/>
          <w:szCs w:val="22"/>
        </w:rPr>
        <w:t>Dirección del anuncio.</w:t>
      </w:r>
    </w:p>
    <w:p w:rsidRPr="00BF6F7C" w:rsidR="00DB4F1F" w:rsidP="00DB4F1F" w:rsidRDefault="00DB4F1F" w14:paraId="3087D190" w14:textId="77777777">
      <w:pPr>
        <w:pStyle w:val="Prrafodelista"/>
        <w:numPr>
          <w:ilvl w:val="0"/>
          <w:numId w:val="39"/>
        </w:numPr>
        <w:tabs>
          <w:tab w:val="left" w:pos="4962"/>
        </w:tabs>
        <w:spacing w:line="360" w:lineRule="auto"/>
        <w:jc w:val="both"/>
        <w:rPr>
          <w:rFonts w:ascii="Palatino Linotype" w:hAnsi="Palatino Linotype" w:eastAsia="Calibri" w:cs="Tahoma"/>
          <w:iCs/>
          <w:lang w:val="es-ES" w:eastAsia="es-ES_tradnl"/>
        </w:rPr>
      </w:pPr>
      <w:r>
        <w:rPr>
          <w:rFonts w:ascii="Palatino Linotype" w:hAnsi="Palatino Linotype" w:eastAsia="Calibri" w:cs="Tahoma"/>
          <w:iCs/>
          <w:lang w:val="es-ES" w:eastAsia="es-ES_tradnl"/>
        </w:rPr>
        <w:lastRenderedPageBreak/>
        <w:t>Listado de proveedores.</w:t>
      </w:r>
    </w:p>
    <w:p w:rsidR="0061307E" w:rsidP="00DB4F1F" w:rsidRDefault="0061307E" w14:paraId="17CE0A53" w14:textId="7AB282F8">
      <w:pPr>
        <w:spacing w:after="0" w:line="360" w:lineRule="auto"/>
        <w:ind w:right="113"/>
        <w:rPr>
          <w:rFonts w:eastAsia="Times New Roman" w:cs="Times New Roman"/>
          <w:lang w:val="es-ES_tradnl" w:eastAsia="es-ES_tradnl"/>
        </w:rPr>
      </w:pPr>
    </w:p>
    <w:p w:rsidR="00D33235" w:rsidP="00DB4F1F" w:rsidRDefault="00D33235" w14:paraId="207FE8ED" w14:textId="09DF306E">
      <w:pPr>
        <w:spacing w:after="0" w:line="360" w:lineRule="auto"/>
        <w:ind w:right="113"/>
        <w:rPr>
          <w:rFonts w:eastAsia="Times New Roman" w:cs="Times New Roman"/>
          <w:lang w:val="es-ES_tradnl" w:eastAsia="es-ES_tradnl"/>
        </w:rPr>
      </w:pPr>
      <w:r>
        <w:rPr>
          <w:rFonts w:eastAsia="Times New Roman" w:cs="Times New Roman"/>
          <w:lang w:val="es-ES_tradnl" w:eastAsia="es-ES_tradnl"/>
        </w:rPr>
        <w:t xml:space="preserve">Ahora bien, para el caso que no cuente con los datos referidos en el </w:t>
      </w:r>
      <w:r w:rsidRPr="00D33235">
        <w:rPr>
          <w:rFonts w:eastAsia="Times New Roman" w:cs="Times New Roman"/>
          <w:lang w:val="es-ES_tradnl" w:eastAsia="es-ES_tradnl"/>
        </w:rPr>
        <w:t>punto 1, incisos c, i o k</w:t>
      </w:r>
      <w:r>
        <w:rPr>
          <w:rFonts w:eastAsia="Times New Roman" w:cs="Times New Roman"/>
          <w:lang w:val="es-ES_tradnl" w:eastAsia="es-ES_tradnl"/>
        </w:rPr>
        <w:t>, al no haber sido generados, deberá hacerlo del conocimiento en términos del artículo 19, párrafo segundo, de la Ley de Transparencia y Acceso a la Información Pública del Estado de México y Municipios.</w:t>
      </w:r>
    </w:p>
    <w:p w:rsidR="00D33235" w:rsidP="00DB4F1F" w:rsidRDefault="00D33235" w14:paraId="66177FF2" w14:textId="77777777">
      <w:pPr>
        <w:spacing w:after="0" w:line="360" w:lineRule="auto"/>
        <w:ind w:right="113"/>
        <w:rPr>
          <w:rFonts w:eastAsia="Times New Roman" w:cs="Times New Roman"/>
          <w:lang w:val="es-ES_tradnl" w:eastAsia="es-ES_tradnl"/>
        </w:rPr>
      </w:pPr>
    </w:p>
    <w:p w:rsidR="00DB4F1F" w:rsidP="00DB4F1F" w:rsidRDefault="00DB4F1F" w14:paraId="1BD319BA" w14:textId="2F603B59">
      <w:pPr>
        <w:spacing w:after="0" w:line="360" w:lineRule="auto"/>
        <w:ind w:right="113"/>
        <w:rPr>
          <w:rFonts w:eastAsia="Times New Roman" w:cs="Times New Roman"/>
          <w:lang w:val="es-ES_tradnl" w:eastAsia="es-ES_tradnl"/>
        </w:rPr>
      </w:pPr>
      <w:r>
        <w:rPr>
          <w:rFonts w:eastAsia="Times New Roman" w:cs="Times New Roman"/>
          <w:lang w:val="es-ES_tradnl" w:eastAsia="es-ES_tradnl"/>
        </w:rPr>
        <w:t xml:space="preserve">Ahora bien, para el caso que no cuente con la información que </w:t>
      </w:r>
      <w:r w:rsidR="00D33235">
        <w:rPr>
          <w:rFonts w:eastAsia="Times New Roman" w:cs="Times New Roman"/>
          <w:lang w:val="es-ES_tradnl" w:eastAsia="es-ES_tradnl"/>
        </w:rPr>
        <w:t>dé</w:t>
      </w:r>
      <w:r>
        <w:rPr>
          <w:rFonts w:eastAsia="Times New Roman" w:cs="Times New Roman"/>
          <w:lang w:val="es-ES_tradnl" w:eastAsia="es-ES_tradnl"/>
        </w:rPr>
        <w:t xml:space="preserve"> cuenta del punto 1 (del primero de enero de dos mil dieciséis al treinta y uno de diciembre de dos mil dieciocho) y del 2 (del primero de enero de dos mil doce al treinta y uno de diciembre de dos mil veintiuno), por que haya causado baja documental o no haya sido proporcionada en la entrega-recepción de las determinadas administraciones, deberá declarar formalmente la inexistencia.</w:t>
      </w:r>
    </w:p>
    <w:p w:rsidR="00DB4F1F" w:rsidP="00DB4F1F" w:rsidRDefault="00DB4F1F" w14:paraId="38E3D37D" w14:textId="77777777">
      <w:pPr>
        <w:spacing w:after="0" w:line="360" w:lineRule="auto"/>
        <w:ind w:right="113"/>
        <w:rPr>
          <w:rFonts w:eastAsia="Times New Roman" w:cs="Times New Roman"/>
          <w:lang w:val="es-ES_tradnl" w:eastAsia="es-ES_tradnl"/>
        </w:rPr>
      </w:pPr>
    </w:p>
    <w:p w:rsidRPr="00DB4F1F" w:rsidR="00DB4F1F" w:rsidP="00DB4F1F" w:rsidRDefault="00DB4F1F" w14:paraId="27E098D0" w14:textId="4D749748">
      <w:pPr>
        <w:spacing w:after="0" w:line="360" w:lineRule="auto"/>
        <w:rPr>
          <w:rFonts w:eastAsia="Times New Roman" w:cs="Tahoma"/>
          <w:color w:val="auto"/>
          <w:lang w:eastAsia="es-ES"/>
        </w:rPr>
      </w:pPr>
      <w:r>
        <w:rPr>
          <w:rFonts w:eastAsia="Times New Roman" w:cs="Tahoma"/>
          <w:color w:val="auto"/>
          <w:lang w:val="es-ES_tradnl" w:eastAsia="es-ES"/>
        </w:rPr>
        <w:t xml:space="preserve">Sobre el tema, </w:t>
      </w:r>
      <w:r w:rsidRPr="00DB4F1F">
        <w:rPr>
          <w:rFonts w:eastAsia="Times New Roman" w:cs="Tahoma"/>
          <w:color w:val="auto"/>
          <w:lang w:val="es-ES_tradnl" w:eastAsia="es-ES"/>
        </w:rPr>
        <w:t xml:space="preserve">el </w:t>
      </w:r>
      <w:r w:rsidRPr="00DB4F1F">
        <w:rPr>
          <w:rFonts w:eastAsia="Times New Roman" w:cs="Tahoma"/>
          <w:color w:val="auto"/>
          <w:lang w:eastAsia="es-ES"/>
        </w:rPr>
        <w:t>Criterio 14/17, emitido por el Instituto Nacional de Transparencia, Acceso a la Información Pública y Protección de Datos Personales en el Estado de México y Municipios, se señala lo siguiente:</w:t>
      </w:r>
    </w:p>
    <w:p w:rsidRPr="00DB4F1F" w:rsidR="00DB4F1F" w:rsidP="00DB4F1F" w:rsidRDefault="00DB4F1F" w14:paraId="6E533083" w14:textId="77777777">
      <w:pPr>
        <w:spacing w:after="0" w:line="360" w:lineRule="auto"/>
        <w:rPr>
          <w:rFonts w:eastAsia="Times New Roman" w:cs="Tahoma"/>
          <w:color w:val="auto"/>
          <w:lang w:eastAsia="es-ES"/>
        </w:rPr>
      </w:pPr>
    </w:p>
    <w:p w:rsidRPr="00DB4F1F" w:rsidR="00DB4F1F" w:rsidP="00DB4F1F" w:rsidRDefault="00DB4F1F" w14:paraId="08790056" w14:textId="77777777">
      <w:pPr>
        <w:spacing w:after="0" w:line="360" w:lineRule="auto"/>
        <w:ind w:left="567" w:right="567"/>
        <w:rPr>
          <w:rFonts w:eastAsia="Times New Roman" w:cs="Tahoma"/>
          <w:bCs/>
          <w:i/>
          <w:color w:val="auto"/>
          <w:sz w:val="20"/>
          <w:szCs w:val="20"/>
          <w:lang w:val="es-ES" w:eastAsia="es-ES"/>
        </w:rPr>
      </w:pPr>
      <w:r w:rsidRPr="00DB4F1F">
        <w:rPr>
          <w:rFonts w:eastAsia="Times New Roman" w:cs="Tahoma"/>
          <w:bCs/>
          <w:i/>
          <w:color w:val="auto"/>
          <w:sz w:val="20"/>
          <w:szCs w:val="20"/>
          <w:lang w:val="es-ES" w:eastAsia="es-ES"/>
        </w:rPr>
        <w:t>“</w:t>
      </w:r>
      <w:r w:rsidRPr="00DB4F1F">
        <w:rPr>
          <w:rFonts w:eastAsia="Times New Roman" w:cs="Tahoma"/>
          <w:b/>
          <w:bCs/>
          <w:i/>
          <w:color w:val="auto"/>
          <w:sz w:val="20"/>
          <w:szCs w:val="20"/>
          <w:lang w:val="es-ES" w:eastAsia="es-ES"/>
        </w:rPr>
        <w:t xml:space="preserve">Inexistencia. </w:t>
      </w:r>
      <w:r w:rsidRPr="00DB4F1F">
        <w:rPr>
          <w:rFonts w:eastAsia="Times New Roman" w:cs="Tahoma"/>
          <w:bCs/>
          <w:i/>
          <w:color w:val="auto"/>
          <w:sz w:val="20"/>
          <w:szCs w:val="20"/>
          <w:lang w:val="es-ES" w:eastAsia="es-ES"/>
        </w:rPr>
        <w:t>La inexistencia es una cuestión de hecho que se atribuye a la información solicitada e implica que ésta no se encuentra en los archivos del sujeto obligado, no obstante que cuenta con facultades para poseerla.”</w:t>
      </w:r>
    </w:p>
    <w:p w:rsidRPr="00DB4F1F" w:rsidR="00DB4F1F" w:rsidP="00DB4F1F" w:rsidRDefault="00DB4F1F" w14:paraId="250EA8B4" w14:textId="77777777">
      <w:pPr>
        <w:spacing w:after="0" w:line="360" w:lineRule="auto"/>
        <w:rPr>
          <w:rFonts w:eastAsia="Times New Roman" w:cs="Tahoma"/>
          <w:color w:val="auto"/>
          <w:lang w:eastAsia="es-ES"/>
        </w:rPr>
      </w:pPr>
    </w:p>
    <w:p w:rsidRPr="00DB4F1F" w:rsidR="00DB4F1F" w:rsidP="00DB4F1F" w:rsidRDefault="00DB4F1F" w14:paraId="3E6AC37A" w14:textId="77777777">
      <w:pPr>
        <w:spacing w:after="0" w:line="360" w:lineRule="auto"/>
        <w:rPr>
          <w:rFonts w:eastAsia="Times New Roman" w:cs="Tahoma"/>
          <w:color w:val="auto"/>
          <w:lang w:eastAsia="es-ES"/>
        </w:rPr>
      </w:pPr>
      <w:r w:rsidRPr="00DB4F1F">
        <w:rPr>
          <w:rFonts w:eastAsia="Times New Roman" w:cs="Tahoma"/>
          <w:color w:val="auto"/>
          <w:lang w:eastAsia="es-ES"/>
        </w:rPr>
        <w:t>Del citado criterio, se desprende que la inexistencia de la información, es una cuestión de hecho que se le atribuye a la misma, cuando ésta no se encuentra en los archivos del sujeto obligado.</w:t>
      </w:r>
    </w:p>
    <w:p w:rsidRPr="00DB4F1F" w:rsidR="00DB4F1F" w:rsidP="00DB4F1F" w:rsidRDefault="00DB4F1F" w14:paraId="20DA011B" w14:textId="77777777">
      <w:pPr>
        <w:shd w:val="clear" w:color="auto" w:fill="FFFFFF" w:themeFill="background1"/>
        <w:spacing w:after="0" w:line="360" w:lineRule="auto"/>
        <w:rPr>
          <w:rFonts w:eastAsia="Calibri" w:cs="Tahoma"/>
          <w:bCs/>
          <w:color w:val="auto"/>
        </w:rPr>
      </w:pPr>
    </w:p>
    <w:p w:rsidRPr="00DB4F1F" w:rsidR="00DB4F1F" w:rsidP="00DB4F1F" w:rsidRDefault="00DB4F1F" w14:paraId="66691DDB" w14:textId="77777777">
      <w:pPr>
        <w:spacing w:after="0" w:line="360" w:lineRule="auto"/>
        <w:rPr>
          <w:rFonts w:eastAsia="Times New Roman" w:cs="Tahoma"/>
          <w:color w:val="auto"/>
          <w:lang w:val="es-ES" w:eastAsia="es-ES"/>
        </w:rPr>
      </w:pPr>
      <w:r w:rsidRPr="00DB4F1F">
        <w:rPr>
          <w:rFonts w:eastAsia="Times New Roman" w:cs="Tahoma"/>
          <w:color w:val="auto"/>
          <w:lang w:val="es-ES" w:eastAsia="es-ES"/>
        </w:rPr>
        <w:t xml:space="preserve">En ese sentido, según Trujillo, Humberto (2019), en el “Diccionario de Transparencia y Acceso a la Información Pública” (p. 171), la inexistencia de la información, es cuando la información </w:t>
      </w:r>
      <w:r w:rsidRPr="00DB4F1F">
        <w:rPr>
          <w:rFonts w:eastAsia="Times New Roman" w:cs="Tahoma"/>
          <w:color w:val="auto"/>
          <w:lang w:val="es-ES" w:eastAsia="es-ES"/>
        </w:rPr>
        <w:lastRenderedPageBreak/>
        <w:t>requerida no se encuentra en los archivos públicos, reservados o clasificados, de los sujetos obligados.</w:t>
      </w:r>
    </w:p>
    <w:p w:rsidRPr="00DB4F1F" w:rsidR="00DB4F1F" w:rsidP="00DB4F1F" w:rsidRDefault="00DB4F1F" w14:paraId="69AB4B79" w14:textId="77777777">
      <w:pPr>
        <w:spacing w:after="0" w:line="360" w:lineRule="auto"/>
        <w:rPr>
          <w:rFonts w:eastAsia="Times New Roman" w:cs="Tahoma"/>
          <w:color w:val="auto"/>
          <w:lang w:val="es-ES" w:eastAsia="es-ES"/>
        </w:rPr>
      </w:pPr>
    </w:p>
    <w:p w:rsidRPr="00DB4F1F" w:rsidR="00DB4F1F" w:rsidP="00DB4F1F" w:rsidRDefault="00DB4F1F" w14:paraId="6B7B56E4" w14:textId="77777777">
      <w:pPr>
        <w:spacing w:after="0" w:line="360" w:lineRule="auto"/>
        <w:rPr>
          <w:rFonts w:eastAsia="Times New Roman" w:cs="Tahoma"/>
          <w:color w:val="auto"/>
          <w:lang w:eastAsia="es-ES"/>
        </w:rPr>
      </w:pPr>
      <w:r w:rsidRPr="00DB4F1F">
        <w:rPr>
          <w:rFonts w:eastAsia="Times New Roman" w:cs="Tahoma"/>
          <w:color w:val="auto"/>
          <w:lang w:val="es-ES" w:eastAsia="es-ES"/>
        </w:rPr>
        <w:t>Así</w:t>
      </w:r>
      <w:r w:rsidRPr="00DB4F1F">
        <w:rPr>
          <w:rFonts w:eastAsia="Times New Roman" w:cs="Tahoma"/>
          <w:color w:val="auto"/>
          <w:lang w:eastAsia="es-ES"/>
        </w:rPr>
        <w:t xml:space="preserve">, es posible concluir que la </w:t>
      </w:r>
      <w:r w:rsidRPr="00DB4F1F">
        <w:rPr>
          <w:rFonts w:eastAsia="Times New Roman" w:cs="Tahoma"/>
          <w:b/>
          <w:color w:val="auto"/>
          <w:lang w:eastAsia="es-ES"/>
        </w:rPr>
        <w:t>inexistencia</w:t>
      </w:r>
      <w:r w:rsidRPr="00DB4F1F">
        <w:rPr>
          <w:rFonts w:eastAsia="Times New Roman" w:cs="Tahoma"/>
          <w:color w:val="auto"/>
          <w:lang w:eastAsia="es-ES"/>
        </w:rPr>
        <w:t xml:space="preserve"> presupone la competencia del sujeto obligado para conocer de la información, pero por alguna circunstancia, la documentación solicitada no obra en sus archivos. Lo cual, retoma el artículo 19, párrafo tercero de la Ley de Transparencia y Acceso a la Información Pública del Estado de México y Municipios, que establece que cuando los sujetos obligados, en el ejercicio de sus atribuciones, debía generar, poseer, administrar la información, pero está no se encuentra, el Comité de Transparencia, deberá emitir el acuerdo de inexistencia.</w:t>
      </w:r>
    </w:p>
    <w:p w:rsidRPr="00DB4F1F" w:rsidR="00DB4F1F" w:rsidP="00DB4F1F" w:rsidRDefault="00DB4F1F" w14:paraId="75C16548" w14:textId="77777777">
      <w:pPr>
        <w:shd w:val="clear" w:color="auto" w:fill="FFFFFF" w:themeFill="background1"/>
        <w:spacing w:after="0" w:line="360" w:lineRule="auto"/>
        <w:rPr>
          <w:rFonts w:eastAsia="Calibri" w:cs="Tahoma"/>
          <w:bCs/>
          <w:color w:val="auto"/>
        </w:rPr>
      </w:pPr>
    </w:p>
    <w:p w:rsidRPr="00DB4F1F" w:rsidR="00DB4F1F" w:rsidP="00DB4F1F" w:rsidRDefault="00DB4F1F" w14:paraId="1757701F" w14:textId="77777777">
      <w:pPr>
        <w:spacing w:after="0" w:line="360" w:lineRule="auto"/>
        <w:rPr>
          <w:rFonts w:eastAsia="Times New Roman" w:cs="Arial"/>
          <w:color w:val="auto"/>
          <w:lang w:eastAsia="es-ES"/>
        </w:rPr>
      </w:pPr>
      <w:r w:rsidRPr="00DB4F1F">
        <w:rPr>
          <w:rFonts w:eastAsia="Times New Roman" w:cs="Arial"/>
          <w:color w:val="auto"/>
          <w:lang w:eastAsia="es-ES"/>
        </w:rPr>
        <w:t>En ese orden de ideas, el Criterio 12/10 emitido por el Pleno del Instituto Nacional de Transparencia, Acceso a la Información y Protección de Datos Personales, mismo que se cita por analogía, en el que se establece lo siguiente:</w:t>
      </w:r>
    </w:p>
    <w:p w:rsidRPr="00DB4F1F" w:rsidR="00DB4F1F" w:rsidP="00DB4F1F" w:rsidRDefault="00DB4F1F" w14:paraId="10751D92" w14:textId="77777777">
      <w:pPr>
        <w:tabs>
          <w:tab w:val="left" w:pos="4667"/>
        </w:tabs>
        <w:spacing w:after="0" w:line="360" w:lineRule="auto"/>
        <w:rPr>
          <w:rFonts w:eastAsia="Times New Roman" w:cs="Arial"/>
          <w:lang w:eastAsia="es-ES"/>
        </w:rPr>
      </w:pPr>
    </w:p>
    <w:p w:rsidRPr="00DB4F1F" w:rsidR="00DB4F1F" w:rsidP="00DB4F1F" w:rsidRDefault="00DB4F1F" w14:paraId="77FC2860" w14:textId="77777777">
      <w:pPr>
        <w:tabs>
          <w:tab w:val="left" w:pos="4253"/>
        </w:tabs>
        <w:spacing w:after="0" w:line="360" w:lineRule="auto"/>
        <w:ind w:left="567" w:right="559"/>
        <w:rPr>
          <w:rFonts w:eastAsia="Times New Roman" w:cs="Arial"/>
          <w:b/>
          <w:bCs/>
          <w:i/>
          <w:color w:val="auto"/>
          <w:sz w:val="20"/>
          <w:szCs w:val="20"/>
          <w:lang w:eastAsia="es-ES"/>
        </w:rPr>
      </w:pPr>
      <w:r w:rsidRPr="00DB4F1F">
        <w:rPr>
          <w:rFonts w:eastAsia="Times New Roman" w:cs="Arial"/>
          <w:b/>
          <w:bCs/>
          <w:i/>
          <w:color w:val="auto"/>
          <w:sz w:val="20"/>
          <w:szCs w:val="20"/>
          <w:lang w:eastAsia="es-ES"/>
        </w:rPr>
        <w:t xml:space="preserve">“Propósito de la declaración formal de inexistencia. </w:t>
      </w:r>
      <w:r w:rsidRPr="00DB4F1F">
        <w:rPr>
          <w:rFonts w:eastAsia="Times New Roman" w:cs="Arial"/>
          <w:bCs/>
          <w:i/>
          <w:color w:val="auto"/>
          <w:sz w:val="20"/>
          <w:szCs w:val="20"/>
          <w:lang w:eastAsia="es-ES"/>
        </w:rPr>
        <w:t xml:space="preserve">Atendiendo a lo dispuesto por los artículos 43, 46 de la Ley Federal de Transparencia y Acceso a la Información Pública Gubernamental y 70 de su Reglamento, en los que se prevé el procedimiento a seguir para declarar la inexistencia de la información, el propósito de que los Comités de Información de los sujetos obligados por la Ley Federal de Transparencia y Acceso  a  la  Información Pública Gubernamental emitan una declaración que confirme, en su caso, la inexistencia de la información solicitada, </w:t>
      </w:r>
      <w:r w:rsidRPr="00DB4F1F">
        <w:rPr>
          <w:rFonts w:eastAsia="Times New Roman" w:cs="Arial"/>
          <w:b/>
          <w:bCs/>
          <w:i/>
          <w:color w:val="auto"/>
          <w:sz w:val="20"/>
          <w:szCs w:val="20"/>
          <w:lang w:eastAsia="es-ES"/>
        </w:rPr>
        <w:t xml:space="preserve">es garantizar al solicitante que efectivamente se realizaron las gestiones necesarias para la ubicación de la información de su interés, y que éstas fueron las adecuadas para atender a la particularidad del caso concreto. En ese sentido, las declaraciones de inexistencia de los Comités de Información deben contener los elementos suficientes para generar en los solicitantes la certeza del carácter exhaustivo de la búsqueda de la información solicitada y de que su solicitud fue atendida debidamente; es decir, deben motivar o precisar las razones por las que se buscó </w:t>
      </w:r>
      <w:r w:rsidRPr="00DB4F1F">
        <w:rPr>
          <w:rFonts w:eastAsia="Times New Roman" w:cs="Arial"/>
          <w:b/>
          <w:bCs/>
          <w:i/>
          <w:color w:val="auto"/>
          <w:sz w:val="20"/>
          <w:szCs w:val="20"/>
          <w:lang w:eastAsia="es-ES"/>
        </w:rPr>
        <w:lastRenderedPageBreak/>
        <w:t xml:space="preserve">la información en determinada(s) unidad(es) administrativa(s), los criterios de búsqueda utilizados, y las demás circunstancias que fueron tomadas en cuenta.” </w:t>
      </w:r>
    </w:p>
    <w:p w:rsidRPr="00DB4F1F" w:rsidR="00DB4F1F" w:rsidP="00DB4F1F" w:rsidRDefault="00DB4F1F" w14:paraId="1FA5EFE0" w14:textId="77777777">
      <w:pPr>
        <w:tabs>
          <w:tab w:val="left" w:pos="4667"/>
        </w:tabs>
        <w:spacing w:after="0" w:line="360" w:lineRule="auto"/>
        <w:rPr>
          <w:rFonts w:eastAsia="Times New Roman" w:cs="Arial"/>
          <w:lang w:eastAsia="es-ES"/>
        </w:rPr>
      </w:pPr>
    </w:p>
    <w:p w:rsidRPr="00DB4F1F" w:rsidR="00DB4F1F" w:rsidP="00DB4F1F" w:rsidRDefault="00DB4F1F" w14:paraId="3BF027BC" w14:textId="77777777">
      <w:pPr>
        <w:tabs>
          <w:tab w:val="left" w:pos="4667"/>
        </w:tabs>
        <w:spacing w:after="0" w:line="360" w:lineRule="auto"/>
        <w:rPr>
          <w:rFonts w:eastAsia="Times New Roman" w:cs="Arial"/>
          <w:lang w:eastAsia="es-ES"/>
        </w:rPr>
      </w:pPr>
      <w:r w:rsidRPr="00DB4F1F">
        <w:rPr>
          <w:rFonts w:eastAsia="Times New Roman" w:cs="Arial"/>
          <w:lang w:eastAsia="es-ES"/>
        </w:rPr>
        <w:t>De la misma manera, el Criterio 14/19 emitido por el Instituto de Transparencia, Acceso a la Información y Protección de Datos Personales, establece lo siguiente:</w:t>
      </w:r>
    </w:p>
    <w:p w:rsidRPr="00DB4F1F" w:rsidR="00DB4F1F" w:rsidP="00DB4F1F" w:rsidRDefault="00DB4F1F" w14:paraId="07313C74" w14:textId="77777777">
      <w:pPr>
        <w:tabs>
          <w:tab w:val="left" w:pos="4667"/>
        </w:tabs>
        <w:spacing w:after="0" w:line="360" w:lineRule="auto"/>
        <w:rPr>
          <w:rFonts w:eastAsia="Times New Roman" w:cs="Arial"/>
          <w:lang w:eastAsia="es-ES"/>
        </w:rPr>
      </w:pPr>
    </w:p>
    <w:p w:rsidRPr="00DB4F1F" w:rsidR="00DB4F1F" w:rsidP="00DB4F1F" w:rsidRDefault="00DB4F1F" w14:paraId="06E8E9DD" w14:textId="77777777">
      <w:pPr>
        <w:tabs>
          <w:tab w:val="left" w:pos="4667"/>
        </w:tabs>
        <w:spacing w:after="0" w:line="360" w:lineRule="auto"/>
        <w:ind w:left="567" w:right="567"/>
        <w:rPr>
          <w:rFonts w:eastAsia="Times New Roman" w:cs="Arial"/>
          <w:bCs/>
          <w:i/>
          <w:color w:val="auto"/>
          <w:sz w:val="20"/>
          <w:szCs w:val="20"/>
          <w:lang w:eastAsia="es-ES"/>
        </w:rPr>
      </w:pPr>
      <w:r w:rsidRPr="00DB4F1F">
        <w:rPr>
          <w:rFonts w:eastAsia="Times New Roman" w:cs="Arial"/>
          <w:b/>
          <w:i/>
          <w:color w:val="auto"/>
          <w:sz w:val="20"/>
          <w:szCs w:val="20"/>
          <w:lang w:eastAsia="es-ES"/>
        </w:rPr>
        <w:t>“Propósito de la declaración formal de inexistencia.</w:t>
      </w:r>
      <w:r w:rsidRPr="00DB4F1F">
        <w:rPr>
          <w:rFonts w:eastAsia="Times New Roman" w:cs="Arial"/>
          <w:bCs/>
          <w:i/>
          <w:color w:val="auto"/>
          <w:sz w:val="20"/>
          <w:szCs w:val="20"/>
          <w:lang w:eastAsia="es-ES"/>
        </w:rPr>
        <w:t xml:space="preserve"> El propósito de que los Comités de Transparencia emitan una declaración que confirme la inexistencia de la información solicitada, es garantizar al solicitante que se realizaron las gestiones necesarias para la ubicación de la información de su interés; por lo cual, el acta en el que se haga constar esa declaración formal de inexistencia, debe contener los elementos suficientes para generar en los solicitantes la certeza del carácter exhaustivo de la búsqueda de lo solicitado.”</w:t>
      </w:r>
    </w:p>
    <w:p w:rsidRPr="00DB4F1F" w:rsidR="00DB4F1F" w:rsidP="00DB4F1F" w:rsidRDefault="00DB4F1F" w14:paraId="30606DD9" w14:textId="77777777">
      <w:pPr>
        <w:tabs>
          <w:tab w:val="left" w:pos="4667"/>
        </w:tabs>
        <w:spacing w:after="0" w:line="360" w:lineRule="auto"/>
        <w:rPr>
          <w:rFonts w:eastAsia="Times New Roman" w:cs="Arial"/>
          <w:lang w:eastAsia="es-ES"/>
        </w:rPr>
      </w:pPr>
    </w:p>
    <w:p w:rsidRPr="00DB4F1F" w:rsidR="00DB4F1F" w:rsidP="00DB4F1F" w:rsidRDefault="00DB4F1F" w14:paraId="7E62D7E6" w14:textId="77777777">
      <w:pPr>
        <w:tabs>
          <w:tab w:val="left" w:pos="4667"/>
        </w:tabs>
        <w:spacing w:after="0" w:line="360" w:lineRule="auto"/>
        <w:rPr>
          <w:rFonts w:eastAsia="Times New Roman" w:cs="Arial"/>
          <w:lang w:eastAsia="es-ES"/>
        </w:rPr>
      </w:pPr>
      <w:r w:rsidRPr="00DB4F1F">
        <w:rPr>
          <w:rFonts w:eastAsia="Times New Roman" w:cs="Arial"/>
          <w:lang w:eastAsia="es-ES"/>
        </w:rPr>
        <w:t>De los criterios citados, se puede advertir que las declaraciones de inexistencia de los Comités de Transparencia, deben contener los elementos suficientes para generar en los solicitantes la certeza del carácter exhaustivo de la búsqueda de la información, esto es, que deben fundar y motivar las razones por las cuales, se buscó la información en determinadas unidades administrativas, los criterios de búsqueda y demás circunstancias tomadas en cuenta, con el fin de garantizar al solicitante que efectivamente se hicieron las gestiones necesarias para localizar la documentación de su interés.</w:t>
      </w:r>
    </w:p>
    <w:p w:rsidRPr="00DB4F1F" w:rsidR="00DB4F1F" w:rsidP="00DB4F1F" w:rsidRDefault="00DB4F1F" w14:paraId="310189FE" w14:textId="77777777">
      <w:pPr>
        <w:spacing w:after="0" w:line="360" w:lineRule="auto"/>
        <w:ind w:right="-93"/>
        <w:rPr>
          <w:rFonts w:eastAsia="Times New Roman" w:cs="Tahoma"/>
          <w:color w:val="auto"/>
          <w:szCs w:val="20"/>
          <w:lang w:val="es-ES" w:eastAsia="es-ES"/>
        </w:rPr>
      </w:pPr>
    </w:p>
    <w:p w:rsidRPr="00DB4F1F" w:rsidR="00DB4F1F" w:rsidP="00DB4F1F" w:rsidRDefault="00DB4F1F" w14:paraId="23179D6E" w14:textId="77777777">
      <w:pPr>
        <w:spacing w:after="0" w:line="360" w:lineRule="auto"/>
        <w:ind w:right="-93"/>
        <w:rPr>
          <w:rFonts w:eastAsia="Times New Roman" w:cs="Tahoma"/>
          <w:bCs/>
          <w:color w:val="auto"/>
          <w:szCs w:val="20"/>
          <w:lang w:eastAsia="es-ES"/>
        </w:rPr>
      </w:pPr>
      <w:r w:rsidRPr="00DB4F1F">
        <w:rPr>
          <w:rFonts w:eastAsia="Times New Roman" w:cs="Tahoma"/>
          <w:bCs/>
          <w:color w:val="auto"/>
          <w:szCs w:val="20"/>
          <w:lang w:eastAsia="es-ES"/>
        </w:rPr>
        <w:t>Además, según Calero, Natalia (2016), en la “Ley General de Transparencia y Acceso a la Información Pública Comentada” (p. 419), establece que las declaraciones de inexistencia, deben contener lo siguiente:</w:t>
      </w:r>
    </w:p>
    <w:p w:rsidRPr="00DB4F1F" w:rsidR="00DB4F1F" w:rsidP="00DB4F1F" w:rsidRDefault="00DB4F1F" w14:paraId="5BFF5BBA" w14:textId="77777777">
      <w:pPr>
        <w:spacing w:after="0" w:line="360" w:lineRule="auto"/>
        <w:ind w:right="-93"/>
        <w:jc w:val="left"/>
        <w:rPr>
          <w:rFonts w:eastAsia="Times New Roman" w:cs="Tahoma"/>
          <w:bCs/>
          <w:color w:val="auto"/>
          <w:szCs w:val="20"/>
          <w:lang w:eastAsia="es-ES"/>
        </w:rPr>
      </w:pPr>
    </w:p>
    <w:p w:rsidRPr="00DB4F1F" w:rsidR="00DB4F1F" w:rsidP="00DB4F1F" w:rsidRDefault="00DB4F1F" w14:paraId="6E6ED572" w14:textId="77777777">
      <w:pPr>
        <w:numPr>
          <w:ilvl w:val="0"/>
          <w:numId w:val="40"/>
        </w:numPr>
        <w:spacing w:after="0" w:line="360" w:lineRule="auto"/>
        <w:ind w:right="-93"/>
        <w:contextualSpacing/>
        <w:rPr>
          <w:rFonts w:eastAsia="Times New Roman" w:cs="Tahoma"/>
          <w:b/>
          <w:bCs/>
          <w:color w:val="auto"/>
          <w:szCs w:val="24"/>
          <w:lang w:eastAsia="es-ES"/>
        </w:rPr>
      </w:pPr>
      <w:r w:rsidRPr="00DB4F1F">
        <w:rPr>
          <w:rFonts w:eastAsia="Times New Roman" w:cs="Tahoma"/>
          <w:b/>
          <w:bCs/>
          <w:color w:val="auto"/>
          <w:szCs w:val="24"/>
          <w:lang w:eastAsia="es-ES"/>
        </w:rPr>
        <w:t>Los elementos que le permitan a los solicitantes tener certeza de que el Sujeto Obligado utilizó un criterio de búsqueda exhaustivo:</w:t>
      </w:r>
      <w:r w:rsidRPr="00DB4F1F">
        <w:rPr>
          <w:rFonts w:eastAsia="Times New Roman" w:cs="Tahoma"/>
          <w:bCs/>
          <w:color w:val="auto"/>
          <w:szCs w:val="24"/>
          <w:lang w:eastAsia="es-ES"/>
        </w:rPr>
        <w:t xml:space="preserve"> Para atender dicho supuesto, se </w:t>
      </w:r>
      <w:r w:rsidRPr="00DB4F1F">
        <w:rPr>
          <w:rFonts w:eastAsia="Times New Roman" w:cs="Tahoma"/>
          <w:bCs/>
          <w:color w:val="auto"/>
          <w:szCs w:val="24"/>
          <w:lang w:eastAsia="es-ES"/>
        </w:rPr>
        <w:lastRenderedPageBreak/>
        <w:t>debe precisar en qué unidades administrativas buscó, así como en el tipo de archivos y la manera en que realizó la indagación;</w:t>
      </w:r>
    </w:p>
    <w:p w:rsidRPr="00DB4F1F" w:rsidR="00DB4F1F" w:rsidP="00DB4F1F" w:rsidRDefault="00DB4F1F" w14:paraId="2CFF5F51" w14:textId="77777777">
      <w:pPr>
        <w:spacing w:after="0" w:line="360" w:lineRule="auto"/>
        <w:ind w:left="720" w:right="-93"/>
        <w:contextualSpacing/>
        <w:rPr>
          <w:rFonts w:eastAsia="Times New Roman" w:cs="Tahoma"/>
          <w:b/>
          <w:bCs/>
          <w:color w:val="auto"/>
          <w:szCs w:val="24"/>
          <w:lang w:eastAsia="es-ES"/>
        </w:rPr>
      </w:pPr>
    </w:p>
    <w:p w:rsidRPr="00DB4F1F" w:rsidR="00DB4F1F" w:rsidP="00DB4F1F" w:rsidRDefault="00DB4F1F" w14:paraId="5BF8654A" w14:textId="77777777">
      <w:pPr>
        <w:numPr>
          <w:ilvl w:val="0"/>
          <w:numId w:val="40"/>
        </w:numPr>
        <w:spacing w:after="0" w:line="360" w:lineRule="auto"/>
        <w:ind w:right="-93"/>
        <w:contextualSpacing/>
        <w:rPr>
          <w:rFonts w:eastAsia="Times New Roman" w:cs="Tahoma"/>
          <w:b/>
          <w:bCs/>
          <w:color w:val="auto"/>
          <w:szCs w:val="24"/>
          <w:lang w:eastAsia="es-ES"/>
        </w:rPr>
      </w:pPr>
      <w:r w:rsidRPr="00DB4F1F">
        <w:rPr>
          <w:rFonts w:eastAsia="Times New Roman" w:cs="Tahoma"/>
          <w:b/>
          <w:bCs/>
          <w:color w:val="auto"/>
          <w:szCs w:val="24"/>
          <w:lang w:eastAsia="es-ES"/>
        </w:rPr>
        <w:t xml:space="preserve">Las circunstancias de tiempo, modo y lugar que motiven las razones por las cuales la información es inexistente: </w:t>
      </w:r>
      <w:r w:rsidRPr="00DB4F1F">
        <w:rPr>
          <w:rFonts w:eastAsia="Times New Roman" w:cs="Tahoma"/>
          <w:bCs/>
          <w:color w:val="auto"/>
          <w:szCs w:val="24"/>
          <w:lang w:eastAsia="es-ES"/>
        </w:rPr>
        <w:t>Al respecto, los sujetos obligados para acreditar dicho punto, deberán proveer la mayor cantidad de elementos posibles que permitan evidencia las razones por las cuales la información requerida no existe</w:t>
      </w:r>
      <w:r w:rsidRPr="00DB4F1F">
        <w:rPr>
          <w:rFonts w:eastAsia="Times New Roman" w:cs="Tahoma"/>
          <w:b/>
          <w:bCs/>
          <w:color w:val="auto"/>
          <w:szCs w:val="24"/>
          <w:lang w:eastAsia="es-ES"/>
        </w:rPr>
        <w:t>,</w:t>
      </w:r>
      <w:r w:rsidRPr="00DB4F1F">
        <w:rPr>
          <w:rFonts w:eastAsia="Times New Roman" w:cs="Tahoma"/>
          <w:bCs/>
          <w:color w:val="auto"/>
          <w:szCs w:val="24"/>
          <w:lang w:eastAsia="es-ES"/>
        </w:rPr>
        <w:t xml:space="preserve"> y</w:t>
      </w:r>
    </w:p>
    <w:p w:rsidRPr="00DB4F1F" w:rsidR="00DB4F1F" w:rsidP="00DB4F1F" w:rsidRDefault="00DB4F1F" w14:paraId="6352B0EE" w14:textId="77777777">
      <w:pPr>
        <w:spacing w:after="0" w:line="240" w:lineRule="auto"/>
        <w:ind w:left="720"/>
        <w:contextualSpacing/>
        <w:jc w:val="left"/>
        <w:rPr>
          <w:rFonts w:eastAsia="Times New Roman" w:cs="Tahoma"/>
          <w:b/>
          <w:bCs/>
          <w:color w:val="auto"/>
          <w:szCs w:val="24"/>
          <w:lang w:eastAsia="es-ES"/>
        </w:rPr>
      </w:pPr>
    </w:p>
    <w:p w:rsidRPr="00DB4F1F" w:rsidR="00DB4F1F" w:rsidP="00DB4F1F" w:rsidRDefault="00DB4F1F" w14:paraId="765A8D9F" w14:textId="77777777">
      <w:pPr>
        <w:numPr>
          <w:ilvl w:val="0"/>
          <w:numId w:val="40"/>
        </w:numPr>
        <w:spacing w:after="0" w:line="360" w:lineRule="auto"/>
        <w:ind w:right="-93"/>
        <w:contextualSpacing/>
        <w:rPr>
          <w:rFonts w:eastAsia="Times New Roman" w:cs="Tahoma"/>
          <w:b/>
          <w:bCs/>
          <w:color w:val="auto"/>
          <w:szCs w:val="24"/>
          <w:lang w:eastAsia="es-ES"/>
        </w:rPr>
      </w:pPr>
      <w:r w:rsidRPr="00DB4F1F">
        <w:rPr>
          <w:rFonts w:eastAsia="Times New Roman" w:cs="Tahoma"/>
          <w:b/>
          <w:bCs/>
          <w:color w:val="auto"/>
          <w:szCs w:val="24"/>
          <w:lang w:eastAsia="es-ES"/>
        </w:rPr>
        <w:t>El servidor público responsable de contar con ésta</w:t>
      </w:r>
      <w:r w:rsidRPr="00DB4F1F">
        <w:rPr>
          <w:rFonts w:eastAsia="Times New Roman" w:cs="Tahoma"/>
          <w:bCs/>
          <w:color w:val="auto"/>
          <w:szCs w:val="24"/>
          <w:lang w:eastAsia="es-ES"/>
        </w:rPr>
        <w:t>: Es importante indicar, el cargo y las razones jurídicas por las cuales debió generar la información, es decir, que con base a la normatividad interna las facultades por las cuales tuvo que elaborar el documento requerido.</w:t>
      </w:r>
    </w:p>
    <w:p w:rsidRPr="00DB4F1F" w:rsidR="00DB4F1F" w:rsidP="00DB4F1F" w:rsidRDefault="00DB4F1F" w14:paraId="0AF813F0" w14:textId="77777777">
      <w:pPr>
        <w:spacing w:after="0" w:line="360" w:lineRule="auto"/>
        <w:ind w:right="-93"/>
        <w:rPr>
          <w:rFonts w:eastAsia="Times New Roman" w:cs="Tahoma"/>
          <w:color w:val="auto"/>
          <w:szCs w:val="20"/>
          <w:lang w:val="es-ES" w:eastAsia="es-ES"/>
        </w:rPr>
      </w:pPr>
    </w:p>
    <w:p w:rsidR="00DB4F1F" w:rsidP="00D33235" w:rsidRDefault="00DB4F1F" w14:paraId="564D4E0C" w14:textId="461D58A4">
      <w:pPr>
        <w:spacing w:after="0" w:line="360" w:lineRule="auto"/>
        <w:rPr>
          <w:rFonts w:eastAsia="Times New Roman" w:cs="Times New Roman"/>
          <w:lang w:val="es-ES_tradnl" w:eastAsia="es-ES_tradnl"/>
        </w:rPr>
      </w:pPr>
      <w:r w:rsidRPr="00DB4F1F">
        <w:rPr>
          <w:rFonts w:eastAsia="Times New Roman" w:cs="Tahoma"/>
          <w:color w:val="auto"/>
          <w:szCs w:val="24"/>
          <w:lang w:eastAsia="es-MX"/>
        </w:rPr>
        <w:t xml:space="preserve">Conforme a lo anterior, en el presente caso, se considera que es necesario que el Ayuntamiento de </w:t>
      </w:r>
      <w:proofErr w:type="spellStart"/>
      <w:r w:rsidR="00D33235">
        <w:rPr>
          <w:rFonts w:eastAsia="Times New Roman" w:cs="Tahoma"/>
          <w:color w:val="auto"/>
          <w:szCs w:val="24"/>
          <w:lang w:eastAsia="es-MX"/>
        </w:rPr>
        <w:t>Tepetlaoxtoc</w:t>
      </w:r>
      <w:proofErr w:type="spellEnd"/>
      <w:r w:rsidRPr="00DB4F1F">
        <w:rPr>
          <w:rFonts w:eastAsia="Times New Roman" w:cs="Tahoma"/>
          <w:color w:val="auto"/>
          <w:szCs w:val="24"/>
          <w:lang w:eastAsia="es-MX"/>
        </w:rPr>
        <w:t xml:space="preserve">, </w:t>
      </w:r>
      <w:r w:rsidRPr="00DB4F1F">
        <w:rPr>
          <w:rFonts w:eastAsia="Times New Roman" w:cs="Tahoma"/>
          <w:b/>
          <w:color w:val="auto"/>
          <w:szCs w:val="24"/>
          <w:lang w:eastAsia="es-MX"/>
        </w:rPr>
        <w:t xml:space="preserve">declare por medio de su Comité de Transparencia, la inexistencia de la información </w:t>
      </w:r>
      <w:r w:rsidR="00D33235">
        <w:rPr>
          <w:rFonts w:eastAsia="Times New Roman" w:cs="Tahoma"/>
          <w:b/>
          <w:color w:val="auto"/>
          <w:szCs w:val="24"/>
          <w:lang w:eastAsia="es-MX"/>
        </w:rPr>
        <w:t>previamente señalada.</w:t>
      </w:r>
    </w:p>
    <w:p w:rsidRPr="00DB4F1F" w:rsidR="00DB4F1F" w:rsidP="00DB4F1F" w:rsidRDefault="00DB4F1F" w14:paraId="173533DC" w14:textId="77777777">
      <w:pPr>
        <w:spacing w:after="0" w:line="360" w:lineRule="auto"/>
        <w:ind w:right="113"/>
        <w:rPr>
          <w:rFonts w:eastAsia="Times New Roman" w:cs="Times New Roman"/>
          <w:lang w:val="es-ES_tradnl" w:eastAsia="es-ES_tradnl"/>
        </w:rPr>
      </w:pPr>
    </w:p>
    <w:p w:rsidRPr="00E109A9" w:rsidR="00E109A9" w:rsidP="00B034A6" w:rsidRDefault="00E109A9" w14:paraId="1F610D22" w14:textId="77777777">
      <w:pPr>
        <w:tabs>
          <w:tab w:val="left" w:pos="4962"/>
        </w:tabs>
        <w:spacing w:after="0" w:line="360" w:lineRule="auto"/>
        <w:rPr>
          <w:rFonts w:eastAsia="Times New Roman" w:cs="Tahoma"/>
          <w:bCs/>
          <w:color w:val="auto"/>
          <w:lang w:val="es-ES" w:eastAsia="es-ES"/>
        </w:rPr>
      </w:pPr>
      <w:r w:rsidRPr="00E109A9">
        <w:rPr>
          <w:rFonts w:eastAsia="Times New Roman" w:cs="Tahoma"/>
          <w:bCs/>
          <w:color w:val="auto"/>
          <w:lang w:val="es-ES_tradnl" w:eastAsia="es-ES"/>
        </w:rPr>
        <w:t>Finalmente, no pasa desapercibido para este Instituto que los documentos que den cuenta de lo solicitado, pudieran contener datos o información clasificada; por lo que, en el supuesto, deberá elaborar la versión pública respectiva; a</w:t>
      </w:r>
      <w:r w:rsidRPr="00E109A9">
        <w:rPr>
          <w:rFonts w:eastAsia="Times New Roman" w:cs="Tahoma"/>
          <w:bCs/>
          <w:color w:val="auto"/>
          <w:lang w:val="es-ES" w:eastAsia="es-ES"/>
        </w:rPr>
        <w:t>l respecto, conforme al artículo 3°, fracción XLV, relacionado con el 137, ambos de la Ley de Transparencia y Acceso a la Información Pública del Estado de México y Municipios, cuando un documento contenga información pública y clasificada, la Unidad de Transparencia para efectos de atender al requerimiento informativo, deberá elaborar una versión pública en la que se testen las partes o secciones clasificadas, indicando su contenido de manera genérica y fundando y motivando su clasificación.</w:t>
      </w:r>
    </w:p>
    <w:p w:rsidRPr="00E109A9" w:rsidR="00E109A9" w:rsidP="00B034A6" w:rsidRDefault="00E109A9" w14:paraId="69418B92" w14:textId="77777777">
      <w:pPr>
        <w:tabs>
          <w:tab w:val="left" w:pos="4962"/>
        </w:tabs>
        <w:spacing w:after="0" w:line="360" w:lineRule="auto"/>
        <w:rPr>
          <w:rFonts w:eastAsia="Times New Roman" w:cs="Tahoma"/>
          <w:bCs/>
          <w:color w:val="auto"/>
          <w:lang w:val="es-ES" w:eastAsia="es-ES"/>
        </w:rPr>
      </w:pPr>
    </w:p>
    <w:p w:rsidR="00E109A9" w:rsidP="00B034A6" w:rsidRDefault="00E109A9" w14:paraId="12943F0D" w14:textId="3EDD2FA8">
      <w:pPr>
        <w:tabs>
          <w:tab w:val="left" w:pos="4962"/>
        </w:tabs>
        <w:spacing w:after="0" w:line="360" w:lineRule="auto"/>
        <w:rPr>
          <w:rFonts w:eastAsia="Times New Roman" w:cs="Tahoma"/>
          <w:bCs/>
          <w:color w:val="auto"/>
          <w:lang w:val="es-ES" w:eastAsia="es-ES"/>
        </w:rPr>
      </w:pPr>
      <w:r w:rsidRPr="00E109A9">
        <w:rPr>
          <w:rFonts w:eastAsia="Times New Roman" w:cs="Tahoma"/>
          <w:bCs/>
          <w:color w:val="auto"/>
          <w:lang w:val="es-ES" w:eastAsia="es-ES"/>
        </w:rPr>
        <w:lastRenderedPageBreak/>
        <w:t>Para tal situación, el Sujeto Obligado deberá seguir el procedimiento establecido en el artículo 168 de dicho ordenamiento jurídico; esto es, que el área competente deberá elaborar la versión pública, así como emitir el Acuerdo, por parte del Comité de Transparencia, donde confirme la clasificación de los datos, fundando y motivando la clasificación.</w:t>
      </w:r>
    </w:p>
    <w:p w:rsidRPr="00E109A9" w:rsidR="00EE7157" w:rsidP="00B034A6" w:rsidRDefault="00EE7157" w14:paraId="467A0E68" w14:textId="77777777">
      <w:pPr>
        <w:tabs>
          <w:tab w:val="left" w:pos="4962"/>
        </w:tabs>
        <w:spacing w:after="0" w:line="360" w:lineRule="auto"/>
        <w:rPr>
          <w:rFonts w:eastAsia="Times New Roman" w:cs="Tahoma"/>
          <w:bCs/>
          <w:color w:val="auto"/>
          <w:lang w:val="es-ES" w:eastAsia="es-ES"/>
        </w:rPr>
      </w:pPr>
    </w:p>
    <w:p w:rsidRPr="00446963" w:rsidR="00066B31" w:rsidP="00B034A6" w:rsidRDefault="00066B31" w14:paraId="0C6DF11A" w14:textId="77777777">
      <w:pPr>
        <w:spacing w:after="0" w:line="360" w:lineRule="auto"/>
        <w:rPr>
          <w:rFonts w:eastAsia="Times New Roman" w:cs="Tahoma"/>
          <w:b/>
          <w:lang w:eastAsia="es-ES"/>
        </w:rPr>
      </w:pPr>
      <w:r w:rsidRPr="00446963">
        <w:rPr>
          <w:rFonts w:eastAsia="Times New Roman" w:cs="Tahoma"/>
          <w:b/>
          <w:lang w:eastAsia="es-ES"/>
        </w:rPr>
        <w:t xml:space="preserve">SEXTO. Decisión. </w:t>
      </w:r>
    </w:p>
    <w:p w:rsidRPr="00446963" w:rsidR="00066B31" w:rsidP="00B034A6" w:rsidRDefault="00066B31" w14:paraId="70C71C07" w14:textId="77777777">
      <w:pPr>
        <w:spacing w:after="0" w:line="360" w:lineRule="auto"/>
        <w:rPr>
          <w:rFonts w:eastAsia="Times New Roman" w:cs="Tahoma"/>
          <w:lang w:eastAsia="es-ES"/>
        </w:rPr>
      </w:pPr>
    </w:p>
    <w:p w:rsidR="00D33235" w:rsidP="00D33235" w:rsidRDefault="00BD6C52" w14:paraId="072C3A06" w14:textId="77777777">
      <w:pPr>
        <w:tabs>
          <w:tab w:val="left" w:pos="4962"/>
        </w:tabs>
        <w:spacing w:after="0" w:line="360" w:lineRule="auto"/>
        <w:rPr>
          <w:rFonts w:eastAsia="Calibri" w:cs="Tahoma"/>
          <w:iCs/>
          <w:lang w:val="es-ES" w:eastAsia="es-ES_tradnl"/>
        </w:rPr>
      </w:pPr>
      <w:r w:rsidRPr="00BD6C52">
        <w:rPr>
          <w:rFonts w:eastAsia="Calibri" w:cs="Tahoma"/>
        </w:rPr>
        <w:t xml:space="preserve">Con fundamento en el artículo 186, fracción III, de la Ley de Transparencia y Acceso a la Información Pública del Estado de México y Municipios, este Instituto considera procedente </w:t>
      </w:r>
      <w:r w:rsidR="00CE7C41">
        <w:rPr>
          <w:rFonts w:eastAsia="Calibri" w:cs="Tahoma"/>
          <w:b/>
        </w:rPr>
        <w:t>MODIFI</w:t>
      </w:r>
      <w:r w:rsidR="00CA0939">
        <w:rPr>
          <w:rFonts w:eastAsia="Calibri" w:cs="Tahoma"/>
          <w:b/>
        </w:rPr>
        <w:t>CAR</w:t>
      </w:r>
      <w:r w:rsidRPr="00BD6C52">
        <w:rPr>
          <w:rFonts w:eastAsia="Calibri" w:cs="Tahoma"/>
          <w:b/>
        </w:rPr>
        <w:t xml:space="preserve"> </w:t>
      </w:r>
      <w:r w:rsidRPr="00BD6C52">
        <w:rPr>
          <w:rFonts w:eastAsia="Calibri" w:cs="Tahoma"/>
          <w:bCs/>
        </w:rPr>
        <w:t>la</w:t>
      </w:r>
      <w:r w:rsidRPr="00BD6C52">
        <w:rPr>
          <w:rFonts w:eastAsia="Calibri" w:cs="Tahoma"/>
        </w:rPr>
        <w:t xml:space="preserve"> respuesta otorgada por el </w:t>
      </w:r>
      <w:r w:rsidRPr="004B2823" w:rsidR="004B2823">
        <w:rPr>
          <w:rFonts w:eastAsia="Calibri" w:cs="Tahoma"/>
        </w:rPr>
        <w:t xml:space="preserve">Ayuntamiento de </w:t>
      </w:r>
      <w:r w:rsidRPr="00CE7C41" w:rsidR="00CE7C41">
        <w:rPr>
          <w:rFonts w:eastAsia="Calibri" w:cs="Tahoma"/>
        </w:rPr>
        <w:t>Tepetlaoxtoc</w:t>
      </w:r>
      <w:r w:rsidRPr="00BD6C52">
        <w:rPr>
          <w:rFonts w:eastAsia="Calibri" w:cs="Tahoma"/>
        </w:rPr>
        <w:t>, a efecto de que, previa búsqueda exhaustiva y razonable en todas las áreas competentes</w:t>
      </w:r>
      <w:r w:rsidR="00CA0939">
        <w:rPr>
          <w:rFonts w:eastAsia="Calibri" w:cs="Tahoma"/>
        </w:rPr>
        <w:t xml:space="preserve">, entre las cuales no podrá omitir a la </w:t>
      </w:r>
      <w:r w:rsidRPr="004B2823" w:rsidR="004B2823">
        <w:rPr>
          <w:rFonts w:eastAsia="Calibri" w:cs="Tahoma"/>
        </w:rPr>
        <w:t xml:space="preserve">Dirección de </w:t>
      </w:r>
      <w:r w:rsidR="0049173B">
        <w:rPr>
          <w:rFonts w:eastAsia="Calibri" w:cs="Tahoma"/>
        </w:rPr>
        <w:t>Administración</w:t>
      </w:r>
      <w:r w:rsidR="00D33235">
        <w:rPr>
          <w:rFonts w:eastAsia="Calibri" w:cs="Tahoma"/>
        </w:rPr>
        <w:t>, la Dirección de Obras Públicas y Desarrollo Urbano</w:t>
      </w:r>
      <w:r w:rsidR="0049173B">
        <w:rPr>
          <w:rFonts w:eastAsia="Calibri" w:cs="Tahoma"/>
        </w:rPr>
        <w:t xml:space="preserve"> y la Secretaría del Ayuntamiento</w:t>
      </w:r>
      <w:r w:rsidRPr="00BD6C52">
        <w:rPr>
          <w:rFonts w:eastAsia="Calibri" w:cs="Tahoma"/>
        </w:rPr>
        <w:t>, entregue</w:t>
      </w:r>
      <w:r w:rsidR="00D33235">
        <w:rPr>
          <w:rFonts w:eastAsia="Calibri" w:cs="Tahoma"/>
        </w:rPr>
        <w:t>,</w:t>
      </w:r>
      <w:r w:rsidRPr="00BD6C52">
        <w:rPr>
          <w:rFonts w:eastAsia="Calibri" w:cs="Tahoma"/>
          <w:iCs/>
          <w:lang w:eastAsia="es-ES_tradnl"/>
        </w:rPr>
        <w:t xml:space="preserve"> en su caso, en versión pública</w:t>
      </w:r>
      <w:r w:rsidR="000970EB">
        <w:rPr>
          <w:rFonts w:eastAsia="Calibri" w:cs="Tahoma"/>
          <w:iCs/>
          <w:lang w:eastAsia="es-ES_tradnl"/>
        </w:rPr>
        <w:t xml:space="preserve">, </w:t>
      </w:r>
      <w:r w:rsidR="00D33235">
        <w:rPr>
          <w:rFonts w:eastAsia="Calibri" w:cs="Tahoma"/>
          <w:iCs/>
          <w:lang w:val="es-ES" w:eastAsia="es-ES_tradnl"/>
        </w:rPr>
        <w:t xml:space="preserve">del primero de enero de </w:t>
      </w:r>
      <w:r w:rsidRPr="00A159C9" w:rsidR="00D33235">
        <w:rPr>
          <w:rFonts w:eastAsia="Calibri" w:cs="Tahoma"/>
          <w:iCs/>
          <w:lang w:val="es-ES" w:eastAsia="es-ES_tradnl"/>
        </w:rPr>
        <w:t xml:space="preserve">dos mil </w:t>
      </w:r>
      <w:r w:rsidRPr="00FE50B8" w:rsidR="00D33235">
        <w:rPr>
          <w:rFonts w:eastAsia="Calibri" w:cs="Tahoma"/>
          <w:iCs/>
          <w:lang w:val="es-ES" w:eastAsia="es-ES_tradnl"/>
        </w:rPr>
        <w:t xml:space="preserve">doce </w:t>
      </w:r>
      <w:r w:rsidRPr="00FE50B8" w:rsidR="00D33235">
        <w:rPr>
          <w:rFonts w:eastAsia="Calibri" w:cs="Tahoma"/>
          <w:iCs/>
          <w:color w:val="auto"/>
          <w:lang w:val="es-ES" w:eastAsia="es-ES_tradnl"/>
        </w:rPr>
        <w:t>al veintinueve de abril de dos mil veintidós</w:t>
      </w:r>
      <w:r w:rsidRPr="00FE50B8" w:rsidR="00D33235">
        <w:rPr>
          <w:rFonts w:eastAsia="Calibri" w:cs="Tahoma"/>
          <w:iCs/>
          <w:lang w:val="es-ES" w:eastAsia="es-ES_tradnl"/>
        </w:rPr>
        <w:t>,</w:t>
      </w:r>
      <w:r w:rsidR="00D33235">
        <w:rPr>
          <w:rFonts w:eastAsia="Calibri" w:cs="Tahoma"/>
          <w:iCs/>
          <w:lang w:val="es-ES" w:eastAsia="es-ES_tradnl"/>
        </w:rPr>
        <w:t xml:space="preserve"> lo siguiente:</w:t>
      </w:r>
    </w:p>
    <w:p w:rsidR="00D33235" w:rsidP="00D33235" w:rsidRDefault="00D33235" w14:paraId="46BABBC4" w14:textId="77777777">
      <w:pPr>
        <w:tabs>
          <w:tab w:val="left" w:pos="4962"/>
        </w:tabs>
        <w:spacing w:after="0" w:line="360" w:lineRule="auto"/>
        <w:rPr>
          <w:rFonts w:eastAsia="Calibri" w:cs="Tahoma"/>
          <w:iCs/>
          <w:lang w:val="es-ES" w:eastAsia="es-ES_tradnl"/>
        </w:rPr>
      </w:pPr>
    </w:p>
    <w:p w:rsidR="00981B17" w:rsidP="00981B17" w:rsidRDefault="00981B17" w14:paraId="555A9399" w14:textId="77777777">
      <w:pPr>
        <w:pStyle w:val="Prrafodelista"/>
        <w:numPr>
          <w:ilvl w:val="0"/>
          <w:numId w:val="41"/>
        </w:numPr>
        <w:tabs>
          <w:tab w:val="left" w:pos="4962"/>
        </w:tabs>
        <w:spacing w:line="360" w:lineRule="auto"/>
        <w:ind w:left="567"/>
        <w:jc w:val="both"/>
        <w:rPr>
          <w:rFonts w:ascii="Palatino Linotype" w:hAnsi="Palatino Linotype" w:eastAsia="Calibri" w:cs="Tahoma"/>
          <w:iCs/>
          <w:lang w:val="es-ES" w:eastAsia="es-ES_tradnl"/>
        </w:rPr>
      </w:pPr>
      <w:r>
        <w:rPr>
          <w:rFonts w:ascii="Palatino Linotype" w:hAnsi="Palatino Linotype" w:eastAsia="Calibri" w:cs="Tahoma"/>
          <w:iCs/>
          <w:lang w:val="es-ES" w:eastAsia="es-ES_tradnl"/>
        </w:rPr>
        <w:t>Respecto de los contratos derivados de procedimientos por licitación pública, adjudicación directa e invitación restringida, los documentos donde conste lo siguiente:</w:t>
      </w:r>
    </w:p>
    <w:p w:rsidR="00D33235" w:rsidP="00D33235" w:rsidRDefault="00D33235" w14:paraId="269B4A46" w14:textId="77777777">
      <w:pPr>
        <w:pStyle w:val="Prrafodelista"/>
        <w:tabs>
          <w:tab w:val="left" w:pos="4962"/>
        </w:tabs>
        <w:spacing w:line="360" w:lineRule="auto"/>
        <w:jc w:val="both"/>
        <w:rPr>
          <w:rFonts w:ascii="Palatino Linotype" w:hAnsi="Palatino Linotype" w:eastAsia="Calibri" w:cs="Tahoma"/>
          <w:iCs/>
          <w:lang w:val="es-ES" w:eastAsia="es-ES_tradnl"/>
        </w:rPr>
      </w:pPr>
    </w:p>
    <w:p w:rsidRPr="00BF6F7C" w:rsidR="00D33235" w:rsidP="00D33235" w:rsidRDefault="00D33235" w14:paraId="2E7D317A" w14:textId="77777777">
      <w:pPr>
        <w:pStyle w:val="Prrafodelista"/>
        <w:numPr>
          <w:ilvl w:val="0"/>
          <w:numId w:val="42"/>
        </w:numPr>
        <w:autoSpaceDE w:val="0"/>
        <w:autoSpaceDN w:val="0"/>
        <w:adjustRightInd w:val="0"/>
        <w:spacing w:line="360" w:lineRule="auto"/>
        <w:ind w:left="993"/>
        <w:jc w:val="both"/>
        <w:rPr>
          <w:rFonts w:ascii="Palatino Linotype" w:hAnsi="Palatino Linotype" w:cs="Tahoma"/>
          <w:szCs w:val="22"/>
        </w:rPr>
      </w:pPr>
      <w:r w:rsidRPr="00BF6F7C">
        <w:rPr>
          <w:rFonts w:ascii="Palatino Linotype" w:hAnsi="Palatino Linotype" w:cs="Tahoma"/>
          <w:szCs w:val="22"/>
        </w:rPr>
        <w:t>Institución (Sujeto Obligado);</w:t>
      </w:r>
    </w:p>
    <w:p w:rsidRPr="00BF6F7C" w:rsidR="00D33235" w:rsidP="00D33235" w:rsidRDefault="00D33235" w14:paraId="13DFEB31" w14:textId="77777777">
      <w:pPr>
        <w:pStyle w:val="Prrafodelista"/>
        <w:numPr>
          <w:ilvl w:val="0"/>
          <w:numId w:val="42"/>
        </w:numPr>
        <w:autoSpaceDE w:val="0"/>
        <w:autoSpaceDN w:val="0"/>
        <w:adjustRightInd w:val="0"/>
        <w:spacing w:line="360" w:lineRule="auto"/>
        <w:ind w:left="993"/>
        <w:jc w:val="both"/>
        <w:rPr>
          <w:rFonts w:ascii="Palatino Linotype" w:hAnsi="Palatino Linotype" w:cs="Tahoma"/>
          <w:szCs w:val="22"/>
        </w:rPr>
      </w:pPr>
      <w:r w:rsidRPr="00BF6F7C">
        <w:rPr>
          <w:rFonts w:ascii="Palatino Linotype" w:hAnsi="Palatino Linotype" w:cs="Tahoma"/>
          <w:szCs w:val="22"/>
        </w:rPr>
        <w:t>Unidad Administrativa solicitante y nombre de su Titular;</w:t>
      </w:r>
    </w:p>
    <w:p w:rsidRPr="00BF6F7C" w:rsidR="00D33235" w:rsidP="00D33235" w:rsidRDefault="00D33235" w14:paraId="104E706D" w14:textId="77777777">
      <w:pPr>
        <w:pStyle w:val="Prrafodelista"/>
        <w:numPr>
          <w:ilvl w:val="0"/>
          <w:numId w:val="42"/>
        </w:numPr>
        <w:autoSpaceDE w:val="0"/>
        <w:autoSpaceDN w:val="0"/>
        <w:adjustRightInd w:val="0"/>
        <w:spacing w:line="360" w:lineRule="auto"/>
        <w:ind w:left="993"/>
        <w:jc w:val="both"/>
        <w:rPr>
          <w:rFonts w:ascii="Palatino Linotype" w:hAnsi="Palatino Linotype" w:cs="Tahoma"/>
          <w:szCs w:val="22"/>
        </w:rPr>
      </w:pPr>
      <w:r w:rsidRPr="00BF6F7C">
        <w:rPr>
          <w:rFonts w:ascii="Palatino Linotype" w:hAnsi="Palatino Linotype" w:cs="Tahoma"/>
          <w:szCs w:val="22"/>
        </w:rPr>
        <w:t>Título, código y referencia de expediente;</w:t>
      </w:r>
    </w:p>
    <w:p w:rsidRPr="00BF6F7C" w:rsidR="00D33235" w:rsidP="00D33235" w:rsidRDefault="00D33235" w14:paraId="2C3BACDD" w14:textId="77777777">
      <w:pPr>
        <w:pStyle w:val="Prrafodelista"/>
        <w:numPr>
          <w:ilvl w:val="0"/>
          <w:numId w:val="42"/>
        </w:numPr>
        <w:autoSpaceDE w:val="0"/>
        <w:autoSpaceDN w:val="0"/>
        <w:adjustRightInd w:val="0"/>
        <w:spacing w:line="360" w:lineRule="auto"/>
        <w:ind w:left="993"/>
        <w:jc w:val="both"/>
        <w:rPr>
          <w:rFonts w:ascii="Palatino Linotype" w:hAnsi="Palatino Linotype" w:cs="Tahoma"/>
          <w:szCs w:val="22"/>
        </w:rPr>
      </w:pPr>
      <w:r w:rsidRPr="00BF6F7C">
        <w:rPr>
          <w:rFonts w:ascii="Palatino Linotype" w:hAnsi="Palatino Linotype" w:cs="Tahoma"/>
          <w:szCs w:val="22"/>
        </w:rPr>
        <w:t>Fundamento legal del procedimiento;</w:t>
      </w:r>
    </w:p>
    <w:p w:rsidRPr="00BF6F7C" w:rsidR="00D33235" w:rsidP="00D33235" w:rsidRDefault="00D33235" w14:paraId="086354A8" w14:textId="77777777">
      <w:pPr>
        <w:pStyle w:val="Prrafodelista"/>
        <w:numPr>
          <w:ilvl w:val="0"/>
          <w:numId w:val="42"/>
        </w:numPr>
        <w:autoSpaceDE w:val="0"/>
        <w:autoSpaceDN w:val="0"/>
        <w:adjustRightInd w:val="0"/>
        <w:spacing w:line="360" w:lineRule="auto"/>
        <w:ind w:left="993"/>
        <w:jc w:val="both"/>
        <w:rPr>
          <w:rFonts w:ascii="Palatino Linotype" w:hAnsi="Palatino Linotype" w:cs="Tahoma"/>
          <w:szCs w:val="22"/>
        </w:rPr>
      </w:pPr>
      <w:r w:rsidRPr="00BF6F7C">
        <w:rPr>
          <w:rFonts w:ascii="Palatino Linotype" w:hAnsi="Palatino Linotype" w:cs="Tahoma"/>
          <w:szCs w:val="22"/>
        </w:rPr>
        <w:t>Número de procedimiento;</w:t>
      </w:r>
    </w:p>
    <w:p w:rsidRPr="00BF6F7C" w:rsidR="00D33235" w:rsidP="00D33235" w:rsidRDefault="00D33235" w14:paraId="65B3779D" w14:textId="77777777">
      <w:pPr>
        <w:pStyle w:val="Prrafodelista"/>
        <w:numPr>
          <w:ilvl w:val="0"/>
          <w:numId w:val="42"/>
        </w:numPr>
        <w:autoSpaceDE w:val="0"/>
        <w:autoSpaceDN w:val="0"/>
        <w:adjustRightInd w:val="0"/>
        <w:spacing w:line="360" w:lineRule="auto"/>
        <w:ind w:left="993"/>
        <w:jc w:val="both"/>
        <w:rPr>
          <w:rFonts w:ascii="Palatino Linotype" w:hAnsi="Palatino Linotype" w:cs="Tahoma"/>
          <w:szCs w:val="22"/>
        </w:rPr>
      </w:pPr>
      <w:r w:rsidRPr="00BF6F7C">
        <w:rPr>
          <w:rFonts w:ascii="Palatino Linotype" w:hAnsi="Palatino Linotype" w:cs="Tahoma"/>
          <w:szCs w:val="22"/>
        </w:rPr>
        <w:t>Fecha de fallo y publicación;</w:t>
      </w:r>
    </w:p>
    <w:p w:rsidRPr="00BF6F7C" w:rsidR="00D33235" w:rsidP="00D33235" w:rsidRDefault="00D33235" w14:paraId="31009FEC" w14:textId="77777777">
      <w:pPr>
        <w:pStyle w:val="Prrafodelista"/>
        <w:numPr>
          <w:ilvl w:val="0"/>
          <w:numId w:val="42"/>
        </w:numPr>
        <w:autoSpaceDE w:val="0"/>
        <w:autoSpaceDN w:val="0"/>
        <w:adjustRightInd w:val="0"/>
        <w:spacing w:line="360" w:lineRule="auto"/>
        <w:ind w:left="993"/>
        <w:jc w:val="both"/>
        <w:rPr>
          <w:rFonts w:ascii="Palatino Linotype" w:hAnsi="Palatino Linotype" w:cs="Tahoma"/>
          <w:szCs w:val="22"/>
        </w:rPr>
      </w:pPr>
      <w:r w:rsidRPr="00BF6F7C">
        <w:rPr>
          <w:rFonts w:ascii="Palatino Linotype" w:hAnsi="Palatino Linotype" w:cs="Tahoma"/>
          <w:szCs w:val="22"/>
        </w:rPr>
        <w:t>Tipo de procedimiento;</w:t>
      </w:r>
    </w:p>
    <w:p w:rsidRPr="00BF6F7C" w:rsidR="00D33235" w:rsidP="00D33235" w:rsidRDefault="00D33235" w14:paraId="0003EB11" w14:textId="77777777">
      <w:pPr>
        <w:pStyle w:val="Prrafodelista"/>
        <w:numPr>
          <w:ilvl w:val="0"/>
          <w:numId w:val="42"/>
        </w:numPr>
        <w:autoSpaceDE w:val="0"/>
        <w:autoSpaceDN w:val="0"/>
        <w:adjustRightInd w:val="0"/>
        <w:spacing w:line="360" w:lineRule="auto"/>
        <w:ind w:left="993"/>
        <w:jc w:val="both"/>
        <w:rPr>
          <w:rFonts w:ascii="Palatino Linotype" w:hAnsi="Palatino Linotype" w:cs="Tahoma"/>
          <w:szCs w:val="22"/>
        </w:rPr>
      </w:pPr>
      <w:r w:rsidRPr="00BF6F7C">
        <w:rPr>
          <w:rFonts w:ascii="Palatino Linotype" w:hAnsi="Palatino Linotype" w:cs="Tahoma"/>
          <w:szCs w:val="22"/>
        </w:rPr>
        <w:t>Título, descripción e importe del Contrato;</w:t>
      </w:r>
    </w:p>
    <w:p w:rsidRPr="00BF6F7C" w:rsidR="00D33235" w:rsidP="00D33235" w:rsidRDefault="00D33235" w14:paraId="315DA5D9" w14:textId="77777777">
      <w:pPr>
        <w:pStyle w:val="Prrafodelista"/>
        <w:numPr>
          <w:ilvl w:val="0"/>
          <w:numId w:val="42"/>
        </w:numPr>
        <w:autoSpaceDE w:val="0"/>
        <w:autoSpaceDN w:val="0"/>
        <w:adjustRightInd w:val="0"/>
        <w:spacing w:line="360" w:lineRule="auto"/>
        <w:ind w:left="993"/>
        <w:jc w:val="both"/>
        <w:rPr>
          <w:rFonts w:ascii="Palatino Linotype" w:hAnsi="Palatino Linotype" w:cs="Tahoma"/>
          <w:szCs w:val="22"/>
        </w:rPr>
      </w:pPr>
      <w:r w:rsidRPr="00BF6F7C">
        <w:rPr>
          <w:rFonts w:ascii="Palatino Linotype" w:hAnsi="Palatino Linotype" w:cs="Tahoma"/>
          <w:szCs w:val="22"/>
        </w:rPr>
        <w:t>Convenio modificatorio;</w:t>
      </w:r>
    </w:p>
    <w:p w:rsidRPr="00BF6F7C" w:rsidR="00D33235" w:rsidP="00D33235" w:rsidRDefault="00D33235" w14:paraId="70B031EC" w14:textId="77777777">
      <w:pPr>
        <w:pStyle w:val="Prrafodelista"/>
        <w:numPr>
          <w:ilvl w:val="0"/>
          <w:numId w:val="42"/>
        </w:numPr>
        <w:autoSpaceDE w:val="0"/>
        <w:autoSpaceDN w:val="0"/>
        <w:adjustRightInd w:val="0"/>
        <w:spacing w:line="360" w:lineRule="auto"/>
        <w:ind w:left="993"/>
        <w:jc w:val="both"/>
        <w:rPr>
          <w:rFonts w:ascii="Palatino Linotype" w:hAnsi="Palatino Linotype" w:cs="Tahoma"/>
          <w:szCs w:val="22"/>
        </w:rPr>
      </w:pPr>
      <w:r w:rsidRPr="00BF6F7C">
        <w:rPr>
          <w:rFonts w:ascii="Palatino Linotype" w:hAnsi="Palatino Linotype" w:cs="Tahoma"/>
          <w:szCs w:val="22"/>
        </w:rPr>
        <w:lastRenderedPageBreak/>
        <w:t>Nombre y Registro Federal de Contribuyentes del proveedor o contratista, y</w:t>
      </w:r>
    </w:p>
    <w:p w:rsidR="00D33235" w:rsidP="00D33235" w:rsidRDefault="00D33235" w14:paraId="32782C53" w14:textId="77777777">
      <w:pPr>
        <w:pStyle w:val="Prrafodelista"/>
        <w:numPr>
          <w:ilvl w:val="0"/>
          <w:numId w:val="42"/>
        </w:numPr>
        <w:autoSpaceDE w:val="0"/>
        <w:autoSpaceDN w:val="0"/>
        <w:adjustRightInd w:val="0"/>
        <w:spacing w:line="360" w:lineRule="auto"/>
        <w:ind w:left="993"/>
        <w:jc w:val="both"/>
        <w:rPr>
          <w:rFonts w:ascii="Palatino Linotype" w:hAnsi="Palatino Linotype" w:cs="Tahoma"/>
          <w:szCs w:val="22"/>
        </w:rPr>
      </w:pPr>
      <w:r w:rsidRPr="00BF6F7C">
        <w:rPr>
          <w:rFonts w:ascii="Palatino Linotype" w:hAnsi="Palatino Linotype" w:cs="Tahoma"/>
          <w:szCs w:val="22"/>
        </w:rPr>
        <w:t>Dirección del anuncio.</w:t>
      </w:r>
    </w:p>
    <w:p w:rsidRPr="00BF6F7C" w:rsidR="00D33235" w:rsidP="00D33235" w:rsidRDefault="00D33235" w14:paraId="56528C20" w14:textId="77777777">
      <w:pPr>
        <w:pStyle w:val="Prrafodelista"/>
        <w:autoSpaceDE w:val="0"/>
        <w:autoSpaceDN w:val="0"/>
        <w:adjustRightInd w:val="0"/>
        <w:spacing w:line="360" w:lineRule="auto"/>
        <w:ind w:left="993"/>
        <w:jc w:val="both"/>
        <w:rPr>
          <w:rFonts w:ascii="Palatino Linotype" w:hAnsi="Palatino Linotype" w:cs="Tahoma"/>
          <w:szCs w:val="22"/>
        </w:rPr>
      </w:pPr>
    </w:p>
    <w:p w:rsidRPr="00BF6F7C" w:rsidR="00D33235" w:rsidP="00D33235" w:rsidRDefault="00D33235" w14:paraId="47493881" w14:textId="77777777">
      <w:pPr>
        <w:pStyle w:val="Prrafodelista"/>
        <w:numPr>
          <w:ilvl w:val="0"/>
          <w:numId w:val="41"/>
        </w:numPr>
        <w:tabs>
          <w:tab w:val="left" w:pos="4962"/>
        </w:tabs>
        <w:spacing w:line="360" w:lineRule="auto"/>
        <w:ind w:left="567"/>
        <w:jc w:val="both"/>
        <w:rPr>
          <w:rFonts w:ascii="Palatino Linotype" w:hAnsi="Palatino Linotype" w:eastAsia="Calibri" w:cs="Tahoma"/>
          <w:iCs/>
          <w:lang w:val="es-ES" w:eastAsia="es-ES_tradnl"/>
        </w:rPr>
      </w:pPr>
      <w:r>
        <w:rPr>
          <w:rFonts w:ascii="Palatino Linotype" w:hAnsi="Palatino Linotype" w:eastAsia="Calibri" w:cs="Tahoma"/>
          <w:iCs/>
          <w:lang w:val="es-ES" w:eastAsia="es-ES_tradnl"/>
        </w:rPr>
        <w:t>Listado de proveedores.</w:t>
      </w:r>
    </w:p>
    <w:p w:rsidR="00D33235" w:rsidP="00B034A6" w:rsidRDefault="00D33235" w14:paraId="0B32F428" w14:textId="77777777">
      <w:pPr>
        <w:spacing w:after="0" w:line="360" w:lineRule="auto"/>
        <w:rPr>
          <w:rFonts w:eastAsia="Calibri" w:cs="Tahoma"/>
          <w:iCs/>
          <w:lang w:eastAsia="es-ES_tradnl"/>
        </w:rPr>
      </w:pPr>
    </w:p>
    <w:p w:rsidR="00D33235" w:rsidP="00D33235" w:rsidRDefault="000970EB" w14:paraId="1748CE4B" w14:textId="77777777">
      <w:pPr>
        <w:spacing w:after="0" w:line="360" w:lineRule="auto"/>
        <w:rPr>
          <w:rFonts w:eastAsia="Calibri" w:cs="Tahoma"/>
          <w:bCs/>
          <w:iCs/>
          <w:color w:val="auto"/>
          <w:lang w:val="es-ES"/>
        </w:rPr>
      </w:pPr>
      <w:r w:rsidRPr="00682222">
        <w:rPr>
          <w:rFonts w:eastAsia="Calibri" w:cs="Tahoma"/>
          <w:bCs/>
          <w:iCs/>
          <w:color w:val="auto"/>
          <w:lang w:val="es-ES"/>
        </w:rPr>
        <w:t>Además,</w:t>
      </w:r>
      <w:r>
        <w:rPr>
          <w:rFonts w:eastAsia="Calibri" w:cs="Tahoma"/>
          <w:bCs/>
          <w:iCs/>
          <w:color w:val="auto"/>
          <w:lang w:val="es-ES"/>
        </w:rPr>
        <w:t xml:space="preserve"> de ser necesario,</w:t>
      </w:r>
      <w:r w:rsidRPr="00682222">
        <w:rPr>
          <w:rFonts w:eastAsia="Calibri" w:cs="Tahoma"/>
          <w:bCs/>
          <w:iCs/>
          <w:color w:val="auto"/>
          <w:lang w:val="es-ES"/>
        </w:rPr>
        <w:t xml:space="preserve"> deberá proporcionar el Acuerdo de Clasificación donde el Comité de Transparencia, confirme la eliminación de los datos o información clasificada, en la versión pública</w:t>
      </w:r>
      <w:r>
        <w:rPr>
          <w:rFonts w:eastAsia="Calibri" w:cs="Tahoma"/>
          <w:bCs/>
          <w:iCs/>
          <w:color w:val="auto"/>
          <w:lang w:val="es-ES"/>
        </w:rPr>
        <w:t>.</w:t>
      </w:r>
      <w:r w:rsidR="00D33235">
        <w:rPr>
          <w:rFonts w:eastAsia="Calibri" w:cs="Tahoma"/>
          <w:bCs/>
          <w:iCs/>
          <w:color w:val="auto"/>
          <w:lang w:val="es-ES"/>
        </w:rPr>
        <w:t xml:space="preserve"> </w:t>
      </w:r>
    </w:p>
    <w:p w:rsidR="00D33235" w:rsidP="00D33235" w:rsidRDefault="00D33235" w14:paraId="3BE56B6E" w14:textId="77777777">
      <w:pPr>
        <w:spacing w:after="0" w:line="360" w:lineRule="auto"/>
        <w:rPr>
          <w:rFonts w:eastAsia="Calibri" w:cs="Tahoma"/>
          <w:bCs/>
          <w:iCs/>
          <w:color w:val="auto"/>
          <w:lang w:val="es-ES"/>
        </w:rPr>
      </w:pPr>
    </w:p>
    <w:p w:rsidRPr="00D33235" w:rsidR="00D33235" w:rsidP="00D33235" w:rsidRDefault="00D33235" w14:paraId="3A536C80" w14:textId="6B572DC1">
      <w:pPr>
        <w:spacing w:after="0" w:line="360" w:lineRule="auto"/>
        <w:rPr>
          <w:rFonts w:eastAsia="Calibri" w:cs="Tahoma"/>
          <w:bCs/>
          <w:iCs/>
          <w:color w:val="auto"/>
          <w:lang w:val="es-ES"/>
        </w:rPr>
      </w:pPr>
      <w:r>
        <w:rPr>
          <w:rFonts w:eastAsia="Calibri" w:cs="Tahoma"/>
          <w:bCs/>
          <w:iCs/>
          <w:color w:val="auto"/>
          <w:lang w:val="es-ES"/>
        </w:rPr>
        <w:t>Por otra parte, p</w:t>
      </w:r>
      <w:r w:rsidRPr="00D33235">
        <w:rPr>
          <w:rFonts w:eastAsia="Calibri" w:cs="Tahoma"/>
          <w:bCs/>
          <w:iCs/>
          <w:color w:val="auto"/>
          <w:lang w:val="es-ES"/>
        </w:rPr>
        <w:t xml:space="preserve">ara el caso, de que no localice la información </w:t>
      </w:r>
      <w:r>
        <w:rPr>
          <w:rFonts w:eastAsia="Times New Roman" w:cs="Times New Roman"/>
          <w:lang w:val="es-ES_tradnl" w:eastAsia="es-ES_tradnl"/>
        </w:rPr>
        <w:t>que dé cuenta del punto 1 (del primero de enero de dos mil dieciséis al treinta y uno de diciembre de dos mil dieciocho) y del 2 (del primero de enero de dos mil doce al treinta y uno de diciembre de dos mil veintiuno), por que haya causado baja documental o no haya sido proporcionada en la entrega-recepción de las determinadas administraciones, el</w:t>
      </w:r>
      <w:r w:rsidRPr="00D33235">
        <w:rPr>
          <w:rFonts w:eastAsia="Calibri" w:cs="Tahoma"/>
          <w:bCs/>
          <w:iCs/>
          <w:color w:val="auto"/>
          <w:lang w:val="es-ES"/>
        </w:rPr>
        <w:t xml:space="preserve"> acta del Comité de Transparencia, donde confirme la inexistencia de la información</w:t>
      </w:r>
      <w:r>
        <w:rPr>
          <w:rFonts w:eastAsia="Calibri" w:cs="Tahoma"/>
          <w:bCs/>
          <w:iCs/>
          <w:color w:val="auto"/>
          <w:lang w:val="es-ES"/>
        </w:rPr>
        <w:t>.</w:t>
      </w:r>
    </w:p>
    <w:p w:rsidR="00D33235" w:rsidP="00B034A6" w:rsidRDefault="00D33235" w14:paraId="5B6457ED" w14:textId="38FCB4BE">
      <w:pPr>
        <w:spacing w:after="0" w:line="360" w:lineRule="auto"/>
        <w:rPr>
          <w:rFonts w:eastAsia="Calibri" w:cs="Tahoma"/>
          <w:bCs/>
          <w:iCs/>
          <w:color w:val="auto"/>
          <w:lang w:val="es-ES"/>
        </w:rPr>
      </w:pPr>
    </w:p>
    <w:p w:rsidRPr="00D33235" w:rsidR="00D33235" w:rsidP="00D33235" w:rsidRDefault="00D33235" w14:paraId="21D5D061" w14:textId="77777777">
      <w:pPr>
        <w:spacing w:after="0" w:line="360" w:lineRule="auto"/>
        <w:rPr>
          <w:rFonts w:eastAsia="Calibri" w:cs="Arial"/>
          <w:bCs/>
          <w:lang w:val="es-ES"/>
        </w:rPr>
      </w:pPr>
      <w:r w:rsidRPr="00D33235">
        <w:rPr>
          <w:rFonts w:eastAsia="Calibri" w:cs="Arial"/>
          <w:bCs/>
          <w:lang w:val="es-ES"/>
        </w:rPr>
        <w:t xml:space="preserve">Para el caso que la información que se ordena entregar en el punto </w:t>
      </w:r>
      <w:r>
        <w:rPr>
          <w:rFonts w:eastAsia="Calibri" w:cs="Arial"/>
          <w:bCs/>
          <w:lang w:val="es-ES"/>
        </w:rPr>
        <w:t>1, incisos c, i o k</w:t>
      </w:r>
      <w:r w:rsidRPr="00D33235">
        <w:rPr>
          <w:rFonts w:eastAsia="Calibri" w:cs="Arial"/>
          <w:bCs/>
          <w:lang w:val="es-ES"/>
        </w:rPr>
        <w:t>, no obre en los archivos del Sujeto Obligado, bastará con que, de forma clara y precisa, se haga del conocimiento del Particular.</w:t>
      </w:r>
    </w:p>
    <w:p w:rsidRPr="00446963" w:rsidR="00D33235" w:rsidP="00B034A6" w:rsidRDefault="00D33235" w14:paraId="338E0B25" w14:textId="77777777">
      <w:pPr>
        <w:spacing w:after="0" w:line="360" w:lineRule="auto"/>
        <w:rPr>
          <w:rFonts w:eastAsia="Times New Roman" w:cs="Tahoma"/>
          <w:lang w:eastAsia="es-ES"/>
        </w:rPr>
      </w:pPr>
    </w:p>
    <w:p w:rsidR="00066B31" w:rsidP="00B034A6" w:rsidRDefault="00066B31" w14:paraId="5D15EC98" w14:textId="3BE97D01">
      <w:pPr>
        <w:autoSpaceDE w:val="0"/>
        <w:autoSpaceDN w:val="0"/>
        <w:adjustRightInd w:val="0"/>
        <w:spacing w:after="0" w:line="360" w:lineRule="auto"/>
        <w:rPr>
          <w:rFonts w:eastAsia="Calibri" w:cs="Tahoma"/>
          <w:b/>
          <w:bCs/>
          <w:iCs/>
          <w:lang w:val="es-ES"/>
        </w:rPr>
      </w:pPr>
      <w:r w:rsidRPr="00446963">
        <w:rPr>
          <w:rFonts w:eastAsia="Calibri" w:cs="Tahoma"/>
          <w:b/>
          <w:bCs/>
          <w:iCs/>
          <w:lang w:val="es-ES"/>
        </w:rPr>
        <w:t>Términos de la Resolución para conocimiento del Particular.</w:t>
      </w:r>
    </w:p>
    <w:p w:rsidRPr="00446963" w:rsidR="005639CA" w:rsidP="00B034A6" w:rsidRDefault="005639CA" w14:paraId="076D5760" w14:textId="66CF3CB4">
      <w:pPr>
        <w:autoSpaceDE w:val="0"/>
        <w:autoSpaceDN w:val="0"/>
        <w:adjustRightInd w:val="0"/>
        <w:spacing w:after="0" w:line="360" w:lineRule="auto"/>
        <w:rPr>
          <w:rFonts w:eastAsia="Calibri" w:cs="Tahoma"/>
          <w:b/>
          <w:bCs/>
          <w:iCs/>
          <w:lang w:val="es-ES"/>
        </w:rPr>
      </w:pPr>
    </w:p>
    <w:p w:rsidR="00981B17" w:rsidP="00B034A6" w:rsidRDefault="00BD6C52" w14:paraId="36787EB2" w14:textId="77777777">
      <w:pPr>
        <w:spacing w:after="0" w:line="360" w:lineRule="auto"/>
        <w:ind w:right="-28"/>
        <w:rPr>
          <w:rFonts w:eastAsia="Calibri" w:cs="Tahoma"/>
        </w:rPr>
      </w:pPr>
      <w:r>
        <w:rPr>
          <w:lang w:eastAsia="es-MX"/>
        </w:rPr>
        <w:t xml:space="preserve">Se le hace del conocimiento al Particular, que, en el presente caso, se le </w:t>
      </w:r>
      <w:r w:rsidR="0014141E">
        <w:rPr>
          <w:lang w:eastAsia="es-MX"/>
        </w:rPr>
        <w:t xml:space="preserve">concede </w:t>
      </w:r>
      <w:r>
        <w:rPr>
          <w:lang w:eastAsia="es-MX"/>
        </w:rPr>
        <w:t xml:space="preserve">la razón, pues el </w:t>
      </w:r>
      <w:r>
        <w:rPr>
          <w:rFonts w:eastAsia="Calibri" w:cs="Tahoma"/>
        </w:rPr>
        <w:t xml:space="preserve">Sujetó Obligado, </w:t>
      </w:r>
      <w:r w:rsidR="00184934">
        <w:rPr>
          <w:rFonts w:eastAsia="Calibri" w:cs="Tahoma"/>
        </w:rPr>
        <w:t xml:space="preserve">no cumplió con el procedimiento de búsqueda, por lo que, deberá hacerla en todas las áreas competentes, para </w:t>
      </w:r>
      <w:r w:rsidR="00C56DF1">
        <w:rPr>
          <w:rFonts w:eastAsia="Calibri" w:cs="Tahoma"/>
        </w:rPr>
        <w:t>que,</w:t>
      </w:r>
      <w:r w:rsidR="00184934">
        <w:rPr>
          <w:rFonts w:eastAsia="Calibri" w:cs="Tahoma"/>
        </w:rPr>
        <w:t xml:space="preserve"> en su caso, </w:t>
      </w:r>
      <w:r w:rsidR="0014141E">
        <w:rPr>
          <w:rFonts w:eastAsia="Calibri" w:cs="Tahoma"/>
        </w:rPr>
        <w:t xml:space="preserve">le </w:t>
      </w:r>
      <w:r w:rsidR="00184934">
        <w:rPr>
          <w:rFonts w:eastAsia="Calibri" w:cs="Tahoma"/>
        </w:rPr>
        <w:t>proporcio</w:t>
      </w:r>
      <w:r w:rsidR="0014141E">
        <w:rPr>
          <w:rFonts w:eastAsia="Calibri" w:cs="Tahoma"/>
        </w:rPr>
        <w:t xml:space="preserve">nen la documentación solicitada. </w:t>
      </w:r>
    </w:p>
    <w:p w:rsidR="00981B17" w:rsidP="00B034A6" w:rsidRDefault="00981B17" w14:paraId="1093B2F6" w14:textId="77777777">
      <w:pPr>
        <w:spacing w:after="0" w:line="360" w:lineRule="auto"/>
        <w:ind w:right="-28"/>
        <w:rPr>
          <w:rFonts w:eastAsia="Calibri" w:cs="Tahoma"/>
        </w:rPr>
      </w:pPr>
    </w:p>
    <w:p w:rsidR="00981B17" w:rsidP="00B034A6" w:rsidRDefault="00981B17" w14:paraId="0D45530C" w14:textId="77777777">
      <w:pPr>
        <w:spacing w:after="0" w:line="360" w:lineRule="auto"/>
        <w:ind w:right="-28"/>
        <w:rPr>
          <w:rFonts w:eastAsia="Calibri" w:cs="Tahoma"/>
        </w:rPr>
      </w:pPr>
    </w:p>
    <w:p w:rsidRPr="00446963" w:rsidR="00066B31" w:rsidP="00B034A6" w:rsidRDefault="001577CA" w14:paraId="1FEA2A96" w14:textId="47A142FD">
      <w:pPr>
        <w:spacing w:after="0" w:line="360" w:lineRule="auto"/>
        <w:ind w:right="-28"/>
        <w:rPr>
          <w:rFonts w:eastAsia="Calibri" w:cs="Tahoma"/>
          <w:bCs/>
          <w:iCs/>
        </w:rPr>
      </w:pPr>
      <w:r>
        <w:rPr>
          <w:rFonts w:eastAsia="Calibri" w:cs="Tahoma"/>
          <w:bCs/>
          <w:iCs/>
        </w:rPr>
        <w:t>Finalmente, la</w:t>
      </w:r>
      <w:r w:rsidRPr="00446963" w:rsidR="00066B31">
        <w:rPr>
          <w:rFonts w:eastAsia="Calibri" w:cs="Tahoma"/>
          <w:bCs/>
          <w:iCs/>
        </w:rPr>
        <w:t xml:space="preserve"> labor </w:t>
      </w:r>
      <w:r w:rsidR="00066B31">
        <w:rPr>
          <w:rFonts w:eastAsia="Calibri" w:cs="Tahoma"/>
          <w:bCs/>
          <w:iCs/>
        </w:rPr>
        <w:t>del Instituto</w:t>
      </w:r>
      <w:r w:rsidRPr="00446963" w:rsidR="00066B31">
        <w:rPr>
          <w:rFonts w:eastAsia="Calibri" w:cs="Tahoma"/>
          <w:bCs/>
          <w:iCs/>
        </w:rPr>
        <w:t>, es apoyar a la población a acceder a la información pública y garantizar la protección de sus datos personales.</w:t>
      </w:r>
    </w:p>
    <w:p w:rsidR="00981B17" w:rsidP="00B034A6" w:rsidRDefault="00981B17" w14:paraId="378FB85F" w14:textId="77777777">
      <w:pPr>
        <w:spacing w:after="0" w:line="360" w:lineRule="auto"/>
        <w:rPr>
          <w:rFonts w:eastAsia="Calibri" w:cs="Tahoma"/>
          <w:bCs/>
        </w:rPr>
      </w:pPr>
    </w:p>
    <w:p w:rsidRPr="00446963" w:rsidR="00066B31" w:rsidP="00B034A6" w:rsidRDefault="00066B31" w14:paraId="7685FAAA" w14:textId="77777777">
      <w:pPr>
        <w:spacing w:after="0" w:line="360" w:lineRule="auto"/>
        <w:rPr>
          <w:rFonts w:eastAsia="Calibri" w:cs="Tahoma"/>
          <w:bCs/>
        </w:rPr>
      </w:pPr>
      <w:r w:rsidRPr="00446963">
        <w:rPr>
          <w:rFonts w:eastAsia="Calibri" w:cs="Tahoma"/>
          <w:bCs/>
        </w:rPr>
        <w:t>Por lo expuesto y fundado, este Pleno:</w:t>
      </w:r>
    </w:p>
    <w:p w:rsidR="00ED7E78" w:rsidP="00B034A6" w:rsidRDefault="00ED7E78" w14:paraId="4C1274EF" w14:textId="77777777">
      <w:pPr>
        <w:spacing w:after="0" w:line="360" w:lineRule="auto"/>
        <w:jc w:val="center"/>
        <w:rPr>
          <w:rFonts w:eastAsia="Calibri" w:cs="Tahoma"/>
          <w:b/>
          <w:bCs/>
        </w:rPr>
      </w:pPr>
    </w:p>
    <w:p w:rsidRPr="00446963" w:rsidR="00066B31" w:rsidP="00B034A6" w:rsidRDefault="00066B31" w14:paraId="2CBCAFED" w14:textId="31EF801C">
      <w:pPr>
        <w:spacing w:after="0" w:line="360" w:lineRule="auto"/>
        <w:jc w:val="center"/>
        <w:rPr>
          <w:rFonts w:eastAsia="Calibri" w:cs="Tahoma"/>
          <w:b/>
          <w:bCs/>
        </w:rPr>
      </w:pPr>
      <w:r w:rsidRPr="00446963">
        <w:rPr>
          <w:rFonts w:eastAsia="Calibri" w:cs="Tahoma"/>
          <w:b/>
          <w:bCs/>
        </w:rPr>
        <w:t>R E S U E L V E:</w:t>
      </w:r>
    </w:p>
    <w:p w:rsidRPr="00446963" w:rsidR="00066B31" w:rsidP="00B034A6" w:rsidRDefault="00066B31" w14:paraId="5DB5E46C" w14:textId="77777777">
      <w:pPr>
        <w:spacing w:after="0" w:line="360" w:lineRule="auto"/>
        <w:jc w:val="left"/>
        <w:rPr>
          <w:rFonts w:eastAsia="Calibri" w:cs="Tahoma"/>
          <w:b/>
          <w:bCs/>
        </w:rPr>
      </w:pPr>
    </w:p>
    <w:p w:rsidRPr="00655443" w:rsidR="00655443" w:rsidP="00B034A6" w:rsidRDefault="00655443" w14:paraId="5CCCA69D" w14:textId="187A1D73">
      <w:pPr>
        <w:spacing w:after="0" w:line="360" w:lineRule="auto"/>
        <w:contextualSpacing/>
        <w:rPr>
          <w:rFonts w:eastAsia="Calibri" w:cs="Tahoma"/>
          <w:bCs/>
        </w:rPr>
      </w:pPr>
      <w:r w:rsidRPr="00655443">
        <w:rPr>
          <w:rFonts w:eastAsia="Calibri" w:cs="Tahoma"/>
          <w:b/>
          <w:bCs/>
        </w:rPr>
        <w:t xml:space="preserve">PRIMERO. </w:t>
      </w:r>
      <w:r w:rsidRPr="00655443">
        <w:rPr>
          <w:rFonts w:eastAsia="Calibri" w:cs="Tahoma"/>
          <w:bCs/>
        </w:rPr>
        <w:t xml:space="preserve">Se </w:t>
      </w:r>
      <w:r w:rsidR="00F143EA">
        <w:rPr>
          <w:rFonts w:eastAsia="Calibri" w:cs="Tahoma"/>
          <w:b/>
          <w:bCs/>
        </w:rPr>
        <w:t>MODIFI</w:t>
      </w:r>
      <w:r w:rsidR="0014141E">
        <w:rPr>
          <w:rFonts w:eastAsia="Calibri" w:cs="Tahoma"/>
          <w:b/>
          <w:bCs/>
        </w:rPr>
        <w:t>CA</w:t>
      </w:r>
      <w:r w:rsidRPr="00655443">
        <w:rPr>
          <w:rFonts w:eastAsia="Calibri" w:cs="Tahoma"/>
          <w:bCs/>
        </w:rPr>
        <w:t xml:space="preserve"> la respuesta entregada por el </w:t>
      </w:r>
      <w:r w:rsidRPr="004B2823" w:rsidR="004B2823">
        <w:rPr>
          <w:rFonts w:eastAsia="Calibri" w:cs="Tahoma"/>
        </w:rPr>
        <w:t xml:space="preserve">Ayuntamiento de </w:t>
      </w:r>
      <w:r w:rsidRPr="00F143EA" w:rsidR="00F143EA">
        <w:rPr>
          <w:rFonts w:eastAsia="Calibri" w:cs="Tahoma"/>
        </w:rPr>
        <w:t xml:space="preserve">Tepetlaoxtoc </w:t>
      </w:r>
      <w:r w:rsidRPr="00655443">
        <w:rPr>
          <w:rFonts w:eastAsia="Calibri" w:cs="Tahoma"/>
          <w:bCs/>
        </w:rPr>
        <w:t xml:space="preserve">a la solicitud de </w:t>
      </w:r>
      <w:r w:rsidRPr="00655443">
        <w:rPr>
          <w:rFonts w:eastAsia="Calibri" w:cs="Tahoma"/>
        </w:rPr>
        <w:t xml:space="preserve">información </w:t>
      </w:r>
      <w:r w:rsidRPr="00F143EA" w:rsidR="00F143EA">
        <w:rPr>
          <w:rFonts w:cs="Arial"/>
        </w:rPr>
        <w:t>00059/TEPETLAO/IP/2022</w:t>
      </w:r>
      <w:r w:rsidRPr="00655443">
        <w:rPr>
          <w:rFonts w:eastAsia="Calibri" w:cs="Tahoma"/>
          <w:b/>
          <w:bCs/>
        </w:rPr>
        <w:t xml:space="preserve">, </w:t>
      </w:r>
      <w:r w:rsidRPr="00655443">
        <w:rPr>
          <w:rFonts w:eastAsia="Calibri" w:cs="Times New Roman"/>
        </w:rPr>
        <w:t xml:space="preserve">por resultar </w:t>
      </w:r>
      <w:r w:rsidRPr="00655443">
        <w:rPr>
          <w:rFonts w:eastAsia="Calibri" w:cs="Times New Roman"/>
          <w:b/>
        </w:rPr>
        <w:t>FUNDADAS</w:t>
      </w:r>
      <w:r w:rsidRPr="00655443">
        <w:rPr>
          <w:rFonts w:eastAsia="Calibri" w:cs="Tahoma"/>
        </w:rPr>
        <w:t xml:space="preserve"> las razones o motivos de inconformidad hechos valer por el Particular, en</w:t>
      </w:r>
      <w:r w:rsidRPr="00655443">
        <w:rPr>
          <w:rFonts w:eastAsia="Calibri" w:cs="Tahoma"/>
          <w:bCs/>
        </w:rPr>
        <w:t xml:space="preserve"> términos de los considerandos </w:t>
      </w:r>
      <w:r w:rsidRPr="00195757">
        <w:rPr>
          <w:rFonts w:eastAsia="Calibri" w:cs="Tahoma"/>
        </w:rPr>
        <w:t>QUINTO y SEXTO</w:t>
      </w:r>
      <w:r w:rsidRPr="00655443">
        <w:rPr>
          <w:rFonts w:eastAsia="Calibri" w:cs="Tahoma"/>
          <w:bCs/>
        </w:rPr>
        <w:t xml:space="preserve"> de la presente Resolución.</w:t>
      </w:r>
    </w:p>
    <w:p w:rsidRPr="00655443" w:rsidR="00655443" w:rsidP="00B034A6" w:rsidRDefault="00655443" w14:paraId="3220CC2C" w14:textId="77777777">
      <w:pPr>
        <w:spacing w:after="0" w:line="360" w:lineRule="auto"/>
        <w:rPr>
          <w:rFonts w:eastAsia="Calibri" w:cs="Tahoma"/>
          <w:bCs/>
        </w:rPr>
      </w:pPr>
    </w:p>
    <w:p w:rsidR="000970EB" w:rsidP="00B034A6" w:rsidRDefault="00655443" w14:paraId="54C04B8A" w14:textId="1F9E67D6">
      <w:pPr>
        <w:spacing w:after="0" w:line="360" w:lineRule="auto"/>
        <w:rPr>
          <w:rFonts w:eastAsia="Calibri" w:cs="Tahoma"/>
          <w:iCs/>
          <w:lang w:eastAsia="es-ES_tradnl"/>
        </w:rPr>
      </w:pPr>
      <w:r w:rsidRPr="00655443">
        <w:rPr>
          <w:rFonts w:eastAsia="Calibri" w:cs="Tahoma"/>
          <w:b/>
          <w:bCs/>
        </w:rPr>
        <w:t xml:space="preserve">SEGUNDO. </w:t>
      </w:r>
      <w:r w:rsidRPr="00655443">
        <w:rPr>
          <w:rFonts w:eastAsia="Calibri" w:cs="Tahoma"/>
        </w:rPr>
        <w:t xml:space="preserve">Se </w:t>
      </w:r>
      <w:r w:rsidRPr="00655443">
        <w:rPr>
          <w:rFonts w:eastAsia="Calibri" w:cs="Tahoma"/>
          <w:b/>
        </w:rPr>
        <w:t xml:space="preserve">ORDENA </w:t>
      </w:r>
      <w:r w:rsidRPr="00655443">
        <w:rPr>
          <w:rFonts w:eastAsia="Calibri" w:cs="Tahoma"/>
          <w:bCs/>
        </w:rPr>
        <w:t xml:space="preserve">al </w:t>
      </w:r>
      <w:r w:rsidRPr="00655443">
        <w:rPr>
          <w:rFonts w:eastAsia="Calibri" w:cs="Tahoma"/>
        </w:rPr>
        <w:t>Ente Recurrido, a efecto de</w:t>
      </w:r>
      <w:r w:rsidRPr="00655443">
        <w:rPr>
          <w:rFonts w:eastAsia="Calibri" w:cs="Tahoma"/>
          <w:lang w:eastAsia="es-MX"/>
        </w:rPr>
        <w:t xml:space="preserve"> que, previa búsqueda exhaustiva y razonable en las unidades administrativas competentes, entregue</w:t>
      </w:r>
      <w:r w:rsidRPr="00655443">
        <w:rPr>
          <w:rFonts w:eastAsia="Calibri" w:cs="Tahoma"/>
        </w:rPr>
        <w:t xml:space="preserve">, a través del Sistema de Acceso a la Información Mexiquense (SAIMEX), </w:t>
      </w:r>
      <w:r w:rsidRPr="00BD6C52" w:rsidR="000970EB">
        <w:rPr>
          <w:rFonts w:eastAsia="Calibri" w:cs="Tahoma"/>
          <w:iCs/>
          <w:lang w:eastAsia="es-ES_tradnl"/>
        </w:rPr>
        <w:t>en su caso, en versión pública</w:t>
      </w:r>
      <w:r w:rsidR="00F143EA">
        <w:rPr>
          <w:rFonts w:eastAsia="Calibri" w:cs="Tahoma"/>
          <w:iCs/>
          <w:lang w:eastAsia="es-ES_tradnl"/>
        </w:rPr>
        <w:t>, del primero de dos mil doce al veintinueve de abril de dos mil veintidós,</w:t>
      </w:r>
      <w:r w:rsidR="000970EB">
        <w:rPr>
          <w:rFonts w:eastAsia="Calibri" w:cs="Tahoma"/>
          <w:iCs/>
          <w:lang w:eastAsia="es-ES_tradnl"/>
        </w:rPr>
        <w:t xml:space="preserve"> lo siguiente:</w:t>
      </w:r>
    </w:p>
    <w:p w:rsidR="000970EB" w:rsidP="00B034A6" w:rsidRDefault="000970EB" w14:paraId="389493B8" w14:textId="1B023085">
      <w:pPr>
        <w:spacing w:after="0" w:line="360" w:lineRule="auto"/>
        <w:rPr>
          <w:rFonts w:eastAsia="Calibri" w:cs="Tahoma"/>
          <w:iCs/>
          <w:lang w:eastAsia="es-ES_tradnl"/>
        </w:rPr>
      </w:pPr>
    </w:p>
    <w:p w:rsidR="00981B17" w:rsidP="00981B17" w:rsidRDefault="00981B17" w14:paraId="43A055BB" w14:textId="77777777">
      <w:pPr>
        <w:pStyle w:val="Prrafodelista"/>
        <w:numPr>
          <w:ilvl w:val="0"/>
          <w:numId w:val="44"/>
        </w:numPr>
        <w:tabs>
          <w:tab w:val="left" w:pos="4962"/>
        </w:tabs>
        <w:spacing w:line="360" w:lineRule="auto"/>
        <w:ind w:left="567"/>
        <w:jc w:val="both"/>
        <w:rPr>
          <w:rFonts w:ascii="Palatino Linotype" w:hAnsi="Palatino Linotype" w:eastAsia="Calibri" w:cs="Tahoma"/>
          <w:iCs/>
          <w:lang w:val="es-ES" w:eastAsia="es-ES_tradnl"/>
        </w:rPr>
      </w:pPr>
      <w:r>
        <w:rPr>
          <w:rFonts w:ascii="Palatino Linotype" w:hAnsi="Palatino Linotype" w:eastAsia="Calibri" w:cs="Tahoma"/>
          <w:iCs/>
          <w:lang w:val="es-ES" w:eastAsia="es-ES_tradnl"/>
        </w:rPr>
        <w:t>Respecto de los contratos derivados de procedimientos por licitación pública, adjudicación directa e invitación restringida, los documentos donde conste lo siguiente:</w:t>
      </w:r>
    </w:p>
    <w:p w:rsidR="00981B17" w:rsidP="00981B17" w:rsidRDefault="00981B17" w14:paraId="7905CEA2" w14:textId="77777777">
      <w:pPr>
        <w:pStyle w:val="Prrafodelista"/>
        <w:tabs>
          <w:tab w:val="left" w:pos="4962"/>
        </w:tabs>
        <w:spacing w:line="360" w:lineRule="auto"/>
        <w:jc w:val="both"/>
        <w:rPr>
          <w:rFonts w:ascii="Palatino Linotype" w:hAnsi="Palatino Linotype" w:eastAsia="Calibri" w:cs="Tahoma"/>
          <w:iCs/>
          <w:lang w:val="es-ES" w:eastAsia="es-ES_tradnl"/>
        </w:rPr>
      </w:pPr>
    </w:p>
    <w:p w:rsidRPr="00BF6F7C" w:rsidR="00981B17" w:rsidP="00981B17" w:rsidRDefault="00981B17" w14:paraId="6ED505AC" w14:textId="77777777">
      <w:pPr>
        <w:pStyle w:val="Prrafodelista"/>
        <w:numPr>
          <w:ilvl w:val="0"/>
          <w:numId w:val="45"/>
        </w:numPr>
        <w:autoSpaceDE w:val="0"/>
        <w:autoSpaceDN w:val="0"/>
        <w:adjustRightInd w:val="0"/>
        <w:spacing w:line="360" w:lineRule="auto"/>
        <w:ind w:left="993"/>
        <w:jc w:val="both"/>
        <w:rPr>
          <w:rFonts w:ascii="Palatino Linotype" w:hAnsi="Palatino Linotype" w:cs="Tahoma"/>
          <w:szCs w:val="22"/>
        </w:rPr>
      </w:pPr>
      <w:r w:rsidRPr="00BF6F7C">
        <w:rPr>
          <w:rFonts w:ascii="Palatino Linotype" w:hAnsi="Palatino Linotype" w:cs="Tahoma"/>
          <w:szCs w:val="22"/>
        </w:rPr>
        <w:t>Institución (Sujeto Obligado);</w:t>
      </w:r>
    </w:p>
    <w:p w:rsidRPr="00BF6F7C" w:rsidR="00981B17" w:rsidP="00981B17" w:rsidRDefault="00981B17" w14:paraId="7D479C2E" w14:textId="77777777">
      <w:pPr>
        <w:pStyle w:val="Prrafodelista"/>
        <w:numPr>
          <w:ilvl w:val="0"/>
          <w:numId w:val="45"/>
        </w:numPr>
        <w:autoSpaceDE w:val="0"/>
        <w:autoSpaceDN w:val="0"/>
        <w:adjustRightInd w:val="0"/>
        <w:spacing w:line="360" w:lineRule="auto"/>
        <w:ind w:left="993"/>
        <w:jc w:val="both"/>
        <w:rPr>
          <w:rFonts w:ascii="Palatino Linotype" w:hAnsi="Palatino Linotype" w:cs="Tahoma"/>
          <w:szCs w:val="22"/>
        </w:rPr>
      </w:pPr>
      <w:r w:rsidRPr="00BF6F7C">
        <w:rPr>
          <w:rFonts w:ascii="Palatino Linotype" w:hAnsi="Palatino Linotype" w:cs="Tahoma"/>
          <w:szCs w:val="22"/>
        </w:rPr>
        <w:t>Unidad Administrativa solicitante y nombre de su Titular;</w:t>
      </w:r>
    </w:p>
    <w:p w:rsidRPr="00BF6F7C" w:rsidR="00981B17" w:rsidP="00981B17" w:rsidRDefault="00981B17" w14:paraId="3F3F84ED" w14:textId="77777777">
      <w:pPr>
        <w:pStyle w:val="Prrafodelista"/>
        <w:numPr>
          <w:ilvl w:val="0"/>
          <w:numId w:val="45"/>
        </w:numPr>
        <w:autoSpaceDE w:val="0"/>
        <w:autoSpaceDN w:val="0"/>
        <w:adjustRightInd w:val="0"/>
        <w:spacing w:line="360" w:lineRule="auto"/>
        <w:ind w:left="993"/>
        <w:jc w:val="both"/>
        <w:rPr>
          <w:rFonts w:ascii="Palatino Linotype" w:hAnsi="Palatino Linotype" w:cs="Tahoma"/>
          <w:szCs w:val="22"/>
        </w:rPr>
      </w:pPr>
      <w:r w:rsidRPr="00BF6F7C">
        <w:rPr>
          <w:rFonts w:ascii="Palatino Linotype" w:hAnsi="Palatino Linotype" w:cs="Tahoma"/>
          <w:szCs w:val="22"/>
        </w:rPr>
        <w:t>Título, código y referencia de expediente;</w:t>
      </w:r>
    </w:p>
    <w:p w:rsidRPr="00BF6F7C" w:rsidR="00981B17" w:rsidP="00981B17" w:rsidRDefault="00981B17" w14:paraId="02DB4773" w14:textId="77777777">
      <w:pPr>
        <w:pStyle w:val="Prrafodelista"/>
        <w:numPr>
          <w:ilvl w:val="0"/>
          <w:numId w:val="45"/>
        </w:numPr>
        <w:autoSpaceDE w:val="0"/>
        <w:autoSpaceDN w:val="0"/>
        <w:adjustRightInd w:val="0"/>
        <w:spacing w:line="360" w:lineRule="auto"/>
        <w:ind w:left="993"/>
        <w:jc w:val="both"/>
        <w:rPr>
          <w:rFonts w:ascii="Palatino Linotype" w:hAnsi="Palatino Linotype" w:cs="Tahoma"/>
          <w:szCs w:val="22"/>
        </w:rPr>
      </w:pPr>
      <w:r w:rsidRPr="00BF6F7C">
        <w:rPr>
          <w:rFonts w:ascii="Palatino Linotype" w:hAnsi="Palatino Linotype" w:cs="Tahoma"/>
          <w:szCs w:val="22"/>
        </w:rPr>
        <w:t>Fundamento legal del procedimiento;</w:t>
      </w:r>
    </w:p>
    <w:p w:rsidRPr="00BF6F7C" w:rsidR="00981B17" w:rsidP="00981B17" w:rsidRDefault="00981B17" w14:paraId="3150C7F7" w14:textId="77777777">
      <w:pPr>
        <w:pStyle w:val="Prrafodelista"/>
        <w:numPr>
          <w:ilvl w:val="0"/>
          <w:numId w:val="45"/>
        </w:numPr>
        <w:autoSpaceDE w:val="0"/>
        <w:autoSpaceDN w:val="0"/>
        <w:adjustRightInd w:val="0"/>
        <w:spacing w:line="360" w:lineRule="auto"/>
        <w:ind w:left="993"/>
        <w:jc w:val="both"/>
        <w:rPr>
          <w:rFonts w:ascii="Palatino Linotype" w:hAnsi="Palatino Linotype" w:cs="Tahoma"/>
          <w:szCs w:val="22"/>
        </w:rPr>
      </w:pPr>
      <w:r w:rsidRPr="00BF6F7C">
        <w:rPr>
          <w:rFonts w:ascii="Palatino Linotype" w:hAnsi="Palatino Linotype" w:cs="Tahoma"/>
          <w:szCs w:val="22"/>
        </w:rPr>
        <w:t>Número de procedimiento;</w:t>
      </w:r>
    </w:p>
    <w:p w:rsidR="00981B17" w:rsidP="00981B17" w:rsidRDefault="00981B17" w14:paraId="031429A0" w14:textId="77777777">
      <w:pPr>
        <w:pStyle w:val="Prrafodelista"/>
        <w:numPr>
          <w:ilvl w:val="0"/>
          <w:numId w:val="45"/>
        </w:numPr>
        <w:autoSpaceDE w:val="0"/>
        <w:autoSpaceDN w:val="0"/>
        <w:adjustRightInd w:val="0"/>
        <w:spacing w:line="360" w:lineRule="auto"/>
        <w:ind w:left="993"/>
        <w:jc w:val="both"/>
        <w:rPr>
          <w:rFonts w:ascii="Palatino Linotype" w:hAnsi="Palatino Linotype" w:cs="Tahoma"/>
          <w:szCs w:val="22"/>
        </w:rPr>
      </w:pPr>
      <w:r w:rsidRPr="00BF6F7C">
        <w:rPr>
          <w:rFonts w:ascii="Palatino Linotype" w:hAnsi="Palatino Linotype" w:cs="Tahoma"/>
          <w:szCs w:val="22"/>
        </w:rPr>
        <w:t>Fecha de fallo y publicación;</w:t>
      </w:r>
    </w:p>
    <w:p w:rsidRPr="00BF6F7C" w:rsidR="00981B17" w:rsidP="00981B17" w:rsidRDefault="00981B17" w14:paraId="1FA0D327" w14:textId="77777777">
      <w:pPr>
        <w:pStyle w:val="Prrafodelista"/>
        <w:autoSpaceDE w:val="0"/>
        <w:autoSpaceDN w:val="0"/>
        <w:adjustRightInd w:val="0"/>
        <w:spacing w:line="360" w:lineRule="auto"/>
        <w:ind w:left="993"/>
        <w:jc w:val="both"/>
        <w:rPr>
          <w:rFonts w:ascii="Palatino Linotype" w:hAnsi="Palatino Linotype" w:cs="Tahoma"/>
          <w:szCs w:val="22"/>
        </w:rPr>
      </w:pPr>
    </w:p>
    <w:p w:rsidRPr="00BF6F7C" w:rsidR="00981B17" w:rsidP="00981B17" w:rsidRDefault="00981B17" w14:paraId="378D8FE7" w14:textId="77777777">
      <w:pPr>
        <w:pStyle w:val="Prrafodelista"/>
        <w:numPr>
          <w:ilvl w:val="0"/>
          <w:numId w:val="45"/>
        </w:numPr>
        <w:autoSpaceDE w:val="0"/>
        <w:autoSpaceDN w:val="0"/>
        <w:adjustRightInd w:val="0"/>
        <w:spacing w:line="360" w:lineRule="auto"/>
        <w:ind w:left="993"/>
        <w:jc w:val="both"/>
        <w:rPr>
          <w:rFonts w:ascii="Palatino Linotype" w:hAnsi="Palatino Linotype" w:cs="Tahoma"/>
          <w:szCs w:val="22"/>
        </w:rPr>
      </w:pPr>
      <w:r w:rsidRPr="00BF6F7C">
        <w:rPr>
          <w:rFonts w:ascii="Palatino Linotype" w:hAnsi="Palatino Linotype" w:cs="Tahoma"/>
          <w:szCs w:val="22"/>
        </w:rPr>
        <w:t>Tipo de procedimiento;</w:t>
      </w:r>
    </w:p>
    <w:p w:rsidRPr="00BF6F7C" w:rsidR="00981B17" w:rsidP="00981B17" w:rsidRDefault="00981B17" w14:paraId="4CD67446" w14:textId="77777777">
      <w:pPr>
        <w:pStyle w:val="Prrafodelista"/>
        <w:numPr>
          <w:ilvl w:val="0"/>
          <w:numId w:val="45"/>
        </w:numPr>
        <w:autoSpaceDE w:val="0"/>
        <w:autoSpaceDN w:val="0"/>
        <w:adjustRightInd w:val="0"/>
        <w:spacing w:line="360" w:lineRule="auto"/>
        <w:ind w:left="993"/>
        <w:jc w:val="both"/>
        <w:rPr>
          <w:rFonts w:ascii="Palatino Linotype" w:hAnsi="Palatino Linotype" w:cs="Tahoma"/>
          <w:szCs w:val="22"/>
        </w:rPr>
      </w:pPr>
      <w:r w:rsidRPr="00BF6F7C">
        <w:rPr>
          <w:rFonts w:ascii="Palatino Linotype" w:hAnsi="Palatino Linotype" w:cs="Tahoma"/>
          <w:szCs w:val="22"/>
        </w:rPr>
        <w:t>Título, descripción e importe del Contrato;</w:t>
      </w:r>
    </w:p>
    <w:p w:rsidRPr="00BF6F7C" w:rsidR="00981B17" w:rsidP="00981B17" w:rsidRDefault="00981B17" w14:paraId="5A378CBA" w14:textId="77777777">
      <w:pPr>
        <w:pStyle w:val="Prrafodelista"/>
        <w:numPr>
          <w:ilvl w:val="0"/>
          <w:numId w:val="45"/>
        </w:numPr>
        <w:autoSpaceDE w:val="0"/>
        <w:autoSpaceDN w:val="0"/>
        <w:adjustRightInd w:val="0"/>
        <w:spacing w:line="360" w:lineRule="auto"/>
        <w:ind w:left="993"/>
        <w:jc w:val="both"/>
        <w:rPr>
          <w:rFonts w:ascii="Palatino Linotype" w:hAnsi="Palatino Linotype" w:cs="Tahoma"/>
          <w:szCs w:val="22"/>
        </w:rPr>
      </w:pPr>
      <w:r w:rsidRPr="00BF6F7C">
        <w:rPr>
          <w:rFonts w:ascii="Palatino Linotype" w:hAnsi="Palatino Linotype" w:cs="Tahoma"/>
          <w:szCs w:val="22"/>
        </w:rPr>
        <w:t>Convenio modificatorio;</w:t>
      </w:r>
    </w:p>
    <w:p w:rsidRPr="00BF6F7C" w:rsidR="00981B17" w:rsidP="00981B17" w:rsidRDefault="00981B17" w14:paraId="201E999C" w14:textId="77777777">
      <w:pPr>
        <w:pStyle w:val="Prrafodelista"/>
        <w:numPr>
          <w:ilvl w:val="0"/>
          <w:numId w:val="45"/>
        </w:numPr>
        <w:autoSpaceDE w:val="0"/>
        <w:autoSpaceDN w:val="0"/>
        <w:adjustRightInd w:val="0"/>
        <w:spacing w:line="360" w:lineRule="auto"/>
        <w:ind w:left="993"/>
        <w:jc w:val="both"/>
        <w:rPr>
          <w:rFonts w:ascii="Palatino Linotype" w:hAnsi="Palatino Linotype" w:cs="Tahoma"/>
          <w:szCs w:val="22"/>
        </w:rPr>
      </w:pPr>
      <w:r w:rsidRPr="00BF6F7C">
        <w:rPr>
          <w:rFonts w:ascii="Palatino Linotype" w:hAnsi="Palatino Linotype" w:cs="Tahoma"/>
          <w:szCs w:val="22"/>
        </w:rPr>
        <w:t>Nombre y Registro Federal de Contribuyentes del proveedor o contratista, y</w:t>
      </w:r>
    </w:p>
    <w:p w:rsidR="00981B17" w:rsidP="00981B17" w:rsidRDefault="00981B17" w14:paraId="50F7A793" w14:textId="77777777">
      <w:pPr>
        <w:pStyle w:val="Prrafodelista"/>
        <w:numPr>
          <w:ilvl w:val="0"/>
          <w:numId w:val="45"/>
        </w:numPr>
        <w:autoSpaceDE w:val="0"/>
        <w:autoSpaceDN w:val="0"/>
        <w:adjustRightInd w:val="0"/>
        <w:spacing w:line="360" w:lineRule="auto"/>
        <w:ind w:left="993"/>
        <w:jc w:val="both"/>
        <w:rPr>
          <w:rFonts w:ascii="Palatino Linotype" w:hAnsi="Palatino Linotype" w:cs="Tahoma"/>
          <w:szCs w:val="22"/>
        </w:rPr>
      </w:pPr>
      <w:r w:rsidRPr="00BF6F7C">
        <w:rPr>
          <w:rFonts w:ascii="Palatino Linotype" w:hAnsi="Palatino Linotype" w:cs="Tahoma"/>
          <w:szCs w:val="22"/>
        </w:rPr>
        <w:t>Dirección del anuncio.</w:t>
      </w:r>
    </w:p>
    <w:p w:rsidRPr="00BF6F7C" w:rsidR="00981B17" w:rsidP="00981B17" w:rsidRDefault="00981B17" w14:paraId="47E48B31" w14:textId="77777777">
      <w:pPr>
        <w:pStyle w:val="Prrafodelista"/>
        <w:autoSpaceDE w:val="0"/>
        <w:autoSpaceDN w:val="0"/>
        <w:adjustRightInd w:val="0"/>
        <w:spacing w:line="360" w:lineRule="auto"/>
        <w:ind w:left="993"/>
        <w:jc w:val="both"/>
        <w:rPr>
          <w:rFonts w:ascii="Palatino Linotype" w:hAnsi="Palatino Linotype" w:cs="Tahoma"/>
          <w:szCs w:val="22"/>
        </w:rPr>
      </w:pPr>
    </w:p>
    <w:p w:rsidRPr="00BF6F7C" w:rsidR="00981B17" w:rsidP="00981B17" w:rsidRDefault="00981B17" w14:paraId="25BCBA02" w14:textId="77777777">
      <w:pPr>
        <w:pStyle w:val="Prrafodelista"/>
        <w:numPr>
          <w:ilvl w:val="0"/>
          <w:numId w:val="44"/>
        </w:numPr>
        <w:tabs>
          <w:tab w:val="left" w:pos="4962"/>
        </w:tabs>
        <w:spacing w:line="360" w:lineRule="auto"/>
        <w:ind w:left="567"/>
        <w:jc w:val="both"/>
        <w:rPr>
          <w:rFonts w:ascii="Palatino Linotype" w:hAnsi="Palatino Linotype" w:eastAsia="Calibri" w:cs="Tahoma"/>
          <w:iCs/>
          <w:lang w:val="es-ES" w:eastAsia="es-ES_tradnl"/>
        </w:rPr>
      </w:pPr>
      <w:r>
        <w:rPr>
          <w:rFonts w:ascii="Palatino Linotype" w:hAnsi="Palatino Linotype" w:eastAsia="Calibri" w:cs="Tahoma"/>
          <w:iCs/>
          <w:lang w:val="es-ES" w:eastAsia="es-ES_tradnl"/>
        </w:rPr>
        <w:t>Listado de proveedores.</w:t>
      </w:r>
    </w:p>
    <w:p w:rsidRPr="004F676D" w:rsidR="004F676D" w:rsidP="00B034A6" w:rsidRDefault="004F676D" w14:paraId="1B95C20D" w14:textId="77777777">
      <w:pPr>
        <w:spacing w:after="0" w:line="360" w:lineRule="auto"/>
        <w:rPr>
          <w:rFonts w:eastAsia="Calibri" w:cs="Arial"/>
          <w:bCs/>
          <w:lang w:val="es-ES_tradnl"/>
        </w:rPr>
      </w:pPr>
    </w:p>
    <w:p w:rsidRPr="00981B17" w:rsidR="00981B17" w:rsidP="00981B17" w:rsidRDefault="00981B17" w14:paraId="48A25D30" w14:textId="77777777">
      <w:pPr>
        <w:spacing w:after="0" w:line="360" w:lineRule="auto"/>
        <w:rPr>
          <w:rFonts w:eastAsia="Calibri" w:cs="Tahoma"/>
          <w:bCs/>
          <w:iCs/>
          <w:lang w:val="es-ES" w:eastAsia="es-ES_tradnl"/>
        </w:rPr>
      </w:pPr>
      <w:r w:rsidRPr="00981B17">
        <w:rPr>
          <w:rFonts w:eastAsia="Calibri" w:cs="Tahoma"/>
          <w:bCs/>
          <w:iCs/>
          <w:lang w:val="es-ES" w:eastAsia="es-ES_tradnl"/>
        </w:rPr>
        <w:t>Además, de ser necesario, deberá proporcionar el Acuerdo de Clasificación donde el Comité de Transparencia, confirme la eliminación de los datos o información clasificada, en la versión pública, de conformidad con los artículos 49, fracciones II y VIII y 132, fracción II, de la Ley de Transparencia y Acceso a la Información Pública del Estado de México y Municipios.</w:t>
      </w:r>
    </w:p>
    <w:p w:rsidRPr="004F676D" w:rsidR="004F676D" w:rsidP="00B034A6" w:rsidRDefault="004F676D" w14:paraId="74060834" w14:textId="77777777">
      <w:pPr>
        <w:spacing w:after="0" w:line="360" w:lineRule="auto"/>
        <w:rPr>
          <w:rFonts w:eastAsia="Calibri" w:cs="Arial"/>
          <w:bCs/>
          <w:lang w:val="es-ES_tradnl"/>
        </w:rPr>
      </w:pPr>
    </w:p>
    <w:p w:rsidRPr="00D33235" w:rsidR="00D33235" w:rsidP="00D33235" w:rsidRDefault="00D33235" w14:paraId="0E0D0946" w14:textId="77777777">
      <w:pPr>
        <w:spacing w:after="0" w:line="360" w:lineRule="auto"/>
        <w:rPr>
          <w:rFonts w:eastAsia="Calibri" w:cs="Tahoma"/>
          <w:bCs/>
          <w:iCs/>
          <w:color w:val="auto"/>
          <w:lang w:val="es-ES"/>
        </w:rPr>
      </w:pPr>
      <w:r>
        <w:rPr>
          <w:rFonts w:eastAsia="Calibri" w:cs="Tahoma"/>
          <w:bCs/>
          <w:iCs/>
          <w:color w:val="auto"/>
          <w:lang w:val="es-ES"/>
        </w:rPr>
        <w:t>Por otra parte, p</w:t>
      </w:r>
      <w:r w:rsidRPr="00D33235">
        <w:rPr>
          <w:rFonts w:eastAsia="Calibri" w:cs="Tahoma"/>
          <w:bCs/>
          <w:iCs/>
          <w:color w:val="auto"/>
          <w:lang w:val="es-ES"/>
        </w:rPr>
        <w:t xml:space="preserve">ara el caso, de que no localice la información </w:t>
      </w:r>
      <w:r>
        <w:rPr>
          <w:rFonts w:eastAsia="Times New Roman" w:cs="Times New Roman"/>
          <w:lang w:val="es-ES_tradnl" w:eastAsia="es-ES_tradnl"/>
        </w:rPr>
        <w:t>que dé cuenta del punto 1 (del primero de enero de dos mil dieciséis al treinta y uno de diciembre de dos mil dieciocho) y del 2 (del primero de enero de dos mil doce al treinta y uno de diciembre de dos mil veintiuno), por que haya causado b</w:t>
      </w:r>
      <w:bookmarkStart w:name="_GoBack" w:id="5"/>
      <w:bookmarkEnd w:id="5"/>
      <w:r>
        <w:rPr>
          <w:rFonts w:eastAsia="Times New Roman" w:cs="Times New Roman"/>
          <w:lang w:val="es-ES_tradnl" w:eastAsia="es-ES_tradnl"/>
        </w:rPr>
        <w:t>aja documental o no haya sido proporcionada en la entrega-recepción de las determinadas administraciones, el</w:t>
      </w:r>
      <w:r w:rsidRPr="00D33235">
        <w:rPr>
          <w:rFonts w:eastAsia="Calibri" w:cs="Tahoma"/>
          <w:bCs/>
          <w:iCs/>
          <w:color w:val="auto"/>
          <w:lang w:val="es-ES"/>
        </w:rPr>
        <w:t xml:space="preserve"> acta del Comité de Transparencia, donde confirme la inexistencia de la información, de conformidad con lo previsto en los artículos 19, párrafo tercero y 169 de la Ley de Transparencia y Acceso a la Información Pública del Estado de México y Municipios.</w:t>
      </w:r>
    </w:p>
    <w:p w:rsidR="004F676D" w:rsidP="00B034A6" w:rsidRDefault="004F676D" w14:paraId="6F90C6FB" w14:textId="77777777">
      <w:pPr>
        <w:spacing w:after="0" w:line="360" w:lineRule="auto"/>
        <w:rPr>
          <w:rFonts w:eastAsia="Calibri" w:cs="Arial"/>
          <w:bCs/>
          <w:lang w:val="es-ES_tradnl"/>
        </w:rPr>
      </w:pPr>
    </w:p>
    <w:p w:rsidRPr="00D33235" w:rsidR="00D33235" w:rsidP="00D33235" w:rsidRDefault="00D33235" w14:paraId="60276A8F" w14:textId="38D457D7">
      <w:pPr>
        <w:spacing w:after="0" w:line="360" w:lineRule="auto"/>
        <w:rPr>
          <w:rFonts w:eastAsia="Calibri" w:cs="Arial"/>
          <w:bCs/>
          <w:lang w:val="es-ES"/>
        </w:rPr>
      </w:pPr>
      <w:r w:rsidRPr="00D33235">
        <w:rPr>
          <w:rFonts w:eastAsia="Calibri" w:cs="Arial"/>
          <w:bCs/>
          <w:lang w:val="es-ES"/>
        </w:rPr>
        <w:t xml:space="preserve">Para el caso que la información que se ordena entregar en el punto </w:t>
      </w:r>
      <w:r>
        <w:rPr>
          <w:rFonts w:eastAsia="Calibri" w:cs="Arial"/>
          <w:bCs/>
          <w:lang w:val="es-ES"/>
        </w:rPr>
        <w:t>1, incisos c, i</w:t>
      </w:r>
      <w:r w:rsidR="007D52F5">
        <w:rPr>
          <w:rFonts w:eastAsia="Calibri" w:cs="Arial"/>
          <w:bCs/>
          <w:lang w:val="es-ES"/>
        </w:rPr>
        <w:t>,</w:t>
      </w:r>
      <w:r>
        <w:rPr>
          <w:rFonts w:eastAsia="Calibri" w:cs="Arial"/>
          <w:bCs/>
          <w:lang w:val="es-ES"/>
        </w:rPr>
        <w:t xml:space="preserve"> o</w:t>
      </w:r>
      <w:r w:rsidR="007D52F5">
        <w:rPr>
          <w:rFonts w:eastAsia="Calibri" w:cs="Arial"/>
          <w:bCs/>
          <w:lang w:val="es-ES"/>
        </w:rPr>
        <w:t>,</w:t>
      </w:r>
      <w:r>
        <w:rPr>
          <w:rFonts w:eastAsia="Calibri" w:cs="Arial"/>
          <w:bCs/>
          <w:lang w:val="es-ES"/>
        </w:rPr>
        <w:t xml:space="preserve"> k</w:t>
      </w:r>
      <w:r w:rsidRPr="00D33235">
        <w:rPr>
          <w:rFonts w:eastAsia="Calibri" w:cs="Arial"/>
          <w:bCs/>
          <w:lang w:val="es-ES"/>
        </w:rPr>
        <w:t>, no obre en los archivos del Sujeto Obligado, bastará con que, de forma clara y precisa, se haga del conocimiento del Particular.</w:t>
      </w:r>
    </w:p>
    <w:p w:rsidR="006058F5" w:rsidP="00B034A6" w:rsidRDefault="006058F5" w14:paraId="0FE91B88" w14:textId="77777777">
      <w:pPr>
        <w:spacing w:after="0" w:line="360" w:lineRule="auto"/>
        <w:rPr>
          <w:rFonts w:eastAsia="Calibri" w:cs="Arial"/>
          <w:bCs/>
          <w:lang w:val="es-ES_tradnl"/>
        </w:rPr>
      </w:pPr>
    </w:p>
    <w:p w:rsidRPr="004F676D" w:rsidR="00981B17" w:rsidP="00B034A6" w:rsidRDefault="00981B17" w14:paraId="77D1534F" w14:textId="77777777">
      <w:pPr>
        <w:spacing w:after="0" w:line="360" w:lineRule="auto"/>
        <w:rPr>
          <w:rFonts w:eastAsia="Calibri" w:cs="Arial"/>
          <w:bCs/>
          <w:lang w:val="es-ES_tradnl"/>
        </w:rPr>
      </w:pPr>
    </w:p>
    <w:p w:rsidR="00655443" w:rsidP="00B034A6" w:rsidRDefault="00655443" w14:paraId="29E8BA54" w14:textId="7CD1F21D">
      <w:pPr>
        <w:spacing w:after="0" w:line="360" w:lineRule="auto"/>
        <w:rPr>
          <w:rFonts w:eastAsia="Calibri" w:cs="Tahoma"/>
        </w:rPr>
      </w:pPr>
      <w:r w:rsidRPr="00655443">
        <w:rPr>
          <w:rFonts w:eastAsia="Calibri" w:cs="Arial"/>
          <w:b/>
          <w:lang w:val="es-ES_tradnl"/>
        </w:rPr>
        <w:t>TERCERO.</w:t>
      </w:r>
      <w:r w:rsidRPr="00655443">
        <w:rPr>
          <w:rFonts w:eastAsia="Calibri" w:cs="Tahoma"/>
          <w:b/>
        </w:rPr>
        <w:t xml:space="preserve"> NOTIFÍQUESE </w:t>
      </w:r>
      <w:r w:rsidRPr="00655443">
        <w:rPr>
          <w:rFonts w:eastAsia="Calibri" w:cs="Tahoma"/>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w:t>
      </w:r>
    </w:p>
    <w:p w:rsidRPr="00655443" w:rsidR="00981B17" w:rsidP="00B034A6" w:rsidRDefault="00981B17" w14:paraId="17DDE3CA" w14:textId="77777777">
      <w:pPr>
        <w:spacing w:after="0" w:line="360" w:lineRule="auto"/>
        <w:rPr>
          <w:rFonts w:eastAsia="Calibri" w:cs="Tahoma"/>
        </w:rPr>
      </w:pPr>
    </w:p>
    <w:p w:rsidRPr="00655443" w:rsidR="00655443" w:rsidP="00B034A6" w:rsidRDefault="00655443" w14:paraId="536F392A" w14:textId="77777777">
      <w:pPr>
        <w:spacing w:after="0" w:line="360" w:lineRule="auto"/>
        <w:rPr>
          <w:rFonts w:eastAsia="Calibri" w:cs="Tahoma"/>
          <w:iCs/>
        </w:rPr>
      </w:pPr>
      <w:bookmarkStart w:name="_Hlk61509110" w:id="6"/>
      <w:r w:rsidRPr="00655443">
        <w:rPr>
          <w:rFonts w:eastAsia="Calibri" w:cs="Tahoma"/>
          <w:iCs/>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bookmarkEnd w:id="6"/>
    </w:p>
    <w:p w:rsidRPr="00655443" w:rsidR="00655443" w:rsidP="00B034A6" w:rsidRDefault="00655443" w14:paraId="6CF0F046" w14:textId="77777777">
      <w:pPr>
        <w:spacing w:after="0" w:line="360" w:lineRule="auto"/>
        <w:rPr>
          <w:rFonts w:eastAsia="Calibri" w:cs="Tahoma"/>
        </w:rPr>
      </w:pPr>
    </w:p>
    <w:p w:rsidRPr="00655443" w:rsidR="00655443" w:rsidP="00B034A6" w:rsidRDefault="00655443" w14:paraId="723E9C78" w14:textId="77777777">
      <w:pPr>
        <w:spacing w:after="0" w:line="360" w:lineRule="auto"/>
        <w:rPr>
          <w:rFonts w:eastAsia="Calibri" w:cs="Tahoma"/>
        </w:rPr>
      </w:pPr>
      <w:r w:rsidRPr="00655443">
        <w:rPr>
          <w:rFonts w:eastAsia="Calibri" w:cs="Tahoma"/>
          <w:b/>
        </w:rPr>
        <w:t>CUARTO. NOTIFÍQUESE</w:t>
      </w:r>
      <w:r w:rsidRPr="00655443">
        <w:rPr>
          <w:rFonts w:eastAsia="Calibri" w:cs="Tahoma"/>
        </w:rPr>
        <w:t xml:space="preserve"> al Recurrente la presente Resolución,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rsidRPr="00446963" w:rsidR="00725283" w:rsidP="00B034A6" w:rsidRDefault="00725283" w14:paraId="1B12DE24" w14:textId="77777777">
      <w:pPr>
        <w:spacing w:after="0" w:line="360" w:lineRule="auto"/>
        <w:rPr>
          <w:rFonts w:eastAsia="Calibri" w:cs="Tahoma"/>
          <w:bCs/>
        </w:rPr>
      </w:pPr>
    </w:p>
    <w:p w:rsidR="0040526C" w:rsidP="00B034A6" w:rsidRDefault="0040526C" w14:paraId="427DAFB5" w14:textId="64402BEE">
      <w:pPr>
        <w:tabs>
          <w:tab w:val="left" w:pos="5670"/>
        </w:tabs>
        <w:spacing w:after="0" w:line="360" w:lineRule="auto"/>
        <w:rPr>
          <w:rFonts w:eastAsia="Times New Roman" w:cs="Tahoma"/>
          <w:lang w:eastAsia="es-MX"/>
        </w:rPr>
      </w:pPr>
      <w:r w:rsidRPr="00446963">
        <w:t xml:space="preserve">ASÍ LO RESUELVE, POR </w:t>
      </w:r>
      <w:r w:rsidR="00FA383B">
        <w:rPr>
          <w:b/>
          <w:bCs/>
        </w:rPr>
        <w:t>UNANIMIDAD</w:t>
      </w:r>
      <w:r>
        <w:t xml:space="preserve"> </w:t>
      </w:r>
      <w:r w:rsidRPr="00446963">
        <w:t>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w:t>
      </w:r>
      <w:r>
        <w:t xml:space="preserve"> CON</w:t>
      </w:r>
      <w:r w:rsidRPr="00446963">
        <w:t xml:space="preserve">; EN LA </w:t>
      </w:r>
      <w:r w:rsidR="001E35D1">
        <w:t>CUARTA</w:t>
      </w:r>
      <w:r w:rsidR="0014141E">
        <w:t xml:space="preserve"> </w:t>
      </w:r>
      <w:r w:rsidRPr="00446963">
        <w:t xml:space="preserve">SESIÓN ORDINARIA CELEBRADA EL </w:t>
      </w:r>
      <w:r w:rsidR="001E35D1">
        <w:t>PRIMERO</w:t>
      </w:r>
      <w:r w:rsidR="000A0809">
        <w:t xml:space="preserve"> DE </w:t>
      </w:r>
      <w:r w:rsidR="001E35D1">
        <w:t>FEBRERO</w:t>
      </w:r>
      <w:r w:rsidR="000A0809">
        <w:t xml:space="preserve"> </w:t>
      </w:r>
      <w:r w:rsidRPr="00446963">
        <w:t>DE DOS MIL VEINTI</w:t>
      </w:r>
      <w:r w:rsidR="006058F5">
        <w:t>TRÉS</w:t>
      </w:r>
      <w:r w:rsidRPr="00446963">
        <w:t>, ANTE EL SECRETARIO TÉCNICO DEL PLENO, ALEXIS TAPIA RAMÍREZ.</w:t>
      </w:r>
      <w:r>
        <w:rPr>
          <w:rFonts w:eastAsia="Times New Roman" w:cs="Tahoma"/>
          <w:lang w:eastAsia="es-MX"/>
        </w:rPr>
        <w:br w:type="page"/>
      </w:r>
    </w:p>
    <w:p w:rsidR="00E439ED" w:rsidP="00B034A6" w:rsidRDefault="00E439ED" w14:paraId="179D3A74" w14:textId="77777777">
      <w:pPr>
        <w:spacing w:after="0" w:line="360" w:lineRule="auto"/>
      </w:pPr>
    </w:p>
    <w:sectPr w:rsidR="00E439ED" w:rsidSect="003E2E42">
      <w:headerReference w:type="even" r:id="rId19"/>
      <w:headerReference w:type="default" r:id="rId20"/>
      <w:footerReference w:type="even" r:id="rId21"/>
      <w:footerReference w:type="default" r:id="rId22"/>
      <w:headerReference w:type="first" r:id="rId23"/>
      <w:footerReference w:type="first" r:id="rId24"/>
      <w:pgSz w:w="12240" w:h="15840" w:orient="portrait"/>
      <w:pgMar w:top="1418" w:right="1418" w:bottom="1134" w:left="1701" w:header="851"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87CEE" w:rsidP="00066B31" w:rsidRDefault="00287CEE" w14:paraId="677085CB" w14:textId="77777777">
      <w:pPr>
        <w:spacing w:after="0" w:line="240" w:lineRule="auto"/>
      </w:pPr>
      <w:r>
        <w:separator/>
      </w:r>
    </w:p>
  </w:endnote>
  <w:endnote w:type="continuationSeparator" w:id="0">
    <w:p w:rsidR="00287CEE" w:rsidP="00066B31" w:rsidRDefault="00287CEE" w14:paraId="704E68DA"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34A6" w:rsidRDefault="00B034A6" w14:paraId="7E37BAE9" w14:textId="77777777">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Pr>
        <w:b/>
        <w:bCs/>
        <w:noProof/>
      </w:rPr>
      <w:t>14</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Pr>
        <w:b/>
        <w:bCs/>
        <w:noProof/>
      </w:rPr>
      <w:t>19</w:t>
    </w:r>
    <w:r>
      <w:rPr>
        <w:b/>
        <w:bCs/>
        <w:sz w:val="24"/>
        <w:szCs w:val="24"/>
      </w:rPr>
      <w:fldChar w:fldCharType="end"/>
    </w:r>
  </w:p>
  <w:p w:rsidR="00B034A6" w:rsidRDefault="00B034A6" w14:paraId="3B0A68EB" w14:textId="77777777">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65871782"/>
      <w:docPartObj>
        <w:docPartGallery w:val="Page Numbers (Bottom of Page)"/>
        <w:docPartUnique/>
      </w:docPartObj>
    </w:sdtPr>
    <w:sdtEndPr/>
    <w:sdtContent>
      <w:sdt>
        <w:sdtPr>
          <w:id w:val="1890534867"/>
          <w:docPartObj>
            <w:docPartGallery w:val="Page Numbers (Top of Page)"/>
            <w:docPartUnique/>
          </w:docPartObj>
        </w:sdtPr>
        <w:sdtEndPr/>
        <w:sdtContent>
          <w:p w:rsidR="00B034A6" w:rsidRDefault="00B034A6" w14:paraId="3CFCA135" w14:textId="77777777">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722334">
              <w:rPr>
                <w:b/>
                <w:bCs/>
                <w:noProof/>
              </w:rPr>
              <w:t>48</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722334">
              <w:rPr>
                <w:b/>
                <w:bCs/>
                <w:noProof/>
              </w:rPr>
              <w:t>48</w:t>
            </w:r>
            <w:r>
              <w:rPr>
                <w:b/>
                <w:bCs/>
                <w:sz w:val="24"/>
                <w:szCs w:val="24"/>
              </w:rPr>
              <w:fldChar w:fldCharType="end"/>
            </w:r>
          </w:p>
        </w:sdtContent>
      </w:sdt>
    </w:sdtContent>
  </w:sdt>
  <w:p w:rsidR="00B034A6" w:rsidRDefault="00B034A6" w14:paraId="42C147CB" w14:textId="77777777">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34A6" w:rsidRDefault="00B034A6" w14:paraId="1BEE5584" w14:textId="77777777">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722334">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722334">
      <w:rPr>
        <w:b/>
        <w:bCs/>
        <w:noProof/>
      </w:rPr>
      <w:t>48</w:t>
    </w:r>
    <w:r>
      <w:rPr>
        <w:b/>
        <w:bCs/>
        <w:sz w:val="24"/>
        <w:szCs w:val="24"/>
      </w:rPr>
      <w:fldChar w:fldCharType="end"/>
    </w:r>
  </w:p>
  <w:p w:rsidR="00B034A6" w:rsidP="00983257" w:rsidRDefault="00B034A6" w14:paraId="21537CF3" w14:textId="77777777">
    <w:pPr>
      <w:pStyle w:val="Piedepgina"/>
      <w:tabs>
        <w:tab w:val="clear" w:pos="4419"/>
        <w:tab w:val="clear" w:pos="8838"/>
        <w:tab w:val="left" w:pos="3945"/>
      </w:tabs>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87CEE" w:rsidP="00066B31" w:rsidRDefault="00287CEE" w14:paraId="033AD63B" w14:textId="77777777">
      <w:pPr>
        <w:spacing w:after="0" w:line="240" w:lineRule="auto"/>
      </w:pPr>
      <w:r>
        <w:separator/>
      </w:r>
    </w:p>
  </w:footnote>
  <w:footnote w:type="continuationSeparator" w:id="0">
    <w:p w:rsidR="00287CEE" w:rsidP="00066B31" w:rsidRDefault="00287CEE" w14:paraId="484FDD14" w14:textId="7777777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990" w:type="dxa"/>
      <w:tblLayout w:type="fixed"/>
      <w:tblLook w:val="04A0" w:firstRow="1" w:lastRow="0" w:firstColumn="1" w:lastColumn="0" w:noHBand="0" w:noVBand="1"/>
    </w:tblPr>
    <w:tblGrid>
      <w:gridCol w:w="3260"/>
      <w:gridCol w:w="6730"/>
    </w:tblGrid>
    <w:tr w:rsidRPr="008C644E" w:rsidR="00B034A6" w:rsidTr="00983257" w14:paraId="04C853ED" w14:textId="77777777">
      <w:trPr>
        <w:trHeight w:val="1435"/>
      </w:trPr>
      <w:tc>
        <w:tcPr>
          <w:tcW w:w="3261" w:type="dxa"/>
        </w:tcPr>
        <w:p w:rsidRPr="008C644E" w:rsidR="00B034A6" w:rsidP="00983257" w:rsidRDefault="00B034A6" w14:paraId="0C7EB462" w14:textId="77777777">
          <w:pPr>
            <w:pStyle w:val="Encabezado"/>
          </w:pPr>
        </w:p>
      </w:tc>
      <w:tc>
        <w:tcPr>
          <w:tcW w:w="6733" w:type="dxa"/>
          <w:hideMark/>
        </w:tcPr>
        <w:tbl>
          <w:tblPr>
            <w:tblStyle w:val="Tablaconcuadrcula"/>
            <w:tblW w:w="9220" w:type="dxa"/>
            <w:tblInd w:w="16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20" w:firstRow="1" w:lastRow="0" w:firstColumn="0" w:lastColumn="0" w:noHBand="0" w:noVBand="1"/>
          </w:tblPr>
          <w:tblGrid>
            <w:gridCol w:w="2559"/>
            <w:gridCol w:w="3259"/>
            <w:gridCol w:w="3402"/>
          </w:tblGrid>
          <w:tr w:rsidRPr="008C644E" w:rsidR="00B034A6" w:rsidTr="00983257" w14:paraId="3C8FA9F1" w14:textId="77777777">
            <w:trPr>
              <w:trHeight w:val="144"/>
            </w:trPr>
            <w:tc>
              <w:tcPr>
                <w:tcW w:w="2559" w:type="dxa"/>
                <w:hideMark/>
              </w:tcPr>
              <w:p w:rsidRPr="008C644E" w:rsidR="00B034A6" w:rsidP="00983257" w:rsidRDefault="00B034A6" w14:paraId="73DACB1F" w14:textId="77777777">
                <w:pPr>
                  <w:pStyle w:val="Encabezado"/>
                  <w:rPr>
                    <w:b/>
                  </w:rPr>
                </w:pPr>
                <w:r w:rsidRPr="008C644E">
                  <w:rPr>
                    <w:b/>
                  </w:rPr>
                  <w:t>Recurso de Revisión:</w:t>
                </w:r>
              </w:p>
            </w:tc>
            <w:tc>
              <w:tcPr>
                <w:tcW w:w="3259" w:type="dxa"/>
                <w:hideMark/>
              </w:tcPr>
              <w:p w:rsidRPr="008C644E" w:rsidR="00B034A6" w:rsidP="00983257" w:rsidRDefault="00B034A6" w14:paraId="2BAF54F5" w14:textId="77777777">
                <w:pPr>
                  <w:pStyle w:val="Encabezado"/>
                </w:pPr>
                <w:r>
                  <w:t>01206/INFOEM/IP/RR/2022</w:t>
                </w:r>
              </w:p>
            </w:tc>
            <w:tc>
              <w:tcPr>
                <w:tcW w:w="3402" w:type="dxa"/>
              </w:tcPr>
              <w:p w:rsidRPr="008C644E" w:rsidR="00B034A6" w:rsidP="00983257" w:rsidRDefault="00B034A6" w14:paraId="005AF5AD" w14:textId="77777777">
                <w:pPr>
                  <w:pStyle w:val="Encabezado"/>
                  <w:rPr>
                    <w:bCs/>
                  </w:rPr>
                </w:pPr>
              </w:p>
            </w:tc>
          </w:tr>
          <w:tr w:rsidRPr="008C644E" w:rsidR="00B034A6" w:rsidTr="00983257" w14:paraId="266F92FA" w14:textId="77777777">
            <w:trPr>
              <w:trHeight w:val="283"/>
            </w:trPr>
            <w:tc>
              <w:tcPr>
                <w:tcW w:w="2559" w:type="dxa"/>
                <w:hideMark/>
              </w:tcPr>
              <w:p w:rsidRPr="008C644E" w:rsidR="00B034A6" w:rsidP="00983257" w:rsidRDefault="00B034A6" w14:paraId="6E774FF3" w14:textId="77777777">
                <w:pPr>
                  <w:pStyle w:val="Encabezado"/>
                  <w:rPr>
                    <w:b/>
                  </w:rPr>
                </w:pPr>
                <w:r w:rsidRPr="008C644E">
                  <w:rPr>
                    <w:b/>
                  </w:rPr>
                  <w:t>Sujeto Obligado:</w:t>
                </w:r>
              </w:p>
            </w:tc>
            <w:tc>
              <w:tcPr>
                <w:tcW w:w="3259" w:type="dxa"/>
                <w:hideMark/>
              </w:tcPr>
              <w:p w:rsidRPr="008C644E" w:rsidR="00B034A6" w:rsidP="00983257" w:rsidRDefault="00B034A6" w14:paraId="72431DDA" w14:textId="11AF2492">
                <w:pPr>
                  <w:pStyle w:val="Encabezado"/>
                </w:pPr>
                <w:r w:rsidRPr="008C644E">
                  <w:rPr>
                    <w:lang w:val="es-MX"/>
                  </w:rPr>
                  <w:t>Ayuntamiento</w:t>
                </w:r>
                <w:r>
                  <w:rPr>
                    <w:lang w:val="es-MX"/>
                  </w:rPr>
                  <w:t xml:space="preserve"> de</w:t>
                </w:r>
                <w:r w:rsidRPr="008C644E">
                  <w:rPr>
                    <w:lang w:val="es-MX"/>
                  </w:rPr>
                  <w:t xml:space="preserve"> </w:t>
                </w:r>
                <w:r>
                  <w:rPr>
                    <w:lang w:val="es-MX"/>
                  </w:rPr>
                  <w:t>Tezoyuca</w:t>
                </w:r>
              </w:p>
            </w:tc>
            <w:tc>
              <w:tcPr>
                <w:tcW w:w="3402" w:type="dxa"/>
              </w:tcPr>
              <w:p w:rsidRPr="008C644E" w:rsidR="00B034A6" w:rsidP="00983257" w:rsidRDefault="00B034A6" w14:paraId="13DD28B6" w14:textId="77777777">
                <w:pPr>
                  <w:pStyle w:val="Encabezado"/>
                </w:pPr>
              </w:p>
            </w:tc>
          </w:tr>
          <w:tr w:rsidRPr="008C644E" w:rsidR="00B034A6" w:rsidTr="00983257" w14:paraId="1F447167" w14:textId="77777777">
            <w:trPr>
              <w:trHeight w:val="283"/>
            </w:trPr>
            <w:tc>
              <w:tcPr>
                <w:tcW w:w="2559" w:type="dxa"/>
                <w:hideMark/>
              </w:tcPr>
              <w:p w:rsidRPr="008C644E" w:rsidR="00B034A6" w:rsidP="00983257" w:rsidRDefault="00B034A6" w14:paraId="216657E4" w14:textId="77777777">
                <w:pPr>
                  <w:pStyle w:val="Encabezado"/>
                  <w:rPr>
                    <w:b/>
                  </w:rPr>
                </w:pPr>
                <w:r w:rsidRPr="008C644E">
                  <w:rPr>
                    <w:b/>
                  </w:rPr>
                  <w:t xml:space="preserve">Comisionado Ponente: </w:t>
                </w:r>
              </w:p>
            </w:tc>
            <w:tc>
              <w:tcPr>
                <w:tcW w:w="3259" w:type="dxa"/>
                <w:hideMark/>
              </w:tcPr>
              <w:p w:rsidRPr="008C644E" w:rsidR="00B034A6" w:rsidP="00983257" w:rsidRDefault="00B034A6" w14:paraId="6E467BD9" w14:textId="77777777">
                <w:pPr>
                  <w:pStyle w:val="Encabezado"/>
                  <w:rPr>
                    <w:b/>
                  </w:rPr>
                </w:pPr>
                <w:r w:rsidRPr="008C644E">
                  <w:t>Luis Gustavo Parra Noriega</w:t>
                </w:r>
              </w:p>
            </w:tc>
            <w:tc>
              <w:tcPr>
                <w:tcW w:w="3402" w:type="dxa"/>
              </w:tcPr>
              <w:p w:rsidRPr="008C644E" w:rsidR="00B034A6" w:rsidP="00983257" w:rsidRDefault="00B034A6" w14:paraId="210A329D" w14:textId="77777777">
                <w:pPr>
                  <w:pStyle w:val="Encabezado"/>
                </w:pPr>
              </w:p>
            </w:tc>
          </w:tr>
        </w:tbl>
        <w:p w:rsidRPr="008C644E" w:rsidR="00B034A6" w:rsidP="00983257" w:rsidRDefault="00B034A6" w14:paraId="1FBF3105" w14:textId="77777777">
          <w:pPr>
            <w:pStyle w:val="Encabezado"/>
            <w:rPr>
              <w:b/>
            </w:rPr>
          </w:pPr>
        </w:p>
      </w:tc>
    </w:tr>
  </w:tbl>
  <w:p w:rsidR="00B034A6" w:rsidRDefault="00722334" w14:paraId="14486D0A" w14:textId="77777777">
    <w:pPr>
      <w:pStyle w:val="Encabezado"/>
    </w:pPr>
    <w:r>
      <w:rPr>
        <w:noProof/>
      </w:rPr>
      <w:pict w14:anchorId="762E387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100119626" style="position:absolute;left:0;text-align:left;margin-left:0;margin-top:0;width:663.5pt;height:12in;z-index:-251659776;mso-position-horizontal:center;mso-position-horizontal-relative:margin;mso-position-vertical:center;mso-position-vertical-relative:margin" o:spid="_x0000_s2050" o:allowincell="f" type="#_x0000_t75">
          <v:imagedata o:title="MARCA DE AGUA - HOJA RESOLUCIÓN" r:id="rId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356" w:type="dxa"/>
      <w:tblLayout w:type="fixed"/>
      <w:tblLook w:val="04A0" w:firstRow="1" w:lastRow="0" w:firstColumn="1" w:lastColumn="0" w:noHBand="0" w:noVBand="1"/>
    </w:tblPr>
    <w:tblGrid>
      <w:gridCol w:w="2268"/>
      <w:gridCol w:w="7088"/>
    </w:tblGrid>
    <w:tr w:rsidR="00B034A6" w:rsidTr="00B5335F" w14:paraId="4EA32E14" w14:textId="77777777">
      <w:trPr>
        <w:trHeight w:val="1435"/>
      </w:trPr>
      <w:tc>
        <w:tcPr>
          <w:tcW w:w="2268" w:type="dxa"/>
        </w:tcPr>
        <w:p w:rsidR="00B034A6" w:rsidP="00983257" w:rsidRDefault="00B034A6" w14:paraId="423C2A31" w14:textId="77777777">
          <w:pPr>
            <w:tabs>
              <w:tab w:val="right" w:pos="4273"/>
            </w:tabs>
            <w:spacing w:line="256" w:lineRule="auto"/>
            <w:rPr>
              <w:rFonts w:ascii="Garamond" w:hAnsi="Garamond" w:eastAsia="Calibri"/>
              <w:color w:val="auto"/>
            </w:rPr>
          </w:pPr>
        </w:p>
      </w:tc>
      <w:tc>
        <w:tcPr>
          <w:tcW w:w="7088" w:type="dxa"/>
          <w:hideMark/>
        </w:tcPr>
        <w:p w:rsidR="00B034A6" w:rsidRDefault="00B034A6" w14:paraId="192B639C" w14:textId="77777777"/>
        <w:tbl>
          <w:tblPr>
            <w:tblStyle w:val="Tablaconcuadrcula"/>
            <w:tblW w:w="9072" w:type="dxa"/>
            <w:tblInd w:w="1026"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20" w:firstRow="1" w:lastRow="0" w:firstColumn="0" w:lastColumn="0" w:noHBand="0" w:noVBand="1"/>
          </w:tblPr>
          <w:tblGrid>
            <w:gridCol w:w="2552"/>
            <w:gridCol w:w="3118"/>
            <w:gridCol w:w="3402"/>
          </w:tblGrid>
          <w:tr w:rsidR="00B034A6" w:rsidTr="00EB30A4" w14:paraId="4460AAC6" w14:textId="77777777">
            <w:trPr>
              <w:trHeight w:val="144"/>
            </w:trPr>
            <w:tc>
              <w:tcPr>
                <w:tcW w:w="2552" w:type="dxa"/>
                <w:hideMark/>
              </w:tcPr>
              <w:p w:rsidR="00B034A6" w:rsidP="00983257" w:rsidRDefault="00B034A6" w14:paraId="309907ED" w14:textId="77777777">
                <w:pPr>
                  <w:tabs>
                    <w:tab w:val="right" w:pos="8838"/>
                  </w:tabs>
                  <w:ind w:left="-74" w:right="-105"/>
                  <w:rPr>
                    <w:rFonts w:eastAsia="Calibri" w:cs="Tahoma"/>
                    <w:b/>
                  </w:rPr>
                </w:pPr>
                <w:bookmarkStart w:name="_Hlk12526980" w:id="7"/>
                <w:r>
                  <w:rPr>
                    <w:rFonts w:eastAsia="Calibri" w:cs="Tahoma"/>
                    <w:b/>
                  </w:rPr>
                  <w:t>Recurso de Revisión:</w:t>
                </w:r>
              </w:p>
            </w:tc>
            <w:tc>
              <w:tcPr>
                <w:tcW w:w="3118" w:type="dxa"/>
                <w:hideMark/>
              </w:tcPr>
              <w:p w:rsidR="00B034A6" w:rsidP="00046644" w:rsidRDefault="00B034A6" w14:paraId="79D1E809" w14:textId="5023418C">
                <w:pPr>
                  <w:tabs>
                    <w:tab w:val="right" w:pos="8838"/>
                  </w:tabs>
                  <w:ind w:left="-74" w:right="-105"/>
                  <w:rPr>
                    <w:rFonts w:eastAsia="Calibri" w:cs="Tahoma"/>
                    <w:bCs/>
                  </w:rPr>
                </w:pPr>
                <w:r w:rsidRPr="00EB30A4">
                  <w:t>09266/INFOEM/IP/RR/2022</w:t>
                </w:r>
              </w:p>
            </w:tc>
            <w:tc>
              <w:tcPr>
                <w:tcW w:w="3402" w:type="dxa"/>
              </w:tcPr>
              <w:p w:rsidR="00B034A6" w:rsidP="00983257" w:rsidRDefault="00B034A6" w14:paraId="04BF926A" w14:textId="77777777">
                <w:pPr>
                  <w:tabs>
                    <w:tab w:val="right" w:pos="8838"/>
                  </w:tabs>
                  <w:ind w:left="-74" w:right="-105"/>
                  <w:rPr>
                    <w:rFonts w:eastAsia="Calibri" w:cs="Tahoma"/>
                    <w:bCs/>
                  </w:rPr>
                </w:pPr>
              </w:p>
            </w:tc>
            <w:bookmarkEnd w:id="7"/>
          </w:tr>
          <w:tr w:rsidR="00B034A6" w:rsidTr="00EB30A4" w14:paraId="2B8E7492" w14:textId="77777777">
            <w:trPr>
              <w:trHeight w:val="283"/>
            </w:trPr>
            <w:tc>
              <w:tcPr>
                <w:tcW w:w="2552" w:type="dxa"/>
                <w:hideMark/>
              </w:tcPr>
              <w:p w:rsidR="00B034A6" w:rsidP="00D7160C" w:rsidRDefault="00B034A6" w14:paraId="4B844598" w14:textId="77777777">
                <w:pPr>
                  <w:tabs>
                    <w:tab w:val="right" w:pos="8838"/>
                  </w:tabs>
                  <w:ind w:left="-74" w:right="-105"/>
                  <w:rPr>
                    <w:rFonts w:eastAsia="Calibri" w:cs="Tahoma"/>
                    <w:b/>
                  </w:rPr>
                </w:pPr>
                <w:r>
                  <w:rPr>
                    <w:rFonts w:eastAsia="Calibri" w:cs="Tahoma"/>
                    <w:b/>
                  </w:rPr>
                  <w:t>Sujeto Obligado:</w:t>
                </w:r>
              </w:p>
            </w:tc>
            <w:tc>
              <w:tcPr>
                <w:tcW w:w="3118" w:type="dxa"/>
                <w:hideMark/>
              </w:tcPr>
              <w:p w:rsidRPr="008C644E" w:rsidR="00B034A6" w:rsidP="00046644" w:rsidRDefault="00B034A6" w14:paraId="2C6EC5FD" w14:textId="390C6F12">
                <w:pPr>
                  <w:tabs>
                    <w:tab w:val="left" w:pos="2834"/>
                    <w:tab w:val="right" w:pos="8838"/>
                  </w:tabs>
                  <w:ind w:left="-74" w:right="-105"/>
                  <w:rPr>
                    <w:rFonts w:eastAsia="Calibri" w:cs="Tahoma"/>
                  </w:rPr>
                </w:pPr>
                <w:r w:rsidRPr="00EB30A4">
                  <w:t>Ayuntamiento de Tepetlaoxtoc</w:t>
                </w:r>
              </w:p>
            </w:tc>
            <w:tc>
              <w:tcPr>
                <w:tcW w:w="3402" w:type="dxa"/>
              </w:tcPr>
              <w:p w:rsidR="00B034A6" w:rsidP="00D7160C" w:rsidRDefault="00B034A6" w14:paraId="30AE58B9" w14:textId="2CCE873C">
                <w:pPr>
                  <w:tabs>
                    <w:tab w:val="left" w:pos="2834"/>
                    <w:tab w:val="right" w:pos="8838"/>
                  </w:tabs>
                  <w:ind w:right="-105"/>
                  <w:rPr>
                    <w:rFonts w:eastAsia="Calibri" w:cs="Tahoma"/>
                  </w:rPr>
                </w:pPr>
              </w:p>
            </w:tc>
          </w:tr>
          <w:tr w:rsidR="00B034A6" w:rsidTr="00EB30A4" w14:paraId="4CA944CC" w14:textId="77777777">
            <w:trPr>
              <w:trHeight w:val="283"/>
            </w:trPr>
            <w:tc>
              <w:tcPr>
                <w:tcW w:w="2552" w:type="dxa"/>
                <w:hideMark/>
              </w:tcPr>
              <w:p w:rsidR="00B034A6" w:rsidP="00983257" w:rsidRDefault="00B034A6" w14:paraId="131AC3D5" w14:textId="77777777">
                <w:pPr>
                  <w:tabs>
                    <w:tab w:val="right" w:pos="8838"/>
                  </w:tabs>
                  <w:ind w:left="-74" w:right="-105"/>
                  <w:rPr>
                    <w:rFonts w:eastAsia="Calibri" w:cs="Tahoma"/>
                    <w:b/>
                  </w:rPr>
                </w:pPr>
                <w:r>
                  <w:rPr>
                    <w:rFonts w:eastAsia="Calibri" w:cs="Tahoma"/>
                    <w:b/>
                  </w:rPr>
                  <w:t xml:space="preserve">Comisionado Ponente: </w:t>
                </w:r>
              </w:p>
            </w:tc>
            <w:tc>
              <w:tcPr>
                <w:tcW w:w="3118" w:type="dxa"/>
                <w:hideMark/>
              </w:tcPr>
              <w:p w:rsidR="00B034A6" w:rsidP="00046644" w:rsidRDefault="00B034A6" w14:paraId="04D77E1A" w14:textId="77777777">
                <w:pPr>
                  <w:tabs>
                    <w:tab w:val="right" w:pos="8838"/>
                  </w:tabs>
                  <w:ind w:left="-74" w:right="-105"/>
                  <w:rPr>
                    <w:rFonts w:eastAsia="Calibri" w:cs="Tahoma"/>
                    <w:b/>
                  </w:rPr>
                </w:pPr>
                <w:r>
                  <w:rPr>
                    <w:rFonts w:eastAsia="Calibri" w:cs="Tahoma"/>
                  </w:rPr>
                  <w:t>Luis Gustavo Parra Noriega</w:t>
                </w:r>
              </w:p>
            </w:tc>
            <w:tc>
              <w:tcPr>
                <w:tcW w:w="3402" w:type="dxa"/>
              </w:tcPr>
              <w:p w:rsidR="00B034A6" w:rsidP="00983257" w:rsidRDefault="00B034A6" w14:paraId="5A0D5601" w14:textId="77777777">
                <w:pPr>
                  <w:tabs>
                    <w:tab w:val="right" w:pos="8838"/>
                  </w:tabs>
                  <w:ind w:left="-74" w:right="-105"/>
                  <w:rPr>
                    <w:rFonts w:eastAsia="Calibri" w:cs="Tahoma"/>
                  </w:rPr>
                </w:pPr>
              </w:p>
            </w:tc>
          </w:tr>
        </w:tbl>
        <w:p w:rsidR="00B034A6" w:rsidP="00983257" w:rsidRDefault="00B034A6" w14:paraId="14C1172F" w14:textId="77777777">
          <w:pPr>
            <w:tabs>
              <w:tab w:val="right" w:pos="8838"/>
            </w:tabs>
            <w:spacing w:line="256" w:lineRule="auto"/>
            <w:ind w:left="-28"/>
            <w:rPr>
              <w:rFonts w:ascii="Arial" w:hAnsi="Arial" w:eastAsia="Calibri" w:cs="Arial"/>
              <w:b/>
            </w:rPr>
          </w:pPr>
        </w:p>
      </w:tc>
    </w:tr>
  </w:tbl>
  <w:p w:rsidR="00B034A6" w:rsidRDefault="00722334" w14:paraId="652BA475" w14:textId="77777777">
    <w:pPr>
      <w:pStyle w:val="Encabezado"/>
    </w:pPr>
    <w:r>
      <w:rPr>
        <w:noProof/>
      </w:rPr>
      <w:pict w14:anchorId="6638158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100119627" style="position:absolute;left:0;text-align:left;margin-left:-105.35pt;margin-top:-129.4pt;width:663.5pt;height:12in;z-index:-251658752;mso-position-horizontal-relative:margin;mso-position-vertical-relative:margin" o:spid="_x0000_s2051" o:allowincell="f" type="#_x0000_t75">
          <v:imagedata o:title="MARCA DE AGUA - HOJA RESOLUCIÓN" r:id="rId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639" w:type="dxa"/>
      <w:tblLayout w:type="fixed"/>
      <w:tblLook w:val="04A0" w:firstRow="1" w:lastRow="0" w:firstColumn="1" w:lastColumn="0" w:noHBand="0" w:noVBand="1"/>
    </w:tblPr>
    <w:tblGrid>
      <w:gridCol w:w="2127"/>
      <w:gridCol w:w="7512"/>
    </w:tblGrid>
    <w:tr w:rsidRPr="008C644E" w:rsidR="00B034A6" w:rsidTr="01A69785" w14:paraId="7C3509A9" w14:textId="77777777">
      <w:trPr>
        <w:trHeight w:val="1435"/>
      </w:trPr>
      <w:tc>
        <w:tcPr>
          <w:tcW w:w="2127" w:type="dxa"/>
          <w:tcMar/>
        </w:tcPr>
        <w:p w:rsidRPr="008C644E" w:rsidR="00B034A6" w:rsidP="00983257" w:rsidRDefault="00B034A6" w14:paraId="7A9E3827" w14:textId="77777777">
          <w:pPr>
            <w:pStyle w:val="Encabezado"/>
          </w:pPr>
        </w:p>
      </w:tc>
      <w:tc>
        <w:tcPr>
          <w:tcW w:w="7512" w:type="dxa"/>
          <w:tcMar/>
          <w:hideMark/>
        </w:tcPr>
        <w:tbl>
          <w:tblPr>
            <w:tblStyle w:val="Tablaconcuadrcula"/>
            <w:tblW w:w="12616" w:type="dxa"/>
            <w:tblInd w:w="116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20" w:firstRow="1" w:lastRow="0" w:firstColumn="0" w:lastColumn="0" w:noHBand="0" w:noVBand="1"/>
          </w:tblPr>
          <w:tblGrid>
            <w:gridCol w:w="2559"/>
            <w:gridCol w:w="3253"/>
            <w:gridCol w:w="3402"/>
            <w:gridCol w:w="3402"/>
          </w:tblGrid>
          <w:tr w:rsidRPr="008C644E" w:rsidR="00B034A6" w:rsidTr="01A69785" w14:paraId="1551C454" w14:textId="77777777">
            <w:trPr>
              <w:trHeight w:val="144"/>
            </w:trPr>
            <w:tc>
              <w:tcPr>
                <w:tcW w:w="2559" w:type="dxa"/>
                <w:tcMar/>
                <w:hideMark/>
              </w:tcPr>
              <w:p w:rsidRPr="008C644E" w:rsidR="00B034A6" w:rsidP="00983257" w:rsidRDefault="00B034A6" w14:paraId="189E74D1" w14:textId="77777777">
                <w:pPr>
                  <w:pStyle w:val="Encabezado"/>
                  <w:rPr>
                    <w:b/>
                  </w:rPr>
                </w:pPr>
                <w:r w:rsidRPr="008C644E">
                  <w:rPr>
                    <w:b/>
                  </w:rPr>
                  <w:t>Recurso de Revisión:</w:t>
                </w:r>
              </w:p>
            </w:tc>
            <w:tc>
              <w:tcPr>
                <w:tcW w:w="3253" w:type="dxa"/>
                <w:tcMar/>
                <w:hideMark/>
              </w:tcPr>
              <w:p w:rsidRPr="00AC018A" w:rsidR="00B034A6" w:rsidP="00983257" w:rsidRDefault="00B034A6" w14:paraId="11F4479A" w14:textId="0CE0397C">
                <w:pPr>
                  <w:pStyle w:val="Encabezado"/>
                </w:pPr>
                <w:r w:rsidRPr="00EB30A4">
                  <w:rPr>
                    <w:color w:val="000000"/>
                  </w:rPr>
                  <w:t>09266/INFOEM/IP/RR/2022</w:t>
                </w:r>
              </w:p>
            </w:tc>
            <w:tc>
              <w:tcPr>
                <w:tcW w:w="3402" w:type="dxa"/>
                <w:tcMar/>
              </w:tcPr>
              <w:p w:rsidRPr="008C644E" w:rsidR="00B034A6" w:rsidP="00983257" w:rsidRDefault="00B034A6" w14:paraId="636B91F8" w14:textId="77777777">
                <w:pPr>
                  <w:pStyle w:val="Encabezado"/>
                  <w:rPr>
                    <w:bCs/>
                  </w:rPr>
                </w:pPr>
              </w:p>
            </w:tc>
            <w:tc>
              <w:tcPr>
                <w:tcW w:w="3402" w:type="dxa"/>
                <w:tcMar/>
              </w:tcPr>
              <w:p w:rsidRPr="008C644E" w:rsidR="00B034A6" w:rsidP="00983257" w:rsidRDefault="00B034A6" w14:paraId="30CBCBAF" w14:textId="77777777">
                <w:pPr>
                  <w:pStyle w:val="Encabezado"/>
                  <w:rPr>
                    <w:bCs/>
                  </w:rPr>
                </w:pPr>
              </w:p>
            </w:tc>
          </w:tr>
          <w:tr w:rsidRPr="008C644E" w:rsidR="00B034A6" w:rsidTr="01A69785" w14:paraId="61DAE09E" w14:textId="77777777">
            <w:trPr>
              <w:trHeight w:val="144"/>
            </w:trPr>
            <w:tc>
              <w:tcPr>
                <w:tcW w:w="2559" w:type="dxa"/>
                <w:tcMar/>
                <w:hideMark/>
              </w:tcPr>
              <w:p w:rsidRPr="008C644E" w:rsidR="00B034A6" w:rsidP="00983257" w:rsidRDefault="00B034A6" w14:paraId="7CE5967D" w14:textId="77777777">
                <w:pPr>
                  <w:pStyle w:val="Encabezado"/>
                  <w:rPr>
                    <w:b/>
                  </w:rPr>
                </w:pPr>
                <w:r w:rsidRPr="008C644E">
                  <w:rPr>
                    <w:b/>
                  </w:rPr>
                  <w:t>Recurrente:</w:t>
                </w:r>
              </w:p>
            </w:tc>
            <w:tc>
              <w:tcPr>
                <w:tcW w:w="3253" w:type="dxa"/>
                <w:tcMar/>
              </w:tcPr>
              <w:p w:rsidRPr="008C644E" w:rsidR="00B034A6" w:rsidP="01A69785" w:rsidRDefault="00B034A6" w14:paraId="0ECB40A9" w14:textId="1EA63FB1">
                <w:pPr>
                  <w:pStyle w:val="Encabezado"/>
                  <w:bidi w:val="0"/>
                  <w:spacing w:before="0" w:beforeAutospacing="off" w:after="0" w:afterAutospacing="off" w:line="240" w:lineRule="auto"/>
                  <w:ind w:left="0" w:right="0"/>
                  <w:jc w:val="both"/>
                  <w:rPr>
                    <w:highlight w:val="black"/>
                  </w:rPr>
                </w:pPr>
                <w:r w:rsidRPr="01A69785" w:rsidR="01A69785">
                  <w:rPr>
                    <w:highlight w:val="black"/>
                  </w:rPr>
                  <w:t>XXXXXXXXXX</w:t>
                </w:r>
              </w:p>
            </w:tc>
            <w:tc>
              <w:tcPr>
                <w:tcW w:w="3402" w:type="dxa"/>
                <w:tcMar/>
              </w:tcPr>
              <w:p w:rsidRPr="008C644E" w:rsidR="00B034A6" w:rsidP="00983257" w:rsidRDefault="00B034A6" w14:paraId="267C41A1" w14:textId="77777777">
                <w:pPr>
                  <w:pStyle w:val="Encabezado"/>
                </w:pPr>
              </w:p>
            </w:tc>
            <w:tc>
              <w:tcPr>
                <w:tcW w:w="3402" w:type="dxa"/>
                <w:tcMar/>
              </w:tcPr>
              <w:p w:rsidRPr="008C644E" w:rsidR="00B034A6" w:rsidP="00983257" w:rsidRDefault="00B034A6" w14:paraId="07EE73BD" w14:textId="77777777">
                <w:pPr>
                  <w:pStyle w:val="Encabezado"/>
                </w:pPr>
              </w:p>
            </w:tc>
          </w:tr>
          <w:tr w:rsidRPr="008C644E" w:rsidR="00B034A6" w:rsidTr="01A69785" w14:paraId="7C378614" w14:textId="77777777">
            <w:trPr>
              <w:trHeight w:val="283"/>
            </w:trPr>
            <w:tc>
              <w:tcPr>
                <w:tcW w:w="2559" w:type="dxa"/>
                <w:tcMar/>
                <w:hideMark/>
              </w:tcPr>
              <w:p w:rsidRPr="008C644E" w:rsidR="00B034A6" w:rsidP="00983257" w:rsidRDefault="00B034A6" w14:paraId="24E7E7C4" w14:textId="77777777">
                <w:pPr>
                  <w:pStyle w:val="Encabezado"/>
                  <w:rPr>
                    <w:b/>
                  </w:rPr>
                </w:pPr>
                <w:r w:rsidRPr="008C644E">
                  <w:rPr>
                    <w:b/>
                  </w:rPr>
                  <w:t>Sujeto Obligado:</w:t>
                </w:r>
              </w:p>
            </w:tc>
            <w:tc>
              <w:tcPr>
                <w:tcW w:w="3253" w:type="dxa"/>
                <w:tcMar/>
                <w:hideMark/>
              </w:tcPr>
              <w:p w:rsidRPr="008C644E" w:rsidR="00B034A6" w:rsidP="00983257" w:rsidRDefault="00B034A6" w14:paraId="6FB2FFED" w14:textId="203CEA6D">
                <w:pPr>
                  <w:pStyle w:val="Encabezado"/>
                </w:pPr>
                <w:r w:rsidRPr="00EB30A4">
                  <w:rPr>
                    <w:lang w:val="es-MX"/>
                  </w:rPr>
                  <w:t>Ayuntamiento de Tepetlaoxtoc</w:t>
                </w:r>
              </w:p>
            </w:tc>
            <w:tc>
              <w:tcPr>
                <w:tcW w:w="3402" w:type="dxa"/>
                <w:tcMar/>
              </w:tcPr>
              <w:p w:rsidRPr="008C644E" w:rsidR="00B034A6" w:rsidP="00983257" w:rsidRDefault="00B034A6" w14:paraId="41110A01" w14:textId="77777777">
                <w:pPr>
                  <w:pStyle w:val="Encabezado"/>
                </w:pPr>
              </w:p>
            </w:tc>
            <w:tc>
              <w:tcPr>
                <w:tcW w:w="3402" w:type="dxa"/>
                <w:tcMar/>
              </w:tcPr>
              <w:p w:rsidRPr="008C644E" w:rsidR="00B034A6" w:rsidP="00983257" w:rsidRDefault="00B034A6" w14:paraId="45B99936" w14:textId="77777777">
                <w:pPr>
                  <w:pStyle w:val="Encabezado"/>
                </w:pPr>
              </w:p>
            </w:tc>
          </w:tr>
          <w:tr w:rsidRPr="008C644E" w:rsidR="00B034A6" w:rsidTr="01A69785" w14:paraId="439AC6E2" w14:textId="77777777">
            <w:trPr>
              <w:trHeight w:val="283"/>
            </w:trPr>
            <w:tc>
              <w:tcPr>
                <w:tcW w:w="2559" w:type="dxa"/>
                <w:tcMar/>
                <w:hideMark/>
              </w:tcPr>
              <w:p w:rsidRPr="008C644E" w:rsidR="00B034A6" w:rsidP="00983257" w:rsidRDefault="00B034A6" w14:paraId="791FA8D2" w14:textId="77777777">
                <w:pPr>
                  <w:pStyle w:val="Encabezado"/>
                  <w:rPr>
                    <w:b/>
                  </w:rPr>
                </w:pPr>
                <w:r w:rsidRPr="008C644E">
                  <w:rPr>
                    <w:b/>
                  </w:rPr>
                  <w:t xml:space="preserve">Comisionado Ponente: </w:t>
                </w:r>
              </w:p>
            </w:tc>
            <w:tc>
              <w:tcPr>
                <w:tcW w:w="3253" w:type="dxa"/>
                <w:tcMar/>
                <w:hideMark/>
              </w:tcPr>
              <w:p w:rsidRPr="008C644E" w:rsidR="00B034A6" w:rsidP="00983257" w:rsidRDefault="00B034A6" w14:paraId="4E9C6E5C" w14:textId="77777777">
                <w:pPr>
                  <w:pStyle w:val="Encabezado"/>
                  <w:rPr>
                    <w:b/>
                  </w:rPr>
                </w:pPr>
                <w:r w:rsidRPr="008C644E">
                  <w:t>Luis Gustavo Parra Noriega</w:t>
                </w:r>
              </w:p>
            </w:tc>
            <w:tc>
              <w:tcPr>
                <w:tcW w:w="3402" w:type="dxa"/>
                <w:tcMar/>
              </w:tcPr>
              <w:p w:rsidRPr="008C644E" w:rsidR="00B034A6" w:rsidP="00983257" w:rsidRDefault="00B034A6" w14:paraId="624292D1" w14:textId="77777777">
                <w:pPr>
                  <w:pStyle w:val="Encabezado"/>
                </w:pPr>
              </w:p>
            </w:tc>
            <w:tc>
              <w:tcPr>
                <w:tcW w:w="3402" w:type="dxa"/>
                <w:tcMar/>
              </w:tcPr>
              <w:p w:rsidRPr="008C644E" w:rsidR="00B034A6" w:rsidP="00983257" w:rsidRDefault="00B034A6" w14:paraId="2F073C23" w14:textId="77777777">
                <w:pPr>
                  <w:pStyle w:val="Encabezado"/>
                </w:pPr>
              </w:p>
            </w:tc>
          </w:tr>
        </w:tbl>
        <w:p w:rsidRPr="008C644E" w:rsidR="00B034A6" w:rsidP="00983257" w:rsidRDefault="00B034A6" w14:paraId="23CCA079" w14:textId="77777777">
          <w:pPr>
            <w:pStyle w:val="Encabezado"/>
            <w:rPr>
              <w:b/>
            </w:rPr>
          </w:pPr>
        </w:p>
      </w:tc>
    </w:tr>
  </w:tbl>
  <w:p w:rsidR="00B034A6" w:rsidP="00EB30A4" w:rsidRDefault="00722334" w14:paraId="19C09215" w14:textId="77777777">
    <w:pPr>
      <w:pStyle w:val="Encabezado"/>
    </w:pPr>
    <w:r>
      <w:rPr>
        <w:noProof/>
      </w:rPr>
      <w:pict w14:anchorId="109DB03C">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100119625" style="position:absolute;left:0;text-align:left;margin-left:-84.35pt;margin-top:-124.5pt;width:663.5pt;height:12in;z-index:-251657728;mso-position-horizontal-relative:margin;mso-position-vertical-relative:margin" o:spid="_x0000_s2049" o:allowincell="f" strokecolor="blue" type="#_x0000_t75">
          <v:imagedata o:title="MARCA DE AGUA - HOJA RESOLUCIÓN" r:id="rId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993F76"/>
    <w:multiLevelType w:val="hybridMultilevel"/>
    <w:tmpl w:val="E350EF5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 w15:restartNumberingAfterBreak="0">
    <w:nsid w:val="0B5B5343"/>
    <w:multiLevelType w:val="hybridMultilevel"/>
    <w:tmpl w:val="08C6E4C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 w15:restartNumberingAfterBreak="0">
    <w:nsid w:val="0DE3784F"/>
    <w:multiLevelType w:val="hybridMultilevel"/>
    <w:tmpl w:val="1632F556"/>
    <w:lvl w:ilvl="0" w:tplc="7AA0B6C0">
      <w:start w:val="1"/>
      <w:numFmt w:val="bullet"/>
      <w:lvlText w:val=""/>
      <w:lvlJc w:val="left"/>
      <w:pPr>
        <w:ind w:left="720" w:hanging="360"/>
      </w:pPr>
      <w:rPr>
        <w:rFonts w:hint="default" w:ascii="Symbol" w:hAnsi="Symbol"/>
      </w:rPr>
    </w:lvl>
    <w:lvl w:ilvl="1" w:tplc="080A0003">
      <w:start w:val="1"/>
      <w:numFmt w:val="bullet"/>
      <w:lvlText w:val="o"/>
      <w:lvlJc w:val="left"/>
      <w:pPr>
        <w:ind w:left="1440" w:hanging="360"/>
      </w:pPr>
      <w:rPr>
        <w:rFonts w:hint="default" w:ascii="Courier New" w:hAnsi="Courier New" w:cs="Courier New"/>
      </w:rPr>
    </w:lvl>
    <w:lvl w:ilvl="2" w:tplc="080A0005">
      <w:start w:val="1"/>
      <w:numFmt w:val="bullet"/>
      <w:lvlText w:val=""/>
      <w:lvlJc w:val="left"/>
      <w:pPr>
        <w:ind w:left="2160" w:hanging="360"/>
      </w:pPr>
      <w:rPr>
        <w:rFonts w:hint="default" w:ascii="Wingdings" w:hAnsi="Wingdings"/>
      </w:rPr>
    </w:lvl>
    <w:lvl w:ilvl="3" w:tplc="080A0001">
      <w:start w:val="1"/>
      <w:numFmt w:val="bullet"/>
      <w:lvlText w:val=""/>
      <w:lvlJc w:val="left"/>
      <w:pPr>
        <w:ind w:left="2880" w:hanging="360"/>
      </w:pPr>
      <w:rPr>
        <w:rFonts w:hint="default" w:ascii="Symbol" w:hAnsi="Symbol"/>
      </w:rPr>
    </w:lvl>
    <w:lvl w:ilvl="4" w:tplc="080A0003">
      <w:start w:val="1"/>
      <w:numFmt w:val="bullet"/>
      <w:lvlText w:val="o"/>
      <w:lvlJc w:val="left"/>
      <w:pPr>
        <w:ind w:left="3600" w:hanging="360"/>
      </w:pPr>
      <w:rPr>
        <w:rFonts w:hint="default" w:ascii="Courier New" w:hAnsi="Courier New" w:cs="Courier New"/>
      </w:rPr>
    </w:lvl>
    <w:lvl w:ilvl="5" w:tplc="080A0005">
      <w:start w:val="1"/>
      <w:numFmt w:val="bullet"/>
      <w:lvlText w:val=""/>
      <w:lvlJc w:val="left"/>
      <w:pPr>
        <w:ind w:left="4320" w:hanging="360"/>
      </w:pPr>
      <w:rPr>
        <w:rFonts w:hint="default" w:ascii="Wingdings" w:hAnsi="Wingdings"/>
      </w:rPr>
    </w:lvl>
    <w:lvl w:ilvl="6" w:tplc="080A0001">
      <w:start w:val="1"/>
      <w:numFmt w:val="bullet"/>
      <w:lvlText w:val=""/>
      <w:lvlJc w:val="left"/>
      <w:pPr>
        <w:ind w:left="5040" w:hanging="360"/>
      </w:pPr>
      <w:rPr>
        <w:rFonts w:hint="default" w:ascii="Symbol" w:hAnsi="Symbol"/>
      </w:rPr>
    </w:lvl>
    <w:lvl w:ilvl="7" w:tplc="080A0003">
      <w:start w:val="1"/>
      <w:numFmt w:val="bullet"/>
      <w:lvlText w:val="o"/>
      <w:lvlJc w:val="left"/>
      <w:pPr>
        <w:ind w:left="5760" w:hanging="360"/>
      </w:pPr>
      <w:rPr>
        <w:rFonts w:hint="default" w:ascii="Courier New" w:hAnsi="Courier New" w:cs="Courier New"/>
      </w:rPr>
    </w:lvl>
    <w:lvl w:ilvl="8" w:tplc="080A0005">
      <w:start w:val="1"/>
      <w:numFmt w:val="bullet"/>
      <w:lvlText w:val=""/>
      <w:lvlJc w:val="left"/>
      <w:pPr>
        <w:ind w:left="6480" w:hanging="360"/>
      </w:pPr>
      <w:rPr>
        <w:rFonts w:hint="default" w:ascii="Wingdings" w:hAnsi="Wingdings"/>
      </w:rPr>
    </w:lvl>
  </w:abstractNum>
  <w:abstractNum w:abstractNumId="3" w15:restartNumberingAfterBreak="0">
    <w:nsid w:val="0EDD5675"/>
    <w:multiLevelType w:val="hybridMultilevel"/>
    <w:tmpl w:val="9E047B9A"/>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 w15:restartNumberingAfterBreak="0">
    <w:nsid w:val="11011938"/>
    <w:multiLevelType w:val="hybridMultilevel"/>
    <w:tmpl w:val="933031A8"/>
    <w:lvl w:ilvl="0" w:tplc="2F8675A4">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215631B"/>
    <w:multiLevelType w:val="hybridMultilevel"/>
    <w:tmpl w:val="8CE83740"/>
    <w:lvl w:ilvl="0" w:tplc="080A0001">
      <w:start w:val="1"/>
      <w:numFmt w:val="bullet"/>
      <w:lvlText w:val=""/>
      <w:lvlJc w:val="left"/>
      <w:pPr>
        <w:ind w:left="720" w:hanging="360"/>
      </w:pPr>
      <w:rPr>
        <w:rFonts w:hint="default" w:ascii="Symbol" w:hAnsi="Symbol"/>
      </w:rPr>
    </w:lvl>
    <w:lvl w:ilvl="1" w:tplc="080A0003">
      <w:start w:val="1"/>
      <w:numFmt w:val="bullet"/>
      <w:lvlText w:val="o"/>
      <w:lvlJc w:val="left"/>
      <w:pPr>
        <w:ind w:left="1440" w:hanging="360"/>
      </w:pPr>
      <w:rPr>
        <w:rFonts w:hint="default" w:ascii="Courier New" w:hAnsi="Courier New" w:cs="Courier New"/>
      </w:rPr>
    </w:lvl>
    <w:lvl w:ilvl="2" w:tplc="080A0005">
      <w:start w:val="1"/>
      <w:numFmt w:val="bullet"/>
      <w:lvlText w:val=""/>
      <w:lvlJc w:val="left"/>
      <w:pPr>
        <w:ind w:left="2160" w:hanging="360"/>
      </w:pPr>
      <w:rPr>
        <w:rFonts w:hint="default" w:ascii="Wingdings" w:hAnsi="Wingdings"/>
      </w:rPr>
    </w:lvl>
    <w:lvl w:ilvl="3" w:tplc="080A0001">
      <w:start w:val="1"/>
      <w:numFmt w:val="bullet"/>
      <w:lvlText w:val=""/>
      <w:lvlJc w:val="left"/>
      <w:pPr>
        <w:ind w:left="2880" w:hanging="360"/>
      </w:pPr>
      <w:rPr>
        <w:rFonts w:hint="default" w:ascii="Symbol" w:hAnsi="Symbol"/>
      </w:rPr>
    </w:lvl>
    <w:lvl w:ilvl="4" w:tplc="080A0003">
      <w:start w:val="1"/>
      <w:numFmt w:val="bullet"/>
      <w:lvlText w:val="o"/>
      <w:lvlJc w:val="left"/>
      <w:pPr>
        <w:ind w:left="3600" w:hanging="360"/>
      </w:pPr>
      <w:rPr>
        <w:rFonts w:hint="default" w:ascii="Courier New" w:hAnsi="Courier New" w:cs="Courier New"/>
      </w:rPr>
    </w:lvl>
    <w:lvl w:ilvl="5" w:tplc="080A0005">
      <w:start w:val="1"/>
      <w:numFmt w:val="bullet"/>
      <w:lvlText w:val=""/>
      <w:lvlJc w:val="left"/>
      <w:pPr>
        <w:ind w:left="4320" w:hanging="360"/>
      </w:pPr>
      <w:rPr>
        <w:rFonts w:hint="default" w:ascii="Wingdings" w:hAnsi="Wingdings"/>
      </w:rPr>
    </w:lvl>
    <w:lvl w:ilvl="6" w:tplc="080A0001">
      <w:start w:val="1"/>
      <w:numFmt w:val="bullet"/>
      <w:lvlText w:val=""/>
      <w:lvlJc w:val="left"/>
      <w:pPr>
        <w:ind w:left="5040" w:hanging="360"/>
      </w:pPr>
      <w:rPr>
        <w:rFonts w:hint="default" w:ascii="Symbol" w:hAnsi="Symbol"/>
      </w:rPr>
    </w:lvl>
    <w:lvl w:ilvl="7" w:tplc="080A0003">
      <w:start w:val="1"/>
      <w:numFmt w:val="bullet"/>
      <w:lvlText w:val="o"/>
      <w:lvlJc w:val="left"/>
      <w:pPr>
        <w:ind w:left="5760" w:hanging="360"/>
      </w:pPr>
      <w:rPr>
        <w:rFonts w:hint="default" w:ascii="Courier New" w:hAnsi="Courier New" w:cs="Courier New"/>
      </w:rPr>
    </w:lvl>
    <w:lvl w:ilvl="8" w:tplc="080A0005">
      <w:start w:val="1"/>
      <w:numFmt w:val="bullet"/>
      <w:lvlText w:val=""/>
      <w:lvlJc w:val="left"/>
      <w:pPr>
        <w:ind w:left="6480" w:hanging="360"/>
      </w:pPr>
      <w:rPr>
        <w:rFonts w:hint="default" w:ascii="Wingdings" w:hAnsi="Wingdings"/>
      </w:rPr>
    </w:lvl>
  </w:abstractNum>
  <w:abstractNum w:abstractNumId="6" w15:restartNumberingAfterBreak="0">
    <w:nsid w:val="16AB42AA"/>
    <w:multiLevelType w:val="hybridMultilevel"/>
    <w:tmpl w:val="88C472F8"/>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7" w15:restartNumberingAfterBreak="0">
    <w:nsid w:val="19353A90"/>
    <w:multiLevelType w:val="hybridMultilevel"/>
    <w:tmpl w:val="B41E7FE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9575DFD"/>
    <w:multiLevelType w:val="hybridMultilevel"/>
    <w:tmpl w:val="10EA46F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9" w15:restartNumberingAfterBreak="0">
    <w:nsid w:val="19FD2AEE"/>
    <w:multiLevelType w:val="hybridMultilevel"/>
    <w:tmpl w:val="4818553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0" w15:restartNumberingAfterBreak="0">
    <w:nsid w:val="1B9E40EF"/>
    <w:multiLevelType w:val="hybridMultilevel"/>
    <w:tmpl w:val="70281922"/>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1" w15:restartNumberingAfterBreak="0">
    <w:nsid w:val="1FBA60E1"/>
    <w:multiLevelType w:val="hybridMultilevel"/>
    <w:tmpl w:val="2A62481A"/>
    <w:lvl w:ilvl="0" w:tplc="087AAEF6">
      <w:numFmt w:val="bullet"/>
      <w:lvlText w:val="-"/>
      <w:lvlJc w:val="left"/>
      <w:pPr>
        <w:ind w:left="720" w:hanging="360"/>
      </w:pPr>
      <w:rPr>
        <w:rFonts w:hint="default" w:ascii="Palatino Linotype" w:hAnsi="Palatino Linotype" w:eastAsia="Times New Roman" w:cs="Tahoma"/>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2" w15:restartNumberingAfterBreak="0">
    <w:nsid w:val="239D00A5"/>
    <w:multiLevelType w:val="hybridMultilevel"/>
    <w:tmpl w:val="7228D2E0"/>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3" w15:restartNumberingAfterBreak="0">
    <w:nsid w:val="274777D6"/>
    <w:multiLevelType w:val="hybridMultilevel"/>
    <w:tmpl w:val="4A6C9A8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4" w15:restartNumberingAfterBreak="0">
    <w:nsid w:val="2838302D"/>
    <w:multiLevelType w:val="hybridMultilevel"/>
    <w:tmpl w:val="F05218D4"/>
    <w:lvl w:ilvl="0" w:tplc="080A0001">
      <w:start w:val="1"/>
      <w:numFmt w:val="bullet"/>
      <w:lvlText w:val=""/>
      <w:lvlJc w:val="left"/>
      <w:pPr>
        <w:ind w:left="720" w:hanging="360"/>
      </w:pPr>
      <w:rPr>
        <w:rFonts w:hint="default" w:ascii="Symbol" w:hAnsi="Symbol"/>
      </w:rPr>
    </w:lvl>
    <w:lvl w:ilvl="1" w:tplc="080A0003">
      <w:start w:val="1"/>
      <w:numFmt w:val="bullet"/>
      <w:lvlText w:val="o"/>
      <w:lvlJc w:val="left"/>
      <w:pPr>
        <w:ind w:left="1440" w:hanging="360"/>
      </w:pPr>
      <w:rPr>
        <w:rFonts w:hint="default" w:ascii="Courier New" w:hAnsi="Courier New" w:cs="Courier New"/>
      </w:rPr>
    </w:lvl>
    <w:lvl w:ilvl="2" w:tplc="080A0005">
      <w:start w:val="1"/>
      <w:numFmt w:val="bullet"/>
      <w:lvlText w:val=""/>
      <w:lvlJc w:val="left"/>
      <w:pPr>
        <w:ind w:left="2160" w:hanging="360"/>
      </w:pPr>
      <w:rPr>
        <w:rFonts w:hint="default" w:ascii="Wingdings" w:hAnsi="Wingdings"/>
      </w:rPr>
    </w:lvl>
    <w:lvl w:ilvl="3" w:tplc="080A0001">
      <w:start w:val="1"/>
      <w:numFmt w:val="bullet"/>
      <w:lvlText w:val=""/>
      <w:lvlJc w:val="left"/>
      <w:pPr>
        <w:ind w:left="2880" w:hanging="360"/>
      </w:pPr>
      <w:rPr>
        <w:rFonts w:hint="default" w:ascii="Symbol" w:hAnsi="Symbol"/>
      </w:rPr>
    </w:lvl>
    <w:lvl w:ilvl="4" w:tplc="080A0003">
      <w:start w:val="1"/>
      <w:numFmt w:val="bullet"/>
      <w:lvlText w:val="o"/>
      <w:lvlJc w:val="left"/>
      <w:pPr>
        <w:ind w:left="3600" w:hanging="360"/>
      </w:pPr>
      <w:rPr>
        <w:rFonts w:hint="default" w:ascii="Courier New" w:hAnsi="Courier New" w:cs="Courier New"/>
      </w:rPr>
    </w:lvl>
    <w:lvl w:ilvl="5" w:tplc="080A0005">
      <w:start w:val="1"/>
      <w:numFmt w:val="bullet"/>
      <w:lvlText w:val=""/>
      <w:lvlJc w:val="left"/>
      <w:pPr>
        <w:ind w:left="4320" w:hanging="360"/>
      </w:pPr>
      <w:rPr>
        <w:rFonts w:hint="default" w:ascii="Wingdings" w:hAnsi="Wingdings"/>
      </w:rPr>
    </w:lvl>
    <w:lvl w:ilvl="6" w:tplc="080A0001">
      <w:start w:val="1"/>
      <w:numFmt w:val="bullet"/>
      <w:lvlText w:val=""/>
      <w:lvlJc w:val="left"/>
      <w:pPr>
        <w:ind w:left="5040" w:hanging="360"/>
      </w:pPr>
      <w:rPr>
        <w:rFonts w:hint="default" w:ascii="Symbol" w:hAnsi="Symbol"/>
      </w:rPr>
    </w:lvl>
    <w:lvl w:ilvl="7" w:tplc="080A0003">
      <w:start w:val="1"/>
      <w:numFmt w:val="bullet"/>
      <w:lvlText w:val="o"/>
      <w:lvlJc w:val="left"/>
      <w:pPr>
        <w:ind w:left="5760" w:hanging="360"/>
      </w:pPr>
      <w:rPr>
        <w:rFonts w:hint="default" w:ascii="Courier New" w:hAnsi="Courier New" w:cs="Courier New"/>
      </w:rPr>
    </w:lvl>
    <w:lvl w:ilvl="8" w:tplc="080A0005">
      <w:start w:val="1"/>
      <w:numFmt w:val="bullet"/>
      <w:lvlText w:val=""/>
      <w:lvlJc w:val="left"/>
      <w:pPr>
        <w:ind w:left="6480" w:hanging="360"/>
      </w:pPr>
      <w:rPr>
        <w:rFonts w:hint="default" w:ascii="Wingdings" w:hAnsi="Wingdings"/>
      </w:rPr>
    </w:lvl>
  </w:abstractNum>
  <w:abstractNum w:abstractNumId="15" w15:restartNumberingAfterBreak="0">
    <w:nsid w:val="28C432FA"/>
    <w:multiLevelType w:val="hybridMultilevel"/>
    <w:tmpl w:val="9E047B9A"/>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6" w15:restartNumberingAfterBreak="0">
    <w:nsid w:val="2910085C"/>
    <w:multiLevelType w:val="hybridMultilevel"/>
    <w:tmpl w:val="E39A4110"/>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7" w15:restartNumberingAfterBreak="0">
    <w:nsid w:val="293E7C1D"/>
    <w:multiLevelType w:val="hybridMultilevel"/>
    <w:tmpl w:val="85022C6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8" w15:restartNumberingAfterBreak="0">
    <w:nsid w:val="2E437C08"/>
    <w:multiLevelType w:val="hybridMultilevel"/>
    <w:tmpl w:val="9E047B9A"/>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9" w15:restartNumberingAfterBreak="0">
    <w:nsid w:val="30BA7E48"/>
    <w:multiLevelType w:val="hybridMultilevel"/>
    <w:tmpl w:val="CD1E71BE"/>
    <w:lvl w:ilvl="0" w:tplc="080A0001">
      <w:start w:val="1"/>
      <w:numFmt w:val="bullet"/>
      <w:lvlText w:val=""/>
      <w:lvlJc w:val="left"/>
      <w:pPr>
        <w:ind w:left="720" w:hanging="360"/>
      </w:pPr>
      <w:rPr>
        <w:rFonts w:hint="default" w:ascii="Symbol" w:hAnsi="Symbol"/>
      </w:rPr>
    </w:lvl>
    <w:lvl w:ilvl="1" w:tplc="080A0003">
      <w:start w:val="1"/>
      <w:numFmt w:val="bullet"/>
      <w:lvlText w:val="o"/>
      <w:lvlJc w:val="left"/>
      <w:pPr>
        <w:ind w:left="1440" w:hanging="360"/>
      </w:pPr>
      <w:rPr>
        <w:rFonts w:hint="default" w:ascii="Courier New" w:hAnsi="Courier New" w:cs="Courier New"/>
      </w:rPr>
    </w:lvl>
    <w:lvl w:ilvl="2" w:tplc="080A0005">
      <w:start w:val="1"/>
      <w:numFmt w:val="bullet"/>
      <w:lvlText w:val=""/>
      <w:lvlJc w:val="left"/>
      <w:pPr>
        <w:ind w:left="2160" w:hanging="360"/>
      </w:pPr>
      <w:rPr>
        <w:rFonts w:hint="default" w:ascii="Wingdings" w:hAnsi="Wingdings"/>
      </w:rPr>
    </w:lvl>
    <w:lvl w:ilvl="3" w:tplc="080A0001">
      <w:start w:val="1"/>
      <w:numFmt w:val="bullet"/>
      <w:lvlText w:val=""/>
      <w:lvlJc w:val="left"/>
      <w:pPr>
        <w:ind w:left="2880" w:hanging="360"/>
      </w:pPr>
      <w:rPr>
        <w:rFonts w:hint="default" w:ascii="Symbol" w:hAnsi="Symbol"/>
      </w:rPr>
    </w:lvl>
    <w:lvl w:ilvl="4" w:tplc="080A0003">
      <w:start w:val="1"/>
      <w:numFmt w:val="bullet"/>
      <w:lvlText w:val="o"/>
      <w:lvlJc w:val="left"/>
      <w:pPr>
        <w:ind w:left="3600" w:hanging="360"/>
      </w:pPr>
      <w:rPr>
        <w:rFonts w:hint="default" w:ascii="Courier New" w:hAnsi="Courier New" w:cs="Courier New"/>
      </w:rPr>
    </w:lvl>
    <w:lvl w:ilvl="5" w:tplc="080A0005">
      <w:start w:val="1"/>
      <w:numFmt w:val="bullet"/>
      <w:lvlText w:val=""/>
      <w:lvlJc w:val="left"/>
      <w:pPr>
        <w:ind w:left="4320" w:hanging="360"/>
      </w:pPr>
      <w:rPr>
        <w:rFonts w:hint="default" w:ascii="Wingdings" w:hAnsi="Wingdings"/>
      </w:rPr>
    </w:lvl>
    <w:lvl w:ilvl="6" w:tplc="080A0001">
      <w:start w:val="1"/>
      <w:numFmt w:val="bullet"/>
      <w:lvlText w:val=""/>
      <w:lvlJc w:val="left"/>
      <w:pPr>
        <w:ind w:left="5040" w:hanging="360"/>
      </w:pPr>
      <w:rPr>
        <w:rFonts w:hint="default" w:ascii="Symbol" w:hAnsi="Symbol"/>
      </w:rPr>
    </w:lvl>
    <w:lvl w:ilvl="7" w:tplc="080A0003">
      <w:start w:val="1"/>
      <w:numFmt w:val="bullet"/>
      <w:lvlText w:val="o"/>
      <w:lvlJc w:val="left"/>
      <w:pPr>
        <w:ind w:left="5760" w:hanging="360"/>
      </w:pPr>
      <w:rPr>
        <w:rFonts w:hint="default" w:ascii="Courier New" w:hAnsi="Courier New" w:cs="Courier New"/>
      </w:rPr>
    </w:lvl>
    <w:lvl w:ilvl="8" w:tplc="080A0005">
      <w:start w:val="1"/>
      <w:numFmt w:val="bullet"/>
      <w:lvlText w:val=""/>
      <w:lvlJc w:val="left"/>
      <w:pPr>
        <w:ind w:left="6480" w:hanging="360"/>
      </w:pPr>
      <w:rPr>
        <w:rFonts w:hint="default" w:ascii="Wingdings" w:hAnsi="Wingdings"/>
      </w:rPr>
    </w:lvl>
  </w:abstractNum>
  <w:abstractNum w:abstractNumId="20" w15:restartNumberingAfterBreak="0">
    <w:nsid w:val="33FB66C7"/>
    <w:multiLevelType w:val="hybridMultilevel"/>
    <w:tmpl w:val="58A05ACA"/>
    <w:lvl w:ilvl="0" w:tplc="040A0017">
      <w:start w:val="1"/>
      <w:numFmt w:val="lowerLetter"/>
      <w:lvlText w:val="%1)"/>
      <w:lvlJc w:val="left"/>
      <w:pPr>
        <w:ind w:left="1440" w:hanging="360"/>
      </w:pPr>
    </w:lvl>
    <w:lvl w:ilvl="1" w:tplc="040A0019" w:tentative="1">
      <w:start w:val="1"/>
      <w:numFmt w:val="lowerLetter"/>
      <w:lvlText w:val="%2."/>
      <w:lvlJc w:val="left"/>
      <w:pPr>
        <w:ind w:left="2160" w:hanging="360"/>
      </w:pPr>
    </w:lvl>
    <w:lvl w:ilvl="2" w:tplc="040A001B" w:tentative="1">
      <w:start w:val="1"/>
      <w:numFmt w:val="lowerRoman"/>
      <w:lvlText w:val="%3."/>
      <w:lvlJc w:val="right"/>
      <w:pPr>
        <w:ind w:left="2880" w:hanging="180"/>
      </w:pPr>
    </w:lvl>
    <w:lvl w:ilvl="3" w:tplc="040A000F" w:tentative="1">
      <w:start w:val="1"/>
      <w:numFmt w:val="decimal"/>
      <w:lvlText w:val="%4."/>
      <w:lvlJc w:val="left"/>
      <w:pPr>
        <w:ind w:left="3600" w:hanging="360"/>
      </w:pPr>
    </w:lvl>
    <w:lvl w:ilvl="4" w:tplc="040A0019" w:tentative="1">
      <w:start w:val="1"/>
      <w:numFmt w:val="lowerLetter"/>
      <w:lvlText w:val="%5."/>
      <w:lvlJc w:val="left"/>
      <w:pPr>
        <w:ind w:left="4320" w:hanging="360"/>
      </w:pPr>
    </w:lvl>
    <w:lvl w:ilvl="5" w:tplc="040A001B" w:tentative="1">
      <w:start w:val="1"/>
      <w:numFmt w:val="lowerRoman"/>
      <w:lvlText w:val="%6."/>
      <w:lvlJc w:val="right"/>
      <w:pPr>
        <w:ind w:left="5040" w:hanging="180"/>
      </w:pPr>
    </w:lvl>
    <w:lvl w:ilvl="6" w:tplc="040A000F" w:tentative="1">
      <w:start w:val="1"/>
      <w:numFmt w:val="decimal"/>
      <w:lvlText w:val="%7."/>
      <w:lvlJc w:val="left"/>
      <w:pPr>
        <w:ind w:left="5760" w:hanging="360"/>
      </w:pPr>
    </w:lvl>
    <w:lvl w:ilvl="7" w:tplc="040A0019" w:tentative="1">
      <w:start w:val="1"/>
      <w:numFmt w:val="lowerLetter"/>
      <w:lvlText w:val="%8."/>
      <w:lvlJc w:val="left"/>
      <w:pPr>
        <w:ind w:left="6480" w:hanging="360"/>
      </w:pPr>
    </w:lvl>
    <w:lvl w:ilvl="8" w:tplc="040A001B" w:tentative="1">
      <w:start w:val="1"/>
      <w:numFmt w:val="lowerRoman"/>
      <w:lvlText w:val="%9."/>
      <w:lvlJc w:val="right"/>
      <w:pPr>
        <w:ind w:left="7200" w:hanging="180"/>
      </w:pPr>
    </w:lvl>
  </w:abstractNum>
  <w:abstractNum w:abstractNumId="21" w15:restartNumberingAfterBreak="0">
    <w:nsid w:val="34DC08B9"/>
    <w:multiLevelType w:val="hybridMultilevel"/>
    <w:tmpl w:val="A2C4B1A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2" w15:restartNumberingAfterBreak="0">
    <w:nsid w:val="3639594E"/>
    <w:multiLevelType w:val="hybridMultilevel"/>
    <w:tmpl w:val="97F2B00C"/>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3" w15:restartNumberingAfterBreak="0">
    <w:nsid w:val="37A859D6"/>
    <w:multiLevelType w:val="hybridMultilevel"/>
    <w:tmpl w:val="850825A6"/>
    <w:lvl w:ilvl="0" w:tplc="080A0001">
      <w:start w:val="1"/>
      <w:numFmt w:val="bullet"/>
      <w:lvlText w:val=""/>
      <w:lvlJc w:val="left"/>
      <w:pPr>
        <w:ind w:left="720" w:hanging="360"/>
      </w:pPr>
      <w:rPr>
        <w:rFonts w:hint="default" w:ascii="Symbol" w:hAnsi="Symbol"/>
      </w:rPr>
    </w:lvl>
    <w:lvl w:ilvl="1" w:tplc="080A0003">
      <w:start w:val="1"/>
      <w:numFmt w:val="bullet"/>
      <w:lvlText w:val="o"/>
      <w:lvlJc w:val="left"/>
      <w:pPr>
        <w:ind w:left="1440" w:hanging="360"/>
      </w:pPr>
      <w:rPr>
        <w:rFonts w:hint="default" w:ascii="Courier New" w:hAnsi="Courier New" w:cs="Courier New"/>
      </w:rPr>
    </w:lvl>
    <w:lvl w:ilvl="2" w:tplc="080A0005">
      <w:start w:val="1"/>
      <w:numFmt w:val="bullet"/>
      <w:lvlText w:val=""/>
      <w:lvlJc w:val="left"/>
      <w:pPr>
        <w:ind w:left="2160" w:hanging="360"/>
      </w:pPr>
      <w:rPr>
        <w:rFonts w:hint="default" w:ascii="Wingdings" w:hAnsi="Wingdings"/>
      </w:rPr>
    </w:lvl>
    <w:lvl w:ilvl="3" w:tplc="080A0001">
      <w:start w:val="1"/>
      <w:numFmt w:val="bullet"/>
      <w:lvlText w:val=""/>
      <w:lvlJc w:val="left"/>
      <w:pPr>
        <w:ind w:left="2880" w:hanging="360"/>
      </w:pPr>
      <w:rPr>
        <w:rFonts w:hint="default" w:ascii="Symbol" w:hAnsi="Symbol"/>
      </w:rPr>
    </w:lvl>
    <w:lvl w:ilvl="4" w:tplc="080A0003">
      <w:start w:val="1"/>
      <w:numFmt w:val="bullet"/>
      <w:lvlText w:val="o"/>
      <w:lvlJc w:val="left"/>
      <w:pPr>
        <w:ind w:left="3600" w:hanging="360"/>
      </w:pPr>
      <w:rPr>
        <w:rFonts w:hint="default" w:ascii="Courier New" w:hAnsi="Courier New" w:cs="Courier New"/>
      </w:rPr>
    </w:lvl>
    <w:lvl w:ilvl="5" w:tplc="080A0005">
      <w:start w:val="1"/>
      <w:numFmt w:val="bullet"/>
      <w:lvlText w:val=""/>
      <w:lvlJc w:val="left"/>
      <w:pPr>
        <w:ind w:left="4320" w:hanging="360"/>
      </w:pPr>
      <w:rPr>
        <w:rFonts w:hint="default" w:ascii="Wingdings" w:hAnsi="Wingdings"/>
      </w:rPr>
    </w:lvl>
    <w:lvl w:ilvl="6" w:tplc="080A0001">
      <w:start w:val="1"/>
      <w:numFmt w:val="bullet"/>
      <w:lvlText w:val=""/>
      <w:lvlJc w:val="left"/>
      <w:pPr>
        <w:ind w:left="5040" w:hanging="360"/>
      </w:pPr>
      <w:rPr>
        <w:rFonts w:hint="default" w:ascii="Symbol" w:hAnsi="Symbol"/>
      </w:rPr>
    </w:lvl>
    <w:lvl w:ilvl="7" w:tplc="080A0003">
      <w:start w:val="1"/>
      <w:numFmt w:val="bullet"/>
      <w:lvlText w:val="o"/>
      <w:lvlJc w:val="left"/>
      <w:pPr>
        <w:ind w:left="5760" w:hanging="360"/>
      </w:pPr>
      <w:rPr>
        <w:rFonts w:hint="default" w:ascii="Courier New" w:hAnsi="Courier New" w:cs="Courier New"/>
      </w:rPr>
    </w:lvl>
    <w:lvl w:ilvl="8" w:tplc="080A0005">
      <w:start w:val="1"/>
      <w:numFmt w:val="bullet"/>
      <w:lvlText w:val=""/>
      <w:lvlJc w:val="left"/>
      <w:pPr>
        <w:ind w:left="6480" w:hanging="360"/>
      </w:pPr>
      <w:rPr>
        <w:rFonts w:hint="default" w:ascii="Wingdings" w:hAnsi="Wingdings"/>
      </w:rPr>
    </w:lvl>
  </w:abstractNum>
  <w:abstractNum w:abstractNumId="24" w15:restartNumberingAfterBreak="0">
    <w:nsid w:val="3AA63839"/>
    <w:multiLevelType w:val="hybridMultilevel"/>
    <w:tmpl w:val="2C86685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5" w15:restartNumberingAfterBreak="0">
    <w:nsid w:val="3FFB33F7"/>
    <w:multiLevelType w:val="hybridMultilevel"/>
    <w:tmpl w:val="9E047B9A"/>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6" w15:restartNumberingAfterBreak="0">
    <w:nsid w:val="40F07B8D"/>
    <w:multiLevelType w:val="hybridMultilevel"/>
    <w:tmpl w:val="2B5E3DF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7" w15:restartNumberingAfterBreak="0">
    <w:nsid w:val="4A0D07D1"/>
    <w:multiLevelType w:val="hybridMultilevel"/>
    <w:tmpl w:val="39C6DFF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8" w15:restartNumberingAfterBreak="0">
    <w:nsid w:val="4B7C2679"/>
    <w:multiLevelType w:val="hybridMultilevel"/>
    <w:tmpl w:val="C8C48654"/>
    <w:lvl w:ilvl="0" w:tplc="6F6ABC3C">
      <w:start w:val="1"/>
      <w:numFmt w:val="upperRoman"/>
      <w:lvlText w:val="%1."/>
      <w:lvlJc w:val="left"/>
      <w:pPr>
        <w:ind w:left="1080" w:hanging="720"/>
      </w:pPr>
      <w:rPr>
        <w:b/>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29" w15:restartNumberingAfterBreak="0">
    <w:nsid w:val="54371C21"/>
    <w:multiLevelType w:val="hybridMultilevel"/>
    <w:tmpl w:val="9E047B9A"/>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0" w15:restartNumberingAfterBreak="0">
    <w:nsid w:val="54546537"/>
    <w:multiLevelType w:val="hybridMultilevel"/>
    <w:tmpl w:val="88C472F8"/>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31" w15:restartNumberingAfterBreak="0">
    <w:nsid w:val="657E5FD5"/>
    <w:multiLevelType w:val="hybridMultilevel"/>
    <w:tmpl w:val="88C472F8"/>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32" w15:restartNumberingAfterBreak="0">
    <w:nsid w:val="67155E2C"/>
    <w:multiLevelType w:val="hybridMultilevel"/>
    <w:tmpl w:val="A1328A14"/>
    <w:lvl w:ilvl="0" w:tplc="371C9A08">
      <w:start w:val="18"/>
      <w:numFmt w:val="bullet"/>
      <w:lvlText w:val="-"/>
      <w:lvlJc w:val="left"/>
      <w:pPr>
        <w:ind w:left="720" w:hanging="360"/>
      </w:pPr>
      <w:rPr>
        <w:rFonts w:hint="default" w:ascii="Palatino Linotype" w:hAnsi="Palatino Linotype" w:eastAsia="Times New Roman" w:cs="Times New Roman"/>
        <w:color w:val="auto"/>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3" w15:restartNumberingAfterBreak="0">
    <w:nsid w:val="69E95A43"/>
    <w:multiLevelType w:val="hybridMultilevel"/>
    <w:tmpl w:val="0504D86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4" w15:restartNumberingAfterBreak="0">
    <w:nsid w:val="6C29391A"/>
    <w:multiLevelType w:val="hybridMultilevel"/>
    <w:tmpl w:val="88C472F8"/>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35" w15:restartNumberingAfterBreak="0">
    <w:nsid w:val="6D163A8A"/>
    <w:multiLevelType w:val="hybridMultilevel"/>
    <w:tmpl w:val="88C472F8"/>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36" w15:restartNumberingAfterBreak="0">
    <w:nsid w:val="6DED7307"/>
    <w:multiLevelType w:val="hybridMultilevel"/>
    <w:tmpl w:val="A5342AEA"/>
    <w:lvl w:ilvl="0" w:tplc="D3EA5D96">
      <w:start w:val="1"/>
      <w:numFmt w:val="decimal"/>
      <w:lvlText w:val="%1."/>
      <w:lvlJc w:val="left"/>
      <w:pPr>
        <w:tabs>
          <w:tab w:val="num" w:pos="720"/>
        </w:tabs>
        <w:ind w:left="720" w:hanging="360"/>
      </w:pPr>
      <w:rPr>
        <w:b/>
      </w:r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37" w15:restartNumberingAfterBreak="0">
    <w:nsid w:val="74982F1C"/>
    <w:multiLevelType w:val="hybridMultilevel"/>
    <w:tmpl w:val="D4F07F0A"/>
    <w:lvl w:ilvl="0" w:tplc="37ECDADE">
      <w:start w:val="1"/>
      <w:numFmt w:val="lowerLetter"/>
      <w:lvlText w:val="%1)"/>
      <w:lvlJc w:val="left"/>
      <w:pPr>
        <w:ind w:left="720" w:hanging="360"/>
      </w:pPr>
      <w:rPr>
        <w:b/>
        <w:bCs/>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8" w15:restartNumberingAfterBreak="0">
    <w:nsid w:val="75422B96"/>
    <w:multiLevelType w:val="hybridMultilevel"/>
    <w:tmpl w:val="B164EBCE"/>
    <w:lvl w:ilvl="0" w:tplc="080A0001">
      <w:start w:val="1"/>
      <w:numFmt w:val="bullet"/>
      <w:lvlText w:val=""/>
      <w:lvlJc w:val="left"/>
      <w:pPr>
        <w:ind w:left="720" w:hanging="360"/>
      </w:pPr>
      <w:rPr>
        <w:rFonts w:hint="default" w:ascii="Symbol" w:hAnsi="Symbol"/>
      </w:rPr>
    </w:lvl>
    <w:lvl w:ilvl="1" w:tplc="080A0003">
      <w:start w:val="1"/>
      <w:numFmt w:val="bullet"/>
      <w:lvlText w:val="o"/>
      <w:lvlJc w:val="left"/>
      <w:pPr>
        <w:ind w:left="1440" w:hanging="360"/>
      </w:pPr>
      <w:rPr>
        <w:rFonts w:hint="default" w:ascii="Courier New" w:hAnsi="Courier New" w:cs="Courier New"/>
      </w:rPr>
    </w:lvl>
    <w:lvl w:ilvl="2" w:tplc="080A0005">
      <w:start w:val="1"/>
      <w:numFmt w:val="bullet"/>
      <w:lvlText w:val=""/>
      <w:lvlJc w:val="left"/>
      <w:pPr>
        <w:ind w:left="2160" w:hanging="360"/>
      </w:pPr>
      <w:rPr>
        <w:rFonts w:hint="default" w:ascii="Wingdings" w:hAnsi="Wingdings"/>
      </w:rPr>
    </w:lvl>
    <w:lvl w:ilvl="3" w:tplc="080A0001">
      <w:start w:val="1"/>
      <w:numFmt w:val="bullet"/>
      <w:lvlText w:val=""/>
      <w:lvlJc w:val="left"/>
      <w:pPr>
        <w:ind w:left="2880" w:hanging="360"/>
      </w:pPr>
      <w:rPr>
        <w:rFonts w:hint="default" w:ascii="Symbol" w:hAnsi="Symbol"/>
      </w:rPr>
    </w:lvl>
    <w:lvl w:ilvl="4" w:tplc="080A0003">
      <w:start w:val="1"/>
      <w:numFmt w:val="bullet"/>
      <w:lvlText w:val="o"/>
      <w:lvlJc w:val="left"/>
      <w:pPr>
        <w:ind w:left="3600" w:hanging="360"/>
      </w:pPr>
      <w:rPr>
        <w:rFonts w:hint="default" w:ascii="Courier New" w:hAnsi="Courier New" w:cs="Courier New"/>
      </w:rPr>
    </w:lvl>
    <w:lvl w:ilvl="5" w:tplc="080A0005">
      <w:start w:val="1"/>
      <w:numFmt w:val="bullet"/>
      <w:lvlText w:val=""/>
      <w:lvlJc w:val="left"/>
      <w:pPr>
        <w:ind w:left="4320" w:hanging="360"/>
      </w:pPr>
      <w:rPr>
        <w:rFonts w:hint="default" w:ascii="Wingdings" w:hAnsi="Wingdings"/>
      </w:rPr>
    </w:lvl>
    <w:lvl w:ilvl="6" w:tplc="080A0001">
      <w:start w:val="1"/>
      <w:numFmt w:val="bullet"/>
      <w:lvlText w:val=""/>
      <w:lvlJc w:val="left"/>
      <w:pPr>
        <w:ind w:left="5040" w:hanging="360"/>
      </w:pPr>
      <w:rPr>
        <w:rFonts w:hint="default" w:ascii="Symbol" w:hAnsi="Symbol"/>
      </w:rPr>
    </w:lvl>
    <w:lvl w:ilvl="7" w:tplc="080A0003">
      <w:start w:val="1"/>
      <w:numFmt w:val="bullet"/>
      <w:lvlText w:val="o"/>
      <w:lvlJc w:val="left"/>
      <w:pPr>
        <w:ind w:left="5760" w:hanging="360"/>
      </w:pPr>
      <w:rPr>
        <w:rFonts w:hint="default" w:ascii="Courier New" w:hAnsi="Courier New" w:cs="Courier New"/>
      </w:rPr>
    </w:lvl>
    <w:lvl w:ilvl="8" w:tplc="080A0005">
      <w:start w:val="1"/>
      <w:numFmt w:val="bullet"/>
      <w:lvlText w:val=""/>
      <w:lvlJc w:val="left"/>
      <w:pPr>
        <w:ind w:left="6480" w:hanging="360"/>
      </w:pPr>
      <w:rPr>
        <w:rFonts w:hint="default" w:ascii="Wingdings" w:hAnsi="Wingdings"/>
      </w:rPr>
    </w:lvl>
  </w:abstractNum>
  <w:abstractNum w:abstractNumId="39" w15:restartNumberingAfterBreak="0">
    <w:nsid w:val="78CF71F3"/>
    <w:multiLevelType w:val="hybridMultilevel"/>
    <w:tmpl w:val="90381BB0"/>
    <w:lvl w:ilvl="0" w:tplc="C8169A16">
      <w:start w:val="1"/>
      <w:numFmt w:val="bullet"/>
      <w:lvlText w:val=""/>
      <w:lvlJc w:val="left"/>
      <w:pPr>
        <w:ind w:left="720" w:hanging="360"/>
      </w:pPr>
      <w:rPr>
        <w:rFonts w:hint="default" w:ascii="Symbol" w:hAnsi="Symbol"/>
        <w:b/>
      </w:rPr>
    </w:lvl>
    <w:lvl w:ilvl="1" w:tplc="080A0003">
      <w:start w:val="1"/>
      <w:numFmt w:val="bullet"/>
      <w:lvlText w:val="o"/>
      <w:lvlJc w:val="left"/>
      <w:pPr>
        <w:ind w:left="1440" w:hanging="360"/>
      </w:pPr>
      <w:rPr>
        <w:rFonts w:hint="default" w:ascii="Courier New" w:hAnsi="Courier New" w:cs="Courier New"/>
      </w:rPr>
    </w:lvl>
    <w:lvl w:ilvl="2" w:tplc="080A0005">
      <w:start w:val="1"/>
      <w:numFmt w:val="bullet"/>
      <w:lvlText w:val=""/>
      <w:lvlJc w:val="left"/>
      <w:pPr>
        <w:ind w:left="2160" w:hanging="360"/>
      </w:pPr>
      <w:rPr>
        <w:rFonts w:hint="default" w:ascii="Wingdings" w:hAnsi="Wingdings"/>
      </w:rPr>
    </w:lvl>
    <w:lvl w:ilvl="3" w:tplc="080A0001">
      <w:start w:val="1"/>
      <w:numFmt w:val="bullet"/>
      <w:lvlText w:val=""/>
      <w:lvlJc w:val="left"/>
      <w:pPr>
        <w:ind w:left="2880" w:hanging="360"/>
      </w:pPr>
      <w:rPr>
        <w:rFonts w:hint="default" w:ascii="Symbol" w:hAnsi="Symbol"/>
      </w:rPr>
    </w:lvl>
    <w:lvl w:ilvl="4" w:tplc="080A0003">
      <w:start w:val="1"/>
      <w:numFmt w:val="bullet"/>
      <w:lvlText w:val="o"/>
      <w:lvlJc w:val="left"/>
      <w:pPr>
        <w:ind w:left="3600" w:hanging="360"/>
      </w:pPr>
      <w:rPr>
        <w:rFonts w:hint="default" w:ascii="Courier New" w:hAnsi="Courier New" w:cs="Courier New"/>
      </w:rPr>
    </w:lvl>
    <w:lvl w:ilvl="5" w:tplc="080A0005">
      <w:start w:val="1"/>
      <w:numFmt w:val="bullet"/>
      <w:lvlText w:val=""/>
      <w:lvlJc w:val="left"/>
      <w:pPr>
        <w:ind w:left="4320" w:hanging="360"/>
      </w:pPr>
      <w:rPr>
        <w:rFonts w:hint="default" w:ascii="Wingdings" w:hAnsi="Wingdings"/>
      </w:rPr>
    </w:lvl>
    <w:lvl w:ilvl="6" w:tplc="080A0001">
      <w:start w:val="1"/>
      <w:numFmt w:val="bullet"/>
      <w:lvlText w:val=""/>
      <w:lvlJc w:val="left"/>
      <w:pPr>
        <w:ind w:left="5040" w:hanging="360"/>
      </w:pPr>
      <w:rPr>
        <w:rFonts w:hint="default" w:ascii="Symbol" w:hAnsi="Symbol"/>
      </w:rPr>
    </w:lvl>
    <w:lvl w:ilvl="7" w:tplc="080A0003">
      <w:start w:val="1"/>
      <w:numFmt w:val="bullet"/>
      <w:lvlText w:val="o"/>
      <w:lvlJc w:val="left"/>
      <w:pPr>
        <w:ind w:left="5760" w:hanging="360"/>
      </w:pPr>
      <w:rPr>
        <w:rFonts w:hint="default" w:ascii="Courier New" w:hAnsi="Courier New" w:cs="Courier New"/>
      </w:rPr>
    </w:lvl>
    <w:lvl w:ilvl="8" w:tplc="080A0005">
      <w:start w:val="1"/>
      <w:numFmt w:val="bullet"/>
      <w:lvlText w:val=""/>
      <w:lvlJc w:val="left"/>
      <w:pPr>
        <w:ind w:left="6480" w:hanging="360"/>
      </w:pPr>
      <w:rPr>
        <w:rFonts w:hint="default" w:ascii="Wingdings" w:hAnsi="Wingdings"/>
      </w:rPr>
    </w:lvl>
  </w:abstractNum>
  <w:abstractNum w:abstractNumId="40" w15:restartNumberingAfterBreak="0">
    <w:nsid w:val="7ADA4D23"/>
    <w:multiLevelType w:val="hybridMultilevel"/>
    <w:tmpl w:val="D59A059C"/>
    <w:lvl w:ilvl="0" w:tplc="080A0001">
      <w:start w:val="1"/>
      <w:numFmt w:val="bullet"/>
      <w:lvlText w:val=""/>
      <w:lvlJc w:val="left"/>
      <w:pPr>
        <w:ind w:left="720" w:hanging="360"/>
      </w:pPr>
      <w:rPr>
        <w:rFonts w:hint="default" w:ascii="Symbol" w:hAnsi="Symbol"/>
      </w:rPr>
    </w:lvl>
    <w:lvl w:ilvl="1" w:tplc="080A0003">
      <w:start w:val="1"/>
      <w:numFmt w:val="bullet"/>
      <w:lvlText w:val="o"/>
      <w:lvlJc w:val="left"/>
      <w:pPr>
        <w:ind w:left="1440" w:hanging="360"/>
      </w:pPr>
      <w:rPr>
        <w:rFonts w:hint="default" w:ascii="Courier New" w:hAnsi="Courier New" w:cs="Courier New"/>
      </w:rPr>
    </w:lvl>
    <w:lvl w:ilvl="2" w:tplc="080A0005">
      <w:start w:val="1"/>
      <w:numFmt w:val="bullet"/>
      <w:lvlText w:val=""/>
      <w:lvlJc w:val="left"/>
      <w:pPr>
        <w:ind w:left="2160" w:hanging="360"/>
      </w:pPr>
      <w:rPr>
        <w:rFonts w:hint="default" w:ascii="Wingdings" w:hAnsi="Wingdings"/>
      </w:rPr>
    </w:lvl>
    <w:lvl w:ilvl="3" w:tplc="080A0001">
      <w:start w:val="1"/>
      <w:numFmt w:val="bullet"/>
      <w:lvlText w:val=""/>
      <w:lvlJc w:val="left"/>
      <w:pPr>
        <w:ind w:left="2880" w:hanging="360"/>
      </w:pPr>
      <w:rPr>
        <w:rFonts w:hint="default" w:ascii="Symbol" w:hAnsi="Symbol"/>
      </w:rPr>
    </w:lvl>
    <w:lvl w:ilvl="4" w:tplc="080A0003">
      <w:start w:val="1"/>
      <w:numFmt w:val="bullet"/>
      <w:lvlText w:val="o"/>
      <w:lvlJc w:val="left"/>
      <w:pPr>
        <w:ind w:left="3600" w:hanging="360"/>
      </w:pPr>
      <w:rPr>
        <w:rFonts w:hint="default" w:ascii="Courier New" w:hAnsi="Courier New" w:cs="Courier New"/>
      </w:rPr>
    </w:lvl>
    <w:lvl w:ilvl="5" w:tplc="080A0005">
      <w:start w:val="1"/>
      <w:numFmt w:val="bullet"/>
      <w:lvlText w:val=""/>
      <w:lvlJc w:val="left"/>
      <w:pPr>
        <w:ind w:left="4320" w:hanging="360"/>
      </w:pPr>
      <w:rPr>
        <w:rFonts w:hint="default" w:ascii="Wingdings" w:hAnsi="Wingdings"/>
      </w:rPr>
    </w:lvl>
    <w:lvl w:ilvl="6" w:tplc="080A0001">
      <w:start w:val="1"/>
      <w:numFmt w:val="bullet"/>
      <w:lvlText w:val=""/>
      <w:lvlJc w:val="left"/>
      <w:pPr>
        <w:ind w:left="5040" w:hanging="360"/>
      </w:pPr>
      <w:rPr>
        <w:rFonts w:hint="default" w:ascii="Symbol" w:hAnsi="Symbol"/>
      </w:rPr>
    </w:lvl>
    <w:lvl w:ilvl="7" w:tplc="080A0003">
      <w:start w:val="1"/>
      <w:numFmt w:val="bullet"/>
      <w:lvlText w:val="o"/>
      <w:lvlJc w:val="left"/>
      <w:pPr>
        <w:ind w:left="5760" w:hanging="360"/>
      </w:pPr>
      <w:rPr>
        <w:rFonts w:hint="default" w:ascii="Courier New" w:hAnsi="Courier New" w:cs="Courier New"/>
      </w:rPr>
    </w:lvl>
    <w:lvl w:ilvl="8" w:tplc="080A0005">
      <w:start w:val="1"/>
      <w:numFmt w:val="bullet"/>
      <w:lvlText w:val=""/>
      <w:lvlJc w:val="left"/>
      <w:pPr>
        <w:ind w:left="6480" w:hanging="360"/>
      </w:pPr>
      <w:rPr>
        <w:rFonts w:hint="default" w:ascii="Wingdings" w:hAnsi="Wingdings"/>
      </w:rPr>
    </w:lvl>
  </w:abstractNum>
  <w:abstractNum w:abstractNumId="41" w15:restartNumberingAfterBreak="0">
    <w:nsid w:val="7B3161FA"/>
    <w:multiLevelType w:val="hybridMultilevel"/>
    <w:tmpl w:val="E5B25B1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7BEA156A"/>
    <w:multiLevelType w:val="hybridMultilevel"/>
    <w:tmpl w:val="767843C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4"/>
  </w:num>
  <w:num w:numId="2">
    <w:abstractNumId w:val="38"/>
  </w:num>
  <w:num w:numId="3">
    <w:abstractNumId w:val="9"/>
  </w:num>
  <w:num w:numId="4">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0"/>
  </w:num>
  <w:num w:numId="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9"/>
  </w:num>
  <w:num w:numId="8">
    <w:abstractNumId w:val="23"/>
  </w:num>
  <w:num w:numId="9">
    <w:abstractNumId w:val="2"/>
  </w:num>
  <w:num w:numId="10">
    <w:abstractNumId w:val="36"/>
  </w:num>
  <w:num w:numId="11">
    <w:abstractNumId w:val="21"/>
  </w:num>
  <w:num w:numId="12">
    <w:abstractNumId w:val="0"/>
  </w:num>
  <w:num w:numId="13">
    <w:abstractNumId w:val="8"/>
  </w:num>
  <w:num w:numId="14">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num>
  <w:num w:numId="1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6"/>
  </w:num>
  <w:num w:numId="18">
    <w:abstractNumId w:val="42"/>
  </w:num>
  <w:num w:numId="19">
    <w:abstractNumId w:val="24"/>
  </w:num>
  <w:num w:numId="20">
    <w:abstractNumId w:val="17"/>
  </w:num>
  <w:num w:numId="21">
    <w:abstractNumId w:val="13"/>
  </w:num>
  <w:num w:numId="22">
    <w:abstractNumId w:val="41"/>
  </w:num>
  <w:num w:numId="23">
    <w:abstractNumId w:val="20"/>
  </w:num>
  <w:num w:numId="24">
    <w:abstractNumId w:val="1"/>
  </w:num>
  <w:num w:numId="25">
    <w:abstractNumId w:val="26"/>
  </w:num>
  <w:num w:numId="26">
    <w:abstractNumId w:val="4"/>
  </w:num>
  <w:num w:numId="27">
    <w:abstractNumId w:val="27"/>
  </w:num>
  <w:num w:numId="28">
    <w:abstractNumId w:val="32"/>
  </w:num>
  <w:num w:numId="29">
    <w:abstractNumId w:val="33"/>
  </w:num>
  <w:num w:numId="30">
    <w:abstractNumId w:val="11"/>
  </w:num>
  <w:num w:numId="31">
    <w:abstractNumId w:val="7"/>
  </w:num>
  <w:num w:numId="32">
    <w:abstractNumId w:val="15"/>
  </w:num>
  <w:num w:numId="33">
    <w:abstractNumId w:val="6"/>
  </w:num>
  <w:num w:numId="34">
    <w:abstractNumId w:val="22"/>
  </w:num>
  <w:num w:numId="35">
    <w:abstractNumId w:val="35"/>
  </w:num>
  <w:num w:numId="36">
    <w:abstractNumId w:val="39"/>
  </w:num>
  <w:num w:numId="3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1"/>
  </w:num>
  <w:num w:numId="39">
    <w:abstractNumId w:val="18"/>
  </w:num>
  <w:num w:numId="4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5"/>
  </w:num>
  <w:num w:numId="42">
    <w:abstractNumId w:val="30"/>
  </w:num>
  <w:num w:numId="43">
    <w:abstractNumId w:val="3"/>
  </w:num>
  <w:num w:numId="44">
    <w:abstractNumId w:val="29"/>
  </w:num>
  <w:num w:numId="45">
    <w:abstractNumId w:val="34"/>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p14">
  <w:zoom w:percent="100"/>
  <w:trackRevisions w:val="false"/>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6B31"/>
    <w:rsid w:val="0002572A"/>
    <w:rsid w:val="0002736F"/>
    <w:rsid w:val="00034C6A"/>
    <w:rsid w:val="000373AC"/>
    <w:rsid w:val="00037914"/>
    <w:rsid w:val="00043C41"/>
    <w:rsid w:val="00046320"/>
    <w:rsid w:val="00046644"/>
    <w:rsid w:val="000500C4"/>
    <w:rsid w:val="0005435B"/>
    <w:rsid w:val="00060140"/>
    <w:rsid w:val="00062470"/>
    <w:rsid w:val="0006540D"/>
    <w:rsid w:val="00066B31"/>
    <w:rsid w:val="00070E76"/>
    <w:rsid w:val="00075334"/>
    <w:rsid w:val="00085698"/>
    <w:rsid w:val="00096187"/>
    <w:rsid w:val="000970EB"/>
    <w:rsid w:val="000A0809"/>
    <w:rsid w:val="000A4804"/>
    <w:rsid w:val="000B12BC"/>
    <w:rsid w:val="000C6862"/>
    <w:rsid w:val="000D0DEF"/>
    <w:rsid w:val="000D1EE5"/>
    <w:rsid w:val="000D5B99"/>
    <w:rsid w:val="000E1C0A"/>
    <w:rsid w:val="000E4AE0"/>
    <w:rsid w:val="000F62E2"/>
    <w:rsid w:val="001004BB"/>
    <w:rsid w:val="001064AE"/>
    <w:rsid w:val="001103F0"/>
    <w:rsid w:val="00117E3C"/>
    <w:rsid w:val="00120C76"/>
    <w:rsid w:val="00132636"/>
    <w:rsid w:val="00134D79"/>
    <w:rsid w:val="0014141E"/>
    <w:rsid w:val="00142511"/>
    <w:rsid w:val="001443E6"/>
    <w:rsid w:val="00152A9D"/>
    <w:rsid w:val="00156D9E"/>
    <w:rsid w:val="001577CA"/>
    <w:rsid w:val="001579B1"/>
    <w:rsid w:val="00164A8B"/>
    <w:rsid w:val="0017521E"/>
    <w:rsid w:val="00182FF5"/>
    <w:rsid w:val="00184934"/>
    <w:rsid w:val="001928E9"/>
    <w:rsid w:val="00195757"/>
    <w:rsid w:val="001A0851"/>
    <w:rsid w:val="001A1A69"/>
    <w:rsid w:val="001A5045"/>
    <w:rsid w:val="001A5EC7"/>
    <w:rsid w:val="001A7452"/>
    <w:rsid w:val="001B6ECC"/>
    <w:rsid w:val="001C10AC"/>
    <w:rsid w:val="001C4991"/>
    <w:rsid w:val="001C6F73"/>
    <w:rsid w:val="001C70D9"/>
    <w:rsid w:val="001D019F"/>
    <w:rsid w:val="001D2F08"/>
    <w:rsid w:val="001E0950"/>
    <w:rsid w:val="001E12EE"/>
    <w:rsid w:val="001E16BB"/>
    <w:rsid w:val="001E35D1"/>
    <w:rsid w:val="001E38B2"/>
    <w:rsid w:val="001F372E"/>
    <w:rsid w:val="001F5EEB"/>
    <w:rsid w:val="001F62F3"/>
    <w:rsid w:val="001F7D27"/>
    <w:rsid w:val="002128C8"/>
    <w:rsid w:val="002150B8"/>
    <w:rsid w:val="00220FD8"/>
    <w:rsid w:val="00225CD2"/>
    <w:rsid w:val="00237149"/>
    <w:rsid w:val="00237426"/>
    <w:rsid w:val="00245F82"/>
    <w:rsid w:val="002609B4"/>
    <w:rsid w:val="002648DF"/>
    <w:rsid w:val="0027112B"/>
    <w:rsid w:val="00287CEE"/>
    <w:rsid w:val="002A10BA"/>
    <w:rsid w:val="002A4A17"/>
    <w:rsid w:val="002B05DB"/>
    <w:rsid w:val="002C54AF"/>
    <w:rsid w:val="002C77CA"/>
    <w:rsid w:val="002D10E0"/>
    <w:rsid w:val="002D5F76"/>
    <w:rsid w:val="002E21C8"/>
    <w:rsid w:val="002E221F"/>
    <w:rsid w:val="002E7036"/>
    <w:rsid w:val="002F321B"/>
    <w:rsid w:val="003065DE"/>
    <w:rsid w:val="0031422C"/>
    <w:rsid w:val="00314A92"/>
    <w:rsid w:val="0032668E"/>
    <w:rsid w:val="00337572"/>
    <w:rsid w:val="00364068"/>
    <w:rsid w:val="00386C97"/>
    <w:rsid w:val="003A607F"/>
    <w:rsid w:val="003B1418"/>
    <w:rsid w:val="003B2242"/>
    <w:rsid w:val="003C31A0"/>
    <w:rsid w:val="003E17DD"/>
    <w:rsid w:val="003E2E42"/>
    <w:rsid w:val="003E535E"/>
    <w:rsid w:val="003F1231"/>
    <w:rsid w:val="003F139F"/>
    <w:rsid w:val="003F3B06"/>
    <w:rsid w:val="00400651"/>
    <w:rsid w:val="0040526C"/>
    <w:rsid w:val="00407871"/>
    <w:rsid w:val="00423D13"/>
    <w:rsid w:val="00426A45"/>
    <w:rsid w:val="0043086A"/>
    <w:rsid w:val="00431CA9"/>
    <w:rsid w:val="004334F3"/>
    <w:rsid w:val="00434A31"/>
    <w:rsid w:val="00446BCA"/>
    <w:rsid w:val="00456635"/>
    <w:rsid w:val="00460D80"/>
    <w:rsid w:val="004730F1"/>
    <w:rsid w:val="00480903"/>
    <w:rsid w:val="00481490"/>
    <w:rsid w:val="004823D7"/>
    <w:rsid w:val="00482EFD"/>
    <w:rsid w:val="004832D6"/>
    <w:rsid w:val="0048610B"/>
    <w:rsid w:val="004907A4"/>
    <w:rsid w:val="0049173B"/>
    <w:rsid w:val="0049413B"/>
    <w:rsid w:val="004947D8"/>
    <w:rsid w:val="00497692"/>
    <w:rsid w:val="00497C8F"/>
    <w:rsid w:val="004A02F8"/>
    <w:rsid w:val="004B2823"/>
    <w:rsid w:val="004B3C2B"/>
    <w:rsid w:val="004C4E10"/>
    <w:rsid w:val="004D18B9"/>
    <w:rsid w:val="004D2803"/>
    <w:rsid w:val="004D3969"/>
    <w:rsid w:val="004D7658"/>
    <w:rsid w:val="004E2C2D"/>
    <w:rsid w:val="004F676D"/>
    <w:rsid w:val="004F6DB9"/>
    <w:rsid w:val="005027D8"/>
    <w:rsid w:val="00505D64"/>
    <w:rsid w:val="00511A80"/>
    <w:rsid w:val="00514313"/>
    <w:rsid w:val="00514645"/>
    <w:rsid w:val="00515042"/>
    <w:rsid w:val="00515F3E"/>
    <w:rsid w:val="00540E9D"/>
    <w:rsid w:val="00544546"/>
    <w:rsid w:val="005447DD"/>
    <w:rsid w:val="0054614D"/>
    <w:rsid w:val="00547807"/>
    <w:rsid w:val="00557E6D"/>
    <w:rsid w:val="005639CA"/>
    <w:rsid w:val="00564652"/>
    <w:rsid w:val="00576074"/>
    <w:rsid w:val="00596BCF"/>
    <w:rsid w:val="005A3F30"/>
    <w:rsid w:val="005B20A4"/>
    <w:rsid w:val="005D5EBF"/>
    <w:rsid w:val="005D6213"/>
    <w:rsid w:val="006058F5"/>
    <w:rsid w:val="00610C0E"/>
    <w:rsid w:val="006124C5"/>
    <w:rsid w:val="0061307E"/>
    <w:rsid w:val="00613C98"/>
    <w:rsid w:val="00620163"/>
    <w:rsid w:val="006203E3"/>
    <w:rsid w:val="00623867"/>
    <w:rsid w:val="0063356D"/>
    <w:rsid w:val="00635D53"/>
    <w:rsid w:val="00636DE6"/>
    <w:rsid w:val="00643079"/>
    <w:rsid w:val="006473C2"/>
    <w:rsid w:val="00655443"/>
    <w:rsid w:val="006559F2"/>
    <w:rsid w:val="0066297C"/>
    <w:rsid w:val="00665C26"/>
    <w:rsid w:val="006679D6"/>
    <w:rsid w:val="006710D3"/>
    <w:rsid w:val="00672F00"/>
    <w:rsid w:val="00674442"/>
    <w:rsid w:val="00676D85"/>
    <w:rsid w:val="00681124"/>
    <w:rsid w:val="00684F08"/>
    <w:rsid w:val="006906DF"/>
    <w:rsid w:val="006940FB"/>
    <w:rsid w:val="006A635A"/>
    <w:rsid w:val="006A6F5E"/>
    <w:rsid w:val="006B184E"/>
    <w:rsid w:val="006B2877"/>
    <w:rsid w:val="006B2B29"/>
    <w:rsid w:val="006B6642"/>
    <w:rsid w:val="006C2A6E"/>
    <w:rsid w:val="006F2F85"/>
    <w:rsid w:val="00712C1D"/>
    <w:rsid w:val="00713055"/>
    <w:rsid w:val="00722334"/>
    <w:rsid w:val="00725283"/>
    <w:rsid w:val="007252E5"/>
    <w:rsid w:val="00726782"/>
    <w:rsid w:val="0072736D"/>
    <w:rsid w:val="00730A1A"/>
    <w:rsid w:val="00746092"/>
    <w:rsid w:val="00756C7F"/>
    <w:rsid w:val="007636BA"/>
    <w:rsid w:val="007814C2"/>
    <w:rsid w:val="00786BB8"/>
    <w:rsid w:val="007944F9"/>
    <w:rsid w:val="00797A4D"/>
    <w:rsid w:val="00797E95"/>
    <w:rsid w:val="007A19CA"/>
    <w:rsid w:val="007A23DF"/>
    <w:rsid w:val="007A6CC7"/>
    <w:rsid w:val="007C75E4"/>
    <w:rsid w:val="007D0449"/>
    <w:rsid w:val="007D52F5"/>
    <w:rsid w:val="007F73DE"/>
    <w:rsid w:val="00806C05"/>
    <w:rsid w:val="00810E77"/>
    <w:rsid w:val="00812FEA"/>
    <w:rsid w:val="008161A2"/>
    <w:rsid w:val="0081647F"/>
    <w:rsid w:val="00823BA2"/>
    <w:rsid w:val="00827896"/>
    <w:rsid w:val="00831468"/>
    <w:rsid w:val="00837DC4"/>
    <w:rsid w:val="00844830"/>
    <w:rsid w:val="008449DD"/>
    <w:rsid w:val="008516A1"/>
    <w:rsid w:val="00875C15"/>
    <w:rsid w:val="00880564"/>
    <w:rsid w:val="00884C14"/>
    <w:rsid w:val="00886AAA"/>
    <w:rsid w:val="00890086"/>
    <w:rsid w:val="00897FC3"/>
    <w:rsid w:val="008A27FD"/>
    <w:rsid w:val="008A386D"/>
    <w:rsid w:val="008A4B29"/>
    <w:rsid w:val="008B1873"/>
    <w:rsid w:val="008B3837"/>
    <w:rsid w:val="008B3C4E"/>
    <w:rsid w:val="008C23E3"/>
    <w:rsid w:val="008C4654"/>
    <w:rsid w:val="008D5408"/>
    <w:rsid w:val="008E1F82"/>
    <w:rsid w:val="009060F7"/>
    <w:rsid w:val="0090799A"/>
    <w:rsid w:val="0091163D"/>
    <w:rsid w:val="00912D29"/>
    <w:rsid w:val="009325F6"/>
    <w:rsid w:val="00957133"/>
    <w:rsid w:val="00957B55"/>
    <w:rsid w:val="00970BAD"/>
    <w:rsid w:val="00972568"/>
    <w:rsid w:val="00973D49"/>
    <w:rsid w:val="00975497"/>
    <w:rsid w:val="00981B17"/>
    <w:rsid w:val="00983257"/>
    <w:rsid w:val="00984A9C"/>
    <w:rsid w:val="00985E40"/>
    <w:rsid w:val="009A031E"/>
    <w:rsid w:val="009A2169"/>
    <w:rsid w:val="009A6AA7"/>
    <w:rsid w:val="009C210A"/>
    <w:rsid w:val="009C3EFA"/>
    <w:rsid w:val="009C668D"/>
    <w:rsid w:val="009D0DF5"/>
    <w:rsid w:val="009D14AA"/>
    <w:rsid w:val="009E22E8"/>
    <w:rsid w:val="009E5BCE"/>
    <w:rsid w:val="00A044E9"/>
    <w:rsid w:val="00A0672F"/>
    <w:rsid w:val="00A07373"/>
    <w:rsid w:val="00A1295C"/>
    <w:rsid w:val="00A1382A"/>
    <w:rsid w:val="00A158AB"/>
    <w:rsid w:val="00A159C9"/>
    <w:rsid w:val="00A2185E"/>
    <w:rsid w:val="00A2644F"/>
    <w:rsid w:val="00A30720"/>
    <w:rsid w:val="00A33DDF"/>
    <w:rsid w:val="00A40BBA"/>
    <w:rsid w:val="00A45601"/>
    <w:rsid w:val="00A463E5"/>
    <w:rsid w:val="00A47A01"/>
    <w:rsid w:val="00A47EB9"/>
    <w:rsid w:val="00A61518"/>
    <w:rsid w:val="00A615C8"/>
    <w:rsid w:val="00A63C7D"/>
    <w:rsid w:val="00A70DE2"/>
    <w:rsid w:val="00A70E4E"/>
    <w:rsid w:val="00A71E53"/>
    <w:rsid w:val="00A730D8"/>
    <w:rsid w:val="00A736FB"/>
    <w:rsid w:val="00A75345"/>
    <w:rsid w:val="00A80686"/>
    <w:rsid w:val="00A8070B"/>
    <w:rsid w:val="00A91161"/>
    <w:rsid w:val="00A94C96"/>
    <w:rsid w:val="00AA48E2"/>
    <w:rsid w:val="00AD0790"/>
    <w:rsid w:val="00AD4550"/>
    <w:rsid w:val="00AE0905"/>
    <w:rsid w:val="00AF2044"/>
    <w:rsid w:val="00B034A6"/>
    <w:rsid w:val="00B11EB5"/>
    <w:rsid w:val="00B11F59"/>
    <w:rsid w:val="00B17AC1"/>
    <w:rsid w:val="00B2307A"/>
    <w:rsid w:val="00B2722D"/>
    <w:rsid w:val="00B40795"/>
    <w:rsid w:val="00B4439F"/>
    <w:rsid w:val="00B44AA0"/>
    <w:rsid w:val="00B5335F"/>
    <w:rsid w:val="00B5786A"/>
    <w:rsid w:val="00B6219E"/>
    <w:rsid w:val="00B7023A"/>
    <w:rsid w:val="00B87F73"/>
    <w:rsid w:val="00B904A1"/>
    <w:rsid w:val="00B91C3F"/>
    <w:rsid w:val="00BB0E7F"/>
    <w:rsid w:val="00BB52A9"/>
    <w:rsid w:val="00BC5360"/>
    <w:rsid w:val="00BD0085"/>
    <w:rsid w:val="00BD6C52"/>
    <w:rsid w:val="00BE69C6"/>
    <w:rsid w:val="00BF6219"/>
    <w:rsid w:val="00BF6E28"/>
    <w:rsid w:val="00BF6F7C"/>
    <w:rsid w:val="00C0148B"/>
    <w:rsid w:val="00C11242"/>
    <w:rsid w:val="00C156A7"/>
    <w:rsid w:val="00C20AC6"/>
    <w:rsid w:val="00C2316D"/>
    <w:rsid w:val="00C30B5F"/>
    <w:rsid w:val="00C32FC1"/>
    <w:rsid w:val="00C40F6D"/>
    <w:rsid w:val="00C43AED"/>
    <w:rsid w:val="00C440EE"/>
    <w:rsid w:val="00C528BB"/>
    <w:rsid w:val="00C539CF"/>
    <w:rsid w:val="00C56DF1"/>
    <w:rsid w:val="00C76478"/>
    <w:rsid w:val="00C8149E"/>
    <w:rsid w:val="00C833A1"/>
    <w:rsid w:val="00C91AFD"/>
    <w:rsid w:val="00C972B9"/>
    <w:rsid w:val="00C97744"/>
    <w:rsid w:val="00CA0939"/>
    <w:rsid w:val="00CA1616"/>
    <w:rsid w:val="00CC0C47"/>
    <w:rsid w:val="00CC520F"/>
    <w:rsid w:val="00CC72ED"/>
    <w:rsid w:val="00CD2374"/>
    <w:rsid w:val="00CD5743"/>
    <w:rsid w:val="00CE7C41"/>
    <w:rsid w:val="00CF0C45"/>
    <w:rsid w:val="00CF15C6"/>
    <w:rsid w:val="00D14123"/>
    <w:rsid w:val="00D25901"/>
    <w:rsid w:val="00D31076"/>
    <w:rsid w:val="00D33235"/>
    <w:rsid w:val="00D40B9F"/>
    <w:rsid w:val="00D56577"/>
    <w:rsid w:val="00D658A9"/>
    <w:rsid w:val="00D71437"/>
    <w:rsid w:val="00D7160C"/>
    <w:rsid w:val="00D731FC"/>
    <w:rsid w:val="00D86422"/>
    <w:rsid w:val="00D87D54"/>
    <w:rsid w:val="00DB4F1F"/>
    <w:rsid w:val="00DC0BAB"/>
    <w:rsid w:val="00DC411A"/>
    <w:rsid w:val="00DD24A9"/>
    <w:rsid w:val="00DD3AE0"/>
    <w:rsid w:val="00DD6ABE"/>
    <w:rsid w:val="00DE0F0C"/>
    <w:rsid w:val="00DF5DB2"/>
    <w:rsid w:val="00DF6F08"/>
    <w:rsid w:val="00E10673"/>
    <w:rsid w:val="00E109A9"/>
    <w:rsid w:val="00E11DED"/>
    <w:rsid w:val="00E17462"/>
    <w:rsid w:val="00E27D8C"/>
    <w:rsid w:val="00E32882"/>
    <w:rsid w:val="00E439ED"/>
    <w:rsid w:val="00E4610A"/>
    <w:rsid w:val="00E62A3A"/>
    <w:rsid w:val="00E7757A"/>
    <w:rsid w:val="00E77EDE"/>
    <w:rsid w:val="00E84476"/>
    <w:rsid w:val="00E95F22"/>
    <w:rsid w:val="00EA3060"/>
    <w:rsid w:val="00EB30A4"/>
    <w:rsid w:val="00EC2019"/>
    <w:rsid w:val="00ED30A4"/>
    <w:rsid w:val="00ED7E78"/>
    <w:rsid w:val="00EE0DDB"/>
    <w:rsid w:val="00EE7157"/>
    <w:rsid w:val="00EF2ACF"/>
    <w:rsid w:val="00EF5D50"/>
    <w:rsid w:val="00F07160"/>
    <w:rsid w:val="00F12C5F"/>
    <w:rsid w:val="00F143EA"/>
    <w:rsid w:val="00F14AA6"/>
    <w:rsid w:val="00F17183"/>
    <w:rsid w:val="00F2034F"/>
    <w:rsid w:val="00F263D2"/>
    <w:rsid w:val="00F26F7A"/>
    <w:rsid w:val="00F50A74"/>
    <w:rsid w:val="00F54281"/>
    <w:rsid w:val="00F616A1"/>
    <w:rsid w:val="00F671F1"/>
    <w:rsid w:val="00F70FD8"/>
    <w:rsid w:val="00FA06A8"/>
    <w:rsid w:val="00FA0E83"/>
    <w:rsid w:val="00FA383B"/>
    <w:rsid w:val="00FA46A1"/>
    <w:rsid w:val="00FB4093"/>
    <w:rsid w:val="00FB4AE8"/>
    <w:rsid w:val="00FC3AEF"/>
    <w:rsid w:val="00FC41CE"/>
    <w:rsid w:val="00FC6C9A"/>
    <w:rsid w:val="00FD0A8F"/>
    <w:rsid w:val="00FE0ADD"/>
    <w:rsid w:val="00FE20E8"/>
    <w:rsid w:val="00FE24DD"/>
    <w:rsid w:val="00FE50B8"/>
    <w:rsid w:val="00FE652B"/>
    <w:rsid w:val="00FF34C3"/>
    <w:rsid w:val="01A6978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6F67B18"/>
  <w15:docId w15:val="{7D6AC07D-5D7D-44D8-84C1-38FD5AFA2865}"/>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p14">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sid w:val="000970EB"/>
    <w:pPr>
      <w:jc w:val="both"/>
    </w:pPr>
    <w:rPr>
      <w:rFonts w:ascii="Palatino Linotype" w:hAnsi="Palatino Linotype"/>
      <w:color w:val="000000" w:themeColor="text1"/>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Encabezado">
    <w:name w:val="header"/>
    <w:basedOn w:val="Normal"/>
    <w:link w:val="EncabezadoCar"/>
    <w:uiPriority w:val="99"/>
    <w:unhideWhenUsed/>
    <w:rsid w:val="00066B31"/>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066B31"/>
    <w:rPr>
      <w:rFonts w:ascii="Palatino Linotype" w:hAnsi="Palatino Linotype"/>
      <w:color w:val="000000" w:themeColor="text1"/>
    </w:rPr>
  </w:style>
  <w:style w:type="paragraph" w:styleId="Piedepgina">
    <w:name w:val="footer"/>
    <w:basedOn w:val="Normal"/>
    <w:link w:val="PiedepginaCar"/>
    <w:uiPriority w:val="99"/>
    <w:unhideWhenUsed/>
    <w:rsid w:val="00066B31"/>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066B31"/>
    <w:rPr>
      <w:rFonts w:ascii="Palatino Linotype" w:hAnsi="Palatino Linotype"/>
      <w:color w:val="000000" w:themeColor="text1"/>
    </w:rPr>
  </w:style>
  <w:style w:type="table" w:styleId="Tablaconcuadrcula">
    <w:name w:val="Table Grid"/>
    <w:basedOn w:val="Tablanormal"/>
    <w:uiPriority w:val="59"/>
    <w:rsid w:val="00066B31"/>
    <w:pPr>
      <w:spacing w:after="0" w:line="240" w:lineRule="auto"/>
    </w:pPr>
    <w:rPr>
      <w:lang w:val="es-E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PrrafodelistaCar" w:customStyle="1">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locked/>
    <w:rsid w:val="00066B31"/>
    <w:rPr>
      <w:rFonts w:ascii="Century Gothic" w:hAnsi="Century Gothic" w:eastAsia="Times New Roman" w:cs="Times New Roman"/>
      <w:szCs w:val="24"/>
      <w:lang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066B31"/>
    <w:pPr>
      <w:spacing w:after="0" w:line="240" w:lineRule="auto"/>
      <w:ind w:left="720"/>
      <w:contextualSpacing/>
      <w:jc w:val="left"/>
    </w:pPr>
    <w:rPr>
      <w:rFonts w:ascii="Century Gothic" w:hAnsi="Century Gothic" w:eastAsia="Times New Roman" w:cs="Times New Roman"/>
      <w:color w:val="auto"/>
      <w:szCs w:val="24"/>
      <w:lang w:eastAsia="es-ES"/>
    </w:rPr>
  </w:style>
  <w:style w:type="character" w:styleId="Hipervnculo">
    <w:name w:val="Hyperlink"/>
    <w:basedOn w:val="Fuentedeprrafopredeter"/>
    <w:uiPriority w:val="99"/>
    <w:unhideWhenUsed/>
    <w:rsid w:val="00066B31"/>
    <w:rPr>
      <w:color w:val="0563C1" w:themeColor="hyperlink"/>
      <w:u w:val="single"/>
    </w:rPr>
  </w:style>
  <w:style w:type="paragraph" w:styleId="NormalWeb">
    <w:name w:val="Normal (Web)"/>
    <w:basedOn w:val="Normal"/>
    <w:uiPriority w:val="99"/>
    <w:unhideWhenUsed/>
    <w:rsid w:val="00C8149E"/>
    <w:pPr>
      <w:spacing w:line="256" w:lineRule="auto"/>
    </w:pPr>
    <w:rPr>
      <w:rFonts w:ascii="Times New Roman" w:hAnsi="Times New Roman" w:cs="Times New Roman"/>
      <w:sz w:val="24"/>
      <w:szCs w:val="24"/>
    </w:rPr>
  </w:style>
  <w:style w:type="character" w:styleId="normaltextrun" w:customStyle="1">
    <w:name w:val="normaltextrun"/>
    <w:basedOn w:val="Fuentedeprrafopredeter"/>
    <w:rsid w:val="00810E77"/>
  </w:style>
  <w:style w:type="character" w:styleId="eop" w:customStyle="1">
    <w:name w:val="eop"/>
    <w:basedOn w:val="Fuentedeprrafopredeter"/>
    <w:rsid w:val="00810E77"/>
  </w:style>
  <w:style w:type="character" w:styleId="Mencinsinresolver1" w:customStyle="1">
    <w:name w:val="Mención sin resolver1"/>
    <w:basedOn w:val="Fuentedeprrafopredeter"/>
    <w:uiPriority w:val="99"/>
    <w:semiHidden/>
    <w:unhideWhenUsed/>
    <w:rsid w:val="00837DC4"/>
    <w:rPr>
      <w:color w:val="605E5C"/>
      <w:shd w:val="clear" w:color="auto" w:fill="E1DFDD"/>
    </w:rPr>
  </w:style>
  <w:style w:type="character" w:styleId="Hipervnculovisitado">
    <w:name w:val="FollowedHyperlink"/>
    <w:basedOn w:val="Fuentedeprrafopredeter"/>
    <w:uiPriority w:val="99"/>
    <w:semiHidden/>
    <w:unhideWhenUsed/>
    <w:rsid w:val="000E4AE0"/>
    <w:rPr>
      <w:color w:val="954F72" w:themeColor="followedHyperlink"/>
      <w:u w:val="single"/>
    </w:rPr>
  </w:style>
  <w:style w:type="character" w:styleId="Mencinsinresolver2" w:customStyle="1">
    <w:name w:val="Mención sin resolver2"/>
    <w:basedOn w:val="Fuentedeprrafopredeter"/>
    <w:uiPriority w:val="99"/>
    <w:semiHidden/>
    <w:unhideWhenUsed/>
    <w:rsid w:val="00797A4D"/>
    <w:rPr>
      <w:color w:val="605E5C"/>
      <w:shd w:val="clear" w:color="auto" w:fill="E1DFDD"/>
    </w:rPr>
  </w:style>
  <w:style w:type="character" w:styleId="Textoennegrita">
    <w:name w:val="Strong"/>
    <w:basedOn w:val="Fuentedeprrafopredeter"/>
    <w:uiPriority w:val="22"/>
    <w:qFormat/>
    <w:rsid w:val="001C6F73"/>
    <w:rPr>
      <w:b/>
      <w:bCs/>
    </w:rPr>
  </w:style>
  <w:style w:type="character" w:styleId="UnresolvedMention" w:customStyle="1">
    <w:name w:val="Unresolved Mention"/>
    <w:basedOn w:val="Fuentedeprrafopredeter"/>
    <w:uiPriority w:val="99"/>
    <w:semiHidden/>
    <w:unhideWhenUsed/>
    <w:rsid w:val="001A1A6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14218">
      <w:bodyDiv w:val="1"/>
      <w:marLeft w:val="0"/>
      <w:marRight w:val="0"/>
      <w:marTop w:val="0"/>
      <w:marBottom w:val="0"/>
      <w:divBdr>
        <w:top w:val="none" w:sz="0" w:space="0" w:color="auto"/>
        <w:left w:val="none" w:sz="0" w:space="0" w:color="auto"/>
        <w:bottom w:val="none" w:sz="0" w:space="0" w:color="auto"/>
        <w:right w:val="none" w:sz="0" w:space="0" w:color="auto"/>
      </w:divBdr>
    </w:div>
    <w:div w:id="39599850">
      <w:bodyDiv w:val="1"/>
      <w:marLeft w:val="0"/>
      <w:marRight w:val="0"/>
      <w:marTop w:val="0"/>
      <w:marBottom w:val="0"/>
      <w:divBdr>
        <w:top w:val="none" w:sz="0" w:space="0" w:color="auto"/>
        <w:left w:val="none" w:sz="0" w:space="0" w:color="auto"/>
        <w:bottom w:val="none" w:sz="0" w:space="0" w:color="auto"/>
        <w:right w:val="none" w:sz="0" w:space="0" w:color="auto"/>
      </w:divBdr>
    </w:div>
    <w:div w:id="65885824">
      <w:bodyDiv w:val="1"/>
      <w:marLeft w:val="0"/>
      <w:marRight w:val="0"/>
      <w:marTop w:val="0"/>
      <w:marBottom w:val="0"/>
      <w:divBdr>
        <w:top w:val="none" w:sz="0" w:space="0" w:color="auto"/>
        <w:left w:val="none" w:sz="0" w:space="0" w:color="auto"/>
        <w:bottom w:val="none" w:sz="0" w:space="0" w:color="auto"/>
        <w:right w:val="none" w:sz="0" w:space="0" w:color="auto"/>
      </w:divBdr>
    </w:div>
    <w:div w:id="93287888">
      <w:bodyDiv w:val="1"/>
      <w:marLeft w:val="0"/>
      <w:marRight w:val="0"/>
      <w:marTop w:val="0"/>
      <w:marBottom w:val="0"/>
      <w:divBdr>
        <w:top w:val="none" w:sz="0" w:space="0" w:color="auto"/>
        <w:left w:val="none" w:sz="0" w:space="0" w:color="auto"/>
        <w:bottom w:val="none" w:sz="0" w:space="0" w:color="auto"/>
        <w:right w:val="none" w:sz="0" w:space="0" w:color="auto"/>
      </w:divBdr>
    </w:div>
    <w:div w:id="104202495">
      <w:bodyDiv w:val="1"/>
      <w:marLeft w:val="0"/>
      <w:marRight w:val="0"/>
      <w:marTop w:val="0"/>
      <w:marBottom w:val="0"/>
      <w:divBdr>
        <w:top w:val="none" w:sz="0" w:space="0" w:color="auto"/>
        <w:left w:val="none" w:sz="0" w:space="0" w:color="auto"/>
        <w:bottom w:val="none" w:sz="0" w:space="0" w:color="auto"/>
        <w:right w:val="none" w:sz="0" w:space="0" w:color="auto"/>
      </w:divBdr>
    </w:div>
    <w:div w:id="218595316">
      <w:bodyDiv w:val="1"/>
      <w:marLeft w:val="0"/>
      <w:marRight w:val="0"/>
      <w:marTop w:val="0"/>
      <w:marBottom w:val="0"/>
      <w:divBdr>
        <w:top w:val="none" w:sz="0" w:space="0" w:color="auto"/>
        <w:left w:val="none" w:sz="0" w:space="0" w:color="auto"/>
        <w:bottom w:val="none" w:sz="0" w:space="0" w:color="auto"/>
        <w:right w:val="none" w:sz="0" w:space="0" w:color="auto"/>
      </w:divBdr>
    </w:div>
    <w:div w:id="317462466">
      <w:bodyDiv w:val="1"/>
      <w:marLeft w:val="0"/>
      <w:marRight w:val="0"/>
      <w:marTop w:val="0"/>
      <w:marBottom w:val="0"/>
      <w:divBdr>
        <w:top w:val="none" w:sz="0" w:space="0" w:color="auto"/>
        <w:left w:val="none" w:sz="0" w:space="0" w:color="auto"/>
        <w:bottom w:val="none" w:sz="0" w:space="0" w:color="auto"/>
        <w:right w:val="none" w:sz="0" w:space="0" w:color="auto"/>
      </w:divBdr>
    </w:div>
    <w:div w:id="323628964">
      <w:bodyDiv w:val="1"/>
      <w:marLeft w:val="0"/>
      <w:marRight w:val="0"/>
      <w:marTop w:val="0"/>
      <w:marBottom w:val="0"/>
      <w:divBdr>
        <w:top w:val="none" w:sz="0" w:space="0" w:color="auto"/>
        <w:left w:val="none" w:sz="0" w:space="0" w:color="auto"/>
        <w:bottom w:val="none" w:sz="0" w:space="0" w:color="auto"/>
        <w:right w:val="none" w:sz="0" w:space="0" w:color="auto"/>
      </w:divBdr>
    </w:div>
    <w:div w:id="330521772">
      <w:bodyDiv w:val="1"/>
      <w:marLeft w:val="0"/>
      <w:marRight w:val="0"/>
      <w:marTop w:val="0"/>
      <w:marBottom w:val="0"/>
      <w:divBdr>
        <w:top w:val="none" w:sz="0" w:space="0" w:color="auto"/>
        <w:left w:val="none" w:sz="0" w:space="0" w:color="auto"/>
        <w:bottom w:val="none" w:sz="0" w:space="0" w:color="auto"/>
        <w:right w:val="none" w:sz="0" w:space="0" w:color="auto"/>
      </w:divBdr>
    </w:div>
    <w:div w:id="338046936">
      <w:bodyDiv w:val="1"/>
      <w:marLeft w:val="0"/>
      <w:marRight w:val="0"/>
      <w:marTop w:val="0"/>
      <w:marBottom w:val="0"/>
      <w:divBdr>
        <w:top w:val="none" w:sz="0" w:space="0" w:color="auto"/>
        <w:left w:val="none" w:sz="0" w:space="0" w:color="auto"/>
        <w:bottom w:val="none" w:sz="0" w:space="0" w:color="auto"/>
        <w:right w:val="none" w:sz="0" w:space="0" w:color="auto"/>
      </w:divBdr>
    </w:div>
    <w:div w:id="386298559">
      <w:bodyDiv w:val="1"/>
      <w:marLeft w:val="0"/>
      <w:marRight w:val="0"/>
      <w:marTop w:val="0"/>
      <w:marBottom w:val="0"/>
      <w:divBdr>
        <w:top w:val="none" w:sz="0" w:space="0" w:color="auto"/>
        <w:left w:val="none" w:sz="0" w:space="0" w:color="auto"/>
        <w:bottom w:val="none" w:sz="0" w:space="0" w:color="auto"/>
        <w:right w:val="none" w:sz="0" w:space="0" w:color="auto"/>
      </w:divBdr>
    </w:div>
    <w:div w:id="402797212">
      <w:bodyDiv w:val="1"/>
      <w:marLeft w:val="0"/>
      <w:marRight w:val="0"/>
      <w:marTop w:val="0"/>
      <w:marBottom w:val="0"/>
      <w:divBdr>
        <w:top w:val="none" w:sz="0" w:space="0" w:color="auto"/>
        <w:left w:val="none" w:sz="0" w:space="0" w:color="auto"/>
        <w:bottom w:val="none" w:sz="0" w:space="0" w:color="auto"/>
        <w:right w:val="none" w:sz="0" w:space="0" w:color="auto"/>
      </w:divBdr>
    </w:div>
    <w:div w:id="492448525">
      <w:bodyDiv w:val="1"/>
      <w:marLeft w:val="0"/>
      <w:marRight w:val="0"/>
      <w:marTop w:val="0"/>
      <w:marBottom w:val="0"/>
      <w:divBdr>
        <w:top w:val="none" w:sz="0" w:space="0" w:color="auto"/>
        <w:left w:val="none" w:sz="0" w:space="0" w:color="auto"/>
        <w:bottom w:val="none" w:sz="0" w:space="0" w:color="auto"/>
        <w:right w:val="none" w:sz="0" w:space="0" w:color="auto"/>
      </w:divBdr>
    </w:div>
    <w:div w:id="538467800">
      <w:bodyDiv w:val="1"/>
      <w:marLeft w:val="0"/>
      <w:marRight w:val="0"/>
      <w:marTop w:val="0"/>
      <w:marBottom w:val="0"/>
      <w:divBdr>
        <w:top w:val="none" w:sz="0" w:space="0" w:color="auto"/>
        <w:left w:val="none" w:sz="0" w:space="0" w:color="auto"/>
        <w:bottom w:val="none" w:sz="0" w:space="0" w:color="auto"/>
        <w:right w:val="none" w:sz="0" w:space="0" w:color="auto"/>
      </w:divBdr>
    </w:div>
    <w:div w:id="578755040">
      <w:bodyDiv w:val="1"/>
      <w:marLeft w:val="0"/>
      <w:marRight w:val="0"/>
      <w:marTop w:val="0"/>
      <w:marBottom w:val="0"/>
      <w:divBdr>
        <w:top w:val="none" w:sz="0" w:space="0" w:color="auto"/>
        <w:left w:val="none" w:sz="0" w:space="0" w:color="auto"/>
        <w:bottom w:val="none" w:sz="0" w:space="0" w:color="auto"/>
        <w:right w:val="none" w:sz="0" w:space="0" w:color="auto"/>
      </w:divBdr>
    </w:div>
    <w:div w:id="683555350">
      <w:bodyDiv w:val="1"/>
      <w:marLeft w:val="0"/>
      <w:marRight w:val="0"/>
      <w:marTop w:val="0"/>
      <w:marBottom w:val="0"/>
      <w:divBdr>
        <w:top w:val="none" w:sz="0" w:space="0" w:color="auto"/>
        <w:left w:val="none" w:sz="0" w:space="0" w:color="auto"/>
        <w:bottom w:val="none" w:sz="0" w:space="0" w:color="auto"/>
        <w:right w:val="none" w:sz="0" w:space="0" w:color="auto"/>
      </w:divBdr>
    </w:div>
    <w:div w:id="689574042">
      <w:bodyDiv w:val="1"/>
      <w:marLeft w:val="0"/>
      <w:marRight w:val="0"/>
      <w:marTop w:val="0"/>
      <w:marBottom w:val="0"/>
      <w:divBdr>
        <w:top w:val="none" w:sz="0" w:space="0" w:color="auto"/>
        <w:left w:val="none" w:sz="0" w:space="0" w:color="auto"/>
        <w:bottom w:val="none" w:sz="0" w:space="0" w:color="auto"/>
        <w:right w:val="none" w:sz="0" w:space="0" w:color="auto"/>
      </w:divBdr>
    </w:div>
    <w:div w:id="841161007">
      <w:bodyDiv w:val="1"/>
      <w:marLeft w:val="0"/>
      <w:marRight w:val="0"/>
      <w:marTop w:val="0"/>
      <w:marBottom w:val="0"/>
      <w:divBdr>
        <w:top w:val="none" w:sz="0" w:space="0" w:color="auto"/>
        <w:left w:val="none" w:sz="0" w:space="0" w:color="auto"/>
        <w:bottom w:val="none" w:sz="0" w:space="0" w:color="auto"/>
        <w:right w:val="none" w:sz="0" w:space="0" w:color="auto"/>
      </w:divBdr>
    </w:div>
    <w:div w:id="947590116">
      <w:bodyDiv w:val="1"/>
      <w:marLeft w:val="0"/>
      <w:marRight w:val="0"/>
      <w:marTop w:val="0"/>
      <w:marBottom w:val="0"/>
      <w:divBdr>
        <w:top w:val="none" w:sz="0" w:space="0" w:color="auto"/>
        <w:left w:val="none" w:sz="0" w:space="0" w:color="auto"/>
        <w:bottom w:val="none" w:sz="0" w:space="0" w:color="auto"/>
        <w:right w:val="none" w:sz="0" w:space="0" w:color="auto"/>
      </w:divBdr>
    </w:div>
    <w:div w:id="1091582781">
      <w:bodyDiv w:val="1"/>
      <w:marLeft w:val="0"/>
      <w:marRight w:val="0"/>
      <w:marTop w:val="0"/>
      <w:marBottom w:val="0"/>
      <w:divBdr>
        <w:top w:val="none" w:sz="0" w:space="0" w:color="auto"/>
        <w:left w:val="none" w:sz="0" w:space="0" w:color="auto"/>
        <w:bottom w:val="none" w:sz="0" w:space="0" w:color="auto"/>
        <w:right w:val="none" w:sz="0" w:space="0" w:color="auto"/>
      </w:divBdr>
    </w:div>
    <w:div w:id="1097287343">
      <w:bodyDiv w:val="1"/>
      <w:marLeft w:val="0"/>
      <w:marRight w:val="0"/>
      <w:marTop w:val="0"/>
      <w:marBottom w:val="0"/>
      <w:divBdr>
        <w:top w:val="none" w:sz="0" w:space="0" w:color="auto"/>
        <w:left w:val="none" w:sz="0" w:space="0" w:color="auto"/>
        <w:bottom w:val="none" w:sz="0" w:space="0" w:color="auto"/>
        <w:right w:val="none" w:sz="0" w:space="0" w:color="auto"/>
      </w:divBdr>
    </w:div>
    <w:div w:id="1103692615">
      <w:bodyDiv w:val="1"/>
      <w:marLeft w:val="0"/>
      <w:marRight w:val="0"/>
      <w:marTop w:val="0"/>
      <w:marBottom w:val="0"/>
      <w:divBdr>
        <w:top w:val="none" w:sz="0" w:space="0" w:color="auto"/>
        <w:left w:val="none" w:sz="0" w:space="0" w:color="auto"/>
        <w:bottom w:val="none" w:sz="0" w:space="0" w:color="auto"/>
        <w:right w:val="none" w:sz="0" w:space="0" w:color="auto"/>
      </w:divBdr>
    </w:div>
    <w:div w:id="1189686220">
      <w:bodyDiv w:val="1"/>
      <w:marLeft w:val="0"/>
      <w:marRight w:val="0"/>
      <w:marTop w:val="0"/>
      <w:marBottom w:val="0"/>
      <w:divBdr>
        <w:top w:val="none" w:sz="0" w:space="0" w:color="auto"/>
        <w:left w:val="none" w:sz="0" w:space="0" w:color="auto"/>
        <w:bottom w:val="none" w:sz="0" w:space="0" w:color="auto"/>
        <w:right w:val="none" w:sz="0" w:space="0" w:color="auto"/>
      </w:divBdr>
    </w:div>
    <w:div w:id="1236815966">
      <w:bodyDiv w:val="1"/>
      <w:marLeft w:val="0"/>
      <w:marRight w:val="0"/>
      <w:marTop w:val="0"/>
      <w:marBottom w:val="0"/>
      <w:divBdr>
        <w:top w:val="none" w:sz="0" w:space="0" w:color="auto"/>
        <w:left w:val="none" w:sz="0" w:space="0" w:color="auto"/>
        <w:bottom w:val="none" w:sz="0" w:space="0" w:color="auto"/>
        <w:right w:val="none" w:sz="0" w:space="0" w:color="auto"/>
      </w:divBdr>
    </w:div>
    <w:div w:id="1247617088">
      <w:bodyDiv w:val="1"/>
      <w:marLeft w:val="0"/>
      <w:marRight w:val="0"/>
      <w:marTop w:val="0"/>
      <w:marBottom w:val="0"/>
      <w:divBdr>
        <w:top w:val="none" w:sz="0" w:space="0" w:color="auto"/>
        <w:left w:val="none" w:sz="0" w:space="0" w:color="auto"/>
        <w:bottom w:val="none" w:sz="0" w:space="0" w:color="auto"/>
        <w:right w:val="none" w:sz="0" w:space="0" w:color="auto"/>
      </w:divBdr>
    </w:div>
    <w:div w:id="1270821788">
      <w:bodyDiv w:val="1"/>
      <w:marLeft w:val="0"/>
      <w:marRight w:val="0"/>
      <w:marTop w:val="0"/>
      <w:marBottom w:val="0"/>
      <w:divBdr>
        <w:top w:val="none" w:sz="0" w:space="0" w:color="auto"/>
        <w:left w:val="none" w:sz="0" w:space="0" w:color="auto"/>
        <w:bottom w:val="none" w:sz="0" w:space="0" w:color="auto"/>
        <w:right w:val="none" w:sz="0" w:space="0" w:color="auto"/>
      </w:divBdr>
    </w:div>
    <w:div w:id="1316181000">
      <w:bodyDiv w:val="1"/>
      <w:marLeft w:val="0"/>
      <w:marRight w:val="0"/>
      <w:marTop w:val="0"/>
      <w:marBottom w:val="0"/>
      <w:divBdr>
        <w:top w:val="none" w:sz="0" w:space="0" w:color="auto"/>
        <w:left w:val="none" w:sz="0" w:space="0" w:color="auto"/>
        <w:bottom w:val="none" w:sz="0" w:space="0" w:color="auto"/>
        <w:right w:val="none" w:sz="0" w:space="0" w:color="auto"/>
      </w:divBdr>
    </w:div>
    <w:div w:id="1335836703">
      <w:bodyDiv w:val="1"/>
      <w:marLeft w:val="0"/>
      <w:marRight w:val="0"/>
      <w:marTop w:val="0"/>
      <w:marBottom w:val="0"/>
      <w:divBdr>
        <w:top w:val="none" w:sz="0" w:space="0" w:color="auto"/>
        <w:left w:val="none" w:sz="0" w:space="0" w:color="auto"/>
        <w:bottom w:val="none" w:sz="0" w:space="0" w:color="auto"/>
        <w:right w:val="none" w:sz="0" w:space="0" w:color="auto"/>
      </w:divBdr>
    </w:div>
    <w:div w:id="1365132067">
      <w:bodyDiv w:val="1"/>
      <w:marLeft w:val="0"/>
      <w:marRight w:val="0"/>
      <w:marTop w:val="0"/>
      <w:marBottom w:val="0"/>
      <w:divBdr>
        <w:top w:val="none" w:sz="0" w:space="0" w:color="auto"/>
        <w:left w:val="none" w:sz="0" w:space="0" w:color="auto"/>
        <w:bottom w:val="none" w:sz="0" w:space="0" w:color="auto"/>
        <w:right w:val="none" w:sz="0" w:space="0" w:color="auto"/>
      </w:divBdr>
    </w:div>
    <w:div w:id="1391886216">
      <w:bodyDiv w:val="1"/>
      <w:marLeft w:val="0"/>
      <w:marRight w:val="0"/>
      <w:marTop w:val="0"/>
      <w:marBottom w:val="0"/>
      <w:divBdr>
        <w:top w:val="none" w:sz="0" w:space="0" w:color="auto"/>
        <w:left w:val="none" w:sz="0" w:space="0" w:color="auto"/>
        <w:bottom w:val="none" w:sz="0" w:space="0" w:color="auto"/>
        <w:right w:val="none" w:sz="0" w:space="0" w:color="auto"/>
      </w:divBdr>
    </w:div>
    <w:div w:id="1399596714">
      <w:bodyDiv w:val="1"/>
      <w:marLeft w:val="0"/>
      <w:marRight w:val="0"/>
      <w:marTop w:val="0"/>
      <w:marBottom w:val="0"/>
      <w:divBdr>
        <w:top w:val="none" w:sz="0" w:space="0" w:color="auto"/>
        <w:left w:val="none" w:sz="0" w:space="0" w:color="auto"/>
        <w:bottom w:val="none" w:sz="0" w:space="0" w:color="auto"/>
        <w:right w:val="none" w:sz="0" w:space="0" w:color="auto"/>
      </w:divBdr>
    </w:div>
    <w:div w:id="1482187224">
      <w:bodyDiv w:val="1"/>
      <w:marLeft w:val="0"/>
      <w:marRight w:val="0"/>
      <w:marTop w:val="0"/>
      <w:marBottom w:val="0"/>
      <w:divBdr>
        <w:top w:val="none" w:sz="0" w:space="0" w:color="auto"/>
        <w:left w:val="none" w:sz="0" w:space="0" w:color="auto"/>
        <w:bottom w:val="none" w:sz="0" w:space="0" w:color="auto"/>
        <w:right w:val="none" w:sz="0" w:space="0" w:color="auto"/>
      </w:divBdr>
    </w:div>
    <w:div w:id="1608082054">
      <w:bodyDiv w:val="1"/>
      <w:marLeft w:val="0"/>
      <w:marRight w:val="0"/>
      <w:marTop w:val="0"/>
      <w:marBottom w:val="0"/>
      <w:divBdr>
        <w:top w:val="none" w:sz="0" w:space="0" w:color="auto"/>
        <w:left w:val="none" w:sz="0" w:space="0" w:color="auto"/>
        <w:bottom w:val="none" w:sz="0" w:space="0" w:color="auto"/>
        <w:right w:val="none" w:sz="0" w:space="0" w:color="auto"/>
      </w:divBdr>
    </w:div>
    <w:div w:id="1762723589">
      <w:bodyDiv w:val="1"/>
      <w:marLeft w:val="0"/>
      <w:marRight w:val="0"/>
      <w:marTop w:val="0"/>
      <w:marBottom w:val="0"/>
      <w:divBdr>
        <w:top w:val="none" w:sz="0" w:space="0" w:color="auto"/>
        <w:left w:val="none" w:sz="0" w:space="0" w:color="auto"/>
        <w:bottom w:val="none" w:sz="0" w:space="0" w:color="auto"/>
        <w:right w:val="none" w:sz="0" w:space="0" w:color="auto"/>
      </w:divBdr>
    </w:div>
    <w:div w:id="1789158907">
      <w:bodyDiv w:val="1"/>
      <w:marLeft w:val="0"/>
      <w:marRight w:val="0"/>
      <w:marTop w:val="0"/>
      <w:marBottom w:val="0"/>
      <w:divBdr>
        <w:top w:val="none" w:sz="0" w:space="0" w:color="auto"/>
        <w:left w:val="none" w:sz="0" w:space="0" w:color="auto"/>
        <w:bottom w:val="none" w:sz="0" w:space="0" w:color="auto"/>
        <w:right w:val="none" w:sz="0" w:space="0" w:color="auto"/>
      </w:divBdr>
    </w:div>
    <w:div w:id="1958558843">
      <w:bodyDiv w:val="1"/>
      <w:marLeft w:val="0"/>
      <w:marRight w:val="0"/>
      <w:marTop w:val="0"/>
      <w:marBottom w:val="0"/>
      <w:divBdr>
        <w:top w:val="none" w:sz="0" w:space="0" w:color="auto"/>
        <w:left w:val="none" w:sz="0" w:space="0" w:color="auto"/>
        <w:bottom w:val="none" w:sz="0" w:space="0" w:color="auto"/>
        <w:right w:val="none" w:sz="0" w:space="0" w:color="auto"/>
      </w:divBdr>
    </w:div>
    <w:div w:id="1975403815">
      <w:bodyDiv w:val="1"/>
      <w:marLeft w:val="0"/>
      <w:marRight w:val="0"/>
      <w:marTop w:val="0"/>
      <w:marBottom w:val="0"/>
      <w:divBdr>
        <w:top w:val="none" w:sz="0" w:space="0" w:color="auto"/>
        <w:left w:val="none" w:sz="0" w:space="0" w:color="auto"/>
        <w:bottom w:val="none" w:sz="0" w:space="0" w:color="auto"/>
        <w:right w:val="none" w:sz="0" w:space="0" w:color="auto"/>
      </w:divBdr>
    </w:div>
    <w:div w:id="2046711869">
      <w:bodyDiv w:val="1"/>
      <w:marLeft w:val="0"/>
      <w:marRight w:val="0"/>
      <w:marTop w:val="0"/>
      <w:marBottom w:val="0"/>
      <w:divBdr>
        <w:top w:val="none" w:sz="0" w:space="0" w:color="auto"/>
        <w:left w:val="none" w:sz="0" w:space="0" w:color="auto"/>
        <w:bottom w:val="none" w:sz="0" w:space="0" w:color="auto"/>
        <w:right w:val="none" w:sz="0" w:space="0" w:color="auto"/>
      </w:divBdr>
    </w:div>
    <w:div w:id="2047177800">
      <w:bodyDiv w:val="1"/>
      <w:marLeft w:val="0"/>
      <w:marRight w:val="0"/>
      <w:marTop w:val="0"/>
      <w:marBottom w:val="0"/>
      <w:divBdr>
        <w:top w:val="none" w:sz="0" w:space="0" w:color="auto"/>
        <w:left w:val="none" w:sz="0" w:space="0" w:color="auto"/>
        <w:bottom w:val="none" w:sz="0" w:space="0" w:color="auto"/>
        <w:right w:val="none" w:sz="0" w:space="0" w:color="auto"/>
      </w:divBdr>
    </w:div>
    <w:div w:id="2050103460">
      <w:bodyDiv w:val="1"/>
      <w:marLeft w:val="0"/>
      <w:marRight w:val="0"/>
      <w:marTop w:val="0"/>
      <w:marBottom w:val="0"/>
      <w:divBdr>
        <w:top w:val="none" w:sz="0" w:space="0" w:color="auto"/>
        <w:left w:val="none" w:sz="0" w:space="0" w:color="auto"/>
        <w:bottom w:val="none" w:sz="0" w:space="0" w:color="auto"/>
        <w:right w:val="none" w:sz="0" w:space="0" w:color="auto"/>
      </w:divBdr>
    </w:div>
    <w:div w:id="2060200184">
      <w:bodyDiv w:val="1"/>
      <w:marLeft w:val="0"/>
      <w:marRight w:val="0"/>
      <w:marTop w:val="0"/>
      <w:marBottom w:val="0"/>
      <w:divBdr>
        <w:top w:val="none" w:sz="0" w:space="0" w:color="auto"/>
        <w:left w:val="none" w:sz="0" w:space="0" w:color="auto"/>
        <w:bottom w:val="none" w:sz="0" w:space="0" w:color="auto"/>
        <w:right w:val="none" w:sz="0" w:space="0" w:color="auto"/>
      </w:divBdr>
    </w:div>
    <w:div w:id="2065643878">
      <w:bodyDiv w:val="1"/>
      <w:marLeft w:val="0"/>
      <w:marRight w:val="0"/>
      <w:marTop w:val="0"/>
      <w:marBottom w:val="0"/>
      <w:divBdr>
        <w:top w:val="none" w:sz="0" w:space="0" w:color="auto"/>
        <w:left w:val="none" w:sz="0" w:space="0" w:color="auto"/>
        <w:bottom w:val="none" w:sz="0" w:space="0" w:color="auto"/>
        <w:right w:val="none" w:sz="0" w:space="0" w:color="auto"/>
      </w:divBdr>
    </w:div>
    <w:div w:id="214276723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&#65279;<?xml version="1.0" encoding="utf-8"?><Relationships xmlns="http://schemas.openxmlformats.org/package/2006/relationships"><Relationship Type="http://schemas.openxmlformats.org/officeDocument/2006/relationships/package" Target="embeddings/Documento_de_Microsoft_Word1.docx" Id="rId8" /><Relationship Type="http://schemas.openxmlformats.org/officeDocument/2006/relationships/hyperlink" Target="https://www.ipomex.org.mx/ipo3/lgt/portal.web" TargetMode="External" Id="rId13" /><Relationship Type="http://schemas.openxmlformats.org/officeDocument/2006/relationships/image" Target="media/image9.png" Id="rId18" /><Relationship Type="http://schemas.openxmlformats.org/officeDocument/2006/relationships/theme" Target="theme/theme1.xml" Id="rId26" /><Relationship Type="http://schemas.openxmlformats.org/officeDocument/2006/relationships/settings" Target="settings.xml" Id="rId3" /><Relationship Type="http://schemas.openxmlformats.org/officeDocument/2006/relationships/footer" Target="footer1.xml" Id="rId21" /><Relationship Type="http://schemas.openxmlformats.org/officeDocument/2006/relationships/image" Target="media/image1.emf" Id="rId7" /><Relationship Type="http://schemas.openxmlformats.org/officeDocument/2006/relationships/image" Target="media/image4.png" Id="rId12" /><Relationship Type="http://schemas.openxmlformats.org/officeDocument/2006/relationships/image" Target="media/image8.png" Id="rId17" /><Relationship Type="http://schemas.openxmlformats.org/officeDocument/2006/relationships/fontTable" Target="fontTable.xml" Id="rId25" /><Relationship Type="http://schemas.openxmlformats.org/officeDocument/2006/relationships/styles" Target="styles.xml" Id="rId2" /><Relationship Type="http://schemas.openxmlformats.org/officeDocument/2006/relationships/image" Target="media/image7.png" Id="rId16" /><Relationship Type="http://schemas.openxmlformats.org/officeDocument/2006/relationships/header" Target="header2.xml" Id="rId20"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image" Target="media/image3.png" Id="rId11" /><Relationship Type="http://schemas.openxmlformats.org/officeDocument/2006/relationships/footer" Target="footer3.xml" Id="rId24" /><Relationship Type="http://schemas.openxmlformats.org/officeDocument/2006/relationships/footnotes" Target="footnotes.xml" Id="rId5" /><Relationship Type="http://schemas.openxmlformats.org/officeDocument/2006/relationships/image" Target="media/image6.png" Id="rId15" /><Relationship Type="http://schemas.openxmlformats.org/officeDocument/2006/relationships/header" Target="header3.xml" Id="rId23" /><Relationship Type="http://schemas.openxmlformats.org/officeDocument/2006/relationships/hyperlink" Target="https://www.ipomex.org.mx/ipo3/lgt/portal.web" TargetMode="External" Id="rId10" /><Relationship Type="http://schemas.openxmlformats.org/officeDocument/2006/relationships/header" Target="header1.xml" Id="rId19" /><Relationship Type="http://schemas.openxmlformats.org/officeDocument/2006/relationships/webSettings" Target="webSettings.xml" Id="rId4" /><Relationship Type="http://schemas.openxmlformats.org/officeDocument/2006/relationships/image" Target="media/image2.png" Id="rId9" /><Relationship Type="http://schemas.openxmlformats.org/officeDocument/2006/relationships/image" Target="media/image5.png" Id="rId14" /><Relationship Type="http://schemas.openxmlformats.org/officeDocument/2006/relationships/footer" Target="footer2.xml" Id="rId22" /><Relationship Type="http://schemas.openxmlformats.org/officeDocument/2006/relationships/glossaryDocument" Target="glossary/document.xml" Id="R115ea1e824eb4978" /></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_rels/header2.xml.rels><?xml version="1.0" encoding="UTF-8" standalone="yes"?>
<Relationships xmlns="http://schemas.openxmlformats.org/package/2006/relationships"><Relationship Id="rId1" Type="http://schemas.openxmlformats.org/officeDocument/2006/relationships/image" Target="media/image10.jpeg"/></Relationships>
</file>

<file path=word/_rels/header3.xml.rels><?xml version="1.0" encoding="UTF-8" standalone="yes"?>
<Relationships xmlns="http://schemas.openxmlformats.org/package/2006/relationships"><Relationship Id="rId1" Type="http://schemas.openxmlformats.org/officeDocument/2006/relationships/image" Target="media/image10.jpeg"/></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628d96e1-3642-4a21-8dad-dd3bc6092f52}"/>
      </w:docPartPr>
      <w:docPartBody>
        <w:p w14:paraId="169819F8">
          <w:r>
            <w:rPr>
              <w:rStyle w:val="PlaceholderText"/>
            </w:rPr>
            <w:t/>
          </w:r>
        </w:p>
      </w:docPartBody>
    </w:docPart>
  </w:docParts>
</w:glossaryDocument>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IVAN PEÑA VARA</dc:creator>
  <keywords/>
  <dc:description/>
  <lastModifiedBy>Usuario invitado</lastModifiedBy>
  <revision>5</revision>
  <dcterms:created xsi:type="dcterms:W3CDTF">2023-01-26T00:54:00.0000000Z</dcterms:created>
  <dcterms:modified xsi:type="dcterms:W3CDTF">2023-03-09T15:42:40.1807048Z</dcterms:modified>
</coreProperties>
</file>