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25210"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C92C90">
        <w:rPr>
          <w:rFonts w:ascii="Palatino Linotype" w:eastAsia="Palatino Linotype" w:hAnsi="Palatino Linotype" w:cs="Palatino Linotype"/>
          <w:b/>
        </w:rPr>
        <w:t>doce de julio de dos mil veintitrés</w:t>
      </w:r>
      <w:r w:rsidRPr="00C92C90">
        <w:rPr>
          <w:rFonts w:ascii="Palatino Linotype" w:eastAsia="Palatino Linotype" w:hAnsi="Palatino Linotype" w:cs="Palatino Linotype"/>
        </w:rPr>
        <w:t xml:space="preserve">. </w:t>
      </w:r>
    </w:p>
    <w:p w14:paraId="050310D9" w14:textId="6022CDCE"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Visto</w:t>
      </w:r>
      <w:r w:rsidRPr="00C92C90">
        <w:rPr>
          <w:rFonts w:ascii="Palatino Linotype" w:eastAsia="Palatino Linotype" w:hAnsi="Palatino Linotype" w:cs="Palatino Linotype"/>
        </w:rPr>
        <w:t xml:space="preserve"> el expediente formado con motivo del recurso de revisión </w:t>
      </w:r>
      <w:r w:rsidRPr="00C92C90">
        <w:rPr>
          <w:rFonts w:ascii="Palatino Linotype" w:eastAsia="Palatino Linotype" w:hAnsi="Palatino Linotype" w:cs="Palatino Linotype"/>
          <w:b/>
        </w:rPr>
        <w:t>00534/INFOEM/IP/RR/2023</w:t>
      </w:r>
      <w:r w:rsidRPr="00C92C90">
        <w:rPr>
          <w:rFonts w:ascii="Palatino Linotype" w:eastAsia="Palatino Linotype" w:hAnsi="Palatino Linotype" w:cs="Palatino Linotype"/>
        </w:rPr>
        <w:t>, por interpuesto por</w:t>
      </w:r>
      <w:r w:rsidRPr="00C92C90">
        <w:rPr>
          <w:rFonts w:ascii="Palatino Linotype" w:eastAsia="Palatino Linotype" w:hAnsi="Palatino Linotype" w:cs="Palatino Linotype"/>
          <w:b/>
        </w:rPr>
        <w:t xml:space="preserve"> </w:t>
      </w:r>
      <w:r w:rsidR="00A53F4B">
        <w:rPr>
          <w:rFonts w:ascii="Palatino Linotype" w:eastAsia="Palatino Linotype" w:hAnsi="Palatino Linotype" w:cs="Palatino Linotype"/>
          <w:b/>
        </w:rPr>
        <w:t>XXXXXX XXXXX</w:t>
      </w:r>
      <w:r w:rsidRPr="00C92C90">
        <w:rPr>
          <w:rFonts w:ascii="Palatino Linotype" w:eastAsia="Palatino Linotype" w:hAnsi="Palatino Linotype" w:cs="Palatino Linotype"/>
        </w:rPr>
        <w:t xml:space="preserve">, en lo sucesivo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en contra de la falta de respuesta a su solicitud por parte del </w:t>
      </w:r>
      <w:r w:rsidRPr="00C92C90">
        <w:rPr>
          <w:rFonts w:ascii="Palatino Linotype" w:eastAsia="Palatino Linotype" w:hAnsi="Palatino Linotype" w:cs="Palatino Linotype"/>
          <w:b/>
        </w:rPr>
        <w:t xml:space="preserve">Ayuntamiento de Ixtapaluca, </w:t>
      </w:r>
      <w:r w:rsidRPr="00C92C90">
        <w:rPr>
          <w:rFonts w:ascii="Palatino Linotype" w:eastAsia="Palatino Linotype" w:hAnsi="Palatino Linotype" w:cs="Palatino Linotype"/>
        </w:rPr>
        <w:t xml:space="preserve">en lo sucesivo el </w:t>
      </w:r>
      <w:r w:rsidRPr="00C92C90">
        <w:rPr>
          <w:rFonts w:ascii="Palatino Linotype" w:eastAsia="Palatino Linotype" w:hAnsi="Palatino Linotype" w:cs="Palatino Linotype"/>
          <w:b/>
        </w:rPr>
        <w:t xml:space="preserve">Sujeto Obligado, </w:t>
      </w:r>
      <w:r w:rsidRPr="00C92C90">
        <w:rPr>
          <w:rFonts w:ascii="Palatino Linotype" w:eastAsia="Palatino Linotype" w:hAnsi="Palatino Linotype" w:cs="Palatino Linotype"/>
        </w:rPr>
        <w:t xml:space="preserve">se procede a dictar la presente resolución con base en los siguientes: </w:t>
      </w:r>
    </w:p>
    <w:p w14:paraId="61AA10EC" w14:textId="77777777" w:rsidR="00DF14A7" w:rsidRPr="00C92C90" w:rsidRDefault="00E3414A">
      <w:pPr>
        <w:spacing w:before="240" w:after="240" w:line="360" w:lineRule="auto"/>
        <w:jc w:val="center"/>
        <w:rPr>
          <w:rFonts w:ascii="Palatino Linotype" w:eastAsia="Palatino Linotype" w:hAnsi="Palatino Linotype" w:cs="Palatino Linotype"/>
          <w:b/>
        </w:rPr>
      </w:pPr>
      <w:r w:rsidRPr="00C92C90">
        <w:rPr>
          <w:rFonts w:ascii="Palatino Linotype" w:eastAsia="Palatino Linotype" w:hAnsi="Palatino Linotype" w:cs="Palatino Linotype"/>
          <w:b/>
        </w:rPr>
        <w:t>I. A N T E C E D E N T E S</w:t>
      </w:r>
    </w:p>
    <w:p w14:paraId="5458217F"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1. Solicitud de acceso a la información.</w:t>
      </w:r>
      <w:r w:rsidRPr="00C92C90">
        <w:rPr>
          <w:rFonts w:ascii="Palatino Linotype" w:eastAsia="Palatino Linotype" w:hAnsi="Palatino Linotype" w:cs="Palatino Linotype"/>
        </w:rPr>
        <w:t xml:space="preserve"> El </w:t>
      </w:r>
      <w:r w:rsidRPr="00C92C90">
        <w:rPr>
          <w:rFonts w:ascii="Palatino Linotype" w:eastAsia="Palatino Linotype" w:hAnsi="Palatino Linotype" w:cs="Palatino Linotype"/>
          <w:b/>
        </w:rPr>
        <w:t>veintiuno de diciembre del dos mil veintidós,</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 xml:space="preserve">la parte Recurrente </w:t>
      </w:r>
      <w:r w:rsidRPr="00C92C90">
        <w:rPr>
          <w:rFonts w:ascii="Palatino Linotype" w:eastAsia="Palatino Linotype" w:hAnsi="Palatino Linotype" w:cs="Palatino Linotype"/>
        </w:rPr>
        <w:t xml:space="preserve">presentó, a través del Sistema de Acceso a la Información Mexiquense, en lo subsecuente el </w:t>
      </w:r>
      <w:r w:rsidRPr="00C92C90">
        <w:rPr>
          <w:rFonts w:ascii="Palatino Linotype" w:eastAsia="Palatino Linotype" w:hAnsi="Palatino Linotype" w:cs="Palatino Linotype"/>
          <w:b/>
        </w:rPr>
        <w:t>SAIMEX,</w:t>
      </w:r>
      <w:r w:rsidRPr="00C92C90">
        <w:rPr>
          <w:rFonts w:ascii="Palatino Linotype" w:eastAsia="Palatino Linotype" w:hAnsi="Palatino Linotype" w:cs="Palatino Linotype"/>
        </w:rPr>
        <w:t xml:space="preserve"> ante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la solicitud de acceso a la información pública, a la que se le asignó el número</w:t>
      </w:r>
      <w:r w:rsidRPr="00C92C90">
        <w:rPr>
          <w:rFonts w:ascii="Palatino Linotype" w:eastAsia="Palatino Linotype" w:hAnsi="Palatino Linotype" w:cs="Palatino Linotype"/>
          <w:b/>
        </w:rPr>
        <w:t xml:space="preserve"> 00436/IXTAPALU/IP/2022, </w:t>
      </w:r>
      <w:r w:rsidRPr="00C92C90">
        <w:rPr>
          <w:rFonts w:ascii="Palatino Linotype" w:eastAsia="Palatino Linotype" w:hAnsi="Palatino Linotype" w:cs="Palatino Linotype"/>
        </w:rPr>
        <w:t xml:space="preserve">mediante la cual requirió la información siguiente: </w:t>
      </w:r>
    </w:p>
    <w:p w14:paraId="5409F754" w14:textId="77777777" w:rsidR="00DF14A7" w:rsidRPr="00C92C90" w:rsidRDefault="00E3414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C92C90">
        <w:rPr>
          <w:rFonts w:ascii="Palatino Linotype" w:eastAsia="Palatino Linotype" w:hAnsi="Palatino Linotype" w:cs="Palatino Linotype"/>
          <w:i/>
          <w:sz w:val="22"/>
          <w:szCs w:val="22"/>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w:t>
      </w:r>
      <w:r w:rsidRPr="00C92C90">
        <w:rPr>
          <w:rFonts w:ascii="Palatino Linotype" w:eastAsia="Palatino Linotype" w:hAnsi="Palatino Linotype" w:cs="Palatino Linotype"/>
          <w:b/>
          <w:i/>
          <w:sz w:val="22"/>
          <w:szCs w:val="22"/>
          <w:u w:val="single"/>
        </w:rPr>
        <w:t xml:space="preserve">su entrega en versión publica y en formato PDF de lo que a continuación detallo: Del periodo del 01 de enero del 2022 a la fecha de la entrega de la información. Por el gasto y/o pago total de balizamientos y bacheos en </w:t>
      </w:r>
      <w:r w:rsidRPr="00C92C90">
        <w:rPr>
          <w:rFonts w:ascii="Palatino Linotype" w:eastAsia="Palatino Linotype" w:hAnsi="Palatino Linotype" w:cs="Palatino Linotype"/>
          <w:b/>
          <w:i/>
          <w:sz w:val="22"/>
          <w:szCs w:val="22"/>
          <w:u w:val="single"/>
        </w:rPr>
        <w:lastRenderedPageBreak/>
        <w:t>las vialidades del Municipio de forma individual y detallada: a) Nombre de la calle, colonia y/o población beneficiada b) Tipo y cantidad de material utilizado si fue balizamiento y/o bacheo de forma individual por calle c) Gasto y/o pago total de balizamiento y/o bacheo de forma individual por calle</w:t>
      </w:r>
      <w:r w:rsidRPr="00C92C90">
        <w:rPr>
          <w:rFonts w:ascii="Palatino Linotype" w:eastAsia="Palatino Linotype" w:hAnsi="Palatino Linotype" w:cs="Palatino Linotype"/>
          <w:i/>
          <w:sz w:val="22"/>
          <w:szCs w:val="22"/>
        </w:rPr>
        <w:t>” (Sic) (Énfasis añadido)</w:t>
      </w:r>
    </w:p>
    <w:p w14:paraId="1D622477" w14:textId="77777777" w:rsidR="00DF14A7" w:rsidRPr="00C92C90" w:rsidRDefault="00DF14A7">
      <w:pPr>
        <w:spacing w:line="360" w:lineRule="auto"/>
        <w:jc w:val="both"/>
        <w:rPr>
          <w:rFonts w:ascii="Palatino Linotype" w:eastAsia="Palatino Linotype" w:hAnsi="Palatino Linotype" w:cs="Palatino Linotype"/>
        </w:rPr>
      </w:pPr>
    </w:p>
    <w:p w14:paraId="591D9FA1"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Modalidad de Entrega:</w:t>
      </w:r>
      <w:r w:rsidRPr="00C92C90">
        <w:rPr>
          <w:rFonts w:ascii="Palatino Linotype" w:eastAsia="Palatino Linotype" w:hAnsi="Palatino Linotype" w:cs="Palatino Linotype"/>
        </w:rPr>
        <w:t xml:space="preserve"> A través de </w:t>
      </w:r>
      <w:r w:rsidRPr="00C92C90">
        <w:rPr>
          <w:rFonts w:ascii="Palatino Linotype" w:eastAsia="Palatino Linotype" w:hAnsi="Palatino Linotype" w:cs="Palatino Linotype"/>
          <w:b/>
        </w:rPr>
        <w:t>SAIMEX</w:t>
      </w:r>
      <w:r w:rsidRPr="00C92C90">
        <w:rPr>
          <w:rFonts w:ascii="Palatino Linotype" w:eastAsia="Palatino Linotype" w:hAnsi="Palatino Linotype" w:cs="Palatino Linotype"/>
        </w:rPr>
        <w:t>.</w:t>
      </w:r>
    </w:p>
    <w:p w14:paraId="6081B861" w14:textId="77777777" w:rsidR="00DF14A7" w:rsidRPr="00C92C90" w:rsidRDefault="00DF14A7">
      <w:pPr>
        <w:spacing w:line="360" w:lineRule="auto"/>
        <w:jc w:val="both"/>
        <w:rPr>
          <w:rFonts w:ascii="Palatino Linotype" w:eastAsia="Palatino Linotype" w:hAnsi="Palatino Linotype" w:cs="Palatino Linotype"/>
        </w:rPr>
      </w:pPr>
    </w:p>
    <w:p w14:paraId="6B8B59B8" w14:textId="77777777" w:rsidR="00DF14A7" w:rsidRPr="00C92C90" w:rsidRDefault="00E3414A">
      <w:pPr>
        <w:pBdr>
          <w:top w:val="nil"/>
          <w:left w:val="nil"/>
          <w:bottom w:val="nil"/>
          <w:right w:val="nil"/>
          <w:between w:val="nil"/>
        </w:pBdr>
        <w:spacing w:line="360" w:lineRule="auto"/>
        <w:jc w:val="both"/>
        <w:rPr>
          <w:rFonts w:ascii="Palatino Linotype" w:eastAsia="Palatino Linotype" w:hAnsi="Palatino Linotype" w:cs="Palatino Linotype"/>
          <w:b/>
        </w:rPr>
      </w:pPr>
      <w:r w:rsidRPr="00C92C90">
        <w:rPr>
          <w:rFonts w:ascii="Palatino Linotype" w:eastAsia="Palatino Linotype" w:hAnsi="Palatino Linotype" w:cs="Palatino Linotype"/>
          <w:b/>
        </w:rPr>
        <w:t xml:space="preserve">2. Respuesta. </w:t>
      </w:r>
      <w:r w:rsidRPr="00C92C90">
        <w:rPr>
          <w:rFonts w:ascii="Palatino Linotype" w:eastAsia="Palatino Linotype" w:hAnsi="Palatino Linotype" w:cs="Palatino Linotype"/>
        </w:rPr>
        <w:t xml:space="preserve">De las constancias que obran en Sistema de Acceso a la Información Mexiquense, se observa que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no emitió respuesta a la solicitud de información formulada por la persona solicitante.</w:t>
      </w:r>
    </w:p>
    <w:p w14:paraId="5BFDEB0B" w14:textId="77777777" w:rsidR="00DF14A7" w:rsidRPr="00C92C90" w:rsidRDefault="00DF14A7">
      <w:pPr>
        <w:spacing w:after="240" w:line="360" w:lineRule="auto"/>
        <w:jc w:val="both"/>
        <w:rPr>
          <w:rFonts w:ascii="Palatino Linotype" w:eastAsia="Palatino Linotype" w:hAnsi="Palatino Linotype" w:cs="Palatino Linotype"/>
          <w:i/>
          <w:sz w:val="22"/>
          <w:szCs w:val="22"/>
        </w:rPr>
      </w:pPr>
    </w:p>
    <w:p w14:paraId="372EE0EF" w14:textId="77777777" w:rsidR="00DF14A7" w:rsidRPr="00C92C90" w:rsidRDefault="00E3414A">
      <w:pPr>
        <w:spacing w:after="240" w:line="360" w:lineRule="auto"/>
        <w:jc w:val="both"/>
        <w:rPr>
          <w:rFonts w:ascii="Palatino Linotype" w:eastAsia="Palatino Linotype" w:hAnsi="Palatino Linotype" w:cs="Palatino Linotype"/>
          <w:b/>
        </w:rPr>
      </w:pPr>
      <w:r w:rsidRPr="00C92C90">
        <w:rPr>
          <w:rFonts w:ascii="Palatino Linotype" w:eastAsia="Palatino Linotype" w:hAnsi="Palatino Linotype" w:cs="Palatino Linotype"/>
          <w:b/>
        </w:rPr>
        <w:t xml:space="preserve">3.- Interposición del recurso de revisión. </w:t>
      </w:r>
      <w:r w:rsidRPr="00C92C90">
        <w:rPr>
          <w:rFonts w:ascii="Palatino Linotype" w:eastAsia="Palatino Linotype" w:hAnsi="Palatino Linotype" w:cs="Palatino Linotype"/>
        </w:rPr>
        <w:t xml:space="preserve">Inconforme con los términos de la respuesta emitida por parte del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el </w:t>
      </w:r>
      <w:r w:rsidRPr="00C92C90">
        <w:rPr>
          <w:rFonts w:ascii="Palatino Linotype" w:eastAsia="Palatino Linotype" w:hAnsi="Palatino Linotype" w:cs="Palatino Linotype"/>
          <w:b/>
        </w:rPr>
        <w:t>treinta de enero de dos mil veintitrés,</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interpuso el recurso de revisión a través de </w:t>
      </w:r>
      <w:r w:rsidRPr="00C92C90">
        <w:rPr>
          <w:rFonts w:ascii="Palatino Linotype" w:eastAsia="Palatino Linotype" w:hAnsi="Palatino Linotype" w:cs="Palatino Linotype"/>
          <w:b/>
        </w:rPr>
        <w:t xml:space="preserve">SAIMEX, </w:t>
      </w:r>
      <w:r w:rsidRPr="00C92C90">
        <w:rPr>
          <w:rFonts w:ascii="Palatino Linotype" w:eastAsia="Palatino Linotype" w:hAnsi="Palatino Linotype" w:cs="Palatino Linotype"/>
        </w:rPr>
        <w:t>en donde se manifestó de la siguiente manera:</w:t>
      </w:r>
    </w:p>
    <w:p w14:paraId="1C7805CC" w14:textId="77777777" w:rsidR="00DF14A7" w:rsidRPr="00C92C90" w:rsidRDefault="00E3414A">
      <w:pPr>
        <w:tabs>
          <w:tab w:val="left" w:pos="2745"/>
        </w:tabs>
        <w:spacing w:before="240" w:after="240" w:line="360" w:lineRule="auto"/>
        <w:jc w:val="both"/>
        <w:rPr>
          <w:rFonts w:ascii="Palatino Linotype" w:eastAsia="Palatino Linotype" w:hAnsi="Palatino Linotype" w:cs="Palatino Linotype"/>
          <w:b/>
        </w:rPr>
      </w:pPr>
      <w:r w:rsidRPr="00C92C90">
        <w:rPr>
          <w:rFonts w:ascii="Palatino Linotype" w:eastAsia="Palatino Linotype" w:hAnsi="Palatino Linotype" w:cs="Palatino Linotype"/>
          <w:b/>
        </w:rPr>
        <w:t xml:space="preserve">a) Acto impugnado: </w:t>
      </w:r>
      <w:r w:rsidRPr="00C92C90">
        <w:rPr>
          <w:rFonts w:ascii="Palatino Linotype" w:eastAsia="Palatino Linotype" w:hAnsi="Palatino Linotype" w:cs="Palatino Linotype"/>
          <w:b/>
        </w:rPr>
        <w:tab/>
      </w:r>
    </w:p>
    <w:p w14:paraId="438315D6" w14:textId="77777777" w:rsidR="00DF14A7" w:rsidRPr="00C92C90" w:rsidRDefault="00E3414A">
      <w:pPr>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“Con fundamento en el artículos 176, 178 y 179 Fracciones I, II, III, IV y V de la Ley de Transparencia y Acceso a la Información Pública del Estado de México y Municipios, La negativa por parte del Sujeto Obligado para la entrega de la información” (Sic)</w:t>
      </w:r>
    </w:p>
    <w:p w14:paraId="16E98B76" w14:textId="77777777" w:rsidR="00DF14A7" w:rsidRPr="00C92C90" w:rsidRDefault="00DF14A7">
      <w:pPr>
        <w:ind w:left="851" w:right="902"/>
        <w:jc w:val="both"/>
        <w:rPr>
          <w:rFonts w:ascii="Palatino Linotype" w:eastAsia="Palatino Linotype" w:hAnsi="Palatino Linotype" w:cs="Palatino Linotype"/>
          <w:i/>
          <w:sz w:val="22"/>
          <w:szCs w:val="22"/>
        </w:rPr>
      </w:pPr>
    </w:p>
    <w:p w14:paraId="1897E3BE"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b) Razones o motivos de inconformidad</w:t>
      </w:r>
      <w:r w:rsidRPr="00C92C90">
        <w:rPr>
          <w:rFonts w:ascii="Palatino Linotype" w:eastAsia="Palatino Linotype" w:hAnsi="Palatino Linotype" w:cs="Palatino Linotype"/>
        </w:rPr>
        <w:t>:</w:t>
      </w:r>
    </w:p>
    <w:p w14:paraId="1608BA81" w14:textId="77777777" w:rsidR="00DF14A7" w:rsidRPr="00C92C90" w:rsidRDefault="00E3414A">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C92C90">
        <w:rPr>
          <w:rFonts w:ascii="Palatino Linotype" w:eastAsia="Palatino Linotype" w:hAnsi="Palatino Linotype" w:cs="Palatino Linotype"/>
          <w:i/>
          <w:sz w:val="22"/>
          <w:szCs w:val="22"/>
        </w:rPr>
        <w:t xml:space="preserve"> “Con fundamento en el artículos 176, 178 y 179 Fracciones I, II, III, IV y V de la Ley de Transparencia y Acceso a la Información Pública del Estado de México y Municipios, La negativa por parte del Sujeto Obligado para la entrega de la información” (Sic) </w:t>
      </w:r>
    </w:p>
    <w:p w14:paraId="67E7AF77" w14:textId="77777777" w:rsidR="00DF14A7" w:rsidRPr="00C92C90" w:rsidRDefault="00DF14A7">
      <w:pPr>
        <w:ind w:left="567" w:right="902"/>
        <w:jc w:val="both"/>
        <w:rPr>
          <w:rFonts w:ascii="Palatino Linotype" w:eastAsia="Palatino Linotype" w:hAnsi="Palatino Linotype" w:cs="Palatino Linotype"/>
          <w:i/>
          <w:sz w:val="22"/>
          <w:szCs w:val="22"/>
        </w:rPr>
      </w:pPr>
    </w:p>
    <w:p w14:paraId="3E4368CF" w14:textId="77777777" w:rsidR="00DF14A7" w:rsidRPr="00C92C90" w:rsidRDefault="00DF14A7">
      <w:pPr>
        <w:ind w:right="902"/>
        <w:jc w:val="both"/>
        <w:rPr>
          <w:rFonts w:ascii="Palatino Linotype" w:eastAsia="Palatino Linotype" w:hAnsi="Palatino Linotype" w:cs="Palatino Linotype"/>
          <w:sz w:val="22"/>
          <w:szCs w:val="22"/>
        </w:rPr>
      </w:pPr>
    </w:p>
    <w:p w14:paraId="3B189B5A" w14:textId="77777777" w:rsidR="00DF14A7" w:rsidRPr="00C92C90" w:rsidRDefault="00E3414A">
      <w:pPr>
        <w:spacing w:line="360" w:lineRule="auto"/>
        <w:ind w:right="51"/>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4. Turno. </w:t>
      </w:r>
      <w:r w:rsidRPr="00C92C9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C92C90">
        <w:rPr>
          <w:rFonts w:ascii="Palatino Linotype" w:eastAsia="Palatino Linotype" w:hAnsi="Palatino Linotype" w:cs="Palatino Linotype"/>
          <w:b/>
        </w:rPr>
        <w:t>Comisionada</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 xml:space="preserve">Guadalupe Ramírez Peña, </w:t>
      </w:r>
      <w:r w:rsidRPr="00C92C90">
        <w:rPr>
          <w:rFonts w:ascii="Palatino Linotype" w:eastAsia="Palatino Linotype" w:hAnsi="Palatino Linotype" w:cs="Palatino Linotype"/>
        </w:rPr>
        <w:t xml:space="preserve">a efecto de que analizara sobre su admisión o su </w:t>
      </w:r>
      <w:proofErr w:type="spellStart"/>
      <w:r w:rsidRPr="00C92C90">
        <w:rPr>
          <w:rFonts w:ascii="Palatino Linotype" w:eastAsia="Palatino Linotype" w:hAnsi="Palatino Linotype" w:cs="Palatino Linotype"/>
        </w:rPr>
        <w:t>desechamiento</w:t>
      </w:r>
      <w:proofErr w:type="spellEnd"/>
      <w:r w:rsidRPr="00C92C90">
        <w:rPr>
          <w:rFonts w:ascii="Palatino Linotype" w:eastAsia="Palatino Linotype" w:hAnsi="Palatino Linotype" w:cs="Palatino Linotype"/>
        </w:rPr>
        <w:t>.</w:t>
      </w:r>
    </w:p>
    <w:p w14:paraId="3A0C907B" w14:textId="77777777" w:rsidR="00DF14A7" w:rsidRPr="00C92C90" w:rsidRDefault="00DF14A7">
      <w:pPr>
        <w:spacing w:line="360" w:lineRule="auto"/>
        <w:ind w:right="51"/>
        <w:jc w:val="both"/>
        <w:rPr>
          <w:rFonts w:ascii="Palatino Linotype" w:eastAsia="Palatino Linotype" w:hAnsi="Palatino Linotype" w:cs="Palatino Linotype"/>
        </w:rPr>
      </w:pPr>
    </w:p>
    <w:p w14:paraId="0F0F8EC9"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5. Admisión del Recurso de Revisión.</w:t>
      </w:r>
      <w:r w:rsidRPr="00C92C90">
        <w:rPr>
          <w:rFonts w:ascii="Palatino Linotype" w:eastAsia="Palatino Linotype" w:hAnsi="Palatino Linotype" w:cs="Palatino Linotype"/>
        </w:rPr>
        <w:t xml:space="preserve"> El</w:t>
      </w:r>
      <w:r w:rsidRPr="00C92C90">
        <w:rPr>
          <w:rFonts w:ascii="Palatino Linotype" w:eastAsia="Palatino Linotype" w:hAnsi="Palatino Linotype" w:cs="Palatino Linotype"/>
          <w:b/>
        </w:rPr>
        <w:t xml:space="preserve"> dos de febrero de dos mil veintitrés, </w:t>
      </w:r>
      <w:r w:rsidRPr="00C92C9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92C90">
        <w:rPr>
          <w:rFonts w:ascii="Palatino Linotype" w:eastAsia="Palatino Linotype" w:hAnsi="Palatino Linotype" w:cs="Palatino Linotype"/>
          <w:b/>
        </w:rPr>
        <w:t xml:space="preserve">Sujeto Obligado </w:t>
      </w:r>
      <w:r w:rsidRPr="00C92C90">
        <w:rPr>
          <w:rFonts w:ascii="Palatino Linotype" w:eastAsia="Palatino Linotype" w:hAnsi="Palatino Linotype" w:cs="Palatino Linotype"/>
        </w:rPr>
        <w:t>presentara su informe justificado.</w:t>
      </w:r>
    </w:p>
    <w:p w14:paraId="62E56F29" w14:textId="77777777" w:rsidR="00DF14A7" w:rsidRPr="00C92C90" w:rsidRDefault="00E3414A">
      <w:pPr>
        <w:spacing w:after="240" w:line="360" w:lineRule="auto"/>
        <w:jc w:val="both"/>
        <w:rPr>
          <w:rFonts w:ascii="Palatino Linotype" w:eastAsia="Palatino Linotype" w:hAnsi="Palatino Linotype" w:cs="Palatino Linotype"/>
        </w:rPr>
      </w:pPr>
      <w:bookmarkStart w:id="2" w:name="_heading=h.2s8eyo1" w:colFirst="0" w:colLast="0"/>
      <w:bookmarkEnd w:id="2"/>
      <w:r w:rsidRPr="00C92C90">
        <w:rPr>
          <w:rFonts w:ascii="Palatino Linotype" w:eastAsia="Palatino Linotype" w:hAnsi="Palatino Linotype" w:cs="Palatino Linotype"/>
          <w:b/>
        </w:rPr>
        <w:t>6. Manifestaciones</w:t>
      </w:r>
      <w:r w:rsidRPr="00C92C90">
        <w:rPr>
          <w:rFonts w:ascii="Palatino Linotype" w:eastAsia="Palatino Linotype" w:hAnsi="Palatino Linotype" w:cs="Palatino Linotype"/>
        </w:rPr>
        <w:t xml:space="preserve">. De las constancias que obran en el expediente electrónico, se advierte que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rindió su informe justificado el </w:t>
      </w:r>
      <w:r w:rsidRPr="00C92C90">
        <w:rPr>
          <w:rFonts w:ascii="Palatino Linotype" w:eastAsia="Palatino Linotype" w:hAnsi="Palatino Linotype" w:cs="Palatino Linotype"/>
          <w:b/>
        </w:rPr>
        <w:t>nueve de febrero de dos mil veintitrés</w:t>
      </w:r>
      <w:r w:rsidRPr="00C92C90">
        <w:rPr>
          <w:rFonts w:ascii="Palatino Linotype" w:eastAsia="Palatino Linotype" w:hAnsi="Palatino Linotype" w:cs="Palatino Linotype"/>
        </w:rPr>
        <w:t>, mediante el documento electrónico “</w:t>
      </w:r>
      <w:r w:rsidRPr="00C92C90">
        <w:rPr>
          <w:rFonts w:ascii="Palatino Linotype" w:eastAsia="Palatino Linotype" w:hAnsi="Palatino Linotype" w:cs="Palatino Linotype"/>
          <w:b/>
          <w:i/>
        </w:rPr>
        <w:t xml:space="preserve">Respuesta Obras 436.pdf”, </w:t>
      </w:r>
      <w:r w:rsidRPr="00C92C90">
        <w:rPr>
          <w:rFonts w:ascii="Palatino Linotype" w:eastAsia="Palatino Linotype" w:hAnsi="Palatino Linotype" w:cs="Palatino Linotype"/>
        </w:rPr>
        <w:t>mediante el cual el Director de Infraestructura y Obras Públicas otorga respuesta a la solicitud de información en los siguientes términos:</w:t>
      </w:r>
    </w:p>
    <w:p w14:paraId="16E6764D"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noProof/>
          <w:lang w:val="es-MX"/>
        </w:rPr>
        <w:lastRenderedPageBreak/>
        <w:drawing>
          <wp:inline distT="0" distB="0" distL="0" distR="0" wp14:anchorId="1D6C621B" wp14:editId="61FC77EE">
            <wp:extent cx="5612765" cy="6682740"/>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612765" cy="6682740"/>
                    </a:xfrm>
                    <a:prstGeom prst="rect">
                      <a:avLst/>
                    </a:prstGeom>
                    <a:ln/>
                  </pic:spPr>
                </pic:pic>
              </a:graphicData>
            </a:graphic>
          </wp:inline>
        </w:drawing>
      </w:r>
    </w:p>
    <w:p w14:paraId="22552BDC" w14:textId="77777777" w:rsidR="00DF14A7" w:rsidRPr="00C92C90" w:rsidRDefault="00DF14A7">
      <w:pPr>
        <w:spacing w:after="240" w:line="360" w:lineRule="auto"/>
        <w:jc w:val="both"/>
        <w:rPr>
          <w:rFonts w:ascii="Palatino Linotype" w:eastAsia="Palatino Linotype" w:hAnsi="Palatino Linotype" w:cs="Palatino Linotype"/>
        </w:rPr>
      </w:pPr>
    </w:p>
    <w:p w14:paraId="38806021"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lastRenderedPageBreak/>
        <w:t xml:space="preserve">Una vez analizada esta documentación, se determinó ponerla a disposición de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mediante el acuerdo signado por la Comisionada Ponente el </w:t>
      </w:r>
      <w:r w:rsidRPr="00C92C90">
        <w:rPr>
          <w:rFonts w:ascii="Palatino Linotype" w:eastAsia="Palatino Linotype" w:hAnsi="Palatino Linotype" w:cs="Palatino Linotype"/>
          <w:b/>
        </w:rPr>
        <w:t>veintisiete de junio de dos mil veintitrés</w:t>
      </w:r>
      <w:r w:rsidRPr="00C92C90">
        <w:rPr>
          <w:rFonts w:ascii="Palatino Linotype" w:eastAsia="Palatino Linotype" w:hAnsi="Palatino Linotype" w:cs="Palatino Linotype"/>
        </w:rPr>
        <w:t>.</w:t>
      </w:r>
    </w:p>
    <w:p w14:paraId="2FF49739" w14:textId="77777777" w:rsidR="00DF14A7" w:rsidRPr="00C92C90" w:rsidRDefault="00E3414A">
      <w:pPr>
        <w:spacing w:after="240" w:line="360" w:lineRule="auto"/>
        <w:jc w:val="center"/>
        <w:rPr>
          <w:rFonts w:ascii="Palatino Linotype" w:eastAsia="Palatino Linotype" w:hAnsi="Palatino Linotype" w:cs="Palatino Linotype"/>
        </w:rPr>
      </w:pPr>
      <w:r w:rsidRPr="00C92C90">
        <w:rPr>
          <w:rFonts w:ascii="Palatino Linotype" w:eastAsia="Palatino Linotype" w:hAnsi="Palatino Linotype" w:cs="Palatino Linotype"/>
          <w:noProof/>
          <w:lang w:val="es-MX"/>
        </w:rPr>
        <w:drawing>
          <wp:inline distT="0" distB="0" distL="0" distR="0" wp14:anchorId="2D91C24C" wp14:editId="4BD7B979">
            <wp:extent cx="4868374" cy="2275836"/>
            <wp:effectExtent l="0" t="0" r="0" b="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68374" cy="2275836"/>
                    </a:xfrm>
                    <a:prstGeom prst="rect">
                      <a:avLst/>
                    </a:prstGeom>
                    <a:ln/>
                  </pic:spPr>
                </pic:pic>
              </a:graphicData>
            </a:graphic>
          </wp:inline>
        </w:drawing>
      </w:r>
    </w:p>
    <w:p w14:paraId="555A3940"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Posteriormente, el veintiocho de junio de dos mil veintitrés, la </w:t>
      </w:r>
      <w:r w:rsidRPr="00C92C90">
        <w:rPr>
          <w:rFonts w:ascii="Palatino Linotype" w:eastAsia="Palatino Linotype" w:hAnsi="Palatino Linotype" w:cs="Palatino Linotype"/>
          <w:b/>
        </w:rPr>
        <w:t xml:space="preserve">parte Recurrente </w:t>
      </w:r>
      <w:r w:rsidRPr="00C92C90">
        <w:rPr>
          <w:rFonts w:ascii="Palatino Linotype" w:eastAsia="Palatino Linotype" w:hAnsi="Palatino Linotype" w:cs="Palatino Linotype"/>
        </w:rPr>
        <w:t xml:space="preserve">adjuntó el documento </w:t>
      </w:r>
      <w:r w:rsidRPr="00C92C90">
        <w:rPr>
          <w:rFonts w:ascii="Palatino Linotype" w:eastAsia="Palatino Linotype" w:hAnsi="Palatino Linotype" w:cs="Palatino Linotype"/>
          <w:b/>
          <w:i/>
        </w:rPr>
        <w:t xml:space="preserve">“Recurso 534.docx”, </w:t>
      </w:r>
      <w:r w:rsidRPr="00C92C90">
        <w:rPr>
          <w:rFonts w:ascii="Palatino Linotype" w:eastAsia="Palatino Linotype" w:hAnsi="Palatino Linotype" w:cs="Palatino Linotype"/>
        </w:rPr>
        <w:t>en el que expresa lo siguiente:</w:t>
      </w:r>
    </w:p>
    <w:p w14:paraId="01533A66" w14:textId="77777777" w:rsidR="00DF14A7" w:rsidRPr="00C92C90" w:rsidRDefault="00E3414A">
      <w:pPr>
        <w:spacing w:after="240" w:line="360" w:lineRule="auto"/>
        <w:jc w:val="center"/>
        <w:rPr>
          <w:rFonts w:ascii="Palatino Linotype" w:eastAsia="Palatino Linotype" w:hAnsi="Palatino Linotype" w:cs="Palatino Linotype"/>
        </w:rPr>
      </w:pPr>
      <w:r w:rsidRPr="00C92C90">
        <w:rPr>
          <w:rFonts w:ascii="Palatino Linotype" w:eastAsia="Palatino Linotype" w:hAnsi="Palatino Linotype" w:cs="Palatino Linotype"/>
          <w:noProof/>
          <w:lang w:val="es-MX"/>
        </w:rPr>
        <w:drawing>
          <wp:inline distT="0" distB="0" distL="0" distR="0" wp14:anchorId="2DF324F5" wp14:editId="63DDA836">
            <wp:extent cx="4809354" cy="2590489"/>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09354" cy="2590489"/>
                    </a:xfrm>
                    <a:prstGeom prst="rect">
                      <a:avLst/>
                    </a:prstGeom>
                    <a:ln/>
                  </pic:spPr>
                </pic:pic>
              </a:graphicData>
            </a:graphic>
          </wp:inline>
        </w:drawing>
      </w:r>
    </w:p>
    <w:p w14:paraId="70F40EFA"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lastRenderedPageBreak/>
        <w:t>7. Ampliación del plazo para emitir resolución.</w:t>
      </w:r>
      <w:r w:rsidRPr="00C92C90">
        <w:rPr>
          <w:rFonts w:ascii="Palatino Linotype" w:eastAsia="Palatino Linotype" w:hAnsi="Palatino Linotype" w:cs="Palatino Linotype"/>
        </w:rPr>
        <w:t xml:space="preserve"> El </w:t>
      </w:r>
      <w:r w:rsidRPr="00C92C90">
        <w:rPr>
          <w:rFonts w:ascii="Palatino Linotype" w:eastAsia="Palatino Linotype" w:hAnsi="Palatino Linotype" w:cs="Palatino Linotype"/>
          <w:b/>
        </w:rPr>
        <w:t>seis de julio del año dos mil veintitrés</w:t>
      </w:r>
      <w:r w:rsidRPr="00C92C9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DEF884D"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494CE48A" w14:textId="77777777" w:rsidR="00DF14A7" w:rsidRPr="00C92C90" w:rsidRDefault="00DF14A7">
      <w:pPr>
        <w:spacing w:line="360" w:lineRule="auto"/>
        <w:jc w:val="both"/>
        <w:rPr>
          <w:rFonts w:ascii="Palatino Linotype" w:eastAsia="Palatino Linotype" w:hAnsi="Palatino Linotype" w:cs="Palatino Linotype"/>
        </w:rPr>
      </w:pPr>
    </w:p>
    <w:p w14:paraId="25E8518F"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C8DA31B" w14:textId="77777777" w:rsidR="00DF14A7" w:rsidRPr="00C92C90" w:rsidRDefault="00DF14A7">
      <w:pPr>
        <w:spacing w:line="360" w:lineRule="auto"/>
        <w:jc w:val="both"/>
        <w:rPr>
          <w:rFonts w:ascii="Palatino Linotype" w:eastAsia="Palatino Linotype" w:hAnsi="Palatino Linotype" w:cs="Palatino Linotype"/>
        </w:rPr>
      </w:pPr>
    </w:p>
    <w:p w14:paraId="40B71993"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5D0347" w14:textId="77777777" w:rsidR="00DF14A7" w:rsidRPr="00C92C90" w:rsidRDefault="00DF14A7">
      <w:pPr>
        <w:spacing w:line="360" w:lineRule="auto"/>
        <w:jc w:val="both"/>
        <w:rPr>
          <w:rFonts w:ascii="Palatino Linotype" w:eastAsia="Palatino Linotype" w:hAnsi="Palatino Linotype" w:cs="Palatino Linotype"/>
        </w:rPr>
      </w:pPr>
    </w:p>
    <w:p w14:paraId="4A53A3B1"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BBA288" w14:textId="77777777" w:rsidR="00DF14A7" w:rsidRPr="00C92C90" w:rsidRDefault="00DF14A7">
      <w:pPr>
        <w:spacing w:line="360" w:lineRule="auto"/>
        <w:jc w:val="both"/>
        <w:rPr>
          <w:rFonts w:ascii="Palatino Linotype" w:eastAsia="Palatino Linotype" w:hAnsi="Palatino Linotype" w:cs="Palatino Linotype"/>
        </w:rPr>
      </w:pPr>
    </w:p>
    <w:p w14:paraId="0A56FE19" w14:textId="77777777" w:rsidR="00DF14A7" w:rsidRPr="00C92C90" w:rsidRDefault="00E3414A">
      <w:pPr>
        <w:spacing w:line="360" w:lineRule="auto"/>
        <w:jc w:val="both"/>
        <w:rPr>
          <w:rFonts w:ascii="Palatino Linotype" w:eastAsia="Palatino Linotype" w:hAnsi="Palatino Linotype" w:cs="Palatino Linotype"/>
          <w:strike/>
        </w:rPr>
      </w:pPr>
      <w:r w:rsidRPr="00C92C9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5EAB85" w14:textId="77777777" w:rsidR="00DF14A7" w:rsidRPr="00C92C90" w:rsidRDefault="00DF14A7">
      <w:pPr>
        <w:spacing w:line="360" w:lineRule="auto"/>
        <w:jc w:val="both"/>
        <w:rPr>
          <w:rFonts w:ascii="Palatino Linotype" w:eastAsia="Palatino Linotype" w:hAnsi="Palatino Linotype" w:cs="Palatino Linotype"/>
        </w:rPr>
      </w:pPr>
    </w:p>
    <w:p w14:paraId="38E6EE20" w14:textId="77777777" w:rsidR="00DF14A7" w:rsidRPr="00C92C90" w:rsidRDefault="00E3414A">
      <w:pPr>
        <w:numPr>
          <w:ilvl w:val="0"/>
          <w:numId w:val="2"/>
        </w:numPr>
        <w:spacing w:line="360" w:lineRule="auto"/>
        <w:ind w:left="567" w:right="900" w:hanging="141"/>
        <w:jc w:val="both"/>
        <w:rPr>
          <w:rFonts w:ascii="Palatino Linotype" w:eastAsia="Palatino Linotype" w:hAnsi="Palatino Linotype" w:cs="Palatino Linotype"/>
        </w:rPr>
      </w:pPr>
      <w:r w:rsidRPr="00C92C90">
        <w:rPr>
          <w:rFonts w:ascii="Palatino Linotype" w:eastAsia="Palatino Linotype" w:hAnsi="Palatino Linotype" w:cs="Palatino Linotype"/>
          <w:b/>
        </w:rPr>
        <w:t>Complejidad del Asunto</w:t>
      </w:r>
      <w:r w:rsidRPr="00C92C9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E4A0F2E" w14:textId="77777777" w:rsidR="00DF14A7" w:rsidRPr="00C92C90" w:rsidRDefault="00DF14A7">
      <w:pPr>
        <w:spacing w:line="360" w:lineRule="auto"/>
        <w:ind w:left="567" w:right="900" w:hanging="141"/>
        <w:jc w:val="both"/>
        <w:rPr>
          <w:rFonts w:ascii="Palatino Linotype" w:eastAsia="Palatino Linotype" w:hAnsi="Palatino Linotype" w:cs="Palatino Linotype"/>
        </w:rPr>
      </w:pPr>
    </w:p>
    <w:p w14:paraId="4A350B1D" w14:textId="77777777" w:rsidR="00DF14A7" w:rsidRPr="00C92C90" w:rsidRDefault="00E3414A">
      <w:pPr>
        <w:numPr>
          <w:ilvl w:val="0"/>
          <w:numId w:val="2"/>
        </w:numPr>
        <w:spacing w:line="360" w:lineRule="auto"/>
        <w:ind w:left="567" w:right="900" w:hanging="141"/>
        <w:jc w:val="both"/>
        <w:rPr>
          <w:rFonts w:ascii="Palatino Linotype" w:eastAsia="Palatino Linotype" w:hAnsi="Palatino Linotype" w:cs="Palatino Linotype"/>
        </w:rPr>
      </w:pPr>
      <w:r w:rsidRPr="00C92C90">
        <w:rPr>
          <w:rFonts w:ascii="Palatino Linotype" w:eastAsia="Palatino Linotype" w:hAnsi="Palatino Linotype" w:cs="Palatino Linotype"/>
          <w:b/>
        </w:rPr>
        <w:t>Actividad Procesal del interesado:</w:t>
      </w:r>
      <w:r w:rsidRPr="00C92C90">
        <w:rPr>
          <w:rFonts w:ascii="Palatino Linotype" w:eastAsia="Palatino Linotype" w:hAnsi="Palatino Linotype" w:cs="Palatino Linotype"/>
        </w:rPr>
        <w:t xml:space="preserve"> Acciones u omisiones del interesado.</w:t>
      </w:r>
    </w:p>
    <w:p w14:paraId="6FF8223C" w14:textId="77777777" w:rsidR="00DF14A7" w:rsidRPr="00C92C90" w:rsidRDefault="00DF14A7">
      <w:pPr>
        <w:spacing w:line="360" w:lineRule="auto"/>
        <w:ind w:left="567" w:right="900" w:hanging="141"/>
        <w:jc w:val="both"/>
        <w:rPr>
          <w:rFonts w:ascii="Palatino Linotype" w:eastAsia="Palatino Linotype" w:hAnsi="Palatino Linotype" w:cs="Palatino Linotype"/>
        </w:rPr>
      </w:pPr>
    </w:p>
    <w:p w14:paraId="1D465BAC" w14:textId="77777777" w:rsidR="00DF14A7" w:rsidRPr="00C92C90" w:rsidRDefault="00E3414A">
      <w:pPr>
        <w:numPr>
          <w:ilvl w:val="0"/>
          <w:numId w:val="2"/>
        </w:numPr>
        <w:spacing w:line="360" w:lineRule="auto"/>
        <w:ind w:left="567" w:right="900" w:hanging="141"/>
        <w:jc w:val="both"/>
        <w:rPr>
          <w:rFonts w:ascii="Palatino Linotype" w:eastAsia="Palatino Linotype" w:hAnsi="Palatino Linotype" w:cs="Palatino Linotype"/>
        </w:rPr>
      </w:pPr>
      <w:r w:rsidRPr="00C92C90">
        <w:rPr>
          <w:rFonts w:ascii="Palatino Linotype" w:eastAsia="Palatino Linotype" w:hAnsi="Palatino Linotype" w:cs="Palatino Linotype"/>
          <w:b/>
        </w:rPr>
        <w:t>Conducta de la Autoridad:</w:t>
      </w:r>
      <w:r w:rsidRPr="00C92C90">
        <w:rPr>
          <w:rFonts w:ascii="Palatino Linotype" w:eastAsia="Palatino Linotype" w:hAnsi="Palatino Linotype" w:cs="Palatino Linotype"/>
        </w:rPr>
        <w:t xml:space="preserve"> Las Acciones u omisiones realizadas en el procedimiento. Así como si la autoridad actuó con la debida diligencia.</w:t>
      </w:r>
    </w:p>
    <w:p w14:paraId="2F37A356" w14:textId="77777777" w:rsidR="00DF14A7" w:rsidRPr="00C92C90" w:rsidRDefault="00DF14A7">
      <w:pPr>
        <w:spacing w:line="360" w:lineRule="auto"/>
        <w:ind w:left="567" w:right="900" w:hanging="141"/>
        <w:rPr>
          <w:rFonts w:ascii="Palatino Linotype" w:eastAsia="Palatino Linotype" w:hAnsi="Palatino Linotype" w:cs="Palatino Linotype"/>
        </w:rPr>
      </w:pPr>
    </w:p>
    <w:p w14:paraId="0481E985" w14:textId="77777777" w:rsidR="00DF14A7" w:rsidRPr="00C92C90" w:rsidRDefault="00E3414A">
      <w:pPr>
        <w:spacing w:line="360" w:lineRule="auto"/>
        <w:ind w:left="567" w:right="900" w:hanging="141"/>
        <w:jc w:val="both"/>
        <w:rPr>
          <w:rFonts w:ascii="Palatino Linotype" w:eastAsia="Palatino Linotype" w:hAnsi="Palatino Linotype" w:cs="Palatino Linotype"/>
        </w:rPr>
      </w:pPr>
      <w:r w:rsidRPr="00C92C90">
        <w:rPr>
          <w:rFonts w:ascii="Palatino Linotype" w:eastAsia="Palatino Linotype" w:hAnsi="Palatino Linotype" w:cs="Palatino Linotype"/>
          <w:b/>
        </w:rPr>
        <w:t>d) La afectación generada en la situación jurídica de la persona involucrada en el proceso:</w:t>
      </w:r>
      <w:r w:rsidRPr="00C92C90">
        <w:rPr>
          <w:rFonts w:ascii="Palatino Linotype" w:eastAsia="Palatino Linotype" w:hAnsi="Palatino Linotype" w:cs="Palatino Linotype"/>
        </w:rPr>
        <w:t xml:space="preserve"> Violación a sus derechos humanos.</w:t>
      </w:r>
    </w:p>
    <w:p w14:paraId="06E84D8A" w14:textId="77777777" w:rsidR="00DF14A7" w:rsidRPr="00C92C90" w:rsidRDefault="00DF14A7">
      <w:pPr>
        <w:spacing w:line="360" w:lineRule="auto"/>
        <w:jc w:val="both"/>
        <w:rPr>
          <w:rFonts w:ascii="Palatino Linotype" w:eastAsia="Palatino Linotype" w:hAnsi="Palatino Linotype" w:cs="Palatino Linotype"/>
        </w:rPr>
      </w:pPr>
    </w:p>
    <w:p w14:paraId="18F35FC8"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AE3B6B" w14:textId="77777777" w:rsidR="00DF14A7" w:rsidRPr="00C92C90" w:rsidRDefault="00DF14A7">
      <w:pPr>
        <w:spacing w:line="360" w:lineRule="auto"/>
        <w:jc w:val="both"/>
        <w:rPr>
          <w:rFonts w:ascii="Palatino Linotype" w:eastAsia="Palatino Linotype" w:hAnsi="Palatino Linotype" w:cs="Palatino Linotype"/>
        </w:rPr>
      </w:pPr>
    </w:p>
    <w:p w14:paraId="762A67D0" w14:textId="77777777" w:rsidR="00DF14A7" w:rsidRPr="00C92C90" w:rsidRDefault="00E3414A">
      <w:pPr>
        <w:spacing w:line="360" w:lineRule="auto"/>
        <w:jc w:val="both"/>
        <w:rPr>
          <w:rFonts w:ascii="Palatino Linotype" w:eastAsia="Palatino Linotype" w:hAnsi="Palatino Linotype" w:cs="Palatino Linotype"/>
          <w:b/>
        </w:rPr>
      </w:pPr>
      <w:r w:rsidRPr="00C92C9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92C9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92C90">
        <w:rPr>
          <w:rFonts w:ascii="Palatino Linotype" w:eastAsia="Palatino Linotype" w:hAnsi="Palatino Linotype" w:cs="Palatino Linotype"/>
        </w:rPr>
        <w:t>, visible en la Gaceta del Seminario Judicial de la Federación con el registro digital 205635.</w:t>
      </w:r>
    </w:p>
    <w:p w14:paraId="53DD7EA3" w14:textId="77777777" w:rsidR="00DF14A7" w:rsidRPr="00C92C90" w:rsidRDefault="00DF14A7">
      <w:pPr>
        <w:spacing w:line="360" w:lineRule="auto"/>
        <w:jc w:val="both"/>
        <w:rPr>
          <w:rFonts w:ascii="Palatino Linotype" w:eastAsia="Palatino Linotype" w:hAnsi="Palatino Linotype" w:cs="Palatino Linotype"/>
        </w:rPr>
      </w:pPr>
    </w:p>
    <w:p w14:paraId="73501897"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C92C90">
        <w:rPr>
          <w:rFonts w:ascii="Palatino Linotype" w:eastAsia="Palatino Linotype" w:hAnsi="Palatino Linotype" w:cs="Palatino Linotype"/>
        </w:rPr>
        <w:lastRenderedPageBreak/>
        <w:t>los términos legales previamente establecidos por la Ley, por tratarse de causas de fuerza mayor.</w:t>
      </w:r>
    </w:p>
    <w:p w14:paraId="62CC4FD7" w14:textId="77777777" w:rsidR="00DF14A7" w:rsidRPr="00C92C90" w:rsidRDefault="00DF14A7">
      <w:pPr>
        <w:spacing w:line="360" w:lineRule="auto"/>
        <w:jc w:val="both"/>
        <w:rPr>
          <w:rFonts w:ascii="Palatino Linotype" w:eastAsia="Palatino Linotype" w:hAnsi="Palatino Linotype" w:cs="Palatino Linotype"/>
        </w:rPr>
      </w:pPr>
    </w:p>
    <w:p w14:paraId="531FD607"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762AC1A" w14:textId="77777777" w:rsidR="00DF14A7" w:rsidRPr="00C92C90" w:rsidRDefault="00DF14A7">
      <w:pPr>
        <w:spacing w:line="360" w:lineRule="auto"/>
        <w:jc w:val="both"/>
        <w:rPr>
          <w:rFonts w:ascii="Palatino Linotype" w:eastAsia="Palatino Linotype" w:hAnsi="Palatino Linotype" w:cs="Palatino Linotype"/>
        </w:rPr>
      </w:pPr>
    </w:p>
    <w:p w14:paraId="6F7127F3"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i/>
        </w:rPr>
        <w:t>“PLAZO RAZONABLE PARA RESOLVER. DIMENSIÓN Y EFECTOS DE ESTE CONCEPTO CUANDO SE ADUCE EXCESIVA CARGA DE TRABAJO.”</w:t>
      </w:r>
      <w:r w:rsidRPr="00C92C90">
        <w:rPr>
          <w:rFonts w:ascii="Palatino Linotype" w:eastAsia="Palatino Linotype" w:hAnsi="Palatino Linotype" w:cs="Palatino Linotype"/>
        </w:rPr>
        <w:t xml:space="preserve"> consultable en el Seminario Judicial de la Federación y su gaceta, con el registro digital 2002351.</w:t>
      </w:r>
    </w:p>
    <w:p w14:paraId="6316928E" w14:textId="77777777" w:rsidR="00DF14A7" w:rsidRPr="00C92C90" w:rsidRDefault="00DF14A7">
      <w:pPr>
        <w:spacing w:line="360" w:lineRule="auto"/>
        <w:jc w:val="both"/>
        <w:rPr>
          <w:rFonts w:ascii="Palatino Linotype" w:eastAsia="Palatino Linotype" w:hAnsi="Palatino Linotype" w:cs="Palatino Linotype"/>
          <w:b/>
        </w:rPr>
      </w:pPr>
    </w:p>
    <w:p w14:paraId="74014665"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i/>
        </w:rPr>
        <w:t>“PLAZO RAZONABLE PARA RESOLVER. CONCEPTO Y ELEMENTOS QUE LO INTEGRAN A LA LUZ DEL DERECHO INTERNACIONAL DE LOS DERECHOS HUMANOS.”</w:t>
      </w:r>
      <w:r w:rsidRPr="00C92C90">
        <w:rPr>
          <w:rFonts w:ascii="Palatino Linotype" w:eastAsia="Palatino Linotype" w:hAnsi="Palatino Linotype" w:cs="Palatino Linotype"/>
        </w:rPr>
        <w:t>, visible en el Seminario Judicial de la Federación y su gaceta, con el registro digital 2002350.</w:t>
      </w:r>
    </w:p>
    <w:p w14:paraId="6FF697B6" w14:textId="77777777" w:rsidR="00E3414A" w:rsidRPr="00C92C90" w:rsidRDefault="00E3414A">
      <w:pPr>
        <w:spacing w:line="360" w:lineRule="auto"/>
        <w:jc w:val="both"/>
        <w:rPr>
          <w:rFonts w:ascii="Palatino Linotype" w:eastAsia="Palatino Linotype" w:hAnsi="Palatino Linotype" w:cs="Palatino Linotype"/>
        </w:rPr>
      </w:pPr>
    </w:p>
    <w:p w14:paraId="6227073E"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E4DC58B" w14:textId="77777777" w:rsidR="00E3414A" w:rsidRPr="00C92C90" w:rsidRDefault="00E3414A">
      <w:pPr>
        <w:spacing w:line="360" w:lineRule="auto"/>
        <w:jc w:val="both"/>
        <w:rPr>
          <w:rFonts w:ascii="Palatino Linotype" w:eastAsia="Palatino Linotype" w:hAnsi="Palatino Linotype" w:cs="Palatino Linotype"/>
        </w:rPr>
      </w:pPr>
    </w:p>
    <w:p w14:paraId="58A02E2D" w14:textId="77777777" w:rsidR="00DF14A7" w:rsidRPr="00C92C90" w:rsidRDefault="00E3414A">
      <w:pPr>
        <w:widowControl w:val="0"/>
        <w:spacing w:line="360" w:lineRule="auto"/>
        <w:ind w:right="49"/>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8. Cierre de instrucción. </w:t>
      </w:r>
      <w:r w:rsidRPr="00C92C9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C92C90">
        <w:rPr>
          <w:rFonts w:ascii="Palatino Linotype" w:eastAsia="Palatino Linotype" w:hAnsi="Palatino Linotype" w:cs="Palatino Linotype"/>
          <w:b/>
        </w:rPr>
        <w:t>seis de julio de dos mil veintitrés</w:t>
      </w:r>
      <w:r w:rsidRPr="00C92C90">
        <w:rPr>
          <w:rFonts w:ascii="Palatino Linotype" w:eastAsia="Palatino Linotype" w:hAnsi="Palatino Linotype" w:cs="Palatino Linotype"/>
        </w:rPr>
        <w:t xml:space="preserve">, la Comisionada Ponente determinó el cierre de instrucción en términos de la fracción VI del artículo 185 de la Ley de </w:t>
      </w:r>
      <w:r w:rsidRPr="00C92C90">
        <w:rPr>
          <w:rFonts w:ascii="Palatino Linotype" w:eastAsia="Palatino Linotype" w:hAnsi="Palatino Linotype" w:cs="Palatino Linotype"/>
        </w:rPr>
        <w:lastRenderedPageBreak/>
        <w:t>Transparencia y Acceso a la Información Pública del Estado de México y Municipios.</w:t>
      </w:r>
    </w:p>
    <w:p w14:paraId="14185588"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4960C70" w14:textId="77777777" w:rsidR="00DF14A7" w:rsidRPr="00C92C90" w:rsidRDefault="00E3414A">
      <w:pPr>
        <w:widowControl w:val="0"/>
        <w:spacing w:line="360" w:lineRule="auto"/>
        <w:jc w:val="center"/>
        <w:rPr>
          <w:rFonts w:ascii="Palatino Linotype" w:eastAsia="Palatino Linotype" w:hAnsi="Palatino Linotype" w:cs="Palatino Linotype"/>
          <w:b/>
        </w:rPr>
      </w:pPr>
      <w:r w:rsidRPr="00C92C90">
        <w:rPr>
          <w:rFonts w:ascii="Palatino Linotype" w:eastAsia="Palatino Linotype" w:hAnsi="Palatino Linotype" w:cs="Palatino Linotype"/>
          <w:b/>
        </w:rPr>
        <w:t>II. C O N S I D E R A N D O S</w:t>
      </w:r>
    </w:p>
    <w:p w14:paraId="0B67E9DA"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Primero. Competencia.</w:t>
      </w:r>
      <w:r w:rsidRPr="00C92C9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C82F669" w14:textId="77777777" w:rsidR="00DF14A7" w:rsidRPr="00C92C90" w:rsidRDefault="00DF14A7">
      <w:pPr>
        <w:spacing w:line="360" w:lineRule="auto"/>
        <w:ind w:left="-284"/>
        <w:jc w:val="both"/>
        <w:rPr>
          <w:rFonts w:ascii="Palatino Linotype" w:eastAsia="Palatino Linotype" w:hAnsi="Palatino Linotype" w:cs="Palatino Linotype"/>
          <w:b/>
        </w:rPr>
      </w:pPr>
      <w:bookmarkStart w:id="3" w:name="_heading=h.tyjcwt" w:colFirst="0" w:colLast="0"/>
      <w:bookmarkEnd w:id="3"/>
    </w:p>
    <w:p w14:paraId="3733E60C"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Segundo. Oportunidad y Procedibilidad. </w:t>
      </w:r>
      <w:r w:rsidRPr="00C92C90">
        <w:rPr>
          <w:rFonts w:ascii="Palatino Linotype" w:eastAsia="Palatino Linotype" w:hAnsi="Palatino Linotype" w:cs="Palatino Linotype"/>
        </w:rPr>
        <w:t>Es de precisar que la</w:t>
      </w:r>
      <w:r w:rsidRPr="00C92C90">
        <w:rPr>
          <w:rFonts w:ascii="Palatino Linotype" w:eastAsia="Palatino Linotype" w:hAnsi="Palatino Linotype" w:cs="Palatino Linotype"/>
          <w:b/>
        </w:rPr>
        <w:t xml:space="preserve"> </w:t>
      </w:r>
      <w:r w:rsidRPr="00C92C90">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5D0D3446" w14:textId="77777777" w:rsidR="00DF14A7" w:rsidRPr="00C92C90" w:rsidRDefault="00DF14A7">
      <w:pPr>
        <w:spacing w:line="360" w:lineRule="auto"/>
        <w:jc w:val="both"/>
        <w:rPr>
          <w:rFonts w:ascii="Palatino Linotype" w:eastAsia="Palatino Linotype" w:hAnsi="Palatino Linotype" w:cs="Palatino Linotype"/>
        </w:rPr>
      </w:pPr>
    </w:p>
    <w:p w14:paraId="5E9B3A11" w14:textId="77777777" w:rsidR="00DF14A7" w:rsidRPr="00C92C90" w:rsidRDefault="00E3414A">
      <w:pPr>
        <w:spacing w:line="276" w:lineRule="auto"/>
        <w:ind w:left="851" w:right="851"/>
        <w:jc w:val="both"/>
        <w:rPr>
          <w:rFonts w:ascii="Palatino Linotype" w:eastAsia="Palatino Linotype" w:hAnsi="Palatino Linotype" w:cs="Palatino Linotype"/>
          <w:i/>
        </w:rPr>
      </w:pPr>
      <w:r w:rsidRPr="00C92C90">
        <w:rPr>
          <w:rFonts w:ascii="Palatino Linotype" w:eastAsia="Palatino Linotype" w:hAnsi="Palatino Linotype" w:cs="Palatino Linotype"/>
          <w:i/>
          <w:sz w:val="22"/>
          <w:szCs w:val="22"/>
        </w:rPr>
        <w:lastRenderedPageBreak/>
        <w:t>“</w:t>
      </w:r>
      <w:r w:rsidRPr="00C92C90">
        <w:rPr>
          <w:rFonts w:ascii="Palatino Linotype" w:eastAsia="Palatino Linotype" w:hAnsi="Palatino Linotype" w:cs="Palatino Linotype"/>
          <w:b/>
          <w:i/>
          <w:sz w:val="22"/>
          <w:szCs w:val="22"/>
        </w:rPr>
        <w:t xml:space="preserve">Artículo 163. </w:t>
      </w:r>
      <w:r w:rsidRPr="00C92C90">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40F99D0" w14:textId="77777777" w:rsidR="00DF14A7" w:rsidRPr="00C92C90" w:rsidRDefault="00E3414A">
      <w:pPr>
        <w:spacing w:line="276" w:lineRule="auto"/>
        <w:ind w:left="851" w:right="851"/>
        <w:jc w:val="both"/>
        <w:rPr>
          <w:rFonts w:ascii="Palatino Linotype" w:eastAsia="Palatino Linotype" w:hAnsi="Palatino Linotype" w:cs="Palatino Linotype"/>
          <w:i/>
        </w:rPr>
      </w:pPr>
      <w:r w:rsidRPr="00C92C90">
        <w:rPr>
          <w:rFonts w:ascii="Palatino Linotype" w:eastAsia="Palatino Linotype" w:hAnsi="Palatino Linotype" w:cs="Palatino Linotype"/>
          <w:i/>
          <w:sz w:val="22"/>
          <w:szCs w:val="22"/>
        </w:rPr>
        <w:t>…</w:t>
      </w:r>
    </w:p>
    <w:p w14:paraId="658C68CC" w14:textId="77777777" w:rsidR="00DF14A7" w:rsidRPr="00C92C90" w:rsidRDefault="00E3414A">
      <w:pPr>
        <w:spacing w:line="276" w:lineRule="auto"/>
        <w:ind w:left="851" w:right="851"/>
        <w:jc w:val="both"/>
        <w:rPr>
          <w:rFonts w:ascii="Palatino Linotype" w:eastAsia="Palatino Linotype" w:hAnsi="Palatino Linotype" w:cs="Palatino Linotype"/>
          <w:i/>
        </w:rPr>
      </w:pPr>
      <w:r w:rsidRPr="00C92C90">
        <w:rPr>
          <w:rFonts w:ascii="Palatino Linotype" w:eastAsia="Palatino Linotype" w:hAnsi="Palatino Linotype" w:cs="Palatino Linotype"/>
          <w:b/>
          <w:i/>
          <w:sz w:val="22"/>
          <w:szCs w:val="22"/>
        </w:rPr>
        <w:t>Artículo 166.</w:t>
      </w:r>
      <w:r w:rsidRPr="00C92C90">
        <w:rPr>
          <w:rFonts w:ascii="Palatino Linotype" w:eastAsia="Palatino Linotype" w:hAnsi="Palatino Linotype" w:cs="Palatino Linotype"/>
          <w:i/>
          <w:sz w:val="22"/>
          <w:szCs w:val="22"/>
        </w:rPr>
        <w:t xml:space="preserve"> […]</w:t>
      </w:r>
    </w:p>
    <w:p w14:paraId="569D48B4" w14:textId="77777777" w:rsidR="00DF14A7" w:rsidRPr="00C92C90" w:rsidRDefault="00E3414A">
      <w:pPr>
        <w:spacing w:line="276" w:lineRule="auto"/>
        <w:ind w:left="851" w:right="85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6AFAFF20" w14:textId="77777777" w:rsidR="00DF14A7" w:rsidRPr="00C92C90" w:rsidRDefault="00DF14A7">
      <w:pPr>
        <w:spacing w:line="276" w:lineRule="auto"/>
        <w:ind w:left="851" w:right="851"/>
        <w:jc w:val="both"/>
        <w:rPr>
          <w:rFonts w:ascii="Palatino Linotype" w:eastAsia="Palatino Linotype" w:hAnsi="Palatino Linotype" w:cs="Palatino Linotype"/>
          <w:i/>
        </w:rPr>
      </w:pPr>
    </w:p>
    <w:p w14:paraId="3A1A5162" w14:textId="77777777" w:rsidR="00DF14A7" w:rsidRPr="00C92C90" w:rsidRDefault="00E3414A">
      <w:pPr>
        <w:spacing w:line="360" w:lineRule="auto"/>
        <w:ind w:left="-426"/>
        <w:jc w:val="both"/>
        <w:rPr>
          <w:rFonts w:ascii="Palatino Linotype" w:eastAsia="Palatino Linotype" w:hAnsi="Palatino Linotype" w:cs="Palatino Linotype"/>
        </w:rPr>
      </w:pPr>
      <w:r w:rsidRPr="00C92C90">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1EB0DFAA" w14:textId="77777777" w:rsidR="00DF14A7" w:rsidRPr="00C92C90" w:rsidRDefault="00DF14A7">
      <w:pPr>
        <w:spacing w:line="360" w:lineRule="auto"/>
        <w:ind w:left="-426"/>
        <w:jc w:val="both"/>
        <w:rPr>
          <w:rFonts w:ascii="Palatino Linotype" w:eastAsia="Palatino Linotype" w:hAnsi="Palatino Linotype" w:cs="Palatino Linotype"/>
        </w:rPr>
      </w:pPr>
    </w:p>
    <w:p w14:paraId="0281460B" w14:textId="77777777" w:rsidR="00DF14A7" w:rsidRPr="00C92C90" w:rsidRDefault="00E3414A">
      <w:pPr>
        <w:spacing w:line="360" w:lineRule="auto"/>
        <w:ind w:left="-426"/>
        <w:jc w:val="both"/>
        <w:rPr>
          <w:rFonts w:ascii="Palatino Linotype" w:eastAsia="Palatino Linotype" w:hAnsi="Palatino Linotype" w:cs="Palatino Linotype"/>
        </w:rPr>
      </w:pPr>
      <w:r w:rsidRPr="00C92C90">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3468B9D6" w14:textId="77777777" w:rsidR="00DF14A7" w:rsidRPr="00C92C90" w:rsidRDefault="00DF14A7">
      <w:pPr>
        <w:spacing w:line="360" w:lineRule="auto"/>
        <w:ind w:left="-426"/>
        <w:jc w:val="both"/>
        <w:rPr>
          <w:rFonts w:ascii="Palatino Linotype" w:eastAsia="Palatino Linotype" w:hAnsi="Palatino Linotype" w:cs="Palatino Linotype"/>
        </w:rPr>
      </w:pPr>
    </w:p>
    <w:p w14:paraId="30AE162B" w14:textId="77777777" w:rsidR="00DF14A7" w:rsidRPr="00C92C90" w:rsidRDefault="00E3414A">
      <w:pPr>
        <w:spacing w:line="360" w:lineRule="auto"/>
        <w:ind w:left="-426"/>
        <w:jc w:val="both"/>
        <w:rPr>
          <w:rFonts w:ascii="Palatino Linotype" w:eastAsia="Palatino Linotype" w:hAnsi="Palatino Linotype" w:cs="Palatino Linotype"/>
        </w:rPr>
      </w:pPr>
      <w:r w:rsidRPr="00C92C90">
        <w:rPr>
          <w:rFonts w:ascii="Palatino Linotype" w:eastAsia="Palatino Linotype" w:hAnsi="Palatino Linotype" w:cs="Palatino Linotype"/>
        </w:rPr>
        <w:t>Por su parte, el artículo 178 del citado ordenamiento, establece:</w:t>
      </w:r>
    </w:p>
    <w:p w14:paraId="21954EC8" w14:textId="77777777" w:rsidR="00DF14A7" w:rsidRPr="00C92C90" w:rsidRDefault="00DF14A7">
      <w:pPr>
        <w:spacing w:line="360" w:lineRule="auto"/>
        <w:jc w:val="both"/>
        <w:rPr>
          <w:rFonts w:ascii="Palatino Linotype" w:eastAsia="Palatino Linotype" w:hAnsi="Palatino Linotype" w:cs="Palatino Linotype"/>
          <w:i/>
        </w:rPr>
      </w:pPr>
    </w:p>
    <w:p w14:paraId="77FC1C5B" w14:textId="77777777" w:rsidR="00DF14A7" w:rsidRPr="00C92C90" w:rsidRDefault="00E3414A">
      <w:pPr>
        <w:spacing w:line="276" w:lineRule="auto"/>
        <w:ind w:left="567" w:right="901"/>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i/>
          <w:sz w:val="22"/>
          <w:szCs w:val="22"/>
        </w:rPr>
        <w:t>“</w:t>
      </w:r>
      <w:r w:rsidRPr="00C92C90">
        <w:rPr>
          <w:rFonts w:ascii="Palatino Linotype" w:eastAsia="Palatino Linotype" w:hAnsi="Palatino Linotype" w:cs="Palatino Linotype"/>
          <w:b/>
          <w:i/>
          <w:sz w:val="22"/>
          <w:szCs w:val="22"/>
        </w:rPr>
        <w:t xml:space="preserve">Artículo 178. </w:t>
      </w:r>
      <w:r w:rsidRPr="00C92C90">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C92C90">
        <w:rPr>
          <w:rFonts w:ascii="Palatino Linotype" w:eastAsia="Palatino Linotype" w:hAnsi="Palatino Linotype" w:cs="Palatino Linotype"/>
          <w:b/>
          <w:i/>
          <w:sz w:val="22"/>
          <w:szCs w:val="22"/>
        </w:rPr>
        <w:t>.</w:t>
      </w:r>
    </w:p>
    <w:p w14:paraId="1DD8B6C3" w14:textId="77777777" w:rsidR="00DF14A7" w:rsidRPr="00C92C90" w:rsidRDefault="00DF14A7">
      <w:pPr>
        <w:spacing w:line="276" w:lineRule="auto"/>
        <w:ind w:left="567" w:right="616"/>
        <w:jc w:val="both"/>
        <w:rPr>
          <w:rFonts w:ascii="Palatino Linotype" w:eastAsia="Palatino Linotype" w:hAnsi="Palatino Linotype" w:cs="Palatino Linotype"/>
          <w:b/>
          <w:i/>
          <w:sz w:val="22"/>
          <w:szCs w:val="22"/>
        </w:rPr>
      </w:pPr>
    </w:p>
    <w:p w14:paraId="1DE8194E" w14:textId="77777777" w:rsidR="00DF14A7" w:rsidRPr="00C92C90" w:rsidRDefault="00E3414A">
      <w:pPr>
        <w:spacing w:line="276" w:lineRule="auto"/>
        <w:ind w:left="567" w:right="616"/>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w:t>
      </w:r>
      <w:r w:rsidRPr="00C92C90">
        <w:t xml:space="preserve"> </w:t>
      </w:r>
      <w:r w:rsidRPr="00C92C90">
        <w:rPr>
          <w:rFonts w:ascii="Palatino Linotype" w:eastAsia="Palatino Linotype" w:hAnsi="Palatino Linotype" w:cs="Palatino Linotype"/>
          <w:i/>
          <w:sz w:val="22"/>
          <w:szCs w:val="22"/>
        </w:rPr>
        <w:t>acompañado con el documento que pruebe la fecha en que presentó la solicitud</w:t>
      </w:r>
      <w:r w:rsidRPr="00C92C90">
        <w:rPr>
          <w:rFonts w:ascii="Palatino Linotype" w:eastAsia="Palatino Linotype" w:hAnsi="Palatino Linotype" w:cs="Palatino Linotype"/>
          <w:b/>
          <w:i/>
          <w:sz w:val="22"/>
          <w:szCs w:val="22"/>
        </w:rPr>
        <w:t>.”</w:t>
      </w:r>
    </w:p>
    <w:p w14:paraId="6C1F7D3B" w14:textId="77777777" w:rsidR="00DF14A7" w:rsidRPr="00C92C90" w:rsidRDefault="00DF14A7">
      <w:pPr>
        <w:spacing w:line="360" w:lineRule="auto"/>
        <w:ind w:left="851" w:right="851"/>
        <w:jc w:val="both"/>
        <w:rPr>
          <w:rFonts w:ascii="Palatino Linotype" w:eastAsia="Palatino Linotype" w:hAnsi="Palatino Linotype" w:cs="Palatino Linotype"/>
          <w:i/>
        </w:rPr>
      </w:pPr>
    </w:p>
    <w:p w14:paraId="0F142D9C"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el </w:t>
      </w:r>
      <w:r w:rsidRPr="00C92C90">
        <w:rPr>
          <w:rFonts w:ascii="Palatino Linotype" w:eastAsia="Palatino Linotype" w:hAnsi="Palatino Linotype" w:cs="Palatino Linotype"/>
          <w:b/>
        </w:rPr>
        <w:t xml:space="preserve">Sujeto Obligado </w:t>
      </w:r>
      <w:r w:rsidRPr="00C92C90">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C92C90">
        <w:rPr>
          <w:rFonts w:ascii="Palatino Linotype" w:eastAsia="Palatino Linotype" w:hAnsi="Palatino Linotype" w:cs="Palatino Linotype"/>
          <w:b/>
          <w:u w:val="single"/>
        </w:rPr>
        <w:t>la interposición del recurso de revisión puede ser en cualquier momento.</w:t>
      </w:r>
    </w:p>
    <w:p w14:paraId="14265FD0" w14:textId="77777777" w:rsidR="00DF14A7" w:rsidRPr="00C92C90" w:rsidRDefault="00DF14A7">
      <w:pPr>
        <w:spacing w:line="360" w:lineRule="auto"/>
        <w:jc w:val="both"/>
        <w:rPr>
          <w:rFonts w:ascii="Palatino Linotype" w:eastAsia="Palatino Linotype" w:hAnsi="Palatino Linotype" w:cs="Palatino Linotype"/>
        </w:rPr>
      </w:pPr>
    </w:p>
    <w:p w14:paraId="1F367380"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La negativa ficta constituye una presunción legal, en el entendido de que donde no hubo respuesta por parte del </w:t>
      </w:r>
      <w:r w:rsidRPr="00C92C90">
        <w:rPr>
          <w:rFonts w:ascii="Palatino Linotype" w:eastAsia="Palatino Linotype" w:hAnsi="Palatino Linotype" w:cs="Palatino Linotype"/>
          <w:b/>
        </w:rPr>
        <w:t xml:space="preserve">Sujeto Obligado </w:t>
      </w:r>
      <w:r w:rsidRPr="00C92C90">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06F9AD2D" w14:textId="77777777" w:rsidR="00DF14A7" w:rsidRPr="00C92C90" w:rsidRDefault="00DF14A7">
      <w:pPr>
        <w:spacing w:line="360" w:lineRule="auto"/>
        <w:jc w:val="both"/>
        <w:rPr>
          <w:rFonts w:ascii="Palatino Linotype" w:eastAsia="Palatino Linotype" w:hAnsi="Palatino Linotype" w:cs="Palatino Linotype"/>
        </w:rPr>
      </w:pPr>
    </w:p>
    <w:p w14:paraId="33754940"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w:t>
      </w:r>
      <w:r w:rsidRPr="00C92C90">
        <w:rPr>
          <w:rFonts w:ascii="Palatino Linotype" w:eastAsia="Palatino Linotype" w:hAnsi="Palatino Linotype" w:cs="Palatino Linotype"/>
        </w:rPr>
        <w:lastRenderedPageBreak/>
        <w:t xml:space="preserve">los cuales la misma ley se rige que atienden a la simplicidad y rapidez al acceso a la información, por lo tanto antes de que se actualice un recurso extemporáneo, se actualiza la omisión del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C92C90">
        <w:rPr>
          <w:rFonts w:ascii="Palatino Linotype" w:eastAsia="Palatino Linotype" w:hAnsi="Palatino Linotype" w:cs="Palatino Linotype"/>
        </w:rPr>
        <w:t>desechamiento</w:t>
      </w:r>
      <w:proofErr w:type="spellEnd"/>
      <w:r w:rsidRPr="00C92C90">
        <w:rPr>
          <w:rFonts w:ascii="Palatino Linotype" w:eastAsia="Palatino Linotype" w:hAnsi="Palatino Linotype" w:cs="Palatino Linotype"/>
        </w:rPr>
        <w:t xml:space="preserve"> del mismo.</w:t>
      </w:r>
    </w:p>
    <w:p w14:paraId="3587F50A" w14:textId="77777777" w:rsidR="00DF14A7" w:rsidRPr="00C92C90" w:rsidRDefault="00DF14A7">
      <w:pPr>
        <w:spacing w:line="360" w:lineRule="auto"/>
        <w:jc w:val="both"/>
        <w:rPr>
          <w:rFonts w:ascii="Palatino Linotype" w:eastAsia="Palatino Linotype" w:hAnsi="Palatino Linotype" w:cs="Palatino Linotype"/>
        </w:rPr>
      </w:pPr>
    </w:p>
    <w:p w14:paraId="3BD063D7"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4492F577" w14:textId="77777777" w:rsidR="00DF14A7" w:rsidRPr="00C92C90" w:rsidRDefault="00DF14A7">
      <w:pPr>
        <w:spacing w:line="276" w:lineRule="auto"/>
        <w:jc w:val="both"/>
        <w:rPr>
          <w:rFonts w:ascii="Palatino Linotype" w:eastAsia="Palatino Linotype" w:hAnsi="Palatino Linotype" w:cs="Palatino Linotype"/>
          <w:i/>
        </w:rPr>
      </w:pPr>
    </w:p>
    <w:p w14:paraId="54DF9F36" w14:textId="77777777" w:rsidR="00DF14A7" w:rsidRPr="00C92C90" w:rsidRDefault="00E3414A">
      <w:pPr>
        <w:tabs>
          <w:tab w:val="left" w:pos="1276"/>
        </w:tabs>
        <w:spacing w:line="276" w:lineRule="auto"/>
        <w:ind w:left="567" w:right="616"/>
        <w:jc w:val="both"/>
        <w:rPr>
          <w:rFonts w:ascii="Palatino Linotype" w:eastAsia="Palatino Linotype" w:hAnsi="Palatino Linotype" w:cs="Palatino Linotype"/>
          <w:i/>
        </w:rPr>
      </w:pPr>
      <w:r w:rsidRPr="00C92C90">
        <w:rPr>
          <w:rFonts w:ascii="Palatino Linotype" w:eastAsia="Palatino Linotype" w:hAnsi="Palatino Linotype" w:cs="Palatino Linotype"/>
          <w:b/>
          <w:i/>
          <w:sz w:val="22"/>
          <w:szCs w:val="22"/>
        </w:rPr>
        <w:t>“CRITERIO 0001-15. NEGATIVA FICTA. PLAZO PARA INTERPONER EL RECURSO DE REVISIÓN TRATÁNDOSE DE</w:t>
      </w:r>
      <w:r w:rsidRPr="00C92C90">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C92C90">
        <w:rPr>
          <w:rFonts w:ascii="Palatino Linotype" w:eastAsia="Palatino Linotype" w:hAnsi="Palatino Linotype" w:cs="Palatino Linotype"/>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C92C90">
        <w:rPr>
          <w:rFonts w:ascii="Palatino Linotype" w:eastAsia="Palatino Linotype" w:hAnsi="Palatino Linotype" w:cs="Palatino Linotype"/>
          <w:i/>
        </w:rPr>
        <w:t xml:space="preserve"> </w:t>
      </w:r>
    </w:p>
    <w:p w14:paraId="21EBB150" w14:textId="77777777" w:rsidR="00DF14A7" w:rsidRPr="00C92C90" w:rsidRDefault="00DF14A7">
      <w:pPr>
        <w:spacing w:line="276" w:lineRule="auto"/>
        <w:ind w:right="851"/>
        <w:jc w:val="both"/>
        <w:rPr>
          <w:rFonts w:ascii="Palatino Linotype" w:eastAsia="Palatino Linotype" w:hAnsi="Palatino Linotype" w:cs="Palatino Linotype"/>
        </w:rPr>
      </w:pPr>
    </w:p>
    <w:p w14:paraId="69FE039B" w14:textId="77777777" w:rsidR="00DF14A7" w:rsidRPr="00C92C90" w:rsidRDefault="00E3414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Asimismo, por cuanto hace a la procedibilidad del  recurso de revisión, es de suma importancia señalar que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no señaló nombre completo para ser identificada, como se advierte en el detalle de seguimiento del SAIMEX, no obstante lo anterior, el proporcionar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0DD3E54" w14:textId="77777777" w:rsidR="00DF14A7" w:rsidRPr="00C92C90" w:rsidRDefault="00E3414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2AD015E"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21A5FB8" w14:textId="77777777" w:rsidR="00DF14A7" w:rsidRPr="00C92C90" w:rsidRDefault="00DF14A7">
      <w:pPr>
        <w:spacing w:line="360" w:lineRule="auto"/>
        <w:jc w:val="both"/>
        <w:rPr>
          <w:rFonts w:ascii="Palatino Linotype" w:eastAsia="Palatino Linotype" w:hAnsi="Palatino Linotype" w:cs="Palatino Linotype"/>
        </w:rPr>
      </w:pPr>
    </w:p>
    <w:p w14:paraId="58D6F740"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Finalmente, antes de entrar al estudio de la presente resolución es preciso determinar si resulta procedente la interposición del recurso de revisión, toda vez </w:t>
      </w:r>
      <w:r w:rsidRPr="00C92C90">
        <w:rPr>
          <w:rFonts w:ascii="Palatino Linotype" w:eastAsia="Palatino Linotype" w:hAnsi="Palatino Linotype" w:cs="Palatino Linotype"/>
        </w:rPr>
        <w:lastRenderedPageBreak/>
        <w:t>que se actualiza la hipótesis prevista en el artículo 179, fracción VII de la ley de la materia, que a la letra dice:</w:t>
      </w:r>
    </w:p>
    <w:p w14:paraId="49D8312F" w14:textId="77777777" w:rsidR="00DF14A7" w:rsidRPr="00C92C90" w:rsidRDefault="00DF14A7">
      <w:pPr>
        <w:spacing w:line="360" w:lineRule="auto"/>
        <w:jc w:val="both"/>
        <w:rPr>
          <w:rFonts w:ascii="Palatino Linotype" w:eastAsia="Palatino Linotype" w:hAnsi="Palatino Linotype" w:cs="Palatino Linotype"/>
        </w:rPr>
      </w:pPr>
    </w:p>
    <w:p w14:paraId="05E3B73D" w14:textId="77777777" w:rsidR="00DF14A7" w:rsidRPr="00C92C90" w:rsidRDefault="00E3414A">
      <w:pPr>
        <w:spacing w:line="276" w:lineRule="auto"/>
        <w:ind w:left="567" w:right="851"/>
        <w:jc w:val="both"/>
        <w:rPr>
          <w:rFonts w:ascii="Palatino Linotype" w:eastAsia="Palatino Linotype" w:hAnsi="Palatino Linotype" w:cs="Palatino Linotype"/>
          <w:i/>
        </w:rPr>
      </w:pPr>
      <w:r w:rsidRPr="00C92C90">
        <w:rPr>
          <w:rFonts w:ascii="Palatino Linotype" w:eastAsia="Palatino Linotype" w:hAnsi="Palatino Linotype" w:cs="Palatino Linotype"/>
          <w:i/>
          <w:sz w:val="22"/>
          <w:szCs w:val="22"/>
        </w:rPr>
        <w:t>“</w:t>
      </w:r>
      <w:r w:rsidRPr="00C92C90">
        <w:rPr>
          <w:rFonts w:ascii="Palatino Linotype" w:eastAsia="Palatino Linotype" w:hAnsi="Palatino Linotype" w:cs="Palatino Linotype"/>
          <w:b/>
          <w:i/>
          <w:sz w:val="22"/>
          <w:szCs w:val="22"/>
        </w:rPr>
        <w:t xml:space="preserve">Artículo 179. </w:t>
      </w:r>
      <w:r w:rsidRPr="00C92C9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BF94680" w14:textId="77777777" w:rsidR="00DF14A7" w:rsidRPr="00C92C90" w:rsidRDefault="00E3414A">
      <w:pPr>
        <w:spacing w:line="276" w:lineRule="auto"/>
        <w:ind w:left="567" w:right="851"/>
        <w:jc w:val="both"/>
        <w:rPr>
          <w:rFonts w:ascii="Palatino Linotype" w:eastAsia="Palatino Linotype" w:hAnsi="Palatino Linotype" w:cs="Palatino Linotype"/>
          <w:i/>
        </w:rPr>
      </w:pPr>
      <w:r w:rsidRPr="00C92C90">
        <w:rPr>
          <w:rFonts w:ascii="Palatino Linotype" w:eastAsia="Palatino Linotype" w:hAnsi="Palatino Linotype" w:cs="Palatino Linotype"/>
          <w:i/>
        </w:rPr>
        <w:t>…</w:t>
      </w:r>
    </w:p>
    <w:p w14:paraId="75125DD6" w14:textId="77777777" w:rsidR="00DF14A7" w:rsidRPr="00C92C90" w:rsidRDefault="00E3414A">
      <w:pPr>
        <w:spacing w:line="276" w:lineRule="auto"/>
        <w:ind w:left="567" w:right="851"/>
        <w:jc w:val="both"/>
        <w:rPr>
          <w:rFonts w:ascii="Palatino Linotype" w:eastAsia="Palatino Linotype" w:hAnsi="Palatino Linotype" w:cs="Palatino Linotype"/>
          <w:i/>
        </w:rPr>
      </w:pPr>
      <w:r w:rsidRPr="00C92C90">
        <w:rPr>
          <w:rFonts w:ascii="Palatino Linotype" w:eastAsia="Palatino Linotype" w:hAnsi="Palatino Linotype" w:cs="Palatino Linotype"/>
          <w:b/>
          <w:i/>
          <w:sz w:val="22"/>
          <w:szCs w:val="22"/>
        </w:rPr>
        <w:t xml:space="preserve">VII. </w:t>
      </w:r>
      <w:r w:rsidRPr="00C92C90">
        <w:rPr>
          <w:rFonts w:ascii="Palatino Linotype" w:eastAsia="Palatino Linotype" w:hAnsi="Palatino Linotype" w:cs="Palatino Linotype"/>
          <w:i/>
          <w:sz w:val="22"/>
          <w:szCs w:val="22"/>
        </w:rPr>
        <w:t>La falta de respuesta a una solicitud de acceso a la información;”</w:t>
      </w:r>
    </w:p>
    <w:p w14:paraId="5CA6C391" w14:textId="77777777" w:rsidR="00DF14A7" w:rsidRPr="00C92C90" w:rsidRDefault="00DF14A7">
      <w:pPr>
        <w:spacing w:line="360" w:lineRule="auto"/>
        <w:ind w:left="1134" w:right="851"/>
        <w:jc w:val="both"/>
        <w:rPr>
          <w:rFonts w:ascii="Palatino Linotype" w:eastAsia="Palatino Linotype" w:hAnsi="Palatino Linotype" w:cs="Palatino Linotype"/>
          <w:i/>
          <w:sz w:val="22"/>
          <w:szCs w:val="22"/>
        </w:rPr>
      </w:pPr>
    </w:p>
    <w:p w14:paraId="04A97004"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El precepto legal citado, establece como supuesto de procedencia del recurso de revisión, en aquellos casos en que  </w:t>
      </w:r>
      <w:r w:rsidRPr="00C92C90">
        <w:rPr>
          <w:rFonts w:ascii="Palatino Linotype" w:eastAsia="Palatino Linotype" w:hAnsi="Palatino Linotype" w:cs="Palatino Linotype"/>
          <w:b/>
        </w:rPr>
        <w:t>la parte</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 xml:space="preserve">Recurrente </w:t>
      </w:r>
      <w:r w:rsidRPr="00C92C90">
        <w:rPr>
          <w:rFonts w:ascii="Palatino Linotype" w:eastAsia="Palatino Linotype" w:hAnsi="Palatino Linotype" w:cs="Palatino Linotype"/>
        </w:rPr>
        <w:t xml:space="preserve">estime negado el acceso a la información por la falta de respuesta por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en este asunto se actualiza la hipótesis jurídica citada, en atención a que </w:t>
      </w:r>
      <w:r w:rsidRPr="00C92C90">
        <w:rPr>
          <w:rFonts w:ascii="Palatino Linotype" w:eastAsia="Palatino Linotype" w:hAnsi="Palatino Linotype" w:cs="Palatino Linotype"/>
          <w:b/>
        </w:rPr>
        <w:t>la parte</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Recurrente</w:t>
      </w:r>
      <w:r w:rsidRPr="00C92C90">
        <w:rPr>
          <w:rFonts w:ascii="Palatino Linotype" w:eastAsia="Palatino Linotype" w:hAnsi="Palatino Linotype" w:cs="Palatino Linotype"/>
        </w:rPr>
        <w:t xml:space="preserve"> combate falta de trámite por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y expresa motivos de inconformidad en contra de dicha circunstancia.</w:t>
      </w:r>
    </w:p>
    <w:p w14:paraId="733AF0DD"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Tercero. Materia de la revisión. </w:t>
      </w:r>
      <w:r w:rsidRPr="00C92C9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92C90">
        <w:rPr>
          <w:rFonts w:ascii="Palatino Linotype" w:eastAsia="Palatino Linotype" w:hAnsi="Palatino Linotype" w:cs="Palatino Linotype"/>
          <w:b/>
        </w:rPr>
        <w:t xml:space="preserve">verificar si el pronunciamiento vertido en informe justificado por el Sujeto Obligado es adecuado y suficiente para satisfacer el derecho de acceso a la información pública </w:t>
      </w:r>
      <w:r w:rsidRPr="00C92C90">
        <w:rPr>
          <w:rFonts w:ascii="Palatino Linotype" w:eastAsia="Palatino Linotype" w:hAnsi="Palatino Linotype" w:cs="Palatino Linotype"/>
        </w:rPr>
        <w:t xml:space="preserve">de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o en su defecto, en caso de ser procedente, ordenar la entrega de información oportuna.</w:t>
      </w:r>
    </w:p>
    <w:p w14:paraId="37373CF5"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b/>
        </w:rPr>
        <w:t xml:space="preserve">Cuarto. Estudio del asunto. </w:t>
      </w:r>
      <w:r w:rsidRPr="00C92C90">
        <w:rPr>
          <w:rFonts w:ascii="Palatino Linotype" w:eastAsia="Palatino Linotype" w:hAnsi="Palatino Linotype" w:cs="Palatino Linotype"/>
        </w:rPr>
        <w:t xml:space="preserve">Antes de entrar al análisis de los pronunciamientos del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en la respuesta proporcionada, es necesario mencionar que el </w:t>
      </w:r>
      <w:r w:rsidRPr="00C92C90">
        <w:rPr>
          <w:rFonts w:ascii="Palatino Linotype" w:eastAsia="Palatino Linotype" w:hAnsi="Palatino Linotype" w:cs="Palatino Linotype"/>
        </w:rPr>
        <w:lastRenderedPageBreak/>
        <w:t>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D2A416B" w14:textId="77777777" w:rsidR="00DF14A7" w:rsidRPr="00C92C90" w:rsidRDefault="00E3414A">
      <w:pPr>
        <w:pBdr>
          <w:top w:val="nil"/>
          <w:left w:val="nil"/>
          <w:bottom w:val="nil"/>
          <w:right w:val="nil"/>
          <w:between w:val="nil"/>
        </w:pBdr>
        <w:spacing w:before="240" w:after="240"/>
        <w:ind w:left="851" w:right="850"/>
        <w:jc w:val="both"/>
      </w:pPr>
      <w:r w:rsidRPr="00C92C9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92C9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91C8B79" w14:textId="77777777" w:rsidR="00DF14A7" w:rsidRPr="00C92C90" w:rsidRDefault="00E3414A">
      <w:pPr>
        <w:pBdr>
          <w:top w:val="nil"/>
          <w:left w:val="nil"/>
          <w:bottom w:val="nil"/>
          <w:right w:val="nil"/>
          <w:between w:val="nil"/>
        </w:pBdr>
        <w:spacing w:before="240" w:after="240"/>
        <w:ind w:left="851" w:right="850"/>
        <w:jc w:val="both"/>
      </w:pPr>
      <w:r w:rsidRPr="00C92C9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71F867D" w14:textId="77777777" w:rsidR="00DF14A7" w:rsidRPr="00C92C90" w:rsidRDefault="00E3414A">
      <w:pPr>
        <w:pBdr>
          <w:top w:val="nil"/>
          <w:left w:val="nil"/>
          <w:bottom w:val="nil"/>
          <w:right w:val="nil"/>
          <w:between w:val="nil"/>
        </w:pBdr>
        <w:spacing w:before="240" w:after="240"/>
        <w:ind w:left="851" w:right="850"/>
        <w:jc w:val="both"/>
      </w:pPr>
      <w:r w:rsidRPr="00C92C9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92C9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F77219C" w14:textId="77777777" w:rsidR="00DF14A7" w:rsidRPr="00C92C90" w:rsidRDefault="00E3414A">
      <w:pPr>
        <w:pBdr>
          <w:top w:val="nil"/>
          <w:left w:val="nil"/>
          <w:bottom w:val="nil"/>
          <w:right w:val="nil"/>
          <w:between w:val="nil"/>
        </w:pBdr>
        <w:spacing w:before="240" w:after="240"/>
        <w:ind w:left="851" w:right="850"/>
        <w:jc w:val="both"/>
      </w:pPr>
      <w:r w:rsidRPr="00C92C90">
        <w:rPr>
          <w:rFonts w:ascii="Palatino Linotype" w:eastAsia="Palatino Linotype" w:hAnsi="Palatino Linotype" w:cs="Palatino Linotype"/>
          <w:i/>
          <w:sz w:val="22"/>
          <w:szCs w:val="22"/>
        </w:rPr>
        <w:t>[…]</w:t>
      </w:r>
    </w:p>
    <w:p w14:paraId="085119FE" w14:textId="77777777" w:rsidR="00DF14A7" w:rsidRPr="00C92C90" w:rsidRDefault="00E3414A">
      <w:pPr>
        <w:pBdr>
          <w:top w:val="nil"/>
          <w:left w:val="nil"/>
          <w:bottom w:val="nil"/>
          <w:right w:val="nil"/>
          <w:between w:val="nil"/>
        </w:pBdr>
        <w:spacing w:before="240" w:after="240"/>
        <w:ind w:left="851" w:right="901"/>
        <w:jc w:val="both"/>
      </w:pPr>
      <w:r w:rsidRPr="00C92C90">
        <w:rPr>
          <w:rFonts w:ascii="Palatino Linotype" w:eastAsia="Palatino Linotype" w:hAnsi="Palatino Linotype" w:cs="Palatino Linotype"/>
          <w:b/>
          <w:i/>
          <w:sz w:val="22"/>
          <w:szCs w:val="22"/>
        </w:rPr>
        <w:t>“Artículo 6o.</w:t>
      </w:r>
    </w:p>
    <w:p w14:paraId="2A5EE138" w14:textId="77777777" w:rsidR="00DF14A7" w:rsidRPr="00C92C90" w:rsidRDefault="00E3414A">
      <w:pPr>
        <w:pBdr>
          <w:top w:val="nil"/>
          <w:left w:val="nil"/>
          <w:bottom w:val="nil"/>
          <w:right w:val="nil"/>
          <w:between w:val="nil"/>
        </w:pBdr>
        <w:spacing w:before="240" w:after="240"/>
        <w:ind w:left="851" w:right="901"/>
        <w:jc w:val="both"/>
      </w:pPr>
      <w:r w:rsidRPr="00C92C90">
        <w:rPr>
          <w:rFonts w:ascii="Palatino Linotype" w:eastAsia="Palatino Linotype" w:hAnsi="Palatino Linotype" w:cs="Palatino Linotype"/>
          <w:i/>
          <w:sz w:val="22"/>
          <w:szCs w:val="22"/>
        </w:rPr>
        <w:t>[...]</w:t>
      </w:r>
    </w:p>
    <w:p w14:paraId="14F2E0D0"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b/>
          <w:i/>
          <w:sz w:val="22"/>
          <w:szCs w:val="22"/>
        </w:rPr>
        <w:t xml:space="preserve">A. Para el ejercicio del derecho de acceso a la información, la Federación y </w:t>
      </w:r>
      <w:r w:rsidRPr="00C92C90">
        <w:rPr>
          <w:rFonts w:ascii="Palatino Linotype" w:eastAsia="Palatino Linotype" w:hAnsi="Palatino Linotype" w:cs="Palatino Linotype"/>
          <w:b/>
          <w:i/>
          <w:sz w:val="22"/>
          <w:szCs w:val="22"/>
          <w:u w:val="single"/>
        </w:rPr>
        <w:t>las entidades federativas</w:t>
      </w:r>
      <w:r w:rsidRPr="00C92C90">
        <w:rPr>
          <w:rFonts w:ascii="Palatino Linotype" w:eastAsia="Palatino Linotype" w:hAnsi="Palatino Linotype" w:cs="Palatino Linotype"/>
          <w:b/>
          <w:i/>
          <w:sz w:val="22"/>
          <w:szCs w:val="22"/>
        </w:rPr>
        <w:t>,</w:t>
      </w:r>
      <w:r w:rsidRPr="00C92C90">
        <w:rPr>
          <w:rFonts w:ascii="Palatino Linotype" w:eastAsia="Palatino Linotype" w:hAnsi="Palatino Linotype" w:cs="Palatino Linotype"/>
          <w:i/>
          <w:sz w:val="22"/>
          <w:szCs w:val="22"/>
        </w:rPr>
        <w:t xml:space="preserve"> en el ámbito de sus respectivas competencias, se regirán por los siguientes principios y bases:</w:t>
      </w:r>
    </w:p>
    <w:p w14:paraId="44A73945"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i/>
          <w:sz w:val="22"/>
          <w:szCs w:val="22"/>
        </w:rPr>
        <w:lastRenderedPageBreak/>
        <w:t> </w:t>
      </w:r>
      <w:r w:rsidRPr="00C92C90">
        <w:rPr>
          <w:rFonts w:ascii="Palatino Linotype" w:eastAsia="Palatino Linotype" w:hAnsi="Palatino Linotype" w:cs="Palatino Linotype"/>
          <w:b/>
          <w:i/>
          <w:sz w:val="22"/>
          <w:szCs w:val="22"/>
        </w:rPr>
        <w:t xml:space="preserve">I. </w:t>
      </w:r>
      <w:r w:rsidRPr="00C92C9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92C90">
        <w:rPr>
          <w:rFonts w:ascii="Palatino Linotype" w:eastAsia="Palatino Linotype" w:hAnsi="Palatino Linotype" w:cs="Palatino Linotype"/>
          <w:i/>
          <w:sz w:val="22"/>
          <w:szCs w:val="22"/>
        </w:rPr>
        <w:t xml:space="preserve"> Ejecutivo, Legislativo </w:t>
      </w:r>
      <w:r w:rsidRPr="00C92C90">
        <w:rPr>
          <w:rFonts w:ascii="Palatino Linotype" w:eastAsia="Palatino Linotype" w:hAnsi="Palatino Linotype" w:cs="Palatino Linotype"/>
          <w:b/>
          <w:i/>
          <w:sz w:val="22"/>
          <w:szCs w:val="22"/>
          <w:u w:val="single"/>
        </w:rPr>
        <w:t>y Judicial</w:t>
      </w:r>
      <w:r w:rsidRPr="00C92C9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92C90">
        <w:rPr>
          <w:rFonts w:ascii="Palatino Linotype" w:eastAsia="Palatino Linotype" w:hAnsi="Palatino Linotype" w:cs="Palatino Linotype"/>
          <w:b/>
          <w:i/>
          <w:sz w:val="22"/>
          <w:szCs w:val="22"/>
        </w:rPr>
        <w:t>es pública y sólo podrá ser reservada temporalmente por razones de interés público y seguridad nacional,</w:t>
      </w:r>
      <w:r w:rsidRPr="00C92C9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4CDE43"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i/>
          <w:sz w:val="22"/>
          <w:szCs w:val="22"/>
        </w:rPr>
        <w:t> </w:t>
      </w:r>
      <w:r w:rsidRPr="00C92C9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5F79425"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i/>
          <w:sz w:val="22"/>
          <w:szCs w:val="22"/>
        </w:rPr>
        <w:t> </w:t>
      </w:r>
      <w:r w:rsidRPr="00C92C90">
        <w:rPr>
          <w:rFonts w:ascii="Palatino Linotype" w:eastAsia="Palatino Linotype" w:hAnsi="Palatino Linotype" w:cs="Palatino Linotype"/>
          <w:b/>
          <w:i/>
          <w:sz w:val="22"/>
          <w:szCs w:val="22"/>
        </w:rPr>
        <w:t xml:space="preserve">III. </w:t>
      </w:r>
      <w:r w:rsidRPr="00C92C9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92C90">
        <w:rPr>
          <w:rFonts w:ascii="Palatino Linotype" w:eastAsia="Palatino Linotype" w:hAnsi="Palatino Linotype" w:cs="Palatino Linotype"/>
          <w:i/>
          <w:sz w:val="22"/>
          <w:szCs w:val="22"/>
        </w:rPr>
        <w:t xml:space="preserve"> a sus datos personales o a la rectificación de éstos.</w:t>
      </w:r>
    </w:p>
    <w:p w14:paraId="45FB272F"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i/>
          <w:sz w:val="22"/>
          <w:szCs w:val="22"/>
        </w:rPr>
        <w:t> </w:t>
      </w:r>
      <w:r w:rsidRPr="00C92C90">
        <w:rPr>
          <w:rFonts w:ascii="Palatino Linotype" w:eastAsia="Palatino Linotype" w:hAnsi="Palatino Linotype" w:cs="Palatino Linotype"/>
          <w:b/>
          <w:i/>
          <w:sz w:val="22"/>
          <w:szCs w:val="22"/>
        </w:rPr>
        <w:t xml:space="preserve">IV. </w:t>
      </w:r>
      <w:r w:rsidRPr="00C92C9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F1B0473"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b/>
          <w:i/>
          <w:sz w:val="22"/>
          <w:szCs w:val="22"/>
        </w:rPr>
        <w:t xml:space="preserve">V. </w:t>
      </w:r>
      <w:r w:rsidRPr="00C92C9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A868977"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i/>
          <w:sz w:val="22"/>
          <w:szCs w:val="22"/>
        </w:rPr>
        <w:t> </w:t>
      </w:r>
      <w:r w:rsidRPr="00C92C90">
        <w:rPr>
          <w:rFonts w:ascii="Palatino Linotype" w:eastAsia="Palatino Linotype" w:hAnsi="Palatino Linotype" w:cs="Palatino Linotype"/>
          <w:b/>
          <w:i/>
          <w:sz w:val="22"/>
          <w:szCs w:val="22"/>
        </w:rPr>
        <w:t xml:space="preserve">VI. </w:t>
      </w:r>
      <w:r w:rsidRPr="00C92C9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6548453" w14:textId="77777777" w:rsidR="00DF14A7" w:rsidRPr="00C92C90" w:rsidRDefault="00E3414A">
      <w:pPr>
        <w:pBdr>
          <w:top w:val="nil"/>
          <w:left w:val="nil"/>
          <w:bottom w:val="nil"/>
          <w:right w:val="nil"/>
          <w:between w:val="nil"/>
        </w:pBdr>
        <w:spacing w:before="240" w:after="240"/>
        <w:ind w:left="851" w:right="851"/>
        <w:jc w:val="both"/>
      </w:pPr>
      <w:r w:rsidRPr="00C92C90">
        <w:rPr>
          <w:rFonts w:ascii="Palatino Linotype" w:eastAsia="Palatino Linotype" w:hAnsi="Palatino Linotype" w:cs="Palatino Linotype"/>
          <w:i/>
          <w:sz w:val="22"/>
          <w:szCs w:val="22"/>
        </w:rPr>
        <w:t> </w:t>
      </w:r>
      <w:r w:rsidRPr="00C92C90">
        <w:rPr>
          <w:rFonts w:ascii="Palatino Linotype" w:eastAsia="Palatino Linotype" w:hAnsi="Palatino Linotype" w:cs="Palatino Linotype"/>
          <w:b/>
          <w:i/>
          <w:sz w:val="22"/>
          <w:szCs w:val="22"/>
        </w:rPr>
        <w:t xml:space="preserve">VII. </w:t>
      </w:r>
      <w:r w:rsidRPr="00C92C9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3656C26"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w:t>
      </w:r>
      <w:r w:rsidRPr="00C92C90">
        <w:rPr>
          <w:rFonts w:ascii="Palatino Linotype" w:eastAsia="Palatino Linotype" w:hAnsi="Palatino Linotype" w:cs="Palatino Linotype"/>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F2BB5C" w14:textId="77777777" w:rsidR="00DF14A7" w:rsidRPr="00C92C90" w:rsidRDefault="00E3414A">
      <w:pPr>
        <w:pBdr>
          <w:top w:val="nil"/>
          <w:left w:val="nil"/>
          <w:bottom w:val="nil"/>
          <w:right w:val="nil"/>
          <w:between w:val="nil"/>
        </w:pBdr>
        <w:spacing w:before="240" w:after="240"/>
        <w:ind w:left="709" w:right="760"/>
        <w:jc w:val="both"/>
      </w:pPr>
      <w:r w:rsidRPr="00C92C90">
        <w:rPr>
          <w:rFonts w:ascii="Palatino Linotype" w:eastAsia="Palatino Linotype" w:hAnsi="Palatino Linotype" w:cs="Palatino Linotype"/>
          <w:i/>
          <w:sz w:val="22"/>
          <w:szCs w:val="22"/>
        </w:rPr>
        <w:t>“</w:t>
      </w:r>
      <w:r w:rsidRPr="00C92C90">
        <w:rPr>
          <w:rFonts w:ascii="Palatino Linotype" w:eastAsia="Palatino Linotype" w:hAnsi="Palatino Linotype" w:cs="Palatino Linotype"/>
          <w:b/>
          <w:i/>
          <w:sz w:val="22"/>
          <w:szCs w:val="22"/>
        </w:rPr>
        <w:t>Artículo 4</w:t>
      </w:r>
      <w:r w:rsidRPr="00C92C9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F0A6BD2" w14:textId="77777777" w:rsidR="00DF14A7" w:rsidRPr="00C92C90" w:rsidRDefault="00E3414A">
      <w:pPr>
        <w:pBdr>
          <w:top w:val="nil"/>
          <w:left w:val="nil"/>
          <w:bottom w:val="nil"/>
          <w:right w:val="nil"/>
          <w:between w:val="nil"/>
        </w:pBdr>
        <w:spacing w:before="240" w:after="240"/>
        <w:ind w:left="709" w:right="760"/>
        <w:jc w:val="both"/>
      </w:pPr>
      <w:r w:rsidRPr="00C92C9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D7485A" w14:textId="77777777" w:rsidR="00DF14A7" w:rsidRPr="00C92C90" w:rsidRDefault="00E3414A">
      <w:pPr>
        <w:pBdr>
          <w:top w:val="nil"/>
          <w:left w:val="nil"/>
          <w:bottom w:val="nil"/>
          <w:right w:val="nil"/>
          <w:between w:val="nil"/>
        </w:pBdr>
        <w:spacing w:before="240" w:after="240"/>
        <w:ind w:left="709" w:right="760"/>
        <w:jc w:val="both"/>
      </w:pPr>
      <w:r w:rsidRPr="00C92C9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6FFA8A5"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8F596D5" w14:textId="77777777" w:rsidR="00DF14A7" w:rsidRPr="00C92C90" w:rsidRDefault="00E3414A">
      <w:pPr>
        <w:pBdr>
          <w:top w:val="nil"/>
          <w:left w:val="nil"/>
          <w:bottom w:val="nil"/>
          <w:right w:val="nil"/>
          <w:between w:val="nil"/>
        </w:pBdr>
        <w:spacing w:before="240" w:after="240"/>
        <w:ind w:left="567" w:right="758"/>
        <w:jc w:val="both"/>
      </w:pPr>
      <w:r w:rsidRPr="00C92C90">
        <w:rPr>
          <w:rFonts w:ascii="Palatino Linotype" w:eastAsia="Palatino Linotype" w:hAnsi="Palatino Linotype" w:cs="Palatino Linotype"/>
          <w:i/>
          <w:sz w:val="22"/>
          <w:szCs w:val="22"/>
        </w:rPr>
        <w:lastRenderedPageBreak/>
        <w:t>“</w:t>
      </w:r>
      <w:r w:rsidRPr="00C92C90">
        <w:rPr>
          <w:rFonts w:ascii="Palatino Linotype" w:eastAsia="Palatino Linotype" w:hAnsi="Palatino Linotype" w:cs="Palatino Linotype"/>
          <w:b/>
          <w:i/>
          <w:sz w:val="22"/>
          <w:szCs w:val="22"/>
        </w:rPr>
        <w:t>Artículo 12</w:t>
      </w:r>
      <w:r w:rsidRPr="00C92C9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0A861DD" w14:textId="77777777" w:rsidR="00DF14A7" w:rsidRPr="00C92C90" w:rsidRDefault="00E3414A">
      <w:pPr>
        <w:pBdr>
          <w:top w:val="nil"/>
          <w:left w:val="nil"/>
          <w:bottom w:val="nil"/>
          <w:right w:val="nil"/>
          <w:between w:val="nil"/>
        </w:pBdr>
        <w:spacing w:before="240" w:after="240"/>
        <w:ind w:left="567" w:right="758"/>
        <w:jc w:val="both"/>
      </w:pPr>
      <w:r w:rsidRPr="00C92C9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6BF381F"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C92C90">
        <w:rPr>
          <w:rFonts w:ascii="Palatino Linotype" w:eastAsia="Palatino Linotype" w:hAnsi="Palatino Linotype" w:cs="Palatino Linotype"/>
          <w:b/>
        </w:rPr>
        <w:t xml:space="preserve"> </w:t>
      </w:r>
      <w:r w:rsidRPr="00C92C9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C92C90">
        <w:rPr>
          <w:rFonts w:ascii="Palatino Linotype" w:eastAsia="Palatino Linotype" w:hAnsi="Palatino Linotype" w:cs="Palatino Linotype"/>
          <w:i/>
        </w:rPr>
        <w:t>ad hoc</w:t>
      </w:r>
      <w:r w:rsidRPr="00C92C9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0D8D91F"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b/>
          <w:i/>
          <w:sz w:val="22"/>
          <w:szCs w:val="22"/>
        </w:rPr>
        <w:t>03/17</w:t>
      </w:r>
    </w:p>
    <w:p w14:paraId="7A0E6E9F"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b/>
          <w:i/>
          <w:sz w:val="22"/>
          <w:szCs w:val="22"/>
        </w:rPr>
        <w:t>“NO EXISTE OBLIGACIÓN DE ELABORAR DOCUMENTOS AD HOC PARA ATENDER LAS SOLICITUDES DE ACCESO A LA INFORMACIÓN.</w:t>
      </w:r>
    </w:p>
    <w:p w14:paraId="16B6CD57"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F03494"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1E17E4" w14:textId="77777777" w:rsidR="00DF14A7" w:rsidRPr="00C92C90" w:rsidRDefault="00E3414A">
      <w:pPr>
        <w:pBdr>
          <w:top w:val="nil"/>
          <w:left w:val="nil"/>
          <w:bottom w:val="nil"/>
          <w:right w:val="nil"/>
          <w:between w:val="nil"/>
        </w:pBdr>
        <w:spacing w:before="240" w:after="240" w:line="360" w:lineRule="auto"/>
        <w:ind w:right="49"/>
        <w:jc w:val="both"/>
      </w:pPr>
      <w:r w:rsidRPr="00C92C9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4873EB3"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37D2DB3"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i/>
          <w:sz w:val="22"/>
          <w:szCs w:val="22"/>
        </w:rPr>
        <w:lastRenderedPageBreak/>
        <w:t>“</w:t>
      </w:r>
      <w:r w:rsidRPr="00C92C90">
        <w:rPr>
          <w:rFonts w:ascii="Palatino Linotype" w:eastAsia="Palatino Linotype" w:hAnsi="Palatino Linotype" w:cs="Palatino Linotype"/>
          <w:b/>
          <w:i/>
          <w:sz w:val="22"/>
          <w:szCs w:val="22"/>
        </w:rPr>
        <w:t xml:space="preserve">Artículo 3. </w:t>
      </w:r>
      <w:r w:rsidRPr="00C92C90">
        <w:rPr>
          <w:rFonts w:ascii="Palatino Linotype" w:eastAsia="Palatino Linotype" w:hAnsi="Palatino Linotype" w:cs="Palatino Linotype"/>
          <w:i/>
          <w:sz w:val="22"/>
          <w:szCs w:val="22"/>
        </w:rPr>
        <w:t>Para los efectos de la presente Ley se entenderá por:</w:t>
      </w:r>
    </w:p>
    <w:p w14:paraId="344F003F"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i/>
          <w:sz w:val="22"/>
          <w:szCs w:val="22"/>
        </w:rPr>
        <w:t>…</w:t>
      </w:r>
    </w:p>
    <w:p w14:paraId="55C95105"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b/>
          <w:i/>
          <w:sz w:val="22"/>
          <w:szCs w:val="22"/>
        </w:rPr>
        <w:t>XI. Documento:</w:t>
      </w:r>
      <w:r w:rsidRPr="00C92C9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92C90">
        <w:rPr>
          <w:rFonts w:ascii="Palatino Linotype" w:eastAsia="Palatino Linotype" w:hAnsi="Palatino Linotype" w:cs="Palatino Linotype"/>
          <w:b/>
          <w:i/>
          <w:sz w:val="22"/>
          <w:szCs w:val="22"/>
        </w:rPr>
        <w:t>…</w:t>
      </w:r>
      <w:r w:rsidRPr="00C92C90">
        <w:rPr>
          <w:rFonts w:ascii="Palatino Linotype" w:eastAsia="Palatino Linotype" w:hAnsi="Palatino Linotype" w:cs="Palatino Linotype"/>
          <w:i/>
          <w:sz w:val="22"/>
          <w:szCs w:val="22"/>
        </w:rPr>
        <w:t>” (Sic)</w:t>
      </w:r>
    </w:p>
    <w:p w14:paraId="27360861"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EC49BA"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b/>
          <w:sz w:val="22"/>
          <w:szCs w:val="22"/>
        </w:rPr>
        <w:t>“</w:t>
      </w:r>
      <w:r w:rsidRPr="00C92C90">
        <w:rPr>
          <w:rFonts w:ascii="Palatino Linotype" w:eastAsia="Palatino Linotype" w:hAnsi="Palatino Linotype" w:cs="Palatino Linotype"/>
          <w:b/>
          <w:i/>
          <w:sz w:val="22"/>
          <w:szCs w:val="22"/>
        </w:rPr>
        <w:t>CRITERIO 0002-11</w:t>
      </w:r>
    </w:p>
    <w:p w14:paraId="29D55244"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92C9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C1D18B" w14:textId="77777777" w:rsidR="00DF14A7" w:rsidRPr="00C92C90" w:rsidRDefault="00E3414A">
      <w:pPr>
        <w:pBdr>
          <w:top w:val="nil"/>
          <w:left w:val="nil"/>
          <w:bottom w:val="nil"/>
          <w:right w:val="nil"/>
          <w:between w:val="nil"/>
        </w:pBdr>
        <w:spacing w:before="240" w:after="240"/>
        <w:ind w:left="567" w:right="567"/>
        <w:jc w:val="both"/>
      </w:pPr>
      <w:r w:rsidRPr="00C92C9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190AF57" w14:textId="77777777" w:rsidR="00DF14A7" w:rsidRPr="00C92C90" w:rsidRDefault="00E3414A">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6A3818A" w14:textId="77777777" w:rsidR="00DF14A7" w:rsidRPr="00C92C90" w:rsidRDefault="00E3414A">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9AD31F2" w14:textId="77777777" w:rsidR="00DF14A7" w:rsidRPr="00C92C90" w:rsidRDefault="00E3414A">
      <w:pPr>
        <w:pBdr>
          <w:top w:val="nil"/>
          <w:left w:val="nil"/>
          <w:bottom w:val="nil"/>
          <w:right w:val="nil"/>
          <w:between w:val="nil"/>
        </w:pBdr>
        <w:spacing w:before="240" w:after="240"/>
        <w:ind w:left="567" w:right="567" w:hanging="284"/>
        <w:jc w:val="both"/>
      </w:pPr>
      <w:r w:rsidRPr="00C92C90">
        <w:rPr>
          <w:rFonts w:ascii="Palatino Linotype" w:eastAsia="Palatino Linotype" w:hAnsi="Palatino Linotype" w:cs="Palatino Linotype"/>
          <w:i/>
          <w:sz w:val="22"/>
          <w:szCs w:val="22"/>
        </w:rPr>
        <w:lastRenderedPageBreak/>
        <w:t xml:space="preserve">3. </w:t>
      </w:r>
      <w:r w:rsidRPr="00C92C90">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1461EE34" w14:textId="77777777" w:rsidR="00DF14A7" w:rsidRPr="00C92C90" w:rsidRDefault="00E3414A">
      <w:pPr>
        <w:pBdr>
          <w:top w:val="nil"/>
          <w:left w:val="nil"/>
          <w:bottom w:val="nil"/>
          <w:right w:val="nil"/>
          <w:between w:val="nil"/>
        </w:pBdr>
        <w:spacing w:before="240" w:after="240" w:line="360" w:lineRule="auto"/>
        <w:jc w:val="both"/>
      </w:pPr>
      <w:r w:rsidRPr="00C92C90">
        <w:rPr>
          <w:rFonts w:ascii="Palatino Linotype" w:eastAsia="Palatino Linotype" w:hAnsi="Palatino Linotype" w:cs="Palatino Linotype"/>
        </w:rPr>
        <w:t xml:space="preserve">De ahí que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BFBF9D7" w14:textId="77777777" w:rsidR="00DF14A7" w:rsidRPr="00C92C90" w:rsidRDefault="00E3414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Ahora bien, para profundizar en el estudio del presente asunto, es conveniente recordar que la parte solicitante requirió al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le proporcionara lo siguiente:</w:t>
      </w:r>
    </w:p>
    <w:p w14:paraId="5CAC6261" w14:textId="77777777" w:rsidR="00DF14A7" w:rsidRPr="00C92C90" w:rsidRDefault="00E3414A">
      <w:pPr>
        <w:pBdr>
          <w:top w:val="nil"/>
          <w:left w:val="nil"/>
          <w:bottom w:val="nil"/>
          <w:right w:val="nil"/>
          <w:between w:val="nil"/>
        </w:pBdr>
        <w:spacing w:before="240" w:line="360" w:lineRule="auto"/>
        <w:ind w:left="567" w:right="901"/>
        <w:jc w:val="both"/>
        <w:rPr>
          <w:rFonts w:ascii="Palatino Linotype" w:eastAsia="Palatino Linotype" w:hAnsi="Palatino Linotype" w:cs="Palatino Linotype"/>
          <w:b/>
          <w:sz w:val="22"/>
          <w:szCs w:val="22"/>
        </w:rPr>
      </w:pPr>
      <w:r w:rsidRPr="00C92C90">
        <w:rPr>
          <w:rFonts w:ascii="Palatino Linotype" w:eastAsia="Palatino Linotype" w:hAnsi="Palatino Linotype" w:cs="Palatino Linotype"/>
          <w:b/>
          <w:sz w:val="22"/>
          <w:szCs w:val="22"/>
        </w:rPr>
        <w:t xml:space="preserve">Del periodo del 01 de enero del 2022 a la fecha de la entrega de la información. </w:t>
      </w:r>
    </w:p>
    <w:p w14:paraId="5C4702B2" w14:textId="77777777" w:rsidR="00DF14A7" w:rsidRPr="00C92C90" w:rsidRDefault="00E3414A">
      <w:pPr>
        <w:pBdr>
          <w:top w:val="nil"/>
          <w:left w:val="nil"/>
          <w:bottom w:val="nil"/>
          <w:right w:val="nil"/>
          <w:between w:val="nil"/>
        </w:pBdr>
        <w:spacing w:line="360" w:lineRule="auto"/>
        <w:ind w:left="567" w:right="901"/>
        <w:jc w:val="both"/>
        <w:rPr>
          <w:rFonts w:ascii="Palatino Linotype" w:eastAsia="Palatino Linotype" w:hAnsi="Palatino Linotype" w:cs="Palatino Linotype"/>
          <w:b/>
          <w:sz w:val="22"/>
          <w:szCs w:val="22"/>
        </w:rPr>
      </w:pPr>
      <w:r w:rsidRPr="00C92C90">
        <w:rPr>
          <w:rFonts w:ascii="Palatino Linotype" w:eastAsia="Palatino Linotype" w:hAnsi="Palatino Linotype" w:cs="Palatino Linotype"/>
          <w:b/>
          <w:sz w:val="22"/>
          <w:szCs w:val="22"/>
        </w:rPr>
        <w:t xml:space="preserve">Por el gasto y/o pago total de balizamientos y bacheos en las vialidades del Municipio de forma individual y detallada: </w:t>
      </w:r>
    </w:p>
    <w:p w14:paraId="2B3F503D" w14:textId="77777777" w:rsidR="00DF14A7" w:rsidRPr="00C92C90" w:rsidRDefault="00E3414A">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sz w:val="22"/>
          <w:szCs w:val="22"/>
        </w:rPr>
      </w:pPr>
      <w:r w:rsidRPr="00C92C90">
        <w:rPr>
          <w:rFonts w:ascii="Palatino Linotype" w:eastAsia="Palatino Linotype" w:hAnsi="Palatino Linotype" w:cs="Palatino Linotype"/>
          <w:b/>
          <w:sz w:val="22"/>
          <w:szCs w:val="22"/>
        </w:rPr>
        <w:t xml:space="preserve">Nombre de la calle, colonia y/o población beneficiada </w:t>
      </w:r>
    </w:p>
    <w:p w14:paraId="36F60B61" w14:textId="77777777" w:rsidR="00DF14A7" w:rsidRPr="00C92C90" w:rsidRDefault="00E3414A">
      <w:pPr>
        <w:numPr>
          <w:ilvl w:val="0"/>
          <w:numId w:val="3"/>
        </w:numPr>
        <w:pBdr>
          <w:top w:val="nil"/>
          <w:left w:val="nil"/>
          <w:bottom w:val="nil"/>
          <w:right w:val="nil"/>
          <w:between w:val="nil"/>
        </w:pBdr>
        <w:spacing w:line="360" w:lineRule="auto"/>
        <w:ind w:left="567" w:right="901" w:hanging="141"/>
        <w:jc w:val="both"/>
        <w:rPr>
          <w:rFonts w:ascii="Palatino Linotype" w:eastAsia="Palatino Linotype" w:hAnsi="Palatino Linotype" w:cs="Palatino Linotype"/>
          <w:b/>
          <w:sz w:val="22"/>
          <w:szCs w:val="22"/>
        </w:rPr>
      </w:pPr>
      <w:r w:rsidRPr="00C92C90">
        <w:rPr>
          <w:rFonts w:ascii="Palatino Linotype" w:eastAsia="Palatino Linotype" w:hAnsi="Palatino Linotype" w:cs="Palatino Linotype"/>
          <w:b/>
          <w:sz w:val="22"/>
          <w:szCs w:val="22"/>
        </w:rPr>
        <w:t xml:space="preserve">Tipo y cantidad de material utilizado si fue balizamiento y/o bacheo de forma individual por calle </w:t>
      </w:r>
    </w:p>
    <w:p w14:paraId="181F4C33" w14:textId="77777777" w:rsidR="00DF14A7" w:rsidRPr="00C92C90" w:rsidRDefault="00E3414A">
      <w:pPr>
        <w:numPr>
          <w:ilvl w:val="0"/>
          <w:numId w:val="3"/>
        </w:numPr>
        <w:pBdr>
          <w:top w:val="nil"/>
          <w:left w:val="nil"/>
          <w:bottom w:val="nil"/>
          <w:right w:val="nil"/>
          <w:between w:val="nil"/>
        </w:pBdr>
        <w:spacing w:after="240" w:line="360" w:lineRule="auto"/>
        <w:ind w:left="567" w:right="901" w:hanging="141"/>
        <w:jc w:val="both"/>
        <w:rPr>
          <w:rFonts w:ascii="Palatino Linotype" w:eastAsia="Palatino Linotype" w:hAnsi="Palatino Linotype" w:cs="Palatino Linotype"/>
          <w:b/>
          <w:sz w:val="22"/>
          <w:szCs w:val="22"/>
        </w:rPr>
      </w:pPr>
      <w:r w:rsidRPr="00C92C90">
        <w:rPr>
          <w:rFonts w:ascii="Palatino Linotype" w:eastAsia="Palatino Linotype" w:hAnsi="Palatino Linotype" w:cs="Palatino Linotype"/>
          <w:b/>
          <w:sz w:val="22"/>
          <w:szCs w:val="22"/>
        </w:rPr>
        <w:t>Gasto y/o pago total de balizamiento y/o bacheo de forma individual por calle</w:t>
      </w:r>
    </w:p>
    <w:p w14:paraId="03BB10B4"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lastRenderedPageBreak/>
        <w:t xml:space="preserve">Como se detalló en los antecedentes,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fue omiso en remitir su respuesta, lo que trajo como consecuencia la interposición del recurso de revisión, expresando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lo siguiente: </w:t>
      </w:r>
      <w:r w:rsidRPr="00C92C90">
        <w:rPr>
          <w:rFonts w:ascii="Palatino Linotype" w:eastAsia="Palatino Linotype" w:hAnsi="Palatino Linotype" w:cs="Palatino Linotype"/>
          <w:i/>
          <w:sz w:val="22"/>
          <w:szCs w:val="22"/>
        </w:rPr>
        <w:t>“Con fundamento en el artículos 176, 178 y 179 Fracciones I, II, III, IV y V de la Ley de Transparencia y Acceso a la Información Pública del Estado de México y Municipios, La negativa por parte del Sujeto Obligado para la entrega de la información” (Sic)</w:t>
      </w:r>
      <w:r w:rsidRPr="00C92C90">
        <w:rPr>
          <w:rFonts w:ascii="Palatino Linotype" w:eastAsia="Palatino Linotype" w:hAnsi="Palatino Linotype" w:cs="Palatino Linotype"/>
          <w:sz w:val="22"/>
          <w:szCs w:val="22"/>
        </w:rPr>
        <w:t xml:space="preserve"> </w:t>
      </w:r>
    </w:p>
    <w:p w14:paraId="3A7C8A81" w14:textId="77777777" w:rsidR="00DF14A7" w:rsidRPr="00C92C90" w:rsidRDefault="00DF14A7">
      <w:pPr>
        <w:spacing w:line="360" w:lineRule="auto"/>
        <w:jc w:val="both"/>
        <w:rPr>
          <w:rFonts w:ascii="Palatino Linotype" w:eastAsia="Palatino Linotype" w:hAnsi="Palatino Linotype" w:cs="Palatino Linotype"/>
        </w:rPr>
      </w:pPr>
    </w:p>
    <w:p w14:paraId="56DA4AC8"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Posterior a la admisión,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proporcionó su informe justificado mediante el documento electrónico “</w:t>
      </w:r>
      <w:r w:rsidRPr="00C92C90">
        <w:rPr>
          <w:rFonts w:ascii="Palatino Linotype" w:eastAsia="Palatino Linotype" w:hAnsi="Palatino Linotype" w:cs="Palatino Linotype"/>
          <w:b/>
          <w:i/>
        </w:rPr>
        <w:t xml:space="preserve">Respuesta Obras 436.pdf”, </w:t>
      </w:r>
      <w:r w:rsidRPr="00C92C90">
        <w:rPr>
          <w:rFonts w:ascii="Palatino Linotype" w:eastAsia="Palatino Linotype" w:hAnsi="Palatino Linotype" w:cs="Palatino Linotype"/>
        </w:rPr>
        <w:t>mediante el cual el Director de Infraestructura y Obras Públicas otorga respuesta a la solicitud de información.</w:t>
      </w:r>
    </w:p>
    <w:p w14:paraId="0F73C548" w14:textId="77777777" w:rsidR="00DF14A7" w:rsidRPr="00C92C90" w:rsidRDefault="00DF14A7">
      <w:pPr>
        <w:spacing w:after="240" w:line="360" w:lineRule="auto"/>
        <w:jc w:val="both"/>
        <w:rPr>
          <w:rFonts w:ascii="Palatino Linotype" w:eastAsia="Palatino Linotype" w:hAnsi="Palatino Linotype" w:cs="Palatino Linotype"/>
        </w:rPr>
      </w:pPr>
    </w:p>
    <w:p w14:paraId="676420D6"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Una vez analizada esta documentación, se determinó ponerla a disposición de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mediante el acuerdo signado por la Comisionada Ponente el </w:t>
      </w:r>
      <w:r w:rsidRPr="00C92C90">
        <w:rPr>
          <w:rFonts w:ascii="Palatino Linotype" w:eastAsia="Palatino Linotype" w:hAnsi="Palatino Linotype" w:cs="Palatino Linotype"/>
          <w:b/>
        </w:rPr>
        <w:t>veintisiete de junio de dos mil veintitrés</w:t>
      </w:r>
      <w:r w:rsidRPr="00C92C90">
        <w:rPr>
          <w:rFonts w:ascii="Palatino Linotype" w:eastAsia="Palatino Linotype" w:hAnsi="Palatino Linotype" w:cs="Palatino Linotype"/>
        </w:rPr>
        <w:t>.</w:t>
      </w:r>
    </w:p>
    <w:p w14:paraId="074CAF1A"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De manera subsecuente, el veintiocho de junio de dos mil veintitrés, la </w:t>
      </w:r>
      <w:r w:rsidRPr="00C92C90">
        <w:rPr>
          <w:rFonts w:ascii="Palatino Linotype" w:eastAsia="Palatino Linotype" w:hAnsi="Palatino Linotype" w:cs="Palatino Linotype"/>
          <w:b/>
        </w:rPr>
        <w:t xml:space="preserve">parte Recurrente </w:t>
      </w:r>
      <w:r w:rsidRPr="00C92C90">
        <w:rPr>
          <w:rFonts w:ascii="Palatino Linotype" w:eastAsia="Palatino Linotype" w:hAnsi="Palatino Linotype" w:cs="Palatino Linotype"/>
        </w:rPr>
        <w:t xml:space="preserve">adjuntó el documento </w:t>
      </w:r>
      <w:r w:rsidRPr="00C92C90">
        <w:rPr>
          <w:rFonts w:ascii="Palatino Linotype" w:eastAsia="Palatino Linotype" w:hAnsi="Palatino Linotype" w:cs="Palatino Linotype"/>
          <w:b/>
          <w:i/>
        </w:rPr>
        <w:t xml:space="preserve">“Recurso 534.docx”, </w:t>
      </w:r>
      <w:r w:rsidRPr="00C92C90">
        <w:rPr>
          <w:rFonts w:ascii="Palatino Linotype" w:eastAsia="Palatino Linotype" w:hAnsi="Palatino Linotype" w:cs="Palatino Linotype"/>
        </w:rPr>
        <w:t>en el que expresa lo siguiente:</w:t>
      </w:r>
    </w:p>
    <w:p w14:paraId="23E62781" w14:textId="77777777" w:rsidR="00DF14A7" w:rsidRPr="00C92C90" w:rsidRDefault="00E3414A">
      <w:pPr>
        <w:spacing w:after="240" w:line="360" w:lineRule="auto"/>
        <w:jc w:val="center"/>
        <w:rPr>
          <w:rFonts w:ascii="Palatino Linotype" w:eastAsia="Palatino Linotype" w:hAnsi="Palatino Linotype" w:cs="Palatino Linotype"/>
        </w:rPr>
      </w:pPr>
      <w:r w:rsidRPr="00C92C90">
        <w:rPr>
          <w:rFonts w:ascii="Palatino Linotype" w:eastAsia="Palatino Linotype" w:hAnsi="Palatino Linotype" w:cs="Palatino Linotype"/>
          <w:noProof/>
          <w:lang w:val="es-MX"/>
        </w:rPr>
        <w:lastRenderedPageBreak/>
        <w:drawing>
          <wp:inline distT="0" distB="0" distL="0" distR="0" wp14:anchorId="498B1E52" wp14:editId="79170F8B">
            <wp:extent cx="4809354" cy="2590489"/>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809354" cy="2590489"/>
                    </a:xfrm>
                    <a:prstGeom prst="rect">
                      <a:avLst/>
                    </a:prstGeom>
                    <a:ln/>
                  </pic:spPr>
                </pic:pic>
              </a:graphicData>
            </a:graphic>
          </wp:inline>
        </w:drawing>
      </w:r>
    </w:p>
    <w:p w14:paraId="4F863609"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Teniendo en cuenta las posturas de las partes, es importante resaltar el hecho de que la unidad administrativa que se pronunció, es decir, el  Director de Infraestructura y Obras Públicas, es competente para conocer de la información, ello en virtud de que el Bando Municipal le concede las siguientes atribuciones:</w:t>
      </w:r>
    </w:p>
    <w:p w14:paraId="6AD3DD9F"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“ARTÍCULO 146.- </w:t>
      </w:r>
      <w:r w:rsidRPr="00C92C90">
        <w:rPr>
          <w:rFonts w:ascii="Palatino Linotype" w:eastAsia="Palatino Linotype" w:hAnsi="Palatino Linotype" w:cs="Palatino Linotype"/>
          <w:b/>
          <w:i/>
          <w:sz w:val="22"/>
          <w:szCs w:val="22"/>
          <w:u w:val="single"/>
        </w:rPr>
        <w:t>El Ayuntamiento, por conducto de la Dirección de Infraestructura y Obras Públicas, planeará, programará, presupuestará, adjudicará, contratará, ejecutará y supervisará, las Obras de</w:t>
      </w:r>
      <w:r w:rsidRPr="00C92C90">
        <w:rPr>
          <w:rFonts w:ascii="Palatino Linotype" w:eastAsia="Palatino Linotype" w:hAnsi="Palatino Linotype" w:cs="Palatino Linotype"/>
          <w:i/>
          <w:sz w:val="22"/>
          <w:szCs w:val="22"/>
        </w:rPr>
        <w:t xml:space="preserve"> Infraestructura y </w:t>
      </w:r>
      <w:r w:rsidRPr="00C92C90">
        <w:rPr>
          <w:rFonts w:ascii="Palatino Linotype" w:eastAsia="Palatino Linotype" w:hAnsi="Palatino Linotype" w:cs="Palatino Linotype"/>
          <w:b/>
          <w:i/>
          <w:sz w:val="22"/>
          <w:szCs w:val="22"/>
          <w:u w:val="single"/>
        </w:rPr>
        <w:t>Equipamiento Urbano Municipal</w:t>
      </w:r>
      <w:r w:rsidRPr="00C92C90">
        <w:rPr>
          <w:rFonts w:ascii="Palatino Linotype" w:eastAsia="Palatino Linotype" w:hAnsi="Palatino Linotype" w:cs="Palatino Linotype"/>
          <w:i/>
          <w:sz w:val="22"/>
          <w:szCs w:val="22"/>
        </w:rPr>
        <w:t>. Así, como los servicios relacionados con las obras públicas, por sí o por conducto de terceros, de conformidad con los Libros Décimo Segundo y Décimo Tercero del Código Administrativo, Ley General de Obras Públicas Servicios Relacionados con las mismas, las Políticas, Bases y Lineamientos en Materia de Obras Públicas y demás disposiciones administrativas aplicables.”</w:t>
      </w:r>
    </w:p>
    <w:p w14:paraId="5CE9FB3F" w14:textId="77777777" w:rsidR="00DF14A7" w:rsidRPr="00C92C90" w:rsidRDefault="00DF14A7">
      <w:pPr>
        <w:spacing w:after="240"/>
        <w:ind w:right="901"/>
        <w:jc w:val="both"/>
        <w:rPr>
          <w:rFonts w:ascii="Palatino Linotype" w:eastAsia="Palatino Linotype" w:hAnsi="Palatino Linotype" w:cs="Palatino Linotype"/>
        </w:rPr>
      </w:pPr>
    </w:p>
    <w:p w14:paraId="17587BAD" w14:textId="77777777" w:rsidR="00DF14A7" w:rsidRPr="00C92C90" w:rsidRDefault="00DF14A7">
      <w:pPr>
        <w:spacing w:after="240" w:line="360" w:lineRule="auto"/>
        <w:jc w:val="both"/>
        <w:rPr>
          <w:rFonts w:ascii="Palatino Linotype" w:eastAsia="Palatino Linotype" w:hAnsi="Palatino Linotype" w:cs="Palatino Linotype"/>
        </w:rPr>
      </w:pPr>
    </w:p>
    <w:p w14:paraId="388D62E1" w14:textId="77777777" w:rsidR="00DF14A7" w:rsidRPr="00C92C90" w:rsidRDefault="00DF14A7">
      <w:pPr>
        <w:spacing w:after="240" w:line="360" w:lineRule="auto"/>
        <w:jc w:val="both"/>
        <w:rPr>
          <w:rFonts w:ascii="Palatino Linotype" w:eastAsia="Palatino Linotype" w:hAnsi="Palatino Linotype" w:cs="Palatino Linotype"/>
        </w:rPr>
      </w:pPr>
    </w:p>
    <w:p w14:paraId="23173312"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lastRenderedPageBreak/>
        <w:t xml:space="preserve">Ahora bien, resulta de vital importancia analizar lo remitido mediante informe justificado por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lo cual consistió en una tabla en la que se visualiza la siguiente información:</w:t>
      </w:r>
    </w:p>
    <w:p w14:paraId="4C0F1181" w14:textId="77777777" w:rsidR="00DF14A7" w:rsidRPr="00C92C90" w:rsidRDefault="00E3414A">
      <w:pPr>
        <w:spacing w:after="240" w:line="360" w:lineRule="auto"/>
        <w:jc w:val="center"/>
        <w:rPr>
          <w:rFonts w:ascii="Palatino Linotype" w:eastAsia="Palatino Linotype" w:hAnsi="Palatino Linotype" w:cs="Palatino Linotype"/>
        </w:rPr>
      </w:pPr>
      <w:r w:rsidRPr="00C92C90">
        <w:rPr>
          <w:rFonts w:ascii="Palatino Linotype" w:eastAsia="Palatino Linotype" w:hAnsi="Palatino Linotype" w:cs="Palatino Linotype"/>
          <w:noProof/>
          <w:lang w:val="es-MX"/>
        </w:rPr>
        <w:drawing>
          <wp:inline distT="0" distB="0" distL="0" distR="0" wp14:anchorId="04BC4CF3" wp14:editId="46E0A6B9">
            <wp:extent cx="4416765" cy="1640513"/>
            <wp:effectExtent l="0" t="0" r="0" b="0"/>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8939" t="48161" r="9443" b="26372"/>
                    <a:stretch>
                      <a:fillRect/>
                    </a:stretch>
                  </pic:blipFill>
                  <pic:spPr>
                    <a:xfrm>
                      <a:off x="0" y="0"/>
                      <a:ext cx="4416765" cy="1640513"/>
                    </a:xfrm>
                    <a:prstGeom prst="rect">
                      <a:avLst/>
                    </a:prstGeom>
                    <a:ln/>
                  </pic:spPr>
                </pic:pic>
              </a:graphicData>
            </a:graphic>
          </wp:inline>
        </w:drawing>
      </w:r>
    </w:p>
    <w:p w14:paraId="791F6524"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Como se puede visualizar, la información proporcionada se encuentra de manera global y no como fue solicitada, esto es, de manera individual y detallada, además de que no se proporcionó el nombre de la calle, colonia ni se precisó la población beneficiada, por lo tanto, se estima que lo remitido no colma el requerimiento de información de la parte solicitante.</w:t>
      </w:r>
    </w:p>
    <w:p w14:paraId="447809C4"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Ahora bien, como se puede vislumbrar en este pronunciamiento, </w:t>
      </w:r>
      <w:r w:rsidRPr="00C92C90">
        <w:rPr>
          <w:rFonts w:ascii="Palatino Linotype" w:eastAsia="Palatino Linotype" w:hAnsi="Palatino Linotype" w:cs="Palatino Linotype"/>
          <w:b/>
          <w:u w:val="single"/>
        </w:rPr>
        <w:t>tres de las obras fueron financiadas con el Ramo 33 FORTAMUN</w:t>
      </w:r>
      <w:r w:rsidRPr="00C92C90">
        <w:rPr>
          <w:rFonts w:ascii="Palatino Linotype" w:eastAsia="Palatino Linotype" w:hAnsi="Palatino Linotype" w:cs="Palatino Linotype"/>
        </w:rPr>
        <w:t xml:space="preserve">, el cual se rige por lo dispuesto en el artículo 37 de la Ley de Coordinación Fiscal, porción normativa que se inserta a continuación: </w:t>
      </w:r>
    </w:p>
    <w:p w14:paraId="4C1B8F6D" w14:textId="77777777" w:rsidR="00DF14A7" w:rsidRPr="00C92C90" w:rsidRDefault="00E3414A">
      <w:pPr>
        <w:spacing w:after="240" w:line="276" w:lineRule="auto"/>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u w:val="single"/>
        </w:rPr>
        <w:t>“Artículo 37.- 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w:t>
      </w:r>
      <w:r w:rsidRPr="00C92C90">
        <w:rPr>
          <w:rFonts w:ascii="Palatino Linotype" w:eastAsia="Palatino Linotype" w:hAnsi="Palatino Linotype" w:cs="Palatino Linotype"/>
          <w:i/>
          <w:sz w:val="22"/>
          <w:szCs w:val="22"/>
        </w:rPr>
        <w:t xml:space="preserve"> al cumplimiento de sus obligaciones financieras, al pago de </w:t>
      </w:r>
      <w:r w:rsidRPr="00C92C90">
        <w:rPr>
          <w:rFonts w:ascii="Palatino Linotype" w:eastAsia="Palatino Linotype" w:hAnsi="Palatino Linotype" w:cs="Palatino Linotype"/>
          <w:i/>
          <w:sz w:val="22"/>
          <w:szCs w:val="22"/>
        </w:rPr>
        <w:lastRenderedPageBreak/>
        <w:t xml:space="preserve">derechos y aprovechamientos por concepto de agua, descargas de aguas residuales, a la modernización de los sistemas de recaudación locales, </w:t>
      </w:r>
      <w:r w:rsidRPr="00C92C90">
        <w:rPr>
          <w:rFonts w:ascii="Palatino Linotype" w:eastAsia="Palatino Linotype" w:hAnsi="Palatino Linotype" w:cs="Palatino Linotype"/>
          <w:b/>
          <w:i/>
          <w:sz w:val="22"/>
          <w:szCs w:val="22"/>
          <w:u w:val="single"/>
        </w:rPr>
        <w:t>mantenimiento de infraestructura</w:t>
      </w:r>
      <w:r w:rsidRPr="00C92C90">
        <w:rPr>
          <w:rFonts w:ascii="Palatino Linotype" w:eastAsia="Palatino Linotype" w:hAnsi="Palatino Linotype" w:cs="Palatino Linotype"/>
          <w:i/>
          <w:sz w:val="22"/>
          <w:szCs w:val="22"/>
        </w:rPr>
        <w:t xml:space="preserve">, y a la atención de las necesidades directamente vinculadas con la seguridad pública de sus habitantes. </w:t>
      </w:r>
    </w:p>
    <w:p w14:paraId="585A1FAA" w14:textId="77777777" w:rsidR="00DF14A7" w:rsidRPr="00C92C90" w:rsidRDefault="00E3414A">
      <w:pPr>
        <w:spacing w:after="240" w:line="276" w:lineRule="auto"/>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u w:val="single"/>
        </w:rPr>
        <w:t>Respecto de las aportaciones que reciban con cargo al Fondo a que se refiere este artículo, los municipios y las demarcaciones territoriales del Distrito Federal tendrán las mismas obligaciones a que se refiere el artículo 33, apartado B, fracción II, incisos a) y c), de esta Ley</w:t>
      </w:r>
      <w:r w:rsidRPr="00C92C90">
        <w:rPr>
          <w:rFonts w:ascii="Palatino Linotype" w:eastAsia="Palatino Linotype" w:hAnsi="Palatino Linotype" w:cs="Palatino Linotype"/>
          <w:i/>
          <w:sz w:val="22"/>
          <w:szCs w:val="22"/>
        </w:rPr>
        <w:t>.” (Énfasis añadido)</w:t>
      </w:r>
    </w:p>
    <w:p w14:paraId="147D9926"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Atentos a lo dispuesto por el artículo anteriormente citado, es necesario analizar las obligaciones previstas para los municipios que reciben recursos derivado de este fondo, para ello se inserta el siguiente precepto legal de la Ley de Coordinación Fiscal:</w:t>
      </w:r>
    </w:p>
    <w:p w14:paraId="3168F8DC" w14:textId="77777777" w:rsidR="00DF14A7" w:rsidRPr="00C92C90" w:rsidRDefault="00E3414A">
      <w:pPr>
        <w:spacing w:after="240" w:line="276" w:lineRule="auto"/>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“Artículo 33.-…</w:t>
      </w:r>
    </w:p>
    <w:p w14:paraId="231FD04A" w14:textId="77777777" w:rsidR="00DF14A7" w:rsidRPr="00C92C90" w:rsidRDefault="00E3414A">
      <w:pPr>
        <w:spacing w:after="240" w:line="276" w:lineRule="auto"/>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B. La Secretaría de Desarrollo Social, las entidades y </w:t>
      </w:r>
      <w:r w:rsidRPr="00C92C90">
        <w:rPr>
          <w:rFonts w:ascii="Palatino Linotype" w:eastAsia="Palatino Linotype" w:hAnsi="Palatino Linotype" w:cs="Palatino Linotype"/>
          <w:b/>
          <w:i/>
          <w:sz w:val="22"/>
          <w:szCs w:val="22"/>
          <w:u w:val="single"/>
        </w:rPr>
        <w:t>los municipios</w:t>
      </w:r>
      <w:r w:rsidRPr="00C92C90">
        <w:rPr>
          <w:rFonts w:ascii="Palatino Linotype" w:eastAsia="Palatino Linotype" w:hAnsi="Palatino Linotype" w:cs="Palatino Linotype"/>
          <w:i/>
          <w:sz w:val="22"/>
          <w:szCs w:val="22"/>
        </w:rPr>
        <w:t xml:space="preserve"> o demarcaciones territoriales y la Secretaría de Hacienda y Crédito Público, tendrán las siguientes obligaciones:</w:t>
      </w:r>
    </w:p>
    <w:p w14:paraId="16865B7C" w14:textId="77777777" w:rsidR="00DF14A7" w:rsidRPr="00C92C90" w:rsidRDefault="00E3414A">
      <w:pPr>
        <w:spacing w:after="240" w:line="276" w:lineRule="auto"/>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II. De las entidades, </w:t>
      </w:r>
      <w:r w:rsidRPr="00C92C90">
        <w:rPr>
          <w:rFonts w:ascii="Palatino Linotype" w:eastAsia="Palatino Linotype" w:hAnsi="Palatino Linotype" w:cs="Palatino Linotype"/>
          <w:b/>
          <w:i/>
          <w:sz w:val="22"/>
          <w:szCs w:val="22"/>
        </w:rPr>
        <w:t xml:space="preserve">municipios </w:t>
      </w:r>
      <w:r w:rsidRPr="00C92C90">
        <w:rPr>
          <w:rFonts w:ascii="Palatino Linotype" w:eastAsia="Palatino Linotype" w:hAnsi="Palatino Linotype" w:cs="Palatino Linotype"/>
          <w:i/>
          <w:sz w:val="22"/>
          <w:szCs w:val="22"/>
        </w:rPr>
        <w:t xml:space="preserve">y demarcaciones territoriales: </w:t>
      </w:r>
    </w:p>
    <w:p w14:paraId="3B706B28" w14:textId="77777777" w:rsidR="00DF14A7" w:rsidRPr="00C92C90" w:rsidRDefault="00E3414A">
      <w:pPr>
        <w:spacing w:after="240" w:line="276" w:lineRule="auto"/>
        <w:ind w:left="567" w:right="901"/>
        <w:jc w:val="both"/>
        <w:rPr>
          <w:rFonts w:ascii="Palatino Linotype" w:eastAsia="Palatino Linotype" w:hAnsi="Palatino Linotype" w:cs="Palatino Linotype"/>
          <w:b/>
          <w:i/>
          <w:sz w:val="22"/>
          <w:szCs w:val="22"/>
          <w:u w:val="single"/>
        </w:rPr>
      </w:pPr>
      <w:r w:rsidRPr="00C92C90">
        <w:rPr>
          <w:rFonts w:ascii="Palatino Linotype" w:eastAsia="Palatino Linotype" w:hAnsi="Palatino Linotype" w:cs="Palatino Linotype"/>
          <w:i/>
          <w:sz w:val="22"/>
          <w:szCs w:val="22"/>
        </w:rPr>
        <w:t xml:space="preserve">a) </w:t>
      </w:r>
      <w:r w:rsidRPr="00C92C90">
        <w:rPr>
          <w:rFonts w:ascii="Palatino Linotype" w:eastAsia="Palatino Linotype" w:hAnsi="Palatino Linotype" w:cs="Palatino Linotype"/>
          <w:b/>
          <w:i/>
          <w:sz w:val="22"/>
          <w:szCs w:val="22"/>
          <w:u w:val="single"/>
        </w:rPr>
        <w:t>Hacer del conocimiento de sus habitantes</w:t>
      </w:r>
      <w:r w:rsidRPr="00C92C90">
        <w:rPr>
          <w:rFonts w:ascii="Palatino Linotype" w:eastAsia="Palatino Linotype" w:hAnsi="Palatino Linotype" w:cs="Palatino Linotype"/>
          <w:i/>
          <w:sz w:val="22"/>
          <w:szCs w:val="22"/>
        </w:rPr>
        <w:t xml:space="preserve">, al menos a través de la página oficial de Internet de la entidad federativa conforme a los lineamientos de información pública financiera en línea del Consejo de Armonización Contable, </w:t>
      </w:r>
      <w:r w:rsidRPr="00C92C90">
        <w:rPr>
          <w:rFonts w:ascii="Palatino Linotype" w:eastAsia="Palatino Linotype" w:hAnsi="Palatino Linotype" w:cs="Palatino Linotype"/>
          <w:b/>
          <w:i/>
          <w:sz w:val="22"/>
          <w:szCs w:val="22"/>
          <w:u w:val="single"/>
        </w:rPr>
        <w:t>los montos que reciban, las obras y acciones a realizar, el costo de cada una, su ubicación, metas y beneficiarios;</w:t>
      </w:r>
    </w:p>
    <w:p w14:paraId="62CB9F77" w14:textId="77777777" w:rsidR="00DF14A7" w:rsidRPr="00C92C90" w:rsidRDefault="00E3414A">
      <w:pPr>
        <w:spacing w:after="240" w:line="276" w:lineRule="auto"/>
        <w:ind w:left="567" w:right="901"/>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b/>
          <w:i/>
          <w:sz w:val="22"/>
          <w:szCs w:val="22"/>
        </w:rPr>
        <w:t>…</w:t>
      </w:r>
    </w:p>
    <w:p w14:paraId="38B19270" w14:textId="77777777" w:rsidR="00DF14A7" w:rsidRPr="00C92C90" w:rsidRDefault="00E3414A">
      <w:pPr>
        <w:spacing w:after="240" w:line="276" w:lineRule="auto"/>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u w:val="single"/>
        </w:rPr>
        <w:t xml:space="preserve">c) 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Consejo </w:t>
      </w:r>
      <w:r w:rsidRPr="00C92C90">
        <w:rPr>
          <w:rFonts w:ascii="Palatino Linotype" w:eastAsia="Palatino Linotype" w:hAnsi="Palatino Linotype" w:cs="Palatino Linotype"/>
          <w:b/>
          <w:i/>
          <w:sz w:val="22"/>
          <w:szCs w:val="22"/>
          <w:u w:val="single"/>
        </w:rPr>
        <w:lastRenderedPageBreak/>
        <w:t xml:space="preserve">Nacional de Armonización Contable, en los términos de la Ley General de Contabilidad Gubernamental;” </w:t>
      </w:r>
      <w:r w:rsidRPr="00C92C90">
        <w:rPr>
          <w:rFonts w:ascii="Palatino Linotype" w:eastAsia="Palatino Linotype" w:hAnsi="Palatino Linotype" w:cs="Palatino Linotype"/>
          <w:i/>
          <w:sz w:val="22"/>
          <w:szCs w:val="22"/>
        </w:rPr>
        <w:t>(Énfasis añadido)</w:t>
      </w:r>
    </w:p>
    <w:p w14:paraId="0F4BB658"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Asimismo, el ACUERDO POR EL QUE SE DAN A CONOCER LOS LINEAMIENTOS GENERALES DE OPERACIÓN DEL FONDO DE APORTACIONES PARA LA INFRAESTRUCTURA SOCIAL MUNICIPAL Y DE LAS DEMARCACIONES TERRITORIALES DEL DISTRITO FEDERAL (FISMDF) Y DEL FONDO DE APORTACIONES PARA EL FORTALECIMIENTO DE LOS MUNICIPIOS Y DE LAS DEMARCACIONES TERRITORIALES DEL DISTRITO FEDERAL (FORTAMUN), señala que los municipios se encuentran obligados a registrar los movimientos derivados de la aplicación de los recursos por este Fondo y además generar reportes de avance mensuales y los informes trimestrales, sirve de referencia las siguientes citas:</w:t>
      </w:r>
    </w:p>
    <w:p w14:paraId="669F17C5"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“5.1 REPORTES DE AVANCE MENSUAL</w:t>
      </w:r>
    </w:p>
    <w:p w14:paraId="005FDD8D"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Los municipios, a través de la unidad administrativa municipal encargada de registrar los movimientos derivados de la aplicación de los recursos del FISMDF y FORTAMUN, emitirá y enviará mensualmente a la Unidad de Normatividad de la Subsecretaría de Planeación y Presupuesto un reporte del avance físico-financiero que contenga todas las obras y acciones aprobadas, debidamente firmado por los funcionarios responsables tanto de los recursos como de la información, a más tardar a los 15 días naturales posteriores al mes que se reporte, con cifras al cierre del mes anterior.</w:t>
      </w:r>
    </w:p>
    <w:p w14:paraId="78C31CCC"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La Secretaría de Finanzas podrá verificar que los recursos se destinen para los fines establecidos y, en su caso, informará lo conducente a las instancias federales y al Órgano Superior de Fiscalización del Estado de México.</w:t>
      </w:r>
    </w:p>
    <w:p w14:paraId="7034AF40"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5.2 INFORMES TRIMESTRALES</w:t>
      </w:r>
    </w:p>
    <w:p w14:paraId="30341D1E"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De conformidad con lo dispuesto en los artículos 48 y 49 de la Ley de Coordinación Fiscal; 85 y 110 de la Ley Federal de Presupuesto y Responsabilidad Hacendaria; y </w:t>
      </w:r>
      <w:r w:rsidRPr="00C92C90">
        <w:rPr>
          <w:rFonts w:ascii="Palatino Linotype" w:eastAsia="Palatino Linotype" w:hAnsi="Palatino Linotype" w:cs="Palatino Linotype"/>
          <w:i/>
          <w:sz w:val="22"/>
          <w:szCs w:val="22"/>
        </w:rPr>
        <w:lastRenderedPageBreak/>
        <w:t>75 de la Ley General de Contabilidad Gubernamental; así como en el Presupuesto de Egresos de la Federación para el Ejercicio Fiscal correspondiente y en los Lineamientos para Informar sobre los Recursos Federales Transferidos a las Entidades Federativas, Municipios y Demarcaciones Territoriales del Distrito Federal y de Operación de los Recursos del Ramo General 33, el Estado y los municipios enviarán al Ejecutivo Federal, por conducto de la Secretaría de Hacienda y Crédito Público, informes sobre el ejercicio y destino de los recursos del FISMDF y FORTAMUN, a más tardar dentro de los 15 días naturales posteriores a la terminación de cada trimestre.</w:t>
      </w:r>
    </w:p>
    <w:p w14:paraId="5A4DCCE8" w14:textId="77777777" w:rsidR="00DF14A7" w:rsidRPr="00C92C90" w:rsidRDefault="00E3414A">
      <w:pPr>
        <w:spacing w:after="240"/>
        <w:ind w:left="567" w:right="901"/>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Será responsabilidad de las administraciones municipales la correcta aplicación de los recursos, así como el resguardo y la custodia de la documentación de los avances físico-financieros registrados en el SIAVAMEN, que presenten a la Unidad de Normatividad de la Subsecretaría de Planeación y Presupuesto, cuya recepción no implica su autorización o visto bueno. De igual forma, la revisión de los informes no conlleva la aprobación o la comprobación de las obras y acciones autorizadas por la autoridad municipal.”</w:t>
      </w:r>
    </w:p>
    <w:p w14:paraId="75BAC548"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De manera que como se vislumbra de la cita insertada con antelación, se aprecia que existe fuente obligacional para que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genere la información, detallando los elementos requeridos por </w:t>
      </w:r>
      <w:r w:rsidRPr="00C92C90">
        <w:rPr>
          <w:rFonts w:ascii="Palatino Linotype" w:eastAsia="Palatino Linotype" w:hAnsi="Palatino Linotype" w:cs="Palatino Linotype"/>
          <w:b/>
        </w:rPr>
        <w:t xml:space="preserve">la parte Recurrente, </w:t>
      </w:r>
      <w:r w:rsidRPr="00C92C90">
        <w:rPr>
          <w:rFonts w:ascii="Palatino Linotype" w:eastAsia="Palatino Linotype" w:hAnsi="Palatino Linotype" w:cs="Palatino Linotype"/>
        </w:rPr>
        <w:t>por cuanto hace a la aplicación del FORTAMUN.</w:t>
      </w:r>
    </w:p>
    <w:p w14:paraId="192F55AB"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Ahora bien, para el caso en el que dichas obras se hayan ejecutado con recursos propios, se estima que de manera enunciativa más no limitativa el documento para atender esto, podría ser el Avance del Programa Anual de Obras, ello en virtud de que contiene la ubicación, obra, población beneficiada y  monto con el que se financia la obra.</w:t>
      </w:r>
    </w:p>
    <w:p w14:paraId="47F633FF"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noProof/>
          <w:lang w:val="es-MX"/>
        </w:rPr>
        <w:lastRenderedPageBreak/>
        <w:drawing>
          <wp:inline distT="0" distB="0" distL="0" distR="0" wp14:anchorId="3368D3A3" wp14:editId="578BD22E">
            <wp:extent cx="5612765" cy="5998845"/>
            <wp:effectExtent l="0" t="0" r="0" b="0"/>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2765" cy="5998845"/>
                    </a:xfrm>
                    <a:prstGeom prst="rect">
                      <a:avLst/>
                    </a:prstGeom>
                    <a:ln/>
                  </pic:spPr>
                </pic:pic>
              </a:graphicData>
            </a:graphic>
          </wp:inline>
        </w:drawing>
      </w:r>
    </w:p>
    <w:p w14:paraId="4B35A44A"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noProof/>
          <w:lang w:val="es-MX"/>
        </w:rPr>
        <w:lastRenderedPageBreak/>
        <w:drawing>
          <wp:inline distT="0" distB="0" distL="0" distR="0" wp14:anchorId="2A0B10DE" wp14:editId="0592EC8B">
            <wp:extent cx="5612765" cy="612775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765" cy="6127750"/>
                    </a:xfrm>
                    <a:prstGeom prst="rect">
                      <a:avLst/>
                    </a:prstGeom>
                    <a:ln/>
                  </pic:spPr>
                </pic:pic>
              </a:graphicData>
            </a:graphic>
          </wp:inline>
        </w:drawing>
      </w:r>
    </w:p>
    <w:p w14:paraId="63EC7EE0" w14:textId="77777777" w:rsidR="00DF14A7" w:rsidRPr="00C92C90" w:rsidRDefault="00E3414A">
      <w:pPr>
        <w:spacing w:line="360" w:lineRule="auto"/>
        <w:ind w:right="49"/>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Por lo anteriormente expuesto, se concluye que efectivamente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cuenta con la información con los elementos que requiere la parte solicitante, por lo </w:t>
      </w:r>
      <w:r w:rsidRPr="00C92C90">
        <w:rPr>
          <w:rFonts w:ascii="Palatino Linotype" w:eastAsia="Palatino Linotype" w:hAnsi="Palatino Linotype" w:cs="Palatino Linotype"/>
        </w:rPr>
        <w:lastRenderedPageBreak/>
        <w:t>que resulta pertinente ordenar la entrega de los documentos previamente señalados.</w:t>
      </w:r>
    </w:p>
    <w:p w14:paraId="02CC48F8" w14:textId="77777777" w:rsidR="00DF14A7" w:rsidRPr="00C92C90" w:rsidRDefault="00DF14A7">
      <w:pPr>
        <w:spacing w:line="360" w:lineRule="auto"/>
        <w:ind w:right="49"/>
        <w:jc w:val="both"/>
        <w:rPr>
          <w:rFonts w:ascii="Palatino Linotype" w:eastAsia="Palatino Linotype" w:hAnsi="Palatino Linotype" w:cs="Palatino Linotype"/>
        </w:rPr>
      </w:pPr>
    </w:p>
    <w:p w14:paraId="721813A7" w14:textId="77777777" w:rsidR="00DF14A7" w:rsidRPr="00C92C90" w:rsidRDefault="00E3414A">
      <w:pPr>
        <w:spacing w:line="360" w:lineRule="auto"/>
        <w:ind w:right="49"/>
        <w:jc w:val="both"/>
        <w:rPr>
          <w:rFonts w:ascii="Palatino Linotype" w:eastAsia="Palatino Linotype" w:hAnsi="Palatino Linotype" w:cs="Palatino Linotype"/>
        </w:rPr>
      </w:pPr>
      <w:r w:rsidRPr="00C92C90">
        <w:rPr>
          <w:rFonts w:ascii="Palatino Linotype" w:eastAsia="Palatino Linotype" w:hAnsi="Palatino Linotype" w:cs="Palatino Linotype"/>
        </w:rPr>
        <w:t>Es de resaltar el hecho de que la parte Recurrente solicitó la información del periodo del 01 de enero del 2022 a la fecha de la entrega de la información, no obstante, se considera que estaríamos un hecho futuro e incierto, por lo que, deberá entregarse esta información, que comprenda del periodo del 1 de enero al 21 de diciembre de 2022, ello de conformidad con el considerando siguiente.</w:t>
      </w:r>
    </w:p>
    <w:p w14:paraId="20B6EB67" w14:textId="77777777" w:rsidR="00DF14A7" w:rsidRPr="00C92C90" w:rsidRDefault="00DF14A7">
      <w:pPr>
        <w:spacing w:line="360" w:lineRule="auto"/>
        <w:ind w:right="49"/>
        <w:jc w:val="both"/>
        <w:rPr>
          <w:rFonts w:ascii="Palatino Linotype" w:eastAsia="Palatino Linotype" w:hAnsi="Palatino Linotype" w:cs="Palatino Linotype"/>
        </w:rPr>
      </w:pPr>
    </w:p>
    <w:p w14:paraId="24719108" w14:textId="77777777" w:rsidR="00DF14A7" w:rsidRPr="00C92C90" w:rsidRDefault="00E3414A">
      <w:pPr>
        <w:spacing w:line="360" w:lineRule="auto"/>
        <w:ind w:right="49"/>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Finalmente, es de señalar que, como ya se mencionó el Sujeto Obligado, omitió proporcionar la respuesta a las solicitudes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C92C90">
        <w:rPr>
          <w:rFonts w:ascii="Palatino Linotype" w:eastAsia="Palatino Linotype" w:hAnsi="Palatino Linotype" w:cs="Palatino Linotype"/>
          <w:b/>
        </w:rPr>
        <w:t>Secretaría Técnica del Pleno</w:t>
      </w:r>
      <w:r w:rsidRPr="00C92C90">
        <w:rPr>
          <w:rFonts w:ascii="Palatino Linotype" w:eastAsia="Palatino Linotype" w:hAnsi="Palatino Linotype" w:cs="Palatino Linotype"/>
        </w:rPr>
        <w:t xml:space="preserve"> a efecto de que ejerza las atribuciones previstas en la normatividad aplicable y comunique al Órgano de Control Interno competente para que éste último en ejercicio de sus atribuciones resuelva lo conducente y determine en su caso el grado de responsabilidad en el incumplimiento de las obligaciones establecidas en la citada Ley. </w:t>
      </w:r>
    </w:p>
    <w:p w14:paraId="33D5A5BE" w14:textId="77777777" w:rsidR="00DF14A7" w:rsidRPr="00C92C90" w:rsidRDefault="00DF14A7">
      <w:pPr>
        <w:spacing w:line="360" w:lineRule="auto"/>
        <w:ind w:right="49"/>
        <w:jc w:val="both"/>
        <w:rPr>
          <w:rFonts w:ascii="Palatino Linotype" w:eastAsia="Palatino Linotype" w:hAnsi="Palatino Linotype" w:cs="Palatino Linotype"/>
        </w:rPr>
      </w:pPr>
    </w:p>
    <w:p w14:paraId="26442897"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Quinto. Versión Pública. </w:t>
      </w:r>
      <w:r w:rsidRPr="00C92C90">
        <w:rPr>
          <w:rFonts w:ascii="Palatino Linotype" w:eastAsia="Palatino Linotype" w:hAnsi="Palatino Linotype" w:cs="Palatino Linotype"/>
        </w:rPr>
        <w:t xml:space="preserve">Finalmente para la entrega de los soportes documentales que deberá proporcionar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w:t>
      </w:r>
      <w:r w:rsidRPr="00C92C90">
        <w:rPr>
          <w:rFonts w:ascii="Palatino Linotype" w:eastAsia="Palatino Linotype" w:hAnsi="Palatino Linotype" w:cs="Palatino Linotype"/>
        </w:rPr>
        <w:lastRenderedPageBreak/>
        <w:t xml:space="preserve">peticiona el acceso, contenga datos que deban ser clasificados en los términos que la misma Ley de la Materia señala,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1FD5F609" w14:textId="77777777" w:rsidR="00DF14A7" w:rsidRPr="00C92C90" w:rsidRDefault="00E3414A">
      <w:pPr>
        <w:spacing w:before="240" w:after="240" w:line="360" w:lineRule="auto"/>
        <w:ind w:right="50"/>
        <w:jc w:val="both"/>
        <w:rPr>
          <w:rFonts w:ascii="Palatino Linotype" w:eastAsia="Palatino Linotype" w:hAnsi="Palatino Linotype" w:cs="Palatino Linotype"/>
        </w:rPr>
      </w:pPr>
      <w:r w:rsidRPr="00C92C90">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E4C6E31"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w:t>
      </w:r>
      <w:r w:rsidRPr="00C92C90">
        <w:rPr>
          <w:rFonts w:ascii="Palatino Linotype" w:eastAsia="Palatino Linotype" w:hAnsi="Palatino Linotype" w:cs="Palatino Linotype"/>
          <w:b/>
          <w:i/>
          <w:sz w:val="22"/>
          <w:szCs w:val="22"/>
        </w:rPr>
        <w:t>Artículo 3</w:t>
      </w:r>
      <w:r w:rsidRPr="00C92C90">
        <w:rPr>
          <w:rFonts w:ascii="Palatino Linotype" w:eastAsia="Palatino Linotype" w:hAnsi="Palatino Linotype" w:cs="Palatino Linotype"/>
          <w:i/>
          <w:sz w:val="22"/>
          <w:szCs w:val="22"/>
        </w:rPr>
        <w:t>. Para los efectos de la presente Ley se entenderá por:</w:t>
      </w:r>
    </w:p>
    <w:p w14:paraId="052C2D1D"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w:t>
      </w:r>
    </w:p>
    <w:p w14:paraId="0ACB66D0"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IX. Datos personales:</w:t>
      </w:r>
      <w:r w:rsidRPr="00C92C9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833F2A9"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XX. Información clasificada</w:t>
      </w:r>
      <w:r w:rsidRPr="00C92C90">
        <w:rPr>
          <w:rFonts w:ascii="Palatino Linotype" w:eastAsia="Palatino Linotype" w:hAnsi="Palatino Linotype" w:cs="Palatino Linotype"/>
          <w:i/>
          <w:sz w:val="22"/>
          <w:szCs w:val="22"/>
        </w:rPr>
        <w:t>: Aquella considerada por la presente Ley como reservada o confidencial;</w:t>
      </w:r>
    </w:p>
    <w:p w14:paraId="3BF1009B"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XXI. Información confidencial:</w:t>
      </w:r>
      <w:r w:rsidRPr="00C92C9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B11187"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XLV. Versión pública:</w:t>
      </w:r>
      <w:r w:rsidRPr="00C92C9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EFA2C01"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w:t>
      </w:r>
    </w:p>
    <w:p w14:paraId="6E76F289"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 xml:space="preserve">Artículo 91. </w:t>
      </w:r>
      <w:r w:rsidRPr="00C92C9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443593E"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 xml:space="preserve">Artículo 132. </w:t>
      </w:r>
      <w:r w:rsidRPr="00C92C90">
        <w:rPr>
          <w:rFonts w:ascii="Palatino Linotype" w:eastAsia="Palatino Linotype" w:hAnsi="Palatino Linotype" w:cs="Palatino Linotype"/>
          <w:i/>
          <w:sz w:val="22"/>
          <w:szCs w:val="22"/>
        </w:rPr>
        <w:t>La clasificación de la información se llevará a cabo en el momento en que:</w:t>
      </w:r>
    </w:p>
    <w:p w14:paraId="06C399E3"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I</w:t>
      </w:r>
      <w:r w:rsidRPr="00C92C90">
        <w:rPr>
          <w:rFonts w:ascii="Palatino Linotype" w:eastAsia="Palatino Linotype" w:hAnsi="Palatino Linotype" w:cs="Palatino Linotype"/>
          <w:i/>
          <w:sz w:val="22"/>
          <w:szCs w:val="22"/>
        </w:rPr>
        <w:t>. Se reciba una solicitud de acceso a la información;</w:t>
      </w:r>
    </w:p>
    <w:p w14:paraId="18F33E55"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lastRenderedPageBreak/>
        <w:t>II</w:t>
      </w:r>
      <w:r w:rsidRPr="00C92C90">
        <w:rPr>
          <w:rFonts w:ascii="Palatino Linotype" w:eastAsia="Palatino Linotype" w:hAnsi="Palatino Linotype" w:cs="Palatino Linotype"/>
          <w:i/>
          <w:sz w:val="22"/>
          <w:szCs w:val="22"/>
        </w:rPr>
        <w:t>. Se determine mediante resolución de autoridad competente; o</w:t>
      </w:r>
    </w:p>
    <w:p w14:paraId="46AB0471"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III</w:t>
      </w:r>
      <w:r w:rsidRPr="00C92C90">
        <w:rPr>
          <w:rFonts w:ascii="Palatino Linotype" w:eastAsia="Palatino Linotype" w:hAnsi="Palatino Linotype" w:cs="Palatino Linotype"/>
          <w:i/>
          <w:sz w:val="22"/>
          <w:szCs w:val="22"/>
        </w:rPr>
        <w:t>. Se generen versiones públicas para dar cumplimiento a las obligaciones de transparencia previstas en esta Ley.</w:t>
      </w:r>
    </w:p>
    <w:p w14:paraId="29D63A6B"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w:t>
      </w:r>
    </w:p>
    <w:p w14:paraId="1A8BECC5"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Artículo 143</w:t>
      </w:r>
      <w:r w:rsidRPr="00C92C9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5070980"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I.</w:t>
      </w:r>
      <w:r w:rsidRPr="00C92C9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A04355C"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II.</w:t>
      </w:r>
      <w:r w:rsidRPr="00C92C9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E7FFDAA"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III</w:t>
      </w:r>
      <w:r w:rsidRPr="00C92C9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F332452"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8053528" w14:textId="77777777" w:rsidR="00DF14A7" w:rsidRPr="00C92C90" w:rsidRDefault="00E3414A">
      <w:pPr>
        <w:spacing w:before="120" w:after="120"/>
        <w:ind w:left="567" w:right="902"/>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AD5116E"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B0A70E5"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lastRenderedPageBreak/>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siendo estas las siguientes:</w:t>
      </w:r>
    </w:p>
    <w:p w14:paraId="4A99C30E" w14:textId="77777777" w:rsidR="00DF14A7" w:rsidRPr="00C92C90" w:rsidRDefault="00DF14A7">
      <w:pPr>
        <w:spacing w:line="360" w:lineRule="auto"/>
        <w:jc w:val="both"/>
        <w:rPr>
          <w:rFonts w:ascii="Palatino Linotype" w:eastAsia="Palatino Linotype" w:hAnsi="Palatino Linotype" w:cs="Palatino Linotype"/>
        </w:rPr>
      </w:pPr>
    </w:p>
    <w:p w14:paraId="07DCBCF7" w14:textId="77777777" w:rsidR="00DF14A7" w:rsidRPr="00C92C90" w:rsidRDefault="00E3414A">
      <w:pPr>
        <w:spacing w:line="276" w:lineRule="auto"/>
        <w:ind w:left="567"/>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“CAPÍTULO VIII </w:t>
      </w:r>
    </w:p>
    <w:p w14:paraId="3A4A1125" w14:textId="77777777" w:rsidR="00DF14A7" w:rsidRPr="00C92C90" w:rsidRDefault="00E3414A">
      <w:pPr>
        <w:spacing w:line="276" w:lineRule="auto"/>
        <w:ind w:left="567"/>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DE LOS ELEMENTOS PARA LA CLASIFICACIÓN </w:t>
      </w:r>
    </w:p>
    <w:p w14:paraId="468081DF" w14:textId="77777777" w:rsidR="00DF14A7" w:rsidRPr="00C92C90" w:rsidRDefault="00E3414A">
      <w:pP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Quincuagésimo.</w:t>
      </w:r>
      <w:r w:rsidRPr="00C92C9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B032226" w14:textId="77777777" w:rsidR="00DF14A7" w:rsidRPr="00C92C90" w:rsidRDefault="00E3414A">
      <w:pP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Quincuagésimo primero.</w:t>
      </w:r>
      <w:r w:rsidRPr="00C92C90">
        <w:rPr>
          <w:rFonts w:ascii="Palatino Linotype" w:eastAsia="Palatino Linotype" w:hAnsi="Palatino Linotype" w:cs="Palatino Linotype"/>
          <w:i/>
          <w:sz w:val="22"/>
          <w:szCs w:val="22"/>
        </w:rPr>
        <w:t xml:space="preserve"> Toda acta del Comité de Transparencia deberá contener: </w:t>
      </w:r>
    </w:p>
    <w:p w14:paraId="5241F959" w14:textId="77777777" w:rsidR="00DF14A7" w:rsidRPr="00C92C90" w:rsidRDefault="00E3414A">
      <w:pPr>
        <w:numPr>
          <w:ilvl w:val="1"/>
          <w:numId w:val="4"/>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El número de sesión y fecha; </w:t>
      </w:r>
    </w:p>
    <w:p w14:paraId="4807BA9A" w14:textId="77777777" w:rsidR="00DF14A7" w:rsidRPr="00C92C90" w:rsidRDefault="00E3414A">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El nombre del área que solicitó la clasificación de información; </w:t>
      </w:r>
    </w:p>
    <w:p w14:paraId="6B8E75AB" w14:textId="77777777" w:rsidR="00DF14A7" w:rsidRPr="00C92C90" w:rsidRDefault="00E3414A">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La fundamentación legal y motivación correspondiente; </w:t>
      </w:r>
    </w:p>
    <w:p w14:paraId="53450526" w14:textId="77777777" w:rsidR="00DF14A7" w:rsidRPr="00C92C90" w:rsidRDefault="00E3414A">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La resolución o resoluciones aprobadas; y </w:t>
      </w:r>
    </w:p>
    <w:p w14:paraId="19E36F87" w14:textId="77777777" w:rsidR="00DF14A7" w:rsidRPr="00C92C90" w:rsidRDefault="00E3414A">
      <w:pPr>
        <w:numPr>
          <w:ilvl w:val="1"/>
          <w:numId w:val="4"/>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La rúbrica o firma digital de cada integrante del Comité de Transparencia. </w:t>
      </w:r>
    </w:p>
    <w:p w14:paraId="453A5706"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A2957DF"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I. Los motivos y razonamientos que sustenten la confirmación o modificación de la prueba de daño;</w:t>
      </w:r>
    </w:p>
    <w:p w14:paraId="4F1CE5EB"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II. Descripción de las partes o secciones reservadas, en caso de clasificación parcial; </w:t>
      </w:r>
    </w:p>
    <w:p w14:paraId="22AD5565"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III. El periodo por el que mantendrá su clasificación y fecha de expiración; y </w:t>
      </w:r>
    </w:p>
    <w:p w14:paraId="6EB1C22E"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4734B48"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61BEAA3"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b/>
          <w:i/>
          <w:sz w:val="22"/>
          <w:szCs w:val="22"/>
        </w:rPr>
        <w:t xml:space="preserve">En los casos de resoluciones del Comité de Transparencia en las que se confirme la clasificación de información confidencial solo se deberán de </w:t>
      </w:r>
      <w:r w:rsidRPr="00C92C90">
        <w:rPr>
          <w:rFonts w:ascii="Palatino Linotype" w:eastAsia="Palatino Linotype" w:hAnsi="Palatino Linotype" w:cs="Palatino Linotype"/>
          <w:b/>
          <w:i/>
          <w:sz w:val="22"/>
          <w:szCs w:val="22"/>
        </w:rPr>
        <w:lastRenderedPageBreak/>
        <w:t>identificar los tipos de datos protegidos, de conformidad con el lineamiento trigésimo octavo.</w:t>
      </w:r>
    </w:p>
    <w:p w14:paraId="3805551E"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 xml:space="preserve">Quincuagésimo segundo. </w:t>
      </w:r>
      <w:r w:rsidRPr="00C92C90">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F9F3AF0"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AA4D743"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I. Fijar la fecha en que se elaboró la versión pública y la fecha en la cual el Comité de</w:t>
      </w:r>
    </w:p>
    <w:p w14:paraId="00E30986"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Transparencia confirmó dicha versión;</w:t>
      </w:r>
    </w:p>
    <w:p w14:paraId="20F1078A"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9BAF2E7"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III. Señalar las personas o instancias autorizadas a acceder a la información clasificada.</w:t>
      </w:r>
    </w:p>
    <w:p w14:paraId="74056EFB"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C92C90">
        <w:rPr>
          <w:noProof/>
          <w:lang w:val="es-MX"/>
        </w:rPr>
        <w:drawing>
          <wp:anchor distT="0" distB="0" distL="114300" distR="114300" simplePos="0" relativeHeight="251658240" behindDoc="0" locked="0" layoutInCell="1" hidden="0" allowOverlap="1" wp14:anchorId="70894671" wp14:editId="5D6054DC">
            <wp:simplePos x="0" y="0"/>
            <wp:positionH relativeFrom="column">
              <wp:posOffset>377190</wp:posOffset>
            </wp:positionH>
            <wp:positionV relativeFrom="paragraph">
              <wp:posOffset>798830</wp:posOffset>
            </wp:positionV>
            <wp:extent cx="4568190" cy="330200"/>
            <wp:effectExtent l="0" t="0" r="0" b="0"/>
            <wp:wrapTopAndBottom distT="0" dist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68190" cy="330200"/>
                    </a:xfrm>
                    <a:prstGeom prst="rect">
                      <a:avLst/>
                    </a:prstGeom>
                    <a:ln/>
                  </pic:spPr>
                </pic:pic>
              </a:graphicData>
            </a:graphic>
          </wp:anchor>
        </w:drawing>
      </w:r>
    </w:p>
    <w:p w14:paraId="0F7F7A4A"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b/>
          <w:i/>
          <w:noProof/>
          <w:sz w:val="22"/>
          <w:szCs w:val="22"/>
          <w:lang w:val="es-MX"/>
        </w:rPr>
        <w:lastRenderedPageBreak/>
        <w:drawing>
          <wp:inline distT="0" distB="0" distL="0" distR="0" wp14:anchorId="53A466D8" wp14:editId="650A4E06">
            <wp:extent cx="4576404" cy="5139653"/>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76404" cy="5139653"/>
                    </a:xfrm>
                    <a:prstGeom prst="rect">
                      <a:avLst/>
                    </a:prstGeom>
                    <a:ln/>
                  </pic:spPr>
                </pic:pic>
              </a:graphicData>
            </a:graphic>
          </wp:inline>
        </w:drawing>
      </w:r>
    </w:p>
    <w:p w14:paraId="288319F6" w14:textId="77777777" w:rsidR="00DF14A7" w:rsidRPr="00C92C90" w:rsidRDefault="00DF14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887CB3B"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 xml:space="preserve">Quincuagésimo cuarto. </w:t>
      </w:r>
      <w:r w:rsidRPr="00C92C9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C8C809C" w14:textId="77777777" w:rsidR="00DF14A7" w:rsidRPr="00C92C90" w:rsidRDefault="00DF14A7">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52EA2E8" w14:textId="77777777" w:rsidR="00DF14A7" w:rsidRPr="00C92C90" w:rsidRDefault="00E3414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b/>
          <w:i/>
          <w:sz w:val="22"/>
          <w:szCs w:val="22"/>
        </w:rPr>
        <w:t xml:space="preserve">Quincuagésimo quinto. </w:t>
      </w:r>
      <w:r w:rsidRPr="00C92C9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C92C90">
        <w:rPr>
          <w:rFonts w:ascii="Palatino Linotype" w:eastAsia="Palatino Linotype" w:hAnsi="Palatino Linotype" w:cs="Palatino Linotype"/>
          <w:i/>
          <w:sz w:val="22"/>
          <w:szCs w:val="22"/>
        </w:rPr>
        <w:t>testado</w:t>
      </w:r>
      <w:proofErr w:type="spellEnd"/>
      <w:r w:rsidRPr="00C92C90">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C92C90">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14:paraId="792C8DFF"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D50692C" w14:textId="77777777" w:rsidR="00DF14A7" w:rsidRPr="00C92C90" w:rsidRDefault="00E3414A">
      <w:pPr>
        <w:spacing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50DF8870" w14:textId="77777777" w:rsidR="00DF14A7" w:rsidRPr="00C92C90" w:rsidRDefault="00E3414A">
      <w:pPr>
        <w:numPr>
          <w:ilvl w:val="0"/>
          <w:numId w:val="1"/>
        </w:numPr>
        <w:spacing w:after="240" w:line="360" w:lineRule="auto"/>
        <w:ind w:left="2552" w:hanging="140"/>
        <w:jc w:val="both"/>
        <w:rPr>
          <w:rFonts w:ascii="Palatino Linotype" w:eastAsia="Palatino Linotype" w:hAnsi="Palatino Linotype" w:cs="Palatino Linotype"/>
          <w:b/>
        </w:rPr>
      </w:pPr>
      <w:r w:rsidRPr="00C92C90">
        <w:rPr>
          <w:rFonts w:ascii="Palatino Linotype" w:eastAsia="Palatino Linotype" w:hAnsi="Palatino Linotype" w:cs="Palatino Linotype"/>
          <w:b/>
        </w:rPr>
        <w:t>R E S U E L V E:</w:t>
      </w:r>
    </w:p>
    <w:p w14:paraId="2A820728"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Primero. </w:t>
      </w:r>
      <w:r w:rsidRPr="00C92C90">
        <w:rPr>
          <w:rFonts w:ascii="Palatino Linotype" w:eastAsia="Palatino Linotype" w:hAnsi="Palatino Linotype" w:cs="Palatino Linotype"/>
        </w:rPr>
        <w:t xml:space="preserve">Resultan </w:t>
      </w:r>
      <w:r w:rsidRPr="00C92C90">
        <w:rPr>
          <w:rFonts w:ascii="Palatino Linotype" w:eastAsia="Palatino Linotype" w:hAnsi="Palatino Linotype" w:cs="Palatino Linotype"/>
          <w:b/>
        </w:rPr>
        <w:t>fundadas</w:t>
      </w:r>
      <w:r w:rsidRPr="00C92C90">
        <w:rPr>
          <w:rFonts w:ascii="Palatino Linotype" w:eastAsia="Palatino Linotype" w:hAnsi="Palatino Linotype" w:cs="Palatino Linotype"/>
        </w:rPr>
        <w:t xml:space="preserve"> las razones o motivos de inconformidad hechos valer por </w:t>
      </w:r>
      <w:r w:rsidRPr="00C92C90">
        <w:rPr>
          <w:rFonts w:ascii="Palatino Linotype" w:eastAsia="Palatino Linotype" w:hAnsi="Palatino Linotype" w:cs="Palatino Linotype"/>
          <w:b/>
        </w:rPr>
        <w:t>la parte Recurrente</w:t>
      </w:r>
      <w:r w:rsidRPr="00C92C90">
        <w:rPr>
          <w:rFonts w:ascii="Palatino Linotype" w:eastAsia="Palatino Linotype" w:hAnsi="Palatino Linotype" w:cs="Palatino Linotype"/>
        </w:rPr>
        <w:t xml:space="preserve"> en el recurso de revisión </w:t>
      </w:r>
      <w:r w:rsidRPr="00C92C90">
        <w:rPr>
          <w:rFonts w:ascii="Palatino Linotype" w:eastAsia="Palatino Linotype" w:hAnsi="Palatino Linotype" w:cs="Palatino Linotype"/>
          <w:b/>
        </w:rPr>
        <w:t>00534/INFOEM/IP/RR/2023</w:t>
      </w:r>
      <w:r w:rsidRPr="00C92C90">
        <w:rPr>
          <w:rFonts w:ascii="Palatino Linotype" w:eastAsia="Palatino Linotype" w:hAnsi="Palatino Linotype" w:cs="Palatino Linotype"/>
        </w:rPr>
        <w:t xml:space="preserve">; en términos del </w:t>
      </w:r>
      <w:r w:rsidRPr="00C92C90">
        <w:rPr>
          <w:rFonts w:ascii="Palatino Linotype" w:eastAsia="Palatino Linotype" w:hAnsi="Palatino Linotype" w:cs="Palatino Linotype"/>
          <w:b/>
        </w:rPr>
        <w:t>Considerando</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 xml:space="preserve">Cuarto </w:t>
      </w:r>
      <w:r w:rsidRPr="00C92C90">
        <w:rPr>
          <w:rFonts w:ascii="Palatino Linotype" w:eastAsia="Palatino Linotype" w:hAnsi="Palatino Linotype" w:cs="Palatino Linotype"/>
        </w:rPr>
        <w:t>de esta resolución.</w:t>
      </w:r>
    </w:p>
    <w:p w14:paraId="59595489" w14:textId="77777777" w:rsidR="00DF14A7" w:rsidRPr="00C92C90" w:rsidRDefault="00E3414A">
      <w:pPr>
        <w:spacing w:before="240" w:after="240" w:line="360" w:lineRule="auto"/>
        <w:ind w:right="49"/>
        <w:jc w:val="both"/>
        <w:rPr>
          <w:rFonts w:ascii="Palatino Linotype" w:eastAsia="Palatino Linotype" w:hAnsi="Palatino Linotype" w:cs="Palatino Linotype"/>
          <w:b/>
        </w:rPr>
      </w:pPr>
      <w:bookmarkStart w:id="4" w:name="_heading=h.1fob9te" w:colFirst="0" w:colLast="0"/>
      <w:bookmarkEnd w:id="4"/>
      <w:r w:rsidRPr="00C92C90">
        <w:rPr>
          <w:rFonts w:ascii="Palatino Linotype" w:eastAsia="Palatino Linotype" w:hAnsi="Palatino Linotype" w:cs="Palatino Linotype"/>
          <w:b/>
        </w:rPr>
        <w:lastRenderedPageBreak/>
        <w:t xml:space="preserve">Segundo. </w:t>
      </w:r>
      <w:r w:rsidRPr="00C92C90">
        <w:rPr>
          <w:rFonts w:ascii="Palatino Linotype" w:eastAsia="Palatino Linotype" w:hAnsi="Palatino Linotype" w:cs="Palatino Linotype"/>
        </w:rPr>
        <w:t xml:space="preserve">Se </w:t>
      </w:r>
      <w:r w:rsidRPr="00C92C90">
        <w:rPr>
          <w:rFonts w:ascii="Palatino Linotype" w:eastAsia="Palatino Linotype" w:hAnsi="Palatino Linotype" w:cs="Palatino Linotype"/>
          <w:b/>
        </w:rPr>
        <w:t xml:space="preserve">Ordena </w:t>
      </w:r>
      <w:r w:rsidRPr="00C92C90">
        <w:rPr>
          <w:rFonts w:ascii="Palatino Linotype" w:eastAsia="Palatino Linotype" w:hAnsi="Palatino Linotype" w:cs="Palatino Linotype"/>
        </w:rPr>
        <w:t xml:space="preserve">al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haga entrega a</w:t>
      </w:r>
      <w:r w:rsidRPr="00C92C90">
        <w:rPr>
          <w:rFonts w:ascii="Palatino Linotype" w:eastAsia="Palatino Linotype" w:hAnsi="Palatino Linotype" w:cs="Palatino Linotype"/>
          <w:b/>
        </w:rPr>
        <w:t xml:space="preserve"> la parte Recurrente,</w:t>
      </w:r>
      <w:r w:rsidRPr="00C92C90">
        <w:rPr>
          <w:rFonts w:ascii="Palatino Linotype" w:eastAsia="Palatino Linotype" w:hAnsi="Palatino Linotype" w:cs="Palatino Linotype"/>
        </w:rPr>
        <w:t xml:space="preserve"> vía SAIMEX</w:t>
      </w:r>
      <w:r w:rsidRPr="00C92C90">
        <w:rPr>
          <w:rFonts w:ascii="Palatino Linotype" w:eastAsia="Palatino Linotype" w:hAnsi="Palatino Linotype" w:cs="Palatino Linotype"/>
          <w:b/>
        </w:rPr>
        <w:t>, en versión pública de ser procedente</w:t>
      </w:r>
      <w:r w:rsidRPr="00C92C90">
        <w:rPr>
          <w:rFonts w:ascii="Palatino Linotype" w:eastAsia="Palatino Linotype" w:hAnsi="Palatino Linotype" w:cs="Palatino Linotype"/>
        </w:rPr>
        <w:t xml:space="preserve">, en términos de los </w:t>
      </w:r>
      <w:r w:rsidRPr="00C92C90">
        <w:rPr>
          <w:rFonts w:ascii="Palatino Linotype" w:eastAsia="Palatino Linotype" w:hAnsi="Palatino Linotype" w:cs="Palatino Linotype"/>
          <w:b/>
        </w:rPr>
        <w:t>Considerandos</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Cuarto y Quinto de la presente resolución, lo siguiente</w:t>
      </w:r>
      <w:r w:rsidRPr="00C92C90">
        <w:t xml:space="preserve"> </w:t>
      </w:r>
      <w:r w:rsidRPr="00C92C90">
        <w:rPr>
          <w:rFonts w:ascii="Palatino Linotype" w:eastAsia="Palatino Linotype" w:hAnsi="Palatino Linotype" w:cs="Palatino Linotype"/>
          <w:b/>
        </w:rPr>
        <w:t>del periodo del 01 de enero al 21 de diciembre del 2022, al mayor grado de desagregación posible, los documentos donde conste lo siguiente de las</w:t>
      </w:r>
      <w:r w:rsidRPr="00C92C90">
        <w:t xml:space="preserve"> </w:t>
      </w:r>
      <w:r w:rsidRPr="00C92C90">
        <w:rPr>
          <w:rFonts w:ascii="Palatino Linotype" w:eastAsia="Palatino Linotype" w:hAnsi="Palatino Linotype" w:cs="Palatino Linotype"/>
          <w:b/>
        </w:rPr>
        <w:t>obras de</w:t>
      </w:r>
      <w:r w:rsidRPr="00C92C90">
        <w:t xml:space="preserve"> </w:t>
      </w:r>
      <w:r w:rsidRPr="00C92C90">
        <w:rPr>
          <w:rFonts w:ascii="Palatino Linotype" w:eastAsia="Palatino Linotype" w:hAnsi="Palatino Linotype" w:cs="Palatino Linotype"/>
          <w:b/>
        </w:rPr>
        <w:t xml:space="preserve">balizamientos y bacheos en las vialidades del Municipio en formato </w:t>
      </w:r>
      <w:proofErr w:type="spellStart"/>
      <w:r w:rsidRPr="00C92C90">
        <w:rPr>
          <w:rFonts w:ascii="Palatino Linotype" w:eastAsia="Palatino Linotype" w:hAnsi="Palatino Linotype" w:cs="Palatino Linotype"/>
          <w:b/>
        </w:rPr>
        <w:t>pdf</w:t>
      </w:r>
      <w:proofErr w:type="spellEnd"/>
      <w:r w:rsidRPr="00C92C90">
        <w:rPr>
          <w:rFonts w:ascii="Palatino Linotype" w:eastAsia="Palatino Linotype" w:hAnsi="Palatino Linotype" w:cs="Palatino Linotype"/>
          <w:b/>
        </w:rPr>
        <w:t xml:space="preserve"> o en aquel que se haya generado: </w:t>
      </w:r>
    </w:p>
    <w:p w14:paraId="530CDECA" w14:textId="77777777" w:rsidR="00DF14A7" w:rsidRPr="00C92C90" w:rsidRDefault="00E3414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b/>
          <w:i/>
          <w:sz w:val="22"/>
          <w:szCs w:val="22"/>
        </w:rPr>
        <w:t xml:space="preserve">•Nombre de la calle, colonia y/o población beneficiada </w:t>
      </w:r>
    </w:p>
    <w:p w14:paraId="2FCBCF1D" w14:textId="77777777" w:rsidR="00DF14A7" w:rsidRPr="00C92C90" w:rsidRDefault="00E3414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b/>
          <w:i/>
          <w:sz w:val="22"/>
          <w:szCs w:val="22"/>
        </w:rPr>
        <w:t>•Tipo y cantidad de material utilizado si fue balizamiento y/o bacheo de forma individual por calle.</w:t>
      </w:r>
    </w:p>
    <w:p w14:paraId="38D55C4F" w14:textId="77777777" w:rsidR="00DF14A7" w:rsidRPr="00C92C90" w:rsidRDefault="00E3414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r w:rsidRPr="00C92C90">
        <w:rPr>
          <w:rFonts w:ascii="Palatino Linotype" w:eastAsia="Palatino Linotype" w:hAnsi="Palatino Linotype" w:cs="Palatino Linotype"/>
          <w:b/>
          <w:i/>
          <w:sz w:val="22"/>
          <w:szCs w:val="22"/>
        </w:rPr>
        <w:t>•Gasto y/o pago total de balizamiento y/o bacheo de forma individual por calle</w:t>
      </w:r>
    </w:p>
    <w:p w14:paraId="6C431531" w14:textId="77777777" w:rsidR="00DF14A7" w:rsidRPr="00C92C90" w:rsidRDefault="00E3414A">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C92C90">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C92C90">
        <w:rPr>
          <w:rFonts w:ascii="Palatino Linotype" w:eastAsia="Palatino Linotype" w:hAnsi="Palatino Linotype" w:cs="Palatino Linotype"/>
          <w:b/>
          <w:i/>
          <w:sz w:val="22"/>
          <w:szCs w:val="22"/>
        </w:rPr>
        <w:t>Recurrente</w:t>
      </w:r>
      <w:r w:rsidRPr="00C92C90">
        <w:rPr>
          <w:rFonts w:ascii="Palatino Linotype" w:eastAsia="Palatino Linotype" w:hAnsi="Palatino Linotype" w:cs="Palatino Linotype"/>
          <w:i/>
          <w:sz w:val="22"/>
          <w:szCs w:val="22"/>
        </w:rPr>
        <w:t>.</w:t>
      </w:r>
    </w:p>
    <w:p w14:paraId="6490F87A" w14:textId="77777777" w:rsidR="00DF14A7" w:rsidRPr="00C92C90" w:rsidRDefault="00E3414A">
      <w:pPr>
        <w:spacing w:before="240" w:after="240"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Tercero</w:t>
      </w:r>
      <w:r w:rsidRPr="00C92C90">
        <w:rPr>
          <w:rFonts w:ascii="Palatino Linotype" w:eastAsia="Palatino Linotype" w:hAnsi="Palatino Linotype" w:cs="Palatino Linotype"/>
          <w:b/>
          <w:sz w:val="28"/>
          <w:szCs w:val="28"/>
        </w:rPr>
        <w:t xml:space="preserve">.  </w:t>
      </w:r>
      <w:r w:rsidRPr="00C92C90">
        <w:rPr>
          <w:rFonts w:ascii="Palatino Linotype" w:eastAsia="Palatino Linotype" w:hAnsi="Palatino Linotype" w:cs="Palatino Linotype"/>
          <w:b/>
        </w:rPr>
        <w:t>Notifíquese vía SAIMEX,</w:t>
      </w:r>
      <w:r w:rsidRPr="00C92C90">
        <w:rPr>
          <w:rFonts w:ascii="Palatino Linotype" w:eastAsia="Palatino Linotype" w:hAnsi="Palatino Linotype" w:cs="Palatino Linotype"/>
          <w:b/>
          <w:sz w:val="28"/>
          <w:szCs w:val="28"/>
        </w:rPr>
        <w:t xml:space="preserve"> </w:t>
      </w:r>
      <w:r w:rsidRPr="00C92C9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994DF1"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lastRenderedPageBreak/>
        <w:t>Cuarto. Notifíquese</w:t>
      </w:r>
      <w:r w:rsidRPr="00C92C90">
        <w:rPr>
          <w:rFonts w:ascii="Palatino Linotype" w:eastAsia="Palatino Linotype" w:hAnsi="Palatino Linotype" w:cs="Palatino Linotype"/>
        </w:rPr>
        <w:t>,</w:t>
      </w:r>
      <w:r w:rsidRPr="00C92C90">
        <w:rPr>
          <w:rFonts w:ascii="Palatino Linotype" w:eastAsia="Palatino Linotype" w:hAnsi="Palatino Linotype" w:cs="Palatino Linotype"/>
          <w:b/>
        </w:rPr>
        <w:t xml:space="preserve"> </w:t>
      </w:r>
      <w:r w:rsidRPr="00C92C90">
        <w:rPr>
          <w:rFonts w:ascii="Palatino Linotype" w:eastAsia="Palatino Linotype" w:hAnsi="Palatino Linotype" w:cs="Palatino Linotype"/>
        </w:rPr>
        <w:t xml:space="preserve">vía </w:t>
      </w:r>
      <w:r w:rsidRPr="00C92C90">
        <w:rPr>
          <w:rFonts w:ascii="Palatino Linotype" w:eastAsia="Palatino Linotype" w:hAnsi="Palatino Linotype" w:cs="Palatino Linotype"/>
          <w:b/>
        </w:rPr>
        <w:t>SAIMEX</w:t>
      </w:r>
      <w:r w:rsidRPr="00C92C90">
        <w:rPr>
          <w:rFonts w:ascii="Palatino Linotype" w:eastAsia="Palatino Linotype" w:hAnsi="Palatino Linotype" w:cs="Palatino Linotype"/>
        </w:rPr>
        <w:t xml:space="preserve">, a </w:t>
      </w:r>
      <w:r w:rsidRPr="00C92C90">
        <w:rPr>
          <w:rFonts w:ascii="Palatino Linotype" w:eastAsia="Palatino Linotype" w:hAnsi="Palatino Linotype" w:cs="Palatino Linotype"/>
          <w:b/>
        </w:rPr>
        <w:t>la parte</w:t>
      </w:r>
      <w:r w:rsidRPr="00C92C90">
        <w:rPr>
          <w:rFonts w:ascii="Palatino Linotype" w:eastAsia="Palatino Linotype" w:hAnsi="Palatino Linotype" w:cs="Palatino Linotype"/>
        </w:rPr>
        <w:t xml:space="preserve"> </w:t>
      </w:r>
      <w:r w:rsidRPr="00C92C90">
        <w:rPr>
          <w:rFonts w:ascii="Palatino Linotype" w:eastAsia="Palatino Linotype" w:hAnsi="Palatino Linotype" w:cs="Palatino Linotype"/>
          <w:b/>
        </w:rPr>
        <w:t xml:space="preserve">Recurrente </w:t>
      </w:r>
      <w:r w:rsidRPr="00C92C90">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C4FE66D" w14:textId="77777777" w:rsidR="00DF14A7" w:rsidRPr="00C92C90" w:rsidRDefault="00DF14A7">
      <w:pPr>
        <w:spacing w:line="360" w:lineRule="auto"/>
        <w:jc w:val="both"/>
        <w:rPr>
          <w:rFonts w:ascii="Palatino Linotype" w:eastAsia="Palatino Linotype" w:hAnsi="Palatino Linotype" w:cs="Palatino Linotype"/>
        </w:rPr>
      </w:pPr>
    </w:p>
    <w:p w14:paraId="4047AF33"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Quinto. Notifíquese, </w:t>
      </w:r>
      <w:r w:rsidRPr="00C92C90">
        <w:rPr>
          <w:rFonts w:ascii="Palatino Linotype" w:eastAsia="Palatino Linotype" w:hAnsi="Palatino Linotype" w:cs="Palatino Linotype"/>
        </w:rPr>
        <w:t xml:space="preserve">a la parte </w:t>
      </w:r>
      <w:r w:rsidRPr="00C92C90">
        <w:rPr>
          <w:rFonts w:ascii="Palatino Linotype" w:eastAsia="Palatino Linotype" w:hAnsi="Palatino Linotype" w:cs="Palatino Linotype"/>
          <w:b/>
        </w:rPr>
        <w:t xml:space="preserve">Recurrente </w:t>
      </w:r>
      <w:r w:rsidRPr="00C92C90">
        <w:rPr>
          <w:rFonts w:ascii="Palatino Linotype" w:eastAsia="Palatino Linotype" w:hAnsi="Palatino Linotype" w:cs="Palatino Linotype"/>
        </w:rPr>
        <w:t xml:space="preserve">que la respuesta que dé el </w:t>
      </w:r>
      <w:r w:rsidRPr="00C92C90">
        <w:rPr>
          <w:rFonts w:ascii="Palatino Linotype" w:eastAsia="Palatino Linotype" w:hAnsi="Palatino Linotype" w:cs="Palatino Linotype"/>
          <w:b/>
        </w:rPr>
        <w:t>Sujeto Obligado</w:t>
      </w:r>
      <w:r w:rsidRPr="00C92C90">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9191BEF" w14:textId="77777777" w:rsidR="00DF14A7" w:rsidRPr="00C92C90" w:rsidRDefault="00DF14A7">
      <w:pPr>
        <w:spacing w:line="360" w:lineRule="auto"/>
        <w:jc w:val="both"/>
        <w:rPr>
          <w:rFonts w:ascii="Palatino Linotype" w:eastAsia="Palatino Linotype" w:hAnsi="Palatino Linotype" w:cs="Palatino Linotype"/>
          <w:b/>
        </w:rPr>
      </w:pPr>
    </w:p>
    <w:p w14:paraId="73516295" w14:textId="77777777" w:rsidR="00DF14A7" w:rsidRPr="00C92C90" w:rsidRDefault="00E3414A">
      <w:pPr>
        <w:spacing w:line="360" w:lineRule="auto"/>
        <w:jc w:val="both"/>
        <w:rPr>
          <w:rFonts w:ascii="Palatino Linotype" w:eastAsia="Palatino Linotype" w:hAnsi="Palatino Linotype" w:cs="Palatino Linotype"/>
        </w:rPr>
      </w:pPr>
      <w:r w:rsidRPr="00C92C90">
        <w:rPr>
          <w:rFonts w:ascii="Palatino Linotype" w:eastAsia="Palatino Linotype" w:hAnsi="Palatino Linotype" w:cs="Palatino Linotype"/>
          <w:b/>
        </w:rPr>
        <w:t xml:space="preserve">Sexto. </w:t>
      </w:r>
      <w:r w:rsidRPr="00C92C90">
        <w:rPr>
          <w:rFonts w:ascii="Palatino Linotype" w:eastAsia="Palatino Linotype" w:hAnsi="Palatino Linotype" w:cs="Palatino Linotype"/>
        </w:rPr>
        <w:t>Gírese oficio a la</w:t>
      </w:r>
      <w:r w:rsidRPr="00C92C90">
        <w:rPr>
          <w:rFonts w:ascii="Palatino Linotype" w:eastAsia="Palatino Linotype" w:hAnsi="Palatino Linotype" w:cs="Palatino Linotype"/>
          <w:b/>
        </w:rPr>
        <w:t xml:space="preserve"> Secretaría Técnica del Pleno </w:t>
      </w:r>
      <w:r w:rsidRPr="00C92C90">
        <w:rPr>
          <w:rFonts w:ascii="Palatino Linotype" w:eastAsia="Palatino Linotype" w:hAnsi="Palatino Linotype" w:cs="Palatino Linotype"/>
        </w:rPr>
        <w:t>de este Instituto a fin de que en ejercicio de sus atribuciones haga del conocimiento del Órgano Interno de Competente la presente resolución, para que de conformidad con el artículo 190, de la Ley de Transparencia y Acceso a la Información Pública del Estado de México y Municipios, determine lo conducente, en términos de lo señalado en el considerando Cuarto de la presente resolución.</w:t>
      </w:r>
    </w:p>
    <w:p w14:paraId="143FE844" w14:textId="77777777" w:rsidR="00DF14A7" w:rsidRDefault="00E3414A">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C92C90">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MEJIA AYALA, SHARON CRISTINA </w:t>
      </w:r>
      <w:r w:rsidRPr="00C92C90">
        <w:rPr>
          <w:rFonts w:ascii="Palatino Linotype" w:eastAsia="Palatino Linotype" w:hAnsi="Palatino Linotype" w:cs="Palatino Linotype"/>
        </w:rPr>
        <w:lastRenderedPageBreak/>
        <w:t>MORALES MARTINEZ, LUIS GUSTAVO PARRA NORIEGA Y GUADALUPE RAMÍREZ PEÑA; EN LA VIGÉSIMA SEXTA SESIÓN ORDINARIA CELEBRADA EL DOCE DE JULIO DE DOS MIL VEINTITRÉS, ANTE EL SECRETARIO TÉCNICO DEL PLENO ALEXIS TAPIA RAMÍREZ.</w:t>
      </w:r>
    </w:p>
    <w:p w14:paraId="72BE2F2C" w14:textId="77777777" w:rsidR="00CA559C" w:rsidRDefault="00CA559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5760290D" wp14:editId="1F13AEA4">
                <wp:simplePos x="0" y="0"/>
                <wp:positionH relativeFrom="column">
                  <wp:posOffset>244474</wp:posOffset>
                </wp:positionH>
                <wp:positionV relativeFrom="paragraph">
                  <wp:posOffset>81279</wp:posOffset>
                </wp:positionV>
                <wp:extent cx="5305425" cy="57054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305425" cy="57054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8F0815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25pt,6.4pt" to="437pt,4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0tuQEAAMUDAAAOAAAAZHJzL2Uyb0RvYy54bWysU02P0zAQvSPxHyzfadJCdlHUdA9dwQVB&#10;BcsP8DrjxpK/NDZN+u8ZO9ksAiQE4mJ77Hkz896M93eTNewCGLV3Hd9uas7ASd9rd+7414d3r95y&#10;FpNwvTDeQcevEPnd4eWL/Rha2PnBmx6QURAX2zF0fEgptFUV5QBWxI0P4OhRebQikYnnqkcxUnRr&#10;ql1d31Sjxz6glxAj3d7Pj/xQ4isFMn1SKkJipuNUWyorlvUxr9VhL9ozijBouZQh/qEKK7SjpGuo&#10;e5EE+4b6l1BWS/TRq7SR3lZeKS2hcCA22/onNl8GEaBwIXFiWGWK/y+s/Hg5IdM99Y4zJyy16EiN&#10;kskjw7yxbdZoDLEl16M74WLFcMJMeFJo805U2FR0va66wpSYpMvmdd282TWcSXprbsm4bXLU6hke&#10;MKb34C3Lh44b7TJx0YrLh5hm1ycXwuVy5gLKKV0NZGfjPoMiMpRyW9BljOBokF0EDYCQEly6WVIX&#10;7wxT2pgVWP8ZuPhnKJQR+xvwiiiZvUsr2Grn8XfZ01R6QGqp2f9JgZl3luDR99fSmiINzUoRd5nr&#10;PIw/2gX+/PsO3wEAAP//AwBQSwMEFAAGAAgAAAAhAHZ5iLveAAAACQEAAA8AAABkcnMvZG93bnJl&#10;di54bWxMj8FOwzAQRO9I/IO1SNyok5ZCCHEqVATihlqqnrexGwfidYjdJPD1LCc47sxodl6xmlwr&#10;BtOHxpOCdJaAMFR53VCtYPf2dJWBCBFJY+vJKPgyAVbl+VmBufYjbcywjbXgEgo5KrAxdrmUobLG&#10;YZj5zhB7R987jHz2tdQ9jlzuWjlPkhvpsCH+YLEza2uqj+3JKZAb+/0o1/j+uRxfnnHaD0fZvip1&#10;eTE93IOIZop/Yfidz9Oh5E0HfyIdRKtgkS05yfqcCdjPbq+Z7aDgLk0XIMtC/icofwAAAP//AwBQ&#10;SwECLQAUAAYACAAAACEAtoM4kv4AAADhAQAAEwAAAAAAAAAAAAAAAAAAAAAAW0NvbnRlbnRfVHlw&#10;ZXNdLnhtbFBLAQItABQABgAIAAAAIQA4/SH/1gAAAJQBAAALAAAAAAAAAAAAAAAAAC8BAABfcmVs&#10;cy8ucmVsc1BLAQItABQABgAIAAAAIQA1eE0tuQEAAMUDAAAOAAAAAAAAAAAAAAAAAC4CAABkcnMv&#10;ZTJvRG9jLnhtbFBLAQItABQABgAIAAAAIQB2eYi73gAAAAkBAAAPAAAAAAAAAAAAAAAAABMEAABk&#10;cnMvZG93bnJldi54bWxQSwUGAAAAAAQABADzAAAAHgUAAAAA&#10;" strokecolor="#f68c36 [3049]"/>
            </w:pict>
          </mc:Fallback>
        </mc:AlternateContent>
      </w:r>
    </w:p>
    <w:p w14:paraId="0524AD37" w14:textId="77777777" w:rsidR="00CA559C" w:rsidRDefault="00CA559C">
      <w:pPr>
        <w:spacing w:before="240" w:after="240" w:line="360" w:lineRule="auto"/>
        <w:jc w:val="both"/>
        <w:rPr>
          <w:rFonts w:ascii="Palatino Linotype" w:eastAsia="Palatino Linotype" w:hAnsi="Palatino Linotype" w:cs="Palatino Linotype"/>
        </w:rPr>
      </w:pPr>
    </w:p>
    <w:p w14:paraId="6B15BEC4" w14:textId="77777777" w:rsidR="00CA559C" w:rsidRDefault="00CA559C">
      <w:pPr>
        <w:spacing w:before="240" w:after="240" w:line="360" w:lineRule="auto"/>
        <w:jc w:val="both"/>
        <w:rPr>
          <w:rFonts w:ascii="Palatino Linotype" w:eastAsia="Palatino Linotype" w:hAnsi="Palatino Linotype" w:cs="Palatino Linotype"/>
        </w:rPr>
      </w:pPr>
    </w:p>
    <w:p w14:paraId="3C44505A" w14:textId="77777777" w:rsidR="00CA559C" w:rsidRDefault="00CA559C">
      <w:pPr>
        <w:spacing w:before="240" w:after="240" w:line="360" w:lineRule="auto"/>
        <w:jc w:val="both"/>
        <w:rPr>
          <w:rFonts w:ascii="Palatino Linotype" w:eastAsia="Palatino Linotype" w:hAnsi="Palatino Linotype" w:cs="Palatino Linotype"/>
        </w:rPr>
      </w:pPr>
    </w:p>
    <w:p w14:paraId="23CB5CF2" w14:textId="77777777" w:rsidR="00CA559C" w:rsidRDefault="00CA559C">
      <w:pPr>
        <w:spacing w:before="240" w:after="240" w:line="360" w:lineRule="auto"/>
        <w:jc w:val="both"/>
        <w:rPr>
          <w:rFonts w:ascii="Palatino Linotype" w:eastAsia="Palatino Linotype" w:hAnsi="Palatino Linotype" w:cs="Palatino Linotype"/>
        </w:rPr>
      </w:pPr>
    </w:p>
    <w:p w14:paraId="4BB977FF" w14:textId="77777777" w:rsidR="00CA559C" w:rsidRDefault="00CA559C">
      <w:pPr>
        <w:spacing w:before="240" w:after="240" w:line="360" w:lineRule="auto"/>
        <w:jc w:val="both"/>
        <w:rPr>
          <w:rFonts w:ascii="Palatino Linotype" w:eastAsia="Palatino Linotype" w:hAnsi="Palatino Linotype" w:cs="Palatino Linotype"/>
        </w:rPr>
      </w:pPr>
    </w:p>
    <w:p w14:paraId="253D4170" w14:textId="77777777" w:rsidR="00CA559C" w:rsidRDefault="00CA559C">
      <w:pPr>
        <w:spacing w:before="240" w:after="240" w:line="360" w:lineRule="auto"/>
        <w:jc w:val="both"/>
        <w:rPr>
          <w:rFonts w:ascii="Palatino Linotype" w:eastAsia="Palatino Linotype" w:hAnsi="Palatino Linotype" w:cs="Palatino Linotype"/>
        </w:rPr>
      </w:pPr>
    </w:p>
    <w:p w14:paraId="3A042A53" w14:textId="77777777" w:rsidR="00CA559C" w:rsidRDefault="00CA559C">
      <w:pPr>
        <w:spacing w:before="240" w:after="240" w:line="360" w:lineRule="auto"/>
        <w:jc w:val="both"/>
        <w:rPr>
          <w:rFonts w:ascii="Palatino Linotype" w:eastAsia="Palatino Linotype" w:hAnsi="Palatino Linotype" w:cs="Palatino Linotype"/>
        </w:rPr>
      </w:pPr>
    </w:p>
    <w:p w14:paraId="4CD87450" w14:textId="77777777" w:rsidR="00CA559C" w:rsidRDefault="00CA559C">
      <w:pPr>
        <w:spacing w:before="240" w:after="240" w:line="360" w:lineRule="auto"/>
        <w:jc w:val="both"/>
        <w:rPr>
          <w:rFonts w:ascii="Palatino Linotype" w:eastAsia="Palatino Linotype" w:hAnsi="Palatino Linotype" w:cs="Palatino Linotype"/>
        </w:rPr>
      </w:pPr>
    </w:p>
    <w:p w14:paraId="26F309D0" w14:textId="77777777" w:rsidR="00CA559C" w:rsidRDefault="00CA559C">
      <w:pPr>
        <w:spacing w:before="240" w:after="240" w:line="360" w:lineRule="auto"/>
        <w:jc w:val="both"/>
        <w:rPr>
          <w:rFonts w:ascii="Palatino Linotype" w:eastAsia="Palatino Linotype" w:hAnsi="Palatino Linotype" w:cs="Palatino Linotype"/>
        </w:rPr>
      </w:pPr>
    </w:p>
    <w:p w14:paraId="54CC47DA" w14:textId="77777777" w:rsidR="00CA559C" w:rsidRDefault="00CA559C">
      <w:pPr>
        <w:spacing w:before="240" w:after="240" w:line="360" w:lineRule="auto"/>
        <w:jc w:val="both"/>
        <w:rPr>
          <w:rFonts w:ascii="Palatino Linotype" w:eastAsia="Palatino Linotype" w:hAnsi="Palatino Linotype" w:cs="Palatino Linotype"/>
        </w:rPr>
      </w:pPr>
    </w:p>
    <w:p w14:paraId="3BED677D" w14:textId="77777777" w:rsidR="00CA559C" w:rsidRDefault="00CA559C">
      <w:pPr>
        <w:spacing w:before="240" w:after="240" w:line="360" w:lineRule="auto"/>
        <w:jc w:val="both"/>
        <w:rPr>
          <w:rFonts w:ascii="Palatino Linotype" w:eastAsia="Palatino Linotype" w:hAnsi="Palatino Linotype" w:cs="Palatino Linotype"/>
        </w:rPr>
      </w:pPr>
    </w:p>
    <w:p w14:paraId="1DA7F277" w14:textId="77777777" w:rsidR="00CA559C" w:rsidRDefault="00CA559C">
      <w:pPr>
        <w:spacing w:before="240" w:after="240" w:line="360" w:lineRule="auto"/>
        <w:jc w:val="both"/>
        <w:rPr>
          <w:rFonts w:ascii="Palatino Linotype" w:eastAsia="Palatino Linotype" w:hAnsi="Palatino Linotype" w:cs="Palatino Linotype"/>
        </w:rPr>
      </w:pPr>
    </w:p>
    <w:p w14:paraId="4F0D80B8" w14:textId="77777777" w:rsidR="00CA559C" w:rsidRDefault="00CA559C">
      <w:pPr>
        <w:spacing w:before="240" w:after="240" w:line="360" w:lineRule="auto"/>
        <w:jc w:val="both"/>
        <w:rPr>
          <w:rFonts w:ascii="Palatino Linotype" w:eastAsia="Palatino Linotype" w:hAnsi="Palatino Linotype" w:cs="Palatino Linotype"/>
        </w:rPr>
      </w:pPr>
    </w:p>
    <w:p w14:paraId="540FE33E" w14:textId="77777777" w:rsidR="00CA559C" w:rsidRPr="00C92C90" w:rsidRDefault="00CA559C">
      <w:pPr>
        <w:spacing w:before="240" w:after="240" w:line="360" w:lineRule="auto"/>
        <w:jc w:val="both"/>
        <w:rPr>
          <w:rFonts w:ascii="Palatino Linotype" w:eastAsia="Palatino Linotype" w:hAnsi="Palatino Linotype" w:cs="Palatino Linotype"/>
        </w:rPr>
      </w:pPr>
    </w:p>
    <w:p w14:paraId="008D978C" w14:textId="77777777" w:rsidR="00DF14A7" w:rsidRPr="00C92C90" w:rsidRDefault="00DF14A7">
      <w:pPr>
        <w:spacing w:before="240" w:after="240" w:line="360" w:lineRule="auto"/>
        <w:jc w:val="both"/>
        <w:rPr>
          <w:rFonts w:ascii="Palatino Linotype" w:eastAsia="Palatino Linotype" w:hAnsi="Palatino Linotype" w:cs="Palatino Linotype"/>
        </w:rPr>
      </w:pPr>
    </w:p>
    <w:p w14:paraId="52FB770D" w14:textId="77777777" w:rsidR="00DF14A7" w:rsidRPr="00C92C90" w:rsidRDefault="00DF14A7">
      <w:pPr>
        <w:spacing w:before="240" w:after="240" w:line="360" w:lineRule="auto"/>
        <w:jc w:val="both"/>
        <w:rPr>
          <w:rFonts w:ascii="Palatino Linotype" w:eastAsia="Palatino Linotype" w:hAnsi="Palatino Linotype" w:cs="Palatino Linotype"/>
        </w:rPr>
      </w:pPr>
    </w:p>
    <w:p w14:paraId="14131979" w14:textId="77777777" w:rsidR="00DF14A7" w:rsidRPr="00C92C90" w:rsidRDefault="00DF14A7">
      <w:pPr>
        <w:spacing w:before="240" w:after="240" w:line="360" w:lineRule="auto"/>
        <w:jc w:val="both"/>
        <w:rPr>
          <w:rFonts w:ascii="Palatino Linotype" w:eastAsia="Palatino Linotype" w:hAnsi="Palatino Linotype" w:cs="Palatino Linotype"/>
        </w:rPr>
      </w:pPr>
    </w:p>
    <w:p w14:paraId="3BC4FD8A" w14:textId="77777777" w:rsidR="00DF14A7" w:rsidRPr="00C92C90" w:rsidRDefault="00DF14A7">
      <w:pPr>
        <w:spacing w:before="240" w:after="240" w:line="360" w:lineRule="auto"/>
        <w:jc w:val="both"/>
        <w:rPr>
          <w:rFonts w:ascii="Palatino Linotype" w:eastAsia="Palatino Linotype" w:hAnsi="Palatino Linotype" w:cs="Palatino Linotype"/>
        </w:rPr>
      </w:pPr>
    </w:p>
    <w:p w14:paraId="0F3F7505" w14:textId="77777777" w:rsidR="00DF14A7" w:rsidRPr="00C92C90" w:rsidRDefault="00DF14A7">
      <w:pPr>
        <w:spacing w:before="240" w:after="240" w:line="360" w:lineRule="auto"/>
        <w:jc w:val="both"/>
        <w:rPr>
          <w:rFonts w:ascii="Palatino Linotype" w:eastAsia="Palatino Linotype" w:hAnsi="Palatino Linotype" w:cs="Palatino Linotype"/>
        </w:rPr>
      </w:pPr>
    </w:p>
    <w:p w14:paraId="10790B26" w14:textId="77777777" w:rsidR="00DF14A7" w:rsidRPr="00C92C90" w:rsidRDefault="00DF14A7">
      <w:pPr>
        <w:spacing w:before="240" w:after="240" w:line="360" w:lineRule="auto"/>
        <w:jc w:val="both"/>
        <w:rPr>
          <w:rFonts w:ascii="Palatino Linotype" w:eastAsia="Palatino Linotype" w:hAnsi="Palatino Linotype" w:cs="Palatino Linotype"/>
        </w:rPr>
      </w:pPr>
    </w:p>
    <w:p w14:paraId="0EAD6B7A" w14:textId="77777777" w:rsidR="00DF14A7" w:rsidRPr="00C92C90" w:rsidRDefault="00DF14A7">
      <w:pPr>
        <w:spacing w:before="240" w:after="240" w:line="360" w:lineRule="auto"/>
        <w:jc w:val="both"/>
        <w:rPr>
          <w:rFonts w:ascii="Palatino Linotype" w:eastAsia="Palatino Linotype" w:hAnsi="Palatino Linotype" w:cs="Palatino Linotype"/>
        </w:rPr>
      </w:pPr>
    </w:p>
    <w:p w14:paraId="2E00E36A" w14:textId="77777777" w:rsidR="00DF14A7" w:rsidRPr="00C92C90" w:rsidRDefault="00DF14A7">
      <w:pPr>
        <w:spacing w:before="240" w:after="240" w:line="360" w:lineRule="auto"/>
        <w:jc w:val="both"/>
        <w:rPr>
          <w:rFonts w:ascii="Palatino Linotype" w:eastAsia="Palatino Linotype" w:hAnsi="Palatino Linotype" w:cs="Palatino Linotype"/>
        </w:rPr>
      </w:pPr>
    </w:p>
    <w:p w14:paraId="732126E8" w14:textId="77777777" w:rsidR="00DF14A7" w:rsidRPr="00C92C90" w:rsidRDefault="00DF14A7">
      <w:pPr>
        <w:spacing w:before="240" w:after="240" w:line="360" w:lineRule="auto"/>
        <w:jc w:val="both"/>
        <w:rPr>
          <w:rFonts w:ascii="Palatino Linotype" w:eastAsia="Palatino Linotype" w:hAnsi="Palatino Linotype" w:cs="Palatino Linotype"/>
        </w:rPr>
      </w:pPr>
    </w:p>
    <w:p w14:paraId="59DE8479" w14:textId="77777777" w:rsidR="00DF14A7" w:rsidRPr="00C92C90" w:rsidRDefault="00DF14A7">
      <w:pPr>
        <w:spacing w:before="240" w:after="240" w:line="360" w:lineRule="auto"/>
        <w:jc w:val="both"/>
        <w:rPr>
          <w:rFonts w:ascii="Palatino Linotype" w:eastAsia="Palatino Linotype" w:hAnsi="Palatino Linotype" w:cs="Palatino Linotype"/>
        </w:rPr>
      </w:pPr>
    </w:p>
    <w:p w14:paraId="488CE8E7" w14:textId="77777777" w:rsidR="00DF14A7" w:rsidRPr="00C92C90" w:rsidRDefault="00DF14A7">
      <w:pPr>
        <w:spacing w:before="240" w:after="240" w:line="360" w:lineRule="auto"/>
        <w:jc w:val="both"/>
        <w:rPr>
          <w:rFonts w:ascii="Palatino Linotype" w:eastAsia="Palatino Linotype" w:hAnsi="Palatino Linotype" w:cs="Palatino Linotype"/>
        </w:rPr>
      </w:pPr>
    </w:p>
    <w:p w14:paraId="60CFC2AD" w14:textId="77777777" w:rsidR="00DF14A7" w:rsidRPr="00C92C90" w:rsidRDefault="00DF14A7">
      <w:pPr>
        <w:spacing w:before="240" w:after="240" w:line="360" w:lineRule="auto"/>
        <w:jc w:val="both"/>
        <w:rPr>
          <w:rFonts w:ascii="Palatino Linotype" w:eastAsia="Palatino Linotype" w:hAnsi="Palatino Linotype" w:cs="Palatino Linotype"/>
        </w:rPr>
      </w:pPr>
    </w:p>
    <w:sectPr w:rsidR="00DF14A7" w:rsidRPr="00C92C90">
      <w:headerReference w:type="default" r:id="rId16"/>
      <w:footerReference w:type="default" r:id="rId17"/>
      <w:headerReference w:type="first" r:id="rId18"/>
      <w:footerReference w:type="first" r:id="rId19"/>
      <w:pgSz w:w="12240" w:h="15840"/>
      <w:pgMar w:top="1985" w:right="1701" w:bottom="1701" w:left="17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8E5F7" w14:textId="77777777" w:rsidR="00204035" w:rsidRDefault="00204035">
      <w:r>
        <w:separator/>
      </w:r>
    </w:p>
  </w:endnote>
  <w:endnote w:type="continuationSeparator" w:id="0">
    <w:p w14:paraId="62F5D637" w14:textId="77777777" w:rsidR="00204035" w:rsidRDefault="00204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F6C7" w14:textId="77777777" w:rsidR="00DF14A7" w:rsidRDefault="00E341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40F1A">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40F1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097D184C" w14:textId="77777777" w:rsidR="00DF14A7" w:rsidRDefault="00DF14A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21D7" w14:textId="77777777" w:rsidR="00DF14A7" w:rsidRDefault="00E341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40F1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40F1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2B280581" w14:textId="77777777" w:rsidR="00DF14A7" w:rsidRDefault="00DF14A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F9807" w14:textId="77777777" w:rsidR="00204035" w:rsidRDefault="00204035">
      <w:r>
        <w:separator/>
      </w:r>
    </w:p>
  </w:footnote>
  <w:footnote w:type="continuationSeparator" w:id="0">
    <w:p w14:paraId="6D57FB81" w14:textId="77777777" w:rsidR="00204035" w:rsidRDefault="00204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4151" w14:textId="77777777" w:rsidR="00DF14A7" w:rsidRDefault="00E3414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3891CC8" wp14:editId="3E21DFC6">
          <wp:simplePos x="0" y="0"/>
          <wp:positionH relativeFrom="column">
            <wp:posOffset>-1127123</wp:posOffset>
          </wp:positionH>
          <wp:positionV relativeFrom="paragraph">
            <wp:posOffset>-344803</wp:posOffset>
          </wp:positionV>
          <wp:extent cx="7809865" cy="10165715"/>
          <wp:effectExtent l="0" t="0" r="0" b="0"/>
          <wp:wrapNone/>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DF14A7" w14:paraId="3D7321D5" w14:textId="77777777">
      <w:tc>
        <w:tcPr>
          <w:tcW w:w="2489" w:type="dxa"/>
          <w:shd w:val="clear" w:color="auto" w:fill="auto"/>
        </w:tcPr>
        <w:p w14:paraId="2036A98D" w14:textId="77777777" w:rsidR="00DF14A7" w:rsidRDefault="00E341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C135A11" w14:textId="77777777" w:rsidR="00DF14A7" w:rsidRDefault="00E3414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00534/INFOEM/IP/RR/2023</w:t>
          </w:r>
        </w:p>
      </w:tc>
    </w:tr>
    <w:tr w:rsidR="00DF14A7" w14:paraId="7C15B205" w14:textId="77777777">
      <w:trPr>
        <w:trHeight w:val="228"/>
      </w:trPr>
      <w:tc>
        <w:tcPr>
          <w:tcW w:w="2489" w:type="dxa"/>
          <w:shd w:val="clear" w:color="auto" w:fill="auto"/>
          <w:vAlign w:val="center"/>
        </w:tcPr>
        <w:p w14:paraId="04E5B256" w14:textId="77777777" w:rsidR="00DF14A7" w:rsidRDefault="00E341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AF74B6E" w14:textId="77777777" w:rsidR="00DF14A7" w:rsidRDefault="00E3414A">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DF14A7" w14:paraId="545BC472" w14:textId="77777777">
      <w:tc>
        <w:tcPr>
          <w:tcW w:w="2489" w:type="dxa"/>
          <w:shd w:val="clear" w:color="auto" w:fill="auto"/>
          <w:vAlign w:val="center"/>
        </w:tcPr>
        <w:p w14:paraId="675B5BC8" w14:textId="77777777" w:rsidR="00DF14A7" w:rsidRDefault="00E3414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6DCEC23" w14:textId="77777777" w:rsidR="00DF14A7" w:rsidRDefault="00E3414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8C1910" w14:textId="77777777" w:rsidR="00DF14A7" w:rsidRDefault="00E3414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C8E8" w14:textId="77777777" w:rsidR="00DF14A7" w:rsidRDefault="00E3414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49294D5" wp14:editId="76648A6A">
          <wp:simplePos x="0" y="0"/>
          <wp:positionH relativeFrom="column">
            <wp:posOffset>-955673</wp:posOffset>
          </wp:positionH>
          <wp:positionV relativeFrom="paragraph">
            <wp:posOffset>-288923</wp:posOffset>
          </wp:positionV>
          <wp:extent cx="7809865" cy="10165715"/>
          <wp:effectExtent l="0" t="0" r="0" b="0"/>
          <wp:wrapNone/>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662" w:type="dxa"/>
      <w:tblInd w:w="3261" w:type="dxa"/>
      <w:tblLayout w:type="fixed"/>
      <w:tblLook w:val="0400" w:firstRow="0" w:lastRow="0" w:firstColumn="0" w:lastColumn="0" w:noHBand="0" w:noVBand="1"/>
    </w:tblPr>
    <w:tblGrid>
      <w:gridCol w:w="2551"/>
      <w:gridCol w:w="4111"/>
    </w:tblGrid>
    <w:tr w:rsidR="00DF14A7" w14:paraId="722AB3CC" w14:textId="77777777">
      <w:tc>
        <w:tcPr>
          <w:tcW w:w="2551" w:type="dxa"/>
          <w:shd w:val="clear" w:color="auto" w:fill="auto"/>
          <w:vAlign w:val="center"/>
        </w:tcPr>
        <w:p w14:paraId="16E63497" w14:textId="77777777" w:rsidR="00DF14A7" w:rsidRDefault="00E341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187C4333" w14:textId="77777777" w:rsidR="00DF14A7" w:rsidRDefault="00E3414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00534/INFOEM/IP/RR/2023</w:t>
          </w:r>
        </w:p>
      </w:tc>
    </w:tr>
    <w:tr w:rsidR="00DF14A7" w14:paraId="06A83B6B" w14:textId="77777777">
      <w:trPr>
        <w:trHeight w:val="130"/>
      </w:trPr>
      <w:tc>
        <w:tcPr>
          <w:tcW w:w="2551" w:type="dxa"/>
          <w:shd w:val="clear" w:color="auto" w:fill="auto"/>
          <w:vAlign w:val="center"/>
        </w:tcPr>
        <w:p w14:paraId="6B4082C2" w14:textId="77777777" w:rsidR="00DF14A7" w:rsidRDefault="00E341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24E52AD0" w14:textId="494BE37D" w:rsidR="00DF14A7" w:rsidRDefault="00A53F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DF14A7" w14:paraId="0D71F83F" w14:textId="77777777">
      <w:trPr>
        <w:trHeight w:val="228"/>
      </w:trPr>
      <w:tc>
        <w:tcPr>
          <w:tcW w:w="2551" w:type="dxa"/>
          <w:shd w:val="clear" w:color="auto" w:fill="auto"/>
          <w:vAlign w:val="center"/>
        </w:tcPr>
        <w:p w14:paraId="7EFC20C7" w14:textId="77777777" w:rsidR="00DF14A7" w:rsidRDefault="00E341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2982793E" w14:textId="77777777" w:rsidR="00DF14A7" w:rsidRDefault="00E3414A">
          <w:pPr>
            <w:ind w:left="-45" w:right="130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DF14A7" w14:paraId="4F1CE8CB" w14:textId="77777777">
      <w:tc>
        <w:tcPr>
          <w:tcW w:w="2551" w:type="dxa"/>
          <w:shd w:val="clear" w:color="auto" w:fill="auto"/>
          <w:vAlign w:val="center"/>
        </w:tcPr>
        <w:p w14:paraId="684D4F9E" w14:textId="77777777" w:rsidR="00DF14A7" w:rsidRDefault="00E341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78F44C38" w14:textId="77777777" w:rsidR="00DF14A7" w:rsidRDefault="00E3414A">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1B95AE" w14:textId="77777777" w:rsidR="00DF14A7" w:rsidRDefault="00DF14A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1B25"/>
    <w:multiLevelType w:val="multilevel"/>
    <w:tmpl w:val="340C2F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F16F08"/>
    <w:multiLevelType w:val="multilevel"/>
    <w:tmpl w:val="9A5E8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2011DE"/>
    <w:multiLevelType w:val="multilevel"/>
    <w:tmpl w:val="697AD7B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5B01D3E"/>
    <w:multiLevelType w:val="multilevel"/>
    <w:tmpl w:val="12CA4540"/>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5DE388C"/>
    <w:multiLevelType w:val="multilevel"/>
    <w:tmpl w:val="12D492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A7"/>
    <w:rsid w:val="00062E90"/>
    <w:rsid w:val="00204035"/>
    <w:rsid w:val="00440F1A"/>
    <w:rsid w:val="00A53F4B"/>
    <w:rsid w:val="00C92C90"/>
    <w:rsid w:val="00CA559C"/>
    <w:rsid w:val="00DF14A7"/>
    <w:rsid w:val="00E341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403E"/>
  <w15:docId w15:val="{DB4BF5F9-BD7F-4407-BED3-C7E28B28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29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tAkgiamqo/eOflgLUSqu0mOoTw==">CgMxLjAyCGguZ2pkZ3hzMgloLjMwajB6bGwyCWguMnM4ZXlvMTIIaC50eWpjd3QyCWguMWZvYjl0ZTIJaC4zem55c2g3OAByITFlWWRUYi1XRzdFVGJlTjJWMmFCRC1tOGsyc3pta1lKSA==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8730</Words>
  <Characters>48016</Characters>
  <Application>Microsoft Office Word</Application>
  <DocSecurity>4</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2023-07-13T16:34:00Z</cp:lastPrinted>
  <dcterms:created xsi:type="dcterms:W3CDTF">2023-08-07T04:35:00Z</dcterms:created>
  <dcterms:modified xsi:type="dcterms:W3CDTF">2023-08-07T04:35:00Z</dcterms:modified>
</cp:coreProperties>
</file>