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0A47" w14:textId="4BA7A006" w:rsidR="006A4B75" w:rsidRPr="00B50CE2" w:rsidRDefault="006A4B75" w:rsidP="00967419">
      <w:pPr>
        <w:tabs>
          <w:tab w:val="left" w:pos="8931"/>
        </w:tabs>
        <w:spacing w:after="0" w:line="360" w:lineRule="auto"/>
        <w:contextualSpacing/>
        <w:rPr>
          <w:rFonts w:eastAsia="Calibri" w:cs="Tahoma"/>
          <w:lang w:val="es-ES"/>
        </w:rPr>
      </w:pPr>
      <w:r w:rsidRPr="00B50CE2">
        <w:rPr>
          <w:rFonts w:cs="Tahoma"/>
          <w:bCs/>
        </w:rPr>
        <w:t xml:space="preserve">Resolución del Pleno del Instituto de Transparencia, Acceso a la Información Pública y Protección de Datos Personales del Estado de México y Municipios, con domicilio en Metepec, </w:t>
      </w:r>
      <w:r w:rsidRPr="00B50CE2">
        <w:rPr>
          <w:rFonts w:eastAsia="Calibri" w:cs="Tahoma"/>
          <w:lang w:val="es-ES"/>
        </w:rPr>
        <w:t xml:space="preserve">Estado de México, quince de febrero de dos mil veintitrés. </w:t>
      </w:r>
    </w:p>
    <w:p w14:paraId="1C2913DF" w14:textId="77777777" w:rsidR="006A4B75" w:rsidRPr="00B50CE2" w:rsidRDefault="006A4B75" w:rsidP="00967419">
      <w:pPr>
        <w:spacing w:after="0" w:line="360" w:lineRule="auto"/>
        <w:contextualSpacing/>
        <w:rPr>
          <w:rFonts w:eastAsia="Calibri" w:cs="Tahoma"/>
          <w:b/>
          <w:bCs/>
          <w:lang w:val="es-ES"/>
        </w:rPr>
      </w:pPr>
    </w:p>
    <w:p w14:paraId="6EEC0FD3" w14:textId="1200D894" w:rsidR="006A4B75" w:rsidRPr="00B50CE2" w:rsidRDefault="006A4B75" w:rsidP="00967419">
      <w:pPr>
        <w:spacing w:after="0" w:line="360" w:lineRule="auto"/>
        <w:contextualSpacing/>
        <w:rPr>
          <w:rFonts w:cs="Tahoma"/>
          <w:color w:val="0D0D0D" w:themeColor="text1" w:themeTint="F2"/>
        </w:rPr>
      </w:pPr>
      <w:r w:rsidRPr="00B50CE2">
        <w:rPr>
          <w:rFonts w:eastAsia="Calibri" w:cs="Tahoma"/>
          <w:b/>
          <w:bCs/>
          <w:lang w:val="es-ES"/>
        </w:rPr>
        <w:t xml:space="preserve">VISTO </w:t>
      </w:r>
      <w:r w:rsidRPr="00B50CE2">
        <w:rPr>
          <w:rFonts w:eastAsia="Calibri" w:cs="Tahoma"/>
          <w:lang w:val="es-ES"/>
        </w:rPr>
        <w:t xml:space="preserve">el expediente conformado con motivo del Recurso de Revisión </w:t>
      </w:r>
      <w:r w:rsidRPr="00B50CE2">
        <w:rPr>
          <w:rFonts w:eastAsia="Calibri" w:cs="Tahoma"/>
        </w:rPr>
        <w:t>15386/INFOEM/IP/RR/2022, interpuesto por el</w:t>
      </w:r>
      <w:r w:rsidRPr="00B50CE2">
        <w:rPr>
          <w:rFonts w:cs="Tahoma"/>
          <w:color w:val="0D0D0D" w:themeColor="text1" w:themeTint="F2"/>
        </w:rPr>
        <w:t xml:space="preserve"> Recurrente o Particular, en contra de la respuesta del Sujeto Obligado, Ayuntamiento de Zinacantepec, a la solicitud de acceso a la información pública</w:t>
      </w:r>
      <w:r w:rsidRPr="00B50CE2">
        <w:t xml:space="preserve"> </w:t>
      </w:r>
      <w:r w:rsidRPr="00B50CE2">
        <w:rPr>
          <w:color w:val="auto"/>
        </w:rPr>
        <w:t>00846/ZINACANT/IP/2022</w:t>
      </w:r>
      <w:r w:rsidRPr="00B50CE2">
        <w:t xml:space="preserve">, </w:t>
      </w:r>
      <w:r w:rsidRPr="00B50CE2">
        <w:rPr>
          <w:rFonts w:cs="Tahoma"/>
          <w:color w:val="0D0D0D" w:themeColor="text1" w:themeTint="F2"/>
        </w:rPr>
        <w:t>se emite</w:t>
      </w:r>
      <w:r w:rsidRPr="00B50CE2">
        <w:rPr>
          <w:rFonts w:cs="Tahoma"/>
          <w:bCs/>
          <w:color w:val="0D0D0D" w:themeColor="text1" w:themeTint="F2"/>
        </w:rPr>
        <w:t xml:space="preserve"> la presente Resolución, con base en los Antecedentes y Considerandos que se exponen a continuación:</w:t>
      </w:r>
    </w:p>
    <w:p w14:paraId="71280C3B" w14:textId="77777777" w:rsidR="006A4B75" w:rsidRPr="00B50CE2" w:rsidRDefault="006A4B75" w:rsidP="00967419">
      <w:pPr>
        <w:spacing w:after="0" w:line="360" w:lineRule="auto"/>
        <w:contextualSpacing/>
        <w:rPr>
          <w:rFonts w:eastAsia="Calibri" w:cs="Tahoma"/>
          <w:b/>
          <w:bCs/>
          <w:lang w:val="es-ES"/>
        </w:rPr>
      </w:pPr>
    </w:p>
    <w:p w14:paraId="286A39EF" w14:textId="77777777" w:rsidR="006A4B75" w:rsidRPr="00B50CE2" w:rsidRDefault="006A4B75" w:rsidP="00967419">
      <w:pPr>
        <w:spacing w:after="0" w:line="360" w:lineRule="auto"/>
        <w:contextualSpacing/>
        <w:jc w:val="center"/>
        <w:rPr>
          <w:rFonts w:eastAsia="Calibri" w:cs="Tahoma"/>
          <w:b/>
          <w:bCs/>
          <w:lang w:val="es-ES"/>
        </w:rPr>
      </w:pPr>
      <w:r w:rsidRPr="00B50CE2">
        <w:rPr>
          <w:rFonts w:eastAsia="Calibri" w:cs="Tahoma"/>
          <w:b/>
          <w:bCs/>
          <w:lang w:val="es-ES"/>
        </w:rPr>
        <w:t>A N T E C E D E N T E S:</w:t>
      </w:r>
    </w:p>
    <w:p w14:paraId="0E3D3B1A" w14:textId="77777777" w:rsidR="006A4B75" w:rsidRPr="00B50CE2" w:rsidRDefault="006A4B75" w:rsidP="00967419">
      <w:pPr>
        <w:spacing w:after="0" w:line="360" w:lineRule="auto"/>
        <w:contextualSpacing/>
        <w:rPr>
          <w:lang w:val="es-ES"/>
        </w:rPr>
      </w:pPr>
    </w:p>
    <w:p w14:paraId="5E110D8A" w14:textId="77777777" w:rsidR="006A4B75" w:rsidRPr="00B50CE2" w:rsidRDefault="006A4B75" w:rsidP="00967419">
      <w:pPr>
        <w:spacing w:after="0" w:line="360" w:lineRule="auto"/>
        <w:contextualSpacing/>
        <w:rPr>
          <w:rFonts w:eastAsia="Calibri" w:cs="Tahoma"/>
          <w:b/>
          <w:bCs/>
          <w:lang w:val="es-ES"/>
        </w:rPr>
      </w:pPr>
      <w:r w:rsidRPr="00B50CE2">
        <w:rPr>
          <w:rFonts w:eastAsia="Calibri" w:cs="Tahoma"/>
          <w:b/>
          <w:bCs/>
          <w:lang w:val="es-ES"/>
        </w:rPr>
        <w:t>I. Presentación de la solicitud de información.</w:t>
      </w:r>
    </w:p>
    <w:p w14:paraId="4F4150B5" w14:textId="77777777" w:rsidR="006A4B75" w:rsidRPr="00B50CE2" w:rsidRDefault="006A4B75" w:rsidP="00967419">
      <w:pPr>
        <w:spacing w:after="0" w:line="360" w:lineRule="auto"/>
        <w:contextualSpacing/>
        <w:rPr>
          <w:rFonts w:eastAsia="Calibri" w:cs="Tahoma"/>
          <w:b/>
          <w:bCs/>
          <w:lang w:val="es-ES"/>
        </w:rPr>
      </w:pPr>
    </w:p>
    <w:p w14:paraId="17C206F9" w14:textId="0F622942" w:rsidR="006A4B75" w:rsidRPr="00B50CE2" w:rsidRDefault="006A4B75" w:rsidP="00967419">
      <w:pPr>
        <w:spacing w:after="0" w:line="360" w:lineRule="auto"/>
        <w:contextualSpacing/>
        <w:rPr>
          <w:rFonts w:cs="Tahoma"/>
        </w:rPr>
      </w:pPr>
      <w:r w:rsidRPr="00B50CE2">
        <w:rPr>
          <w:rFonts w:eastAsia="Calibri" w:cs="Tahoma"/>
          <w:lang w:val="es-ES"/>
        </w:rPr>
        <w:t>Con fecha veintinueve de agosto de dos mil veintidós, la Particular presentó una solicitud de información, a través del Sistema de Acceso a la Información Mexiquense (SAIMEX), ante el Ayuntamiento de Zinacantepec</w:t>
      </w:r>
      <w:r w:rsidRPr="00B50CE2">
        <w:rPr>
          <w:b/>
          <w:bCs/>
          <w:lang w:val="es-ES"/>
        </w:rPr>
        <w:t>,</w:t>
      </w:r>
      <w:r w:rsidRPr="00B50CE2">
        <w:rPr>
          <w:rFonts w:cs="Tahoma"/>
        </w:rPr>
        <w:t xml:space="preserve"> en los siguientes términos:</w:t>
      </w:r>
    </w:p>
    <w:p w14:paraId="0992426C" w14:textId="77777777" w:rsidR="006A4B75" w:rsidRPr="00B50CE2" w:rsidRDefault="006A4B75" w:rsidP="00967419">
      <w:pPr>
        <w:spacing w:after="0" w:line="360" w:lineRule="auto"/>
        <w:contextualSpacing/>
        <w:rPr>
          <w:rFonts w:cs="Tahoma"/>
        </w:rPr>
      </w:pPr>
    </w:p>
    <w:p w14:paraId="4B0AD30B" w14:textId="77777777" w:rsidR="006A4B75" w:rsidRPr="00B50CE2" w:rsidRDefault="006A4B75" w:rsidP="00967419">
      <w:pPr>
        <w:tabs>
          <w:tab w:val="left" w:pos="4667"/>
        </w:tabs>
        <w:spacing w:after="0" w:line="360" w:lineRule="auto"/>
        <w:ind w:left="567" w:right="567"/>
        <w:contextualSpacing/>
        <w:rPr>
          <w:rFonts w:cs="Tahoma"/>
          <w:b/>
          <w:bCs/>
          <w:i/>
          <w:sz w:val="20"/>
          <w:szCs w:val="20"/>
        </w:rPr>
      </w:pPr>
      <w:r w:rsidRPr="00B50CE2">
        <w:rPr>
          <w:rFonts w:cs="Tahoma"/>
          <w:b/>
          <w:bCs/>
          <w:i/>
          <w:sz w:val="20"/>
          <w:szCs w:val="20"/>
        </w:rPr>
        <w:t>“DESCRIPCIÓN CLARA Y PRECISA DE LA INFORMACIÓN SOLICITADA</w:t>
      </w:r>
    </w:p>
    <w:p w14:paraId="794F3478" w14:textId="04F3A78F" w:rsidR="006A4B75" w:rsidRPr="00B50CE2" w:rsidRDefault="006A4B75" w:rsidP="00967419">
      <w:pPr>
        <w:spacing w:after="0" w:line="360" w:lineRule="auto"/>
        <w:ind w:firstLine="567"/>
        <w:contextualSpacing/>
        <w:rPr>
          <w:rFonts w:eastAsia="Times New Roman" w:cs="Times New Roman"/>
          <w:i/>
          <w:iCs/>
          <w:color w:val="auto"/>
          <w:sz w:val="20"/>
          <w:szCs w:val="20"/>
          <w:lang w:eastAsia="es-MX"/>
        </w:rPr>
      </w:pPr>
      <w:r w:rsidRPr="00B50CE2">
        <w:rPr>
          <w:rFonts w:eastAsia="Times New Roman" w:cs="Times New Roman"/>
          <w:i/>
          <w:iCs/>
          <w:color w:val="auto"/>
          <w:sz w:val="20"/>
          <w:szCs w:val="20"/>
          <w:lang w:eastAsia="es-MX"/>
        </w:rPr>
        <w:t>SOLICITO LAS CREDENCIALES PARA VOTAR EMITIDAS DURANTE 2022</w:t>
      </w:r>
      <w:r w:rsidRPr="00B50CE2">
        <w:rPr>
          <w:i/>
          <w:iCs/>
          <w:color w:val="000000"/>
          <w:sz w:val="20"/>
          <w:szCs w:val="20"/>
        </w:rPr>
        <w:t>. (Sic)</w:t>
      </w:r>
    </w:p>
    <w:p w14:paraId="6E9CD9E0" w14:textId="77777777" w:rsidR="006A4B75" w:rsidRPr="00B50CE2" w:rsidRDefault="006A4B75" w:rsidP="00967419">
      <w:pPr>
        <w:spacing w:after="0" w:line="360" w:lineRule="auto"/>
        <w:ind w:left="567" w:right="567"/>
        <w:contextualSpacing/>
        <w:rPr>
          <w:rFonts w:eastAsia="Times New Roman" w:cs="Arial"/>
          <w:bCs/>
          <w:i/>
          <w:color w:val="auto"/>
          <w:sz w:val="20"/>
          <w:szCs w:val="20"/>
          <w:lang w:eastAsia="es-ES"/>
        </w:rPr>
      </w:pPr>
    </w:p>
    <w:p w14:paraId="125F5100" w14:textId="77777777" w:rsidR="006A4B75" w:rsidRPr="00B50CE2" w:rsidRDefault="006A4B75" w:rsidP="00967419">
      <w:pPr>
        <w:tabs>
          <w:tab w:val="left" w:pos="4667"/>
        </w:tabs>
        <w:spacing w:after="0" w:line="360" w:lineRule="auto"/>
        <w:ind w:left="567" w:right="567"/>
        <w:contextualSpacing/>
        <w:rPr>
          <w:rFonts w:eastAsia="Times New Roman" w:cs="Tahoma"/>
          <w:b/>
          <w:bCs/>
          <w:i/>
          <w:color w:val="auto"/>
          <w:sz w:val="20"/>
          <w:szCs w:val="20"/>
          <w:lang w:eastAsia="es-ES"/>
        </w:rPr>
      </w:pPr>
      <w:r w:rsidRPr="00B50CE2">
        <w:rPr>
          <w:rFonts w:eastAsia="Times New Roman" w:cs="Tahoma"/>
          <w:b/>
          <w:bCs/>
          <w:i/>
          <w:color w:val="auto"/>
          <w:sz w:val="20"/>
          <w:szCs w:val="20"/>
          <w:lang w:eastAsia="es-ES"/>
        </w:rPr>
        <w:t>“MODALIDAD DE ENTREGA</w:t>
      </w:r>
    </w:p>
    <w:p w14:paraId="6DB332C1" w14:textId="65F5746B" w:rsidR="006A4B75" w:rsidRPr="00B50CE2" w:rsidRDefault="006A4B75" w:rsidP="00967419">
      <w:pPr>
        <w:spacing w:after="0" w:line="360" w:lineRule="auto"/>
        <w:ind w:left="567" w:right="567"/>
        <w:contextualSpacing/>
        <w:rPr>
          <w:rFonts w:eastAsia="Times New Roman" w:cs="Arial"/>
          <w:bCs/>
          <w:i/>
          <w:color w:val="auto"/>
          <w:sz w:val="20"/>
          <w:szCs w:val="20"/>
          <w:lang w:eastAsia="es-ES"/>
        </w:rPr>
      </w:pPr>
      <w:r w:rsidRPr="00B50CE2">
        <w:rPr>
          <w:rFonts w:eastAsia="Times New Roman" w:cs="Arial"/>
          <w:bCs/>
          <w:i/>
          <w:color w:val="auto"/>
          <w:sz w:val="20"/>
          <w:szCs w:val="20"/>
          <w:lang w:eastAsia="es-ES"/>
        </w:rPr>
        <w:t>A través del SAIMEX” (Sic)</w:t>
      </w:r>
    </w:p>
    <w:p w14:paraId="6DE78565" w14:textId="77777777" w:rsidR="006A4B75" w:rsidRPr="00B50CE2" w:rsidRDefault="006A4B75" w:rsidP="00967419">
      <w:pPr>
        <w:tabs>
          <w:tab w:val="left" w:pos="4667"/>
        </w:tabs>
        <w:spacing w:after="0" w:line="360" w:lineRule="auto"/>
        <w:ind w:right="567"/>
        <w:contextualSpacing/>
        <w:rPr>
          <w:rFonts w:cs="Tahoma"/>
          <w:b/>
          <w:bCs/>
          <w:szCs w:val="24"/>
        </w:rPr>
      </w:pPr>
    </w:p>
    <w:p w14:paraId="0C68663D" w14:textId="34935769" w:rsidR="00711D5C" w:rsidRPr="00B50CE2" w:rsidRDefault="006A4B75" w:rsidP="00967419">
      <w:pPr>
        <w:spacing w:line="360" w:lineRule="auto"/>
        <w:ind w:right="567"/>
        <w:contextualSpacing/>
        <w:rPr>
          <w:b/>
          <w:bCs/>
          <w:color w:val="auto"/>
        </w:rPr>
      </w:pPr>
      <w:r w:rsidRPr="00B50CE2">
        <w:rPr>
          <w:rFonts w:cs="Tahoma"/>
          <w:b/>
          <w:bCs/>
          <w:szCs w:val="24"/>
        </w:rPr>
        <w:t>II.</w:t>
      </w:r>
      <w:r w:rsidR="00711D5C" w:rsidRPr="00B50CE2">
        <w:rPr>
          <w:b/>
          <w:bCs/>
        </w:rPr>
        <w:t xml:space="preserve"> Requerimiento de aclaración de la solicitud de información. </w:t>
      </w:r>
    </w:p>
    <w:p w14:paraId="1C26F7D9" w14:textId="77777777" w:rsidR="00711D5C" w:rsidRPr="00B50CE2" w:rsidRDefault="00711D5C" w:rsidP="00967419">
      <w:pPr>
        <w:autoSpaceDE w:val="0"/>
        <w:autoSpaceDN w:val="0"/>
        <w:adjustRightInd w:val="0"/>
        <w:spacing w:line="360" w:lineRule="auto"/>
        <w:contextualSpacing/>
        <w:rPr>
          <w:b/>
          <w:bCs/>
        </w:rPr>
      </w:pPr>
    </w:p>
    <w:p w14:paraId="5AB873AC" w14:textId="04F2D4F4" w:rsidR="00711D5C" w:rsidRPr="00B50CE2" w:rsidRDefault="00711D5C" w:rsidP="00967419">
      <w:pPr>
        <w:autoSpaceDE w:val="0"/>
        <w:autoSpaceDN w:val="0"/>
        <w:adjustRightInd w:val="0"/>
        <w:spacing w:line="360" w:lineRule="auto"/>
        <w:contextualSpacing/>
      </w:pPr>
      <w:r w:rsidRPr="00B50CE2">
        <w:lastRenderedPageBreak/>
        <w:t xml:space="preserve">Con fecha cuatro de septiembre de dos mil veintidós, el Sujeto Obligado notificó, a través del Sistema de Acceso a la Información Mexiquense (SAIMEX), el requerimiento de aclaración de la solicitud de información, al Solicitante en los siguientes términos: </w:t>
      </w:r>
    </w:p>
    <w:p w14:paraId="72E035D5" w14:textId="77777777" w:rsidR="00EB18F0" w:rsidRPr="00B50CE2" w:rsidRDefault="00EB18F0" w:rsidP="00967419">
      <w:pPr>
        <w:autoSpaceDE w:val="0"/>
        <w:autoSpaceDN w:val="0"/>
        <w:adjustRightInd w:val="0"/>
        <w:spacing w:line="360" w:lineRule="auto"/>
        <w:contextualSpacing/>
      </w:pPr>
    </w:p>
    <w:p w14:paraId="6A77D75B" w14:textId="573F2BE6" w:rsidR="00711D5C" w:rsidRPr="00B50CE2" w:rsidRDefault="00711D5C" w:rsidP="00967419">
      <w:pPr>
        <w:autoSpaceDE w:val="0"/>
        <w:autoSpaceDN w:val="0"/>
        <w:adjustRightInd w:val="0"/>
        <w:spacing w:line="360" w:lineRule="auto"/>
        <w:ind w:left="567" w:right="567"/>
        <w:contextualSpacing/>
        <w:rPr>
          <w:i/>
          <w:iCs/>
          <w:sz w:val="20"/>
          <w:szCs w:val="20"/>
        </w:rPr>
      </w:pPr>
      <w:r w:rsidRPr="00B50CE2">
        <w:rPr>
          <w:i/>
          <w:iCs/>
          <w:sz w:val="20"/>
          <w:szCs w:val="20"/>
        </w:rPr>
        <w:t>“…</w:t>
      </w:r>
    </w:p>
    <w:p w14:paraId="2D83F604" w14:textId="37D27B9E" w:rsidR="00711D5C" w:rsidRPr="00B50CE2" w:rsidRDefault="00711D5C" w:rsidP="00967419">
      <w:pPr>
        <w:autoSpaceDE w:val="0"/>
        <w:autoSpaceDN w:val="0"/>
        <w:adjustRightInd w:val="0"/>
        <w:spacing w:line="360" w:lineRule="auto"/>
        <w:ind w:left="567" w:right="567"/>
        <w:contextualSpacing/>
        <w:rPr>
          <w:i/>
          <w:iCs/>
          <w:color w:val="000000"/>
          <w:sz w:val="20"/>
          <w:szCs w:val="20"/>
        </w:rPr>
      </w:pPr>
      <w:r w:rsidRPr="00B50CE2">
        <w:rPr>
          <w:i/>
          <w:iCs/>
          <w:color w:val="000000"/>
          <w:sz w:val="20"/>
          <w:szCs w:val="2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0DD320B" w14:textId="11DDA2C7" w:rsidR="00711D5C" w:rsidRPr="00B50CE2" w:rsidRDefault="00711D5C" w:rsidP="00967419">
      <w:pPr>
        <w:autoSpaceDE w:val="0"/>
        <w:autoSpaceDN w:val="0"/>
        <w:adjustRightInd w:val="0"/>
        <w:spacing w:line="360" w:lineRule="auto"/>
        <w:ind w:left="567" w:right="567"/>
        <w:contextualSpacing/>
        <w:rPr>
          <w:i/>
          <w:iCs/>
          <w:color w:val="000000"/>
          <w:sz w:val="20"/>
          <w:szCs w:val="20"/>
        </w:rPr>
      </w:pPr>
      <w:r w:rsidRPr="00B50CE2">
        <w:rPr>
          <w:i/>
          <w:iCs/>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ACD7753" w14:textId="7A0E858D" w:rsidR="00711D5C" w:rsidRPr="00B50CE2" w:rsidRDefault="00711D5C" w:rsidP="00967419">
      <w:pPr>
        <w:autoSpaceDE w:val="0"/>
        <w:autoSpaceDN w:val="0"/>
        <w:adjustRightInd w:val="0"/>
        <w:spacing w:line="360" w:lineRule="auto"/>
        <w:ind w:left="567" w:right="567"/>
        <w:contextualSpacing/>
        <w:rPr>
          <w:i/>
          <w:iCs/>
          <w:sz w:val="20"/>
          <w:szCs w:val="20"/>
        </w:rPr>
      </w:pPr>
      <w:r w:rsidRPr="00B50CE2">
        <w:rPr>
          <w:i/>
          <w:iCs/>
          <w:color w:val="000000"/>
          <w:sz w:val="20"/>
          <w:szCs w:val="20"/>
        </w:rPr>
        <w:t>…”</w:t>
      </w:r>
    </w:p>
    <w:p w14:paraId="66706541" w14:textId="77777777" w:rsidR="00EB18F0" w:rsidRPr="00B50CE2" w:rsidRDefault="00EB18F0" w:rsidP="00967419">
      <w:pPr>
        <w:autoSpaceDE w:val="0"/>
        <w:autoSpaceDN w:val="0"/>
        <w:adjustRightInd w:val="0"/>
        <w:spacing w:line="360" w:lineRule="auto"/>
        <w:contextualSpacing/>
        <w:rPr>
          <w:b/>
          <w:bCs/>
        </w:rPr>
      </w:pPr>
    </w:p>
    <w:p w14:paraId="6B3E252B" w14:textId="13799C04" w:rsidR="00711D5C" w:rsidRPr="00B50CE2" w:rsidRDefault="00711D5C" w:rsidP="00967419">
      <w:pPr>
        <w:autoSpaceDE w:val="0"/>
        <w:autoSpaceDN w:val="0"/>
        <w:adjustRightInd w:val="0"/>
        <w:spacing w:line="360" w:lineRule="auto"/>
        <w:contextualSpacing/>
        <w:rPr>
          <w:b/>
          <w:bCs/>
        </w:rPr>
      </w:pPr>
      <w:r w:rsidRPr="00B50CE2">
        <w:rPr>
          <w:b/>
          <w:bCs/>
        </w:rPr>
        <w:t>III. Atención al requerimiento de aclaración de la solicitud de información.</w:t>
      </w:r>
    </w:p>
    <w:p w14:paraId="3B6307BA" w14:textId="77777777" w:rsidR="00EB18F0" w:rsidRPr="00B50CE2" w:rsidRDefault="00EB18F0" w:rsidP="00967419">
      <w:pPr>
        <w:autoSpaceDE w:val="0"/>
        <w:autoSpaceDN w:val="0"/>
        <w:adjustRightInd w:val="0"/>
        <w:spacing w:line="360" w:lineRule="auto"/>
        <w:contextualSpacing/>
        <w:rPr>
          <w:b/>
          <w:bCs/>
        </w:rPr>
      </w:pPr>
    </w:p>
    <w:p w14:paraId="4A24D3B0" w14:textId="612C4A97" w:rsidR="00711D5C" w:rsidRPr="00B50CE2" w:rsidRDefault="00711D5C" w:rsidP="00967419">
      <w:pPr>
        <w:autoSpaceDE w:val="0"/>
        <w:autoSpaceDN w:val="0"/>
        <w:adjustRightInd w:val="0"/>
        <w:spacing w:line="360" w:lineRule="auto"/>
        <w:contextualSpacing/>
      </w:pPr>
      <w:r w:rsidRPr="00B50CE2">
        <w:t xml:space="preserve">Con fecha cinco de septiembre de dos mil veintidós, a través del Sistema de Acceso a la Información Mexiquense (SAIMEX), el Solicitante atendió el requerimiento de aclaración de solicitud de información, en el sentido siguiente: </w:t>
      </w:r>
    </w:p>
    <w:p w14:paraId="01D9E487" w14:textId="77777777" w:rsidR="00711D5C" w:rsidRPr="00B50CE2" w:rsidRDefault="00711D5C" w:rsidP="00967419">
      <w:pPr>
        <w:spacing w:line="360" w:lineRule="auto"/>
        <w:ind w:left="567" w:right="567"/>
        <w:contextualSpacing/>
        <w:rPr>
          <w:rFonts w:eastAsia="Times New Roman" w:cs="Tahoma"/>
          <w:b/>
          <w:bCs/>
          <w:color w:val="auto"/>
          <w:sz w:val="20"/>
          <w:szCs w:val="20"/>
          <w:lang w:eastAsia="es-MX"/>
        </w:rPr>
      </w:pPr>
    </w:p>
    <w:p w14:paraId="4612A2A8" w14:textId="77777777" w:rsidR="00711D5C" w:rsidRPr="00B50CE2" w:rsidRDefault="00711D5C" w:rsidP="00967419">
      <w:pPr>
        <w:autoSpaceDE w:val="0"/>
        <w:autoSpaceDN w:val="0"/>
        <w:adjustRightInd w:val="0"/>
        <w:spacing w:line="360" w:lineRule="auto"/>
        <w:ind w:left="567" w:right="567"/>
        <w:contextualSpacing/>
        <w:rPr>
          <w:i/>
          <w:iCs/>
          <w:sz w:val="20"/>
          <w:szCs w:val="20"/>
        </w:rPr>
      </w:pPr>
      <w:bookmarkStart w:id="0" w:name="_Hlk117628422"/>
      <w:r w:rsidRPr="00B50CE2">
        <w:rPr>
          <w:i/>
          <w:iCs/>
          <w:sz w:val="20"/>
          <w:szCs w:val="20"/>
        </w:rPr>
        <w:t>“…</w:t>
      </w:r>
    </w:p>
    <w:bookmarkEnd w:id="0"/>
    <w:p w14:paraId="5CB07F3F" w14:textId="497B3DDC" w:rsidR="00711D5C" w:rsidRPr="00B50CE2" w:rsidRDefault="00711D5C" w:rsidP="00967419">
      <w:pPr>
        <w:autoSpaceDE w:val="0"/>
        <w:autoSpaceDN w:val="0"/>
        <w:adjustRightInd w:val="0"/>
        <w:spacing w:line="360" w:lineRule="auto"/>
        <w:ind w:left="567" w:right="567"/>
        <w:contextualSpacing/>
        <w:rPr>
          <w:i/>
          <w:iCs/>
          <w:color w:val="000000"/>
          <w:sz w:val="20"/>
          <w:szCs w:val="20"/>
        </w:rPr>
      </w:pPr>
      <w:r w:rsidRPr="00B50CE2">
        <w:rPr>
          <w:i/>
          <w:iCs/>
          <w:color w:val="000000"/>
          <w:sz w:val="20"/>
          <w:szCs w:val="20"/>
        </w:rPr>
        <w:t xml:space="preserve">LA SOLICITUD ES MUY CLARA. </w:t>
      </w:r>
      <w:r w:rsidRPr="00B50CE2">
        <w:rPr>
          <w:i/>
          <w:iCs/>
          <w:sz w:val="20"/>
          <w:szCs w:val="20"/>
        </w:rPr>
        <w:t>(Sic)</w:t>
      </w:r>
    </w:p>
    <w:p w14:paraId="535EBC07" w14:textId="77777777" w:rsidR="00711D5C" w:rsidRPr="00B50CE2" w:rsidRDefault="00711D5C" w:rsidP="00967419">
      <w:pPr>
        <w:autoSpaceDE w:val="0"/>
        <w:autoSpaceDN w:val="0"/>
        <w:adjustRightInd w:val="0"/>
        <w:spacing w:line="360" w:lineRule="auto"/>
        <w:ind w:left="567" w:right="567"/>
        <w:contextualSpacing/>
        <w:rPr>
          <w:i/>
          <w:iCs/>
          <w:sz w:val="20"/>
          <w:szCs w:val="20"/>
        </w:rPr>
      </w:pPr>
      <w:r w:rsidRPr="00B50CE2">
        <w:rPr>
          <w:i/>
          <w:iCs/>
          <w:sz w:val="20"/>
          <w:szCs w:val="20"/>
        </w:rPr>
        <w:t>…”</w:t>
      </w:r>
    </w:p>
    <w:p w14:paraId="4BB80370" w14:textId="77777777" w:rsidR="00967419" w:rsidRPr="00B50CE2" w:rsidRDefault="00967419" w:rsidP="00967419">
      <w:pPr>
        <w:autoSpaceDE w:val="0"/>
        <w:autoSpaceDN w:val="0"/>
        <w:adjustRightInd w:val="0"/>
        <w:spacing w:line="360" w:lineRule="auto"/>
        <w:ind w:right="567"/>
        <w:contextualSpacing/>
        <w:rPr>
          <w:i/>
          <w:iCs/>
          <w:sz w:val="20"/>
          <w:szCs w:val="20"/>
        </w:rPr>
      </w:pPr>
    </w:p>
    <w:p w14:paraId="0EAF1A71" w14:textId="7262C50A" w:rsidR="006A4B75" w:rsidRPr="00B50CE2" w:rsidRDefault="00711D5C" w:rsidP="00967419">
      <w:pPr>
        <w:autoSpaceDE w:val="0"/>
        <w:autoSpaceDN w:val="0"/>
        <w:adjustRightInd w:val="0"/>
        <w:spacing w:line="360" w:lineRule="auto"/>
        <w:ind w:right="567"/>
        <w:contextualSpacing/>
        <w:rPr>
          <w:i/>
          <w:iCs/>
          <w:sz w:val="20"/>
          <w:szCs w:val="20"/>
        </w:rPr>
      </w:pPr>
      <w:r w:rsidRPr="00B50CE2">
        <w:rPr>
          <w:rFonts w:cs="Tahoma"/>
          <w:b/>
          <w:szCs w:val="24"/>
        </w:rPr>
        <w:t xml:space="preserve">IV. </w:t>
      </w:r>
      <w:r w:rsidR="006A4B75" w:rsidRPr="00B50CE2">
        <w:rPr>
          <w:rFonts w:cs="Tahoma"/>
          <w:b/>
          <w:szCs w:val="24"/>
        </w:rPr>
        <w:t>Respuesta</w:t>
      </w:r>
      <w:r w:rsidR="006A4B75" w:rsidRPr="00B50CE2">
        <w:rPr>
          <w:rFonts w:cs="Tahoma"/>
          <w:b/>
          <w:bCs/>
          <w:szCs w:val="24"/>
        </w:rPr>
        <w:t xml:space="preserve"> del Sujeto Obligado.</w:t>
      </w:r>
    </w:p>
    <w:p w14:paraId="6E960C22" w14:textId="77777777" w:rsidR="006A4B75" w:rsidRPr="00B50CE2" w:rsidRDefault="006A4B75" w:rsidP="00967419">
      <w:pPr>
        <w:pStyle w:val="Prrafodelista"/>
        <w:tabs>
          <w:tab w:val="left" w:pos="567"/>
        </w:tabs>
        <w:spacing w:after="0" w:line="360" w:lineRule="auto"/>
        <w:ind w:left="0"/>
        <w:rPr>
          <w:rFonts w:cs="Tahoma"/>
          <w:bCs/>
        </w:rPr>
      </w:pPr>
    </w:p>
    <w:p w14:paraId="0D5C5F34" w14:textId="6D68CEA7" w:rsidR="006A4B75" w:rsidRPr="00B50CE2" w:rsidRDefault="006A4B75" w:rsidP="00967419">
      <w:pPr>
        <w:pStyle w:val="Prrafodelista"/>
        <w:tabs>
          <w:tab w:val="left" w:pos="567"/>
        </w:tabs>
        <w:spacing w:after="0" w:line="360" w:lineRule="auto"/>
        <w:ind w:left="0"/>
        <w:rPr>
          <w:rFonts w:cs="Tahoma"/>
        </w:rPr>
      </w:pPr>
      <w:r w:rsidRPr="00B50CE2">
        <w:rPr>
          <w:rFonts w:cs="Tahoma"/>
          <w:bCs/>
        </w:rPr>
        <w:lastRenderedPageBreak/>
        <w:t xml:space="preserve">Con fecha </w:t>
      </w:r>
      <w:r w:rsidR="00F62A3F" w:rsidRPr="00B50CE2">
        <w:rPr>
          <w:rFonts w:cs="Tahoma"/>
          <w:bCs/>
        </w:rPr>
        <w:t>veinticinco de septiembre</w:t>
      </w:r>
      <w:r w:rsidRPr="00B50CE2">
        <w:rPr>
          <w:rFonts w:cs="Tahoma"/>
          <w:bCs/>
        </w:rPr>
        <w:t xml:space="preserve"> de dos mil veintidós,</w:t>
      </w:r>
      <w:r w:rsidRPr="00B50CE2">
        <w:rPr>
          <w:rFonts w:cs="Tahoma"/>
        </w:rPr>
        <w:t xml:space="preserve"> el Sujeto Obligado notificó al Solicitante, mediante el Sistema de Acceso a la Información Mexiquense (SAIMEX), la respuesta a la solicitud de acceso a la información, por medio de</w:t>
      </w:r>
      <w:r w:rsidR="00D27D01" w:rsidRPr="00B50CE2">
        <w:rPr>
          <w:rFonts w:cs="Tahoma"/>
        </w:rPr>
        <w:t xml:space="preserve"> un</w:t>
      </w:r>
      <w:r w:rsidRPr="00B50CE2">
        <w:rPr>
          <w:rFonts w:cs="Tahoma"/>
        </w:rPr>
        <w:t xml:space="preserve"> oficio</w:t>
      </w:r>
      <w:r w:rsidR="00D27D01" w:rsidRPr="00B50CE2">
        <w:rPr>
          <w:rFonts w:cs="Tahoma"/>
        </w:rPr>
        <w:t xml:space="preserve"> sin</w:t>
      </w:r>
      <w:r w:rsidRPr="00B50CE2">
        <w:rPr>
          <w:rFonts w:cs="Tahoma"/>
        </w:rPr>
        <w:t xml:space="preserve"> número, suscrito por el </w:t>
      </w:r>
      <w:r w:rsidR="00D27D01" w:rsidRPr="00B50CE2">
        <w:rPr>
          <w:rFonts w:cs="Tahoma"/>
        </w:rPr>
        <w:t>Titular de la Unidad de Transparencia</w:t>
      </w:r>
      <w:r w:rsidRPr="00B50CE2">
        <w:rPr>
          <w:rFonts w:cs="Tahoma"/>
        </w:rPr>
        <w:t xml:space="preserve">, dirigido al Solicitante, por medio del cual manifiesta y expone esencialmente lo siguiente: </w:t>
      </w:r>
    </w:p>
    <w:p w14:paraId="2BBD0244" w14:textId="77777777" w:rsidR="006A4B75" w:rsidRPr="00B50CE2" w:rsidRDefault="006A4B75" w:rsidP="00967419">
      <w:pPr>
        <w:spacing w:after="0" w:line="360" w:lineRule="auto"/>
        <w:ind w:left="567" w:right="567"/>
        <w:contextualSpacing/>
        <w:rPr>
          <w:rFonts w:eastAsia="Calibri" w:cs="Tahoma"/>
          <w:b/>
          <w:i/>
          <w:iCs/>
          <w:sz w:val="20"/>
          <w:szCs w:val="20"/>
        </w:rPr>
      </w:pPr>
    </w:p>
    <w:p w14:paraId="0D0CC346" w14:textId="77777777" w:rsidR="006A4B75" w:rsidRPr="00B50CE2" w:rsidRDefault="006A4B75" w:rsidP="00967419">
      <w:pPr>
        <w:spacing w:after="0" w:line="360" w:lineRule="auto"/>
        <w:ind w:left="567" w:right="567"/>
        <w:contextualSpacing/>
        <w:rPr>
          <w:rFonts w:eastAsia="Calibri" w:cs="Tahoma"/>
          <w:bCs/>
          <w:i/>
          <w:iCs/>
          <w:sz w:val="20"/>
          <w:szCs w:val="20"/>
        </w:rPr>
      </w:pPr>
      <w:r w:rsidRPr="00B50CE2">
        <w:rPr>
          <w:rFonts w:eastAsia="Calibri" w:cs="Tahoma"/>
          <w:bCs/>
          <w:i/>
          <w:iCs/>
          <w:sz w:val="20"/>
          <w:szCs w:val="20"/>
        </w:rPr>
        <w:t>“…</w:t>
      </w:r>
    </w:p>
    <w:p w14:paraId="7C276E4A" w14:textId="18A64F03" w:rsidR="00D27D01" w:rsidRPr="00B50CE2" w:rsidRDefault="00D27D01" w:rsidP="00967419">
      <w:pPr>
        <w:spacing w:after="0" w:line="360" w:lineRule="auto"/>
        <w:ind w:left="567" w:right="567"/>
        <w:contextualSpacing/>
        <w:rPr>
          <w:rFonts w:eastAsia="Calibri" w:cs="Tahoma"/>
          <w:bCs/>
          <w:i/>
          <w:iCs/>
          <w:sz w:val="20"/>
          <w:szCs w:val="20"/>
        </w:rPr>
      </w:pPr>
      <w:r w:rsidRPr="00B50CE2">
        <w:rPr>
          <w:i/>
          <w:iCs/>
          <w:sz w:val="20"/>
          <w:szCs w:val="20"/>
        </w:rPr>
        <w:t>SEGUNDO: Este Sujeto Obligado dentro de sus funciones no se encuentra el poder proporcionar respuesta alguna con relación a su solicitud toda vez que el contenido de su petición es dirigido a OTRO SUJETO OBLIGADO, que en este caso es para el Instituto Nacional Electoral (INE), por la razón este Sujeto Obligado al verse incapaz de poder dar procedencia a su petición, se proporcionará el enlace del SAIMEX donde podrá usted realizar la solicitud de información al Ente Correspondiente:</w:t>
      </w:r>
    </w:p>
    <w:p w14:paraId="590663E7" w14:textId="4987DC9E" w:rsidR="006A4B75" w:rsidRPr="00B50CE2" w:rsidRDefault="006A4B75" w:rsidP="00967419">
      <w:pPr>
        <w:spacing w:after="0" w:line="360" w:lineRule="auto"/>
        <w:ind w:left="567" w:right="567"/>
        <w:contextualSpacing/>
        <w:rPr>
          <w:rFonts w:eastAsia="Calibri" w:cs="Tahoma"/>
          <w:bCs/>
          <w:i/>
          <w:iCs/>
          <w:sz w:val="20"/>
          <w:szCs w:val="20"/>
        </w:rPr>
      </w:pPr>
      <w:r w:rsidRPr="00B50CE2">
        <w:rPr>
          <w:rFonts w:eastAsia="Calibri" w:cs="Tahoma"/>
          <w:bCs/>
          <w:i/>
          <w:iCs/>
          <w:sz w:val="20"/>
          <w:szCs w:val="20"/>
        </w:rPr>
        <w:t>…”</w:t>
      </w:r>
    </w:p>
    <w:p w14:paraId="65338C47" w14:textId="77777777" w:rsidR="006A4B75" w:rsidRPr="00B50CE2" w:rsidRDefault="006A4B75" w:rsidP="00967419">
      <w:pPr>
        <w:autoSpaceDE w:val="0"/>
        <w:autoSpaceDN w:val="0"/>
        <w:adjustRightInd w:val="0"/>
        <w:spacing w:after="0" w:line="360" w:lineRule="auto"/>
        <w:contextualSpacing/>
        <w:rPr>
          <w:rFonts w:eastAsia="Calibri" w:cs="Tahoma"/>
          <w:b/>
          <w:color w:val="000000"/>
        </w:rPr>
      </w:pPr>
    </w:p>
    <w:p w14:paraId="05996733" w14:textId="25BD9BA8" w:rsidR="006A4B75" w:rsidRPr="00B50CE2" w:rsidRDefault="00D27D01" w:rsidP="00967419">
      <w:pPr>
        <w:autoSpaceDE w:val="0"/>
        <w:autoSpaceDN w:val="0"/>
        <w:adjustRightInd w:val="0"/>
        <w:spacing w:after="0" w:line="360" w:lineRule="auto"/>
        <w:contextualSpacing/>
        <w:rPr>
          <w:rFonts w:eastAsia="Calibri" w:cs="Tahoma"/>
          <w:b/>
          <w:color w:val="000000"/>
        </w:rPr>
      </w:pPr>
      <w:r w:rsidRPr="00B50CE2">
        <w:rPr>
          <w:rFonts w:eastAsia="Calibri" w:cs="Tahoma"/>
          <w:b/>
          <w:color w:val="000000"/>
        </w:rPr>
        <w:t>V</w:t>
      </w:r>
      <w:r w:rsidR="006A4B75" w:rsidRPr="00B50CE2">
        <w:rPr>
          <w:rFonts w:eastAsia="Calibri" w:cs="Tahoma"/>
          <w:b/>
          <w:color w:val="000000"/>
        </w:rPr>
        <w:t xml:space="preserve">. Interposición del Recurso de Revisión. </w:t>
      </w:r>
    </w:p>
    <w:p w14:paraId="6918B61D" w14:textId="77777777" w:rsidR="006A4B75" w:rsidRPr="00B50CE2" w:rsidRDefault="006A4B75" w:rsidP="00967419">
      <w:pPr>
        <w:spacing w:after="0" w:line="360" w:lineRule="auto"/>
        <w:contextualSpacing/>
        <w:rPr>
          <w:rFonts w:eastAsia="Times New Roman" w:cs="Tahoma"/>
          <w:bCs/>
          <w:color w:val="auto"/>
          <w:lang w:eastAsia="es-ES"/>
        </w:rPr>
      </w:pPr>
    </w:p>
    <w:p w14:paraId="740F6547" w14:textId="0F54771D" w:rsidR="006A4B75" w:rsidRPr="00B50CE2" w:rsidRDefault="006A4B75" w:rsidP="00967419">
      <w:pPr>
        <w:spacing w:after="0" w:line="360" w:lineRule="auto"/>
        <w:contextualSpacing/>
        <w:rPr>
          <w:rFonts w:eastAsia="Times New Roman" w:cs="Tahoma"/>
          <w:bCs/>
          <w:color w:val="auto"/>
          <w:lang w:val="es-ES" w:eastAsia="es-ES"/>
        </w:rPr>
      </w:pPr>
      <w:r w:rsidRPr="00B50CE2">
        <w:rPr>
          <w:rFonts w:eastAsia="Times New Roman" w:cs="Tahoma"/>
          <w:bCs/>
          <w:color w:val="auto"/>
          <w:lang w:val="es-ES" w:eastAsia="es-ES"/>
        </w:rPr>
        <w:t xml:space="preserve">Con </w:t>
      </w:r>
      <w:r w:rsidR="00D27D01" w:rsidRPr="00B50CE2">
        <w:rPr>
          <w:rFonts w:eastAsia="Times New Roman" w:cs="Tahoma"/>
          <w:bCs/>
          <w:color w:val="auto"/>
          <w:lang w:val="es-ES" w:eastAsia="es-ES"/>
        </w:rPr>
        <w:t xml:space="preserve">fecha cuatro de octubre </w:t>
      </w:r>
      <w:r w:rsidRPr="00B50CE2">
        <w:rPr>
          <w:rFonts w:eastAsia="Times New Roman" w:cs="Tahoma"/>
          <w:bCs/>
          <w:color w:val="auto"/>
          <w:lang w:val="es-ES" w:eastAsia="es-ES"/>
        </w:rPr>
        <w:t xml:space="preserve">de dos mil veintidós, </w:t>
      </w:r>
      <w:r w:rsidRPr="00B50CE2">
        <w:rPr>
          <w:rFonts w:eastAsia="Times New Roman" w:cs="Tahoma"/>
          <w:bCs/>
          <w:color w:val="auto"/>
          <w:lang w:eastAsia="es-ES"/>
        </w:rPr>
        <w:t xml:space="preserve">se recibió en este Instituto, a través del </w:t>
      </w:r>
      <w:r w:rsidRPr="00B50CE2">
        <w:rPr>
          <w:rFonts w:eastAsia="Times New Roman" w:cs="Tahoma"/>
          <w:bCs/>
          <w:color w:val="auto"/>
          <w:lang w:val="es-ES" w:eastAsia="es-ES"/>
        </w:rPr>
        <w:t>Sistema de Acceso a la Información Mexiquense (SAIMEX)</w:t>
      </w:r>
      <w:r w:rsidRPr="00B50CE2">
        <w:rPr>
          <w:rFonts w:eastAsia="Times New Roman" w:cs="Tahoma"/>
          <w:bCs/>
          <w:color w:val="auto"/>
          <w:lang w:eastAsia="es-ES"/>
        </w:rPr>
        <w:t>, Recurso de Revisión interpuesto por la parte Recurrente, en contra de la respuesta del Sujeto Obligado, en los siguientes términos:</w:t>
      </w:r>
    </w:p>
    <w:p w14:paraId="0DAD4078" w14:textId="77777777" w:rsidR="006A4B75" w:rsidRPr="00B50CE2" w:rsidRDefault="006A4B75" w:rsidP="00967419">
      <w:pPr>
        <w:spacing w:after="0" w:line="360" w:lineRule="auto"/>
        <w:contextualSpacing/>
        <w:rPr>
          <w:rFonts w:eastAsia="Times New Roman" w:cs="Tahoma"/>
          <w:bCs/>
          <w:color w:val="auto"/>
          <w:lang w:eastAsia="es-ES"/>
        </w:rPr>
      </w:pPr>
    </w:p>
    <w:p w14:paraId="4A8EEFD2" w14:textId="77777777" w:rsidR="006A4B75" w:rsidRPr="00B50CE2" w:rsidRDefault="006A4B75" w:rsidP="00967419">
      <w:pPr>
        <w:spacing w:after="0" w:line="360" w:lineRule="auto"/>
        <w:ind w:left="567" w:right="567"/>
        <w:contextualSpacing/>
        <w:rPr>
          <w:rFonts w:eastAsia="Times New Roman" w:cs="Tahoma"/>
          <w:b/>
          <w:bCs/>
          <w:i/>
          <w:color w:val="auto"/>
          <w:sz w:val="20"/>
          <w:szCs w:val="20"/>
          <w:lang w:eastAsia="es-ES"/>
        </w:rPr>
      </w:pPr>
      <w:r w:rsidRPr="00B50CE2">
        <w:rPr>
          <w:rFonts w:eastAsia="Times New Roman" w:cs="Tahoma"/>
          <w:b/>
          <w:bCs/>
          <w:i/>
          <w:color w:val="auto"/>
          <w:sz w:val="20"/>
          <w:szCs w:val="20"/>
          <w:lang w:eastAsia="es-ES"/>
        </w:rPr>
        <w:t>“ACTO IMPUGNADO</w:t>
      </w:r>
    </w:p>
    <w:p w14:paraId="689315EA" w14:textId="67F9767C" w:rsidR="006A4B75" w:rsidRPr="00B50CE2" w:rsidRDefault="00D27D01" w:rsidP="00967419">
      <w:pPr>
        <w:spacing w:after="0" w:line="360" w:lineRule="auto"/>
        <w:ind w:firstLine="567"/>
        <w:contextualSpacing/>
        <w:rPr>
          <w:rFonts w:eastAsia="Times New Roman" w:cs="Times New Roman"/>
          <w:i/>
          <w:color w:val="auto"/>
          <w:sz w:val="20"/>
          <w:szCs w:val="20"/>
          <w:lang w:eastAsia="es-MX"/>
        </w:rPr>
      </w:pPr>
      <w:r w:rsidRPr="00B50CE2">
        <w:rPr>
          <w:rFonts w:eastAsia="Times New Roman" w:cs="Times New Roman"/>
          <w:i/>
          <w:color w:val="auto"/>
          <w:sz w:val="20"/>
          <w:szCs w:val="20"/>
          <w:lang w:eastAsia="es-MX"/>
        </w:rPr>
        <w:t>NO ADJUNTA ACTA DE COMITÉ DONDE DECLARA INCOMPETENCIA</w:t>
      </w:r>
      <w:r w:rsidR="006A4B75" w:rsidRPr="00B50CE2">
        <w:rPr>
          <w:rFonts w:eastAsia="Times New Roman" w:cs="Times New Roman"/>
          <w:i/>
          <w:color w:val="auto"/>
          <w:sz w:val="20"/>
          <w:szCs w:val="20"/>
          <w:lang w:eastAsia="es-MX"/>
        </w:rPr>
        <w:t>. (Sic)</w:t>
      </w:r>
    </w:p>
    <w:p w14:paraId="6DBCAEE9" w14:textId="77777777" w:rsidR="006A4B75" w:rsidRPr="00B50CE2" w:rsidRDefault="006A4B75" w:rsidP="00967419">
      <w:pPr>
        <w:spacing w:after="0" w:line="360" w:lineRule="auto"/>
        <w:ind w:left="567" w:right="567"/>
        <w:contextualSpacing/>
        <w:rPr>
          <w:rFonts w:eastAsia="Times New Roman" w:cs="Tahoma"/>
          <w:bCs/>
          <w:i/>
          <w:color w:val="auto"/>
          <w:sz w:val="20"/>
          <w:szCs w:val="20"/>
          <w:lang w:eastAsia="es-ES"/>
        </w:rPr>
      </w:pPr>
    </w:p>
    <w:p w14:paraId="7A8F18FA" w14:textId="77777777" w:rsidR="006A4B75" w:rsidRPr="00B50CE2" w:rsidRDefault="006A4B75" w:rsidP="00967419">
      <w:pPr>
        <w:spacing w:after="0" w:line="360" w:lineRule="auto"/>
        <w:ind w:left="567" w:right="567"/>
        <w:contextualSpacing/>
        <w:rPr>
          <w:rFonts w:eastAsia="Times New Roman" w:cs="Tahoma"/>
          <w:b/>
          <w:bCs/>
          <w:i/>
          <w:color w:val="auto"/>
          <w:sz w:val="20"/>
          <w:szCs w:val="20"/>
          <w:lang w:eastAsia="es-ES"/>
        </w:rPr>
      </w:pPr>
      <w:r w:rsidRPr="00B50CE2">
        <w:rPr>
          <w:rFonts w:eastAsia="Times New Roman" w:cs="Tahoma"/>
          <w:b/>
          <w:bCs/>
          <w:i/>
          <w:color w:val="auto"/>
          <w:sz w:val="20"/>
          <w:szCs w:val="20"/>
          <w:lang w:eastAsia="es-ES"/>
        </w:rPr>
        <w:t>“RAZONES O MOTIVOS DE LA INCONFORMIDAD</w:t>
      </w:r>
    </w:p>
    <w:p w14:paraId="5EBE243B" w14:textId="1252683A" w:rsidR="006A4B75" w:rsidRPr="00B50CE2" w:rsidRDefault="00D27D01" w:rsidP="00967419">
      <w:pPr>
        <w:spacing w:after="0" w:line="360" w:lineRule="auto"/>
        <w:ind w:firstLine="567"/>
        <w:contextualSpacing/>
        <w:rPr>
          <w:rFonts w:eastAsia="Times New Roman" w:cs="Times New Roman"/>
          <w:i/>
          <w:iCs/>
          <w:color w:val="auto"/>
          <w:sz w:val="20"/>
          <w:szCs w:val="20"/>
          <w:lang w:eastAsia="es-MX"/>
        </w:rPr>
      </w:pPr>
      <w:r w:rsidRPr="00B50CE2">
        <w:rPr>
          <w:rFonts w:eastAsia="Times New Roman" w:cs="Times New Roman"/>
          <w:i/>
          <w:iCs/>
          <w:color w:val="auto"/>
          <w:sz w:val="20"/>
          <w:szCs w:val="20"/>
          <w:lang w:eastAsia="es-MX"/>
        </w:rPr>
        <w:t>NO ADJUNTA ACTA DE COMITÉ DONDE DECLARA INCOMPETENCIA</w:t>
      </w:r>
      <w:r w:rsidR="006A4B75" w:rsidRPr="00B50CE2">
        <w:rPr>
          <w:i/>
          <w:iCs/>
          <w:color w:val="000000"/>
          <w:sz w:val="20"/>
          <w:szCs w:val="20"/>
        </w:rPr>
        <w:t>.”</w:t>
      </w:r>
      <w:r w:rsidR="006A4B75" w:rsidRPr="00B50CE2">
        <w:rPr>
          <w:bCs/>
          <w:i/>
          <w:iCs/>
          <w:color w:val="000000"/>
          <w:sz w:val="20"/>
          <w:szCs w:val="20"/>
        </w:rPr>
        <w:t xml:space="preserve"> </w:t>
      </w:r>
      <w:r w:rsidR="006A4B75" w:rsidRPr="00B50CE2">
        <w:rPr>
          <w:rFonts w:eastAsia="Times New Roman" w:cs="Tahoma"/>
          <w:bCs/>
          <w:i/>
          <w:iCs/>
          <w:color w:val="auto"/>
          <w:sz w:val="20"/>
          <w:szCs w:val="20"/>
          <w:lang w:eastAsia="es-ES"/>
        </w:rPr>
        <w:t>(Sic)</w:t>
      </w:r>
    </w:p>
    <w:p w14:paraId="3F80DD8D" w14:textId="77777777" w:rsidR="006A4B75" w:rsidRPr="00B50CE2" w:rsidRDefault="006A4B75" w:rsidP="00967419">
      <w:pPr>
        <w:spacing w:after="0" w:line="360" w:lineRule="auto"/>
        <w:contextualSpacing/>
        <w:rPr>
          <w:rFonts w:eastAsia="Times New Roman" w:cs="Tahoma"/>
          <w:bCs/>
          <w:color w:val="auto"/>
          <w:lang w:eastAsia="es-ES"/>
        </w:rPr>
      </w:pPr>
    </w:p>
    <w:p w14:paraId="4DC03633" w14:textId="77777777" w:rsidR="006A4B75" w:rsidRPr="00B50CE2" w:rsidRDefault="006A4B75" w:rsidP="00967419">
      <w:pPr>
        <w:spacing w:after="0" w:line="360" w:lineRule="auto"/>
        <w:contextualSpacing/>
        <w:rPr>
          <w:rFonts w:eastAsia="Batang" w:cs="Tahoma"/>
          <w:b/>
          <w:bCs/>
          <w:color w:val="000000"/>
        </w:rPr>
      </w:pPr>
      <w:r w:rsidRPr="00B50CE2">
        <w:rPr>
          <w:rFonts w:eastAsia="Calibri" w:cs="Tahoma"/>
          <w:b/>
          <w:color w:val="000000"/>
        </w:rPr>
        <w:t xml:space="preserve">IV. </w:t>
      </w:r>
      <w:r w:rsidRPr="00B50CE2">
        <w:rPr>
          <w:rFonts w:eastAsia="Batang" w:cs="Tahoma"/>
          <w:b/>
          <w:bCs/>
          <w:color w:val="000000"/>
        </w:rPr>
        <w:t>Trámite del Recurso de Revisión</w:t>
      </w:r>
      <w:r w:rsidRPr="00B50CE2">
        <w:rPr>
          <w:rFonts w:eastAsia="Calibri" w:cs="Tahoma"/>
          <w:b/>
          <w:color w:val="000000"/>
        </w:rPr>
        <w:t xml:space="preserve"> </w:t>
      </w:r>
      <w:r w:rsidRPr="00B50CE2">
        <w:rPr>
          <w:rFonts w:eastAsia="Batang" w:cs="Tahoma"/>
          <w:b/>
          <w:bCs/>
          <w:color w:val="000000"/>
        </w:rPr>
        <w:t>ante este Instituto.</w:t>
      </w:r>
    </w:p>
    <w:p w14:paraId="3B1747AA" w14:textId="29DC7A99" w:rsidR="006A4B75" w:rsidRPr="00B50CE2" w:rsidRDefault="006A4B75" w:rsidP="00967419">
      <w:pPr>
        <w:spacing w:after="0" w:line="360" w:lineRule="auto"/>
        <w:contextualSpacing/>
        <w:rPr>
          <w:rFonts w:eastAsia="Times New Roman" w:cs="Tahoma"/>
          <w:bCs/>
          <w:color w:val="auto"/>
          <w:lang w:eastAsia="es-ES"/>
        </w:rPr>
      </w:pPr>
      <w:r w:rsidRPr="00B50CE2">
        <w:rPr>
          <w:rFonts w:eastAsia="Batang" w:cs="Tahoma"/>
          <w:b/>
          <w:bCs/>
          <w:color w:val="000000"/>
        </w:rPr>
        <w:lastRenderedPageBreak/>
        <w:t xml:space="preserve">a) Turno del Medio de Impugnación. </w:t>
      </w:r>
      <w:r w:rsidRPr="00B50CE2">
        <w:rPr>
          <w:rFonts w:eastAsia="Batang" w:cs="Tahoma"/>
          <w:bCs/>
          <w:color w:val="000000"/>
        </w:rPr>
        <w:t xml:space="preserve">El </w:t>
      </w:r>
      <w:r w:rsidR="00D27D01" w:rsidRPr="00B50CE2">
        <w:rPr>
          <w:rFonts w:eastAsia="Batang" w:cs="Tahoma"/>
          <w:bCs/>
          <w:color w:val="000000"/>
        </w:rPr>
        <w:t>cuatro de octubre</w:t>
      </w:r>
      <w:r w:rsidRPr="00B50CE2">
        <w:rPr>
          <w:rFonts w:eastAsia="Batang" w:cs="Tahoma"/>
          <w:bCs/>
          <w:color w:val="000000"/>
        </w:rPr>
        <w:t xml:space="preserve"> </w:t>
      </w:r>
      <w:r w:rsidRPr="00B50CE2">
        <w:rPr>
          <w:rFonts w:eastAsia="Times New Roman" w:cs="Tahoma"/>
          <w:bCs/>
          <w:color w:val="auto"/>
          <w:lang w:eastAsia="es-ES"/>
        </w:rPr>
        <w:t>de dos mil veintidós</w:t>
      </w:r>
      <w:r w:rsidRPr="00B50CE2">
        <w:rPr>
          <w:rFonts w:eastAsia="Batang" w:cs="Tahoma"/>
          <w:bCs/>
          <w:color w:val="000000"/>
        </w:rPr>
        <w:t xml:space="preserve">, el </w:t>
      </w:r>
      <w:r w:rsidRPr="00B50CE2">
        <w:rPr>
          <w:rFonts w:eastAsia="Calibri" w:cs="Tahoma"/>
          <w:color w:val="000000"/>
          <w:lang w:val="es-ES"/>
        </w:rPr>
        <w:t>Sistema de Acceso a la Información Mexiquense (SAIMEX),</w:t>
      </w:r>
      <w:r w:rsidRPr="00B50CE2">
        <w:rPr>
          <w:rFonts w:eastAsia="Batang" w:cs="Tahoma"/>
          <w:bCs/>
          <w:color w:val="000000"/>
        </w:rPr>
        <w:t xml:space="preserve"> asignó el número de expediente </w:t>
      </w:r>
      <w:r w:rsidRPr="00B50CE2">
        <w:rPr>
          <w:rFonts w:eastAsia="Batang" w:cs="Tahoma"/>
          <w:color w:val="000000"/>
        </w:rPr>
        <w:t>1</w:t>
      </w:r>
      <w:r w:rsidR="00D27D01" w:rsidRPr="00B50CE2">
        <w:rPr>
          <w:rFonts w:eastAsia="Batang" w:cs="Tahoma"/>
          <w:color w:val="000000"/>
        </w:rPr>
        <w:t>538</w:t>
      </w:r>
      <w:r w:rsidRPr="00B50CE2">
        <w:rPr>
          <w:rFonts w:eastAsia="Batang" w:cs="Tahoma"/>
          <w:color w:val="000000"/>
        </w:rPr>
        <w:t>6</w:t>
      </w:r>
      <w:r w:rsidRPr="00B50CE2">
        <w:rPr>
          <w:rFonts w:eastAsia="Calibri" w:cs="Tahoma"/>
        </w:rPr>
        <w:t>/INFOEM/IP/RR/2022</w:t>
      </w:r>
      <w:r w:rsidRPr="00B50CE2">
        <w:rPr>
          <w:rFonts w:eastAsia="Batang" w:cs="Tahoma"/>
          <w:bCs/>
          <w:color w:val="000000"/>
        </w:rP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07251A68" w14:textId="77777777" w:rsidR="006A4B75" w:rsidRPr="00B50CE2" w:rsidRDefault="006A4B75" w:rsidP="00967419">
      <w:pPr>
        <w:spacing w:after="0" w:line="360" w:lineRule="auto"/>
        <w:contextualSpacing/>
        <w:rPr>
          <w:rFonts w:eastAsia="Batang" w:cs="Tahoma"/>
          <w:bCs/>
          <w:color w:val="000000"/>
        </w:rPr>
      </w:pPr>
    </w:p>
    <w:p w14:paraId="3572AC7F" w14:textId="39D4F83B" w:rsidR="006A4B75" w:rsidRPr="00B50CE2" w:rsidRDefault="006A4B75" w:rsidP="00967419">
      <w:pPr>
        <w:spacing w:after="0" w:line="360" w:lineRule="auto"/>
        <w:contextualSpacing/>
        <w:rPr>
          <w:rFonts w:eastAsia="Times New Roman" w:cs="Tahoma"/>
          <w:b/>
          <w:bCs/>
          <w:color w:val="auto"/>
          <w:lang w:eastAsia="es-ES"/>
        </w:rPr>
      </w:pPr>
      <w:r w:rsidRPr="00B50CE2">
        <w:rPr>
          <w:rFonts w:eastAsia="Times New Roman" w:cs="Tahoma"/>
          <w:b/>
          <w:bCs/>
          <w:color w:val="auto"/>
          <w:lang w:eastAsia="es-ES"/>
        </w:rPr>
        <w:t>b) Admisión del Recurso de Revisión</w:t>
      </w:r>
      <w:r w:rsidRPr="00B50CE2">
        <w:rPr>
          <w:rFonts w:eastAsia="Times New Roman" w:cs="Tahoma"/>
          <w:b/>
          <w:bCs/>
          <w:color w:val="auto"/>
          <w:lang w:val="es-ES_tradnl" w:eastAsia="es-ES"/>
        </w:rPr>
        <w:t xml:space="preserve">. </w:t>
      </w:r>
      <w:r w:rsidRPr="00B50CE2">
        <w:rPr>
          <w:rFonts w:eastAsia="Batang" w:cs="Tahoma"/>
          <w:bCs/>
          <w:color w:val="000000"/>
        </w:rPr>
        <w:t xml:space="preserve">El </w:t>
      </w:r>
      <w:r w:rsidR="00082C29" w:rsidRPr="00B50CE2">
        <w:rPr>
          <w:rFonts w:eastAsia="Batang" w:cs="Tahoma"/>
          <w:bCs/>
          <w:color w:val="000000"/>
        </w:rPr>
        <w:t>siete de octubre</w:t>
      </w:r>
      <w:r w:rsidRPr="00B50CE2">
        <w:rPr>
          <w:rFonts w:eastAsia="Batang" w:cs="Tahoma"/>
          <w:bCs/>
          <w:color w:val="000000"/>
        </w:rPr>
        <w:t xml:space="preserve"> de dos mil veintidós</w:t>
      </w:r>
      <w:r w:rsidRPr="00B50CE2">
        <w:rPr>
          <w:rFonts w:eastAsia="Times New Roman" w:cs="Tahoma"/>
          <w:bCs/>
          <w:color w:val="auto"/>
          <w:lang w:val="es-ES_tradnl" w:eastAsia="es-ES"/>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cinco de dicho mes y año, a través del Sistema de Acceso a la Información Mexiquense (SAIMEX), en el que se les otorgó un plazo de siete días hábiles posteriores a la misma, para que manifestaran lo que a su derecho conviniera y formularan alegatos. </w:t>
      </w:r>
    </w:p>
    <w:p w14:paraId="0B505E21" w14:textId="77777777" w:rsidR="006A4B75" w:rsidRPr="00B50CE2" w:rsidRDefault="006A4B75" w:rsidP="00967419">
      <w:pPr>
        <w:spacing w:after="0" w:line="360" w:lineRule="auto"/>
        <w:contextualSpacing/>
        <w:rPr>
          <w:rFonts w:cs="Tahoma"/>
          <w:b/>
          <w:lang w:val="es-ES_tradnl"/>
        </w:rPr>
      </w:pPr>
    </w:p>
    <w:p w14:paraId="2537D13C" w14:textId="77777777" w:rsidR="006A4B75" w:rsidRPr="00B50CE2" w:rsidRDefault="006A4B75" w:rsidP="00967419">
      <w:pPr>
        <w:spacing w:after="0" w:line="360" w:lineRule="auto"/>
        <w:contextualSpacing/>
        <w:rPr>
          <w:rFonts w:cs="Tahoma"/>
          <w:bCs/>
          <w:lang w:val="es-ES_tradnl"/>
        </w:rPr>
      </w:pPr>
      <w:r w:rsidRPr="00B50CE2">
        <w:rPr>
          <w:rFonts w:cs="Tahoma"/>
          <w:b/>
          <w:lang w:val="es-ES_tradnl"/>
        </w:rPr>
        <w:t xml:space="preserve">c) Informe Justificado o Manifestaciones. </w:t>
      </w:r>
      <w:r w:rsidRPr="00B50CE2">
        <w:rPr>
          <w:rFonts w:cs="Tahoma"/>
          <w:bCs/>
          <w:lang w:val="es-ES_tradnl"/>
        </w:rPr>
        <w:t xml:space="preserve">Las partes fueron omisas en emitir manifestaciones o alegatos. </w:t>
      </w:r>
    </w:p>
    <w:p w14:paraId="6962BBF1" w14:textId="3A43BDCF" w:rsidR="006A4B75" w:rsidRPr="00B50CE2" w:rsidRDefault="006A4B75" w:rsidP="00967419">
      <w:pPr>
        <w:spacing w:after="0" w:line="360" w:lineRule="auto"/>
        <w:contextualSpacing/>
        <w:rPr>
          <w:rFonts w:eastAsia="Times New Roman" w:cs="Tahoma"/>
          <w:b/>
          <w:color w:val="auto"/>
          <w:szCs w:val="24"/>
          <w:lang w:eastAsia="es-ES"/>
        </w:rPr>
      </w:pPr>
    </w:p>
    <w:p w14:paraId="7EF8F211" w14:textId="264C6A69" w:rsidR="00082C29" w:rsidRPr="00B50CE2" w:rsidRDefault="00082C29" w:rsidP="00967419">
      <w:pPr>
        <w:spacing w:line="360" w:lineRule="auto"/>
        <w:contextualSpacing/>
        <w:rPr>
          <w:rFonts w:cs="Tahoma"/>
          <w:color w:val="0D0D0D" w:themeColor="text1" w:themeTint="F2"/>
        </w:rPr>
      </w:pPr>
      <w:r w:rsidRPr="00B50CE2">
        <w:rPr>
          <w:rFonts w:eastAsia="Times New Roman" w:cs="Tahoma"/>
          <w:b/>
          <w:color w:val="auto"/>
          <w:szCs w:val="24"/>
          <w:lang w:eastAsia="es-ES"/>
        </w:rPr>
        <w:t xml:space="preserve">d) </w:t>
      </w:r>
      <w:r w:rsidRPr="00B50CE2">
        <w:rPr>
          <w:rFonts w:eastAsia="Palatino Linotype" w:cs="Palatino Linotype"/>
          <w:b/>
          <w:bCs/>
          <w:lang w:val="es-ES"/>
        </w:rPr>
        <w:t xml:space="preserve">Ampliación de plazo para resolver. </w:t>
      </w:r>
      <w:r w:rsidRPr="00B50CE2">
        <w:rPr>
          <w:rFonts w:eastAsia="Palatino Linotype" w:cs="Palatino Linotype"/>
          <w:lang w:val="es-ES"/>
        </w:rPr>
        <w:t>El dieciocho de octubre de dos mil veintidós,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2F6B7E8C" w14:textId="77777777" w:rsidR="00082C29" w:rsidRPr="00B50CE2" w:rsidRDefault="00082C29" w:rsidP="00967419">
      <w:pPr>
        <w:spacing w:line="360" w:lineRule="auto"/>
        <w:ind w:right="-28"/>
        <w:contextualSpacing/>
        <w:rPr>
          <w:rFonts w:eastAsia="Calibri" w:cs="Tahoma"/>
          <w:bCs/>
          <w:color w:val="auto"/>
        </w:rPr>
      </w:pPr>
    </w:p>
    <w:p w14:paraId="49E28AD0"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F4321F" w14:textId="77777777" w:rsidR="00082C29" w:rsidRPr="00B50CE2" w:rsidRDefault="00082C29" w:rsidP="00967419">
      <w:pPr>
        <w:spacing w:line="360" w:lineRule="auto"/>
        <w:contextualSpacing/>
        <w:rPr>
          <w:rFonts w:eastAsia="Palatino Linotype" w:cs="Palatino Linotype"/>
        </w:rPr>
      </w:pPr>
    </w:p>
    <w:p w14:paraId="3D337999" w14:textId="7C99345B"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 xml:space="preserve">Por ello, es menester precisar </w:t>
      </w:r>
      <w:r w:rsidR="00EB18F0" w:rsidRPr="00B50CE2">
        <w:rPr>
          <w:rFonts w:eastAsia="Palatino Linotype" w:cs="Palatino Linotype"/>
        </w:rPr>
        <w:t>que,</w:t>
      </w:r>
      <w:r w:rsidRPr="00B50CE2">
        <w:rPr>
          <w:rFonts w:eastAsia="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CCAE1B" w14:textId="77777777" w:rsidR="00082C29" w:rsidRPr="00B50CE2" w:rsidRDefault="00082C29" w:rsidP="00967419">
      <w:pPr>
        <w:spacing w:line="360" w:lineRule="auto"/>
        <w:contextualSpacing/>
        <w:rPr>
          <w:rFonts w:eastAsia="Palatino Linotype" w:cs="Palatino Linotype"/>
        </w:rPr>
      </w:pPr>
    </w:p>
    <w:p w14:paraId="1940459C"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BB38A1" w14:textId="77777777" w:rsidR="00082C29" w:rsidRPr="00B50CE2" w:rsidRDefault="00082C29" w:rsidP="00967419">
      <w:pPr>
        <w:spacing w:line="360" w:lineRule="auto"/>
        <w:contextualSpacing/>
        <w:rPr>
          <w:rFonts w:eastAsia="Palatino Linotype" w:cs="Palatino Linotype"/>
        </w:rPr>
      </w:pPr>
    </w:p>
    <w:p w14:paraId="167852DB"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0F5149" w14:textId="77777777" w:rsidR="00082C29" w:rsidRPr="00B50CE2" w:rsidRDefault="00082C29" w:rsidP="00967419">
      <w:pPr>
        <w:spacing w:line="360" w:lineRule="auto"/>
        <w:contextualSpacing/>
        <w:rPr>
          <w:rFonts w:eastAsia="Palatino Linotype" w:cs="Palatino Linotype"/>
        </w:rPr>
      </w:pPr>
    </w:p>
    <w:p w14:paraId="63AE1A0F"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2AA8A9" w14:textId="77777777" w:rsidR="00082C29" w:rsidRPr="00B50CE2" w:rsidRDefault="00082C29" w:rsidP="00967419">
      <w:pPr>
        <w:spacing w:line="360" w:lineRule="auto"/>
        <w:contextualSpacing/>
        <w:rPr>
          <w:rFonts w:eastAsia="Palatino Linotype" w:cs="Palatino Linotype"/>
        </w:rPr>
      </w:pPr>
    </w:p>
    <w:p w14:paraId="649534DB" w14:textId="77777777" w:rsidR="00082C29" w:rsidRPr="00B50CE2" w:rsidRDefault="00082C29" w:rsidP="00967419">
      <w:pPr>
        <w:numPr>
          <w:ilvl w:val="0"/>
          <w:numId w:val="4"/>
        </w:numPr>
        <w:spacing w:after="0" w:line="360" w:lineRule="auto"/>
        <w:contextualSpacing/>
        <w:rPr>
          <w:rFonts w:eastAsia="Palatino Linotype" w:cs="Palatino Linotype"/>
          <w:szCs w:val="24"/>
          <w:lang w:eastAsia="es-ES"/>
        </w:rPr>
      </w:pPr>
      <w:r w:rsidRPr="00B50CE2">
        <w:rPr>
          <w:rFonts w:eastAsia="Palatino Linotype" w:cs="Palatino Linotype"/>
          <w:b/>
          <w:bCs/>
          <w:lang w:eastAsia="es-ES"/>
        </w:rPr>
        <w:lastRenderedPageBreak/>
        <w:t>Complejidad del asunto:</w:t>
      </w:r>
      <w:r w:rsidRPr="00B50CE2">
        <w:rPr>
          <w:rFonts w:eastAsia="Palatino Linotype" w:cs="Palatino Linotype"/>
          <w:lang w:eastAsia="es-ES"/>
        </w:rPr>
        <w:t xml:space="preserve"> La complejidad de la prueba, la pluralidad de sujetos procesales, el tiempo transcurrido, las características y contexto del recurso.</w:t>
      </w:r>
    </w:p>
    <w:p w14:paraId="4B19B11D" w14:textId="77777777" w:rsidR="00082C29" w:rsidRPr="00B50CE2" w:rsidRDefault="00082C29" w:rsidP="00967419">
      <w:pPr>
        <w:spacing w:line="360" w:lineRule="auto"/>
        <w:ind w:left="720"/>
        <w:contextualSpacing/>
        <w:rPr>
          <w:rFonts w:eastAsia="Palatino Linotype" w:cs="Palatino Linotype"/>
          <w:lang w:eastAsia="es-ES"/>
        </w:rPr>
      </w:pPr>
    </w:p>
    <w:p w14:paraId="33AC9388" w14:textId="77777777" w:rsidR="00082C29" w:rsidRPr="00B50CE2" w:rsidRDefault="00082C29" w:rsidP="00967419">
      <w:pPr>
        <w:numPr>
          <w:ilvl w:val="0"/>
          <w:numId w:val="4"/>
        </w:numPr>
        <w:spacing w:after="0" w:line="360" w:lineRule="auto"/>
        <w:contextualSpacing/>
        <w:rPr>
          <w:rFonts w:eastAsia="Palatino Linotype" w:cs="Palatino Linotype"/>
          <w:lang w:eastAsia="es-ES"/>
        </w:rPr>
      </w:pPr>
      <w:r w:rsidRPr="00B50CE2">
        <w:rPr>
          <w:rFonts w:eastAsia="Palatino Linotype" w:cs="Palatino Linotype"/>
          <w:b/>
          <w:bCs/>
          <w:lang w:eastAsia="es-ES"/>
        </w:rPr>
        <w:t>Actividad Procesal del interesado:</w:t>
      </w:r>
      <w:r w:rsidRPr="00B50CE2">
        <w:rPr>
          <w:rFonts w:eastAsia="Palatino Linotype" w:cs="Palatino Linotype"/>
          <w:lang w:eastAsia="es-ES"/>
        </w:rPr>
        <w:t xml:space="preserve"> Acciones u omisiones del interesado.</w:t>
      </w:r>
    </w:p>
    <w:p w14:paraId="7EA494C1" w14:textId="77777777" w:rsidR="00082C29" w:rsidRPr="00B50CE2" w:rsidRDefault="00082C29" w:rsidP="00967419">
      <w:pPr>
        <w:spacing w:line="360" w:lineRule="auto"/>
        <w:ind w:left="720"/>
        <w:contextualSpacing/>
        <w:rPr>
          <w:rFonts w:eastAsia="Palatino Linotype" w:cs="Palatino Linotype"/>
          <w:lang w:eastAsia="es-ES"/>
        </w:rPr>
      </w:pPr>
    </w:p>
    <w:p w14:paraId="0AEBB3D7" w14:textId="77777777" w:rsidR="00082C29" w:rsidRPr="00B50CE2" w:rsidRDefault="00082C29" w:rsidP="00967419">
      <w:pPr>
        <w:numPr>
          <w:ilvl w:val="0"/>
          <w:numId w:val="4"/>
        </w:numPr>
        <w:spacing w:after="0" w:line="360" w:lineRule="auto"/>
        <w:contextualSpacing/>
        <w:rPr>
          <w:rFonts w:eastAsia="Palatino Linotype" w:cs="Palatino Linotype"/>
          <w:lang w:eastAsia="es-ES"/>
        </w:rPr>
      </w:pPr>
      <w:r w:rsidRPr="00B50CE2">
        <w:rPr>
          <w:rFonts w:eastAsia="Palatino Linotype" w:cs="Palatino Linotype"/>
          <w:b/>
          <w:bCs/>
          <w:lang w:eastAsia="es-ES"/>
        </w:rPr>
        <w:t>Conducta de la Autoridad:</w:t>
      </w:r>
      <w:r w:rsidRPr="00B50CE2">
        <w:rPr>
          <w:rFonts w:eastAsia="Palatino Linotype" w:cs="Palatino Linotype"/>
          <w:lang w:eastAsia="es-ES"/>
        </w:rPr>
        <w:t xml:space="preserve"> Las Acciones u omisiones realizadas en el procedimiento. Así como si la autoridad actuó con la debida diligencia.</w:t>
      </w:r>
    </w:p>
    <w:p w14:paraId="0F5EFF2C" w14:textId="77777777" w:rsidR="00082C29" w:rsidRPr="00B50CE2" w:rsidRDefault="00082C29" w:rsidP="00967419">
      <w:pPr>
        <w:spacing w:line="360" w:lineRule="auto"/>
        <w:ind w:left="720"/>
        <w:contextualSpacing/>
        <w:rPr>
          <w:rFonts w:eastAsia="Palatino Linotype" w:cs="Palatino Linotype"/>
          <w:lang w:eastAsia="es-ES"/>
        </w:rPr>
      </w:pPr>
    </w:p>
    <w:p w14:paraId="4A6FFA13" w14:textId="77777777" w:rsidR="00082C29" w:rsidRPr="00B50CE2" w:rsidRDefault="00082C29" w:rsidP="00967419">
      <w:pPr>
        <w:numPr>
          <w:ilvl w:val="0"/>
          <w:numId w:val="4"/>
        </w:numPr>
        <w:spacing w:after="0" w:line="360" w:lineRule="auto"/>
        <w:contextualSpacing/>
        <w:rPr>
          <w:rFonts w:eastAsia="Palatino Linotype" w:cs="Palatino Linotype"/>
          <w:lang w:eastAsia="es-ES"/>
        </w:rPr>
      </w:pPr>
      <w:r w:rsidRPr="00B50CE2">
        <w:rPr>
          <w:rFonts w:eastAsia="Palatino Linotype" w:cs="Palatino Linotype"/>
          <w:b/>
          <w:bCs/>
          <w:lang w:eastAsia="es-ES"/>
        </w:rPr>
        <w:t>La afectación generada en la situación jurídica de la persona involucrada en el proceso:</w:t>
      </w:r>
      <w:r w:rsidRPr="00B50CE2">
        <w:rPr>
          <w:rFonts w:eastAsia="Palatino Linotype" w:cs="Palatino Linotype"/>
          <w:lang w:eastAsia="es-ES"/>
        </w:rPr>
        <w:t xml:space="preserve"> Violación a sus derechos humanos.</w:t>
      </w:r>
    </w:p>
    <w:p w14:paraId="44D9827E" w14:textId="77777777" w:rsidR="00082C29" w:rsidRPr="00B50CE2" w:rsidRDefault="00082C29" w:rsidP="00967419">
      <w:pPr>
        <w:spacing w:line="360" w:lineRule="auto"/>
        <w:contextualSpacing/>
        <w:rPr>
          <w:rFonts w:eastAsia="Palatino Linotype" w:cs="Palatino Linotype"/>
        </w:rPr>
      </w:pPr>
    </w:p>
    <w:p w14:paraId="67700293"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1FA355"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 xml:space="preserve"> </w:t>
      </w:r>
    </w:p>
    <w:p w14:paraId="0BC9DD3B"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Argumento que encuentra sustento en la jurisprudencia P./J. 32/92 emitida por el Pleno de la Suprema Corte de Justicia de la Nación de rubro “</w:t>
      </w:r>
      <w:r w:rsidRPr="00B50CE2">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B50CE2">
        <w:rPr>
          <w:rFonts w:eastAsia="Palatino Linotype" w:cs="Palatino Linotype"/>
        </w:rPr>
        <w:t>.”, visible en la Gaceta del Seminario Judicial de la Federación con el registro digital 205635.</w:t>
      </w:r>
    </w:p>
    <w:p w14:paraId="5A38E2BE" w14:textId="77777777" w:rsidR="00082C29" w:rsidRPr="00B50CE2" w:rsidRDefault="00082C29" w:rsidP="00967419">
      <w:pPr>
        <w:spacing w:line="360" w:lineRule="auto"/>
        <w:contextualSpacing/>
        <w:rPr>
          <w:rFonts w:eastAsia="Palatino Linotype" w:cs="Palatino Linotype"/>
        </w:rPr>
      </w:pPr>
    </w:p>
    <w:p w14:paraId="535F89B6"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sidRPr="00B50CE2">
        <w:rPr>
          <w:rFonts w:eastAsia="Palatino Linotype" w:cs="Palatino Linotype"/>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32DA2B" w14:textId="77777777" w:rsidR="00082C29" w:rsidRPr="00B50CE2" w:rsidRDefault="00082C29" w:rsidP="00967419">
      <w:pPr>
        <w:spacing w:line="360" w:lineRule="auto"/>
        <w:contextualSpacing/>
        <w:rPr>
          <w:rFonts w:eastAsia="Palatino Linotype" w:cs="Palatino Linotype"/>
        </w:rPr>
      </w:pPr>
    </w:p>
    <w:p w14:paraId="20E86F4D"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1002A1FC" w14:textId="77777777" w:rsidR="00082C29" w:rsidRPr="00B50CE2" w:rsidRDefault="00082C29" w:rsidP="00967419">
      <w:pPr>
        <w:spacing w:line="360" w:lineRule="auto"/>
        <w:contextualSpacing/>
        <w:rPr>
          <w:rFonts w:eastAsia="Palatino Linotype" w:cs="Palatino Linotype"/>
        </w:rPr>
      </w:pPr>
    </w:p>
    <w:p w14:paraId="500CFF30"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 xml:space="preserve"> “</w:t>
      </w:r>
      <w:r w:rsidRPr="00B50CE2">
        <w:rPr>
          <w:rFonts w:eastAsia="Palatino Linotype" w:cs="Palatino Linotype"/>
          <w:b/>
          <w:bCs/>
        </w:rPr>
        <w:t>PLAZO RAZONABLE PARA RESOLVER. DIMENSIÓN Y EFECTOS DE ESTE CONCEPTO CUANDO SE ADUCE EXCESIVA CARGA DE TRABAJO</w:t>
      </w:r>
      <w:r w:rsidRPr="00B50CE2">
        <w:rPr>
          <w:rFonts w:eastAsia="Palatino Linotype" w:cs="Palatino Linotype"/>
        </w:rPr>
        <w:t>.” consultable en el Seminario Judicial de la Federación y su gaceta, con el registro digital 2002351.</w:t>
      </w:r>
    </w:p>
    <w:p w14:paraId="1DA6A896" w14:textId="77777777" w:rsidR="00082C29" w:rsidRPr="00B50CE2" w:rsidRDefault="00082C29" w:rsidP="00967419">
      <w:pPr>
        <w:spacing w:line="360" w:lineRule="auto"/>
        <w:contextualSpacing/>
        <w:rPr>
          <w:rFonts w:eastAsia="Palatino Linotype" w:cs="Palatino Linotype"/>
        </w:rPr>
      </w:pPr>
    </w:p>
    <w:p w14:paraId="1D9E354C"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w:t>
      </w:r>
      <w:r w:rsidRPr="00B50CE2">
        <w:rPr>
          <w:rFonts w:eastAsia="Palatino Linotype" w:cs="Palatino Linotype"/>
          <w:b/>
          <w:bCs/>
        </w:rPr>
        <w:t>PLAZO RAZONABLE PARA RESOLVER. CONCEPTO Y ELEMENTOS QUE LO INTEGRAN A LA LUZ DEL DERECHO INTERNACIONAL DE LOS DERECHOS HUMANOS</w:t>
      </w:r>
      <w:r w:rsidRPr="00B50CE2">
        <w:rPr>
          <w:rFonts w:eastAsia="Palatino Linotype" w:cs="Palatino Linotype"/>
        </w:rPr>
        <w:t>.”, visible en el Seminario Judicial de la Federación y su gaceta, con el registro digital 2002350.</w:t>
      </w:r>
    </w:p>
    <w:p w14:paraId="596F5DEE" w14:textId="77777777" w:rsidR="00082C29" w:rsidRPr="00B50CE2" w:rsidRDefault="00082C29" w:rsidP="00967419">
      <w:pPr>
        <w:spacing w:line="360" w:lineRule="auto"/>
        <w:contextualSpacing/>
        <w:rPr>
          <w:rFonts w:eastAsia="Palatino Linotype" w:cs="Palatino Linotype"/>
        </w:rPr>
      </w:pPr>
    </w:p>
    <w:p w14:paraId="20734B94" w14:textId="77777777" w:rsidR="00082C29" w:rsidRPr="00B50CE2" w:rsidRDefault="00082C29" w:rsidP="00967419">
      <w:pPr>
        <w:spacing w:line="360" w:lineRule="auto"/>
        <w:contextualSpacing/>
        <w:rPr>
          <w:rFonts w:eastAsia="Palatino Linotype" w:cs="Palatino Linotype"/>
        </w:rPr>
      </w:pPr>
      <w:r w:rsidRPr="00B50CE2">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53D587E3" w14:textId="022737A0" w:rsidR="00082C29" w:rsidRPr="00B50CE2" w:rsidRDefault="00082C29" w:rsidP="00967419">
      <w:pPr>
        <w:spacing w:after="0" w:line="360" w:lineRule="auto"/>
        <w:contextualSpacing/>
        <w:rPr>
          <w:rFonts w:eastAsia="Times New Roman" w:cs="Tahoma"/>
          <w:b/>
          <w:color w:val="auto"/>
          <w:szCs w:val="24"/>
          <w:lang w:eastAsia="es-ES"/>
        </w:rPr>
      </w:pPr>
    </w:p>
    <w:p w14:paraId="0BD101E4" w14:textId="432AB4C1" w:rsidR="006A4B75" w:rsidRPr="00B50CE2" w:rsidRDefault="00082C29" w:rsidP="00967419">
      <w:pPr>
        <w:spacing w:after="0" w:line="360" w:lineRule="auto"/>
        <w:contextualSpacing/>
        <w:rPr>
          <w:rFonts w:eastAsia="Times New Roman" w:cs="Tahoma"/>
          <w:color w:val="auto"/>
          <w:szCs w:val="24"/>
          <w:lang w:eastAsia="es-ES"/>
        </w:rPr>
      </w:pPr>
      <w:r w:rsidRPr="00B50CE2">
        <w:rPr>
          <w:rFonts w:eastAsia="Times New Roman" w:cs="Tahoma"/>
          <w:b/>
          <w:color w:val="auto"/>
          <w:szCs w:val="24"/>
          <w:lang w:eastAsia="es-ES"/>
        </w:rPr>
        <w:t>e</w:t>
      </w:r>
      <w:r w:rsidR="006A4B75" w:rsidRPr="00B50CE2">
        <w:rPr>
          <w:rFonts w:eastAsia="Times New Roman" w:cs="Tahoma"/>
          <w:b/>
          <w:color w:val="auto"/>
          <w:szCs w:val="24"/>
          <w:lang w:eastAsia="es-ES"/>
        </w:rPr>
        <w:t>) Cierre de instrucción.</w:t>
      </w:r>
      <w:r w:rsidR="006A4B75" w:rsidRPr="00B50CE2">
        <w:rPr>
          <w:rFonts w:eastAsia="Times New Roman" w:cs="Tahoma"/>
          <w:color w:val="auto"/>
          <w:szCs w:val="24"/>
          <w:lang w:eastAsia="es-ES"/>
        </w:rPr>
        <w:t xml:space="preserve"> El treinta de </w:t>
      </w:r>
      <w:r w:rsidRPr="00B50CE2">
        <w:rPr>
          <w:rFonts w:eastAsia="Times New Roman" w:cs="Tahoma"/>
          <w:color w:val="auto"/>
          <w:szCs w:val="24"/>
          <w:lang w:eastAsia="es-ES"/>
        </w:rPr>
        <w:t>noviembre</w:t>
      </w:r>
      <w:r w:rsidR="006A4B75" w:rsidRPr="00B50CE2">
        <w:rPr>
          <w:rFonts w:eastAsia="Times New Roman" w:cs="Tahoma"/>
          <w:color w:val="auto"/>
          <w:szCs w:val="24"/>
          <w:lang w:eastAsia="es-ES"/>
        </w:rPr>
        <w:t xml:space="preserve"> de dos mil veinti</w:t>
      </w:r>
      <w:r w:rsidRPr="00B50CE2">
        <w:rPr>
          <w:rFonts w:eastAsia="Times New Roman" w:cs="Tahoma"/>
          <w:color w:val="auto"/>
          <w:szCs w:val="24"/>
          <w:lang w:eastAsia="es-ES"/>
        </w:rPr>
        <w:t>dós</w:t>
      </w:r>
      <w:r w:rsidR="006A4B75" w:rsidRPr="00B50CE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w:t>
      </w:r>
      <w:r w:rsidR="006A4B75" w:rsidRPr="00B50CE2">
        <w:rPr>
          <w:rFonts w:eastAsia="Times New Roman" w:cs="Tahoma"/>
          <w:color w:val="auto"/>
          <w:szCs w:val="24"/>
          <w:lang w:eastAsia="es-ES"/>
        </w:rPr>
        <w:lastRenderedPageBreak/>
        <w:t xml:space="preserve">en los artículos 185, fracciones VI y VIII, de la Ley de Transparencia y Acceso a la Información Pública del Estado de México y Municipios, mismo que fue notificado a las partes el mismo día, a través del </w:t>
      </w:r>
      <w:r w:rsidR="006A4B75" w:rsidRPr="00B50CE2">
        <w:rPr>
          <w:rFonts w:eastAsia="Times New Roman" w:cs="Tahoma"/>
          <w:color w:val="auto"/>
          <w:szCs w:val="20"/>
          <w:lang w:val="es-ES" w:eastAsia="es-ES"/>
        </w:rPr>
        <w:t>Sistema de Acceso a la Información Mexiquense (SAIMEX)</w:t>
      </w:r>
      <w:r w:rsidR="006A4B75" w:rsidRPr="00B50CE2">
        <w:rPr>
          <w:rFonts w:eastAsia="Times New Roman" w:cs="Tahoma"/>
          <w:color w:val="auto"/>
          <w:szCs w:val="24"/>
          <w:lang w:eastAsia="es-ES"/>
        </w:rPr>
        <w:t xml:space="preserve">. </w:t>
      </w:r>
    </w:p>
    <w:p w14:paraId="6C424C89" w14:textId="77777777" w:rsidR="006A4B75" w:rsidRPr="00B50CE2" w:rsidRDefault="006A4B75" w:rsidP="00967419">
      <w:pPr>
        <w:spacing w:after="0" w:line="360" w:lineRule="auto"/>
        <w:contextualSpacing/>
        <w:rPr>
          <w:rFonts w:eastAsia="Times New Roman" w:cs="Tahoma"/>
          <w:color w:val="auto"/>
          <w:szCs w:val="24"/>
          <w:lang w:eastAsia="es-ES"/>
        </w:rPr>
      </w:pPr>
    </w:p>
    <w:p w14:paraId="467F1343" w14:textId="77777777" w:rsidR="006A4B75" w:rsidRPr="00B50CE2" w:rsidRDefault="006A4B75" w:rsidP="00967419">
      <w:pPr>
        <w:spacing w:after="0" w:line="360" w:lineRule="auto"/>
        <w:contextualSpacing/>
        <w:rPr>
          <w:rFonts w:eastAsia="Times New Roman" w:cs="Tahoma"/>
          <w:color w:val="000000"/>
          <w:szCs w:val="24"/>
          <w:lang w:eastAsia="es-ES"/>
        </w:rPr>
      </w:pPr>
      <w:r w:rsidRPr="00B50CE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A7FAC6B" w14:textId="77777777" w:rsidR="00967419" w:rsidRPr="00B50CE2" w:rsidRDefault="00967419" w:rsidP="00967419">
      <w:pPr>
        <w:spacing w:after="0" w:line="360" w:lineRule="auto"/>
        <w:contextualSpacing/>
        <w:jc w:val="center"/>
        <w:rPr>
          <w:rFonts w:eastAsia="Times New Roman" w:cs="Tahoma"/>
          <w:b/>
          <w:color w:val="auto"/>
          <w:lang w:val="es-ES" w:eastAsia="es-ES"/>
        </w:rPr>
      </w:pPr>
    </w:p>
    <w:p w14:paraId="31A762C3" w14:textId="1650880A" w:rsidR="006A4B75" w:rsidRPr="00B50CE2" w:rsidRDefault="006A4B75" w:rsidP="00967419">
      <w:pPr>
        <w:spacing w:after="0" w:line="360" w:lineRule="auto"/>
        <w:contextualSpacing/>
        <w:jc w:val="center"/>
        <w:rPr>
          <w:rFonts w:eastAsia="Times New Roman" w:cs="Tahoma"/>
          <w:b/>
          <w:color w:val="auto"/>
          <w:lang w:val="es-ES" w:eastAsia="es-ES"/>
        </w:rPr>
      </w:pPr>
      <w:r w:rsidRPr="00B50CE2">
        <w:rPr>
          <w:rFonts w:eastAsia="Times New Roman" w:cs="Tahoma"/>
          <w:b/>
          <w:color w:val="auto"/>
          <w:lang w:val="es-ES" w:eastAsia="es-ES"/>
        </w:rPr>
        <w:t>C O N S I D E R A N D O S:</w:t>
      </w:r>
    </w:p>
    <w:p w14:paraId="7D849A3E" w14:textId="77777777" w:rsidR="006A4B75" w:rsidRPr="00B50CE2" w:rsidRDefault="006A4B75" w:rsidP="00967419">
      <w:pPr>
        <w:spacing w:after="0" w:line="360" w:lineRule="auto"/>
        <w:contextualSpacing/>
        <w:jc w:val="center"/>
        <w:rPr>
          <w:rFonts w:eastAsia="Times New Roman" w:cs="Tahoma"/>
          <w:b/>
          <w:color w:val="auto"/>
          <w:lang w:val="es-ES" w:eastAsia="es-ES"/>
        </w:rPr>
      </w:pPr>
    </w:p>
    <w:p w14:paraId="631E40B2" w14:textId="77777777" w:rsidR="006A4B75" w:rsidRPr="00B50CE2" w:rsidRDefault="006A4B75" w:rsidP="00967419">
      <w:pPr>
        <w:autoSpaceDE w:val="0"/>
        <w:autoSpaceDN w:val="0"/>
        <w:adjustRightInd w:val="0"/>
        <w:spacing w:after="0" w:line="360" w:lineRule="auto"/>
        <w:contextualSpacing/>
        <w:rPr>
          <w:rFonts w:eastAsia="Times New Roman" w:cs="Tahoma"/>
          <w:b/>
          <w:color w:val="auto"/>
          <w:szCs w:val="24"/>
          <w:lang w:val="es-ES" w:eastAsia="es-ES"/>
        </w:rPr>
      </w:pPr>
      <w:r w:rsidRPr="00B50CE2">
        <w:rPr>
          <w:rFonts w:eastAsia="Calibri" w:cs="Tahoma"/>
          <w:b/>
          <w:color w:val="000000"/>
          <w:szCs w:val="24"/>
          <w:lang w:val="es-ES" w:eastAsia="es-MX"/>
        </w:rPr>
        <w:t>PRIMERO</w:t>
      </w:r>
      <w:r w:rsidRPr="00B50CE2">
        <w:rPr>
          <w:rFonts w:eastAsia="Calibri" w:cs="Tahoma"/>
          <w:color w:val="000000"/>
          <w:szCs w:val="24"/>
          <w:lang w:val="es-ES" w:eastAsia="es-MX"/>
        </w:rPr>
        <w:t xml:space="preserve">. </w:t>
      </w:r>
      <w:r w:rsidRPr="00B50CE2">
        <w:rPr>
          <w:rFonts w:eastAsia="Times New Roman" w:cs="Tahoma"/>
          <w:b/>
          <w:color w:val="auto"/>
          <w:szCs w:val="24"/>
          <w:lang w:val="es-ES" w:eastAsia="es-ES"/>
        </w:rPr>
        <w:t>Competencia.</w:t>
      </w:r>
    </w:p>
    <w:p w14:paraId="1AA4D664" w14:textId="77777777" w:rsidR="006A4B75" w:rsidRPr="00B50CE2" w:rsidRDefault="006A4B75" w:rsidP="00967419">
      <w:pPr>
        <w:autoSpaceDE w:val="0"/>
        <w:autoSpaceDN w:val="0"/>
        <w:adjustRightInd w:val="0"/>
        <w:spacing w:after="0" w:line="360" w:lineRule="auto"/>
        <w:contextualSpacing/>
        <w:rPr>
          <w:rFonts w:eastAsia="Times New Roman" w:cs="Tahoma"/>
          <w:b/>
          <w:color w:val="auto"/>
          <w:szCs w:val="24"/>
          <w:lang w:val="es-ES" w:eastAsia="es-ES"/>
        </w:rPr>
      </w:pPr>
    </w:p>
    <w:p w14:paraId="40C1791E" w14:textId="77777777" w:rsidR="006A4B75" w:rsidRPr="00B50CE2" w:rsidRDefault="006A4B75" w:rsidP="00967419">
      <w:pPr>
        <w:spacing w:after="0" w:line="360" w:lineRule="auto"/>
        <w:contextualSpacing/>
        <w:rPr>
          <w:rFonts w:eastAsia="Times New Roman" w:cs="Tahoma"/>
          <w:bCs/>
          <w:color w:val="auto"/>
          <w:lang w:eastAsia="es-ES"/>
        </w:rPr>
      </w:pPr>
      <w:bookmarkStart w:id="1" w:name="_Hlk63334754"/>
      <w:r w:rsidRPr="00B50CE2">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50CE2">
        <w:rPr>
          <w:rFonts w:eastAsia="Times New Roman" w:cs="Times New Roman"/>
          <w:bCs/>
          <w:color w:val="auto"/>
          <w:lang w:eastAsia="es-ES"/>
        </w:rPr>
        <w:t xml:space="preserve"> 7°, </w:t>
      </w:r>
      <w:r w:rsidRPr="00B50CE2">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595055FA" w14:textId="77777777" w:rsidR="006A4B75" w:rsidRPr="00B50CE2" w:rsidRDefault="006A4B75" w:rsidP="00967419">
      <w:pPr>
        <w:spacing w:after="0" w:line="360" w:lineRule="auto"/>
        <w:contextualSpacing/>
      </w:pPr>
    </w:p>
    <w:p w14:paraId="79FF4F1A" w14:textId="77777777" w:rsidR="006A4B75" w:rsidRPr="00B50CE2" w:rsidRDefault="006A4B75" w:rsidP="00967419">
      <w:pPr>
        <w:autoSpaceDE w:val="0"/>
        <w:autoSpaceDN w:val="0"/>
        <w:adjustRightInd w:val="0"/>
        <w:spacing w:after="0" w:line="360" w:lineRule="auto"/>
        <w:contextualSpacing/>
        <w:rPr>
          <w:b/>
          <w:lang w:val="es-ES"/>
        </w:rPr>
      </w:pPr>
      <w:r w:rsidRPr="00B50CE2">
        <w:rPr>
          <w:rFonts w:eastAsia="Calibri" w:cs="Tahoma"/>
          <w:b/>
          <w:color w:val="000000"/>
          <w:szCs w:val="24"/>
          <w:lang w:val="es-ES" w:eastAsia="es-MX"/>
        </w:rPr>
        <w:t>SEGUNDO</w:t>
      </w:r>
      <w:r w:rsidRPr="00B50CE2">
        <w:rPr>
          <w:rFonts w:eastAsia="Calibri" w:cs="Tahoma"/>
          <w:color w:val="000000"/>
          <w:szCs w:val="24"/>
          <w:lang w:val="es-ES" w:eastAsia="es-MX"/>
        </w:rPr>
        <w:t xml:space="preserve">. </w:t>
      </w:r>
      <w:r w:rsidRPr="00B50CE2">
        <w:rPr>
          <w:b/>
          <w:lang w:val="es-ES"/>
        </w:rPr>
        <w:t>Causales de improcedencia</w:t>
      </w:r>
    </w:p>
    <w:p w14:paraId="528A9F3E" w14:textId="77777777" w:rsidR="006A4B75" w:rsidRPr="00B50CE2" w:rsidRDefault="006A4B75" w:rsidP="00967419">
      <w:pPr>
        <w:spacing w:after="0" w:line="360" w:lineRule="auto"/>
        <w:contextualSpacing/>
        <w:rPr>
          <w:b/>
          <w:lang w:val="es-ES"/>
        </w:rPr>
      </w:pPr>
    </w:p>
    <w:p w14:paraId="2B0BDEAC"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6A3B77" w14:textId="77777777" w:rsidR="006A4B75" w:rsidRPr="00B50CE2" w:rsidRDefault="006A4B75" w:rsidP="00967419">
      <w:pPr>
        <w:spacing w:after="0" w:line="360" w:lineRule="auto"/>
        <w:contextualSpacing/>
        <w:rPr>
          <w:rFonts w:eastAsia="Times New Roman" w:cs="Tahoma"/>
          <w:color w:val="auto"/>
          <w:lang w:eastAsia="es-ES"/>
        </w:rPr>
      </w:pPr>
    </w:p>
    <w:p w14:paraId="6377E293" w14:textId="77777777" w:rsidR="006A4B75" w:rsidRPr="00B50CE2" w:rsidRDefault="006A4B75" w:rsidP="00967419">
      <w:pPr>
        <w:autoSpaceDE w:val="0"/>
        <w:autoSpaceDN w:val="0"/>
        <w:adjustRightInd w:val="0"/>
        <w:spacing w:after="0" w:line="360" w:lineRule="auto"/>
        <w:contextualSpacing/>
        <w:rPr>
          <w:rFonts w:eastAsia="Calibri" w:cs="Tahoma"/>
          <w:color w:val="000000"/>
          <w:lang w:eastAsia="es-MX"/>
        </w:rPr>
      </w:pPr>
      <w:r w:rsidRPr="00B50CE2">
        <w:rPr>
          <w:rFonts w:eastAsia="Calibri" w:cs="Tahoma"/>
          <w:color w:val="000000"/>
          <w:lang w:eastAsia="es-MX"/>
        </w:rPr>
        <w:t xml:space="preserve">En el presente caso, </w:t>
      </w:r>
      <w:r w:rsidRPr="00B50CE2">
        <w:rPr>
          <w:rFonts w:eastAsia="Calibri" w:cs="Tahoma"/>
          <w:b/>
          <w:color w:val="000000"/>
          <w:lang w:eastAsia="es-MX"/>
        </w:rPr>
        <w:t>no se actualiza ninguna de las causales de improcedencia</w:t>
      </w:r>
      <w:r w:rsidRPr="00B50CE2">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093C10E7" w14:textId="77777777" w:rsidR="006A4B75" w:rsidRPr="00B50CE2" w:rsidRDefault="006A4B75" w:rsidP="00967419">
      <w:pPr>
        <w:spacing w:after="0" w:line="360" w:lineRule="auto"/>
        <w:contextualSpacing/>
        <w:rPr>
          <w:rFonts w:eastAsia="Times New Roman" w:cs="Tahoma"/>
          <w:b/>
          <w:bCs/>
          <w:color w:val="auto"/>
          <w:lang w:eastAsia="es-ES"/>
        </w:rPr>
      </w:pPr>
    </w:p>
    <w:p w14:paraId="60611148" w14:textId="77777777" w:rsidR="006A4B75" w:rsidRPr="00B50CE2" w:rsidRDefault="006A4B75" w:rsidP="00967419">
      <w:pPr>
        <w:spacing w:after="0" w:line="360" w:lineRule="auto"/>
        <w:contextualSpacing/>
        <w:rPr>
          <w:rFonts w:eastAsia="Calibri" w:cs="Tahoma"/>
          <w:color w:val="000000"/>
          <w:lang w:eastAsia="es-MX"/>
        </w:rPr>
      </w:pPr>
      <w:r w:rsidRPr="00B50CE2">
        <w:rPr>
          <w:rFonts w:eastAsia="Times New Roman" w:cs="Tahoma"/>
          <w:color w:val="auto"/>
          <w:lang w:eastAsia="es-ES"/>
        </w:rPr>
        <w:t xml:space="preserve">Asimismo, se actualiza la causal de procedencia del Recurso de Revisión señalada en el artículo 179, fracciones IV, </w:t>
      </w:r>
      <w:r w:rsidRPr="00B50CE2">
        <w:rPr>
          <w:rFonts w:eastAsia="Calibri" w:cs="Tahoma"/>
          <w:color w:val="000000"/>
          <w:lang w:eastAsia="es-MX"/>
        </w:rPr>
        <w:t>Ley de Transparencia y Acceso a la Información Pública del Estado de México y Municipios</w:t>
      </w:r>
      <w:r w:rsidRPr="00B50CE2">
        <w:rPr>
          <w:rFonts w:eastAsia="Times New Roman" w:cs="Tahoma"/>
          <w:color w:val="auto"/>
          <w:lang w:eastAsia="es-ES"/>
        </w:rPr>
        <w:t xml:space="preserve">, </w:t>
      </w:r>
      <w:r w:rsidRPr="00B50CE2">
        <w:rPr>
          <w:rFonts w:eastAsia="Calibri" w:cs="Tahoma"/>
          <w:color w:val="000000"/>
          <w:lang w:eastAsia="es-MX"/>
        </w:rPr>
        <w:t>pues el Recurrente se inconformó con la incompetencia manifestada por el Sujeto Obligado.</w:t>
      </w:r>
    </w:p>
    <w:p w14:paraId="06E0ED2C" w14:textId="77777777" w:rsidR="006A4B75" w:rsidRPr="00B50CE2" w:rsidRDefault="006A4B75" w:rsidP="00967419">
      <w:pPr>
        <w:spacing w:after="0" w:line="360" w:lineRule="auto"/>
        <w:contextualSpacing/>
        <w:rPr>
          <w:rFonts w:eastAsia="Times New Roman" w:cs="Tahoma"/>
          <w:b/>
          <w:bCs/>
          <w:color w:val="auto"/>
          <w:szCs w:val="24"/>
          <w:lang w:val="es-ES" w:eastAsia="es-ES"/>
        </w:rPr>
      </w:pPr>
    </w:p>
    <w:p w14:paraId="7DF767AE" w14:textId="77777777" w:rsidR="006A4B75" w:rsidRPr="00B50CE2" w:rsidRDefault="006A4B75" w:rsidP="00967419">
      <w:pPr>
        <w:spacing w:after="0" w:line="360" w:lineRule="auto"/>
        <w:contextualSpacing/>
        <w:rPr>
          <w:rFonts w:eastAsia="Times New Roman" w:cs="Tahoma"/>
          <w:b/>
          <w:bCs/>
          <w:color w:val="auto"/>
          <w:szCs w:val="24"/>
          <w:lang w:val="es-ES" w:eastAsia="es-ES"/>
        </w:rPr>
      </w:pPr>
      <w:r w:rsidRPr="00B50CE2">
        <w:rPr>
          <w:rFonts w:eastAsia="Times New Roman" w:cs="Tahoma"/>
          <w:b/>
          <w:bCs/>
          <w:color w:val="auto"/>
          <w:szCs w:val="24"/>
          <w:lang w:val="es-ES" w:eastAsia="es-ES"/>
        </w:rPr>
        <w:t>TERCERO. Causales de sobreseimiento.</w:t>
      </w:r>
    </w:p>
    <w:p w14:paraId="17516EFB" w14:textId="77777777" w:rsidR="006A4B75" w:rsidRPr="00B50CE2" w:rsidRDefault="006A4B75" w:rsidP="00967419">
      <w:pPr>
        <w:spacing w:after="0" w:line="360" w:lineRule="auto"/>
        <w:contextualSpacing/>
        <w:rPr>
          <w:rFonts w:cs="Tahoma"/>
          <w:lang w:val="es-ES"/>
        </w:rPr>
      </w:pPr>
      <w:r w:rsidRPr="00B50CE2">
        <w:rPr>
          <w:rFonts w:eastAsia="Times New Roman" w:cs="Tahoma"/>
          <w:color w:val="auto"/>
          <w:szCs w:val="24"/>
          <w:lang w:val="es-ES" w:eastAsia="es-ES"/>
        </w:rPr>
        <w:br/>
        <w:t xml:space="preserve">Por ser de previo y especial pronunciamiento, este Instituto analiza si se actualiza alguna causal de sobreseimiento. </w:t>
      </w:r>
      <w:r w:rsidRPr="00B50CE2">
        <w:rPr>
          <w:rFonts w:cs="Tahoma"/>
        </w:rPr>
        <w:t xml:space="preserve">El artículo 192 de la Ley Transparencia y Acceso a la Información Pública del Estado de México y Municipios, señala las causales por las cuales se puede </w:t>
      </w:r>
      <w:r w:rsidRPr="00B50CE2">
        <w:rPr>
          <w:rFonts w:cs="Tahoma"/>
        </w:rPr>
        <w:lastRenderedPageBreak/>
        <w:t xml:space="preserve">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r w:rsidRPr="00B50CE2">
        <w:rPr>
          <w:rFonts w:cs="Tahoma"/>
          <w:bCs/>
          <w:lang w:val="es-ES"/>
        </w:rPr>
        <w:t xml:space="preserve">Por tales motivos, </w:t>
      </w:r>
      <w:r w:rsidRPr="00B50CE2">
        <w:rPr>
          <w:rFonts w:cs="Tahoma"/>
          <w:lang w:val="es-ES"/>
        </w:rPr>
        <w:t xml:space="preserve">se considera procedente entrar al fondo del presente asunto. </w:t>
      </w:r>
    </w:p>
    <w:p w14:paraId="2A1B54E6" w14:textId="77777777" w:rsidR="006A4B75" w:rsidRPr="00B50CE2" w:rsidRDefault="006A4B75" w:rsidP="00967419">
      <w:pPr>
        <w:tabs>
          <w:tab w:val="left" w:pos="4962"/>
        </w:tabs>
        <w:spacing w:after="0" w:line="360" w:lineRule="auto"/>
        <w:contextualSpacing/>
        <w:rPr>
          <w:rFonts w:eastAsia="Calibri" w:cs="Tahoma"/>
          <w:b/>
          <w:iCs/>
          <w:color w:val="auto"/>
          <w:lang w:val="es-ES" w:eastAsia="es-ES_tradnl"/>
        </w:rPr>
      </w:pPr>
    </w:p>
    <w:p w14:paraId="7594BA7E" w14:textId="77777777" w:rsidR="006A4B75" w:rsidRPr="00B50CE2" w:rsidRDefault="006A4B75" w:rsidP="00967419">
      <w:pPr>
        <w:tabs>
          <w:tab w:val="left" w:pos="4962"/>
        </w:tabs>
        <w:spacing w:after="0" w:line="360" w:lineRule="auto"/>
        <w:contextualSpacing/>
        <w:rPr>
          <w:rFonts w:eastAsia="Calibri" w:cs="Tahoma"/>
          <w:b/>
          <w:iCs/>
          <w:color w:val="auto"/>
          <w:lang w:val="es-ES" w:eastAsia="es-ES_tradnl"/>
        </w:rPr>
      </w:pPr>
      <w:r w:rsidRPr="00B50CE2">
        <w:rPr>
          <w:rFonts w:eastAsia="Calibri" w:cs="Tahoma"/>
          <w:b/>
          <w:iCs/>
          <w:color w:val="auto"/>
          <w:lang w:val="es-ES" w:eastAsia="es-ES_tradnl"/>
        </w:rPr>
        <w:t xml:space="preserve">TERCERO. Determinación de la Controversia. </w:t>
      </w:r>
    </w:p>
    <w:p w14:paraId="65C363CA" w14:textId="77777777" w:rsidR="006A4B75" w:rsidRPr="00B50CE2" w:rsidRDefault="006A4B75" w:rsidP="00967419">
      <w:pPr>
        <w:tabs>
          <w:tab w:val="left" w:pos="4962"/>
        </w:tabs>
        <w:spacing w:after="0" w:line="360" w:lineRule="auto"/>
        <w:contextualSpacing/>
        <w:rPr>
          <w:rFonts w:eastAsia="Calibri" w:cs="Tahoma"/>
          <w:b/>
          <w:iCs/>
          <w:color w:val="auto"/>
          <w:lang w:val="es-ES" w:eastAsia="es-ES_tradnl"/>
        </w:rPr>
      </w:pPr>
    </w:p>
    <w:p w14:paraId="368C8ACC" w14:textId="7FBFD49C" w:rsidR="00967419"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Con el objetivo de ilustrar la controversia planteada, resulta conveniente precisar, que una vez realizado el estudio de las constancias que integran el expediente en el que se actúa, se desprende que el Particular requirió la</w:t>
      </w:r>
      <w:r w:rsidR="00082C29" w:rsidRPr="00B50CE2">
        <w:rPr>
          <w:rFonts w:eastAsia="Times New Roman" w:cs="Tahoma"/>
          <w:color w:val="auto"/>
          <w:lang w:eastAsia="es-ES"/>
        </w:rPr>
        <w:t>s credenciales para votar emitidas durante el dos mil veintidós</w:t>
      </w:r>
      <w:r w:rsidR="00967419" w:rsidRPr="00B50CE2">
        <w:rPr>
          <w:rFonts w:eastAsia="Times New Roman" w:cs="Tahoma"/>
          <w:color w:val="auto"/>
          <w:lang w:eastAsia="es-ES"/>
        </w:rPr>
        <w:t>.</w:t>
      </w:r>
    </w:p>
    <w:p w14:paraId="2652ECD0" w14:textId="77777777" w:rsidR="00967419" w:rsidRPr="00B50CE2" w:rsidRDefault="00967419" w:rsidP="00967419">
      <w:pPr>
        <w:spacing w:after="0" w:line="360" w:lineRule="auto"/>
        <w:contextualSpacing/>
        <w:rPr>
          <w:rFonts w:eastAsia="Times New Roman" w:cs="Tahoma"/>
          <w:color w:val="auto"/>
          <w:lang w:eastAsia="es-ES"/>
        </w:rPr>
      </w:pPr>
    </w:p>
    <w:p w14:paraId="7A8A8D93" w14:textId="13B16194" w:rsidR="006A4B75" w:rsidRPr="00B50CE2" w:rsidRDefault="00967419"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E</w:t>
      </w:r>
      <w:r w:rsidR="006A4B75" w:rsidRPr="00B50CE2">
        <w:rPr>
          <w:rFonts w:eastAsia="Times New Roman" w:cs="Times New Roman"/>
          <w:color w:val="auto"/>
          <w:lang w:eastAsia="es-ES"/>
        </w:rPr>
        <w:t>n respuesta, el Sujeto Obligado, se declaró incompetente para conocer de la información peticionada y orientó al Particular a dirigir su solicitud ante el Instituto</w:t>
      </w:r>
      <w:r w:rsidR="00082C29" w:rsidRPr="00B50CE2">
        <w:rPr>
          <w:rFonts w:eastAsia="Times New Roman" w:cs="Times New Roman"/>
          <w:color w:val="auto"/>
          <w:lang w:eastAsia="es-ES"/>
        </w:rPr>
        <w:t xml:space="preserve"> Nacional Electoral</w:t>
      </w:r>
      <w:r w:rsidR="006A4B75" w:rsidRPr="00B50CE2">
        <w:rPr>
          <w:rFonts w:eastAsia="Times New Roman" w:cs="Times New Roman"/>
          <w:color w:val="auto"/>
          <w:lang w:eastAsia="es-ES"/>
        </w:rPr>
        <w:t xml:space="preserve">; ante dicha circunstancia, la parte Recurrente se inconformó con la incompetencia manifestada, </w:t>
      </w:r>
      <w:r w:rsidR="006A4B75" w:rsidRPr="00B50CE2">
        <w:rPr>
          <w:rFonts w:eastAsia="Calibri" w:cs="Tahoma"/>
          <w:bCs/>
          <w:iCs/>
          <w:lang w:val="es-ES"/>
        </w:rPr>
        <w:t>lo cual actualiza el supuesto previsto en el artículo 179, fracción IV, de la Ley de Transparencia y Acceso a la Información Pública del Estado de México y Municipios, al señalar que</w:t>
      </w:r>
      <w:r w:rsidR="00EB18F0" w:rsidRPr="00B50CE2">
        <w:rPr>
          <w:rFonts w:eastAsia="Calibri" w:cs="Tahoma"/>
          <w:bCs/>
          <w:iCs/>
          <w:lang w:val="es-ES"/>
        </w:rPr>
        <w:t xml:space="preserve"> </w:t>
      </w:r>
      <w:r w:rsidR="0011039C" w:rsidRPr="00B50CE2">
        <w:rPr>
          <w:rFonts w:eastAsia="Calibri" w:cs="Tahoma"/>
          <w:bCs/>
          <w:iCs/>
          <w:lang w:val="es-ES"/>
        </w:rPr>
        <w:t>no se le había entregado el Acuerdo emitido por el Comité de Transparencia</w:t>
      </w:r>
      <w:r w:rsidR="006A4B75" w:rsidRPr="00B50CE2">
        <w:rPr>
          <w:rFonts w:eastAsia="Calibri" w:cs="Tahoma"/>
          <w:bCs/>
          <w:iCs/>
          <w:shd w:val="clear" w:color="auto" w:fill="FFFFFF"/>
        </w:rPr>
        <w:t>.</w:t>
      </w:r>
      <w:r w:rsidR="006A4B75" w:rsidRPr="00B50CE2">
        <w:rPr>
          <w:rFonts w:eastAsia="Calibri" w:cs="Tahoma"/>
          <w:bCs/>
          <w:iCs/>
          <w:color w:val="000000"/>
          <w:lang w:val="es-ES_tradnl"/>
        </w:rPr>
        <w:t xml:space="preserve"> </w:t>
      </w:r>
      <w:r w:rsidR="006A4B75" w:rsidRPr="00B50CE2">
        <w:rPr>
          <w:rFonts w:eastAsia="Calibri" w:cs="Tahoma"/>
          <w:lang w:val="es-ES"/>
        </w:rPr>
        <w:t>Así las cosas, una vez admitido y notificado el Recurso de Revisión a las partes, estas fueron omisas en emitir manifestaciones o alegatos.</w:t>
      </w:r>
    </w:p>
    <w:p w14:paraId="30662C4D" w14:textId="77777777" w:rsidR="006A4B75" w:rsidRPr="00B50CE2" w:rsidRDefault="006A4B75" w:rsidP="00967419">
      <w:pPr>
        <w:spacing w:after="0" w:line="360" w:lineRule="auto"/>
        <w:contextualSpacing/>
        <w:rPr>
          <w:rFonts w:eastAsia="Times New Roman" w:cs="Tahoma"/>
          <w:iCs/>
          <w:color w:val="auto"/>
          <w:shd w:val="clear" w:color="auto" w:fill="FFFFFF"/>
          <w:lang w:val="es-ES" w:eastAsia="es-ES"/>
        </w:rPr>
      </w:pPr>
    </w:p>
    <w:p w14:paraId="5ABE4F07" w14:textId="77777777" w:rsidR="006A4B75" w:rsidRPr="00B50CE2" w:rsidRDefault="006A4B75" w:rsidP="00967419">
      <w:pPr>
        <w:spacing w:after="0" w:line="360" w:lineRule="auto"/>
        <w:contextualSpacing/>
        <w:rPr>
          <w:rFonts w:eastAsia="Times New Roman" w:cs="Times New Roman"/>
          <w:color w:val="auto"/>
          <w:lang w:eastAsia="es-ES"/>
        </w:rPr>
      </w:pPr>
      <w:r w:rsidRPr="00B50CE2">
        <w:rPr>
          <w:rFonts w:eastAsia="Times New Roman" w:cs="Times New Roman"/>
          <w:color w:val="auto"/>
          <w:lang w:eastAsia="es-ES"/>
        </w:rPr>
        <w:t xml:space="preserve">Lo anterior, se desprende de las documentales que obran en el expediente de referencia, materia de la presente resolución, consistentes en: la solicitud de acceso a la información; la respuesta proporcionada y el escrito </w:t>
      </w:r>
      <w:proofErr w:type="spellStart"/>
      <w:r w:rsidRPr="00B50CE2">
        <w:rPr>
          <w:rFonts w:eastAsia="Times New Roman" w:cs="Times New Roman"/>
          <w:color w:val="auto"/>
          <w:lang w:eastAsia="es-ES"/>
        </w:rPr>
        <w:t>recursal</w:t>
      </w:r>
      <w:proofErr w:type="spellEnd"/>
      <w:r w:rsidRPr="00B50CE2">
        <w:rPr>
          <w:rFonts w:eastAsia="Times New Roman" w:cs="Times New Roman"/>
          <w:color w:val="auto"/>
          <w:lang w:eastAsia="es-ES"/>
        </w:rPr>
        <w:t xml:space="preserve">; instrumentales que se toman en cuenta a efecto de resolver el presente medio de impugnación, conforme a lo dispuesto por el artículo 185, </w:t>
      </w:r>
      <w:r w:rsidRPr="00B50CE2">
        <w:rPr>
          <w:rFonts w:eastAsia="Times New Roman" w:cs="Times New Roman"/>
          <w:color w:val="auto"/>
          <w:lang w:eastAsia="es-ES"/>
        </w:rPr>
        <w:lastRenderedPageBreak/>
        <w:t xml:space="preserve">fracción IV, de la Ley de Transparencia y Acceso a la Información Pública del Estado de México y Municipios. </w:t>
      </w:r>
    </w:p>
    <w:p w14:paraId="51EA9D34" w14:textId="77777777" w:rsidR="006A4B75" w:rsidRPr="00B50CE2" w:rsidRDefault="006A4B75" w:rsidP="00967419">
      <w:pPr>
        <w:spacing w:after="0" w:line="360" w:lineRule="auto"/>
        <w:contextualSpacing/>
        <w:rPr>
          <w:rFonts w:eastAsia="Times New Roman" w:cs="Tahoma"/>
          <w:b/>
          <w:color w:val="auto"/>
          <w:lang w:eastAsia="es-ES"/>
        </w:rPr>
      </w:pPr>
    </w:p>
    <w:p w14:paraId="309DAFAE" w14:textId="77777777" w:rsidR="006A4B75" w:rsidRPr="00B50CE2" w:rsidRDefault="006A4B75" w:rsidP="00967419">
      <w:pPr>
        <w:spacing w:after="0" w:line="360" w:lineRule="auto"/>
        <w:contextualSpacing/>
        <w:rPr>
          <w:rFonts w:eastAsia="Times New Roman" w:cs="Tahoma"/>
          <w:b/>
          <w:color w:val="auto"/>
          <w:lang w:eastAsia="es-ES"/>
        </w:rPr>
      </w:pPr>
      <w:r w:rsidRPr="00B50CE2">
        <w:rPr>
          <w:rFonts w:eastAsia="Times New Roman" w:cs="Tahoma"/>
          <w:b/>
          <w:color w:val="auto"/>
          <w:lang w:eastAsia="es-ES"/>
        </w:rPr>
        <w:t>CUARTO. Marco normativo aplicable en materia de transparencia y acceso a la información pública.</w:t>
      </w:r>
    </w:p>
    <w:p w14:paraId="2C696D3F" w14:textId="77777777" w:rsidR="006A4B75" w:rsidRPr="00B50CE2" w:rsidRDefault="006A4B75" w:rsidP="00967419">
      <w:pPr>
        <w:spacing w:after="0" w:line="360" w:lineRule="auto"/>
        <w:contextualSpacing/>
        <w:rPr>
          <w:rFonts w:eastAsia="Times New Roman" w:cs="Tahoma"/>
          <w:b/>
          <w:color w:val="auto"/>
          <w:lang w:eastAsia="es-ES"/>
        </w:rPr>
      </w:pPr>
    </w:p>
    <w:p w14:paraId="6390C4DA"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3DCDD86" w14:textId="77777777" w:rsidR="006A4B75" w:rsidRPr="00B50CE2" w:rsidRDefault="006A4B75" w:rsidP="00967419">
      <w:pPr>
        <w:spacing w:after="0" w:line="360" w:lineRule="auto"/>
        <w:contextualSpacing/>
        <w:rPr>
          <w:rFonts w:eastAsia="Times New Roman" w:cs="Tahoma"/>
          <w:color w:val="auto"/>
          <w:lang w:eastAsia="es-ES"/>
        </w:rPr>
      </w:pPr>
    </w:p>
    <w:p w14:paraId="0B2B40F7"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1567EAB2" w14:textId="77777777" w:rsidR="006A4B75" w:rsidRPr="00B50CE2" w:rsidRDefault="006A4B75" w:rsidP="00967419">
      <w:pPr>
        <w:spacing w:after="0" w:line="360" w:lineRule="auto"/>
        <w:contextualSpacing/>
        <w:rPr>
          <w:rFonts w:eastAsia="Times New Roman" w:cs="Tahoma"/>
          <w:color w:val="auto"/>
          <w:lang w:eastAsia="es-ES"/>
        </w:rPr>
      </w:pPr>
    </w:p>
    <w:p w14:paraId="4EA37386"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F93B2BE" w14:textId="77777777" w:rsidR="006A4B75" w:rsidRPr="00B50CE2" w:rsidRDefault="006A4B75" w:rsidP="00967419">
      <w:pPr>
        <w:spacing w:after="0" w:line="360" w:lineRule="auto"/>
        <w:contextualSpacing/>
        <w:rPr>
          <w:rFonts w:eastAsia="Times New Roman" w:cs="Tahoma"/>
          <w:color w:val="auto"/>
          <w:lang w:eastAsia="es-ES"/>
        </w:rPr>
      </w:pPr>
    </w:p>
    <w:p w14:paraId="103D25C7"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14:paraId="14DEF56C" w14:textId="77777777" w:rsidR="006A4B75" w:rsidRPr="00B50CE2" w:rsidRDefault="006A4B75" w:rsidP="00967419">
      <w:pPr>
        <w:spacing w:after="0" w:line="360" w:lineRule="auto"/>
        <w:contextualSpacing/>
        <w:rPr>
          <w:rFonts w:eastAsia="Times New Roman" w:cs="Tahoma"/>
          <w:color w:val="auto"/>
          <w:lang w:eastAsia="es-ES"/>
        </w:rPr>
      </w:pPr>
    </w:p>
    <w:p w14:paraId="4879F791"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El artículo 12, que, quienes generen, recopilen, administren, manejen, procesen, archiven o conserven información pública serán responsables de la misma.</w:t>
      </w:r>
    </w:p>
    <w:p w14:paraId="0A1B4C85" w14:textId="77777777" w:rsidR="006A4B75" w:rsidRPr="00B50CE2" w:rsidRDefault="006A4B75" w:rsidP="00967419">
      <w:pPr>
        <w:spacing w:after="0" w:line="360" w:lineRule="auto"/>
        <w:contextualSpacing/>
        <w:rPr>
          <w:rFonts w:eastAsia="Times New Roman" w:cs="Tahoma"/>
          <w:color w:val="auto"/>
          <w:lang w:eastAsia="es-ES"/>
        </w:rPr>
      </w:pPr>
    </w:p>
    <w:p w14:paraId="545351CC"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B75E3E4" w14:textId="77777777" w:rsidR="006A4B75" w:rsidRPr="00B50CE2" w:rsidRDefault="006A4B75" w:rsidP="00967419">
      <w:pPr>
        <w:spacing w:after="0" w:line="360" w:lineRule="auto"/>
        <w:contextualSpacing/>
        <w:rPr>
          <w:rFonts w:eastAsia="Times New Roman" w:cs="Tahoma"/>
          <w:color w:val="auto"/>
          <w:lang w:eastAsia="es-ES"/>
        </w:rPr>
      </w:pPr>
    </w:p>
    <w:p w14:paraId="14B46112" w14:textId="77777777" w:rsidR="006A4B75" w:rsidRPr="00B50CE2" w:rsidRDefault="006A4B75" w:rsidP="00967419">
      <w:pPr>
        <w:spacing w:after="0" w:line="360" w:lineRule="auto"/>
        <w:contextualSpacing/>
        <w:rPr>
          <w:rFonts w:eastAsia="Times New Roman" w:cs="Tahoma"/>
          <w:color w:val="auto"/>
          <w:lang w:eastAsia="es-ES"/>
        </w:rPr>
      </w:pPr>
      <w:r w:rsidRPr="00B50CE2">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D6F05F6" w14:textId="77777777" w:rsidR="006A4B75" w:rsidRPr="00B50CE2" w:rsidRDefault="006A4B75" w:rsidP="00967419">
      <w:pPr>
        <w:spacing w:after="0" w:line="360" w:lineRule="auto"/>
        <w:contextualSpacing/>
        <w:rPr>
          <w:rFonts w:eastAsia="Times New Roman" w:cs="Tahoma"/>
          <w:b/>
          <w:color w:val="auto"/>
          <w:lang w:eastAsia="es-ES"/>
        </w:rPr>
      </w:pPr>
    </w:p>
    <w:p w14:paraId="47446A4F" w14:textId="77777777" w:rsidR="006A4B75" w:rsidRPr="00B50CE2" w:rsidRDefault="006A4B75" w:rsidP="00967419">
      <w:pPr>
        <w:spacing w:after="0" w:line="360" w:lineRule="auto"/>
        <w:contextualSpacing/>
        <w:rPr>
          <w:rFonts w:eastAsia="Times New Roman" w:cs="Tahoma"/>
          <w:b/>
          <w:color w:val="auto"/>
          <w:lang w:eastAsia="es-ES"/>
        </w:rPr>
      </w:pPr>
      <w:r w:rsidRPr="00B50CE2">
        <w:rPr>
          <w:rFonts w:eastAsia="Times New Roman" w:cs="Tahoma"/>
          <w:b/>
          <w:color w:val="auto"/>
          <w:lang w:eastAsia="es-ES"/>
        </w:rPr>
        <w:t>QUINTO. Estudio de Fondo.</w:t>
      </w:r>
    </w:p>
    <w:p w14:paraId="26AF3E87" w14:textId="77777777" w:rsidR="006A4B75" w:rsidRPr="00B50CE2" w:rsidRDefault="006A4B75" w:rsidP="00967419">
      <w:pPr>
        <w:spacing w:after="0" w:line="360" w:lineRule="auto"/>
        <w:contextualSpacing/>
        <w:rPr>
          <w:rFonts w:eastAsia="Times New Roman" w:cs="Tahoma"/>
          <w:color w:val="auto"/>
          <w:lang w:eastAsia="es-ES"/>
        </w:rPr>
      </w:pPr>
    </w:p>
    <w:p w14:paraId="2BFE951D" w14:textId="204BFB91" w:rsidR="006A4B75" w:rsidRPr="00B50CE2" w:rsidRDefault="006A4B75" w:rsidP="00967419">
      <w:pPr>
        <w:spacing w:after="0" w:line="360" w:lineRule="auto"/>
        <w:contextualSpacing/>
        <w:rPr>
          <w:rFonts w:cs="Tahoma"/>
          <w:lang w:val="es-ES"/>
        </w:rPr>
      </w:pPr>
      <w:r w:rsidRPr="00B50CE2">
        <w:rPr>
          <w:rFonts w:cs="Tahoma"/>
          <w:lang w:val="es-ES"/>
        </w:rPr>
        <w:t xml:space="preserve">Expuestas las posturas de las partes, se procede analizar la incompetencia manifestada por el Sujeto Obligado, para conocer de la información referente a las </w:t>
      </w:r>
      <w:r w:rsidR="00082C29" w:rsidRPr="00B50CE2">
        <w:rPr>
          <w:rFonts w:cs="Tahoma"/>
          <w:lang w:val="es-ES"/>
        </w:rPr>
        <w:t>credenciales para votar</w:t>
      </w:r>
      <w:r w:rsidRPr="00B50CE2">
        <w:rPr>
          <w:rFonts w:cs="Tahoma"/>
          <w:lang w:val="es-ES"/>
        </w:rPr>
        <w:t>.</w:t>
      </w:r>
    </w:p>
    <w:p w14:paraId="60AB4BBB" w14:textId="77777777" w:rsidR="006A4B75" w:rsidRPr="00B50CE2" w:rsidRDefault="006A4B75" w:rsidP="00967419">
      <w:pPr>
        <w:spacing w:after="0" w:line="360" w:lineRule="auto"/>
        <w:contextualSpacing/>
        <w:rPr>
          <w:rFonts w:eastAsia="Times New Roman" w:cs="Times New Roman"/>
          <w:color w:val="auto"/>
          <w:lang w:eastAsia="es-ES"/>
        </w:rPr>
      </w:pPr>
    </w:p>
    <w:p w14:paraId="268528BD" w14:textId="77777777" w:rsidR="006A4B75" w:rsidRPr="00B50CE2" w:rsidRDefault="006A4B75" w:rsidP="00967419">
      <w:pPr>
        <w:spacing w:after="0" w:line="360" w:lineRule="auto"/>
        <w:contextualSpacing/>
        <w:rPr>
          <w:rFonts w:eastAsia="Calibri" w:cs="Times New Roman"/>
          <w:b/>
        </w:rPr>
      </w:pPr>
      <w:r w:rsidRPr="00B50CE2">
        <w:rPr>
          <w:rFonts w:eastAsia="Calibri" w:cs="Times New Roman"/>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B50CE2">
        <w:rPr>
          <w:rFonts w:eastAsia="Calibri" w:cs="Times New Roman"/>
          <w:b/>
        </w:rPr>
        <w:t>cuando la misma no sea competencia del sujeto obligado ante el cual se formule la solicitud de acceso.</w:t>
      </w:r>
    </w:p>
    <w:p w14:paraId="5D78B266" w14:textId="77777777" w:rsidR="006A4B75" w:rsidRPr="00B50CE2" w:rsidRDefault="006A4B75" w:rsidP="00967419">
      <w:pPr>
        <w:spacing w:after="0" w:line="360" w:lineRule="auto"/>
        <w:contextualSpacing/>
        <w:rPr>
          <w:rFonts w:eastAsia="Calibri" w:cs="Times New Roman"/>
          <w:b/>
        </w:rPr>
      </w:pPr>
    </w:p>
    <w:p w14:paraId="7A60E7CA" w14:textId="77777777" w:rsidR="006A4B75" w:rsidRPr="00B50CE2" w:rsidRDefault="006A4B75" w:rsidP="00967419">
      <w:pPr>
        <w:spacing w:after="0" w:line="360" w:lineRule="auto"/>
        <w:contextualSpacing/>
        <w:rPr>
          <w:rFonts w:eastAsia="Calibri" w:cs="Times New Roman"/>
        </w:rPr>
      </w:pPr>
      <w:r w:rsidRPr="00B50CE2">
        <w:rPr>
          <w:rFonts w:eastAsia="Calibri" w:cs="Times New Roman"/>
        </w:rPr>
        <w:t xml:space="preserve">Asimismo, que los Comités de Transparencia tienen entre sus atribuciones confirmar, modificar o revocar la </w:t>
      </w:r>
      <w:r w:rsidRPr="00B50CE2">
        <w:rPr>
          <w:rFonts w:eastAsia="Calibri" w:cs="Times New Roman"/>
          <w:b/>
        </w:rPr>
        <w:t>declaración de incompetencia</w:t>
      </w:r>
      <w:r w:rsidRPr="00B50CE2">
        <w:rPr>
          <w:rFonts w:eastAsia="Calibri" w:cs="Times New Roman"/>
        </w:rPr>
        <w:t xml:space="preserve"> que realicen los titulares de las unidades administrativas.</w:t>
      </w:r>
    </w:p>
    <w:p w14:paraId="72A9306F" w14:textId="77777777" w:rsidR="006A4B75" w:rsidRPr="00B50CE2" w:rsidRDefault="006A4B75" w:rsidP="00967419">
      <w:pPr>
        <w:spacing w:after="0" w:line="360" w:lineRule="auto"/>
        <w:contextualSpacing/>
        <w:rPr>
          <w:rFonts w:eastAsia="Calibri" w:cs="Times New Roman"/>
        </w:rPr>
      </w:pPr>
    </w:p>
    <w:p w14:paraId="5FB3FC7F" w14:textId="77777777" w:rsidR="006A4B75" w:rsidRPr="00B50CE2" w:rsidRDefault="006A4B75" w:rsidP="00967419">
      <w:pPr>
        <w:spacing w:after="0" w:line="360" w:lineRule="auto"/>
        <w:contextualSpacing/>
        <w:rPr>
          <w:rFonts w:eastAsia="Calibri" w:cs="Times New Roman"/>
        </w:rPr>
      </w:pPr>
      <w:r w:rsidRPr="00B50CE2">
        <w:rPr>
          <w:rFonts w:eastAsia="Calibri" w:cs="Times New Roman"/>
        </w:rPr>
        <w:t xml:space="preserve">En esa tesitura, cuando las Unidades de Transparencia determinen </w:t>
      </w:r>
      <w:r w:rsidRPr="00B50CE2">
        <w:rPr>
          <w:rFonts w:eastAsia="Calibri" w:cs="Times New Roman"/>
          <w:b/>
        </w:rPr>
        <w:t>la notoria incompetencia</w:t>
      </w:r>
      <w:r w:rsidRPr="00B50CE2">
        <w:rPr>
          <w:rFonts w:eastAsia="Calibri" w:cs="Times New Roman"/>
        </w:rPr>
        <w:t xml:space="preserve"> por parte de los sujetos obligados deberán comunicar al solicitante la misma dentro de los </w:t>
      </w:r>
      <w:r w:rsidRPr="00B50CE2">
        <w:rPr>
          <w:rFonts w:eastAsia="Calibri" w:cs="Times New Roman"/>
        </w:rPr>
        <w:lastRenderedPageBreak/>
        <w:t xml:space="preserve">tres días posteriores a la recepción de la solicitud, lo cual no aconteció, al haber transcurrido en exceso dicho término, es decir el veintinueve de noviembre de dos mil veintidós. </w:t>
      </w:r>
    </w:p>
    <w:p w14:paraId="16EA7CD0" w14:textId="77777777" w:rsidR="006A4B75" w:rsidRPr="00B50CE2" w:rsidRDefault="006A4B75" w:rsidP="00967419">
      <w:pPr>
        <w:spacing w:after="0" w:line="360" w:lineRule="auto"/>
        <w:contextualSpacing/>
        <w:rPr>
          <w:rFonts w:eastAsia="Calibri" w:cs="Times New Roman"/>
        </w:rPr>
      </w:pPr>
    </w:p>
    <w:p w14:paraId="3CC307E3" w14:textId="77777777" w:rsidR="006A4B75" w:rsidRPr="00B50CE2" w:rsidRDefault="006A4B75" w:rsidP="00967419">
      <w:pPr>
        <w:spacing w:after="0" w:line="360" w:lineRule="auto"/>
        <w:contextualSpacing/>
        <w:rPr>
          <w:rFonts w:eastAsia="Calibri" w:cs="Times New Roman"/>
          <w:bCs/>
        </w:rPr>
      </w:pPr>
      <w:r w:rsidRPr="00B50CE2">
        <w:rPr>
          <w:rFonts w:eastAsia="Calibri" w:cs="Times New Roman"/>
        </w:rPr>
        <w:t>Como se logra observar, si bien la Ley de la materia, prevé el supuesto de incompetencia para que los sujetos obligados den atención a solitudes de información, también lo es, que no se precisa en que consiste dicho concepto; sobre dicha situación</w:t>
      </w:r>
      <w:r w:rsidRPr="00B50CE2">
        <w:rPr>
          <w:rFonts w:eastAsia="Calibri" w:cs="Times New Roman"/>
          <w:lang w:val="es-ES_tradnl"/>
        </w:rPr>
        <w:t xml:space="preserve">, </w:t>
      </w:r>
      <w:r w:rsidRPr="00B50CE2">
        <w:rPr>
          <w:rFonts w:eastAsia="Calibri" w:cs="Times New Roman"/>
          <w:bCs/>
        </w:rPr>
        <w:t>según Cabanellas, Guillermo (1993), en el “Diccionario Jurídico Elemental” (p. 32 y 161), precisó los siguientes conceptos:</w:t>
      </w:r>
    </w:p>
    <w:p w14:paraId="21125E84" w14:textId="77777777" w:rsidR="006A4B75" w:rsidRPr="00B50CE2" w:rsidRDefault="006A4B75" w:rsidP="00967419">
      <w:pPr>
        <w:spacing w:after="0" w:line="360" w:lineRule="auto"/>
        <w:contextualSpacing/>
        <w:rPr>
          <w:rFonts w:eastAsia="Calibri" w:cs="Times New Roman"/>
          <w:bCs/>
        </w:rPr>
      </w:pPr>
    </w:p>
    <w:p w14:paraId="58C0B9A1" w14:textId="5719C4C2" w:rsidR="006A4B75" w:rsidRPr="00B50CE2" w:rsidRDefault="006A4B75" w:rsidP="00967419">
      <w:pPr>
        <w:numPr>
          <w:ilvl w:val="0"/>
          <w:numId w:val="1"/>
        </w:numPr>
        <w:spacing w:after="0" w:line="360" w:lineRule="auto"/>
        <w:contextualSpacing/>
        <w:jc w:val="left"/>
        <w:rPr>
          <w:rFonts w:eastAsia="Calibri" w:cs="Times New Roman"/>
          <w:bCs/>
        </w:rPr>
      </w:pPr>
      <w:r w:rsidRPr="00B50CE2">
        <w:rPr>
          <w:rFonts w:eastAsia="Calibri" w:cs="Times New Roman"/>
          <w:b/>
          <w:bCs/>
        </w:rPr>
        <w:t xml:space="preserve">Competencia: </w:t>
      </w:r>
      <w:r w:rsidRPr="00B50CE2">
        <w:rPr>
          <w:rFonts w:eastAsia="Calibri" w:cs="Times New Roman"/>
          <w:bCs/>
        </w:rPr>
        <w:t>La capacidad de una autoridad para conocer sobre una materia o asunto.</w:t>
      </w:r>
    </w:p>
    <w:p w14:paraId="129E39DF" w14:textId="77777777" w:rsidR="00270486" w:rsidRPr="00B50CE2" w:rsidRDefault="00270486" w:rsidP="00270486">
      <w:pPr>
        <w:spacing w:after="0" w:line="360" w:lineRule="auto"/>
        <w:ind w:left="780"/>
        <w:contextualSpacing/>
        <w:jc w:val="left"/>
        <w:rPr>
          <w:rFonts w:eastAsia="Calibri" w:cs="Times New Roman"/>
          <w:bCs/>
        </w:rPr>
      </w:pPr>
    </w:p>
    <w:p w14:paraId="749E40DC" w14:textId="77777777" w:rsidR="006A4B75" w:rsidRPr="00B50CE2" w:rsidRDefault="006A4B75" w:rsidP="00967419">
      <w:pPr>
        <w:numPr>
          <w:ilvl w:val="0"/>
          <w:numId w:val="1"/>
        </w:numPr>
        <w:spacing w:after="0" w:line="360" w:lineRule="auto"/>
        <w:contextualSpacing/>
        <w:jc w:val="left"/>
        <w:rPr>
          <w:rFonts w:eastAsia="Calibri" w:cs="Times New Roman"/>
          <w:bCs/>
        </w:rPr>
      </w:pPr>
      <w:r w:rsidRPr="00B50CE2">
        <w:rPr>
          <w:rFonts w:eastAsia="Calibri" w:cs="Times New Roman"/>
          <w:b/>
          <w:bCs/>
        </w:rPr>
        <w:t>Incompetencia:</w:t>
      </w:r>
      <w:r w:rsidRPr="00B50CE2">
        <w:rPr>
          <w:rFonts w:eastAsia="Calibri" w:cs="Times New Roman"/>
          <w:bCs/>
        </w:rPr>
        <w:t xml:space="preserve"> Falta de Competencia.</w:t>
      </w:r>
    </w:p>
    <w:p w14:paraId="762B1CEC" w14:textId="77777777" w:rsidR="006A4B75" w:rsidRPr="00B50CE2" w:rsidRDefault="006A4B75" w:rsidP="00967419">
      <w:pPr>
        <w:spacing w:after="0" w:line="360" w:lineRule="auto"/>
        <w:contextualSpacing/>
        <w:rPr>
          <w:rFonts w:eastAsia="Calibri" w:cs="Times New Roman"/>
        </w:rPr>
      </w:pPr>
    </w:p>
    <w:p w14:paraId="6F01843D" w14:textId="77777777" w:rsidR="006A4B75" w:rsidRPr="00B50CE2" w:rsidRDefault="006A4B75" w:rsidP="00967419">
      <w:pPr>
        <w:spacing w:after="0" w:line="360" w:lineRule="auto"/>
        <w:contextualSpacing/>
        <w:rPr>
          <w:rFonts w:eastAsia="Calibri" w:cs="Times New Roman"/>
        </w:rPr>
      </w:pPr>
      <w:r w:rsidRPr="00B50CE2">
        <w:rPr>
          <w:rFonts w:eastAsia="Calibri" w:cs="Times New Roman"/>
          <w:lang w:val="es-ES_tradnl"/>
        </w:rPr>
        <w:t xml:space="preserve">Por lo que, </w:t>
      </w:r>
      <w:r w:rsidRPr="00B50CE2">
        <w:rPr>
          <w:rFonts w:eastAsia="Calibri" w:cs="Times New Roman"/>
          <w:b/>
          <w:lang w:val="es-ES_tradnl"/>
        </w:rPr>
        <w:t>la incompetencia</w:t>
      </w:r>
      <w:r w:rsidRPr="00B50CE2">
        <w:rPr>
          <w:rFonts w:eastAsia="Calibri" w:cs="Times New Roman"/>
          <w:lang w:val="es-ES_tradnl"/>
        </w:rPr>
        <w:t>, radica en la incapacidad de una autoridad para conocer de un tema o asunto; en el mismo sentido, conviene traer a cuenta tesis</w:t>
      </w:r>
      <w:r w:rsidRPr="00B50CE2">
        <w:rPr>
          <w:rFonts w:eastAsia="Calibri" w:cs="Times New Roman"/>
        </w:rPr>
        <w:t xml:space="preserve"> aislada número III.2o.P.11 K, publicada en el Semanario Judicial de la Federación y su Gaceta, Novena Época, Tomo XV, Mayo de 2002, Pág. 1243, ya que precisa lo siguiente: </w:t>
      </w:r>
    </w:p>
    <w:p w14:paraId="283B17C4" w14:textId="77777777" w:rsidR="006A4B75" w:rsidRPr="00B50CE2" w:rsidRDefault="006A4B75" w:rsidP="00967419">
      <w:pPr>
        <w:spacing w:after="0" w:line="360" w:lineRule="auto"/>
        <w:contextualSpacing/>
        <w:rPr>
          <w:rFonts w:eastAsia="Calibri" w:cs="Times New Roman"/>
          <w:lang w:val="es-ES_tradnl"/>
        </w:rPr>
      </w:pPr>
    </w:p>
    <w:p w14:paraId="7E0B7A90" w14:textId="77777777" w:rsidR="006A4B75" w:rsidRPr="00B50CE2" w:rsidRDefault="006A4B75" w:rsidP="00967419">
      <w:pPr>
        <w:spacing w:after="0" w:line="360" w:lineRule="auto"/>
        <w:ind w:left="567" w:right="567"/>
        <w:contextualSpacing/>
        <w:rPr>
          <w:rFonts w:eastAsia="Calibri" w:cs="Times New Roman"/>
          <w:i/>
          <w:sz w:val="20"/>
          <w:szCs w:val="20"/>
          <w:lang w:val="es-ES_tradnl"/>
        </w:rPr>
      </w:pPr>
      <w:r w:rsidRPr="00B50CE2">
        <w:rPr>
          <w:rFonts w:eastAsia="Calibri" w:cs="Times New Roman"/>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B50CE2">
        <w:rPr>
          <w:rFonts w:eastAsia="Calibri" w:cs="Times New Roman"/>
          <w:i/>
          <w:sz w:val="20"/>
          <w:szCs w:val="20"/>
          <w:lang w:val="es-ES_tradnl"/>
        </w:rPr>
        <w:t>El artículo </w:t>
      </w:r>
      <w:hyperlink r:id="rId7" w:history="1">
        <w:r w:rsidRPr="00B50CE2">
          <w:rPr>
            <w:rFonts w:eastAsia="Calibri" w:cs="Times New Roman"/>
            <w:i/>
            <w:color w:val="0563C1" w:themeColor="hyperlink"/>
            <w:sz w:val="20"/>
            <w:szCs w:val="20"/>
            <w:u w:val="single"/>
            <w:lang w:val="es-ES_tradnl"/>
          </w:rPr>
          <w:t>16 constitucional</w:t>
        </w:r>
      </w:hyperlink>
      <w:r w:rsidRPr="00B50CE2">
        <w:rPr>
          <w:rFonts w:eastAsia="Calibri" w:cs="Times New Roman"/>
          <w:i/>
          <w:sz w:val="20"/>
          <w:szCs w:val="20"/>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w:t>
      </w:r>
      <w:r w:rsidRPr="00B50CE2">
        <w:rPr>
          <w:rFonts w:eastAsia="Calibri" w:cs="Times New Roman"/>
          <w:i/>
          <w:sz w:val="20"/>
          <w:szCs w:val="20"/>
          <w:lang w:val="es-ES_tradnl"/>
        </w:rPr>
        <w:lastRenderedPageBreak/>
        <w:t>límites fijados para la actuación del órgano frente a los particulares, ya que consagra una garantía individual y no un control interno de la organización administrativa.”</w:t>
      </w:r>
    </w:p>
    <w:p w14:paraId="1969E7A4" w14:textId="77777777" w:rsidR="006A4B75" w:rsidRPr="00B50CE2" w:rsidRDefault="006A4B75" w:rsidP="00967419">
      <w:pPr>
        <w:spacing w:after="0" w:line="360" w:lineRule="auto"/>
        <w:contextualSpacing/>
        <w:rPr>
          <w:rFonts w:eastAsia="Calibri" w:cs="Times New Roman"/>
          <w:lang w:val="es-ES_tradnl"/>
        </w:rPr>
      </w:pPr>
    </w:p>
    <w:p w14:paraId="0EE845D7" w14:textId="77777777" w:rsidR="006A4B75" w:rsidRPr="00B50CE2" w:rsidRDefault="006A4B75" w:rsidP="00967419">
      <w:pPr>
        <w:spacing w:after="0" w:line="360" w:lineRule="auto"/>
        <w:contextualSpacing/>
      </w:pPr>
      <w:r w:rsidRPr="00B50CE2">
        <w:rPr>
          <w:lang w:val="es-ES_tradnl"/>
        </w:rPr>
        <w:t xml:space="preserve">De la misma manera, resulta necesario traer a colación, </w:t>
      </w:r>
      <w:r w:rsidRPr="00B50CE2">
        <w:rPr>
          <w:rFonts w:eastAsia="Calibri" w:cs="Tahoma"/>
          <w:bCs/>
          <w:color w:val="000000"/>
          <w:lang w:val="es-ES"/>
        </w:rPr>
        <w:t xml:space="preserve">Criterio de Interpretación, de la Segunda Época, con clave de control </w:t>
      </w:r>
      <w:r w:rsidRPr="00B50CE2">
        <w:rPr>
          <w:rFonts w:eastAsia="Calibri" w:cs="Tahoma"/>
          <w:bCs/>
          <w:color w:val="000000"/>
        </w:rPr>
        <w:t>SO/013/2017</w:t>
      </w:r>
      <w:r w:rsidRPr="00B50CE2">
        <w:rPr>
          <w:lang w:val="es-ES"/>
        </w:rPr>
        <w:t xml:space="preserve">, </w:t>
      </w:r>
      <w:r w:rsidRPr="00B50CE2">
        <w:t xml:space="preserve">emitido por el Instituto Nacional de Transparencia, Acceso a la Información y Protección de Datos Personales, que dispone lo siguiente: </w:t>
      </w:r>
    </w:p>
    <w:p w14:paraId="7FCBF29D" w14:textId="77777777" w:rsidR="006A4B75" w:rsidRPr="00B50CE2" w:rsidRDefault="006A4B75" w:rsidP="00967419">
      <w:pPr>
        <w:spacing w:after="0" w:line="360" w:lineRule="auto"/>
        <w:contextualSpacing/>
        <w:rPr>
          <w:rFonts w:eastAsia="Calibri" w:cs="Times New Roman"/>
        </w:rPr>
      </w:pPr>
    </w:p>
    <w:p w14:paraId="4E276300" w14:textId="77777777" w:rsidR="006A4B75" w:rsidRPr="00B50CE2" w:rsidRDefault="006A4B75" w:rsidP="00967419">
      <w:pPr>
        <w:spacing w:after="0" w:line="360" w:lineRule="auto"/>
        <w:ind w:left="567" w:right="567"/>
        <w:contextualSpacing/>
        <w:rPr>
          <w:rFonts w:eastAsia="Calibri" w:cs="Times New Roman"/>
          <w:i/>
          <w:sz w:val="20"/>
          <w:szCs w:val="20"/>
        </w:rPr>
      </w:pPr>
      <w:r w:rsidRPr="00B50CE2">
        <w:rPr>
          <w:rFonts w:eastAsia="Calibri" w:cs="Times New Roman"/>
          <w:i/>
          <w:sz w:val="20"/>
          <w:szCs w:val="20"/>
        </w:rPr>
        <w:t>“</w:t>
      </w:r>
      <w:r w:rsidRPr="00B50CE2">
        <w:rPr>
          <w:rFonts w:eastAsia="Calibri" w:cs="Times New Roman"/>
          <w:b/>
          <w:bCs/>
          <w:i/>
          <w:sz w:val="20"/>
          <w:szCs w:val="20"/>
        </w:rPr>
        <w:t xml:space="preserve">Incompetencia. </w:t>
      </w:r>
      <w:r w:rsidRPr="00B50CE2">
        <w:rPr>
          <w:rFonts w:eastAsia="Calibri" w:cs="Times New Roman"/>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80DDB7A" w14:textId="77777777" w:rsidR="006A4B75" w:rsidRPr="00B50CE2" w:rsidRDefault="006A4B75" w:rsidP="00967419">
      <w:pPr>
        <w:spacing w:after="0" w:line="360" w:lineRule="auto"/>
        <w:contextualSpacing/>
        <w:rPr>
          <w:rFonts w:eastAsia="Calibri" w:cs="Times New Roman"/>
          <w:lang w:val="es-ES_tradnl"/>
        </w:rPr>
      </w:pPr>
    </w:p>
    <w:p w14:paraId="26A9C76A" w14:textId="77777777" w:rsidR="006A4B75" w:rsidRPr="00B50CE2" w:rsidRDefault="006A4B75" w:rsidP="00967419">
      <w:pPr>
        <w:spacing w:after="0" w:line="360" w:lineRule="auto"/>
        <w:contextualSpacing/>
        <w:rPr>
          <w:rFonts w:eastAsia="Calibri" w:cs="Times New Roman"/>
          <w:lang w:val="es-ES_tradnl"/>
        </w:rPr>
      </w:pPr>
      <w:r w:rsidRPr="00B50CE2">
        <w:rPr>
          <w:rFonts w:eastAsia="Calibri" w:cs="Times New Roman"/>
          <w:lang w:val="es-ES_tradnl"/>
        </w:rPr>
        <w:t xml:space="preserve">En tal virtud, la </w:t>
      </w:r>
      <w:r w:rsidRPr="00B50CE2">
        <w:rPr>
          <w:rFonts w:eastAsia="Calibri" w:cs="Times New Roman"/>
          <w:b/>
          <w:lang w:val="es-ES_tradnl"/>
        </w:rPr>
        <w:t xml:space="preserve">incompetencia </w:t>
      </w:r>
      <w:r w:rsidRPr="00B50CE2">
        <w:rPr>
          <w:rFonts w:eastAsia="Calibri" w:cs="Times New Roman"/>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5A53FD28" w14:textId="77777777" w:rsidR="006A4B75" w:rsidRPr="00B50CE2" w:rsidRDefault="006A4B75" w:rsidP="00967419">
      <w:pPr>
        <w:spacing w:after="0" w:line="360" w:lineRule="auto"/>
        <w:contextualSpacing/>
        <w:rPr>
          <w:rFonts w:eastAsia="Calibri" w:cs="Times New Roman"/>
          <w:lang w:val="es-ES_tradnl"/>
        </w:rPr>
      </w:pPr>
    </w:p>
    <w:p w14:paraId="6323C497" w14:textId="77777777" w:rsidR="006A4B75" w:rsidRPr="00B50CE2" w:rsidRDefault="006A4B75" w:rsidP="00967419">
      <w:pPr>
        <w:spacing w:after="0" w:line="360" w:lineRule="auto"/>
        <w:contextualSpacing/>
        <w:rPr>
          <w:rFonts w:eastAsia="Calibri" w:cs="Times New Roman"/>
          <w:b/>
        </w:rPr>
      </w:pPr>
      <w:r w:rsidRPr="00B50CE2">
        <w:rPr>
          <w:rFonts w:eastAsia="Calibri" w:cs="Times New Roman"/>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E39C59F" w14:textId="16F9218B" w:rsidR="006A4B75" w:rsidRPr="00B50CE2" w:rsidRDefault="006A4B75" w:rsidP="00967419">
      <w:pPr>
        <w:spacing w:after="0" w:line="360" w:lineRule="auto"/>
        <w:contextualSpacing/>
        <w:rPr>
          <w:rFonts w:eastAsia="Calibri" w:cs="Times New Roman"/>
        </w:rPr>
      </w:pPr>
    </w:p>
    <w:p w14:paraId="170A3A5A" w14:textId="44110802" w:rsidR="0011039C" w:rsidRPr="00B50CE2" w:rsidRDefault="006A4B75" w:rsidP="00967419">
      <w:pPr>
        <w:spacing w:after="0" w:line="360" w:lineRule="auto"/>
        <w:contextualSpacing/>
        <w:rPr>
          <w:bCs/>
        </w:rPr>
      </w:pPr>
      <w:r w:rsidRPr="00B50CE2">
        <w:rPr>
          <w:bCs/>
        </w:rPr>
        <w:t>Por tanto, a continuación, se analiza si en la especie, el Ente Recurrido cuenta con atribuciones para conocer sobre la información requerida,</w:t>
      </w:r>
      <w:r w:rsidR="0011039C" w:rsidRPr="00B50CE2">
        <w:rPr>
          <w:bCs/>
        </w:rPr>
        <w:t xml:space="preserve"> por lo cual, es oportuno traer a colación el artículo 115 de la Constitución Política de los Estados Unidos Mexicanos, con relación al 122 de la Constitución Política del Estado Libre y Soberano de México, que precisan que </w:t>
      </w:r>
      <w:r w:rsidR="00270486" w:rsidRPr="00B50CE2">
        <w:rPr>
          <w:bCs/>
        </w:rPr>
        <w:t xml:space="preserve">los Estados adoptarán, para su régimen interior, la forma de gobierno republicano, representativo, democrático, laico y popular, teniendo como base de su división territorial y </w:t>
      </w:r>
      <w:r w:rsidR="00270486" w:rsidRPr="00B50CE2">
        <w:rPr>
          <w:bCs/>
        </w:rPr>
        <w:lastRenderedPageBreak/>
        <w:t>de su organización política y administrativa, el municipio libre, encargado de realizar las funciones y servicios públicos siguientes:</w:t>
      </w:r>
    </w:p>
    <w:p w14:paraId="5C6D12AF" w14:textId="5F72BB3C" w:rsidR="00270486" w:rsidRPr="00B50CE2" w:rsidRDefault="00270486" w:rsidP="00967419">
      <w:pPr>
        <w:spacing w:after="0" w:line="360" w:lineRule="auto"/>
        <w:contextualSpacing/>
        <w:rPr>
          <w:bCs/>
        </w:rPr>
      </w:pPr>
    </w:p>
    <w:p w14:paraId="4F85C9B5" w14:textId="19BD707C" w:rsidR="00270486" w:rsidRPr="00B50CE2" w:rsidRDefault="00270486" w:rsidP="00270486">
      <w:pPr>
        <w:pStyle w:val="Prrafodelista"/>
        <w:numPr>
          <w:ilvl w:val="0"/>
          <w:numId w:val="6"/>
        </w:numPr>
        <w:spacing w:after="0" w:line="360" w:lineRule="auto"/>
        <w:rPr>
          <w:bCs/>
        </w:rPr>
      </w:pPr>
      <w:r w:rsidRPr="00B50CE2">
        <w:t>Agua potable, drenaje, alcantarillado, tratamiento y disposición de sus aguas residuales;</w:t>
      </w:r>
    </w:p>
    <w:p w14:paraId="6EB54E94" w14:textId="77777777" w:rsidR="00270486" w:rsidRPr="00B50CE2" w:rsidRDefault="00270486" w:rsidP="00270486">
      <w:pPr>
        <w:pStyle w:val="Prrafodelista"/>
        <w:numPr>
          <w:ilvl w:val="0"/>
          <w:numId w:val="6"/>
        </w:numPr>
        <w:spacing w:after="0" w:line="360" w:lineRule="auto"/>
        <w:rPr>
          <w:bCs/>
        </w:rPr>
      </w:pPr>
      <w:r w:rsidRPr="00B50CE2">
        <w:t>Alumbrado público;</w:t>
      </w:r>
    </w:p>
    <w:p w14:paraId="13910E8E" w14:textId="3C94756F" w:rsidR="00270486" w:rsidRPr="00B50CE2" w:rsidRDefault="00270486" w:rsidP="00270486">
      <w:pPr>
        <w:pStyle w:val="Prrafodelista"/>
        <w:numPr>
          <w:ilvl w:val="0"/>
          <w:numId w:val="6"/>
        </w:numPr>
        <w:spacing w:after="0" w:line="360" w:lineRule="auto"/>
        <w:rPr>
          <w:bCs/>
        </w:rPr>
      </w:pPr>
      <w:r w:rsidRPr="00B50CE2">
        <w:t>Limpia, recolección, traslado, tratamiento y disposición final de residuos;</w:t>
      </w:r>
    </w:p>
    <w:p w14:paraId="371EE72D" w14:textId="77777777" w:rsidR="00270486" w:rsidRPr="00B50CE2" w:rsidRDefault="00270486" w:rsidP="00270486">
      <w:pPr>
        <w:pStyle w:val="Prrafodelista"/>
        <w:numPr>
          <w:ilvl w:val="0"/>
          <w:numId w:val="6"/>
        </w:numPr>
        <w:spacing w:after="0" w:line="360" w:lineRule="auto"/>
        <w:rPr>
          <w:bCs/>
        </w:rPr>
      </w:pPr>
      <w:r w:rsidRPr="00B50CE2">
        <w:t>Mercados y centrales de abasto;</w:t>
      </w:r>
    </w:p>
    <w:p w14:paraId="31E8C032" w14:textId="77777777" w:rsidR="00270486" w:rsidRPr="00B50CE2" w:rsidRDefault="00270486" w:rsidP="00270486">
      <w:pPr>
        <w:pStyle w:val="Prrafodelista"/>
        <w:numPr>
          <w:ilvl w:val="0"/>
          <w:numId w:val="6"/>
        </w:numPr>
        <w:spacing w:after="0" w:line="360" w:lineRule="auto"/>
        <w:rPr>
          <w:bCs/>
        </w:rPr>
      </w:pPr>
      <w:r w:rsidRPr="00B50CE2">
        <w:t xml:space="preserve">Panteones; </w:t>
      </w:r>
    </w:p>
    <w:p w14:paraId="53AF5727" w14:textId="77777777" w:rsidR="00270486" w:rsidRPr="00B50CE2" w:rsidRDefault="00270486" w:rsidP="00270486">
      <w:pPr>
        <w:pStyle w:val="Prrafodelista"/>
        <w:numPr>
          <w:ilvl w:val="0"/>
          <w:numId w:val="6"/>
        </w:numPr>
        <w:spacing w:after="0" w:line="360" w:lineRule="auto"/>
        <w:rPr>
          <w:bCs/>
        </w:rPr>
      </w:pPr>
      <w:r w:rsidRPr="00B50CE2">
        <w:t xml:space="preserve">Rastro; </w:t>
      </w:r>
    </w:p>
    <w:p w14:paraId="2669EBEE" w14:textId="3D34CFFC" w:rsidR="00270486" w:rsidRPr="00B50CE2" w:rsidRDefault="00270486" w:rsidP="00270486">
      <w:pPr>
        <w:pStyle w:val="Prrafodelista"/>
        <w:numPr>
          <w:ilvl w:val="0"/>
          <w:numId w:val="6"/>
        </w:numPr>
        <w:spacing w:after="0" w:line="360" w:lineRule="auto"/>
        <w:rPr>
          <w:bCs/>
        </w:rPr>
      </w:pPr>
      <w:r w:rsidRPr="00B50CE2">
        <w:t>Calles, parques y jardines y su equipamiento, y</w:t>
      </w:r>
    </w:p>
    <w:p w14:paraId="4BC7ADC1" w14:textId="2983FDC8" w:rsidR="00270486" w:rsidRPr="00B50CE2" w:rsidRDefault="00270486" w:rsidP="00270486">
      <w:pPr>
        <w:pStyle w:val="Prrafodelista"/>
        <w:numPr>
          <w:ilvl w:val="0"/>
          <w:numId w:val="6"/>
        </w:numPr>
        <w:spacing w:after="0" w:line="360" w:lineRule="auto"/>
        <w:rPr>
          <w:bCs/>
        </w:rPr>
      </w:pPr>
      <w:r w:rsidRPr="00B50CE2">
        <w:t>Seguridad pública, policía preventiva municipal y tránsito;</w:t>
      </w:r>
    </w:p>
    <w:p w14:paraId="47ABA850" w14:textId="77777777" w:rsidR="00270486" w:rsidRPr="00B50CE2" w:rsidRDefault="00270486" w:rsidP="00270486">
      <w:pPr>
        <w:spacing w:after="0" w:line="360" w:lineRule="auto"/>
        <w:ind w:left="360"/>
        <w:rPr>
          <w:bCs/>
        </w:rPr>
      </w:pPr>
    </w:p>
    <w:p w14:paraId="41091E3A" w14:textId="627B2D95" w:rsidR="0011039C" w:rsidRPr="00B50CE2" w:rsidRDefault="00270486" w:rsidP="00967419">
      <w:pPr>
        <w:spacing w:after="0" w:line="360" w:lineRule="auto"/>
        <w:contextualSpacing/>
        <w:rPr>
          <w:bCs/>
        </w:rPr>
      </w:pPr>
      <w:r w:rsidRPr="00B50CE2">
        <w:rPr>
          <w:bCs/>
        </w:rPr>
        <w:t>Además, el artículo 31 de la Ley Orgánica Municipal del Estado de México, precisa que los Ayuntamientos tendrán las siguientes funciones:</w:t>
      </w:r>
    </w:p>
    <w:p w14:paraId="2A909BF3" w14:textId="08BB858F" w:rsidR="00270486" w:rsidRPr="00B50CE2" w:rsidRDefault="00270486" w:rsidP="00967419">
      <w:pPr>
        <w:spacing w:after="0" w:line="360" w:lineRule="auto"/>
        <w:contextualSpacing/>
        <w:rPr>
          <w:bCs/>
        </w:rPr>
      </w:pPr>
    </w:p>
    <w:p w14:paraId="0E515739"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Expedir y reformar el Bando Municipal, así como los reglamentos, circulares y disposiciones administrativas de observancia general dentro del territorio del municipio;</w:t>
      </w:r>
    </w:p>
    <w:p w14:paraId="618BD67C"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Aprobar e implementar programas y acciones que promuevan un proceso constante de mejora regulatoria;</w:t>
      </w:r>
    </w:p>
    <w:p w14:paraId="4CB03667"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Aprobar y promover un programa para el otorgamiento de la licencia o permiso provisional de funcionamiento para negocios de bajo riesgo que no impliquen riesgos sanitarios, ambientales o de protección civil;</w:t>
      </w:r>
    </w:p>
    <w:p w14:paraId="1F23E1B7"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Formular, aprobar, implementar y ejecutar las políticas, programas y acciones en materia de Gobierno Digital;</w:t>
      </w:r>
    </w:p>
    <w:p w14:paraId="3E96EA38"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 xml:space="preserve">Formular, aprobar, implementar y ejecutar los programas y acciones para la </w:t>
      </w:r>
      <w:r w:rsidRPr="00B50CE2">
        <w:lastRenderedPageBreak/>
        <w:t>prevención, atención y en su caso, el pago de las responsabilidades económicas;</w:t>
      </w:r>
    </w:p>
    <w:p w14:paraId="3EA43DC9"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Celebrar convenios;</w:t>
      </w:r>
    </w:p>
    <w:p w14:paraId="3DE320E3"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Acordar la división territorial municipal en delegaciones, subdelegaciones, colonias, sectores y manzanas;</w:t>
      </w:r>
    </w:p>
    <w:p w14:paraId="4D716846"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Convenir, contratar o concesionar, la ejecución de obras y la prestación de servicios públicos;</w:t>
      </w:r>
    </w:p>
    <w:p w14:paraId="12BA2E08"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Concluir las obras iniciadas por administraciones anteriores y dar mantenimiento a la infraestructura e instalaciones de los servicios públicos municipales;</w:t>
      </w:r>
    </w:p>
    <w:p w14:paraId="0B84B244"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Crear las unidades administrativas necesarias para el adecuado funcionamiento de la administración pública municipal;</w:t>
      </w:r>
    </w:p>
    <w:p w14:paraId="7CB78782"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Conocer los informes contables y financieros anuales;</w:t>
      </w:r>
    </w:p>
    <w:p w14:paraId="27D677E5"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Municipalizar los servicios públicos;</w:t>
      </w:r>
    </w:p>
    <w:p w14:paraId="69C254CB"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Administrar su hacienda en términos de ley;</w:t>
      </w:r>
    </w:p>
    <w:p w14:paraId="5F3BF052"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Autorizar la contratación de empréstitos;</w:t>
      </w:r>
    </w:p>
    <w:p w14:paraId="197F6E4E"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Formular, aprobar y ejecutar los planes de desarrollo municipal y los Programas correspondientes;</w:t>
      </w:r>
    </w:p>
    <w:p w14:paraId="48B76B1F"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Promover, desarrollar, vigilar y evaluar en su municipio, los programas en materia de protección civil;</w:t>
      </w:r>
    </w:p>
    <w:p w14:paraId="3F95545C"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Dotar de servicios públicos a los habitantes del municipio;</w:t>
      </w:r>
    </w:p>
    <w:p w14:paraId="5ED22DEE"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Promover la creación, desarrollo y actualización permanente, de los atlas municipales de riesgos;</w:t>
      </w:r>
    </w:p>
    <w:p w14:paraId="4038DB81" w14:textId="77777777" w:rsidR="00270486" w:rsidRPr="00B50CE2" w:rsidRDefault="00270486" w:rsidP="00270486">
      <w:pPr>
        <w:pStyle w:val="Prrafodelista"/>
        <w:widowControl w:val="0"/>
        <w:numPr>
          <w:ilvl w:val="0"/>
          <w:numId w:val="7"/>
        </w:numPr>
        <w:spacing w:after="0" w:line="360" w:lineRule="auto"/>
        <w:rPr>
          <w:rFonts w:eastAsia="Calibri" w:cs="Times New Roman"/>
          <w:bCs/>
        </w:rPr>
      </w:pPr>
      <w:r w:rsidRPr="00B50CE2">
        <w:t>Entre otras, sin tener relación con actividades espaciales.</w:t>
      </w:r>
    </w:p>
    <w:p w14:paraId="5EC4B33E" w14:textId="77777777" w:rsidR="00270486" w:rsidRPr="00B50CE2" w:rsidRDefault="00270486" w:rsidP="00270486">
      <w:pPr>
        <w:widowControl w:val="0"/>
        <w:spacing w:after="0" w:line="360" w:lineRule="auto"/>
        <w:contextualSpacing/>
        <w:rPr>
          <w:rFonts w:eastAsia="Calibri" w:cs="Times New Roman"/>
          <w:bCs/>
        </w:rPr>
      </w:pPr>
    </w:p>
    <w:p w14:paraId="6049A7BF" w14:textId="4DA9C5BA" w:rsidR="00270486" w:rsidRPr="00B50CE2" w:rsidRDefault="00270486" w:rsidP="00270486">
      <w:pPr>
        <w:widowControl w:val="0"/>
        <w:spacing w:after="0" w:line="360" w:lineRule="auto"/>
        <w:contextualSpacing/>
        <w:rPr>
          <w:rFonts w:eastAsia="Calibri" w:cs="Times New Roman"/>
          <w:bCs/>
        </w:rPr>
      </w:pPr>
      <w:r w:rsidRPr="00B50CE2">
        <w:rPr>
          <w:rFonts w:eastAsia="Calibri" w:cs="Times New Roman"/>
          <w:bCs/>
        </w:rPr>
        <w:t>Además, este Instituto realizó una búsqueda, en el Bando Municipal, dos mil veintidós, de Zinacantepec, así como, en la normatividad municipal localizada en el Portal de Información Pública de Oficio Mexiquense, y no se localizó algún ordenamiento jurídico que prevea alguna atribución para que el Ayuntamiento emita credenciales para votar.</w:t>
      </w:r>
    </w:p>
    <w:p w14:paraId="377D313D" w14:textId="34953DE2" w:rsidR="00270486" w:rsidRPr="00B50CE2" w:rsidRDefault="00270486" w:rsidP="00270486">
      <w:pPr>
        <w:widowControl w:val="0"/>
        <w:spacing w:after="0" w:line="360" w:lineRule="auto"/>
        <w:contextualSpacing/>
        <w:rPr>
          <w:rFonts w:eastAsia="Calibri" w:cs="Times New Roman"/>
          <w:bCs/>
        </w:rPr>
      </w:pPr>
      <w:r w:rsidRPr="00B50CE2">
        <w:rPr>
          <w:rFonts w:eastAsia="Calibri" w:cs="Times New Roman"/>
          <w:bCs/>
        </w:rPr>
        <w:lastRenderedPageBreak/>
        <w:t>Conforme a lo anterior, se logra vislumbrar, que, en primera instancia, el Sujeto Obligado carece de atribuciones para conocer de la información solicitada, pues no cuenta con atribuciones para generar las credenciales para votar.</w:t>
      </w:r>
    </w:p>
    <w:p w14:paraId="1CFF6EFB" w14:textId="52CC50C7" w:rsidR="00270486" w:rsidRPr="00B50CE2" w:rsidRDefault="00270486" w:rsidP="00967419">
      <w:pPr>
        <w:spacing w:after="0" w:line="360" w:lineRule="auto"/>
        <w:contextualSpacing/>
        <w:rPr>
          <w:bCs/>
        </w:rPr>
      </w:pPr>
    </w:p>
    <w:p w14:paraId="43360985" w14:textId="75CF166C" w:rsidR="000715D7" w:rsidRPr="00B50CE2" w:rsidRDefault="00270486" w:rsidP="00967419">
      <w:pPr>
        <w:spacing w:after="0" w:line="360" w:lineRule="auto"/>
        <w:contextualSpacing/>
        <w:rPr>
          <w:bCs/>
        </w:rPr>
      </w:pPr>
      <w:r w:rsidRPr="00B50CE2">
        <w:rPr>
          <w:bCs/>
        </w:rPr>
        <w:t>Lo anterior toma relevancia</w:t>
      </w:r>
      <w:r w:rsidR="006A4B75" w:rsidRPr="00B50CE2">
        <w:rPr>
          <w:bCs/>
        </w:rPr>
        <w:t xml:space="preserve">, </w:t>
      </w:r>
      <w:r w:rsidRPr="00B50CE2">
        <w:rPr>
          <w:bCs/>
        </w:rPr>
        <w:t>pues conforme</w:t>
      </w:r>
      <w:r w:rsidR="006A4B75" w:rsidRPr="00B50CE2">
        <w:rPr>
          <w:bCs/>
        </w:rPr>
        <w:t xml:space="preserve"> </w:t>
      </w:r>
      <w:r w:rsidRPr="00B50CE2">
        <w:rPr>
          <w:bCs/>
        </w:rPr>
        <w:t>a</w:t>
      </w:r>
      <w:r w:rsidR="000715D7" w:rsidRPr="00B50CE2">
        <w:rPr>
          <w:bCs/>
        </w:rPr>
        <w:t>l artículo 54</w:t>
      </w:r>
      <w:r w:rsidR="00A75C68" w:rsidRPr="00B50CE2">
        <w:rPr>
          <w:bCs/>
        </w:rPr>
        <w:t>, numeral 1, fracción</w:t>
      </w:r>
      <w:r w:rsidR="00196019" w:rsidRPr="00B50CE2">
        <w:rPr>
          <w:bCs/>
        </w:rPr>
        <w:t xml:space="preserve"> </w:t>
      </w:r>
      <w:r w:rsidR="000715D7" w:rsidRPr="00B50CE2">
        <w:rPr>
          <w:bCs/>
        </w:rPr>
        <w:t xml:space="preserve">c), de la Ley General de Instituciones y Procedimientos Electorales, </w:t>
      </w:r>
      <w:r w:rsidR="00A75C68" w:rsidRPr="00B50CE2">
        <w:rPr>
          <w:bCs/>
        </w:rPr>
        <w:t>precisa que el Instituto Nacional Electoral, a través de la</w:t>
      </w:r>
      <w:r w:rsidR="000715D7" w:rsidRPr="00B50CE2">
        <w:rPr>
          <w:bCs/>
        </w:rPr>
        <w:t xml:space="preserve"> Dirección Ejecutiva del Registro Federal de Electores </w:t>
      </w:r>
      <w:r w:rsidR="00A75C68" w:rsidRPr="00B50CE2">
        <w:rPr>
          <w:bCs/>
        </w:rPr>
        <w:t>es el encargado de expedir la credencial para votar.</w:t>
      </w:r>
    </w:p>
    <w:p w14:paraId="20D74311" w14:textId="7D34AEB3" w:rsidR="003F282A" w:rsidRPr="00B50CE2" w:rsidRDefault="003F282A" w:rsidP="00967419">
      <w:pPr>
        <w:spacing w:after="0" w:line="360" w:lineRule="auto"/>
        <w:contextualSpacing/>
        <w:rPr>
          <w:bCs/>
        </w:rPr>
      </w:pPr>
    </w:p>
    <w:p w14:paraId="691F0CD3" w14:textId="6F10555C" w:rsidR="003F282A" w:rsidRPr="00B50CE2" w:rsidRDefault="003F282A" w:rsidP="00967419">
      <w:pPr>
        <w:spacing w:after="0" w:line="360" w:lineRule="auto"/>
        <w:contextualSpacing/>
        <w:rPr>
          <w:bCs/>
        </w:rPr>
      </w:pPr>
      <w:r w:rsidRPr="00B50CE2">
        <w:rPr>
          <w:bCs/>
        </w:rPr>
        <w:t>En este sentido, el artículo 137 de la Ley citada, establece que una vez llevado a cabo en proceso para la obtención de la credencial par votar, se procederá a formar</w:t>
      </w:r>
      <w:r w:rsidR="00196019" w:rsidRPr="00B50CE2">
        <w:rPr>
          <w:bCs/>
        </w:rPr>
        <w:t xml:space="preserve"> las </w:t>
      </w:r>
      <w:r w:rsidR="00A75C68" w:rsidRPr="00B50CE2">
        <w:rPr>
          <w:bCs/>
        </w:rPr>
        <w:t>listas nominales</w:t>
      </w:r>
      <w:r w:rsidR="00196019" w:rsidRPr="00B50CE2">
        <w:rPr>
          <w:bCs/>
        </w:rPr>
        <w:t xml:space="preserve"> de electores del Padrón Electoral con los nombres de aquellos a los que se les haya entregado su credencial para votar.</w:t>
      </w:r>
    </w:p>
    <w:p w14:paraId="5AA2F692" w14:textId="77777777" w:rsidR="006A4B75" w:rsidRPr="00B50CE2" w:rsidRDefault="006A4B75" w:rsidP="00967419">
      <w:pPr>
        <w:spacing w:after="0" w:line="360" w:lineRule="auto"/>
        <w:contextualSpacing/>
        <w:rPr>
          <w:rFonts w:eastAsia="Times New Roman" w:cs="Times New Roman"/>
          <w:szCs w:val="24"/>
          <w:lang w:eastAsia="es-ES"/>
        </w:rPr>
      </w:pPr>
    </w:p>
    <w:p w14:paraId="320BE3E5" w14:textId="6C20F1CA" w:rsidR="00044AA3" w:rsidRPr="00B50CE2" w:rsidRDefault="00044AA3" w:rsidP="00967419">
      <w:pPr>
        <w:spacing w:after="0" w:line="360" w:lineRule="auto"/>
        <w:contextualSpacing/>
      </w:pPr>
      <w:r w:rsidRPr="00B50CE2">
        <w:t>Además</w:t>
      </w:r>
      <w:r w:rsidR="006A4B75" w:rsidRPr="00B50CE2">
        <w:t xml:space="preserve">, </w:t>
      </w:r>
      <w:r w:rsidR="000715D7" w:rsidRPr="00B50CE2">
        <w:t>el artículo 156 del ordenamiento previamente citado, establece que</w:t>
      </w:r>
      <w:r w:rsidR="00A75C68" w:rsidRPr="00B50CE2">
        <w:t xml:space="preserve"> l</w:t>
      </w:r>
      <w:r w:rsidR="000715D7" w:rsidRPr="00B50CE2">
        <w:t xml:space="preserve">a credencial para votar </w:t>
      </w:r>
      <w:r w:rsidRPr="00B50CE2">
        <w:t>deberá contener cuando menos los siguientes datos del elector: Entidad Federativa, Municipio y Localidad; Sección Electoral; Apellido Paterno; Materno y Nombre completo; Domicilio: Sexo; Edad y Año de registro; Firma, huella digital, fotografía de elector; Clave de registro y; Clave Única de Registro de Población. Además tendrá: Espacios necesarios para marcar año y elección de que se trate; Firma impresa del Secretario Ejecutivo del Instituto; Año de emisión; Año en el que expira su vigencia y; en el caso de que se expida al ciudadano residente en el extranjero, la leyenda “Para Votar desde el Extranjero”.</w:t>
      </w:r>
    </w:p>
    <w:p w14:paraId="1BD8D2B0" w14:textId="7BCD7517" w:rsidR="006A4B75" w:rsidRPr="00B50CE2" w:rsidRDefault="006A4B75" w:rsidP="00967419">
      <w:pPr>
        <w:spacing w:after="0" w:line="360" w:lineRule="auto"/>
        <w:contextualSpacing/>
      </w:pPr>
    </w:p>
    <w:p w14:paraId="587EECD5" w14:textId="36F82018" w:rsidR="006A4B75" w:rsidRPr="00B50CE2" w:rsidRDefault="006A4B75" w:rsidP="00A75C68">
      <w:pPr>
        <w:spacing w:after="0" w:line="360" w:lineRule="auto"/>
        <w:contextualSpacing/>
        <w:rPr>
          <w:rFonts w:eastAsia="Times New Roman" w:cs="Tahoma"/>
          <w:color w:val="auto"/>
          <w:lang w:eastAsia="es-ES"/>
        </w:rPr>
      </w:pPr>
      <w:r w:rsidRPr="00B50CE2">
        <w:rPr>
          <w:rFonts w:eastAsia="Times New Roman" w:cs="Tahoma"/>
          <w:color w:val="auto"/>
          <w:lang w:eastAsia="es-ES"/>
        </w:rPr>
        <w:t>Además, este Instituto realizó una búsqueda, en l</w:t>
      </w:r>
      <w:r w:rsidR="0012588A" w:rsidRPr="00B50CE2">
        <w:rPr>
          <w:rFonts w:eastAsia="Times New Roman" w:cs="Tahoma"/>
          <w:color w:val="auto"/>
          <w:lang w:eastAsia="es-ES"/>
        </w:rPr>
        <w:t>a página oficial del Instituto Nacional Electoral visible en el</w:t>
      </w:r>
      <w:r w:rsidRPr="00B50CE2">
        <w:rPr>
          <w:rFonts w:eastAsia="Times New Roman" w:cs="Tahoma"/>
          <w:color w:val="auto"/>
          <w:lang w:eastAsia="es-ES"/>
        </w:rPr>
        <w:t xml:space="preserve"> apartado </w:t>
      </w:r>
      <w:r w:rsidR="0012588A" w:rsidRPr="00B50CE2">
        <w:rPr>
          <w:rFonts w:eastAsia="Times New Roman" w:cs="Tahoma"/>
          <w:color w:val="auto"/>
          <w:lang w:eastAsia="es-ES"/>
        </w:rPr>
        <w:t xml:space="preserve">“Credencial para Votar” </w:t>
      </w:r>
      <w:r w:rsidRPr="00B50CE2">
        <w:rPr>
          <w:rFonts w:eastAsia="Times New Roman" w:cs="Tahoma"/>
          <w:color w:val="auto"/>
          <w:lang w:eastAsia="es-ES"/>
        </w:rPr>
        <w:t xml:space="preserve">(consultado el </w:t>
      </w:r>
      <w:r w:rsidR="0012588A" w:rsidRPr="00B50CE2">
        <w:rPr>
          <w:rFonts w:eastAsia="Times New Roman" w:cs="Tahoma"/>
          <w:color w:val="auto"/>
          <w:lang w:eastAsia="es-ES"/>
        </w:rPr>
        <w:t xml:space="preserve">siete de febrero </w:t>
      </w:r>
      <w:r w:rsidRPr="00B50CE2">
        <w:rPr>
          <w:rFonts w:eastAsia="Times New Roman" w:cs="Tahoma"/>
          <w:color w:val="auto"/>
          <w:lang w:eastAsia="es-ES"/>
        </w:rPr>
        <w:t>de dos mil veintitrés, en la liga</w:t>
      </w:r>
      <w:r w:rsidR="0012588A" w:rsidRPr="00B50CE2">
        <w:rPr>
          <w:rFonts w:eastAsia="Times New Roman" w:cs="Tahoma"/>
          <w:color w:val="auto"/>
          <w:lang w:eastAsia="es-ES"/>
        </w:rPr>
        <w:t xml:space="preserve"> </w:t>
      </w:r>
      <w:hyperlink r:id="rId8" w:history="1">
        <w:r w:rsidR="0012588A" w:rsidRPr="00B50CE2">
          <w:rPr>
            <w:rStyle w:val="Hipervnculo"/>
            <w:rFonts w:eastAsia="Times New Roman" w:cs="Tahoma"/>
            <w:lang w:eastAsia="es-ES"/>
          </w:rPr>
          <w:t>https://www.ine.mx/</w:t>
        </w:r>
      </w:hyperlink>
      <w:r w:rsidR="00A75C68" w:rsidRPr="00B50CE2">
        <w:rPr>
          <w:rFonts w:eastAsia="Times New Roman" w:cs="Tahoma"/>
          <w:color w:val="auto"/>
          <w:lang w:eastAsia="es-ES"/>
        </w:rPr>
        <w:t xml:space="preserve">), </w:t>
      </w:r>
      <w:r w:rsidRPr="00B50CE2">
        <w:rPr>
          <w:rFonts w:eastAsia="Times New Roman" w:cs="Tahoma"/>
          <w:color w:val="auto"/>
          <w:lang w:eastAsia="es-ES"/>
        </w:rPr>
        <w:t xml:space="preserve">y localizó que </w:t>
      </w:r>
      <w:r w:rsidR="0012588A" w:rsidRPr="00B50CE2">
        <w:rPr>
          <w:rFonts w:eastAsia="Times New Roman" w:cs="Tahoma"/>
          <w:color w:val="auto"/>
          <w:lang w:eastAsia="es-ES"/>
        </w:rPr>
        <w:t xml:space="preserve">dicho </w:t>
      </w:r>
      <w:r w:rsidR="00A75C68" w:rsidRPr="00B50CE2">
        <w:rPr>
          <w:rFonts w:eastAsia="Times New Roman" w:cs="Tahoma"/>
          <w:color w:val="auto"/>
          <w:lang w:eastAsia="es-ES"/>
        </w:rPr>
        <w:t xml:space="preserve">Organismo </w:t>
      </w:r>
      <w:r w:rsidR="00A75C68" w:rsidRPr="00B50CE2">
        <w:rPr>
          <w:rFonts w:eastAsia="Times New Roman" w:cs="Tahoma"/>
          <w:color w:val="auto"/>
          <w:lang w:eastAsia="es-ES"/>
        </w:rPr>
        <w:lastRenderedPageBreak/>
        <w:t>Autónomo</w:t>
      </w:r>
      <w:r w:rsidR="0012588A" w:rsidRPr="00B50CE2">
        <w:rPr>
          <w:rFonts w:eastAsia="Times New Roman" w:cs="Tahoma"/>
          <w:color w:val="auto"/>
          <w:lang w:eastAsia="es-ES"/>
        </w:rPr>
        <w:t xml:space="preserve"> publica el procedimiento para realizar el trámite </w:t>
      </w:r>
      <w:r w:rsidR="003F282A" w:rsidRPr="00B50CE2">
        <w:rPr>
          <w:rFonts w:eastAsia="Times New Roman" w:cs="Tahoma"/>
          <w:color w:val="auto"/>
          <w:lang w:eastAsia="es-ES"/>
        </w:rPr>
        <w:t>para obtener la credencial de elector, conforme a lo siguiente</w:t>
      </w:r>
      <w:r w:rsidRPr="00B50CE2">
        <w:rPr>
          <w:rFonts w:eastAsia="Times New Roman" w:cs="Tahoma"/>
          <w:color w:val="auto"/>
          <w:lang w:eastAsia="es-ES"/>
        </w:rPr>
        <w:t>:</w:t>
      </w:r>
    </w:p>
    <w:p w14:paraId="67F3FA47" w14:textId="77777777" w:rsidR="00A75C68" w:rsidRPr="00B50CE2" w:rsidRDefault="00A75C68" w:rsidP="00A75C68">
      <w:pPr>
        <w:spacing w:after="0" w:line="360" w:lineRule="auto"/>
        <w:contextualSpacing/>
        <w:rPr>
          <w:rFonts w:eastAsia="Times New Roman" w:cs="Tahoma"/>
          <w:color w:val="auto"/>
          <w:lang w:eastAsia="es-ES"/>
        </w:rPr>
      </w:pPr>
    </w:p>
    <w:p w14:paraId="185085A4" w14:textId="4CDB4241" w:rsidR="006A4B75" w:rsidRPr="00B50CE2" w:rsidRDefault="003F282A" w:rsidP="00967419">
      <w:pPr>
        <w:widowControl w:val="0"/>
        <w:spacing w:after="0" w:line="360" w:lineRule="auto"/>
        <w:contextualSpacing/>
        <w:jc w:val="center"/>
        <w:rPr>
          <w:rFonts w:eastAsia="Times New Roman" w:cs="Tahoma"/>
          <w:bCs/>
          <w:iCs/>
          <w:color w:val="auto"/>
          <w:lang w:val="es-ES" w:eastAsia="es-ES"/>
        </w:rPr>
      </w:pPr>
      <w:r w:rsidRPr="00B50CE2">
        <w:rPr>
          <w:noProof/>
          <w:lang w:eastAsia="es-MX"/>
        </w:rPr>
        <w:drawing>
          <wp:inline distT="0" distB="0" distL="0" distR="0" wp14:anchorId="48158C39" wp14:editId="6C4B0C4A">
            <wp:extent cx="4859676" cy="22484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93" t="23405" r="11569" b="7024"/>
                    <a:stretch/>
                  </pic:blipFill>
                  <pic:spPr bwMode="auto">
                    <a:xfrm>
                      <a:off x="0" y="0"/>
                      <a:ext cx="4902018" cy="2267992"/>
                    </a:xfrm>
                    <a:prstGeom prst="rect">
                      <a:avLst/>
                    </a:prstGeom>
                    <a:ln>
                      <a:noFill/>
                    </a:ln>
                    <a:extLst>
                      <a:ext uri="{53640926-AAD7-44D8-BBD7-CCE9431645EC}">
                        <a14:shadowObscured xmlns:a14="http://schemas.microsoft.com/office/drawing/2010/main"/>
                      </a:ext>
                    </a:extLst>
                  </pic:spPr>
                </pic:pic>
              </a:graphicData>
            </a:graphic>
          </wp:inline>
        </w:drawing>
      </w:r>
    </w:p>
    <w:p w14:paraId="4772C164" w14:textId="77777777" w:rsidR="006A4B75" w:rsidRPr="00B50CE2" w:rsidRDefault="006A4B75" w:rsidP="00967419">
      <w:pPr>
        <w:widowControl w:val="0"/>
        <w:spacing w:after="0" w:line="360" w:lineRule="auto"/>
        <w:contextualSpacing/>
        <w:rPr>
          <w:rFonts w:eastAsia="Times New Roman" w:cs="Tahoma"/>
          <w:bCs/>
          <w:iCs/>
          <w:color w:val="auto"/>
          <w:lang w:val="es-ES" w:eastAsia="es-ES"/>
        </w:rPr>
      </w:pPr>
    </w:p>
    <w:p w14:paraId="1871FDA9" w14:textId="49A858AF" w:rsidR="006A4B75" w:rsidRPr="00B50CE2" w:rsidRDefault="006A4B75" w:rsidP="00967419">
      <w:pPr>
        <w:spacing w:after="0" w:line="360" w:lineRule="auto"/>
        <w:contextualSpacing/>
        <w:rPr>
          <w:rFonts w:eastAsia="Times New Roman" w:cs="Tahoma"/>
          <w:bCs/>
          <w:iCs/>
          <w:color w:val="auto"/>
          <w:lang w:val="es-ES" w:eastAsia="es-ES"/>
        </w:rPr>
      </w:pPr>
      <w:r w:rsidRPr="00B50CE2">
        <w:rPr>
          <w:rFonts w:eastAsia="Times New Roman" w:cs="Tahoma"/>
          <w:bCs/>
          <w:iCs/>
          <w:color w:val="auto"/>
          <w:lang w:val="es-ES" w:eastAsia="es-ES"/>
        </w:rPr>
        <w:t>Conforme a lo anterior, se logra colegir que</w:t>
      </w:r>
      <w:r w:rsidR="00196019" w:rsidRPr="00B50CE2">
        <w:rPr>
          <w:rFonts w:eastAsia="Times New Roman" w:cs="Tahoma"/>
          <w:bCs/>
          <w:iCs/>
          <w:color w:val="auto"/>
          <w:lang w:val="es-ES" w:eastAsia="es-ES"/>
        </w:rPr>
        <w:t xml:space="preserve"> el trámite y</w:t>
      </w:r>
      <w:r w:rsidRPr="00B50CE2">
        <w:rPr>
          <w:rFonts w:eastAsia="Times New Roman" w:cs="Tahoma"/>
          <w:bCs/>
          <w:iCs/>
          <w:color w:val="auto"/>
          <w:lang w:val="es-ES" w:eastAsia="es-ES"/>
        </w:rPr>
        <w:t xml:space="preserve"> la</w:t>
      </w:r>
      <w:r w:rsidR="00196019" w:rsidRPr="00B50CE2">
        <w:rPr>
          <w:rFonts w:eastAsia="Times New Roman" w:cs="Tahoma"/>
          <w:bCs/>
          <w:iCs/>
          <w:color w:val="auto"/>
          <w:lang w:val="es-ES" w:eastAsia="es-ES"/>
        </w:rPr>
        <w:t xml:space="preserve"> expedición de</w:t>
      </w:r>
      <w:r w:rsidR="003F282A" w:rsidRPr="00B50CE2">
        <w:rPr>
          <w:rFonts w:eastAsia="Times New Roman" w:cs="Tahoma"/>
          <w:bCs/>
          <w:iCs/>
          <w:color w:val="auto"/>
          <w:lang w:val="es-ES" w:eastAsia="es-ES"/>
        </w:rPr>
        <w:t xml:space="preserve"> credenciales para votar</w:t>
      </w:r>
      <w:r w:rsidR="00196019" w:rsidRPr="00B50CE2">
        <w:rPr>
          <w:rFonts w:eastAsia="Times New Roman" w:cs="Tahoma"/>
          <w:bCs/>
          <w:iCs/>
          <w:color w:val="auto"/>
          <w:lang w:val="es-ES" w:eastAsia="es-ES"/>
        </w:rPr>
        <w:t xml:space="preserve"> son facultad del Instituto Nacional Electoral</w:t>
      </w:r>
      <w:r w:rsidRPr="00B50CE2">
        <w:rPr>
          <w:rFonts w:eastAsia="Times New Roman" w:cs="Tahoma"/>
          <w:bCs/>
          <w:iCs/>
          <w:color w:val="auto"/>
          <w:lang w:val="es-ES" w:eastAsia="es-ES"/>
        </w:rPr>
        <w:t xml:space="preserve">, </w:t>
      </w:r>
      <w:r w:rsidR="00196019" w:rsidRPr="00B50CE2">
        <w:rPr>
          <w:rFonts w:eastAsia="Times New Roman" w:cs="Tahoma"/>
          <w:bCs/>
          <w:iCs/>
          <w:color w:val="auto"/>
          <w:lang w:val="es-ES" w:eastAsia="es-ES"/>
        </w:rPr>
        <w:t>además de elaborar el Padrón Electoral con los nombres de aquellos que se les haya entregado dicho documento</w:t>
      </w:r>
      <w:r w:rsidRPr="00B50CE2">
        <w:rPr>
          <w:rFonts w:eastAsia="Times New Roman" w:cs="Tahoma"/>
          <w:bCs/>
          <w:iCs/>
          <w:color w:val="auto"/>
          <w:lang w:val="es-ES" w:eastAsia="es-ES"/>
        </w:rPr>
        <w:t>.</w:t>
      </w:r>
    </w:p>
    <w:p w14:paraId="681CF82F" w14:textId="77777777" w:rsidR="006A4B75" w:rsidRPr="00B50CE2" w:rsidRDefault="006A4B75" w:rsidP="00967419">
      <w:pPr>
        <w:spacing w:after="0" w:line="360" w:lineRule="auto"/>
        <w:contextualSpacing/>
        <w:rPr>
          <w:rFonts w:eastAsia="Times New Roman" w:cs="Tahoma"/>
          <w:bCs/>
          <w:iCs/>
          <w:color w:val="auto"/>
          <w:lang w:val="es-ES" w:eastAsia="es-ES"/>
        </w:rPr>
      </w:pPr>
    </w:p>
    <w:p w14:paraId="11FF60B5" w14:textId="745D5B00" w:rsidR="006A4B75" w:rsidRPr="00B50CE2" w:rsidRDefault="006A4B75" w:rsidP="00967419">
      <w:pPr>
        <w:spacing w:after="0" w:line="360" w:lineRule="auto"/>
        <w:contextualSpacing/>
      </w:pPr>
      <w:r w:rsidRPr="00B50CE2">
        <w:rPr>
          <w:rFonts w:eastAsia="Times New Roman" w:cs="Tahoma"/>
          <w:bCs/>
          <w:iCs/>
          <w:color w:val="auto"/>
          <w:lang w:val="es-ES" w:eastAsia="es-ES"/>
        </w:rPr>
        <w:t>En ese orden de ideas, es necesario traer a colación el Directorio de Sujetos Obligados, publicado en la página de</w:t>
      </w:r>
      <w:r w:rsidR="00196019" w:rsidRPr="00B50CE2">
        <w:rPr>
          <w:rFonts w:eastAsia="Times New Roman" w:cs="Tahoma"/>
          <w:bCs/>
          <w:iCs/>
          <w:color w:val="auto"/>
          <w:lang w:val="es-ES" w:eastAsia="es-ES"/>
        </w:rPr>
        <w:t xml:space="preserve">l </w:t>
      </w:r>
      <w:r w:rsidRPr="00B50CE2">
        <w:rPr>
          <w:rFonts w:eastAsia="Times New Roman" w:cs="Tahoma"/>
          <w:bCs/>
          <w:iCs/>
          <w:color w:val="auto"/>
          <w:lang w:val="es-ES" w:eastAsia="es-ES"/>
        </w:rPr>
        <w:t xml:space="preserve"> </w:t>
      </w:r>
      <w:r w:rsidR="00196019" w:rsidRPr="00B50CE2">
        <w:rPr>
          <w:rFonts w:eastAsia="Times New Roman" w:cs="Tahoma"/>
          <w:bCs/>
          <w:iCs/>
          <w:color w:val="auto"/>
          <w:lang w:val="es-ES" w:eastAsia="es-ES"/>
        </w:rPr>
        <w:t xml:space="preserve">Instituto Nacional </w:t>
      </w:r>
      <w:r w:rsidR="000A5432" w:rsidRPr="00B50CE2">
        <w:rPr>
          <w:rFonts w:eastAsia="Times New Roman" w:cs="Tahoma"/>
          <w:bCs/>
          <w:iCs/>
          <w:color w:val="auto"/>
          <w:lang w:val="es-ES" w:eastAsia="es-ES"/>
        </w:rPr>
        <w:t xml:space="preserve">de Transparencia Acceso a la Información y Protección de Datos Personales, en el apartado de Acceso a la Información </w:t>
      </w:r>
      <w:r w:rsidRPr="00B50CE2">
        <w:rPr>
          <w:rFonts w:eastAsia="Times New Roman" w:cs="Tahoma"/>
          <w:bCs/>
          <w:iCs/>
          <w:color w:val="auto"/>
          <w:lang w:val="es-ES" w:eastAsia="es-ES"/>
        </w:rPr>
        <w:t xml:space="preserve">y Directorio de </w:t>
      </w:r>
      <w:r w:rsidR="000A5432" w:rsidRPr="00B50CE2">
        <w:rPr>
          <w:rFonts w:eastAsia="Times New Roman" w:cs="Tahoma"/>
          <w:bCs/>
          <w:iCs/>
          <w:color w:val="auto"/>
          <w:lang w:val="es-ES" w:eastAsia="es-ES"/>
        </w:rPr>
        <w:t>Unidades de Transparencia (Consultado el ocho de febrero de dos mil veintidós)</w:t>
      </w:r>
      <w:r w:rsidRPr="00B50CE2">
        <w:rPr>
          <w:rFonts w:eastAsia="Times New Roman" w:cs="Tahoma"/>
          <w:bCs/>
          <w:iCs/>
          <w:color w:val="auto"/>
          <w:lang w:val="es-ES" w:eastAsia="es-ES"/>
        </w:rPr>
        <w:t xml:space="preserve">, </w:t>
      </w:r>
      <w:hyperlink r:id="rId10" w:history="1">
        <w:r w:rsidR="000A5432" w:rsidRPr="00B50CE2">
          <w:rPr>
            <w:rStyle w:val="Hipervnculo"/>
            <w:rFonts w:eastAsia="Times New Roman" w:cs="Tahoma"/>
            <w:bCs/>
            <w:iCs/>
            <w:lang w:val="es-ES" w:eastAsia="es-ES"/>
          </w:rPr>
          <w:t>https://home.inai.org.mx/</w:t>
        </w:r>
      </w:hyperlink>
      <w:r w:rsidR="000A5432" w:rsidRPr="00B50CE2">
        <w:rPr>
          <w:rFonts w:eastAsia="Times New Roman" w:cs="Tahoma"/>
          <w:bCs/>
          <w:iCs/>
          <w:color w:val="auto"/>
          <w:lang w:val="es-ES" w:eastAsia="es-ES"/>
        </w:rPr>
        <w:t xml:space="preserve"> a través del cual se logra colegir que el Instituto Nacional Electoral es un Organismo autónomo y forma parte del padrón de Sujetos Obligados en el ámbito federal</w:t>
      </w:r>
      <w:r w:rsidRPr="00B50CE2">
        <w:t>,</w:t>
      </w:r>
      <w:r w:rsidR="000A5432" w:rsidRPr="00B50CE2">
        <w:t xml:space="preserve"> por lo cual </w:t>
      </w:r>
      <w:r w:rsidR="00A75C68" w:rsidRPr="00B50CE2">
        <w:t>se concluye</w:t>
      </w:r>
      <w:r w:rsidR="000A5432" w:rsidRPr="00B50CE2">
        <w:t xml:space="preserve"> que el Ayuntamiento de Zinacantepec y el Instituto Nacional Electoral </w:t>
      </w:r>
      <w:r w:rsidRPr="00B50CE2">
        <w:t xml:space="preserve"> son </w:t>
      </w:r>
      <w:r w:rsidR="00A75C68" w:rsidRPr="00B50CE2">
        <w:t>entes distintos en materia de transparencia</w:t>
      </w:r>
      <w:r w:rsidR="00967419" w:rsidRPr="00B50CE2">
        <w:t>.</w:t>
      </w:r>
    </w:p>
    <w:p w14:paraId="6CCC6295" w14:textId="77777777" w:rsidR="00967419" w:rsidRPr="00B50CE2" w:rsidRDefault="00967419" w:rsidP="00967419">
      <w:pPr>
        <w:spacing w:after="0" w:line="360" w:lineRule="auto"/>
        <w:contextualSpacing/>
      </w:pPr>
    </w:p>
    <w:p w14:paraId="0D2DBF85" w14:textId="6BF92ED5" w:rsidR="006A4B75" w:rsidRPr="00B50CE2" w:rsidRDefault="006A4B75" w:rsidP="00967419">
      <w:pPr>
        <w:spacing w:after="0" w:line="360" w:lineRule="auto"/>
        <w:contextualSpacing/>
      </w:pPr>
      <w:r w:rsidRPr="00B50CE2">
        <w:t xml:space="preserve">Conforme a lo anterior, se logra verificar que el Instituto </w:t>
      </w:r>
      <w:r w:rsidR="00967419" w:rsidRPr="00B50CE2">
        <w:t>Nacional Electoral</w:t>
      </w:r>
      <w:r w:rsidRPr="00B50CE2">
        <w:t xml:space="preserve"> es la dependencia con atribuciones para conocer de lo requerido; con lo cual, se logra ratificar que </w:t>
      </w:r>
      <w:r w:rsidR="00967419" w:rsidRPr="00B50CE2">
        <w:rPr>
          <w:rFonts w:eastAsia="Calibri" w:cs="Tahoma"/>
          <w:bCs/>
        </w:rPr>
        <w:t xml:space="preserve">el </w:t>
      </w:r>
      <w:r w:rsidR="00967419" w:rsidRPr="00B50CE2">
        <w:rPr>
          <w:rFonts w:eastAsia="Calibri" w:cs="Tahoma"/>
          <w:bCs/>
        </w:rPr>
        <w:lastRenderedPageBreak/>
        <w:t>Ayuntamiento de Zinacantepec</w:t>
      </w:r>
      <w:r w:rsidR="00A75C68" w:rsidRPr="00B50CE2">
        <w:rPr>
          <w:rFonts w:eastAsia="Calibri" w:cs="Tahoma"/>
          <w:bCs/>
        </w:rPr>
        <w:t xml:space="preserve"> es </w:t>
      </w:r>
      <w:r w:rsidR="00A75C68" w:rsidRPr="00B50CE2">
        <w:rPr>
          <w:rFonts w:eastAsia="Calibri" w:cs="Tahoma"/>
          <w:b/>
        </w:rPr>
        <w:t>notoriamente incompetente</w:t>
      </w:r>
      <w:r w:rsidRPr="00B50CE2">
        <w:rPr>
          <w:rFonts w:eastAsia="Calibri" w:cs="Tahoma"/>
          <w:bCs/>
        </w:rPr>
        <w:t xml:space="preserve"> para conocer de la información solicitada por el Particular</w:t>
      </w:r>
      <w:r w:rsidR="00967419" w:rsidRPr="00B50CE2">
        <w:rPr>
          <w:rFonts w:eastAsia="Calibri" w:cs="Tahoma"/>
          <w:bCs/>
        </w:rPr>
        <w:t>.</w:t>
      </w:r>
    </w:p>
    <w:p w14:paraId="2F191AE6" w14:textId="77777777" w:rsidR="006A4B75" w:rsidRPr="00B50CE2" w:rsidRDefault="006A4B75" w:rsidP="00967419">
      <w:pPr>
        <w:spacing w:after="0" w:line="360" w:lineRule="auto"/>
        <w:contextualSpacing/>
        <w:rPr>
          <w:rFonts w:eastAsia="Times New Roman" w:cs="Tahoma"/>
          <w:color w:val="auto"/>
          <w:lang w:eastAsia="es-ES"/>
        </w:rPr>
      </w:pPr>
    </w:p>
    <w:p w14:paraId="7129AB44" w14:textId="77777777" w:rsidR="006A4B75" w:rsidRPr="00B50CE2" w:rsidRDefault="006A4B75" w:rsidP="00967419">
      <w:pPr>
        <w:tabs>
          <w:tab w:val="left" w:pos="4962"/>
        </w:tabs>
        <w:spacing w:after="0" w:line="360" w:lineRule="auto"/>
        <w:contextualSpacing/>
        <w:rPr>
          <w:rFonts w:eastAsia="Times New Roman" w:cs="Tahoma"/>
          <w:color w:val="auto"/>
          <w:lang w:eastAsia="es-ES"/>
        </w:rPr>
      </w:pPr>
      <w:r w:rsidRPr="00B50CE2">
        <w:rPr>
          <w:rFonts w:eastAsia="Times New Roman" w:cs="Tahoma"/>
          <w:color w:val="auto"/>
          <w:lang w:eastAsia="es-ES"/>
        </w:rPr>
        <w:t xml:space="preserve">Ahora bien, es necesario traer a colación el </w:t>
      </w:r>
      <w:r w:rsidRPr="00B50CE2">
        <w:rPr>
          <w:rFonts w:eastAsia="Calibri" w:cs="Tahoma"/>
          <w:bCs/>
          <w:color w:val="000000"/>
          <w:lang w:val="es-ES"/>
        </w:rPr>
        <w:t xml:space="preserve">Criterio de Interpretación, de la Segunda Época, con clave de control </w:t>
      </w:r>
      <w:r w:rsidRPr="00B50CE2">
        <w:rPr>
          <w:rFonts w:eastAsia="Calibri" w:cs="Tahoma"/>
          <w:bCs/>
          <w:color w:val="000000"/>
        </w:rPr>
        <w:t>SO/002/2020</w:t>
      </w:r>
      <w:r w:rsidRPr="00B50CE2">
        <w:rPr>
          <w:rFonts w:eastAsia="Times New Roman" w:cs="Tahoma"/>
          <w:color w:val="auto"/>
          <w:lang w:eastAsia="es-ES"/>
        </w:rPr>
        <w:t>,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14:paraId="669C3501" w14:textId="77777777" w:rsidR="006A4B75" w:rsidRPr="00B50CE2" w:rsidRDefault="006A4B75" w:rsidP="00967419">
      <w:pPr>
        <w:tabs>
          <w:tab w:val="left" w:pos="4962"/>
        </w:tabs>
        <w:spacing w:after="0" w:line="360" w:lineRule="auto"/>
        <w:contextualSpacing/>
        <w:rPr>
          <w:rFonts w:eastAsia="Times New Roman" w:cs="Tahoma"/>
          <w:color w:val="auto"/>
          <w:lang w:eastAsia="es-ES"/>
        </w:rPr>
      </w:pPr>
    </w:p>
    <w:p w14:paraId="11AA5762" w14:textId="448E0B93" w:rsidR="006A4B75" w:rsidRPr="00B50CE2" w:rsidRDefault="006A4B75" w:rsidP="00967419">
      <w:pPr>
        <w:tabs>
          <w:tab w:val="left" w:pos="4962"/>
        </w:tabs>
        <w:spacing w:after="0" w:line="360" w:lineRule="auto"/>
        <w:contextualSpacing/>
        <w:rPr>
          <w:rFonts w:eastAsia="Times New Roman" w:cs="Tahoma"/>
          <w:b/>
          <w:bCs/>
          <w:color w:val="auto"/>
          <w:lang w:eastAsia="es-ES"/>
        </w:rPr>
      </w:pPr>
      <w:r w:rsidRPr="00B50CE2">
        <w:rPr>
          <w:rFonts w:eastAsia="Times New Roman" w:cs="Tahoma"/>
          <w:color w:val="auto"/>
          <w:lang w:eastAsia="es-ES"/>
        </w:rPr>
        <w:t xml:space="preserve">Al respecto, en el presente caso, si bien la </w:t>
      </w:r>
      <w:r w:rsidRPr="00B50CE2">
        <w:rPr>
          <w:rFonts w:eastAsia="Times New Roman" w:cs="Tahoma"/>
          <w:b/>
          <w:color w:val="auto"/>
          <w:lang w:eastAsia="es-ES"/>
        </w:rPr>
        <w:t>incompetencia es notoria</w:t>
      </w:r>
      <w:r w:rsidRPr="00B50CE2">
        <w:rPr>
          <w:rFonts w:eastAsia="Times New Roman" w:cs="Tahoma"/>
          <w:color w:val="auto"/>
          <w:lang w:eastAsia="es-ES"/>
        </w:rPr>
        <w:t xml:space="preserve">, pues de las atribuciones del Ente Recurrido, no se localizó ninguna donde se advierta que pueda contar con lo peticionado, también lo es que </w:t>
      </w:r>
      <w:r w:rsidR="00967419" w:rsidRPr="00B50CE2">
        <w:rPr>
          <w:rFonts w:eastAsia="Times New Roman" w:cs="Tahoma"/>
          <w:color w:val="auto"/>
          <w:lang w:eastAsia="es-ES"/>
        </w:rPr>
        <w:t>el Ayuntamiento de Zinacantepec</w:t>
      </w:r>
      <w:r w:rsidRPr="00B50CE2">
        <w:rPr>
          <w:rFonts w:eastAsia="Times New Roman" w:cs="Tahoma"/>
          <w:color w:val="auto"/>
          <w:lang w:eastAsia="es-ES"/>
        </w:rPr>
        <w:t xml:space="preserve">, no manifestó su incompetencia dentro del plazo establecido en la ley, lo cual da como resultado que el agravio sea </w:t>
      </w:r>
      <w:r w:rsidRPr="00B50CE2">
        <w:rPr>
          <w:rFonts w:eastAsia="Times New Roman" w:cs="Tahoma"/>
          <w:b/>
          <w:color w:val="auto"/>
          <w:lang w:eastAsia="es-ES"/>
        </w:rPr>
        <w:t xml:space="preserve">PARCIALMENTE FUNDADO. </w:t>
      </w:r>
    </w:p>
    <w:p w14:paraId="4EE71348" w14:textId="77777777" w:rsidR="006A4B75" w:rsidRPr="00B50CE2" w:rsidRDefault="006A4B75" w:rsidP="00967419">
      <w:pPr>
        <w:tabs>
          <w:tab w:val="left" w:pos="4962"/>
        </w:tabs>
        <w:spacing w:after="0" w:line="360" w:lineRule="auto"/>
        <w:ind w:right="-28"/>
        <w:contextualSpacing/>
        <w:rPr>
          <w:rFonts w:eastAsia="Calibri" w:cs="Tahoma"/>
          <w:iCs/>
          <w:color w:val="auto"/>
          <w:szCs w:val="24"/>
          <w:lang w:val="es-ES" w:eastAsia="es-ES_tradnl"/>
        </w:rPr>
      </w:pPr>
    </w:p>
    <w:p w14:paraId="11DB9257" w14:textId="47E85E12" w:rsidR="006A4B75" w:rsidRPr="00B50CE2" w:rsidRDefault="006A4B75" w:rsidP="00967419">
      <w:pPr>
        <w:spacing w:after="0" w:line="360" w:lineRule="auto"/>
        <w:contextualSpacing/>
        <w:rPr>
          <w:rFonts w:eastAsia="Times New Roman" w:cs="Tahoma"/>
          <w:bCs/>
          <w:iCs/>
          <w:color w:val="auto"/>
          <w:lang w:eastAsia="es-ES"/>
        </w:rPr>
      </w:pPr>
      <w:r w:rsidRPr="00B50CE2">
        <w:rPr>
          <w:rFonts w:eastAsia="Times New Roman" w:cs="Tahoma"/>
          <w:bCs/>
          <w:iCs/>
          <w:color w:val="auto"/>
          <w:lang w:eastAsia="es-ES"/>
        </w:rPr>
        <w:t xml:space="preserve">Por lo cual, para dar por atendida la solicitud de acceso a la información, se considera procedente ordenar la entrega del Acuerdo emitido por el Comité de Transparencia del Ente Recurrido, a efecto de confirmar la incompetencia para conocer de </w:t>
      </w:r>
      <w:r w:rsidR="00967419" w:rsidRPr="00B50CE2">
        <w:rPr>
          <w:rFonts w:eastAsia="Times New Roman" w:cs="Tahoma"/>
          <w:bCs/>
          <w:iCs/>
          <w:color w:val="auto"/>
          <w:lang w:eastAsia="es-ES"/>
        </w:rPr>
        <w:t>las credenciales para votar emitidas durante el año dos mil veintidós.</w:t>
      </w:r>
    </w:p>
    <w:p w14:paraId="2F89DDA3" w14:textId="77777777" w:rsidR="006A4B75" w:rsidRPr="00B50CE2" w:rsidRDefault="006A4B75" w:rsidP="00967419">
      <w:pPr>
        <w:spacing w:after="0" w:line="360" w:lineRule="auto"/>
        <w:contextualSpacing/>
        <w:rPr>
          <w:rFonts w:eastAsia="Times New Roman" w:cs="Tahoma"/>
          <w:b/>
          <w:color w:val="auto"/>
          <w:lang w:val="es-ES" w:eastAsia="es-ES"/>
        </w:rPr>
      </w:pPr>
    </w:p>
    <w:p w14:paraId="57087B5F" w14:textId="77777777" w:rsidR="006A4B75" w:rsidRPr="00B50CE2" w:rsidRDefault="006A4B75" w:rsidP="00967419">
      <w:pPr>
        <w:spacing w:after="0" w:line="360" w:lineRule="auto"/>
        <w:contextualSpacing/>
        <w:rPr>
          <w:rFonts w:eastAsia="Calibri" w:cs="Tahoma"/>
          <w:b/>
          <w:color w:val="auto"/>
        </w:rPr>
      </w:pPr>
      <w:r w:rsidRPr="00B50CE2">
        <w:rPr>
          <w:rFonts w:eastAsia="Calibri" w:cs="Tahoma"/>
          <w:b/>
          <w:color w:val="auto"/>
        </w:rPr>
        <w:t xml:space="preserve">SEXTO. Decisión. </w:t>
      </w:r>
    </w:p>
    <w:p w14:paraId="7B71DE73" w14:textId="77777777" w:rsidR="006A4B75" w:rsidRPr="00B50CE2" w:rsidRDefault="006A4B75" w:rsidP="00967419">
      <w:pPr>
        <w:spacing w:after="0" w:line="360" w:lineRule="auto"/>
        <w:contextualSpacing/>
        <w:rPr>
          <w:rFonts w:eastAsia="Calibri" w:cs="Tahoma"/>
          <w:b/>
          <w:color w:val="auto"/>
        </w:rPr>
      </w:pPr>
    </w:p>
    <w:p w14:paraId="5A6FD40B" w14:textId="5507E704" w:rsidR="006A4B75" w:rsidRPr="00B50CE2" w:rsidRDefault="006A4B75" w:rsidP="00967419">
      <w:pPr>
        <w:spacing w:after="0" w:line="360" w:lineRule="auto"/>
        <w:contextualSpacing/>
        <w:rPr>
          <w:rFonts w:eastAsia="Times New Roman" w:cs="Tahoma"/>
          <w:bCs/>
          <w:iCs/>
          <w:color w:val="auto"/>
          <w:lang w:eastAsia="es-ES"/>
        </w:rPr>
      </w:pPr>
      <w:r w:rsidRPr="00B50CE2">
        <w:rPr>
          <w:rFonts w:cs="Tahoma"/>
        </w:rPr>
        <w:t xml:space="preserve">Con fundamento en el artículo 186, fracción III, de la Ley de Transparencia y Acceso a la Información Pública del Estado de México y Municipios, este Instituto considera procedente </w:t>
      </w:r>
      <w:r w:rsidRPr="00B50CE2">
        <w:rPr>
          <w:rFonts w:cs="Tahoma"/>
          <w:b/>
        </w:rPr>
        <w:t xml:space="preserve">MODIFICAR </w:t>
      </w:r>
      <w:r w:rsidRPr="00B50CE2">
        <w:rPr>
          <w:rFonts w:cs="Tahoma"/>
          <w:bCs/>
        </w:rPr>
        <w:t>la</w:t>
      </w:r>
      <w:r w:rsidRPr="00B50CE2">
        <w:rPr>
          <w:rFonts w:cs="Tahoma"/>
        </w:rPr>
        <w:t xml:space="preserve"> respuesta otorgada por </w:t>
      </w:r>
      <w:r w:rsidR="00967419" w:rsidRPr="00B50CE2">
        <w:rPr>
          <w:rFonts w:cs="Tahoma"/>
        </w:rPr>
        <w:t>el Ayuntamiento de Zinacantepec</w:t>
      </w:r>
      <w:r w:rsidRPr="00B50CE2">
        <w:rPr>
          <w:rFonts w:eastAsia="Calibri" w:cs="Tahoma"/>
        </w:rPr>
        <w:t xml:space="preserve">, </w:t>
      </w:r>
      <w:r w:rsidRPr="00B50CE2">
        <w:rPr>
          <w:rFonts w:cs="Tahoma"/>
        </w:rPr>
        <w:t xml:space="preserve">a efecto de que </w:t>
      </w:r>
      <w:r w:rsidRPr="00B50CE2">
        <w:rPr>
          <w:rFonts w:cs="Tahoma"/>
        </w:rPr>
        <w:lastRenderedPageBreak/>
        <w:t>entregue,</w:t>
      </w:r>
      <w:r w:rsidRPr="00B50CE2">
        <w:rPr>
          <w:rFonts w:eastAsia="Calibri" w:cs="Tahoma"/>
          <w:iCs/>
          <w:lang w:eastAsia="es-ES_tradnl"/>
        </w:rPr>
        <w:t xml:space="preserve"> el </w:t>
      </w:r>
      <w:r w:rsidRPr="00B50CE2">
        <w:rPr>
          <w:rFonts w:cs="Tahoma"/>
          <w:lang w:val="es-ES_tradnl"/>
        </w:rPr>
        <w:t>Acuerdo emitido por el Comité de Transparencia, que confirme la incompetencia para conocer</w:t>
      </w:r>
      <w:r w:rsidRPr="00B50CE2">
        <w:rPr>
          <w:rFonts w:eastAsia="Times New Roman" w:cs="Tahoma"/>
          <w:bCs/>
          <w:iCs/>
          <w:color w:val="auto"/>
          <w:lang w:eastAsia="es-ES"/>
        </w:rPr>
        <w:t xml:space="preserve"> </w:t>
      </w:r>
      <w:r w:rsidR="00967419" w:rsidRPr="00B50CE2">
        <w:rPr>
          <w:rFonts w:eastAsia="Times New Roman" w:cs="Tahoma"/>
          <w:bCs/>
          <w:iCs/>
          <w:color w:val="auto"/>
          <w:lang w:eastAsia="es-ES"/>
        </w:rPr>
        <w:t xml:space="preserve">sobre las credenciales para votar emitidas durante </w:t>
      </w:r>
      <w:r w:rsidR="00A75C68" w:rsidRPr="00B50CE2">
        <w:rPr>
          <w:rFonts w:eastAsia="Times New Roman" w:cs="Tahoma"/>
          <w:bCs/>
          <w:iCs/>
          <w:color w:val="auto"/>
          <w:lang w:eastAsia="es-ES"/>
        </w:rPr>
        <w:t>el</w:t>
      </w:r>
      <w:r w:rsidR="00967419" w:rsidRPr="00B50CE2">
        <w:rPr>
          <w:rFonts w:eastAsia="Times New Roman" w:cs="Tahoma"/>
          <w:bCs/>
          <w:iCs/>
          <w:color w:val="auto"/>
          <w:lang w:eastAsia="es-ES"/>
        </w:rPr>
        <w:t xml:space="preserve"> dos mil veintidós.</w:t>
      </w:r>
    </w:p>
    <w:p w14:paraId="0F2683FD" w14:textId="77777777" w:rsidR="006A4B75" w:rsidRPr="00B50CE2" w:rsidRDefault="006A4B75" w:rsidP="00967419">
      <w:pPr>
        <w:widowControl w:val="0"/>
        <w:spacing w:after="0" w:line="360" w:lineRule="auto"/>
        <w:contextualSpacing/>
        <w:rPr>
          <w:rFonts w:eastAsia="Times New Roman" w:cs="Tahoma"/>
          <w:color w:val="auto"/>
          <w:sz w:val="20"/>
          <w:lang w:eastAsia="es-ES"/>
        </w:rPr>
      </w:pPr>
    </w:p>
    <w:p w14:paraId="53A23A28" w14:textId="77777777" w:rsidR="006A4B75" w:rsidRPr="00B50CE2" w:rsidRDefault="006A4B75" w:rsidP="00967419">
      <w:pPr>
        <w:spacing w:after="0" w:line="360" w:lineRule="auto"/>
        <w:contextualSpacing/>
        <w:rPr>
          <w:rFonts w:eastAsia="Calibri" w:cs="Tahoma"/>
          <w:b/>
          <w:bCs/>
          <w:color w:val="auto"/>
        </w:rPr>
      </w:pPr>
      <w:r w:rsidRPr="00B50CE2">
        <w:rPr>
          <w:rFonts w:eastAsia="Calibri" w:cs="Tahoma"/>
          <w:b/>
          <w:bCs/>
          <w:color w:val="auto"/>
        </w:rPr>
        <w:t>Términos de la Resolución para conocimiento del Particular.</w:t>
      </w:r>
    </w:p>
    <w:p w14:paraId="119DE1AF" w14:textId="77777777" w:rsidR="006A4B75" w:rsidRPr="00B50CE2" w:rsidRDefault="006A4B75" w:rsidP="00967419">
      <w:pPr>
        <w:spacing w:after="0" w:line="360" w:lineRule="auto"/>
        <w:contextualSpacing/>
        <w:rPr>
          <w:rFonts w:eastAsia="Calibri" w:cs="Tahoma"/>
          <w:b/>
          <w:bCs/>
          <w:color w:val="auto"/>
        </w:rPr>
      </w:pPr>
    </w:p>
    <w:p w14:paraId="70E79F2F" w14:textId="57BC58DA" w:rsidR="006A4B75" w:rsidRPr="00B50CE2" w:rsidRDefault="006A4B75" w:rsidP="00967419">
      <w:pPr>
        <w:widowControl w:val="0"/>
        <w:spacing w:after="0" w:line="360" w:lineRule="auto"/>
        <w:contextualSpacing/>
        <w:rPr>
          <w:rFonts w:eastAsia="Calibri" w:cs="Tahoma"/>
          <w:bCs/>
          <w:iCs/>
          <w:color w:val="auto"/>
          <w:lang w:val="es-ES_tradnl"/>
        </w:rPr>
      </w:pPr>
      <w:r w:rsidRPr="00B50CE2">
        <w:rPr>
          <w:rFonts w:eastAsia="Calibri" w:cs="Tahoma"/>
          <w:bCs/>
          <w:iCs/>
          <w:color w:val="000000"/>
        </w:rPr>
        <w:t xml:space="preserve">Se le hace del conocimiento al Particular, que, en el presente caso, se le concede parcialmente la razón, </w:t>
      </w:r>
      <w:r w:rsidR="00A75C68" w:rsidRPr="00B50CE2">
        <w:rPr>
          <w:rFonts w:eastAsia="Calibri" w:cs="Tahoma"/>
          <w:bCs/>
          <w:iCs/>
          <w:color w:val="000000"/>
        </w:rPr>
        <w:t>ya que,</w:t>
      </w:r>
      <w:r w:rsidRPr="00B50CE2">
        <w:rPr>
          <w:rFonts w:eastAsia="Calibri" w:cs="Tahoma"/>
          <w:bCs/>
          <w:iCs/>
          <w:color w:val="000000"/>
        </w:rPr>
        <w:t xml:space="preserve"> si bien el Sujeto Obligado es notoriamente incompetente para conocer de lo requerido, omitió proporcionarle el Acuerdo emitido por el Comité de Transparencia, mediante el cual de manera fundada y motivada, le informará dicha situación. </w:t>
      </w:r>
      <w:r w:rsidRPr="00B50CE2">
        <w:rPr>
          <w:rFonts w:eastAsia="Calibri" w:cs="Tahoma"/>
          <w:bCs/>
          <w:iCs/>
          <w:color w:val="auto"/>
          <w:lang w:val="es-ES_tradnl"/>
        </w:rPr>
        <w:t>La labor del Instituto, es apoyar a la población a acceder a la información pública y garantizar la protección de los datos personales.</w:t>
      </w:r>
    </w:p>
    <w:p w14:paraId="00D2B927" w14:textId="77777777" w:rsidR="006A4B75" w:rsidRPr="00B50CE2" w:rsidRDefault="006A4B75" w:rsidP="00967419">
      <w:pPr>
        <w:spacing w:after="0" w:line="360" w:lineRule="auto"/>
        <w:contextualSpacing/>
        <w:rPr>
          <w:rFonts w:eastAsia="Calibri" w:cs="Tahoma"/>
          <w:color w:val="auto"/>
          <w:lang w:eastAsia="es-ES"/>
        </w:rPr>
      </w:pPr>
    </w:p>
    <w:p w14:paraId="2F15B003" w14:textId="77777777" w:rsidR="006A4B75" w:rsidRPr="00B50CE2" w:rsidRDefault="006A4B75" w:rsidP="00967419">
      <w:pPr>
        <w:spacing w:after="0" w:line="360" w:lineRule="auto"/>
        <w:contextualSpacing/>
        <w:rPr>
          <w:rFonts w:eastAsia="Calibri" w:cs="Tahoma"/>
          <w:bCs/>
          <w:color w:val="auto"/>
        </w:rPr>
      </w:pPr>
      <w:r w:rsidRPr="00B50CE2">
        <w:rPr>
          <w:rFonts w:eastAsia="Calibri" w:cs="Tahoma"/>
          <w:bCs/>
          <w:color w:val="auto"/>
        </w:rPr>
        <w:t>Por lo expuesto y fundado, este Pleno:</w:t>
      </w:r>
    </w:p>
    <w:p w14:paraId="6E0E2853" w14:textId="77777777" w:rsidR="006A4B75" w:rsidRPr="00B50CE2" w:rsidRDefault="006A4B75" w:rsidP="00967419">
      <w:pPr>
        <w:spacing w:after="0" w:line="360" w:lineRule="auto"/>
        <w:ind w:right="-91"/>
        <w:contextualSpacing/>
        <w:jc w:val="left"/>
        <w:rPr>
          <w:rFonts w:eastAsia="Calibri" w:cs="Tahoma"/>
          <w:b/>
          <w:bCs/>
          <w:color w:val="auto"/>
        </w:rPr>
      </w:pPr>
    </w:p>
    <w:p w14:paraId="302DD733" w14:textId="77777777" w:rsidR="006A4B75" w:rsidRPr="00B50CE2" w:rsidRDefault="006A4B75" w:rsidP="00967419">
      <w:pPr>
        <w:spacing w:after="0" w:line="360" w:lineRule="auto"/>
        <w:ind w:right="-91"/>
        <w:contextualSpacing/>
        <w:jc w:val="center"/>
        <w:rPr>
          <w:rFonts w:eastAsia="Calibri" w:cs="Tahoma"/>
          <w:b/>
          <w:bCs/>
          <w:color w:val="auto"/>
        </w:rPr>
      </w:pPr>
      <w:r w:rsidRPr="00B50CE2">
        <w:rPr>
          <w:rFonts w:eastAsia="Calibri" w:cs="Tahoma"/>
          <w:b/>
          <w:bCs/>
          <w:color w:val="auto"/>
        </w:rPr>
        <w:t>R E S U E L V E:</w:t>
      </w:r>
    </w:p>
    <w:p w14:paraId="69A59611" w14:textId="77777777" w:rsidR="006A4B75" w:rsidRPr="00B50CE2" w:rsidRDefault="006A4B75" w:rsidP="00967419">
      <w:pPr>
        <w:spacing w:after="0" w:line="360" w:lineRule="auto"/>
        <w:ind w:right="-91"/>
        <w:contextualSpacing/>
        <w:jc w:val="center"/>
        <w:rPr>
          <w:rFonts w:eastAsia="Calibri" w:cs="Tahoma"/>
          <w:b/>
          <w:bCs/>
          <w:color w:val="auto"/>
        </w:rPr>
      </w:pPr>
    </w:p>
    <w:p w14:paraId="107B0284" w14:textId="1F1FBB44" w:rsidR="006A4B75" w:rsidRPr="00B50CE2" w:rsidRDefault="006A4B75" w:rsidP="00967419">
      <w:pPr>
        <w:spacing w:after="0" w:line="360" w:lineRule="auto"/>
        <w:contextualSpacing/>
        <w:rPr>
          <w:rFonts w:eastAsia="Calibri" w:cs="Tahoma"/>
          <w:bCs/>
        </w:rPr>
      </w:pPr>
      <w:r w:rsidRPr="00B50CE2">
        <w:rPr>
          <w:rFonts w:eastAsia="Calibri" w:cs="Tahoma"/>
          <w:b/>
          <w:bCs/>
          <w:iCs/>
          <w:color w:val="auto"/>
        </w:rPr>
        <w:t xml:space="preserve">PRIMERO. </w:t>
      </w:r>
      <w:r w:rsidRPr="00B50CE2">
        <w:rPr>
          <w:rFonts w:cs="Tahoma"/>
          <w:bCs/>
        </w:rPr>
        <w:t xml:space="preserve">Se </w:t>
      </w:r>
      <w:r w:rsidRPr="00B50CE2">
        <w:rPr>
          <w:rFonts w:cs="Tahoma"/>
          <w:b/>
          <w:bCs/>
        </w:rPr>
        <w:t>MODIFICA</w:t>
      </w:r>
      <w:r w:rsidRPr="00B50CE2">
        <w:rPr>
          <w:rFonts w:cs="Tahoma"/>
          <w:bCs/>
        </w:rPr>
        <w:t xml:space="preserve"> la respuesta entregada por </w:t>
      </w:r>
      <w:r w:rsidR="002409B4" w:rsidRPr="00B50CE2">
        <w:rPr>
          <w:rFonts w:cs="Tahoma"/>
          <w:bCs/>
        </w:rPr>
        <w:t>el Sujeto Obligado</w:t>
      </w:r>
      <w:r w:rsidRPr="00B50CE2">
        <w:rPr>
          <w:rFonts w:cs="Tahoma"/>
          <w:bCs/>
        </w:rPr>
        <w:t xml:space="preserve">, a la solicitud de </w:t>
      </w:r>
      <w:r w:rsidRPr="00B50CE2">
        <w:rPr>
          <w:rFonts w:eastAsia="Calibri" w:cs="Tahoma"/>
        </w:rPr>
        <w:t xml:space="preserve">información </w:t>
      </w:r>
      <w:r w:rsidR="00967419" w:rsidRPr="00B50CE2">
        <w:rPr>
          <w:color w:val="auto"/>
        </w:rPr>
        <w:t>00846/ZINACANT/IP/2022</w:t>
      </w:r>
      <w:r w:rsidRPr="00B50CE2">
        <w:rPr>
          <w:rFonts w:eastAsia="Calibri" w:cs="Tahoma"/>
          <w:bCs/>
        </w:rPr>
        <w:t xml:space="preserve">, </w:t>
      </w:r>
      <w:r w:rsidRPr="00B50CE2">
        <w:t xml:space="preserve">por resultar </w:t>
      </w:r>
      <w:r w:rsidRPr="00B50CE2">
        <w:rPr>
          <w:b/>
        </w:rPr>
        <w:t>PARCIALMENTE FUNDADAS</w:t>
      </w:r>
      <w:r w:rsidRPr="00B50CE2">
        <w:rPr>
          <w:rFonts w:cs="Tahoma"/>
        </w:rPr>
        <w:t xml:space="preserve"> </w:t>
      </w:r>
      <w:r w:rsidRPr="00B50CE2">
        <w:rPr>
          <w:rFonts w:eastAsia="Calibri" w:cs="Tahoma"/>
        </w:rPr>
        <w:t>las razones o motivos de inconformidad hechos valer por el Particular, en</w:t>
      </w:r>
      <w:r w:rsidRPr="00B50CE2">
        <w:rPr>
          <w:rFonts w:eastAsia="Calibri" w:cs="Tahoma"/>
          <w:bCs/>
        </w:rPr>
        <w:t xml:space="preserve"> términos de los considerandos QUINTO </w:t>
      </w:r>
      <w:r w:rsidRPr="00B50CE2">
        <w:rPr>
          <w:rFonts w:eastAsia="Calibri" w:cs="Tahoma"/>
        </w:rPr>
        <w:t xml:space="preserve">y </w:t>
      </w:r>
      <w:r w:rsidRPr="00B50CE2">
        <w:rPr>
          <w:rFonts w:eastAsia="Calibri" w:cs="Tahoma"/>
          <w:bCs/>
        </w:rPr>
        <w:t>SEXTO de la presente Resolución.</w:t>
      </w:r>
    </w:p>
    <w:p w14:paraId="5A1C2A7D" w14:textId="77777777" w:rsidR="006A4B75" w:rsidRPr="00B50CE2" w:rsidRDefault="006A4B75" w:rsidP="00967419">
      <w:pPr>
        <w:spacing w:after="0" w:line="360" w:lineRule="auto"/>
        <w:contextualSpacing/>
        <w:rPr>
          <w:rFonts w:eastAsia="Calibri" w:cs="Tahoma"/>
          <w:b/>
          <w:bCs/>
          <w:iCs/>
          <w:color w:val="auto"/>
        </w:rPr>
      </w:pPr>
    </w:p>
    <w:p w14:paraId="0596E185" w14:textId="77777777" w:rsidR="006A4B75" w:rsidRPr="00B50CE2" w:rsidRDefault="006A4B75" w:rsidP="00967419">
      <w:pPr>
        <w:spacing w:after="0" w:line="360" w:lineRule="auto"/>
        <w:contextualSpacing/>
        <w:rPr>
          <w:rFonts w:eastAsia="Calibri" w:cs="Tahoma"/>
          <w:bCs/>
          <w:iCs/>
          <w:color w:val="auto"/>
        </w:rPr>
      </w:pPr>
      <w:r w:rsidRPr="00B50CE2">
        <w:rPr>
          <w:rFonts w:eastAsia="Calibri" w:cs="Tahoma"/>
          <w:b/>
          <w:bCs/>
          <w:iCs/>
          <w:color w:val="auto"/>
        </w:rPr>
        <w:t xml:space="preserve">SEGUNDO. </w:t>
      </w:r>
      <w:r w:rsidRPr="00B50CE2">
        <w:rPr>
          <w:rFonts w:eastAsia="Calibri" w:cs="Tahoma"/>
          <w:bCs/>
          <w:iCs/>
          <w:color w:val="auto"/>
        </w:rPr>
        <w:t xml:space="preserve">Se </w:t>
      </w:r>
      <w:r w:rsidRPr="00B50CE2">
        <w:rPr>
          <w:rFonts w:eastAsia="Calibri" w:cs="Tahoma"/>
          <w:b/>
          <w:bCs/>
          <w:iCs/>
          <w:color w:val="auto"/>
        </w:rPr>
        <w:t xml:space="preserve">ORDENA </w:t>
      </w:r>
      <w:r w:rsidRPr="00B50CE2">
        <w:rPr>
          <w:rFonts w:eastAsia="Calibri" w:cs="Tahoma"/>
          <w:bCs/>
          <w:iCs/>
          <w:color w:val="auto"/>
        </w:rPr>
        <w:t>al Ente Recurrido, a efecto de que entregue, a través del Sistema de Acceso a la Información Mexiquense (SAIMEX), lo siguiente:</w:t>
      </w:r>
    </w:p>
    <w:p w14:paraId="08565235" w14:textId="77777777" w:rsidR="006A4B75" w:rsidRPr="00B50CE2" w:rsidRDefault="006A4B75" w:rsidP="00967419">
      <w:pPr>
        <w:spacing w:after="0" w:line="360" w:lineRule="auto"/>
        <w:contextualSpacing/>
        <w:rPr>
          <w:rFonts w:eastAsia="Calibri" w:cs="Tahoma"/>
          <w:bCs/>
          <w:iCs/>
          <w:color w:val="auto"/>
        </w:rPr>
      </w:pPr>
    </w:p>
    <w:p w14:paraId="729C7924" w14:textId="005AFD71" w:rsidR="006A4B75" w:rsidRPr="00B50CE2" w:rsidRDefault="006A4B75" w:rsidP="00967419">
      <w:pPr>
        <w:pStyle w:val="Prrafodelista"/>
        <w:numPr>
          <w:ilvl w:val="0"/>
          <w:numId w:val="3"/>
        </w:numPr>
        <w:spacing w:after="0" w:line="360" w:lineRule="auto"/>
        <w:rPr>
          <w:rFonts w:eastAsia="Calibri" w:cs="Tahoma"/>
          <w:bCs/>
          <w:iCs/>
          <w:color w:val="auto"/>
        </w:rPr>
      </w:pPr>
      <w:r w:rsidRPr="00B50CE2">
        <w:rPr>
          <w:rFonts w:eastAsia="Calibri" w:cs="Tahoma"/>
          <w:bCs/>
          <w:iCs/>
          <w:color w:val="auto"/>
        </w:rPr>
        <w:t xml:space="preserve">El Acuerdo emitido por el Comité de Transparencia del Ente Recurrido, a efecto de confirmar la incompetencia para conocer </w:t>
      </w:r>
      <w:r w:rsidR="00967419" w:rsidRPr="00B50CE2">
        <w:rPr>
          <w:rFonts w:eastAsia="Times New Roman" w:cs="Tahoma"/>
          <w:bCs/>
          <w:iCs/>
          <w:color w:val="auto"/>
          <w:lang w:eastAsia="es-ES"/>
        </w:rPr>
        <w:t xml:space="preserve">sobre las credenciales para votar emitidas durante </w:t>
      </w:r>
      <w:r w:rsidR="00A75C68" w:rsidRPr="00B50CE2">
        <w:rPr>
          <w:rFonts w:eastAsia="Times New Roman" w:cs="Tahoma"/>
          <w:bCs/>
          <w:iCs/>
          <w:color w:val="auto"/>
          <w:lang w:eastAsia="es-ES"/>
        </w:rPr>
        <w:t>el</w:t>
      </w:r>
      <w:r w:rsidR="00967419" w:rsidRPr="00B50CE2">
        <w:rPr>
          <w:rFonts w:eastAsia="Times New Roman" w:cs="Tahoma"/>
          <w:bCs/>
          <w:iCs/>
          <w:color w:val="auto"/>
          <w:lang w:eastAsia="es-ES"/>
        </w:rPr>
        <w:t xml:space="preserve"> dos mil veintidós</w:t>
      </w:r>
      <w:r w:rsidRPr="00B50CE2">
        <w:rPr>
          <w:rFonts w:eastAsia="Calibri" w:cs="Tahoma"/>
          <w:bCs/>
          <w:iCs/>
          <w:color w:val="auto"/>
        </w:rPr>
        <w:t>.</w:t>
      </w:r>
    </w:p>
    <w:p w14:paraId="77E05BA0" w14:textId="77777777" w:rsidR="006A4B75" w:rsidRPr="00B50CE2" w:rsidRDefault="006A4B75" w:rsidP="00967419">
      <w:pPr>
        <w:spacing w:after="0" w:line="360" w:lineRule="auto"/>
        <w:contextualSpacing/>
        <w:rPr>
          <w:rFonts w:eastAsia="Calibri" w:cs="Tahoma"/>
          <w:bCs/>
          <w:lang w:val="es-ES"/>
        </w:rPr>
      </w:pPr>
    </w:p>
    <w:p w14:paraId="75280B92" w14:textId="77777777" w:rsidR="006A4B75" w:rsidRPr="00B50CE2" w:rsidRDefault="006A4B75" w:rsidP="00967419">
      <w:pPr>
        <w:spacing w:after="0" w:line="360" w:lineRule="auto"/>
        <w:contextualSpacing/>
        <w:rPr>
          <w:rFonts w:cs="Tahoma"/>
        </w:rPr>
      </w:pPr>
      <w:r w:rsidRPr="00B50CE2">
        <w:rPr>
          <w:rFonts w:cs="Arial"/>
          <w:b/>
          <w:lang w:val="es-ES_tradnl"/>
        </w:rPr>
        <w:t>TERCERO.</w:t>
      </w:r>
      <w:r w:rsidRPr="00B50CE2">
        <w:rPr>
          <w:rFonts w:cs="Tahoma"/>
          <w:b/>
        </w:rPr>
        <w:t xml:space="preserve"> NOTIFÍQUESE </w:t>
      </w:r>
      <w:r w:rsidRPr="00B50CE2">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C50E963" w14:textId="77777777" w:rsidR="006A4B75" w:rsidRPr="00B50CE2" w:rsidRDefault="006A4B75" w:rsidP="00967419">
      <w:pPr>
        <w:spacing w:after="0" w:line="360" w:lineRule="auto"/>
        <w:contextualSpacing/>
        <w:rPr>
          <w:rFonts w:cs="Tahoma"/>
        </w:rPr>
      </w:pPr>
    </w:p>
    <w:p w14:paraId="67162C7E" w14:textId="77777777" w:rsidR="006A4B75" w:rsidRPr="00B50CE2" w:rsidRDefault="006A4B75" w:rsidP="00967419">
      <w:pPr>
        <w:spacing w:line="360" w:lineRule="auto"/>
        <w:contextualSpacing/>
        <w:rPr>
          <w:rFonts w:eastAsia="Calibri" w:cs="Tahoma"/>
          <w:iCs/>
        </w:rPr>
      </w:pPr>
      <w:bookmarkStart w:id="2" w:name="_Hlk61509110"/>
      <w:r w:rsidRPr="00B50CE2">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58B5BA15" w14:textId="77777777" w:rsidR="006A4B75" w:rsidRPr="00B50CE2" w:rsidRDefault="006A4B75" w:rsidP="00967419">
      <w:pPr>
        <w:spacing w:after="0" w:line="360" w:lineRule="auto"/>
        <w:contextualSpacing/>
        <w:rPr>
          <w:rFonts w:cs="Tahoma"/>
        </w:rPr>
      </w:pPr>
    </w:p>
    <w:p w14:paraId="4EB0AF70" w14:textId="3D46B395" w:rsidR="006A4B75" w:rsidRPr="00B50CE2" w:rsidRDefault="006A4B75" w:rsidP="00967419">
      <w:pPr>
        <w:spacing w:after="0" w:line="360" w:lineRule="auto"/>
        <w:contextualSpacing/>
        <w:rPr>
          <w:rFonts w:cs="Tahoma"/>
        </w:rPr>
      </w:pPr>
      <w:r w:rsidRPr="00B50CE2">
        <w:rPr>
          <w:rFonts w:cs="Tahoma"/>
          <w:b/>
        </w:rPr>
        <w:t>CUARTO. NOTIFÍQUESE</w:t>
      </w:r>
      <w:r w:rsidRPr="00B50CE2">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EB1AC3" w:rsidRPr="00B50CE2">
        <w:rPr>
          <w:rFonts w:cs="Tahoma"/>
        </w:rPr>
        <w:t>érminos de las leyes aplicables.</w:t>
      </w:r>
    </w:p>
    <w:p w14:paraId="6B474688" w14:textId="77777777" w:rsidR="006A4B75" w:rsidRPr="00B50CE2" w:rsidRDefault="006A4B75" w:rsidP="00967419">
      <w:pPr>
        <w:spacing w:after="0" w:line="360" w:lineRule="auto"/>
        <w:contextualSpacing/>
        <w:rPr>
          <w:rFonts w:eastAsia="Calibri" w:cs="Tahoma"/>
          <w:bCs/>
          <w:lang w:val="es-ES"/>
        </w:rPr>
      </w:pPr>
    </w:p>
    <w:p w14:paraId="2869D05C" w14:textId="35354047" w:rsidR="006A4B75" w:rsidRDefault="006A4B75" w:rsidP="00967419">
      <w:pPr>
        <w:spacing w:after="0" w:line="360" w:lineRule="auto"/>
        <w:contextualSpacing/>
        <w:rPr>
          <w:rFonts w:eastAsia="Calibri" w:cs="Tahoma"/>
          <w:bCs/>
        </w:rPr>
      </w:pPr>
      <w:r w:rsidRPr="00B50CE2">
        <w:rPr>
          <w:rFonts w:eastAsia="Calibri" w:cs="Tahoma"/>
          <w:bCs/>
        </w:rPr>
        <w:t>ASÍ LO RESUELVE</w:t>
      </w:r>
      <w:r w:rsidR="002E397C" w:rsidRPr="00B50CE2">
        <w:rPr>
          <w:rFonts w:eastAsia="Calibri" w:cs="Tahoma"/>
          <w:bCs/>
        </w:rPr>
        <w:t xml:space="preserve">, POR </w:t>
      </w:r>
      <w:r w:rsidR="002E397C" w:rsidRPr="00B50CE2">
        <w:rPr>
          <w:rFonts w:eastAsia="Calibri" w:cs="Tahoma"/>
          <w:b/>
        </w:rPr>
        <w:t>MAYORÍA</w:t>
      </w:r>
      <w:r w:rsidR="002E397C" w:rsidRPr="00B50CE2">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VOTO DISIDENTE, EN LA SEXTA SESIÓN ORDINARIA, CELEBRADA EL QUINCE DE FEBRERO DE DOS MIL </w:t>
      </w:r>
      <w:r w:rsidRPr="00B50CE2">
        <w:rPr>
          <w:rFonts w:eastAsia="Calibri" w:cs="Tahoma"/>
          <w:bCs/>
        </w:rPr>
        <w:t>VEINTITRÉS, ANTE EL SECRETARIO TÉCNICO DEL PLENO, ALEXIS TAPIA RAMÍREZ.</w:t>
      </w:r>
    </w:p>
    <w:p w14:paraId="7E6B241F" w14:textId="77777777" w:rsidR="006A4B75" w:rsidRDefault="006A4B75" w:rsidP="00967419">
      <w:pPr>
        <w:spacing w:after="0" w:line="360" w:lineRule="auto"/>
        <w:contextualSpacing/>
      </w:pPr>
      <w:r>
        <w:br w:type="page"/>
      </w:r>
    </w:p>
    <w:p w14:paraId="0FB1C6FE" w14:textId="77777777" w:rsidR="00CE69D3" w:rsidRDefault="00CE69D3" w:rsidP="00967419">
      <w:pPr>
        <w:spacing w:line="360" w:lineRule="auto"/>
        <w:contextualSpacing/>
      </w:pPr>
    </w:p>
    <w:sectPr w:rsidR="00CE69D3" w:rsidSect="00F86CEF">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C55B" w14:textId="77777777" w:rsidR="00982A10" w:rsidRDefault="00982A10" w:rsidP="006A4B75">
      <w:pPr>
        <w:spacing w:after="0" w:line="240" w:lineRule="auto"/>
      </w:pPr>
      <w:r>
        <w:separator/>
      </w:r>
    </w:p>
  </w:endnote>
  <w:endnote w:type="continuationSeparator" w:id="0">
    <w:p w14:paraId="417B47B7" w14:textId="77777777" w:rsidR="00982A10" w:rsidRDefault="00982A10" w:rsidP="006A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3F645326" w14:textId="77777777" w:rsidR="008A24E6" w:rsidRDefault="009674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D6C022" w14:textId="77777777" w:rsidR="008A24E6" w:rsidRDefault="00B50C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1E815BF" w14:textId="77777777" w:rsidR="008A24E6" w:rsidRDefault="009674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09B4">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09B4">
              <w:rPr>
                <w:b/>
                <w:bCs/>
                <w:noProof/>
              </w:rPr>
              <w:t>22</w:t>
            </w:r>
            <w:r>
              <w:rPr>
                <w:b/>
                <w:bCs/>
                <w:sz w:val="24"/>
                <w:szCs w:val="24"/>
              </w:rPr>
              <w:fldChar w:fldCharType="end"/>
            </w:r>
          </w:p>
        </w:sdtContent>
      </w:sdt>
    </w:sdtContent>
  </w:sdt>
  <w:p w14:paraId="7F970564" w14:textId="77777777" w:rsidR="008A24E6" w:rsidRDefault="00B50C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3C3E0B01" w14:textId="77777777" w:rsidR="008A24E6" w:rsidRDefault="009674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09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09B4">
              <w:rPr>
                <w:b/>
                <w:bCs/>
                <w:noProof/>
              </w:rPr>
              <w:t>22</w:t>
            </w:r>
            <w:r>
              <w:rPr>
                <w:b/>
                <w:bCs/>
                <w:sz w:val="24"/>
                <w:szCs w:val="24"/>
              </w:rPr>
              <w:fldChar w:fldCharType="end"/>
            </w:r>
          </w:p>
        </w:sdtContent>
      </w:sdt>
    </w:sdtContent>
  </w:sdt>
  <w:p w14:paraId="333903D9" w14:textId="77777777" w:rsidR="008A24E6" w:rsidRDefault="00B50C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7410" w14:textId="77777777" w:rsidR="00982A10" w:rsidRDefault="00982A10" w:rsidP="006A4B75">
      <w:pPr>
        <w:spacing w:after="0" w:line="240" w:lineRule="auto"/>
      </w:pPr>
      <w:r>
        <w:separator/>
      </w:r>
    </w:p>
  </w:footnote>
  <w:footnote w:type="continuationSeparator" w:id="0">
    <w:p w14:paraId="50A10468" w14:textId="77777777" w:rsidR="00982A10" w:rsidRDefault="00982A10" w:rsidP="006A4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A24E6" w:rsidRPr="00E152D8" w14:paraId="652D6C91" w14:textId="77777777" w:rsidTr="00F86CEF">
      <w:trPr>
        <w:trHeight w:val="132"/>
      </w:trPr>
      <w:tc>
        <w:tcPr>
          <w:tcW w:w="2691" w:type="dxa"/>
        </w:tcPr>
        <w:p w14:paraId="77959EA9" w14:textId="77777777" w:rsidR="008A24E6" w:rsidRPr="00E152D8" w:rsidRDefault="00967419" w:rsidP="00F86CEF">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1F4BE18" w14:textId="77777777" w:rsidR="008A24E6" w:rsidRPr="00EE1572" w:rsidRDefault="00967419" w:rsidP="00F86CEF">
          <w:pPr>
            <w:tabs>
              <w:tab w:val="right" w:pos="8838"/>
            </w:tabs>
            <w:ind w:left="-28" w:right="-32"/>
            <w:rPr>
              <w:rFonts w:eastAsia="Calibri" w:cs="Tahoma"/>
            </w:rPr>
          </w:pPr>
          <w:r w:rsidRPr="00EE1572">
            <w:rPr>
              <w:rFonts w:eastAsia="Calibri" w:cs="Tahoma"/>
            </w:rPr>
            <w:t>03846/INFOEM/IP/RR/2020</w:t>
          </w:r>
        </w:p>
      </w:tc>
    </w:tr>
    <w:tr w:rsidR="008A24E6" w:rsidRPr="00E152D8" w14:paraId="586B2DF3" w14:textId="77777777" w:rsidTr="00F86CEF">
      <w:trPr>
        <w:trHeight w:val="261"/>
      </w:trPr>
      <w:tc>
        <w:tcPr>
          <w:tcW w:w="2691" w:type="dxa"/>
        </w:tcPr>
        <w:p w14:paraId="1AAAEC51" w14:textId="77777777" w:rsidR="008A24E6" w:rsidRPr="00E152D8" w:rsidRDefault="00967419" w:rsidP="00F86CEF">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2A3899A6" w14:textId="77777777" w:rsidR="008A24E6" w:rsidRPr="00EE1572" w:rsidRDefault="00967419" w:rsidP="00F86CEF">
          <w:pPr>
            <w:tabs>
              <w:tab w:val="right" w:pos="8838"/>
            </w:tabs>
            <w:ind w:right="-32"/>
            <w:rPr>
              <w:rFonts w:eastAsia="Calibri" w:cs="Tahoma"/>
              <w:lang w:val="es-MX"/>
            </w:rPr>
          </w:pPr>
          <w:r w:rsidRPr="00EE1572">
            <w:rPr>
              <w:rFonts w:eastAsia="Calibri" w:cs="Tahoma"/>
              <w:lang w:val="es-MX"/>
            </w:rPr>
            <w:t>Ayuntamiento de Temascalcingo</w:t>
          </w:r>
        </w:p>
      </w:tc>
    </w:tr>
    <w:tr w:rsidR="008A24E6" w:rsidRPr="00E152D8" w14:paraId="288AE580" w14:textId="77777777" w:rsidTr="00F86CEF">
      <w:trPr>
        <w:trHeight w:val="261"/>
      </w:trPr>
      <w:tc>
        <w:tcPr>
          <w:tcW w:w="2691" w:type="dxa"/>
        </w:tcPr>
        <w:p w14:paraId="22CEA968" w14:textId="77777777" w:rsidR="008A24E6" w:rsidRPr="00E152D8" w:rsidRDefault="00967419" w:rsidP="00F86CEF">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6D45C45C" w14:textId="77777777" w:rsidR="008A24E6" w:rsidRPr="00E152D8" w:rsidRDefault="00967419" w:rsidP="00F86CEF">
          <w:pPr>
            <w:tabs>
              <w:tab w:val="right" w:pos="8838"/>
            </w:tabs>
            <w:ind w:right="-32"/>
            <w:rPr>
              <w:rFonts w:eastAsia="Calibri" w:cs="Tahoma"/>
              <w:b/>
              <w:lang w:val="es-MX"/>
            </w:rPr>
          </w:pPr>
          <w:r w:rsidRPr="00E152D8">
            <w:rPr>
              <w:rFonts w:eastAsia="Calibri" w:cs="Tahoma"/>
              <w:lang w:val="es-MX"/>
            </w:rPr>
            <w:t>Luis Gustavo Parra Noriega</w:t>
          </w:r>
        </w:p>
      </w:tc>
    </w:tr>
  </w:tbl>
  <w:p w14:paraId="73931E83" w14:textId="77777777" w:rsidR="008A24E6" w:rsidRDefault="00B50CE2">
    <w:pPr>
      <w:pStyle w:val="Encabezado"/>
    </w:pPr>
    <w:r>
      <w:rPr>
        <w:noProof/>
      </w:rPr>
      <w:pict w14:anchorId="122F6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111"/>
    </w:tblGrid>
    <w:tr w:rsidR="008A24E6" w:rsidRPr="00E152D8" w14:paraId="710DD17E" w14:textId="77777777" w:rsidTr="006A4B75">
      <w:trPr>
        <w:trHeight w:val="138"/>
      </w:trPr>
      <w:tc>
        <w:tcPr>
          <w:tcW w:w="2410" w:type="dxa"/>
          <w:vAlign w:val="center"/>
        </w:tcPr>
        <w:p w14:paraId="0A32B854" w14:textId="77777777" w:rsidR="008A24E6" w:rsidRPr="00E152D8" w:rsidRDefault="00967419" w:rsidP="00F86CEF">
          <w:pPr>
            <w:tabs>
              <w:tab w:val="right" w:pos="8838"/>
            </w:tabs>
            <w:ind w:right="-105"/>
            <w:jc w:val="left"/>
            <w:rPr>
              <w:rFonts w:eastAsia="Calibri" w:cs="Tahoma"/>
              <w:b/>
              <w:lang w:val="es-MX"/>
            </w:rPr>
          </w:pPr>
          <w:r w:rsidRPr="00E152D8">
            <w:rPr>
              <w:rFonts w:eastAsia="Calibri" w:cs="Tahoma"/>
              <w:b/>
              <w:lang w:val="es-MX"/>
            </w:rPr>
            <w:t>Recurso de Revisión:</w:t>
          </w:r>
        </w:p>
      </w:tc>
      <w:tc>
        <w:tcPr>
          <w:tcW w:w="4111" w:type="dxa"/>
        </w:tcPr>
        <w:p w14:paraId="56D629C8" w14:textId="322565C9" w:rsidR="008A24E6" w:rsidRPr="00051642" w:rsidRDefault="00967419" w:rsidP="00F86CEF">
          <w:pPr>
            <w:tabs>
              <w:tab w:val="right" w:pos="8838"/>
            </w:tabs>
            <w:ind w:right="-32"/>
            <w:rPr>
              <w:rFonts w:eastAsia="Calibri" w:cs="Tahoma"/>
            </w:rPr>
          </w:pPr>
          <w:r>
            <w:rPr>
              <w:rFonts w:eastAsia="Calibri" w:cs="Tahoma"/>
              <w:lang w:val="es-MX"/>
            </w:rPr>
            <w:t>1</w:t>
          </w:r>
          <w:r w:rsidR="006A4B75">
            <w:rPr>
              <w:rFonts w:eastAsia="Calibri" w:cs="Tahoma"/>
              <w:lang w:val="es-MX"/>
            </w:rPr>
            <w:t>538</w:t>
          </w:r>
          <w:r>
            <w:rPr>
              <w:rFonts w:eastAsia="Calibri" w:cs="Tahoma"/>
              <w:lang w:val="es-MX"/>
            </w:rPr>
            <w:t>6/INFOEM/IP/RR/2022</w:t>
          </w:r>
        </w:p>
      </w:tc>
    </w:tr>
    <w:tr w:rsidR="008A24E6" w:rsidRPr="00E152D8" w14:paraId="6CED9F4F" w14:textId="77777777" w:rsidTr="006A4B75">
      <w:trPr>
        <w:trHeight w:val="273"/>
      </w:trPr>
      <w:tc>
        <w:tcPr>
          <w:tcW w:w="2410" w:type="dxa"/>
        </w:tcPr>
        <w:p w14:paraId="3A2AC7EF" w14:textId="77777777" w:rsidR="008A24E6" w:rsidRPr="00E152D8" w:rsidRDefault="00967419" w:rsidP="00F86CEF">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1644EABA" w14:textId="246C6CAA" w:rsidR="008A24E6" w:rsidRPr="00051642" w:rsidRDefault="006A4B75" w:rsidP="00F86CEF">
          <w:pPr>
            <w:tabs>
              <w:tab w:val="right" w:pos="8838"/>
            </w:tabs>
            <w:ind w:left="-28" w:right="-32"/>
            <w:rPr>
              <w:rFonts w:eastAsia="Calibri" w:cs="Tahoma"/>
              <w:lang w:val="es-MX"/>
            </w:rPr>
          </w:pPr>
          <w:r>
            <w:rPr>
              <w:rFonts w:eastAsia="Calibri" w:cs="Tahoma"/>
              <w:lang w:val="es-MX"/>
            </w:rPr>
            <w:t>Ayuntamiento de Zinacantepec</w:t>
          </w:r>
        </w:p>
      </w:tc>
    </w:tr>
    <w:tr w:rsidR="008A24E6" w:rsidRPr="00E152D8" w14:paraId="4000508F" w14:textId="77777777" w:rsidTr="006A4B75">
      <w:trPr>
        <w:trHeight w:val="273"/>
      </w:trPr>
      <w:tc>
        <w:tcPr>
          <w:tcW w:w="2410" w:type="dxa"/>
        </w:tcPr>
        <w:p w14:paraId="73058D50" w14:textId="77777777" w:rsidR="008A24E6" w:rsidRPr="00E152D8" w:rsidRDefault="00967419" w:rsidP="00F86CEF">
          <w:pPr>
            <w:tabs>
              <w:tab w:val="right" w:pos="8838"/>
            </w:tabs>
            <w:ind w:right="-105"/>
            <w:rPr>
              <w:rFonts w:eastAsia="Calibri" w:cs="Tahoma"/>
              <w:b/>
              <w:lang w:val="es-MX"/>
            </w:rPr>
          </w:pPr>
          <w:r w:rsidRPr="00E152D8">
            <w:rPr>
              <w:rFonts w:eastAsia="Calibri" w:cs="Tahoma"/>
              <w:b/>
              <w:lang w:val="es-MX"/>
            </w:rPr>
            <w:t>Comisionado Ponente:</w:t>
          </w:r>
        </w:p>
      </w:tc>
      <w:tc>
        <w:tcPr>
          <w:tcW w:w="4111" w:type="dxa"/>
        </w:tcPr>
        <w:p w14:paraId="370B1A64" w14:textId="77777777" w:rsidR="008A24E6" w:rsidRPr="00E152D8" w:rsidRDefault="00967419" w:rsidP="00F86CEF">
          <w:pPr>
            <w:tabs>
              <w:tab w:val="right" w:pos="8838"/>
            </w:tabs>
            <w:ind w:left="-28" w:right="-32"/>
            <w:rPr>
              <w:rFonts w:eastAsia="Calibri" w:cs="Tahoma"/>
              <w:b/>
              <w:lang w:val="es-MX"/>
            </w:rPr>
          </w:pPr>
          <w:r w:rsidRPr="00E152D8">
            <w:rPr>
              <w:rFonts w:eastAsia="Calibri" w:cs="Tahoma"/>
              <w:lang w:val="es-MX"/>
            </w:rPr>
            <w:t>Luis Gustavo Parra Noriega</w:t>
          </w:r>
        </w:p>
      </w:tc>
    </w:tr>
  </w:tbl>
  <w:p w14:paraId="671F5CCE" w14:textId="77777777" w:rsidR="008A24E6" w:rsidRDefault="00B50CE2" w:rsidP="00F86CEF">
    <w:pPr>
      <w:pStyle w:val="Encabezado"/>
    </w:pPr>
    <w:r>
      <w:rPr>
        <w:noProof/>
      </w:rPr>
      <w:pict w14:anchorId="40C76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A24E6" w:rsidRPr="00E152D8" w14:paraId="37D42D78" w14:textId="77777777" w:rsidTr="006A4B75">
      <w:trPr>
        <w:trHeight w:val="132"/>
      </w:trPr>
      <w:tc>
        <w:tcPr>
          <w:tcW w:w="2552" w:type="dxa"/>
        </w:tcPr>
        <w:p w14:paraId="04A3F8D0" w14:textId="77777777" w:rsidR="008A24E6" w:rsidRPr="00E152D8" w:rsidRDefault="00967419" w:rsidP="00F86CEF">
          <w:pPr>
            <w:tabs>
              <w:tab w:val="right" w:pos="8838"/>
            </w:tabs>
            <w:ind w:right="-105"/>
            <w:rPr>
              <w:rFonts w:eastAsia="Calibri" w:cs="Tahoma"/>
              <w:b/>
              <w:lang w:val="es-MX"/>
            </w:rPr>
          </w:pPr>
          <w:r w:rsidRPr="00E152D8">
            <w:rPr>
              <w:rFonts w:eastAsia="Calibri" w:cs="Tahoma"/>
              <w:b/>
              <w:lang w:val="es-MX"/>
            </w:rPr>
            <w:t>Recurso de Revisión:</w:t>
          </w:r>
        </w:p>
      </w:tc>
      <w:tc>
        <w:tcPr>
          <w:tcW w:w="3544" w:type="dxa"/>
        </w:tcPr>
        <w:p w14:paraId="218CF65E" w14:textId="0982B30C" w:rsidR="008A24E6" w:rsidRPr="00051642" w:rsidRDefault="00967419" w:rsidP="00F86CEF">
          <w:pPr>
            <w:tabs>
              <w:tab w:val="right" w:pos="8838"/>
            </w:tabs>
            <w:ind w:left="-111" w:right="-32"/>
            <w:rPr>
              <w:rFonts w:eastAsia="Calibri" w:cs="Tahoma"/>
            </w:rPr>
          </w:pPr>
          <w:r>
            <w:rPr>
              <w:rFonts w:eastAsia="Calibri" w:cs="Tahoma"/>
              <w:lang w:val="es-MX"/>
            </w:rPr>
            <w:t>1</w:t>
          </w:r>
          <w:r w:rsidR="006A4B75">
            <w:rPr>
              <w:rFonts w:eastAsia="Calibri" w:cs="Tahoma"/>
              <w:lang w:val="es-MX"/>
            </w:rPr>
            <w:t>538</w:t>
          </w:r>
          <w:r>
            <w:rPr>
              <w:rFonts w:eastAsia="Calibri" w:cs="Tahoma"/>
              <w:lang w:val="es-MX"/>
            </w:rPr>
            <w:t>6/INFOEM/IP/RR/2022</w:t>
          </w:r>
        </w:p>
      </w:tc>
    </w:tr>
    <w:tr w:rsidR="008A24E6" w:rsidRPr="00E152D8" w14:paraId="5667718A" w14:textId="77777777" w:rsidTr="006A4B75">
      <w:trPr>
        <w:trHeight w:val="132"/>
      </w:trPr>
      <w:tc>
        <w:tcPr>
          <w:tcW w:w="2552" w:type="dxa"/>
        </w:tcPr>
        <w:p w14:paraId="61E12CB5" w14:textId="77777777" w:rsidR="008A24E6" w:rsidRPr="00E152D8" w:rsidRDefault="00967419" w:rsidP="00F86CEF">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4" w:type="dxa"/>
        </w:tcPr>
        <w:p w14:paraId="167D0CF9" w14:textId="6AC6B846" w:rsidR="008A24E6" w:rsidRPr="00E152D8" w:rsidRDefault="00B50CE2" w:rsidP="00F86CEF">
          <w:pPr>
            <w:tabs>
              <w:tab w:val="right" w:pos="8838"/>
            </w:tabs>
            <w:ind w:left="-111" w:right="-109"/>
            <w:rPr>
              <w:rFonts w:eastAsia="Calibri" w:cs="Tahoma"/>
              <w:lang w:val="es-MX"/>
            </w:rPr>
          </w:pPr>
        </w:p>
      </w:tc>
    </w:tr>
    <w:tr w:rsidR="008A24E6" w:rsidRPr="00E152D8" w14:paraId="162F72EC" w14:textId="77777777" w:rsidTr="006A4B75">
      <w:trPr>
        <w:trHeight w:val="261"/>
      </w:trPr>
      <w:tc>
        <w:tcPr>
          <w:tcW w:w="2552" w:type="dxa"/>
        </w:tcPr>
        <w:p w14:paraId="597BA71A" w14:textId="77777777" w:rsidR="008A24E6" w:rsidRPr="00E152D8" w:rsidRDefault="00967419" w:rsidP="00F86CEF">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77C686D4" w14:textId="30E6F219" w:rsidR="008A24E6" w:rsidRPr="00051642" w:rsidRDefault="006A4B75" w:rsidP="00F86CEF">
          <w:pPr>
            <w:tabs>
              <w:tab w:val="right" w:pos="8838"/>
            </w:tabs>
            <w:ind w:left="-111" w:right="-32"/>
            <w:rPr>
              <w:rFonts w:eastAsia="Calibri" w:cs="Tahoma"/>
              <w:lang w:val="es-MX"/>
            </w:rPr>
          </w:pPr>
          <w:r>
            <w:rPr>
              <w:rFonts w:eastAsia="Calibri" w:cs="Tahoma"/>
              <w:lang w:val="es-MX"/>
            </w:rPr>
            <w:t>Ayuntamiento de Zinacantepec</w:t>
          </w:r>
        </w:p>
      </w:tc>
    </w:tr>
    <w:tr w:rsidR="008A24E6" w:rsidRPr="00E152D8" w14:paraId="4F5B64C6" w14:textId="77777777" w:rsidTr="006A4B75">
      <w:trPr>
        <w:trHeight w:val="261"/>
      </w:trPr>
      <w:tc>
        <w:tcPr>
          <w:tcW w:w="2552" w:type="dxa"/>
        </w:tcPr>
        <w:p w14:paraId="35587D9C" w14:textId="77777777" w:rsidR="008A24E6" w:rsidRPr="00E152D8" w:rsidRDefault="00967419" w:rsidP="00F86CEF">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ED79427" w14:textId="77777777" w:rsidR="008A24E6" w:rsidRPr="00E152D8" w:rsidRDefault="00967419" w:rsidP="00F86CEF">
          <w:pPr>
            <w:tabs>
              <w:tab w:val="right" w:pos="8838"/>
            </w:tabs>
            <w:ind w:left="-111" w:right="-32"/>
            <w:rPr>
              <w:rFonts w:eastAsia="Calibri" w:cs="Tahoma"/>
              <w:b/>
              <w:lang w:val="es-MX"/>
            </w:rPr>
          </w:pPr>
          <w:r w:rsidRPr="00E152D8">
            <w:rPr>
              <w:rFonts w:eastAsia="Calibri" w:cs="Tahoma"/>
              <w:lang w:val="es-MX"/>
            </w:rPr>
            <w:t>Luis Gustavo Parra Noriega</w:t>
          </w:r>
        </w:p>
      </w:tc>
    </w:tr>
  </w:tbl>
  <w:p w14:paraId="0035DA26" w14:textId="77777777" w:rsidR="008A24E6" w:rsidRDefault="00B50CE2" w:rsidP="00F86CEF">
    <w:pPr>
      <w:pStyle w:val="Encabezado"/>
      <w:tabs>
        <w:tab w:val="left" w:pos="5812"/>
      </w:tabs>
    </w:pPr>
    <w:r>
      <w:rPr>
        <w:noProof/>
      </w:rPr>
      <w:pict w14:anchorId="3DF19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2D4B"/>
    <w:multiLevelType w:val="hybridMultilevel"/>
    <w:tmpl w:val="78002EB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A85813"/>
    <w:multiLevelType w:val="hybridMultilevel"/>
    <w:tmpl w:val="2EFC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3"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154D0C"/>
    <w:multiLevelType w:val="hybridMultilevel"/>
    <w:tmpl w:val="19624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73753667">
    <w:abstractNumId w:val="2"/>
  </w:num>
  <w:num w:numId="2" w16cid:durableId="172958916">
    <w:abstractNumId w:val="0"/>
  </w:num>
  <w:num w:numId="3" w16cid:durableId="1683624361">
    <w:abstractNumId w:val="3"/>
  </w:num>
  <w:num w:numId="4" w16cid:durableId="17195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9323828">
    <w:abstractNumId w:val="5"/>
  </w:num>
  <w:num w:numId="6" w16cid:durableId="1512454417">
    <w:abstractNumId w:val="1"/>
  </w:num>
  <w:num w:numId="7" w16cid:durableId="2464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75"/>
    <w:rsid w:val="00044AA3"/>
    <w:rsid w:val="000715D7"/>
    <w:rsid w:val="00082C29"/>
    <w:rsid w:val="000943C3"/>
    <w:rsid w:val="000A5432"/>
    <w:rsid w:val="0011039C"/>
    <w:rsid w:val="0012588A"/>
    <w:rsid w:val="00196019"/>
    <w:rsid w:val="002409B4"/>
    <w:rsid w:val="00270486"/>
    <w:rsid w:val="002E397C"/>
    <w:rsid w:val="003F282A"/>
    <w:rsid w:val="006A4B75"/>
    <w:rsid w:val="00711D5C"/>
    <w:rsid w:val="00967419"/>
    <w:rsid w:val="00982A10"/>
    <w:rsid w:val="009C10C8"/>
    <w:rsid w:val="00A75C68"/>
    <w:rsid w:val="00B50CE2"/>
    <w:rsid w:val="00B70344"/>
    <w:rsid w:val="00C32280"/>
    <w:rsid w:val="00CE69D3"/>
    <w:rsid w:val="00D27D01"/>
    <w:rsid w:val="00EB18F0"/>
    <w:rsid w:val="00EB1AC3"/>
    <w:rsid w:val="00F62A3F"/>
    <w:rsid w:val="00FB7C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EDA05"/>
  <w15:chartTrackingRefBased/>
  <w15:docId w15:val="{8814BB6F-2262-43F7-8F79-DFD29491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75"/>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B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B75"/>
    <w:rPr>
      <w:rFonts w:ascii="Palatino Linotype" w:hAnsi="Palatino Linotype"/>
      <w:color w:val="000000" w:themeColor="text1"/>
    </w:rPr>
  </w:style>
  <w:style w:type="paragraph" w:styleId="Piedepgina">
    <w:name w:val="footer"/>
    <w:basedOn w:val="Normal"/>
    <w:link w:val="PiedepginaCar"/>
    <w:uiPriority w:val="99"/>
    <w:unhideWhenUsed/>
    <w:rsid w:val="006A4B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B75"/>
    <w:rPr>
      <w:rFonts w:ascii="Palatino Linotype" w:hAnsi="Palatino Linotype"/>
      <w:color w:val="000000" w:themeColor="text1"/>
    </w:rPr>
  </w:style>
  <w:style w:type="table" w:styleId="Tablaconcuadrcula">
    <w:name w:val="Table Grid"/>
    <w:basedOn w:val="Tablanormal"/>
    <w:uiPriority w:val="59"/>
    <w:qFormat/>
    <w:rsid w:val="006A4B7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4B7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A4B75"/>
    <w:rPr>
      <w:rFonts w:ascii="Palatino Linotype" w:hAnsi="Palatino Linotype"/>
      <w:color w:val="000000" w:themeColor="text1"/>
    </w:rPr>
  </w:style>
  <w:style w:type="character" w:styleId="Hipervnculo">
    <w:name w:val="Hyperlink"/>
    <w:basedOn w:val="Fuentedeprrafopredeter"/>
    <w:uiPriority w:val="99"/>
    <w:unhideWhenUsed/>
    <w:rsid w:val="006A4B75"/>
    <w:rPr>
      <w:color w:val="0000FF"/>
      <w:u w:val="single"/>
    </w:rPr>
  </w:style>
  <w:style w:type="character" w:customStyle="1" w:styleId="Mencinsinresolver1">
    <w:name w:val="Mención sin resolver1"/>
    <w:basedOn w:val="Fuentedeprrafopredeter"/>
    <w:uiPriority w:val="99"/>
    <w:semiHidden/>
    <w:unhideWhenUsed/>
    <w:rsid w:val="0012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8321">
      <w:bodyDiv w:val="1"/>
      <w:marLeft w:val="0"/>
      <w:marRight w:val="0"/>
      <w:marTop w:val="0"/>
      <w:marBottom w:val="0"/>
      <w:divBdr>
        <w:top w:val="none" w:sz="0" w:space="0" w:color="auto"/>
        <w:left w:val="none" w:sz="0" w:space="0" w:color="auto"/>
        <w:bottom w:val="none" w:sz="0" w:space="0" w:color="auto"/>
        <w:right w:val="none" w:sz="0" w:space="0" w:color="auto"/>
      </w:divBdr>
    </w:div>
    <w:div w:id="190189469">
      <w:bodyDiv w:val="1"/>
      <w:marLeft w:val="0"/>
      <w:marRight w:val="0"/>
      <w:marTop w:val="0"/>
      <w:marBottom w:val="0"/>
      <w:divBdr>
        <w:top w:val="none" w:sz="0" w:space="0" w:color="auto"/>
        <w:left w:val="none" w:sz="0" w:space="0" w:color="auto"/>
        <w:bottom w:val="none" w:sz="0" w:space="0" w:color="auto"/>
        <w:right w:val="none" w:sz="0" w:space="0" w:color="auto"/>
      </w:divBdr>
    </w:div>
    <w:div w:id="244384348">
      <w:bodyDiv w:val="1"/>
      <w:marLeft w:val="0"/>
      <w:marRight w:val="0"/>
      <w:marTop w:val="0"/>
      <w:marBottom w:val="0"/>
      <w:divBdr>
        <w:top w:val="none" w:sz="0" w:space="0" w:color="auto"/>
        <w:left w:val="none" w:sz="0" w:space="0" w:color="auto"/>
        <w:bottom w:val="none" w:sz="0" w:space="0" w:color="auto"/>
        <w:right w:val="none" w:sz="0" w:space="0" w:color="auto"/>
      </w:divBdr>
    </w:div>
    <w:div w:id="376440340">
      <w:bodyDiv w:val="1"/>
      <w:marLeft w:val="0"/>
      <w:marRight w:val="0"/>
      <w:marTop w:val="0"/>
      <w:marBottom w:val="0"/>
      <w:divBdr>
        <w:top w:val="none" w:sz="0" w:space="0" w:color="auto"/>
        <w:left w:val="none" w:sz="0" w:space="0" w:color="auto"/>
        <w:bottom w:val="none" w:sz="0" w:space="0" w:color="auto"/>
        <w:right w:val="none" w:sz="0" w:space="0" w:color="auto"/>
      </w:divBdr>
    </w:div>
    <w:div w:id="1083451914">
      <w:bodyDiv w:val="1"/>
      <w:marLeft w:val="0"/>
      <w:marRight w:val="0"/>
      <w:marTop w:val="0"/>
      <w:marBottom w:val="0"/>
      <w:divBdr>
        <w:top w:val="none" w:sz="0" w:space="0" w:color="auto"/>
        <w:left w:val="none" w:sz="0" w:space="0" w:color="auto"/>
        <w:bottom w:val="none" w:sz="0" w:space="0" w:color="auto"/>
        <w:right w:val="none" w:sz="0" w:space="0" w:color="auto"/>
      </w:divBdr>
    </w:div>
    <w:div w:id="1378551948">
      <w:bodyDiv w:val="1"/>
      <w:marLeft w:val="0"/>
      <w:marRight w:val="0"/>
      <w:marTop w:val="0"/>
      <w:marBottom w:val="0"/>
      <w:divBdr>
        <w:top w:val="none" w:sz="0" w:space="0" w:color="auto"/>
        <w:left w:val="none" w:sz="0" w:space="0" w:color="auto"/>
        <w:bottom w:val="none" w:sz="0" w:space="0" w:color="auto"/>
        <w:right w:val="none" w:sz="0" w:space="0" w:color="auto"/>
      </w:divBdr>
    </w:div>
    <w:div w:id="18535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ome.inai.org.m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5217</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8</cp:revision>
  <dcterms:created xsi:type="dcterms:W3CDTF">2023-02-09T04:24:00Z</dcterms:created>
  <dcterms:modified xsi:type="dcterms:W3CDTF">2023-02-16T02:20:00Z</dcterms:modified>
</cp:coreProperties>
</file>